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2E22F">
      <w:pPr>
        <w:spacing w:line="360" w:lineRule="auto"/>
        <w:jc w:val="center"/>
        <w:rPr>
          <w:rFonts w:hint="eastAsia" w:ascii="黑体" w:hAnsi="黑体" w:eastAsia="黑体" w:cs="黑体"/>
          <w:b/>
          <w:color w:val="auto"/>
          <w:sz w:val="32"/>
          <w:szCs w:val="32"/>
          <w:highlight w:val="none"/>
          <w:lang w:eastAsia="zh-CN"/>
        </w:rPr>
      </w:pPr>
      <w:r>
        <w:rPr>
          <w:rFonts w:hint="eastAsia" w:ascii="黑体" w:hAnsi="黑体" w:eastAsia="黑体" w:cs="黑体"/>
          <w:b/>
          <w:color w:val="auto"/>
          <w:sz w:val="36"/>
          <w:szCs w:val="36"/>
          <w:highlight w:val="none"/>
          <w:lang w:eastAsia="zh-CN"/>
        </w:rPr>
        <w:t>德清佳平工程管理有限公司</w:t>
      </w:r>
      <w:r>
        <w:rPr>
          <w:rFonts w:hint="eastAsia" w:ascii="黑体" w:hAnsi="黑体" w:eastAsia="黑体" w:cs="黑体"/>
          <w:b/>
          <w:color w:val="auto"/>
          <w:sz w:val="36"/>
          <w:szCs w:val="36"/>
          <w:highlight w:val="none"/>
        </w:rPr>
        <w:t>关于</w:t>
      </w:r>
      <w:r>
        <w:rPr>
          <w:rFonts w:hint="eastAsia" w:ascii="黑体" w:hAnsi="黑体" w:eastAsia="黑体" w:cs="黑体"/>
          <w:b/>
          <w:color w:val="auto"/>
          <w:sz w:val="36"/>
          <w:szCs w:val="36"/>
          <w:highlight w:val="none"/>
          <w:lang w:eastAsia="zh-CN"/>
        </w:rPr>
        <w:t>德清县乾元镇人民政府</w:t>
      </w:r>
      <w:r>
        <w:rPr>
          <w:rFonts w:hint="eastAsia" w:ascii="黑体" w:hAnsi="黑体" w:eastAsia="黑体" w:cs="黑体"/>
          <w:b/>
          <w:color w:val="auto"/>
          <w:sz w:val="36"/>
          <w:szCs w:val="36"/>
          <w:highlight w:val="none"/>
        </w:rPr>
        <w:t>的</w:t>
      </w:r>
      <w:r>
        <w:rPr>
          <w:rFonts w:hint="eastAsia" w:ascii="黑体" w:hAnsi="黑体" w:eastAsia="黑体" w:cs="黑体"/>
          <w:b/>
          <w:color w:val="auto"/>
          <w:sz w:val="36"/>
          <w:szCs w:val="36"/>
          <w:highlight w:val="none"/>
          <w:lang w:eastAsia="zh-CN"/>
        </w:rPr>
        <w:t>乾元镇镇区绿化养护项目</w:t>
      </w:r>
    </w:p>
    <w:p w14:paraId="0CEC074F">
      <w:pPr>
        <w:spacing w:line="1000" w:lineRule="exact"/>
        <w:jc w:val="center"/>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lang w:eastAsia="zh-CN"/>
        </w:rPr>
        <w:t>德财采确临[2025]6号</w:t>
      </w:r>
    </w:p>
    <w:p w14:paraId="55E11A32">
      <w:pPr>
        <w:spacing w:line="1000" w:lineRule="exact"/>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竞</w:t>
      </w:r>
    </w:p>
    <w:p w14:paraId="37B6C85B">
      <w:pPr>
        <w:spacing w:line="1000" w:lineRule="exact"/>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争</w:t>
      </w:r>
    </w:p>
    <w:p w14:paraId="7A311CE1">
      <w:pPr>
        <w:spacing w:line="1000" w:lineRule="exact"/>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性</w:t>
      </w:r>
    </w:p>
    <w:p w14:paraId="492DCB10">
      <w:pPr>
        <w:spacing w:line="1000" w:lineRule="exact"/>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磋</w:t>
      </w:r>
    </w:p>
    <w:p w14:paraId="7CD4113B">
      <w:pPr>
        <w:spacing w:line="1000" w:lineRule="exact"/>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商</w:t>
      </w:r>
    </w:p>
    <w:p w14:paraId="6EA5FE44">
      <w:pPr>
        <w:spacing w:line="1000" w:lineRule="exact"/>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文</w:t>
      </w:r>
    </w:p>
    <w:p w14:paraId="71185E07">
      <w:pPr>
        <w:spacing w:after="360" w:afterLines="150" w:line="1000" w:lineRule="exact"/>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件</w:t>
      </w:r>
    </w:p>
    <w:p w14:paraId="4EDC1EF7">
      <w:pPr>
        <w:spacing w:line="360" w:lineRule="auto"/>
        <w:rPr>
          <w:rFonts w:hint="eastAsia" w:ascii="黑体" w:hAnsi="黑体" w:eastAsia="黑体" w:cs="黑体"/>
          <w:b/>
          <w:color w:val="auto"/>
          <w:sz w:val="24"/>
          <w:szCs w:val="24"/>
          <w:highlight w:val="none"/>
        </w:rPr>
      </w:pPr>
    </w:p>
    <w:p w14:paraId="6D9CBD46">
      <w:pPr>
        <w:spacing w:line="360" w:lineRule="auto"/>
        <w:ind w:left="0" w:leftChars="0" w:firstLine="2749" w:firstLineChars="978"/>
        <w:jc w:val="left"/>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项目编号：</w:t>
      </w:r>
      <w:r>
        <w:rPr>
          <w:rFonts w:hint="eastAsia" w:ascii="黑体" w:hAnsi="黑体" w:eastAsia="黑体" w:cs="黑体"/>
          <w:b/>
          <w:color w:val="auto"/>
          <w:sz w:val="28"/>
          <w:szCs w:val="28"/>
          <w:highlight w:val="none"/>
          <w:lang w:eastAsia="zh-CN"/>
        </w:rPr>
        <w:t>DQJPZF-2025-JC01</w:t>
      </w:r>
    </w:p>
    <w:p w14:paraId="31161493">
      <w:pPr>
        <w:spacing w:line="360" w:lineRule="auto"/>
        <w:ind w:left="0" w:leftChars="0" w:firstLine="2749" w:firstLineChars="978"/>
        <w:jc w:val="left"/>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项目名称：</w:t>
      </w:r>
      <w:r>
        <w:rPr>
          <w:rFonts w:hint="eastAsia" w:ascii="黑体" w:hAnsi="黑体" w:eastAsia="黑体" w:cs="黑体"/>
          <w:b/>
          <w:color w:val="auto"/>
          <w:sz w:val="28"/>
          <w:szCs w:val="28"/>
          <w:highlight w:val="none"/>
          <w:lang w:eastAsia="zh-CN"/>
        </w:rPr>
        <w:t>乾元镇镇区绿化养护项目</w:t>
      </w:r>
    </w:p>
    <w:p w14:paraId="372025D7">
      <w:pPr>
        <w:spacing w:line="360" w:lineRule="auto"/>
        <w:ind w:left="0" w:leftChars="0" w:firstLine="2749" w:firstLineChars="978"/>
        <w:jc w:val="left"/>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采购单位：</w:t>
      </w:r>
      <w:r>
        <w:rPr>
          <w:rFonts w:hint="eastAsia" w:ascii="黑体" w:hAnsi="黑体" w:eastAsia="黑体" w:cs="黑体"/>
          <w:b/>
          <w:color w:val="auto"/>
          <w:sz w:val="28"/>
          <w:szCs w:val="28"/>
          <w:highlight w:val="none"/>
          <w:lang w:eastAsia="zh-CN"/>
        </w:rPr>
        <w:t>德清县乾元镇人民政府</w:t>
      </w:r>
    </w:p>
    <w:p w14:paraId="67588C29">
      <w:pPr>
        <w:spacing w:line="360" w:lineRule="auto"/>
        <w:ind w:left="0" w:leftChars="0" w:firstLine="2749" w:firstLineChars="978"/>
        <w:jc w:val="left"/>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采购代理机构：</w:t>
      </w:r>
      <w:r>
        <w:rPr>
          <w:rFonts w:hint="eastAsia" w:ascii="黑体" w:hAnsi="黑体" w:eastAsia="黑体" w:cs="黑体"/>
          <w:b/>
          <w:color w:val="auto"/>
          <w:sz w:val="28"/>
          <w:szCs w:val="28"/>
          <w:highlight w:val="none"/>
          <w:lang w:eastAsia="zh-CN"/>
        </w:rPr>
        <w:t>德清佳平工程管理有限公司</w:t>
      </w:r>
    </w:p>
    <w:p w14:paraId="28E13DE2">
      <w:pPr>
        <w:spacing w:line="800" w:lineRule="exact"/>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202</w:t>
      </w:r>
      <w:r>
        <w:rPr>
          <w:rFonts w:hint="eastAsia" w:ascii="黑体" w:hAnsi="黑体" w:eastAsia="黑体" w:cs="黑体"/>
          <w:b/>
          <w:color w:val="auto"/>
          <w:sz w:val="32"/>
          <w:szCs w:val="32"/>
          <w:highlight w:val="none"/>
          <w:lang w:val="en-US" w:eastAsia="zh-CN"/>
        </w:rPr>
        <w:t>5</w:t>
      </w:r>
      <w:r>
        <w:rPr>
          <w:rFonts w:hint="eastAsia" w:ascii="黑体" w:hAnsi="黑体" w:eastAsia="黑体" w:cs="黑体"/>
          <w:b/>
          <w:color w:val="auto"/>
          <w:sz w:val="32"/>
          <w:szCs w:val="32"/>
          <w:highlight w:val="none"/>
        </w:rPr>
        <w:t>年</w:t>
      </w:r>
      <w:r>
        <w:rPr>
          <w:rFonts w:hint="eastAsia" w:ascii="黑体" w:hAnsi="黑体" w:eastAsia="黑体" w:cs="黑体"/>
          <w:b/>
          <w:color w:val="auto"/>
          <w:sz w:val="32"/>
          <w:szCs w:val="32"/>
          <w:highlight w:val="none"/>
          <w:lang w:val="en-US" w:eastAsia="zh-CN"/>
        </w:rPr>
        <w:t>1</w:t>
      </w:r>
      <w:r>
        <w:rPr>
          <w:rFonts w:hint="eastAsia" w:ascii="黑体" w:hAnsi="黑体" w:eastAsia="黑体" w:cs="黑体"/>
          <w:b/>
          <w:color w:val="auto"/>
          <w:sz w:val="32"/>
          <w:szCs w:val="32"/>
          <w:highlight w:val="none"/>
        </w:rPr>
        <w:t>月</w:t>
      </w:r>
    </w:p>
    <w:p w14:paraId="3B62E76F">
      <w:pP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br w:type="page"/>
      </w:r>
    </w:p>
    <w:p w14:paraId="5C556344">
      <w:pPr>
        <w:spacing w:before="120" w:beforeLines="50" w:after="120" w:afterLines="50" w:line="360" w:lineRule="auto"/>
        <w:jc w:val="center"/>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目 录</w:t>
      </w:r>
    </w:p>
    <w:p w14:paraId="52CE0EA7">
      <w:pPr>
        <w:numPr>
          <w:ilvl w:val="0"/>
          <w:numId w:val="22"/>
        </w:numPr>
        <w:spacing w:before="120" w:beforeLines="50" w:line="480" w:lineRule="exact"/>
        <w:rPr>
          <w:rFonts w:hint="eastAsia" w:ascii="黑体" w:hAnsi="黑体" w:eastAsia="黑体" w:cs="黑体"/>
          <w:color w:val="auto"/>
          <w:sz w:val="30"/>
          <w:szCs w:val="20"/>
          <w:highlight w:val="none"/>
        </w:rPr>
      </w:pPr>
      <w:r>
        <w:rPr>
          <w:rFonts w:hint="eastAsia" w:ascii="黑体" w:hAnsi="黑体" w:eastAsia="黑体" w:cs="黑体"/>
          <w:color w:val="auto"/>
          <w:sz w:val="30"/>
          <w:szCs w:val="20"/>
          <w:highlight w:val="none"/>
        </w:rPr>
        <w:t>竞争性磋商公告</w:t>
      </w:r>
    </w:p>
    <w:p w14:paraId="46150C89">
      <w:pPr>
        <w:numPr>
          <w:ilvl w:val="0"/>
          <w:numId w:val="22"/>
        </w:numPr>
        <w:spacing w:before="120" w:beforeLines="50" w:line="480" w:lineRule="exact"/>
        <w:rPr>
          <w:rFonts w:hint="eastAsia" w:ascii="黑体" w:hAnsi="黑体" w:eastAsia="黑体" w:cs="黑体"/>
          <w:color w:val="auto"/>
          <w:sz w:val="30"/>
          <w:szCs w:val="20"/>
          <w:highlight w:val="none"/>
        </w:rPr>
      </w:pPr>
      <w:r>
        <w:rPr>
          <w:rFonts w:hint="eastAsia" w:ascii="黑体" w:hAnsi="黑体" w:eastAsia="黑体" w:cs="黑体"/>
          <w:color w:val="auto"/>
          <w:sz w:val="30"/>
          <w:szCs w:val="20"/>
          <w:highlight w:val="none"/>
        </w:rPr>
        <w:t>竞争性磋商须知</w:t>
      </w:r>
    </w:p>
    <w:p w14:paraId="308EC4E1">
      <w:pPr>
        <w:numPr>
          <w:ilvl w:val="0"/>
          <w:numId w:val="22"/>
        </w:numPr>
        <w:spacing w:before="120" w:beforeLines="50" w:line="480" w:lineRule="exact"/>
        <w:rPr>
          <w:rFonts w:hint="eastAsia" w:ascii="黑体" w:hAnsi="黑体" w:eastAsia="黑体" w:cs="黑体"/>
          <w:color w:val="auto"/>
          <w:sz w:val="30"/>
          <w:szCs w:val="20"/>
          <w:highlight w:val="none"/>
        </w:rPr>
      </w:pPr>
      <w:r>
        <w:rPr>
          <w:rFonts w:hint="eastAsia" w:ascii="黑体" w:hAnsi="黑体" w:eastAsia="黑体" w:cs="黑体"/>
          <w:color w:val="auto"/>
          <w:sz w:val="30"/>
          <w:szCs w:val="20"/>
          <w:highlight w:val="none"/>
        </w:rPr>
        <w:t>采购内容及技术要求</w:t>
      </w:r>
    </w:p>
    <w:p w14:paraId="7023AECC">
      <w:pPr>
        <w:numPr>
          <w:ilvl w:val="0"/>
          <w:numId w:val="22"/>
        </w:numPr>
        <w:spacing w:before="120" w:beforeLines="50" w:line="480" w:lineRule="exact"/>
        <w:rPr>
          <w:rFonts w:hint="eastAsia" w:ascii="黑体" w:hAnsi="黑体" w:eastAsia="黑体" w:cs="黑体"/>
          <w:color w:val="auto"/>
          <w:sz w:val="30"/>
          <w:szCs w:val="20"/>
          <w:highlight w:val="none"/>
        </w:rPr>
      </w:pPr>
      <w:r>
        <w:rPr>
          <w:rFonts w:hint="eastAsia" w:ascii="黑体" w:hAnsi="黑体" w:eastAsia="黑体" w:cs="黑体"/>
          <w:color w:val="auto"/>
          <w:sz w:val="30"/>
          <w:szCs w:val="20"/>
          <w:highlight w:val="none"/>
        </w:rPr>
        <w:t>评分办法及标准</w:t>
      </w:r>
    </w:p>
    <w:p w14:paraId="23F5B7C1">
      <w:pPr>
        <w:numPr>
          <w:ilvl w:val="0"/>
          <w:numId w:val="22"/>
        </w:numPr>
        <w:spacing w:before="120" w:beforeLines="50" w:line="480" w:lineRule="exact"/>
        <w:rPr>
          <w:rFonts w:hint="eastAsia" w:ascii="黑体" w:hAnsi="黑体" w:eastAsia="黑体" w:cs="黑体"/>
          <w:color w:val="auto"/>
          <w:sz w:val="30"/>
          <w:szCs w:val="20"/>
          <w:highlight w:val="none"/>
        </w:rPr>
      </w:pPr>
      <w:r>
        <w:rPr>
          <w:rFonts w:hint="eastAsia" w:ascii="黑体" w:hAnsi="黑体" w:eastAsia="黑体" w:cs="黑体"/>
          <w:color w:val="auto"/>
          <w:sz w:val="30"/>
          <w:szCs w:val="20"/>
          <w:highlight w:val="none"/>
        </w:rPr>
        <w:t>合同主要条款</w:t>
      </w:r>
    </w:p>
    <w:p w14:paraId="24973378">
      <w:pPr>
        <w:numPr>
          <w:ilvl w:val="0"/>
          <w:numId w:val="22"/>
        </w:numPr>
        <w:spacing w:before="120" w:beforeLines="50" w:line="480" w:lineRule="exact"/>
        <w:rPr>
          <w:rFonts w:hint="eastAsia" w:ascii="黑体" w:hAnsi="黑体" w:eastAsia="黑体" w:cs="黑体"/>
          <w:color w:val="auto"/>
          <w:sz w:val="30"/>
          <w:szCs w:val="20"/>
          <w:highlight w:val="none"/>
        </w:rPr>
      </w:pPr>
      <w:r>
        <w:rPr>
          <w:rFonts w:hint="eastAsia" w:ascii="黑体" w:hAnsi="黑体" w:eastAsia="黑体" w:cs="黑体"/>
          <w:color w:val="auto"/>
          <w:sz w:val="30"/>
          <w:szCs w:val="20"/>
          <w:highlight w:val="none"/>
        </w:rPr>
        <w:t>采购响应文件格式</w:t>
      </w:r>
    </w:p>
    <w:p w14:paraId="579E3997">
      <w:pPr>
        <w:rPr>
          <w:rFonts w:hint="eastAsia" w:ascii="黑体" w:hAnsi="黑体" w:eastAsia="黑体" w:cs="黑体"/>
          <w:color w:val="auto"/>
          <w:szCs w:val="20"/>
          <w:highlight w:val="none"/>
        </w:rPr>
      </w:pPr>
    </w:p>
    <w:p w14:paraId="5F53BBDE">
      <w:pPr>
        <w:keepNext/>
        <w:keepLines/>
        <w:numPr>
          <w:ilvl w:val="0"/>
          <w:numId w:val="23"/>
        </w:numPr>
        <w:spacing w:line="360" w:lineRule="auto"/>
        <w:jc w:val="center"/>
        <w:outlineLvl w:val="0"/>
        <w:rPr>
          <w:rFonts w:hint="eastAsia" w:ascii="黑体" w:hAnsi="黑体" w:eastAsia="黑体" w:cs="黑体"/>
          <w:b/>
          <w:color w:val="auto"/>
          <w:kern w:val="44"/>
          <w:sz w:val="32"/>
          <w:szCs w:val="32"/>
          <w:highlight w:val="none"/>
        </w:rPr>
      </w:pPr>
      <w:bookmarkStart w:id="0" w:name="_Toc142378971"/>
      <w:bookmarkStart w:id="1" w:name="_Toc177981178"/>
      <w:bookmarkStart w:id="2" w:name="_Toc154458218"/>
      <w:r>
        <w:rPr>
          <w:rFonts w:hint="eastAsia" w:ascii="黑体" w:hAnsi="黑体" w:eastAsia="黑体" w:cs="黑体"/>
          <w:b/>
          <w:color w:val="auto"/>
          <w:kern w:val="44"/>
          <w:sz w:val="32"/>
          <w:szCs w:val="32"/>
          <w:highlight w:val="none"/>
        </w:rPr>
        <w:br w:type="page"/>
      </w:r>
      <w:r>
        <w:rPr>
          <w:rFonts w:hint="eastAsia" w:ascii="黑体" w:hAnsi="黑体" w:eastAsia="黑体" w:cs="黑体"/>
          <w:b/>
          <w:color w:val="auto"/>
          <w:kern w:val="44"/>
          <w:sz w:val="32"/>
          <w:szCs w:val="32"/>
          <w:highlight w:val="none"/>
        </w:rPr>
        <w:t>竞争性磋商公告</w:t>
      </w:r>
      <w:bookmarkEnd w:id="0"/>
      <w:bookmarkEnd w:id="1"/>
      <w:bookmarkEnd w:id="2"/>
    </w:p>
    <w:p w14:paraId="2A5B137C">
      <w:pPr>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德清佳平工程管理有限公司</w:t>
      </w:r>
      <w:r>
        <w:rPr>
          <w:rFonts w:hint="eastAsia" w:ascii="黑体" w:hAnsi="黑体" w:eastAsia="黑体" w:cs="黑体"/>
          <w:color w:val="auto"/>
          <w:sz w:val="24"/>
          <w:szCs w:val="24"/>
          <w:highlight w:val="none"/>
        </w:rPr>
        <w:t>受</w:t>
      </w:r>
      <w:r>
        <w:rPr>
          <w:rFonts w:hint="eastAsia" w:ascii="黑体" w:hAnsi="黑体" w:eastAsia="黑体" w:cs="黑体"/>
          <w:b/>
          <w:bCs/>
          <w:color w:val="auto"/>
          <w:sz w:val="24"/>
          <w:szCs w:val="24"/>
          <w:highlight w:val="none"/>
          <w:lang w:eastAsia="zh-CN"/>
        </w:rPr>
        <w:t>德清县乾元镇人民政府</w:t>
      </w:r>
      <w:r>
        <w:rPr>
          <w:rFonts w:hint="eastAsia" w:ascii="黑体" w:hAnsi="黑体" w:eastAsia="黑体" w:cs="黑体"/>
          <w:color w:val="auto"/>
          <w:sz w:val="24"/>
          <w:szCs w:val="24"/>
          <w:highlight w:val="none"/>
        </w:rPr>
        <w:t>的委托，就其所需的</w:t>
      </w:r>
      <w:r>
        <w:rPr>
          <w:rFonts w:hint="eastAsia" w:ascii="黑体" w:hAnsi="黑体" w:eastAsia="黑体" w:cs="黑体"/>
          <w:b/>
          <w:bCs/>
          <w:color w:val="auto"/>
          <w:sz w:val="24"/>
          <w:szCs w:val="24"/>
          <w:highlight w:val="none"/>
          <w:lang w:eastAsia="zh-CN"/>
        </w:rPr>
        <w:t>乾元镇镇区绿化养护项目</w:t>
      </w:r>
      <w:r>
        <w:rPr>
          <w:rFonts w:hint="eastAsia" w:ascii="黑体" w:hAnsi="黑体" w:eastAsia="黑体" w:cs="黑体"/>
          <w:color w:val="auto"/>
          <w:sz w:val="24"/>
          <w:szCs w:val="24"/>
          <w:highlight w:val="none"/>
        </w:rPr>
        <w:t>组织竞争性磋商采购。欢迎符合资格要求，能提供优质售后服务的国内供应商参加磋商。</w:t>
      </w:r>
    </w:p>
    <w:p w14:paraId="03073BBD">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sz w:val="24"/>
          <w:szCs w:val="24"/>
          <w:highlight w:val="none"/>
        </w:rPr>
        <w:t>一、采购项目的名称、内容、用途：</w:t>
      </w:r>
    </w:p>
    <w:p w14:paraId="478B8445">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bCs/>
          <w:color w:val="auto"/>
          <w:kern w:val="0"/>
          <w:sz w:val="24"/>
          <w:szCs w:val="24"/>
          <w:highlight w:val="none"/>
          <w:lang w:eastAsia="zh-CN"/>
        </w:rPr>
      </w:pPr>
      <w:r>
        <w:rPr>
          <w:rFonts w:hint="eastAsia" w:ascii="黑体" w:hAnsi="黑体" w:eastAsia="黑体" w:cs="黑体"/>
          <w:bCs/>
          <w:color w:val="auto"/>
          <w:kern w:val="0"/>
          <w:sz w:val="24"/>
          <w:szCs w:val="24"/>
          <w:highlight w:val="none"/>
        </w:rPr>
        <w:t>1.项目名称：</w:t>
      </w:r>
      <w:r>
        <w:rPr>
          <w:rFonts w:hint="eastAsia" w:ascii="黑体" w:hAnsi="黑体" w:eastAsia="黑体" w:cs="黑体"/>
          <w:color w:val="auto"/>
          <w:sz w:val="24"/>
          <w:szCs w:val="24"/>
          <w:highlight w:val="none"/>
          <w:lang w:eastAsia="zh-CN"/>
        </w:rPr>
        <w:t>乾元镇镇区绿化养护项目</w:t>
      </w:r>
    </w:p>
    <w:p w14:paraId="4E5E3744">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2.采购方式：竞争性磋商</w:t>
      </w:r>
    </w:p>
    <w:p w14:paraId="0F7B0146">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bCs/>
          <w:color w:val="auto"/>
          <w:kern w:val="0"/>
          <w:sz w:val="24"/>
          <w:szCs w:val="24"/>
          <w:highlight w:val="none"/>
          <w:lang w:eastAsia="zh-CN"/>
        </w:rPr>
      </w:pPr>
      <w:r>
        <w:rPr>
          <w:rFonts w:hint="eastAsia" w:ascii="黑体" w:hAnsi="黑体" w:eastAsia="黑体" w:cs="黑体"/>
          <w:bCs/>
          <w:color w:val="auto"/>
          <w:kern w:val="0"/>
          <w:sz w:val="24"/>
          <w:szCs w:val="24"/>
          <w:highlight w:val="none"/>
        </w:rPr>
        <w:t>3.采购编号</w:t>
      </w:r>
      <w:r>
        <w:rPr>
          <w:rFonts w:hint="eastAsia" w:ascii="黑体" w:hAnsi="黑体" w:eastAsia="黑体" w:cs="黑体"/>
          <w:bCs/>
          <w:color w:val="auto"/>
          <w:kern w:val="0"/>
          <w:sz w:val="24"/>
          <w:szCs w:val="24"/>
          <w:highlight w:val="none"/>
        </w:rPr>
        <w:t>：</w:t>
      </w:r>
      <w:r>
        <w:rPr>
          <w:rFonts w:hint="eastAsia" w:ascii="黑体" w:hAnsi="黑体" w:eastAsia="黑体" w:cs="黑体"/>
          <w:bCs/>
          <w:color w:val="auto"/>
          <w:kern w:val="0"/>
          <w:sz w:val="24"/>
          <w:szCs w:val="24"/>
          <w:highlight w:val="none"/>
          <w:lang w:eastAsia="zh-CN"/>
        </w:rPr>
        <w:t>DQJPZF-2025-JC01</w:t>
      </w:r>
    </w:p>
    <w:p w14:paraId="7CEC9E89">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4.项目内容：</w:t>
      </w:r>
    </w:p>
    <w:tbl>
      <w:tblPr>
        <w:tblStyle w:val="62"/>
        <w:tblW w:w="955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715"/>
        <w:gridCol w:w="1965"/>
        <w:gridCol w:w="1995"/>
        <w:gridCol w:w="966"/>
      </w:tblGrid>
      <w:tr w14:paraId="67C0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7" w:type="dxa"/>
            <w:vAlign w:val="center"/>
          </w:tcPr>
          <w:p w14:paraId="1C8AF23F">
            <w:pPr>
              <w:keepNext w:val="0"/>
              <w:keepLines w:val="0"/>
              <w:pageBreakBefore w:val="0"/>
              <w:widowControl/>
              <w:kinsoku/>
              <w:overflowPunct/>
              <w:topLinePunct w:val="0"/>
              <w:autoSpaceDE/>
              <w:autoSpaceDN/>
              <w:bidi w:val="0"/>
              <w:adjustRightInd/>
              <w:spacing w:line="36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序号</w:t>
            </w:r>
          </w:p>
        </w:tc>
        <w:tc>
          <w:tcPr>
            <w:tcW w:w="3715" w:type="dxa"/>
            <w:vAlign w:val="center"/>
          </w:tcPr>
          <w:p w14:paraId="197C13C3">
            <w:pPr>
              <w:keepNext w:val="0"/>
              <w:keepLines w:val="0"/>
              <w:pageBreakBefore w:val="0"/>
              <w:widowControl/>
              <w:kinsoku/>
              <w:overflowPunct/>
              <w:topLinePunct w:val="0"/>
              <w:autoSpaceDE/>
              <w:autoSpaceDN/>
              <w:bidi w:val="0"/>
              <w:adjustRightInd/>
              <w:spacing w:line="36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采购内容</w:t>
            </w:r>
          </w:p>
        </w:tc>
        <w:tc>
          <w:tcPr>
            <w:tcW w:w="1965" w:type="dxa"/>
            <w:vAlign w:val="center"/>
          </w:tcPr>
          <w:p w14:paraId="480ECE25">
            <w:pPr>
              <w:keepNext w:val="0"/>
              <w:keepLines w:val="0"/>
              <w:pageBreakBefore w:val="0"/>
              <w:widowControl/>
              <w:kinsoku/>
              <w:overflowPunct/>
              <w:topLinePunct w:val="0"/>
              <w:autoSpaceDE/>
              <w:autoSpaceDN/>
              <w:bidi w:val="0"/>
              <w:adjustRightInd/>
              <w:spacing w:line="36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服务期</w:t>
            </w:r>
          </w:p>
        </w:tc>
        <w:tc>
          <w:tcPr>
            <w:tcW w:w="1995" w:type="dxa"/>
            <w:vAlign w:val="center"/>
          </w:tcPr>
          <w:p w14:paraId="7B074505">
            <w:pPr>
              <w:keepNext w:val="0"/>
              <w:keepLines w:val="0"/>
              <w:pageBreakBefore w:val="0"/>
              <w:widowControl/>
              <w:kinsoku/>
              <w:overflowPunct/>
              <w:topLinePunct w:val="0"/>
              <w:autoSpaceDE/>
              <w:autoSpaceDN/>
              <w:bidi w:val="0"/>
              <w:adjustRightInd/>
              <w:spacing w:line="36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预算金额</w:t>
            </w:r>
          </w:p>
        </w:tc>
        <w:tc>
          <w:tcPr>
            <w:tcW w:w="966" w:type="dxa"/>
            <w:vAlign w:val="center"/>
          </w:tcPr>
          <w:p w14:paraId="60EFBA04">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备注</w:t>
            </w:r>
          </w:p>
        </w:tc>
      </w:tr>
      <w:tr w14:paraId="1AD0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17" w:type="dxa"/>
            <w:vAlign w:val="center"/>
          </w:tcPr>
          <w:p w14:paraId="4CBA5E5E">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w:t>
            </w:r>
          </w:p>
        </w:tc>
        <w:tc>
          <w:tcPr>
            <w:tcW w:w="3715" w:type="dxa"/>
            <w:vAlign w:val="center"/>
          </w:tcPr>
          <w:p w14:paraId="24C30A73">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b/>
                <w:color w:val="auto"/>
                <w:sz w:val="24"/>
                <w:szCs w:val="24"/>
                <w:highlight w:val="none"/>
                <w:lang w:eastAsia="zh-CN"/>
              </w:rPr>
            </w:pPr>
            <w:r>
              <w:rPr>
                <w:rFonts w:hint="eastAsia" w:ascii="黑体" w:hAnsi="黑体" w:eastAsia="黑体" w:cs="黑体"/>
                <w:b/>
                <w:bCs/>
                <w:color w:val="auto"/>
                <w:sz w:val="24"/>
                <w:szCs w:val="24"/>
                <w:highlight w:val="none"/>
                <w:lang w:eastAsia="zh-CN"/>
              </w:rPr>
              <w:t>乾元镇镇区绿化养护项目</w:t>
            </w:r>
          </w:p>
        </w:tc>
        <w:tc>
          <w:tcPr>
            <w:tcW w:w="1965" w:type="dxa"/>
            <w:vAlign w:val="center"/>
          </w:tcPr>
          <w:p w14:paraId="6974B07F">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年</w:t>
            </w:r>
          </w:p>
        </w:tc>
        <w:tc>
          <w:tcPr>
            <w:tcW w:w="1995" w:type="dxa"/>
            <w:vAlign w:val="center"/>
          </w:tcPr>
          <w:p w14:paraId="3CA3E65B">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1200124.73元</w:t>
            </w:r>
          </w:p>
        </w:tc>
        <w:tc>
          <w:tcPr>
            <w:tcW w:w="966" w:type="dxa"/>
            <w:vAlign w:val="center"/>
          </w:tcPr>
          <w:p w14:paraId="76C91250">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color w:val="auto"/>
                <w:sz w:val="24"/>
                <w:szCs w:val="24"/>
                <w:highlight w:val="none"/>
              </w:rPr>
            </w:pPr>
          </w:p>
        </w:tc>
      </w:tr>
    </w:tbl>
    <w:p w14:paraId="4B8EDCB6">
      <w:pPr>
        <w:keepNext w:val="0"/>
        <w:keepLines w:val="0"/>
        <w:pageBreakBefore w:val="0"/>
        <w:widowControl/>
        <w:kinsoku/>
        <w:overflowPunct/>
        <w:topLinePunct w:val="0"/>
        <w:autoSpaceDE/>
        <w:autoSpaceDN/>
        <w:bidi w:val="0"/>
        <w:adjustRightInd/>
        <w:spacing w:line="360" w:lineRule="exact"/>
        <w:textAlignment w:val="auto"/>
        <w:rPr>
          <w:rFonts w:hint="eastAsia" w:ascii="黑体" w:hAnsi="黑体" w:eastAsia="黑体" w:cs="黑体"/>
          <w:b/>
          <w:bCs/>
          <w:color w:val="auto"/>
          <w:sz w:val="24"/>
          <w:szCs w:val="24"/>
          <w:highlight w:val="none"/>
        </w:rPr>
      </w:pPr>
      <w:r>
        <w:rPr>
          <w:rFonts w:hint="eastAsia" w:ascii="黑体" w:hAnsi="黑体" w:eastAsia="黑体" w:cs="黑体"/>
          <w:b/>
          <w:color w:val="auto"/>
          <w:kern w:val="0"/>
          <w:sz w:val="24"/>
          <w:szCs w:val="24"/>
          <w:highlight w:val="none"/>
        </w:rPr>
        <w:t>详见第三章   采购内容及技术要求</w:t>
      </w:r>
    </w:p>
    <w:p w14:paraId="42B60609">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二、供应商资格要求：</w:t>
      </w:r>
    </w:p>
    <w:p w14:paraId="5C1271E4">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A.符合《中华人民共和国政府采购法》第二十二条的要求、财库【2016】125号《关于在政府采购活动中查询及使用信用记录有关问题的通知》；</w:t>
      </w:r>
    </w:p>
    <w:p w14:paraId="4AA823E0">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B.</w:t>
      </w:r>
      <w:r>
        <w:rPr>
          <w:rFonts w:hint="eastAsia" w:ascii="黑体" w:hAnsi="黑体" w:eastAsia="黑体" w:cs="黑体"/>
          <w:color w:val="auto"/>
          <w:sz w:val="24"/>
          <w:szCs w:val="24"/>
          <w:highlight w:val="none"/>
        </w:rPr>
        <w:t>拟磋商响应方必须是在中华人民共和国境内注册，且能提供本项目所要求服务内容的供应商；（银行、保险、石油石化、电力、电信等特殊行业可以总公司所设立的区域性分支机构参与投标，但必须获得总公司（总机构）授权或其他有效财产证明材料）</w:t>
      </w:r>
      <w:r>
        <w:rPr>
          <w:rFonts w:hint="eastAsia" w:ascii="黑体" w:hAnsi="黑体" w:eastAsia="黑体" w:cs="黑体"/>
          <w:color w:val="auto"/>
          <w:sz w:val="24"/>
          <w:szCs w:val="24"/>
          <w:highlight w:val="none"/>
        </w:rPr>
        <w:t>；</w:t>
      </w:r>
    </w:p>
    <w:p w14:paraId="2F751F5E">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C.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58E2D224">
      <w:pPr>
        <w:keepNext w:val="0"/>
        <w:keepLines w:val="0"/>
        <w:pageBreakBefore w:val="0"/>
        <w:widowControl/>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lang w:val="zh-CN"/>
        </w:rPr>
      </w:pPr>
      <w:r>
        <w:rPr>
          <w:rFonts w:hint="eastAsia" w:ascii="黑体" w:hAnsi="黑体" w:eastAsia="黑体" w:cs="黑体"/>
          <w:color w:val="auto"/>
          <w:sz w:val="24"/>
          <w:highlight w:val="none"/>
          <w:shd w:val="clear" w:color="auto" w:fill="FFFFFF"/>
          <w:lang w:val="en-US" w:eastAsia="zh-CN"/>
        </w:rPr>
        <w:t>D.本项目不接受联合体投标</w:t>
      </w:r>
    </w:p>
    <w:p w14:paraId="3B412E91">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三、项目报名方式，采购文件公告期限，采购文件依法获取方式及时间:</w:t>
      </w:r>
    </w:p>
    <w:p w14:paraId="4EA44D36">
      <w:pPr>
        <w:keepNext w:val="0"/>
        <w:keepLines w:val="0"/>
        <w:pageBreakBefore w:val="0"/>
        <w:widowControl/>
        <w:kinsoku/>
        <w:overflowPunct/>
        <w:topLinePunct w:val="0"/>
        <w:autoSpaceDE/>
        <w:autoSpaceDN/>
        <w:bidi w:val="0"/>
        <w:adjustRightInd/>
        <w:spacing w:line="360" w:lineRule="exact"/>
        <w:ind w:firstLine="542" w:firstLineChars="225"/>
        <w:jc w:val="left"/>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1.本项目报名方式只接受浙江省政府采购网（政采云平台）网上报名，不接受供应商现场报名，供应商须在浙江省政府采购网（政采云平台）注册</w:t>
      </w:r>
      <w:bookmarkStart w:id="11" w:name="_GoBack"/>
      <w:bookmarkEnd w:id="11"/>
      <w:r>
        <w:rPr>
          <w:rFonts w:hint="eastAsia" w:ascii="黑体" w:hAnsi="黑体" w:eastAsia="黑体" w:cs="黑体"/>
          <w:b/>
          <w:color w:val="auto"/>
          <w:sz w:val="24"/>
          <w:szCs w:val="24"/>
          <w:highlight w:val="none"/>
        </w:rPr>
        <w:t>成为浙江省政府采购供应商方可进行网上报名；</w:t>
      </w:r>
    </w:p>
    <w:p w14:paraId="1032F6F9">
      <w:pPr>
        <w:keepNext w:val="0"/>
        <w:keepLines w:val="0"/>
        <w:pageBreakBefore w:val="0"/>
        <w:widowControl/>
        <w:kinsoku/>
        <w:overflowPunct/>
        <w:topLinePunct w:val="0"/>
        <w:autoSpaceDE/>
        <w:autoSpaceDN/>
        <w:bidi w:val="0"/>
        <w:adjustRightInd/>
        <w:spacing w:line="360" w:lineRule="exact"/>
        <w:ind w:firstLine="540" w:firstLineChars="225"/>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2.本项目采购文件公告期限</w:t>
      </w:r>
      <w:r>
        <w:rPr>
          <w:rFonts w:hint="eastAsia" w:ascii="黑体" w:hAnsi="黑体" w:eastAsia="黑体" w:cs="黑体"/>
          <w:color w:val="auto"/>
          <w:sz w:val="24"/>
          <w:szCs w:val="24"/>
          <w:highlight w:val="none"/>
        </w:rPr>
        <w:t>：</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至202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w:t>
      </w:r>
      <w:r>
        <w:rPr>
          <w:rFonts w:hint="eastAsia" w:ascii="黑体" w:hAnsi="黑体" w:eastAsia="黑体" w:cs="黑体"/>
          <w:b/>
          <w:bCs/>
          <w:color w:val="auto"/>
          <w:sz w:val="24"/>
          <w:szCs w:val="24"/>
          <w:highlight w:val="none"/>
          <w:lang w:val="en-US" w:eastAsia="zh-CN"/>
        </w:rPr>
        <w:t>15</w:t>
      </w:r>
      <w:r>
        <w:rPr>
          <w:rFonts w:hint="eastAsia" w:ascii="黑体" w:hAnsi="黑体" w:eastAsia="黑体" w:cs="黑体"/>
          <w:b/>
          <w:bCs/>
          <w:color w:val="auto"/>
          <w:sz w:val="24"/>
          <w:szCs w:val="24"/>
          <w:highlight w:val="none"/>
        </w:rPr>
        <w:t>(</w:t>
      </w:r>
      <w:r>
        <w:rPr>
          <w:rFonts w:hint="eastAsia" w:ascii="黑体" w:hAnsi="黑体" w:eastAsia="黑体" w:cs="黑体"/>
          <w:b/>
          <w:color w:val="auto"/>
          <w:sz w:val="24"/>
          <w:szCs w:val="24"/>
          <w:highlight w:val="none"/>
        </w:rPr>
        <w:t>采购文件公告期限届满后允许潜在供应商网上报名并依法获取采购文件, 供应商未按规定时间要求提出质疑的，则视同认可采购文件，但法律法规及规范性文件有明确规定的除外)</w:t>
      </w:r>
    </w:p>
    <w:p w14:paraId="0E396695">
      <w:pPr>
        <w:keepNext w:val="0"/>
        <w:keepLines w:val="0"/>
        <w:pageBreakBefore w:val="0"/>
        <w:widowControl/>
        <w:kinsoku/>
        <w:overflowPunct/>
        <w:topLinePunct w:val="0"/>
        <w:autoSpaceDE/>
        <w:autoSpaceDN/>
        <w:bidi w:val="0"/>
        <w:adjustRightInd/>
        <w:spacing w:line="360" w:lineRule="exact"/>
        <w:ind w:firstLine="542" w:firstLineChars="225"/>
        <w:jc w:val="left"/>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3.采购公告附件中的采购文件仅供阅览使用，供应商网上报名成功后可依法获取（下载）采购文件。</w:t>
      </w:r>
    </w:p>
    <w:p w14:paraId="4B21177A">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四、磋商答疑时间及现场勘查事项：</w:t>
      </w:r>
    </w:p>
    <w:p w14:paraId="4F8E89BF">
      <w:pPr>
        <w:keepNext w:val="0"/>
        <w:keepLines w:val="0"/>
        <w:pageBreakBefore w:val="0"/>
        <w:widowControl/>
        <w:kinsoku/>
        <w:overflowPunct/>
        <w:topLinePunct w:val="0"/>
        <w:autoSpaceDE/>
        <w:autoSpaceDN/>
        <w:bidi w:val="0"/>
        <w:adjustRightInd/>
        <w:spacing w:line="360" w:lineRule="exact"/>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1、任何要求澄清或质疑采购文件内容的磋商响应方，均应在</w:t>
      </w:r>
      <w:r>
        <w:rPr>
          <w:rFonts w:hint="eastAsia" w:ascii="黑体" w:hAnsi="黑体" w:eastAsia="黑体" w:cs="黑体"/>
          <w:color w:val="auto"/>
          <w:sz w:val="24"/>
          <w:szCs w:val="24"/>
          <w:highlight w:val="none"/>
          <w:lang w:eastAsia="zh-CN"/>
        </w:rPr>
        <w:t>2025年</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20</w:t>
      </w:r>
      <w:r>
        <w:rPr>
          <w:rFonts w:hint="eastAsia" w:ascii="黑体" w:hAnsi="黑体" w:eastAsia="黑体" w:cs="黑体"/>
          <w:color w:val="auto"/>
          <w:sz w:val="24"/>
          <w:szCs w:val="24"/>
          <w:highlight w:val="none"/>
        </w:rPr>
        <w:t>日</w:t>
      </w:r>
      <w:r>
        <w:rPr>
          <w:rFonts w:hint="eastAsia" w:ascii="黑体" w:hAnsi="黑体" w:eastAsia="黑体" w:cs="黑体"/>
          <w:color w:val="auto"/>
          <w:sz w:val="24"/>
          <w:szCs w:val="24"/>
          <w:highlight w:val="none"/>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2A4749D7">
      <w:pPr>
        <w:keepNext w:val="0"/>
        <w:keepLines w:val="0"/>
        <w:pageBreakBefore w:val="0"/>
        <w:widowControl/>
        <w:kinsoku/>
        <w:overflowPunct/>
        <w:topLinePunct w:val="0"/>
        <w:autoSpaceDE/>
        <w:autoSpaceDN/>
        <w:bidi w:val="0"/>
        <w:adjustRightInd/>
        <w:spacing w:line="360" w:lineRule="exact"/>
        <w:ind w:left="42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2、本项目建议供应商报名完成后自行联系采购人进行现场考察,不进行集中考察。</w:t>
      </w:r>
    </w:p>
    <w:p w14:paraId="0BE894B3">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五</w:t>
      </w:r>
      <w:r>
        <w:rPr>
          <w:rFonts w:hint="eastAsia" w:ascii="黑体" w:hAnsi="黑体" w:eastAsia="黑体" w:cs="黑体"/>
          <w:b/>
          <w:bCs/>
          <w:color w:val="auto"/>
          <w:sz w:val="24"/>
          <w:szCs w:val="24"/>
          <w:highlight w:val="none"/>
        </w:rPr>
        <w:t>、磋商的时间及地点：</w:t>
      </w:r>
    </w:p>
    <w:p w14:paraId="749D5776">
      <w:pPr>
        <w:keepNext w:val="0"/>
        <w:keepLines w:val="0"/>
        <w:pageBreakBefore w:val="0"/>
        <w:widowControl/>
        <w:kinsoku/>
        <w:overflowPunct/>
        <w:topLinePunct w:val="0"/>
        <w:autoSpaceDE/>
        <w:autoSpaceDN/>
        <w:bidi w:val="0"/>
        <w:adjustRightInd/>
        <w:spacing w:line="360" w:lineRule="exact"/>
        <w:ind w:left="42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1.递交采购响应电子备份文件时间</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2025年</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日，9:00～9:30（北京时间）；</w:t>
      </w:r>
    </w:p>
    <w:p w14:paraId="53315229">
      <w:pPr>
        <w:keepNext w:val="0"/>
        <w:keepLines w:val="0"/>
        <w:pageBreakBefore w:val="0"/>
        <w:widowControl/>
        <w:kinsoku/>
        <w:overflowPunct/>
        <w:topLinePunct w:val="0"/>
        <w:autoSpaceDE/>
        <w:autoSpaceDN/>
        <w:bidi w:val="0"/>
        <w:adjustRightInd/>
        <w:spacing w:line="360" w:lineRule="exact"/>
        <w:ind w:left="42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2.采购响应电子备份文件递交截止时间：</w:t>
      </w:r>
      <w:r>
        <w:rPr>
          <w:rFonts w:hint="eastAsia" w:ascii="黑体" w:hAnsi="黑体" w:eastAsia="黑体" w:cs="黑体"/>
          <w:color w:val="auto"/>
          <w:sz w:val="24"/>
          <w:szCs w:val="24"/>
          <w:highlight w:val="none"/>
          <w:lang w:eastAsia="zh-CN"/>
        </w:rPr>
        <w:t>2025年</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日，9:30止（北京时间）；</w:t>
      </w:r>
    </w:p>
    <w:p w14:paraId="2629D852">
      <w:pPr>
        <w:keepNext w:val="0"/>
        <w:keepLines w:val="0"/>
        <w:pageBreakBefore w:val="0"/>
        <w:widowControl/>
        <w:kinsoku/>
        <w:overflowPunct/>
        <w:topLinePunct w:val="0"/>
        <w:autoSpaceDE/>
        <w:autoSpaceDN/>
        <w:bidi w:val="0"/>
        <w:adjustRightInd/>
        <w:spacing w:line="360" w:lineRule="exact"/>
        <w:ind w:left="42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3.磋商时间：</w:t>
      </w:r>
      <w:r>
        <w:rPr>
          <w:rFonts w:hint="eastAsia" w:ascii="黑体" w:hAnsi="黑体" w:eastAsia="黑体" w:cs="黑体"/>
          <w:color w:val="auto"/>
          <w:sz w:val="24"/>
          <w:szCs w:val="24"/>
          <w:highlight w:val="none"/>
          <w:lang w:eastAsia="zh-CN"/>
        </w:rPr>
        <w:t>2025年</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21日</w:t>
      </w:r>
      <w:r>
        <w:rPr>
          <w:rFonts w:hint="eastAsia" w:ascii="黑体" w:hAnsi="黑体" w:eastAsia="黑体" w:cs="黑体"/>
          <w:color w:val="auto"/>
          <w:sz w:val="24"/>
          <w:szCs w:val="24"/>
          <w:highlight w:val="none"/>
        </w:rPr>
        <w:t>，9:30正（北京时间）；</w:t>
      </w:r>
    </w:p>
    <w:p w14:paraId="2E5C8B12">
      <w:pPr>
        <w:keepNext w:val="0"/>
        <w:keepLines w:val="0"/>
        <w:pageBreakBefore w:val="0"/>
        <w:widowControl/>
        <w:kinsoku/>
        <w:overflowPunct/>
        <w:topLinePunct w:val="0"/>
        <w:autoSpaceDE/>
        <w:autoSpaceDN/>
        <w:bidi w:val="0"/>
        <w:adjustRightInd/>
        <w:spacing w:line="360" w:lineRule="exact"/>
        <w:ind w:left="479" w:leftChars="228"/>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4.采购响应文件递交及磋商地点：德清县武康街道永安街169号公共资源交易中心二楼</w:t>
      </w:r>
      <w:r>
        <w:rPr>
          <w:rFonts w:hint="eastAsia" w:ascii="黑体" w:hAnsi="黑体" w:eastAsia="黑体" w:cs="黑体"/>
          <w:color w:val="auto"/>
          <w:sz w:val="24"/>
          <w:szCs w:val="24"/>
          <w:highlight w:val="none"/>
          <w:lang w:eastAsia="zh-CN"/>
        </w:rPr>
        <w:t>203开标室</w:t>
      </w:r>
      <w:r>
        <w:rPr>
          <w:rFonts w:hint="eastAsia" w:ascii="黑体" w:hAnsi="黑体" w:eastAsia="黑体" w:cs="黑体"/>
          <w:color w:val="auto"/>
          <w:sz w:val="24"/>
          <w:szCs w:val="24"/>
          <w:highlight w:val="none"/>
        </w:rPr>
        <w:t>；</w:t>
      </w:r>
    </w:p>
    <w:p w14:paraId="2F4FFDBE">
      <w:pPr>
        <w:keepNext w:val="0"/>
        <w:keepLines w:val="0"/>
        <w:pageBreakBefore w:val="0"/>
        <w:widowControl/>
        <w:kinsoku/>
        <w:overflowPunct/>
        <w:topLinePunct w:val="0"/>
        <w:autoSpaceDE/>
        <w:autoSpaceDN/>
        <w:bidi w:val="0"/>
        <w:adjustRightInd/>
        <w:spacing w:line="360" w:lineRule="exact"/>
        <w:ind w:firstLine="482" w:firstLineChars="200"/>
        <w:jc w:val="left"/>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5.供应商报名成功并获取采购文件后，不得无故放弃磋商，确有特殊情况不能参加磋商的，应在磋商截止时间2天前以书面形式陈述原因，以（信函、传真加盖磋商单位公章）等方式通知本代理机构，如在规定期内未收到磋商响应方书面函件，则视为磋商响应方同意参加磋商。</w:t>
      </w:r>
    </w:p>
    <w:p w14:paraId="2AC63173">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lang w:val="en-US" w:eastAsia="zh-CN"/>
        </w:rPr>
        <w:t>六</w:t>
      </w:r>
      <w:r>
        <w:rPr>
          <w:rFonts w:hint="eastAsia" w:ascii="黑体" w:hAnsi="黑体" w:eastAsia="黑体" w:cs="黑体"/>
          <w:b/>
          <w:bCs/>
          <w:color w:val="auto"/>
          <w:sz w:val="24"/>
          <w:szCs w:val="24"/>
          <w:highlight w:val="none"/>
        </w:rPr>
        <w:t>、磋商保证金：本项目不需要缴纳磋商保证金。</w:t>
      </w:r>
    </w:p>
    <w:p w14:paraId="1063D0F0">
      <w:pPr>
        <w:keepNext w:val="0"/>
        <w:keepLines w:val="0"/>
        <w:pageBreakBefore w:val="0"/>
        <w:widowControl/>
        <w:kinsoku/>
        <w:overflowPunct/>
        <w:topLinePunct w:val="0"/>
        <w:autoSpaceDE/>
        <w:autoSpaceDN/>
        <w:bidi w:val="0"/>
        <w:adjustRightInd/>
        <w:spacing w:line="360" w:lineRule="exact"/>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七</w:t>
      </w:r>
      <w:r>
        <w:rPr>
          <w:rFonts w:hint="eastAsia" w:ascii="黑体" w:hAnsi="黑体" w:eastAsia="黑体" w:cs="黑体"/>
          <w:b/>
          <w:bCs/>
          <w:color w:val="auto"/>
          <w:sz w:val="24"/>
          <w:szCs w:val="24"/>
          <w:highlight w:val="none"/>
        </w:rPr>
        <w:t>、竞标说明</w:t>
      </w:r>
    </w:p>
    <w:p w14:paraId="60533797">
      <w:pPr>
        <w:keepNext w:val="0"/>
        <w:keepLines w:val="0"/>
        <w:pageBreakBefore w:val="0"/>
        <w:widowControl/>
        <w:kinsoku/>
        <w:overflowPunct/>
        <w:topLinePunct w:val="0"/>
        <w:autoSpaceDE/>
        <w:autoSpaceDN/>
        <w:bidi w:val="0"/>
        <w:adjustRightInd/>
        <w:spacing w:line="360" w:lineRule="exact"/>
        <w:ind w:left="142" w:firstLine="280" w:firstLineChars="117"/>
        <w:jc w:val="lef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1、本项目实行电子竞标，应按照本项目采购文件和政采云平台的要求编制、加密并递交磋商响应文件。供应商在使用系统进行竞标的过程中遇到涉及平台使用的任何问题，可致电政采云平台技术支持热线咨询，联系方式：95763。</w:t>
      </w:r>
    </w:p>
    <w:p w14:paraId="738882BB">
      <w:pPr>
        <w:keepNext w:val="0"/>
        <w:keepLines w:val="0"/>
        <w:pageBreakBefore w:val="0"/>
        <w:widowControl/>
        <w:kinsoku/>
        <w:overflowPunct/>
        <w:topLinePunct w:val="0"/>
        <w:autoSpaceDE/>
        <w:autoSpaceDN/>
        <w:bidi w:val="0"/>
        <w:adjustRightInd/>
        <w:spacing w:line="360" w:lineRule="exact"/>
        <w:ind w:left="142" w:firstLine="280" w:firstLineChars="117"/>
        <w:jc w:val="lef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2、供应商应在提交磋商响应文件前完成CA数字证书办理。（办理流程详见</w:t>
      </w:r>
      <w:r>
        <w:rPr>
          <w:rFonts w:hint="eastAsia" w:ascii="黑体" w:hAnsi="黑体" w:eastAsia="黑体" w:cs="黑体"/>
          <w:b w:val="0"/>
          <w:bCs w:val="0"/>
          <w:color w:val="auto"/>
          <w:sz w:val="24"/>
          <w:szCs w:val="24"/>
          <w:highlight w:val="none"/>
        </w:rPr>
        <w:fldChar w:fldCharType="begin"/>
      </w:r>
      <w:r>
        <w:rPr>
          <w:rFonts w:hint="eastAsia" w:ascii="黑体" w:hAnsi="黑体" w:eastAsia="黑体" w:cs="黑体"/>
          <w:b w:val="0"/>
          <w:bCs w:val="0"/>
          <w:color w:val="auto"/>
          <w:sz w:val="24"/>
          <w:szCs w:val="24"/>
          <w:highlight w:val="none"/>
        </w:rPr>
        <w:instrText xml:space="preserve"> HYPERLINK "http://www.zjzfcg.gov.cn/bidClientTemplate/2019-05-27/12945.html" </w:instrText>
      </w:r>
      <w:r>
        <w:rPr>
          <w:rFonts w:hint="eastAsia" w:ascii="黑体" w:hAnsi="黑体" w:eastAsia="黑体" w:cs="黑体"/>
          <w:b w:val="0"/>
          <w:bCs w:val="0"/>
          <w:color w:val="auto"/>
          <w:sz w:val="24"/>
          <w:szCs w:val="24"/>
          <w:highlight w:val="none"/>
        </w:rPr>
        <w:fldChar w:fldCharType="separate"/>
      </w:r>
      <w:r>
        <w:rPr>
          <w:rFonts w:hint="eastAsia" w:ascii="黑体" w:hAnsi="黑体" w:eastAsia="黑体" w:cs="黑体"/>
          <w:b w:val="0"/>
          <w:bCs w:val="0"/>
          <w:color w:val="auto"/>
          <w:sz w:val="24"/>
          <w:szCs w:val="24"/>
          <w:highlight w:val="none"/>
        </w:rPr>
        <w:t>http://www.zjzfcg.gov.cn/bidClientTemplate/2019-05</w:t>
      </w:r>
      <w:bookmarkStart w:id="3" w:name="_Hlt12345973"/>
      <w:bookmarkStart w:id="4" w:name="_Hlt12345974"/>
      <w:r>
        <w:rPr>
          <w:rFonts w:hint="eastAsia" w:ascii="黑体" w:hAnsi="黑体" w:eastAsia="黑体" w:cs="黑体"/>
          <w:b w:val="0"/>
          <w:bCs w:val="0"/>
          <w:color w:val="auto"/>
          <w:sz w:val="24"/>
          <w:szCs w:val="24"/>
          <w:highlight w:val="none"/>
        </w:rPr>
        <w:t>-</w:t>
      </w:r>
      <w:bookmarkEnd w:id="3"/>
      <w:bookmarkEnd w:id="4"/>
      <w:r>
        <w:rPr>
          <w:rFonts w:hint="eastAsia" w:ascii="黑体" w:hAnsi="黑体" w:eastAsia="黑体" w:cs="黑体"/>
          <w:b w:val="0"/>
          <w:bCs w:val="0"/>
          <w:color w:val="auto"/>
          <w:sz w:val="24"/>
          <w:szCs w:val="24"/>
          <w:highlight w:val="none"/>
        </w:rPr>
        <w:t>27/12945.html</w:t>
      </w:r>
      <w:r>
        <w:rPr>
          <w:rFonts w:hint="eastAsia" w:ascii="黑体" w:hAnsi="黑体" w:eastAsia="黑体" w:cs="黑体"/>
          <w:b w:val="0"/>
          <w:bCs w:val="0"/>
          <w:color w:val="auto"/>
          <w:sz w:val="24"/>
          <w:szCs w:val="24"/>
          <w:highlight w:val="none"/>
        </w:rPr>
        <w:fldChar w:fldCharType="end"/>
      </w:r>
      <w:r>
        <w:rPr>
          <w:rFonts w:hint="eastAsia" w:ascii="黑体" w:hAnsi="黑体" w:eastAsia="黑体" w:cs="黑体"/>
          <w:b w:val="0"/>
          <w:bCs w:val="0"/>
          <w:color w:val="auto"/>
          <w:sz w:val="24"/>
          <w:szCs w:val="24"/>
          <w:highlight w:val="none"/>
        </w:rPr>
        <w:t>）。完成CA数字证书办理预计一至两周，建议各供应商抓紧时间办理。</w:t>
      </w:r>
    </w:p>
    <w:p w14:paraId="570C28D5">
      <w:pPr>
        <w:keepNext w:val="0"/>
        <w:keepLines w:val="0"/>
        <w:pageBreakBefore w:val="0"/>
        <w:widowControl/>
        <w:kinsoku/>
        <w:overflowPunct/>
        <w:topLinePunct w:val="0"/>
        <w:autoSpaceDE/>
        <w:autoSpaceDN/>
        <w:bidi w:val="0"/>
        <w:adjustRightInd/>
        <w:spacing w:line="360" w:lineRule="exact"/>
        <w:ind w:left="142" w:firstLine="280" w:firstLineChars="117"/>
        <w:jc w:val="lef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3、供应商通过政采云平台电子投标工具制作磋商响应文件，电子投标工具请供应商自行前往浙江省政府采购网下载并安装，（下载网址：http://www.zjzfcg.gov.cn/bidClientTemplate/2019-09-24/12975.html），供应商电子交易操作指南详见网址：https://help.zcygov.cn/web/site_2/2018/12-28/2573.html）。</w:t>
      </w:r>
    </w:p>
    <w:p w14:paraId="0887589C">
      <w:pPr>
        <w:keepNext w:val="0"/>
        <w:keepLines w:val="0"/>
        <w:pageBreakBefore w:val="0"/>
        <w:widowControl/>
        <w:kinsoku/>
        <w:overflowPunct/>
        <w:topLinePunct w:val="0"/>
        <w:autoSpaceDE/>
        <w:autoSpaceDN/>
        <w:bidi w:val="0"/>
        <w:adjustRightInd/>
        <w:spacing w:line="360" w:lineRule="exact"/>
        <w:ind w:left="142" w:firstLine="280" w:firstLineChars="117"/>
        <w:jc w:val="lef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14:paraId="4B5F1B5C">
      <w:pPr>
        <w:keepNext w:val="0"/>
        <w:keepLines w:val="0"/>
        <w:pageBreakBefore w:val="0"/>
        <w:widowControl/>
        <w:kinsoku/>
        <w:overflowPunct/>
        <w:topLinePunct w:val="0"/>
        <w:autoSpaceDE/>
        <w:autoSpaceDN/>
        <w:bidi w:val="0"/>
        <w:adjustRightInd/>
        <w:spacing w:line="360" w:lineRule="exact"/>
        <w:ind w:left="142" w:firstLine="280" w:firstLineChars="117"/>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val="0"/>
          <w:bCs w:val="0"/>
          <w:color w:val="auto"/>
          <w:sz w:val="24"/>
          <w:szCs w:val="24"/>
          <w:highlight w:val="none"/>
        </w:rPr>
        <w:t>供应商应当在磋商响应截止时间前将备份电子磋商响应文件按要求密封送交到德清县公共资源交易中心</w:t>
      </w:r>
      <w:r>
        <w:rPr>
          <w:rFonts w:hint="eastAsia" w:ascii="黑体" w:hAnsi="黑体" w:eastAsia="黑体" w:cs="黑体"/>
          <w:b w:val="0"/>
          <w:bCs w:val="0"/>
          <w:color w:val="auto"/>
          <w:sz w:val="24"/>
          <w:szCs w:val="24"/>
          <w:highlight w:val="none"/>
          <w:lang w:eastAsia="zh-CN"/>
        </w:rPr>
        <w:t>203开标室</w:t>
      </w:r>
      <w:r>
        <w:rPr>
          <w:rFonts w:hint="eastAsia" w:ascii="黑体" w:hAnsi="黑体" w:eastAsia="黑体" w:cs="黑体"/>
          <w:b w:val="0"/>
          <w:bCs w:val="0"/>
          <w:color w:val="auto"/>
          <w:sz w:val="24"/>
          <w:szCs w:val="24"/>
          <w:highlight w:val="none"/>
        </w:rPr>
        <w:t>（德清县武康街道永安街169号二楼），如需邮寄，请在开标截止时间前24小时邮寄到</w:t>
      </w:r>
      <w:r>
        <w:rPr>
          <w:rFonts w:hint="eastAsia" w:ascii="黑体" w:hAnsi="黑体" w:eastAsia="黑体" w:cs="黑体"/>
          <w:b w:val="0"/>
          <w:bCs w:val="0"/>
          <w:color w:val="auto"/>
          <w:sz w:val="24"/>
          <w:szCs w:val="24"/>
          <w:highlight w:val="none"/>
          <w:lang w:eastAsia="zh-CN"/>
        </w:rPr>
        <w:t>德清佳平工程管理有限公司</w:t>
      </w:r>
      <w:r>
        <w:rPr>
          <w:rFonts w:hint="eastAsia" w:ascii="黑体" w:hAnsi="黑体" w:eastAsia="黑体" w:cs="黑体"/>
          <w:b w:val="0"/>
          <w:bCs w:val="0"/>
          <w:color w:val="auto"/>
          <w:sz w:val="24"/>
          <w:szCs w:val="24"/>
          <w:highlight w:val="none"/>
        </w:rPr>
        <w:t>德清分公司（德清县武康街道五里牌路70号商会大厦5楼505室），逾期送达或未按要求密封将被拒收。如供应商未在磋商响应截止时间前完成电子磋商响应文件的传输递交，其备份电子磋商响应文件无效。</w:t>
      </w:r>
    </w:p>
    <w:p w14:paraId="1AA9653A">
      <w:pPr>
        <w:keepNext w:val="0"/>
        <w:keepLines w:val="0"/>
        <w:pageBreakBefore w:val="0"/>
        <w:widowControl/>
        <w:kinsoku/>
        <w:overflowPunct/>
        <w:topLinePunct w:val="0"/>
        <w:autoSpaceDE/>
        <w:autoSpaceDN/>
        <w:bidi w:val="0"/>
        <w:adjustRightInd/>
        <w:spacing w:line="360" w:lineRule="exact"/>
        <w:ind w:left="142"/>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八</w:t>
      </w:r>
      <w:r>
        <w:rPr>
          <w:rFonts w:hint="eastAsia" w:ascii="黑体" w:hAnsi="黑体" w:eastAsia="黑体" w:cs="黑体"/>
          <w:b/>
          <w:bCs/>
          <w:color w:val="auto"/>
          <w:sz w:val="24"/>
          <w:szCs w:val="24"/>
          <w:highlight w:val="none"/>
        </w:rPr>
        <w:t>、采购人、采购代理公司的名称、地址和联系方式：</w:t>
      </w:r>
    </w:p>
    <w:p w14:paraId="6F9D1C83">
      <w:pPr>
        <w:keepNext w:val="0"/>
        <w:keepLines w:val="0"/>
        <w:pageBreakBefore w:val="0"/>
        <w:kinsoku/>
        <w:overflowPunct/>
        <w:topLinePunct w:val="0"/>
        <w:autoSpaceDE/>
        <w:autoSpaceDN/>
        <w:bidi w:val="0"/>
        <w:adjustRightInd/>
        <w:snapToGrid w:val="0"/>
        <w:spacing w:before="120" w:beforeLines="50" w:after="120" w:afterLines="50" w:line="360" w:lineRule="exact"/>
        <w:ind w:firstLine="540" w:firstLineChars="225"/>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1、采购人名称：</w:t>
      </w:r>
      <w:r>
        <w:rPr>
          <w:rFonts w:hint="eastAsia" w:ascii="黑体" w:hAnsi="黑体" w:eastAsia="黑体" w:cs="黑体"/>
          <w:color w:val="auto"/>
          <w:sz w:val="24"/>
          <w:szCs w:val="24"/>
          <w:highlight w:val="none"/>
          <w:lang w:eastAsia="zh-CN"/>
        </w:rPr>
        <w:t>德清县乾元镇人民政府</w:t>
      </w:r>
    </w:p>
    <w:p w14:paraId="795BC180">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p>
    <w:p w14:paraId="501B4BB4">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2、采购代理公司名称：</w:t>
      </w:r>
      <w:r>
        <w:rPr>
          <w:rFonts w:hint="eastAsia" w:ascii="黑体" w:hAnsi="黑体" w:eastAsia="黑体" w:cs="黑体"/>
          <w:color w:val="auto"/>
          <w:sz w:val="24"/>
          <w:szCs w:val="24"/>
          <w:highlight w:val="none"/>
          <w:lang w:eastAsia="zh-CN"/>
        </w:rPr>
        <w:t>德清佳平工程管理有限公司</w:t>
      </w:r>
    </w:p>
    <w:p w14:paraId="42340A23">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张先生</w:t>
      </w:r>
    </w:p>
    <w:p w14:paraId="6175C112">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联系电话：0572-</w:t>
      </w:r>
      <w:r>
        <w:rPr>
          <w:rFonts w:hint="eastAsia" w:ascii="黑体" w:hAnsi="黑体" w:eastAsia="黑体" w:cs="黑体"/>
          <w:color w:val="auto"/>
          <w:sz w:val="24"/>
          <w:szCs w:val="24"/>
          <w:highlight w:val="none"/>
          <w:lang w:eastAsia="zh-CN"/>
        </w:rPr>
        <w:t>8061697</w:t>
      </w:r>
    </w:p>
    <w:p w14:paraId="7D7CC001">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质疑受理人：</w:t>
      </w:r>
      <w:r>
        <w:rPr>
          <w:rFonts w:hint="eastAsia" w:ascii="黑体" w:hAnsi="黑体" w:eastAsia="黑体" w:cs="黑体"/>
          <w:color w:val="auto"/>
          <w:sz w:val="24"/>
          <w:szCs w:val="24"/>
          <w:highlight w:val="none"/>
          <w:lang w:eastAsia="zh-CN"/>
        </w:rPr>
        <w:t>杨先生</w:t>
      </w:r>
    </w:p>
    <w:p w14:paraId="35DED8DB">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质疑联系电话：0572-</w:t>
      </w:r>
      <w:r>
        <w:rPr>
          <w:rFonts w:hint="eastAsia" w:ascii="黑体" w:hAnsi="黑体" w:eastAsia="黑体" w:cs="黑体"/>
          <w:color w:val="auto"/>
          <w:sz w:val="24"/>
          <w:szCs w:val="24"/>
          <w:highlight w:val="none"/>
          <w:lang w:eastAsia="zh-CN"/>
        </w:rPr>
        <w:t>8061697</w:t>
      </w:r>
    </w:p>
    <w:p w14:paraId="41321204">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w:t>
      </w:r>
      <w:r>
        <w:rPr>
          <w:rFonts w:hint="eastAsia" w:ascii="黑体" w:hAnsi="黑体" w:eastAsia="黑体" w:cs="黑体"/>
          <w:color w:val="auto"/>
          <w:kern w:val="0"/>
          <w:sz w:val="24"/>
          <w:szCs w:val="24"/>
          <w:highlight w:val="none"/>
        </w:rPr>
        <w:t>德清县武康镇五里牌路70号商会大厦5楼505室</w:t>
      </w:r>
      <w:r>
        <w:rPr>
          <w:rFonts w:hint="eastAsia" w:ascii="黑体" w:hAnsi="黑体" w:eastAsia="黑体" w:cs="黑体"/>
          <w:color w:val="auto"/>
          <w:sz w:val="24"/>
          <w:szCs w:val="24"/>
          <w:highlight w:val="none"/>
        </w:rPr>
        <w:t xml:space="preserve"> </w:t>
      </w:r>
    </w:p>
    <w:p w14:paraId="38E9EFBB">
      <w:pPr>
        <w:pStyle w:val="74"/>
        <w:keepNext w:val="0"/>
        <w:keepLines w:val="0"/>
        <w:pageBreakBefore w:val="0"/>
        <w:numPr>
          <w:ilvl w:val="0"/>
          <w:numId w:val="24"/>
        </w:numPr>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政府采购监督管理部门名称：德清县财政局</w:t>
      </w:r>
    </w:p>
    <w:p w14:paraId="019EAF54">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联系人：姚女士</w:t>
      </w:r>
    </w:p>
    <w:p w14:paraId="3FB8ED8D">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监督投诉电话/传真：0572-8280257</w:t>
      </w:r>
    </w:p>
    <w:p w14:paraId="347E115E">
      <w:pPr>
        <w:pStyle w:val="74"/>
        <w:keepNext w:val="0"/>
        <w:keepLines w:val="0"/>
        <w:pageBreakBefore w:val="0"/>
        <w:kinsoku/>
        <w:overflowPunct/>
        <w:topLinePunct w:val="0"/>
        <w:autoSpaceDE/>
        <w:autoSpaceDN/>
        <w:bidi w:val="0"/>
        <w:adjustRightInd/>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地址：德清县舞阳街228号</w:t>
      </w:r>
    </w:p>
    <w:p w14:paraId="636D0B9A">
      <w:pPr>
        <w:keepNext w:val="0"/>
        <w:keepLines w:val="0"/>
        <w:pageBreakBefore w:val="0"/>
        <w:widowControl/>
        <w:kinsoku/>
        <w:overflowPunct/>
        <w:topLinePunct w:val="0"/>
        <w:autoSpaceDE/>
        <w:autoSpaceDN/>
        <w:bidi w:val="0"/>
        <w:adjustRightInd/>
        <w:spacing w:line="360" w:lineRule="exact"/>
        <w:ind w:left="142"/>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十、本次采购项目相关信息发布媒体：</w:t>
      </w:r>
    </w:p>
    <w:p w14:paraId="69630595">
      <w:pPr>
        <w:keepNext w:val="0"/>
        <w:keepLines w:val="0"/>
        <w:pageBreakBefore w:val="0"/>
        <w:widowControl/>
        <w:kinsoku/>
        <w:overflowPunct/>
        <w:topLinePunct w:val="0"/>
        <w:autoSpaceDE/>
        <w:autoSpaceDN/>
        <w:bidi w:val="0"/>
        <w:adjustRightInd/>
        <w:spacing w:line="360" w:lineRule="exact"/>
        <w:ind w:left="420"/>
        <w:jc w:val="lef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1.浙江省政府采购网：</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"http://www.zjzfcg.gov.cn"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kern w:val="0"/>
          <w:sz w:val="24"/>
          <w:szCs w:val="24"/>
          <w:highlight w:val="none"/>
          <w:u w:val="single"/>
        </w:rPr>
        <w:t>http://www.zjzfcg.gov.cn</w:t>
      </w:r>
      <w:r>
        <w:rPr>
          <w:rFonts w:hint="eastAsia" w:ascii="黑体" w:hAnsi="黑体" w:eastAsia="黑体" w:cs="黑体"/>
          <w:color w:val="auto"/>
          <w:kern w:val="0"/>
          <w:sz w:val="24"/>
          <w:szCs w:val="24"/>
          <w:highlight w:val="none"/>
          <w:u w:val="single"/>
        </w:rPr>
        <w:fldChar w:fldCharType="end"/>
      </w:r>
    </w:p>
    <w:p w14:paraId="16DA21E3">
      <w:pPr>
        <w:keepNext w:val="0"/>
        <w:keepLines w:val="0"/>
        <w:pageBreakBefore w:val="0"/>
        <w:widowControl/>
        <w:kinsoku/>
        <w:overflowPunct/>
        <w:topLinePunct w:val="0"/>
        <w:autoSpaceDE/>
        <w:autoSpaceDN/>
        <w:bidi w:val="0"/>
        <w:adjustRightInd/>
        <w:spacing w:line="360" w:lineRule="exact"/>
        <w:ind w:left="420"/>
        <w:jc w:val="lef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2.德清县公共资源交易网：</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"http://www.dqztb.gov.cn"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kern w:val="0"/>
          <w:sz w:val="24"/>
          <w:szCs w:val="24"/>
          <w:highlight w:val="none"/>
          <w:u w:val="single"/>
        </w:rPr>
        <w:t>http://www.dqztb.gov.cn</w:t>
      </w:r>
      <w:r>
        <w:rPr>
          <w:rFonts w:hint="eastAsia" w:ascii="黑体" w:hAnsi="黑体" w:eastAsia="黑体" w:cs="黑体"/>
          <w:color w:val="auto"/>
          <w:kern w:val="0"/>
          <w:sz w:val="24"/>
          <w:szCs w:val="24"/>
          <w:highlight w:val="none"/>
          <w:u w:val="single"/>
        </w:rPr>
        <w:fldChar w:fldCharType="end"/>
      </w:r>
    </w:p>
    <w:p w14:paraId="4952C580">
      <w:pPr>
        <w:keepNext w:val="0"/>
        <w:keepLines w:val="0"/>
        <w:pageBreakBefore w:val="0"/>
        <w:widowControl/>
        <w:kinsoku/>
        <w:overflowPunct/>
        <w:topLinePunct w:val="0"/>
        <w:autoSpaceDE/>
        <w:autoSpaceDN/>
        <w:bidi w:val="0"/>
        <w:adjustRightInd/>
        <w:spacing w:line="360" w:lineRule="exact"/>
        <w:ind w:left="142"/>
        <w:jc w:val="lef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十一、本磋商文件的解释权归本代理机构所有。</w:t>
      </w:r>
    </w:p>
    <w:p w14:paraId="076F96A5">
      <w:pPr>
        <w:keepNext w:val="0"/>
        <w:keepLines w:val="0"/>
        <w:pageBreakBefore w:val="0"/>
        <w:kinsoku/>
        <w:wordWrap w:val="0"/>
        <w:overflowPunct/>
        <w:topLinePunct w:val="0"/>
        <w:autoSpaceDE/>
        <w:autoSpaceDN/>
        <w:bidi w:val="0"/>
        <w:adjustRightInd/>
        <w:spacing w:line="360" w:lineRule="exact"/>
        <w:ind w:firstLine="5180" w:firstLineChars="2150"/>
        <w:jc w:val="right"/>
        <w:textAlignment w:val="auto"/>
        <w:rPr>
          <w:rFonts w:hint="eastAsia" w:ascii="黑体" w:hAnsi="黑体" w:eastAsia="黑体" w:cs="黑体"/>
          <w:b/>
          <w:color w:val="auto"/>
          <w:kern w:val="0"/>
          <w:sz w:val="24"/>
          <w:szCs w:val="24"/>
          <w:highlight w:val="none"/>
        </w:rPr>
      </w:pPr>
    </w:p>
    <w:p w14:paraId="1DBD034B">
      <w:pPr>
        <w:keepNext w:val="0"/>
        <w:keepLines w:val="0"/>
        <w:pageBreakBefore w:val="0"/>
        <w:kinsoku/>
        <w:wordWrap/>
        <w:overflowPunct/>
        <w:topLinePunct w:val="0"/>
        <w:autoSpaceDE/>
        <w:autoSpaceDN/>
        <w:bidi w:val="0"/>
        <w:adjustRightInd/>
        <w:spacing w:line="360" w:lineRule="exact"/>
        <w:jc w:val="right"/>
        <w:textAlignment w:val="auto"/>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202</w:t>
      </w:r>
      <w:r>
        <w:rPr>
          <w:rFonts w:hint="eastAsia" w:ascii="黑体" w:hAnsi="黑体" w:eastAsia="黑体" w:cs="黑体"/>
          <w:b/>
          <w:color w:val="auto"/>
          <w:kern w:val="0"/>
          <w:sz w:val="24"/>
          <w:szCs w:val="24"/>
          <w:highlight w:val="none"/>
          <w:lang w:val="en-US" w:eastAsia="zh-CN"/>
        </w:rPr>
        <w:t>5</w:t>
      </w:r>
      <w:r>
        <w:rPr>
          <w:rFonts w:hint="eastAsia" w:ascii="黑体" w:hAnsi="黑体" w:eastAsia="黑体" w:cs="黑体"/>
          <w:b/>
          <w:color w:val="auto"/>
          <w:kern w:val="0"/>
          <w:sz w:val="24"/>
          <w:szCs w:val="24"/>
          <w:highlight w:val="none"/>
        </w:rPr>
        <w:t>年</w:t>
      </w:r>
      <w:r>
        <w:rPr>
          <w:rFonts w:hint="eastAsia" w:ascii="黑体" w:hAnsi="黑体" w:eastAsia="黑体" w:cs="黑体"/>
          <w:b/>
          <w:color w:val="auto"/>
          <w:kern w:val="0"/>
          <w:sz w:val="24"/>
          <w:szCs w:val="24"/>
          <w:highlight w:val="none"/>
          <w:lang w:val="en-US" w:eastAsia="zh-CN"/>
        </w:rPr>
        <w:t>1</w:t>
      </w:r>
      <w:r>
        <w:rPr>
          <w:rFonts w:hint="eastAsia" w:ascii="黑体" w:hAnsi="黑体" w:eastAsia="黑体" w:cs="黑体"/>
          <w:b/>
          <w:color w:val="auto"/>
          <w:kern w:val="0"/>
          <w:sz w:val="24"/>
          <w:szCs w:val="24"/>
          <w:highlight w:val="none"/>
        </w:rPr>
        <w:t>月</w:t>
      </w:r>
      <w:r>
        <w:rPr>
          <w:rFonts w:hint="eastAsia" w:ascii="黑体" w:hAnsi="黑体" w:eastAsia="黑体" w:cs="黑体"/>
          <w:b/>
          <w:color w:val="auto"/>
          <w:kern w:val="0"/>
          <w:sz w:val="24"/>
          <w:szCs w:val="24"/>
          <w:highlight w:val="none"/>
          <w:lang w:val="en-US" w:eastAsia="zh-CN"/>
        </w:rPr>
        <w:t>10</w:t>
      </w:r>
      <w:r>
        <w:rPr>
          <w:rFonts w:hint="eastAsia" w:ascii="黑体" w:hAnsi="黑体" w:eastAsia="黑体" w:cs="黑体"/>
          <w:b/>
          <w:color w:val="auto"/>
          <w:kern w:val="0"/>
          <w:sz w:val="24"/>
          <w:szCs w:val="24"/>
          <w:highlight w:val="none"/>
        </w:rPr>
        <w:t>日</w:t>
      </w:r>
    </w:p>
    <w:p w14:paraId="5EF2F4EE">
      <w:pPr>
        <w:keepNext w:val="0"/>
        <w:keepLines w:val="0"/>
        <w:pageBreakBefore w:val="0"/>
        <w:kinsoku/>
        <w:wordWrap/>
        <w:overflowPunct/>
        <w:topLinePunct w:val="0"/>
        <w:autoSpaceDE/>
        <w:autoSpaceDN/>
        <w:bidi w:val="0"/>
        <w:adjustRightInd/>
        <w:spacing w:line="360" w:lineRule="exact"/>
        <w:jc w:val="center"/>
        <w:textAlignment w:val="auto"/>
        <w:rPr>
          <w:rFonts w:hint="eastAsia" w:ascii="黑体" w:hAnsi="黑体" w:eastAsia="黑体" w:cs="黑体"/>
          <w:b/>
          <w:color w:val="auto"/>
          <w:kern w:val="44"/>
          <w:sz w:val="36"/>
          <w:szCs w:val="20"/>
          <w:highlight w:val="none"/>
        </w:rPr>
      </w:pPr>
      <w:r>
        <w:rPr>
          <w:rFonts w:hint="eastAsia" w:ascii="黑体" w:hAnsi="黑体" w:eastAsia="黑体" w:cs="黑体"/>
          <w:b/>
          <w:color w:val="auto"/>
          <w:szCs w:val="21"/>
          <w:highlight w:val="none"/>
        </w:rPr>
        <w:br w:type="page"/>
      </w:r>
      <w:r>
        <w:rPr>
          <w:rFonts w:hint="eastAsia" w:ascii="黑体" w:hAnsi="黑体" w:eastAsia="黑体" w:cs="黑体"/>
          <w:b/>
          <w:color w:val="auto"/>
          <w:kern w:val="44"/>
          <w:sz w:val="32"/>
          <w:szCs w:val="32"/>
          <w:highlight w:val="none"/>
        </w:rPr>
        <w:t>第二章 竞争性磋商须知</w:t>
      </w:r>
    </w:p>
    <w:tbl>
      <w:tblPr>
        <w:tblStyle w:val="62"/>
        <w:tblW w:w="0" w:type="auto"/>
        <w:tblInd w:w="1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0"/>
        <w:gridCol w:w="9150"/>
      </w:tblGrid>
      <w:tr w14:paraId="28E4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00" w:type="dxa"/>
            <w:tcBorders>
              <w:top w:val="single" w:color="auto" w:sz="4" w:space="0"/>
              <w:left w:val="single" w:color="auto" w:sz="4" w:space="0"/>
              <w:bottom w:val="single" w:color="auto" w:sz="4" w:space="0"/>
              <w:right w:val="single" w:color="auto" w:sz="4" w:space="0"/>
            </w:tcBorders>
            <w:vAlign w:val="center"/>
          </w:tcPr>
          <w:p w14:paraId="29AB491F">
            <w:pPr>
              <w:keepNext w:val="0"/>
              <w:keepLines w:val="0"/>
              <w:pageBreakBefore w:val="0"/>
              <w:kinsoku/>
              <w:overflowPunct/>
              <w:topLinePunct w:val="0"/>
              <w:bidi w:val="0"/>
              <w:snapToGrid w:val="0"/>
              <w:spacing w:line="360" w:lineRule="exact"/>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序号</w:t>
            </w:r>
          </w:p>
        </w:tc>
        <w:tc>
          <w:tcPr>
            <w:tcW w:w="9150" w:type="dxa"/>
            <w:tcBorders>
              <w:top w:val="single" w:color="auto" w:sz="4" w:space="0"/>
              <w:left w:val="single" w:color="auto" w:sz="4" w:space="0"/>
              <w:bottom w:val="single" w:color="auto" w:sz="4" w:space="0"/>
              <w:right w:val="single" w:color="auto" w:sz="4" w:space="0"/>
            </w:tcBorders>
            <w:vAlign w:val="center"/>
          </w:tcPr>
          <w:p w14:paraId="2B20EB00">
            <w:pPr>
              <w:keepNext w:val="0"/>
              <w:keepLines w:val="0"/>
              <w:pageBreakBefore w:val="0"/>
              <w:kinsoku/>
              <w:overflowPunct/>
              <w:topLinePunct w:val="0"/>
              <w:bidi w:val="0"/>
              <w:snapToGrid w:val="0"/>
              <w:spacing w:line="360" w:lineRule="exact"/>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内容、要求</w:t>
            </w:r>
          </w:p>
        </w:tc>
      </w:tr>
      <w:tr w14:paraId="72B54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0" w:type="dxa"/>
            <w:tcBorders>
              <w:top w:val="single" w:color="auto" w:sz="4" w:space="0"/>
              <w:left w:val="single" w:color="auto" w:sz="4" w:space="0"/>
              <w:bottom w:val="single" w:color="auto" w:sz="4" w:space="0"/>
              <w:right w:val="single" w:color="auto" w:sz="4" w:space="0"/>
            </w:tcBorders>
            <w:vAlign w:val="center"/>
          </w:tcPr>
          <w:p w14:paraId="560965EA">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150" w:type="dxa"/>
            <w:tcBorders>
              <w:top w:val="single" w:color="auto" w:sz="4" w:space="0"/>
              <w:left w:val="single" w:color="auto" w:sz="4" w:space="0"/>
              <w:bottom w:val="single" w:color="auto" w:sz="4" w:space="0"/>
              <w:right w:val="single" w:color="auto" w:sz="4" w:space="0"/>
            </w:tcBorders>
            <w:vAlign w:val="center"/>
          </w:tcPr>
          <w:p w14:paraId="4197AC2E">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项目名称：</w:t>
            </w:r>
            <w:r>
              <w:rPr>
                <w:rFonts w:hint="eastAsia" w:ascii="黑体" w:hAnsi="黑体" w:eastAsia="黑体" w:cs="黑体"/>
                <w:color w:val="auto"/>
                <w:sz w:val="24"/>
                <w:szCs w:val="24"/>
                <w:highlight w:val="none"/>
                <w:lang w:eastAsia="zh-CN"/>
              </w:rPr>
              <w:t>乾元镇镇区绿化养护项目</w:t>
            </w:r>
          </w:p>
        </w:tc>
      </w:tr>
      <w:tr w14:paraId="11692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0" w:type="dxa"/>
            <w:tcBorders>
              <w:top w:val="single" w:color="auto" w:sz="4" w:space="0"/>
              <w:left w:val="single" w:color="auto" w:sz="4" w:space="0"/>
              <w:bottom w:val="single" w:color="auto" w:sz="4" w:space="0"/>
              <w:right w:val="single" w:color="auto" w:sz="4" w:space="0"/>
            </w:tcBorders>
            <w:vAlign w:val="center"/>
          </w:tcPr>
          <w:p w14:paraId="2FCA4B6B">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9150" w:type="dxa"/>
            <w:tcBorders>
              <w:top w:val="single" w:color="auto" w:sz="4" w:space="0"/>
              <w:left w:val="single" w:color="auto" w:sz="4" w:space="0"/>
              <w:bottom w:val="single" w:color="auto" w:sz="4" w:space="0"/>
              <w:right w:val="single" w:color="auto" w:sz="4" w:space="0"/>
            </w:tcBorders>
            <w:vAlign w:val="center"/>
          </w:tcPr>
          <w:p w14:paraId="7EBC1B1D">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采购数量及单位：</w:t>
            </w:r>
            <w:r>
              <w:rPr>
                <w:rFonts w:hint="eastAsia" w:ascii="黑体" w:hAnsi="黑体" w:eastAsia="黑体" w:cs="黑体"/>
                <w:b/>
                <w:color w:val="auto"/>
                <w:sz w:val="24"/>
                <w:szCs w:val="24"/>
                <w:highlight w:val="none"/>
                <w:lang w:val="zh-CN"/>
              </w:rPr>
              <w:t>详见第三章内容</w:t>
            </w:r>
          </w:p>
        </w:tc>
      </w:tr>
      <w:tr w14:paraId="3146B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00" w:type="dxa"/>
            <w:tcBorders>
              <w:top w:val="single" w:color="auto" w:sz="4" w:space="0"/>
              <w:left w:val="single" w:color="auto" w:sz="4" w:space="0"/>
              <w:bottom w:val="single" w:color="auto" w:sz="4" w:space="0"/>
              <w:right w:val="single" w:color="auto" w:sz="4" w:space="0"/>
            </w:tcBorders>
            <w:vAlign w:val="center"/>
          </w:tcPr>
          <w:p w14:paraId="0903FC8C">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9150" w:type="dxa"/>
            <w:tcBorders>
              <w:top w:val="single" w:color="auto" w:sz="4" w:space="0"/>
              <w:left w:val="single" w:color="auto" w:sz="4" w:space="0"/>
              <w:bottom w:val="single" w:color="auto" w:sz="4" w:space="0"/>
              <w:right w:val="single" w:color="auto" w:sz="4" w:space="0"/>
            </w:tcBorders>
            <w:vAlign w:val="center"/>
          </w:tcPr>
          <w:p w14:paraId="78FC420D">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磋商报价及费用：1、本竞争性磋商项目报价以人民币为结算货币。</w:t>
            </w:r>
          </w:p>
          <w:p w14:paraId="007ED999">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2、不论磋商结果如何，磋商响应方均应自行承担所有与磋商有关的全部费用</w:t>
            </w:r>
          </w:p>
          <w:p w14:paraId="1D6E7337">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3、</w:t>
            </w:r>
            <w:r>
              <w:rPr>
                <w:rFonts w:hint="eastAsia" w:ascii="黑体" w:hAnsi="黑体" w:eastAsia="黑体" w:cs="黑体"/>
                <w:b/>
                <w:bCs/>
                <w:color w:val="auto"/>
                <w:sz w:val="24"/>
                <w:szCs w:val="24"/>
                <w:highlight w:val="none"/>
                <w:u w:val="single"/>
              </w:rPr>
              <w:t>本项目的招标代理服务费按中标金额的相应比例向中标单位收取，具体收费标准按差额定率累进法计算：100万元以下按1.5%收取；</w:t>
            </w:r>
            <w:r>
              <w:rPr>
                <w:rFonts w:hint="eastAsia" w:ascii="黑体" w:hAnsi="黑体" w:eastAsia="黑体" w:cs="黑体"/>
                <w:b/>
                <w:bCs/>
                <w:color w:val="auto"/>
                <w:sz w:val="24"/>
                <w:szCs w:val="24"/>
                <w:highlight w:val="none"/>
                <w:u w:val="single"/>
                <w:lang w:val="en-US" w:eastAsia="zh-CN"/>
              </w:rPr>
              <w:t>100-500万元</w:t>
            </w:r>
            <w:r>
              <w:rPr>
                <w:rFonts w:hint="eastAsia" w:ascii="黑体" w:hAnsi="黑体" w:eastAsia="黑体" w:cs="黑体"/>
                <w:b/>
                <w:bCs/>
                <w:color w:val="auto"/>
                <w:sz w:val="24"/>
                <w:szCs w:val="24"/>
                <w:highlight w:val="none"/>
                <w:u w:val="single"/>
              </w:rPr>
              <w:t>按</w:t>
            </w:r>
            <w:r>
              <w:rPr>
                <w:rFonts w:hint="eastAsia" w:ascii="黑体" w:hAnsi="黑体" w:eastAsia="黑体" w:cs="黑体"/>
                <w:b/>
                <w:bCs/>
                <w:color w:val="auto"/>
                <w:sz w:val="24"/>
                <w:szCs w:val="24"/>
                <w:highlight w:val="none"/>
                <w:u w:val="single"/>
                <w:lang w:val="en-US" w:eastAsia="zh-CN"/>
              </w:rPr>
              <w:t>0.8</w:t>
            </w:r>
            <w:r>
              <w:rPr>
                <w:rFonts w:hint="eastAsia" w:ascii="黑体" w:hAnsi="黑体" w:eastAsia="黑体" w:cs="黑体"/>
                <w:b/>
                <w:bCs/>
                <w:color w:val="auto"/>
                <w:sz w:val="24"/>
                <w:szCs w:val="24"/>
                <w:highlight w:val="none"/>
                <w:u w:val="single"/>
              </w:rPr>
              <w:t>%收取</w:t>
            </w:r>
            <w:r>
              <w:rPr>
                <w:rFonts w:hint="eastAsia" w:ascii="黑体" w:hAnsi="黑体" w:eastAsia="黑体" w:cs="黑体"/>
                <w:b/>
                <w:bCs/>
                <w:color w:val="auto"/>
                <w:sz w:val="24"/>
                <w:szCs w:val="24"/>
                <w:highlight w:val="none"/>
                <w:u w:val="single"/>
                <w:lang w:eastAsia="zh-CN"/>
              </w:rPr>
              <w:t>，</w:t>
            </w:r>
            <w:r>
              <w:rPr>
                <w:rFonts w:hint="eastAsia" w:ascii="黑体" w:hAnsi="黑体" w:eastAsia="黑体" w:cs="黑体"/>
                <w:b/>
                <w:bCs/>
                <w:color w:val="auto"/>
                <w:sz w:val="24"/>
                <w:szCs w:val="24"/>
                <w:highlight w:val="none"/>
                <w:u w:val="single"/>
              </w:rPr>
              <w:t>不足壹万元按壹万元计。（该费用由招标代理公司在签发中标通知书前向中标单位收取）。包含在本次投标报价中，请各供应商予以考虑。</w:t>
            </w:r>
            <w:r>
              <w:rPr>
                <w:rFonts w:hint="eastAsia" w:ascii="黑体" w:hAnsi="黑体" w:eastAsia="黑体" w:cs="黑体"/>
                <w:b/>
                <w:color w:val="auto"/>
                <w:sz w:val="24"/>
                <w:szCs w:val="24"/>
                <w:highlight w:val="none"/>
              </w:rPr>
              <w:t>。</w:t>
            </w:r>
          </w:p>
        </w:tc>
      </w:tr>
      <w:tr w14:paraId="6DBB4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0" w:type="dxa"/>
            <w:tcBorders>
              <w:top w:val="single" w:color="auto" w:sz="4" w:space="0"/>
              <w:left w:val="single" w:color="auto" w:sz="4" w:space="0"/>
              <w:bottom w:val="single" w:color="auto" w:sz="4" w:space="0"/>
              <w:right w:val="single" w:color="auto" w:sz="4" w:space="0"/>
            </w:tcBorders>
            <w:vAlign w:val="center"/>
          </w:tcPr>
          <w:p w14:paraId="0075A550">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9150" w:type="dxa"/>
            <w:tcBorders>
              <w:top w:val="single" w:color="auto" w:sz="4" w:space="0"/>
              <w:left w:val="single" w:color="auto" w:sz="4" w:space="0"/>
              <w:bottom w:val="single" w:color="auto" w:sz="4" w:space="0"/>
              <w:right w:val="single" w:color="auto" w:sz="4" w:space="0"/>
            </w:tcBorders>
            <w:vAlign w:val="center"/>
          </w:tcPr>
          <w:p w14:paraId="3C539656">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答疑与澄清：如磋商响应方如认为采购文件表述不清晰、存在歧视性、排他性或者其他违法内容的，应当于</w:t>
            </w:r>
            <w:r>
              <w:rPr>
                <w:rFonts w:hint="eastAsia" w:ascii="黑体" w:hAnsi="黑体" w:eastAsia="黑体" w:cs="黑体"/>
                <w:color w:val="auto"/>
                <w:sz w:val="24"/>
                <w:szCs w:val="24"/>
                <w:highlight w:val="none"/>
                <w:u w:val="single"/>
              </w:rPr>
              <w:t>202</w:t>
            </w:r>
            <w:r>
              <w:rPr>
                <w:rFonts w:hint="eastAsia" w:ascii="黑体" w:hAnsi="黑体" w:eastAsia="黑体" w:cs="黑体"/>
                <w:color w:val="auto"/>
                <w:sz w:val="24"/>
                <w:szCs w:val="24"/>
                <w:highlight w:val="none"/>
                <w:u w:val="singl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1</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20</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日下午4点前，以书面形式要求采购单位作出书面解释、澄清或者向采购单位提出书面质疑</w:t>
            </w:r>
            <w:r>
              <w:rPr>
                <w:rFonts w:hint="eastAsia" w:ascii="黑体" w:hAnsi="黑体" w:eastAsia="黑体" w:cs="黑体"/>
                <w:b/>
                <w:color w:val="auto"/>
                <w:sz w:val="24"/>
                <w:szCs w:val="24"/>
                <w:highlight w:val="none"/>
              </w:rPr>
              <w:t>（逾期将不再受理），</w:t>
            </w:r>
            <w:r>
              <w:rPr>
                <w:rFonts w:hint="eastAsia" w:ascii="黑体" w:hAnsi="黑体" w:eastAsia="黑体" w:cs="黑体"/>
                <w:color w:val="auto"/>
                <w:sz w:val="24"/>
                <w:szCs w:val="24"/>
                <w:highlight w:val="none"/>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040F2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0" w:type="dxa"/>
            <w:tcBorders>
              <w:top w:val="single" w:color="auto" w:sz="4" w:space="0"/>
              <w:left w:val="single" w:color="auto" w:sz="4" w:space="0"/>
              <w:bottom w:val="single" w:color="auto" w:sz="4" w:space="0"/>
              <w:right w:val="single" w:color="auto" w:sz="4" w:space="0"/>
            </w:tcBorders>
            <w:vAlign w:val="center"/>
          </w:tcPr>
          <w:p w14:paraId="43987913">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9150" w:type="dxa"/>
            <w:tcBorders>
              <w:top w:val="single" w:color="auto" w:sz="4" w:space="0"/>
              <w:left w:val="single" w:color="auto" w:sz="4" w:space="0"/>
              <w:bottom w:val="single" w:color="auto" w:sz="4" w:space="0"/>
              <w:right w:val="single" w:color="auto" w:sz="4" w:space="0"/>
            </w:tcBorders>
            <w:vAlign w:val="center"/>
          </w:tcPr>
          <w:p w14:paraId="4B699934">
            <w:pPr>
              <w:keepNext w:val="0"/>
              <w:keepLines w:val="0"/>
              <w:pageBreakBefore w:val="0"/>
              <w:kinsoku/>
              <w:overflowPunct/>
              <w:topLinePunct w:val="0"/>
              <w:autoSpaceDE w:val="0"/>
              <w:autoSpaceDN w:val="0"/>
              <w:bidi w:val="0"/>
              <w:snapToGrid w:val="0"/>
              <w:spacing w:line="360" w:lineRule="exact"/>
              <w:textAlignment w:val="bottom"/>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本项目实行政采云在线竞标，磋商响应文件组成：</w:t>
            </w:r>
          </w:p>
          <w:p w14:paraId="2D274EC9">
            <w:pPr>
              <w:keepNext w:val="0"/>
              <w:keepLines w:val="0"/>
              <w:pageBreakBefore w:val="0"/>
              <w:kinsoku/>
              <w:wordWrap w:val="0"/>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（1）电子磋商响应文件：按政采云平台供应商项目采购-电子交易操作指南（网址：https://help.zcygov.cn/web/site_2/2018/12-28/2573.html）及本采购文件要求递交。</w:t>
            </w:r>
          </w:p>
          <w:p w14:paraId="58064844">
            <w:pPr>
              <w:keepNext w:val="0"/>
              <w:keepLines w:val="0"/>
              <w:pageBreakBefore w:val="0"/>
              <w:kinsoku/>
              <w:wordWrap w:val="0"/>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（2）备份电子磋商响应文件，按政采云平台项目采购-电子招投标操作指南中上传的电子磋商响应文件格式，以光盘或U盘形式提供。内容与电子磋商响应文件保持一致。数量为1份。</w:t>
            </w:r>
          </w:p>
        </w:tc>
      </w:tr>
      <w:tr w14:paraId="296B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0" w:type="dxa"/>
            <w:tcBorders>
              <w:top w:val="single" w:color="auto" w:sz="4" w:space="0"/>
              <w:left w:val="single" w:color="auto" w:sz="4" w:space="0"/>
              <w:bottom w:val="single" w:color="auto" w:sz="4" w:space="0"/>
              <w:right w:val="single" w:color="auto" w:sz="4" w:space="0"/>
            </w:tcBorders>
            <w:vAlign w:val="center"/>
          </w:tcPr>
          <w:p w14:paraId="54F07D3B">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9150" w:type="dxa"/>
            <w:tcBorders>
              <w:top w:val="single" w:color="auto" w:sz="4" w:space="0"/>
              <w:left w:val="single" w:color="auto" w:sz="4" w:space="0"/>
              <w:bottom w:val="single" w:color="auto" w:sz="4" w:space="0"/>
              <w:right w:val="single" w:color="auto" w:sz="4" w:space="0"/>
            </w:tcBorders>
            <w:vAlign w:val="center"/>
          </w:tcPr>
          <w:p w14:paraId="2901140E">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采购响应文件提交截止时间及地点：202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日9时30分德清县武康街道永安街169号公共资源交易中心二楼</w:t>
            </w:r>
            <w:r>
              <w:rPr>
                <w:rFonts w:hint="eastAsia" w:ascii="黑体" w:hAnsi="黑体" w:eastAsia="黑体" w:cs="黑体"/>
                <w:color w:val="auto"/>
                <w:sz w:val="24"/>
                <w:szCs w:val="24"/>
                <w:highlight w:val="none"/>
                <w:lang w:eastAsia="zh-CN"/>
              </w:rPr>
              <w:t>203开标室</w:t>
            </w:r>
            <w:r>
              <w:rPr>
                <w:rFonts w:hint="eastAsia" w:ascii="黑体" w:hAnsi="黑体" w:eastAsia="黑体" w:cs="黑体"/>
                <w:color w:val="auto"/>
                <w:sz w:val="24"/>
                <w:szCs w:val="24"/>
                <w:highlight w:val="none"/>
              </w:rPr>
              <w:t>。</w:t>
            </w:r>
          </w:p>
        </w:tc>
      </w:tr>
      <w:tr w14:paraId="61671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00" w:type="dxa"/>
            <w:tcBorders>
              <w:top w:val="single" w:color="auto" w:sz="4" w:space="0"/>
              <w:left w:val="single" w:color="auto" w:sz="4" w:space="0"/>
              <w:bottom w:val="single" w:color="auto" w:sz="4" w:space="0"/>
              <w:right w:val="single" w:color="auto" w:sz="4" w:space="0"/>
            </w:tcBorders>
            <w:vAlign w:val="center"/>
          </w:tcPr>
          <w:p w14:paraId="0F7D86EA">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9150" w:type="dxa"/>
            <w:tcBorders>
              <w:top w:val="single" w:color="auto" w:sz="4" w:space="0"/>
              <w:left w:val="single" w:color="auto" w:sz="4" w:space="0"/>
              <w:bottom w:val="single" w:color="auto" w:sz="4" w:space="0"/>
              <w:right w:val="single" w:color="auto" w:sz="4" w:space="0"/>
            </w:tcBorders>
            <w:vAlign w:val="center"/>
          </w:tcPr>
          <w:p w14:paraId="5DAD6E23">
            <w:pPr>
              <w:keepNext w:val="0"/>
              <w:keepLines w:val="0"/>
              <w:pageBreakBefore w:val="0"/>
              <w:tabs>
                <w:tab w:val="left" w:pos="7421"/>
              </w:tabs>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磋商时间及地点：202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21日</w:t>
            </w:r>
            <w:r>
              <w:rPr>
                <w:rFonts w:hint="eastAsia" w:ascii="黑体" w:hAnsi="黑体" w:eastAsia="黑体" w:cs="黑体"/>
                <w:color w:val="auto"/>
                <w:sz w:val="24"/>
                <w:szCs w:val="24"/>
                <w:highlight w:val="none"/>
              </w:rPr>
              <w:t>9时30分德清县武康街道永安街169号公共资源交易中心二楼</w:t>
            </w:r>
            <w:r>
              <w:rPr>
                <w:rFonts w:hint="eastAsia" w:ascii="黑体" w:hAnsi="黑体" w:eastAsia="黑体" w:cs="黑体"/>
                <w:color w:val="auto"/>
                <w:sz w:val="24"/>
                <w:szCs w:val="24"/>
                <w:highlight w:val="none"/>
                <w:lang w:eastAsia="zh-CN"/>
              </w:rPr>
              <w:t>203开标室</w:t>
            </w:r>
            <w:r>
              <w:rPr>
                <w:rFonts w:hint="eastAsia" w:ascii="黑体" w:hAnsi="黑体" w:eastAsia="黑体" w:cs="黑体"/>
                <w:color w:val="auto"/>
                <w:sz w:val="24"/>
                <w:szCs w:val="24"/>
                <w:highlight w:val="none"/>
              </w:rPr>
              <w:t>。</w:t>
            </w:r>
          </w:p>
        </w:tc>
      </w:tr>
      <w:tr w14:paraId="46EDD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vAlign w:val="center"/>
          </w:tcPr>
          <w:p w14:paraId="4B18FE93">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9150" w:type="dxa"/>
            <w:tcBorders>
              <w:top w:val="single" w:color="auto" w:sz="4" w:space="0"/>
              <w:left w:val="single" w:color="auto" w:sz="4" w:space="0"/>
              <w:bottom w:val="single" w:color="auto" w:sz="4" w:space="0"/>
              <w:right w:val="single" w:color="auto" w:sz="4" w:space="0"/>
            </w:tcBorders>
            <w:vAlign w:val="center"/>
          </w:tcPr>
          <w:p w14:paraId="18EB2C44">
            <w:pPr>
              <w:keepNext w:val="0"/>
              <w:keepLines w:val="0"/>
              <w:pageBreakBefore w:val="0"/>
              <w:kinsoku/>
              <w:overflowPunct/>
              <w:topLinePunct w:val="0"/>
              <w:bidi w:val="0"/>
              <w:spacing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磋商响应文件的接收：</w:t>
            </w:r>
          </w:p>
          <w:p w14:paraId="110DDE89">
            <w:pPr>
              <w:keepNext w:val="0"/>
              <w:keepLines w:val="0"/>
              <w:pageBreakBefore w:val="0"/>
              <w:kinsoku/>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5C1ED93A">
            <w:pPr>
              <w:keepNext w:val="0"/>
              <w:keepLines w:val="0"/>
              <w:pageBreakBefore w:val="0"/>
              <w:kinsoku/>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供应商应当在磋商响应截止时间前将备份电子磋商响应文件密封送交到德清县公共资源交易中心</w:t>
            </w:r>
            <w:r>
              <w:rPr>
                <w:rFonts w:hint="eastAsia" w:ascii="黑体" w:hAnsi="黑体" w:eastAsia="黑体" w:cs="黑体"/>
                <w:b/>
                <w:color w:val="auto"/>
                <w:sz w:val="24"/>
                <w:szCs w:val="24"/>
                <w:highlight w:val="none"/>
                <w:lang w:eastAsia="zh-CN"/>
              </w:rPr>
              <w:t>203开标室</w:t>
            </w:r>
            <w:r>
              <w:rPr>
                <w:rFonts w:hint="eastAsia" w:ascii="黑体" w:hAnsi="黑体" w:eastAsia="黑体" w:cs="黑体"/>
                <w:b/>
                <w:color w:val="auto"/>
                <w:sz w:val="24"/>
                <w:szCs w:val="24"/>
                <w:highlight w:val="none"/>
              </w:rPr>
              <w:t>，如需邮寄，请在开标截止时间前24小时邮寄到</w:t>
            </w:r>
            <w:r>
              <w:rPr>
                <w:rFonts w:hint="eastAsia" w:ascii="黑体" w:hAnsi="黑体" w:eastAsia="黑体" w:cs="黑体"/>
                <w:b/>
                <w:color w:val="auto"/>
                <w:sz w:val="24"/>
                <w:szCs w:val="24"/>
                <w:highlight w:val="none"/>
                <w:lang w:eastAsia="zh-CN"/>
              </w:rPr>
              <w:t>德清佳平工程管理有限公司</w:t>
            </w:r>
            <w:r>
              <w:rPr>
                <w:rFonts w:hint="eastAsia" w:ascii="黑体" w:hAnsi="黑体" w:eastAsia="黑体" w:cs="黑体"/>
                <w:b/>
                <w:color w:val="auto"/>
                <w:sz w:val="24"/>
                <w:szCs w:val="24"/>
                <w:highlight w:val="none"/>
              </w:rPr>
              <w:t xml:space="preserve">德清分公司（德清县武康街道五里牌路70号商会大厦5楼505室），逾期送达或未密封将被拒收。未完成电子磋商响应文件传输提交、仅提供备份磋商响应文件的，其提供的备份磋商响应文件无效。 </w:t>
            </w:r>
          </w:p>
          <w:p w14:paraId="26806D66">
            <w:pPr>
              <w:keepNext w:val="0"/>
              <w:keepLines w:val="0"/>
              <w:pageBreakBefore w:val="0"/>
              <w:kinsoku/>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2、供应商递交备份电子磋商响应文件时，如出现下列情况之一的，将被拒收：</w:t>
            </w:r>
          </w:p>
          <w:p w14:paraId="27F1A80A">
            <w:pPr>
              <w:keepNext w:val="0"/>
              <w:keepLines w:val="0"/>
              <w:pageBreakBefore w:val="0"/>
              <w:kinsoku/>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（1）未按规定密封或标记的磋商响应文件；</w:t>
            </w:r>
          </w:p>
          <w:p w14:paraId="7CC85422">
            <w:pPr>
              <w:keepNext w:val="0"/>
              <w:keepLines w:val="0"/>
              <w:pageBreakBefore w:val="0"/>
              <w:kinsoku/>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（2）供应商未成功办理政采云报名手续的；</w:t>
            </w:r>
          </w:p>
          <w:p w14:paraId="2C5087A7">
            <w:pPr>
              <w:keepNext w:val="0"/>
              <w:keepLines w:val="0"/>
              <w:pageBreakBefore w:val="0"/>
              <w:kinsoku/>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（3）超过磋商响应截止时间送达的。</w:t>
            </w:r>
          </w:p>
          <w:p w14:paraId="2870C957">
            <w:pPr>
              <w:keepNext w:val="0"/>
              <w:keepLines w:val="0"/>
              <w:pageBreakBefore w:val="0"/>
              <w:kinsoku/>
              <w:overflowPunct/>
              <w:topLinePunct w:val="0"/>
              <w:bidi w:val="0"/>
              <w:spacing w:line="360" w:lineRule="exact"/>
              <w:ind w:firstLine="463" w:firstLineChars="19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（4）仅提供备份磋商响应文件的。</w:t>
            </w:r>
          </w:p>
          <w:p w14:paraId="09E8E6E0">
            <w:pPr>
              <w:keepNext w:val="0"/>
              <w:keepLines w:val="0"/>
              <w:pageBreakBefore w:val="0"/>
              <w:tabs>
                <w:tab w:val="left" w:pos="7421"/>
              </w:tabs>
              <w:kinsoku/>
              <w:overflowPunct/>
              <w:topLinePunct w:val="0"/>
              <w:bidi w:val="0"/>
              <w:snapToGrid w:val="0"/>
              <w:spacing w:line="360" w:lineRule="exact"/>
              <w:ind w:firstLine="472" w:firstLineChars="196"/>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供应商不提供或仅提供其中一种形式的备份磋商响应文件，因而造成评审委员会对其磋商响应文件无法评审的，其竞标无效，相关风险和责任由供应商自行承担。</w:t>
            </w:r>
          </w:p>
        </w:tc>
      </w:tr>
      <w:tr w14:paraId="590E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00" w:type="dxa"/>
            <w:tcBorders>
              <w:top w:val="single" w:color="auto" w:sz="4" w:space="0"/>
              <w:left w:val="single" w:color="auto" w:sz="4" w:space="0"/>
              <w:bottom w:val="single" w:color="auto" w:sz="4" w:space="0"/>
              <w:right w:val="single" w:color="auto" w:sz="4" w:space="0"/>
            </w:tcBorders>
            <w:vAlign w:val="center"/>
          </w:tcPr>
          <w:p w14:paraId="2C9688AE">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9150" w:type="dxa"/>
            <w:tcBorders>
              <w:top w:val="single" w:color="auto" w:sz="4" w:space="0"/>
              <w:left w:val="single" w:color="auto" w:sz="4" w:space="0"/>
              <w:bottom w:val="single" w:color="auto" w:sz="4" w:space="0"/>
              <w:right w:val="single" w:color="auto" w:sz="4" w:space="0"/>
            </w:tcBorders>
            <w:vAlign w:val="center"/>
          </w:tcPr>
          <w:p w14:paraId="26064192">
            <w:pPr>
              <w:keepNext w:val="0"/>
              <w:keepLines w:val="0"/>
              <w:pageBreakBefore w:val="0"/>
              <w:kinsoku/>
              <w:overflowPunct/>
              <w:topLinePunct w:val="0"/>
              <w:autoSpaceDE w:val="0"/>
              <w:autoSpaceDN w:val="0"/>
              <w:bidi w:val="0"/>
              <w:snapToGrid w:val="0"/>
              <w:spacing w:line="360" w:lineRule="exact"/>
              <w:textAlignment w:val="bottom"/>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磋商的原则和程序详见采购文件第四章。</w:t>
            </w:r>
          </w:p>
        </w:tc>
      </w:tr>
      <w:tr w14:paraId="4BA84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00" w:type="dxa"/>
            <w:tcBorders>
              <w:top w:val="single" w:color="auto" w:sz="4" w:space="0"/>
              <w:left w:val="single" w:color="auto" w:sz="4" w:space="0"/>
              <w:bottom w:val="single" w:color="auto" w:sz="4" w:space="0"/>
              <w:right w:val="single" w:color="auto" w:sz="4" w:space="0"/>
            </w:tcBorders>
            <w:vAlign w:val="center"/>
          </w:tcPr>
          <w:p w14:paraId="13C76183">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9150" w:type="dxa"/>
            <w:tcBorders>
              <w:top w:val="single" w:color="auto" w:sz="4" w:space="0"/>
              <w:left w:val="single" w:color="auto" w:sz="4" w:space="0"/>
              <w:bottom w:val="single" w:color="auto" w:sz="4" w:space="0"/>
              <w:right w:val="single" w:color="auto" w:sz="4" w:space="0"/>
            </w:tcBorders>
            <w:vAlign w:val="center"/>
          </w:tcPr>
          <w:p w14:paraId="62F49822">
            <w:pPr>
              <w:keepNext w:val="0"/>
              <w:keepLines w:val="0"/>
              <w:pageBreakBefore w:val="0"/>
              <w:widowControl/>
              <w:kinsoku/>
              <w:overflowPunct/>
              <w:topLinePunct w:val="0"/>
              <w:bidi w:val="0"/>
              <w:spacing w:line="360" w:lineRule="exact"/>
              <w:ind w:firstLine="600" w:firstLineChars="25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成交结果公示：磋商结束后2天内，磋商结果公示于浙江省政府采购网(</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"http://www.zjzfcg.gov.cn/"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kern w:val="0"/>
                <w:sz w:val="24"/>
                <w:szCs w:val="24"/>
                <w:highlight w:val="none"/>
                <w:u w:val="single"/>
              </w:rPr>
              <w:t>http://www.zjzfcg.gov.cn</w:t>
            </w:r>
            <w:r>
              <w:rPr>
                <w:rFonts w:hint="eastAsia" w:ascii="黑体" w:hAnsi="黑体" w:eastAsia="黑体" w:cs="黑体"/>
                <w:color w:val="auto"/>
                <w:kern w:val="0"/>
                <w:sz w:val="24"/>
                <w:szCs w:val="24"/>
                <w:highlight w:val="none"/>
                <w:u w:val="single"/>
              </w:rPr>
              <w:fldChar w:fldCharType="end"/>
            </w:r>
            <w:r>
              <w:rPr>
                <w:rFonts w:hint="eastAsia" w:ascii="黑体" w:hAnsi="黑体" w:eastAsia="黑体" w:cs="黑体"/>
                <w:color w:val="auto"/>
                <w:sz w:val="24"/>
                <w:szCs w:val="24"/>
                <w:highlight w:val="none"/>
              </w:rPr>
              <w:t>)、</w:t>
            </w:r>
            <w:r>
              <w:rPr>
                <w:rFonts w:hint="eastAsia" w:ascii="黑体" w:hAnsi="黑体" w:eastAsia="黑体" w:cs="黑体"/>
                <w:color w:val="auto"/>
                <w:kern w:val="0"/>
                <w:sz w:val="24"/>
                <w:szCs w:val="24"/>
                <w:highlight w:val="none"/>
              </w:rPr>
              <w:t>德清县公共资源交易网（</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"http://www.dqztb.gov.cn"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kern w:val="0"/>
                <w:sz w:val="24"/>
                <w:szCs w:val="24"/>
                <w:highlight w:val="none"/>
                <w:u w:val="single"/>
              </w:rPr>
              <w:t>http://www.dqztb.gov.cn</w:t>
            </w:r>
            <w:r>
              <w:rPr>
                <w:rFonts w:hint="eastAsia" w:ascii="黑体" w:hAnsi="黑体" w:eastAsia="黑体" w:cs="黑体"/>
                <w:color w:val="auto"/>
                <w:kern w:val="0"/>
                <w:sz w:val="24"/>
                <w:szCs w:val="24"/>
                <w:highlight w:val="none"/>
                <w:u w:val="single"/>
              </w:rPr>
              <w:fldChar w:fldCharType="end"/>
            </w:r>
            <w:r>
              <w:rPr>
                <w:rFonts w:hint="eastAsia" w:ascii="黑体" w:hAnsi="黑体" w:eastAsia="黑体" w:cs="黑体"/>
                <w:color w:val="auto"/>
                <w:kern w:val="0"/>
                <w:sz w:val="24"/>
                <w:szCs w:val="24"/>
                <w:highlight w:val="none"/>
              </w:rPr>
              <w:t>）</w:t>
            </w:r>
          </w:p>
          <w:p w14:paraId="5C7D3D5F">
            <w:pPr>
              <w:keepNext w:val="0"/>
              <w:keepLines w:val="0"/>
              <w:pageBreakBefore w:val="0"/>
              <w:kinsoku/>
              <w:overflowPunct/>
              <w:topLinePunct w:val="0"/>
              <w:autoSpaceDE w:val="0"/>
              <w:autoSpaceDN w:val="0"/>
              <w:bidi w:val="0"/>
              <w:snapToGrid w:val="0"/>
              <w:spacing w:line="360" w:lineRule="exact"/>
              <w:textAlignment w:val="bottom"/>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等网站或媒体。</w:t>
            </w:r>
          </w:p>
        </w:tc>
      </w:tr>
      <w:tr w14:paraId="15F4D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00" w:type="dxa"/>
            <w:tcBorders>
              <w:top w:val="single" w:color="auto" w:sz="4" w:space="0"/>
              <w:left w:val="single" w:color="auto" w:sz="4" w:space="0"/>
              <w:bottom w:val="single" w:color="auto" w:sz="4" w:space="0"/>
              <w:right w:val="single" w:color="auto" w:sz="4" w:space="0"/>
            </w:tcBorders>
            <w:vAlign w:val="center"/>
          </w:tcPr>
          <w:p w14:paraId="1239BE5C">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w:t>
            </w:r>
          </w:p>
        </w:tc>
        <w:tc>
          <w:tcPr>
            <w:tcW w:w="9150" w:type="dxa"/>
            <w:tcBorders>
              <w:top w:val="single" w:color="auto" w:sz="4" w:space="0"/>
              <w:left w:val="single" w:color="auto" w:sz="4" w:space="0"/>
              <w:bottom w:val="single" w:color="auto" w:sz="4" w:space="0"/>
              <w:right w:val="single" w:color="auto" w:sz="4" w:space="0"/>
            </w:tcBorders>
            <w:vAlign w:val="center"/>
          </w:tcPr>
          <w:p w14:paraId="4C488A77">
            <w:pPr>
              <w:keepNext w:val="0"/>
              <w:keepLines w:val="0"/>
              <w:pageBreakBefore w:val="0"/>
              <w:kinsoku/>
              <w:overflowPunct/>
              <w:topLinePunct w:val="0"/>
              <w:autoSpaceDE w:val="0"/>
              <w:autoSpaceDN w:val="0"/>
              <w:bidi w:val="0"/>
              <w:snapToGrid w:val="0"/>
              <w:spacing w:line="360" w:lineRule="exact"/>
              <w:textAlignment w:val="bottom"/>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成交公告及成交通知书：磋商结束后5个工作日内，成交公告发布于上述媒体。</w:t>
            </w:r>
          </w:p>
        </w:tc>
      </w:tr>
      <w:tr w14:paraId="1166A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00" w:type="dxa"/>
            <w:tcBorders>
              <w:top w:val="single" w:color="auto" w:sz="4" w:space="0"/>
              <w:left w:val="single" w:color="auto" w:sz="4" w:space="0"/>
              <w:bottom w:val="single" w:color="auto" w:sz="4" w:space="0"/>
              <w:right w:val="single" w:color="auto" w:sz="4" w:space="0"/>
            </w:tcBorders>
            <w:vAlign w:val="center"/>
          </w:tcPr>
          <w:p w14:paraId="6CC8E86A">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w:t>
            </w:r>
          </w:p>
        </w:tc>
        <w:tc>
          <w:tcPr>
            <w:tcW w:w="9150" w:type="dxa"/>
            <w:tcBorders>
              <w:top w:val="single" w:color="auto" w:sz="4" w:space="0"/>
              <w:left w:val="single" w:color="auto" w:sz="4" w:space="0"/>
              <w:bottom w:val="single" w:color="auto" w:sz="4" w:space="0"/>
              <w:right w:val="single" w:color="auto" w:sz="4" w:space="0"/>
            </w:tcBorders>
            <w:vAlign w:val="center"/>
          </w:tcPr>
          <w:p w14:paraId="72891E92">
            <w:pPr>
              <w:keepNext w:val="0"/>
              <w:keepLines w:val="0"/>
              <w:pageBreakBefore w:val="0"/>
              <w:kinsoku/>
              <w:overflowPunct/>
              <w:topLinePunct w:val="0"/>
              <w:autoSpaceDE w:val="0"/>
              <w:autoSpaceDN w:val="0"/>
              <w:bidi w:val="0"/>
              <w:snapToGrid w:val="0"/>
              <w:spacing w:line="360" w:lineRule="exact"/>
              <w:textAlignment w:val="bottom"/>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采购资金来源：预算内资金</w:t>
            </w:r>
          </w:p>
        </w:tc>
      </w:tr>
      <w:tr w14:paraId="5409D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0" w:type="dxa"/>
            <w:tcBorders>
              <w:top w:val="single" w:color="auto" w:sz="4" w:space="0"/>
              <w:left w:val="single" w:color="auto" w:sz="4" w:space="0"/>
              <w:bottom w:val="single" w:color="auto" w:sz="4" w:space="0"/>
              <w:right w:val="single" w:color="auto" w:sz="4" w:space="0"/>
            </w:tcBorders>
            <w:vAlign w:val="center"/>
          </w:tcPr>
          <w:p w14:paraId="2B4D516F">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w:t>
            </w:r>
          </w:p>
        </w:tc>
        <w:tc>
          <w:tcPr>
            <w:tcW w:w="9150" w:type="dxa"/>
            <w:tcBorders>
              <w:top w:val="single" w:color="auto" w:sz="4" w:space="0"/>
              <w:left w:val="single" w:color="auto" w:sz="4" w:space="0"/>
              <w:bottom w:val="single" w:color="auto" w:sz="4" w:space="0"/>
              <w:right w:val="single" w:color="auto" w:sz="4" w:space="0"/>
            </w:tcBorders>
            <w:vAlign w:val="center"/>
          </w:tcPr>
          <w:p w14:paraId="5039CA11">
            <w:pPr>
              <w:keepNext w:val="0"/>
              <w:keepLines w:val="0"/>
              <w:pageBreakBefore w:val="0"/>
              <w:kinsoku/>
              <w:overflowPunct/>
              <w:topLinePunct w:val="0"/>
              <w:bidi w:val="0"/>
              <w:spacing w:line="360" w:lineRule="exact"/>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服务时间</w:t>
            </w:r>
            <w:r>
              <w:rPr>
                <w:rFonts w:hint="eastAsia" w:ascii="黑体" w:hAnsi="黑体" w:eastAsia="黑体" w:cs="黑体"/>
                <w:b/>
                <w:color w:val="auto"/>
                <w:kern w:val="21"/>
                <w:sz w:val="24"/>
                <w:szCs w:val="24"/>
                <w:highlight w:val="none"/>
              </w:rPr>
              <w:t>:</w:t>
            </w:r>
            <w:r>
              <w:rPr>
                <w:rFonts w:hint="eastAsia" w:ascii="黑体" w:hAnsi="黑体" w:eastAsia="黑体" w:cs="黑体"/>
                <w:b/>
                <w:color w:val="auto"/>
                <w:sz w:val="24"/>
                <w:szCs w:val="24"/>
                <w:highlight w:val="none"/>
              </w:rPr>
              <w:t xml:space="preserve"> </w:t>
            </w:r>
            <w:r>
              <w:rPr>
                <w:rFonts w:hint="eastAsia" w:ascii="黑体" w:hAnsi="黑体" w:eastAsia="黑体" w:cs="黑体"/>
                <w:b/>
                <w:color w:val="auto"/>
                <w:sz w:val="24"/>
                <w:szCs w:val="24"/>
                <w:highlight w:val="none"/>
              </w:rPr>
              <w:t>合同签订之日起</w:t>
            </w:r>
            <w:r>
              <w:rPr>
                <w:rFonts w:hint="eastAsia" w:ascii="黑体" w:hAnsi="黑体" w:eastAsia="黑体" w:cs="黑体"/>
                <w:b/>
                <w:color w:val="auto"/>
                <w:sz w:val="24"/>
                <w:szCs w:val="24"/>
                <w:highlight w:val="none"/>
                <w:lang w:val="en-US" w:eastAsia="zh-CN"/>
              </w:rPr>
              <w:t>一</w:t>
            </w:r>
            <w:r>
              <w:rPr>
                <w:rFonts w:hint="eastAsia" w:ascii="黑体" w:hAnsi="黑体" w:eastAsia="黑体" w:cs="黑体"/>
                <w:b/>
                <w:color w:val="auto"/>
                <w:sz w:val="24"/>
                <w:szCs w:val="24"/>
                <w:highlight w:val="none"/>
              </w:rPr>
              <w:t>年</w:t>
            </w:r>
          </w:p>
        </w:tc>
      </w:tr>
      <w:tr w14:paraId="57EE6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tcBorders>
              <w:top w:val="single" w:color="auto" w:sz="4" w:space="0"/>
              <w:left w:val="single" w:color="auto" w:sz="4" w:space="0"/>
              <w:bottom w:val="single" w:color="auto" w:sz="4" w:space="0"/>
              <w:right w:val="single" w:color="auto" w:sz="4" w:space="0"/>
            </w:tcBorders>
            <w:vAlign w:val="center"/>
          </w:tcPr>
          <w:p w14:paraId="18A0F83A">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w:t>
            </w:r>
          </w:p>
        </w:tc>
        <w:tc>
          <w:tcPr>
            <w:tcW w:w="9150" w:type="dxa"/>
            <w:tcBorders>
              <w:top w:val="single" w:color="auto" w:sz="4" w:space="0"/>
              <w:left w:val="single" w:color="auto" w:sz="4" w:space="0"/>
              <w:bottom w:val="single" w:color="auto" w:sz="4" w:space="0"/>
              <w:right w:val="single" w:color="auto" w:sz="4" w:space="0"/>
            </w:tcBorders>
            <w:vAlign w:val="center"/>
          </w:tcPr>
          <w:p w14:paraId="725F9545">
            <w:pPr>
              <w:keepNext w:val="0"/>
              <w:keepLines w:val="0"/>
              <w:pageBreakBefore w:val="0"/>
              <w:kinsoku/>
              <w:overflowPunct/>
              <w:topLinePunct w:val="0"/>
              <w:autoSpaceDE w:val="0"/>
              <w:autoSpaceDN w:val="0"/>
              <w:bidi w:val="0"/>
              <w:adjustRightIn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根据《保障中小企业款项支付条例》、省财政厅《关于坚决打赢疫情防控阻击战进一步做好政府采购资金支持企业发展工作的通知》（浙财采监【2020】3号）要求，制定如下付款方式：</w:t>
            </w:r>
            <w:r>
              <w:rPr>
                <w:rFonts w:hint="eastAsia" w:ascii="黑体" w:hAnsi="黑体" w:eastAsia="黑体" w:cs="黑体"/>
                <w:b/>
                <w:bCs/>
                <w:color w:val="auto"/>
                <w:sz w:val="24"/>
                <w:szCs w:val="24"/>
                <w:highlight w:val="none"/>
              </w:rPr>
              <w:t>合同签订后15日内支付合同金额的40%,之后半年为一个结算周期；半年末，经检查、验收合格后十五天内支付合同金额的30%。（供应商明确表示无需预付款或者主动要求降低预付款比例的，采购单位可不适用前述规定。）在采购人支付预付款同时有权要求中标人提供预付款保函。</w:t>
            </w:r>
          </w:p>
        </w:tc>
      </w:tr>
      <w:tr w14:paraId="6E3AF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0" w:type="dxa"/>
            <w:tcBorders>
              <w:top w:val="single" w:color="auto" w:sz="4" w:space="0"/>
              <w:left w:val="single" w:color="auto" w:sz="4" w:space="0"/>
              <w:bottom w:val="single" w:color="auto" w:sz="4" w:space="0"/>
              <w:right w:val="single" w:color="auto" w:sz="4" w:space="0"/>
            </w:tcBorders>
            <w:vAlign w:val="center"/>
          </w:tcPr>
          <w:p w14:paraId="70F932B6">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w:t>
            </w:r>
          </w:p>
        </w:tc>
        <w:tc>
          <w:tcPr>
            <w:tcW w:w="9150" w:type="dxa"/>
            <w:tcBorders>
              <w:top w:val="single" w:color="auto" w:sz="4" w:space="0"/>
              <w:left w:val="single" w:color="auto" w:sz="4" w:space="0"/>
              <w:bottom w:val="single" w:color="auto" w:sz="4" w:space="0"/>
              <w:right w:val="single" w:color="auto" w:sz="4" w:space="0"/>
            </w:tcBorders>
            <w:vAlign w:val="center"/>
          </w:tcPr>
          <w:p w14:paraId="231B6D40">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采购响应文件有效期：</w:t>
            </w:r>
            <w:r>
              <w:rPr>
                <w:rFonts w:hint="eastAsia" w:ascii="黑体" w:hAnsi="黑体" w:eastAsia="黑体" w:cs="黑体"/>
                <w:color w:val="auto"/>
                <w:sz w:val="24"/>
                <w:szCs w:val="24"/>
                <w:highlight w:val="none"/>
                <w:u w:val="single"/>
              </w:rPr>
              <w:t>90</w:t>
            </w:r>
            <w:r>
              <w:rPr>
                <w:rFonts w:hint="eastAsia" w:ascii="黑体" w:hAnsi="黑体" w:eastAsia="黑体" w:cs="黑体"/>
                <w:color w:val="auto"/>
                <w:sz w:val="24"/>
                <w:szCs w:val="24"/>
                <w:highlight w:val="none"/>
              </w:rPr>
              <w:t>日历天</w:t>
            </w:r>
          </w:p>
        </w:tc>
      </w:tr>
      <w:tr w14:paraId="78700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0" w:type="dxa"/>
            <w:tcBorders>
              <w:top w:val="single" w:color="auto" w:sz="4" w:space="0"/>
              <w:left w:val="single" w:color="auto" w:sz="4" w:space="0"/>
              <w:bottom w:val="single" w:color="auto" w:sz="4" w:space="0"/>
              <w:right w:val="single" w:color="auto" w:sz="4" w:space="0"/>
            </w:tcBorders>
            <w:vAlign w:val="center"/>
          </w:tcPr>
          <w:p w14:paraId="6639117B">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w:t>
            </w:r>
          </w:p>
        </w:tc>
        <w:tc>
          <w:tcPr>
            <w:tcW w:w="9150" w:type="dxa"/>
            <w:tcBorders>
              <w:top w:val="single" w:color="auto" w:sz="4" w:space="0"/>
              <w:left w:val="single" w:color="auto" w:sz="4" w:space="0"/>
              <w:bottom w:val="single" w:color="auto" w:sz="4" w:space="0"/>
              <w:right w:val="single" w:color="auto" w:sz="4" w:space="0"/>
            </w:tcBorders>
            <w:vAlign w:val="center"/>
          </w:tcPr>
          <w:p w14:paraId="366078D2">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质疑：</w:t>
            </w:r>
            <w:r>
              <w:rPr>
                <w:rFonts w:hint="eastAsia" w:ascii="黑体" w:hAnsi="黑体" w:eastAsia="黑体" w:cs="黑体"/>
                <w:color w:val="auto"/>
                <w:sz w:val="24"/>
                <w:szCs w:val="24"/>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2E07E1AA">
            <w:pPr>
              <w:keepNext w:val="0"/>
              <w:keepLines w:val="0"/>
              <w:pageBreakBefore w:val="0"/>
              <w:kinsoku/>
              <w:overflowPunct/>
              <w:topLinePunct w:val="0"/>
              <w:bidi w:val="0"/>
              <w:snapToGrid w:val="0"/>
              <w:spacing w:line="360" w:lineRule="exact"/>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b/>
                <w:color w:val="auto"/>
                <w:sz w:val="24"/>
                <w:szCs w:val="24"/>
                <w:highlight w:val="none"/>
              </w:rPr>
              <w:t>质疑期限的计算</w:t>
            </w:r>
            <w:r>
              <w:rPr>
                <w:rFonts w:hint="eastAsia" w:ascii="黑体" w:hAnsi="黑体" w:eastAsia="黑体" w:cs="黑体"/>
                <w:color w:val="auto"/>
                <w:sz w:val="24"/>
                <w:szCs w:val="24"/>
                <w:highlight w:val="none"/>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r>
              <w:rPr>
                <w:rFonts w:hint="eastAsia" w:ascii="黑体" w:hAnsi="黑体" w:eastAsia="黑体" w:cs="黑体"/>
                <w:b/>
                <w:bCs/>
                <w:color w:val="auto"/>
                <w:sz w:val="24"/>
                <w:szCs w:val="24"/>
                <w:highlight w:val="none"/>
              </w:rPr>
              <w:t>在线提起询问，路径为：政采云-项目采购-询问质疑投诉-询问列表。</w:t>
            </w:r>
          </w:p>
          <w:p w14:paraId="7F68F445">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供应商在线提起质疑，路径为：政采云-项目采购-询问质疑投诉-质疑列表。</w:t>
            </w:r>
          </w:p>
        </w:tc>
      </w:tr>
      <w:tr w14:paraId="58ED4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0" w:type="dxa"/>
            <w:tcBorders>
              <w:top w:val="single" w:color="auto" w:sz="4" w:space="0"/>
              <w:left w:val="single" w:color="auto" w:sz="4" w:space="0"/>
              <w:bottom w:val="single" w:color="auto" w:sz="4" w:space="0"/>
              <w:right w:val="single" w:color="auto" w:sz="4" w:space="0"/>
            </w:tcBorders>
            <w:vAlign w:val="center"/>
          </w:tcPr>
          <w:p w14:paraId="7BC22F54">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w:t>
            </w:r>
          </w:p>
        </w:tc>
        <w:tc>
          <w:tcPr>
            <w:tcW w:w="9150" w:type="dxa"/>
            <w:tcBorders>
              <w:top w:val="single" w:color="auto" w:sz="4" w:space="0"/>
              <w:left w:val="single" w:color="auto" w:sz="4" w:space="0"/>
              <w:bottom w:val="single" w:color="auto" w:sz="4" w:space="0"/>
              <w:right w:val="single" w:color="auto" w:sz="4" w:space="0"/>
            </w:tcBorders>
            <w:vAlign w:val="center"/>
          </w:tcPr>
          <w:p w14:paraId="639EAA04">
            <w:pPr>
              <w:keepNext w:val="0"/>
              <w:keepLines w:val="0"/>
              <w:pageBreakBefore w:val="0"/>
              <w:kinsoku/>
              <w:overflowPunct/>
              <w:topLinePunct w:val="0"/>
              <w:bidi w:val="0"/>
              <w:snapToGrid w:val="0"/>
              <w:spacing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投诉：</w:t>
            </w:r>
            <w:r>
              <w:rPr>
                <w:rFonts w:hint="eastAsia" w:ascii="黑体" w:hAnsi="黑体" w:eastAsia="黑体" w:cs="黑体"/>
                <w:color w:val="auto"/>
                <w:sz w:val="24"/>
                <w:szCs w:val="24"/>
                <w:highlight w:val="none"/>
              </w:rPr>
              <w:t>根据《政府采购法》第五十五条的规定，质疑供应商对采购人、采购代理公司的答复不满意或者采购人、采购代理公司未在规定的时间内作出答复的，可以在答复期满后十五个工作日内向政府采购监督管理部门投诉。</w:t>
            </w:r>
            <w:r>
              <w:rPr>
                <w:rFonts w:hint="eastAsia" w:ascii="黑体" w:hAnsi="黑体" w:eastAsia="黑体" w:cs="黑体"/>
                <w:b/>
                <w:bCs/>
                <w:color w:val="auto"/>
                <w:sz w:val="24"/>
                <w:szCs w:val="24"/>
                <w:highlight w:val="none"/>
              </w:rPr>
              <w:t>质疑供应商对在线质疑答复不满意的，可在线提起投诉，路径为：浙江政府服务网-政府采购投诉处理-在线办理。</w:t>
            </w:r>
          </w:p>
        </w:tc>
      </w:tr>
      <w:tr w14:paraId="51885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0" w:type="dxa"/>
            <w:tcBorders>
              <w:top w:val="single" w:color="auto" w:sz="4" w:space="0"/>
              <w:left w:val="single" w:color="auto" w:sz="4" w:space="0"/>
              <w:bottom w:val="single" w:color="auto" w:sz="4" w:space="0"/>
              <w:right w:val="single" w:color="auto" w:sz="4" w:space="0"/>
            </w:tcBorders>
            <w:vAlign w:val="center"/>
          </w:tcPr>
          <w:p w14:paraId="22192DC7">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w:t>
            </w:r>
          </w:p>
        </w:tc>
        <w:tc>
          <w:tcPr>
            <w:tcW w:w="9150" w:type="dxa"/>
            <w:tcBorders>
              <w:top w:val="single" w:color="auto" w:sz="4" w:space="0"/>
              <w:left w:val="single" w:color="auto" w:sz="4" w:space="0"/>
              <w:bottom w:val="single" w:color="auto" w:sz="4" w:space="0"/>
              <w:right w:val="single" w:color="auto" w:sz="4" w:space="0"/>
            </w:tcBorders>
            <w:vAlign w:val="center"/>
          </w:tcPr>
          <w:p w14:paraId="3AFDF6E5">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注意事项：</w:t>
            </w:r>
            <w:r>
              <w:rPr>
                <w:rFonts w:hint="eastAsia" w:ascii="黑体" w:hAnsi="黑体" w:eastAsia="黑体" w:cs="黑体"/>
                <w:color w:val="auto"/>
                <w:sz w:val="24"/>
                <w:szCs w:val="24"/>
                <w:highlight w:val="none"/>
              </w:rPr>
              <w:t>1、磋商响应方如发现采购文件及其评标办法中歧视性不公正条款或违法违规等内容时，请于答疑截止日期前同时向采购人、采购代理公司反映，逾期不得再对采购文件的条款提出质疑。</w:t>
            </w:r>
          </w:p>
          <w:p w14:paraId="3BF59399">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14:paraId="572C1758">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3、质疑、投诉人未按前列序号第17、18条规定进行质疑、投诉（申诉）、举报等，均属于扰乱政府采购市场，直至公示。</w:t>
            </w:r>
          </w:p>
        </w:tc>
      </w:tr>
      <w:tr w14:paraId="3C10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9" w:hRule="atLeast"/>
        </w:trPr>
        <w:tc>
          <w:tcPr>
            <w:tcW w:w="600" w:type="dxa"/>
            <w:tcBorders>
              <w:top w:val="single" w:color="auto" w:sz="4" w:space="0"/>
              <w:left w:val="single" w:color="auto" w:sz="4" w:space="0"/>
              <w:bottom w:val="single" w:color="auto" w:sz="4" w:space="0"/>
              <w:right w:val="single" w:color="auto" w:sz="4" w:space="0"/>
            </w:tcBorders>
            <w:vAlign w:val="center"/>
          </w:tcPr>
          <w:p w14:paraId="77A75558">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w:t>
            </w:r>
          </w:p>
        </w:tc>
        <w:tc>
          <w:tcPr>
            <w:tcW w:w="9150" w:type="dxa"/>
            <w:tcBorders>
              <w:top w:val="single" w:color="auto" w:sz="4" w:space="0"/>
              <w:left w:val="single" w:color="auto" w:sz="4" w:space="0"/>
              <w:bottom w:val="single" w:color="auto" w:sz="4" w:space="0"/>
              <w:right w:val="single" w:color="auto" w:sz="4" w:space="0"/>
            </w:tcBorders>
            <w:vAlign w:val="center"/>
          </w:tcPr>
          <w:p w14:paraId="69820541">
            <w:pPr>
              <w:keepNext w:val="0"/>
              <w:keepLines w:val="0"/>
              <w:pageBreakBefore w:val="0"/>
              <w:kinsoku/>
              <w:overflowPunct/>
              <w:topLinePunct w:val="0"/>
              <w:bidi w:val="0"/>
              <w:snapToGrid w:val="0"/>
              <w:spacing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其他注意事项：为保障解密成功，供应商可携带笔记本电脑及CA数字证书至开标现场完成传输、解密等事宜。（交易中心不提供无线网络，请供应商自行解决上网问题）。</w:t>
            </w:r>
          </w:p>
        </w:tc>
      </w:tr>
      <w:tr w14:paraId="56074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00" w:type="dxa"/>
            <w:tcBorders>
              <w:top w:val="single" w:color="auto" w:sz="4" w:space="0"/>
              <w:left w:val="single" w:color="auto" w:sz="4" w:space="0"/>
              <w:bottom w:val="single" w:color="auto" w:sz="4" w:space="0"/>
              <w:right w:val="single" w:color="auto" w:sz="4" w:space="0"/>
            </w:tcBorders>
            <w:vAlign w:val="center"/>
          </w:tcPr>
          <w:p w14:paraId="61B9BFCE">
            <w:pPr>
              <w:keepNext w:val="0"/>
              <w:keepLines w:val="0"/>
              <w:pageBreakBefore w:val="0"/>
              <w:kinsoku/>
              <w:overflowPunct/>
              <w:topLinePunct w:val="0"/>
              <w:bidi w:val="0"/>
              <w:snapToGrid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w:t>
            </w:r>
          </w:p>
        </w:tc>
        <w:tc>
          <w:tcPr>
            <w:tcW w:w="9150" w:type="dxa"/>
            <w:tcBorders>
              <w:top w:val="single" w:color="auto" w:sz="4" w:space="0"/>
              <w:left w:val="single" w:color="auto" w:sz="4" w:space="0"/>
              <w:bottom w:val="single" w:color="auto" w:sz="4" w:space="0"/>
              <w:right w:val="single" w:color="auto" w:sz="4" w:space="0"/>
            </w:tcBorders>
            <w:vAlign w:val="center"/>
          </w:tcPr>
          <w:p w14:paraId="2E002139">
            <w:pPr>
              <w:keepNext w:val="0"/>
              <w:keepLines w:val="0"/>
              <w:pageBreakBefore w:val="0"/>
              <w:kinsoku/>
              <w:overflowPunct/>
              <w:topLinePunct w:val="0"/>
              <w:bidi w:val="0"/>
              <w:snapToGrid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解释：本采购文件的解释权属于采购单位。</w:t>
            </w:r>
          </w:p>
        </w:tc>
      </w:tr>
    </w:tbl>
    <w:p w14:paraId="6FC69C9D">
      <w:pPr>
        <w:keepNext w:val="0"/>
        <w:keepLines w:val="0"/>
        <w:pageBreakBefore w:val="0"/>
        <w:kinsoku/>
        <w:overflowPunct/>
        <w:topLinePunct w:val="0"/>
        <w:bidi w:val="0"/>
        <w:spacing w:line="360" w:lineRule="exact"/>
        <w:jc w:val="lef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一、总则</w:t>
      </w:r>
    </w:p>
    <w:p w14:paraId="31731CFC">
      <w:pPr>
        <w:keepNext w:val="0"/>
        <w:keepLines w:val="0"/>
        <w:pageBreakBefore w:val="0"/>
        <w:kinsoku/>
        <w:overflowPunct/>
        <w:topLinePunct w:val="0"/>
        <w:bidi w:val="0"/>
        <w:snapToGrid w:val="0"/>
        <w:spacing w:line="360" w:lineRule="exact"/>
        <w:ind w:firstLine="354" w:firstLineChars="147"/>
        <w:jc w:val="lef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（一）适用范围</w:t>
      </w:r>
    </w:p>
    <w:p w14:paraId="282BC365">
      <w:pPr>
        <w:keepNext w:val="0"/>
        <w:keepLines w:val="0"/>
        <w:pageBreakBefore w:val="0"/>
        <w:kinsoku/>
        <w:overflowPunct/>
        <w:topLinePunct w:val="0"/>
        <w:bidi w:val="0"/>
        <w:spacing w:line="360" w:lineRule="exact"/>
        <w:ind w:firstLine="420" w:firstLineChars="17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本采购文件仅适用于本次竞争性磋商采购所叙述的服务。</w:t>
      </w:r>
      <w:r>
        <w:rPr>
          <w:rFonts w:hint="eastAsia" w:ascii="黑体" w:hAnsi="黑体" w:eastAsia="黑体" w:cs="黑体"/>
          <w:color w:val="auto"/>
          <w:sz w:val="24"/>
          <w:szCs w:val="24"/>
          <w:highlight w:val="none"/>
        </w:rPr>
        <w:t>（法律、法规另有规定的，从其规定）。</w:t>
      </w:r>
    </w:p>
    <w:p w14:paraId="31F3B6FC">
      <w:pPr>
        <w:keepNext w:val="0"/>
        <w:keepLines w:val="0"/>
        <w:pageBreakBefore w:val="0"/>
        <w:kinsoku/>
        <w:overflowPunct/>
        <w:topLinePunct w:val="0"/>
        <w:bidi w:val="0"/>
        <w:snapToGrid w:val="0"/>
        <w:spacing w:before="120" w:beforeLines="50" w:line="360" w:lineRule="exact"/>
        <w:ind w:firstLine="354" w:firstLineChars="147"/>
        <w:jc w:val="lef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（二）定义</w:t>
      </w:r>
    </w:p>
    <w:p w14:paraId="6DBFAB59">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1.“需方”系指采购人。</w:t>
      </w:r>
    </w:p>
    <w:p w14:paraId="6D1D724F">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2.“磋商响应方”系指向需方提交采购响应文件的供应商。</w:t>
      </w:r>
    </w:p>
    <w:p w14:paraId="1DB74001">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3.“服务”系指按竞争性磋商文件要求的服务。</w:t>
      </w:r>
    </w:p>
    <w:p w14:paraId="1A1F3138">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4.“项目”系指磋商响应方按采购文件规定向采购人提供的产品和服务。</w:t>
      </w:r>
    </w:p>
    <w:p w14:paraId="39AFF66E">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5.“书面形式”包括信函、传真、电报、电子邮件等。</w:t>
      </w:r>
    </w:p>
    <w:p w14:paraId="2E8D9F92">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6.带“</w:t>
      </w:r>
      <w:r>
        <w:rPr>
          <w:rFonts w:hint="eastAsia" w:ascii="黑体" w:hAnsi="黑体" w:eastAsia="黑体" w:cs="黑体"/>
          <w:color w:val="auto"/>
          <w:kern w:val="0"/>
          <w:sz w:val="24"/>
          <w:szCs w:val="24"/>
          <w:highlight w:val="none"/>
        </w:rPr>
        <w:t>▲</w:t>
      </w:r>
      <w:r>
        <w:rPr>
          <w:rFonts w:hint="eastAsia" w:ascii="黑体" w:hAnsi="黑体" w:eastAsia="黑体" w:cs="黑体"/>
          <w:color w:val="auto"/>
          <w:sz w:val="24"/>
          <w:szCs w:val="24"/>
          <w:highlight w:val="none"/>
        </w:rPr>
        <w:t>”条款为实质性响应条款，必须响应。</w:t>
      </w:r>
    </w:p>
    <w:p w14:paraId="0A2F7411">
      <w:pPr>
        <w:keepNext w:val="0"/>
        <w:keepLines w:val="0"/>
        <w:pageBreakBefore w:val="0"/>
        <w:kinsoku/>
        <w:overflowPunct/>
        <w:topLinePunct w:val="0"/>
        <w:bidi w:val="0"/>
        <w:snapToGrid w:val="0"/>
        <w:spacing w:before="120" w:beforeLines="50" w:line="360" w:lineRule="exact"/>
        <w:ind w:firstLine="472" w:firstLineChars="196"/>
        <w:jc w:val="lef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（三）竞标委托</w:t>
      </w:r>
    </w:p>
    <w:p w14:paraId="5984635A">
      <w:pPr>
        <w:keepNext w:val="0"/>
        <w:keepLines w:val="0"/>
        <w:pageBreakBefore w:val="0"/>
        <w:kinsoku/>
        <w:overflowPunct/>
        <w:topLinePunct w:val="0"/>
        <w:bidi w:val="0"/>
        <w:snapToGrid w:val="0"/>
        <w:spacing w:line="360" w:lineRule="exact"/>
        <w:ind w:firstLine="464" w:firstLineChars="200"/>
        <w:jc w:val="left"/>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磋商响应方代表须携带身份证。如磋商响应方代表不是法定代表人，须有法定代表人出具的授权委托书（格式见附件）。</w:t>
      </w:r>
    </w:p>
    <w:p w14:paraId="46E44FDB">
      <w:pPr>
        <w:keepNext w:val="0"/>
        <w:keepLines w:val="0"/>
        <w:pageBreakBefore w:val="0"/>
        <w:kinsoku/>
        <w:overflowPunct/>
        <w:topLinePunct w:val="0"/>
        <w:bidi w:val="0"/>
        <w:snapToGrid w:val="0"/>
        <w:spacing w:before="120" w:beforeLines="50" w:line="360" w:lineRule="exact"/>
        <w:ind w:firstLine="472" w:firstLineChars="196"/>
        <w:jc w:val="lef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（四）费用</w:t>
      </w:r>
    </w:p>
    <w:p w14:paraId="3FD86E6F">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不论磋商结果如何，磋商响应方均应自行承担所有与磋商有关的全部费用（采购文件有相反规定除外）。</w:t>
      </w:r>
    </w:p>
    <w:p w14:paraId="6D11650C">
      <w:pPr>
        <w:keepNext w:val="0"/>
        <w:keepLines w:val="0"/>
        <w:pageBreakBefore w:val="0"/>
        <w:kinsoku/>
        <w:overflowPunct/>
        <w:topLinePunct w:val="0"/>
        <w:bidi w:val="0"/>
        <w:snapToGrid w:val="0"/>
        <w:spacing w:before="120" w:beforeLines="50" w:line="360" w:lineRule="exact"/>
        <w:ind w:firstLine="472" w:firstLineChars="196"/>
        <w:jc w:val="lef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（五）联合体</w:t>
      </w:r>
    </w:p>
    <w:p w14:paraId="4F5E7D90">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本项目提供的服务内容单一，故不再接受联合体投标。</w:t>
      </w:r>
    </w:p>
    <w:p w14:paraId="7703CF0E">
      <w:pPr>
        <w:keepNext w:val="0"/>
        <w:keepLines w:val="0"/>
        <w:pageBreakBefore w:val="0"/>
        <w:kinsoku/>
        <w:overflowPunct/>
        <w:topLinePunct w:val="0"/>
        <w:bidi w:val="0"/>
        <w:snapToGrid w:val="0"/>
        <w:spacing w:before="120" w:beforeLines="50" w:line="360" w:lineRule="exact"/>
        <w:ind w:firstLine="472" w:firstLineChars="196"/>
        <w:jc w:val="lef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（六）特别说明：</w:t>
      </w:r>
    </w:p>
    <w:p w14:paraId="682B52CE">
      <w:pPr>
        <w:keepNext w:val="0"/>
        <w:keepLines w:val="0"/>
        <w:pageBreakBefore w:val="0"/>
        <w:kinsoku/>
        <w:overflowPunct/>
        <w:topLinePunct w:val="0"/>
        <w:bidi w:val="0"/>
        <w:snapToGrid w:val="0"/>
        <w:spacing w:line="360" w:lineRule="exact"/>
        <w:ind w:left="2" w:leftChars="1"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61149974">
      <w:pPr>
        <w:keepNext w:val="0"/>
        <w:keepLines w:val="0"/>
        <w:pageBreakBefore w:val="0"/>
        <w:kinsoku/>
        <w:overflowPunct/>
        <w:topLinePunct w:val="0"/>
        <w:bidi w:val="0"/>
        <w:snapToGrid w:val="0"/>
        <w:spacing w:line="360" w:lineRule="exact"/>
        <w:ind w:left="2" w:leftChars="1"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2.磋商响应方应仔细阅读采购文件的所有内容，按照采购文件的要求提交采购响应文件，并对所提供的全部资料的真实性承担法律责任。</w:t>
      </w:r>
    </w:p>
    <w:p w14:paraId="6E4FD134">
      <w:pPr>
        <w:keepNext w:val="0"/>
        <w:keepLines w:val="0"/>
        <w:pageBreakBefore w:val="0"/>
        <w:kinsoku/>
        <w:overflowPunct/>
        <w:topLinePunct w:val="0"/>
        <w:bidi w:val="0"/>
        <w:snapToGrid w:val="0"/>
        <w:spacing w:line="360" w:lineRule="exact"/>
        <w:ind w:left="2" w:leftChars="1"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3.竞标人在竞标活动中提供任何虚假材料,其竞标无效，并报监管部门查处。中标后发现的,造成其他损失的须赔偿相应损失，且民事赔偿并不免除违法竞标人的行政与刑事责任。</w:t>
      </w:r>
    </w:p>
    <w:p w14:paraId="07199E79">
      <w:pPr>
        <w:keepNext w:val="0"/>
        <w:keepLines w:val="0"/>
        <w:pageBreakBefore w:val="0"/>
        <w:kinsoku/>
        <w:overflowPunct/>
        <w:topLinePunct w:val="0"/>
        <w:bidi w:val="0"/>
        <w:snapToGrid w:val="0"/>
        <w:spacing w:line="360" w:lineRule="exact"/>
        <w:ind w:left="2" w:leftChars="1"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4.根据《政府采购竞争性磋商采购方式管理暂行办法》（财库〔2014〕214号）规定，符该办法第三条第四项情形的，提交最终报价的供应商可以为2家。</w:t>
      </w:r>
    </w:p>
    <w:p w14:paraId="7CE12EB1">
      <w:pPr>
        <w:keepNext w:val="0"/>
        <w:keepLines w:val="0"/>
        <w:pageBreakBefore w:val="0"/>
        <w:widowControl/>
        <w:kinsoku/>
        <w:overflowPunct/>
        <w:topLinePunct w:val="0"/>
        <w:bidi w:val="0"/>
        <w:spacing w:line="360" w:lineRule="exact"/>
        <w:ind w:firstLine="482"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（七）质疑和投诉</w:t>
      </w:r>
    </w:p>
    <w:p w14:paraId="65C938FB">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质疑、投诉应当采用书面形式，质疑书、投诉书均应明确阐述采购文件、招标过程或成交结果中使自己合法权益受到损害的实质性内容，提供相关事实、依据和证据及其来源或线索，便于有关单位调查、答复和处理。</w:t>
      </w:r>
    </w:p>
    <w:p w14:paraId="739BD89C">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2.供应商未按规定要求提出的，则视同认可采购文件，但法律法规及规范性文件有明确规定的除外。</w:t>
      </w:r>
    </w:p>
    <w:p w14:paraId="3038AE8A">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bCs/>
          <w:color w:val="auto"/>
          <w:sz w:val="24"/>
          <w:szCs w:val="24"/>
          <w:highlight w:val="none"/>
          <w:lang w:eastAsia="zh-CN"/>
        </w:rPr>
      </w:pPr>
      <w:r>
        <w:rPr>
          <w:rFonts w:hint="eastAsia" w:ascii="黑体" w:hAnsi="黑体" w:eastAsia="黑体" w:cs="黑体"/>
          <w:bCs/>
          <w:color w:val="auto"/>
          <w:sz w:val="24"/>
          <w:szCs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质疑函范本、投诉书范本请到浙江政府采购网下载专区下载</w:t>
      </w:r>
      <w:r>
        <w:rPr>
          <w:rFonts w:hint="eastAsia" w:ascii="黑体" w:hAnsi="黑体" w:eastAsia="黑体" w:cs="黑体"/>
          <w:bCs/>
          <w:color w:val="auto"/>
          <w:sz w:val="24"/>
          <w:szCs w:val="24"/>
          <w:highlight w:val="none"/>
          <w:lang w:eastAsia="zh-CN"/>
        </w:rPr>
        <w:t>。</w:t>
      </w:r>
    </w:p>
    <w:p w14:paraId="3CD1DA4C">
      <w:pPr>
        <w:keepNext w:val="0"/>
        <w:keepLines w:val="0"/>
        <w:pageBreakBefore w:val="0"/>
        <w:kinsoku/>
        <w:overflowPunct/>
        <w:topLinePunct w:val="0"/>
        <w:bidi w:val="0"/>
        <w:snapToGrid w:val="0"/>
        <w:spacing w:line="360" w:lineRule="exact"/>
        <w:outlineLvl w:val="0"/>
        <w:rPr>
          <w:rFonts w:hint="eastAsia" w:ascii="黑体" w:hAnsi="黑体" w:eastAsia="黑体" w:cs="黑体"/>
          <w:b/>
          <w:color w:val="auto"/>
          <w:sz w:val="24"/>
          <w:szCs w:val="24"/>
          <w:highlight w:val="none"/>
        </w:rPr>
      </w:pPr>
      <w:bookmarkStart w:id="5" w:name="_Toc157410886"/>
      <w:r>
        <w:rPr>
          <w:rFonts w:hint="eastAsia" w:ascii="黑体" w:hAnsi="黑体" w:eastAsia="黑体" w:cs="黑体"/>
          <w:b/>
          <w:color w:val="auto"/>
          <w:sz w:val="24"/>
          <w:szCs w:val="24"/>
          <w:highlight w:val="none"/>
        </w:rPr>
        <w:t>二、采购文件</w:t>
      </w:r>
    </w:p>
    <w:p w14:paraId="59B078BD">
      <w:pPr>
        <w:keepNext w:val="0"/>
        <w:keepLines w:val="0"/>
        <w:pageBreakBefore w:val="0"/>
        <w:kinsoku/>
        <w:overflowPunct/>
        <w:topLinePunct w:val="0"/>
        <w:bidi w:val="0"/>
        <w:snapToGrid w:val="0"/>
        <w:spacing w:line="360" w:lineRule="exact"/>
        <w:ind w:firstLine="472" w:firstLineChars="196"/>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（一）采购文件的构成。本采购文件由以下部份组成：</w:t>
      </w:r>
    </w:p>
    <w:p w14:paraId="6214D069">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1.竞争性磋商公告</w:t>
      </w:r>
    </w:p>
    <w:p w14:paraId="538C3F9C">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2.竞争性磋商须知</w:t>
      </w:r>
    </w:p>
    <w:p w14:paraId="467119FD">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3.采购内容及技术要求</w:t>
      </w:r>
    </w:p>
    <w:p w14:paraId="7BFEE256">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4.评分办法及标准</w:t>
      </w:r>
    </w:p>
    <w:p w14:paraId="7C3DFEDD">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5.合同主要条款</w:t>
      </w:r>
    </w:p>
    <w:p w14:paraId="71676DC7">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6.磋商响应文件格式</w:t>
      </w:r>
    </w:p>
    <w:p w14:paraId="27EB511F">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7.本项目采购文件的澄清、答复、修改、补充的内容</w:t>
      </w:r>
    </w:p>
    <w:p w14:paraId="0993E669">
      <w:pPr>
        <w:keepNext w:val="0"/>
        <w:keepLines w:val="0"/>
        <w:pageBreakBefore w:val="0"/>
        <w:kinsoku/>
        <w:overflowPunct/>
        <w:topLinePunct w:val="0"/>
        <w:bidi w:val="0"/>
        <w:snapToGrid w:val="0"/>
        <w:spacing w:before="120" w:beforeLines="50" w:line="360" w:lineRule="exact"/>
        <w:ind w:firstLine="472" w:firstLineChars="196"/>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（二）磋商响应方的风险</w:t>
      </w:r>
    </w:p>
    <w:p w14:paraId="09FAFCF3">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磋商响应方没有按照采购文件要求提供全部资料，或者磋商响应方没有对采购文件在各方面作出实质性响应是磋商响应方的风险，并可能导致其竞标被拒绝。</w:t>
      </w:r>
    </w:p>
    <w:p w14:paraId="7CC6AF98">
      <w:pPr>
        <w:keepNext w:val="0"/>
        <w:keepLines w:val="0"/>
        <w:pageBreakBefore w:val="0"/>
        <w:tabs>
          <w:tab w:val="left" w:pos="454"/>
          <w:tab w:val="left" w:pos="720"/>
        </w:tabs>
        <w:kinsoku/>
        <w:overflowPunct/>
        <w:topLinePunct w:val="0"/>
        <w:bidi w:val="0"/>
        <w:snapToGrid w:val="0"/>
        <w:spacing w:before="120" w:beforeLines="50" w:line="360" w:lineRule="exact"/>
        <w:ind w:firstLine="472" w:firstLineChars="196"/>
        <w:jc w:val="left"/>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（三）采购文件的澄清与修改</w:t>
      </w:r>
    </w:p>
    <w:p w14:paraId="6D4B58B2">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在磋商截止时间前，采购代理公司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7E9695E1">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采购代理公司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7200C442">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3.采购文件澄清、答复、修改、补充的内容为采购文件的组成部分。当采购文件与采购文件的答复、澄清、修改、补充通知就同一内容的表述不一致时，以最后发出的书面文件为准。</w:t>
      </w:r>
    </w:p>
    <w:p w14:paraId="22760AFE">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4.采购文件的澄清、答复、修改或补充都应该通过本代理机构以法定形式发布，采购人非通过本机构，不得擅自澄清、答复、修改或补充采购文件。</w:t>
      </w:r>
    </w:p>
    <w:p w14:paraId="25908539">
      <w:pPr>
        <w:keepNext w:val="0"/>
        <w:keepLines w:val="0"/>
        <w:pageBreakBefore w:val="0"/>
        <w:kinsoku/>
        <w:overflowPunct/>
        <w:topLinePunct w:val="0"/>
        <w:bidi w:val="0"/>
        <w:snapToGrid w:val="0"/>
        <w:spacing w:line="360" w:lineRule="exact"/>
        <w:outlineLvl w:val="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三、磋商响应文件的编制</w:t>
      </w:r>
    </w:p>
    <w:p w14:paraId="3453921B">
      <w:pPr>
        <w:keepNext w:val="0"/>
        <w:keepLines w:val="0"/>
        <w:pageBreakBefore w:val="0"/>
        <w:kinsoku/>
        <w:overflowPunct/>
        <w:topLinePunct w:val="0"/>
        <w:bidi w:val="0"/>
        <w:snapToGrid w:val="0"/>
        <w:spacing w:line="360" w:lineRule="exact"/>
        <w:ind w:firstLine="482" w:firstLineChars="200"/>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注：磋商响应方应保证所提供文件资料的真实性，所有文件资料必须是针对本次竞标的。如发现磋商响应方提供了虚假文件资料，其竞标将被拒绝，并自行承担相应的法律责任。</w:t>
      </w:r>
    </w:p>
    <w:p w14:paraId="0518EAB5">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（一）磋商响应文件的形式和效力</w:t>
      </w:r>
    </w:p>
    <w:p w14:paraId="27F0CD84">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 磋商响应文件分为电子磋商响应文件以及备份电子磋商响应文件。</w:t>
      </w:r>
    </w:p>
    <w:p w14:paraId="5C08F76D">
      <w:pPr>
        <w:keepNext w:val="0"/>
        <w:keepLines w:val="0"/>
        <w:pageBreakBefore w:val="0"/>
        <w:kinsoku/>
        <w:overflowPunct/>
        <w:topLinePunct w:val="0"/>
        <w:bidi w:val="0"/>
        <w:snapToGrid w:val="0"/>
        <w:spacing w:line="360" w:lineRule="exact"/>
        <w:ind w:firstLine="472" w:firstLineChars="196"/>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1.1电子磋商响应文件：电子磋商响应文件按政采云平台供应商项目采购-电子交易操作指南（https://help.zcygov.cn/web/site_2/2018/12-28/2573.html）及本采购文件要求制作、加密并递交；</w:t>
      </w:r>
    </w:p>
    <w:p w14:paraId="5F08EC75">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1.2 备份电子磋商响应文件：即电子磋商响应文件按“政采云供应商项目采购-电子招投标操作指南”制作的备份文件。</w:t>
      </w:r>
    </w:p>
    <w:p w14:paraId="746438DD">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2.磋商响应文件的效力</w:t>
      </w:r>
    </w:p>
    <w:p w14:paraId="43E679DC">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7BDDC542">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（二）磋商响应文件的组成</w:t>
      </w:r>
    </w:p>
    <w:p w14:paraId="05E57B1A">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磋商响应文件（包括电子磋商响应文件和备份磋商响应文件）由资格文件、商务技术文件、报价文件三部份组成。</w:t>
      </w:r>
    </w:p>
    <w:p w14:paraId="4FB04D51">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其中电子磋商响应文件中所须加盖公章部分均采用CA签章。</w:t>
      </w:r>
    </w:p>
    <w:p w14:paraId="3992F118">
      <w:pPr>
        <w:keepNext w:val="0"/>
        <w:keepLines w:val="0"/>
        <w:pageBreakBefore w:val="0"/>
        <w:kinsoku/>
        <w:overflowPunct/>
        <w:topLinePunct w:val="0"/>
        <w:bidi w:val="0"/>
        <w:snapToGrid w:val="0"/>
        <w:spacing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备份电子磋商响应文件，按政采云平台项目采购-电子招投标操作指南中上传的电子磋商响应文件格式，以光盘或U盘形式提供。数量为1份。</w:t>
      </w:r>
    </w:p>
    <w:p w14:paraId="5538094C">
      <w:pPr>
        <w:keepNext w:val="0"/>
        <w:keepLines w:val="0"/>
        <w:pageBreakBefore w:val="0"/>
        <w:kinsoku/>
        <w:overflowPunct/>
        <w:topLinePunct w:val="0"/>
        <w:bidi w:val="0"/>
        <w:snapToGrid w:val="0"/>
        <w:spacing w:before="120" w:beforeLines="50" w:line="360" w:lineRule="exact"/>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1.资格文件：</w:t>
      </w:r>
    </w:p>
    <w:p w14:paraId="61C991CF">
      <w:pPr>
        <w:keepNext w:val="0"/>
        <w:keepLines w:val="0"/>
        <w:pageBreakBefore w:val="0"/>
        <w:tabs>
          <w:tab w:val="left" w:pos="600"/>
        </w:tabs>
        <w:kinsoku/>
        <w:overflowPunct/>
        <w:topLinePunct w:val="0"/>
        <w:bidi w:val="0"/>
        <w:snapToGrid w:val="0"/>
        <w:spacing w:before="120" w:beforeLines="50" w:line="360" w:lineRule="exact"/>
        <w:ind w:firstLine="424" w:firstLineChars="176"/>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根据《浙江省财政厅关于印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0CEB8CF1">
      <w:pPr>
        <w:keepNext w:val="0"/>
        <w:keepLines w:val="0"/>
        <w:pageBreakBefore w:val="0"/>
        <w:widowControl/>
        <w:kinsoku/>
        <w:overflowPunct/>
        <w:topLinePunct w:val="0"/>
        <w:bidi w:val="0"/>
        <w:spacing w:line="360" w:lineRule="exact"/>
        <w:ind w:firstLine="542" w:firstLineChars="225"/>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a.</w:t>
      </w:r>
      <w:r>
        <w:rPr>
          <w:rFonts w:hint="eastAsia" w:ascii="黑体" w:hAnsi="黑体" w:eastAsia="黑体" w:cs="黑体"/>
          <w:b/>
          <w:bCs/>
          <w:color w:val="auto"/>
          <w:sz w:val="24"/>
          <w:szCs w:val="24"/>
          <w:highlight w:val="none"/>
        </w:rPr>
        <w:t>磋商响应方的有效工商营业执照或法人证书复印件加盖公章；</w:t>
      </w:r>
      <w:r>
        <w:rPr>
          <w:rFonts w:hint="eastAsia" w:ascii="黑体" w:hAnsi="黑体" w:eastAsia="黑体" w:cs="黑体"/>
          <w:b/>
          <w:color w:val="auto"/>
          <w:sz w:val="24"/>
          <w:szCs w:val="24"/>
          <w:highlight w:val="none"/>
        </w:rPr>
        <w:t xml:space="preserve"> </w:t>
      </w:r>
    </w:p>
    <w:p w14:paraId="438AABC1">
      <w:pPr>
        <w:keepNext w:val="0"/>
        <w:keepLines w:val="0"/>
        <w:pageBreakBefore w:val="0"/>
        <w:widowControl/>
        <w:kinsoku/>
        <w:overflowPunct/>
        <w:topLinePunct w:val="0"/>
        <w:bidi w:val="0"/>
        <w:spacing w:line="360" w:lineRule="exact"/>
        <w:ind w:firstLine="542" w:firstLineChars="225"/>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b.</w:t>
      </w:r>
      <w:r>
        <w:rPr>
          <w:rFonts w:hint="eastAsia" w:ascii="黑体" w:hAnsi="黑体" w:eastAsia="黑体" w:cs="黑体"/>
          <w:b/>
          <w:color w:val="auto"/>
          <w:sz w:val="24"/>
          <w:szCs w:val="24"/>
          <w:highlight w:val="none"/>
        </w:rPr>
        <w:t>磋商响应方的承诺函原件（格式见采购文件附件）；</w:t>
      </w:r>
    </w:p>
    <w:p w14:paraId="39EBD96A">
      <w:pPr>
        <w:keepNext w:val="0"/>
        <w:keepLines w:val="0"/>
        <w:pageBreakBefore w:val="0"/>
        <w:widowControl/>
        <w:kinsoku/>
        <w:overflowPunct/>
        <w:topLinePunct w:val="0"/>
        <w:bidi w:val="0"/>
        <w:spacing w:line="360" w:lineRule="exact"/>
        <w:ind w:firstLine="540" w:firstLineChars="224"/>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c.法定代表人授权书原件、被授权人身份证复印件一份；</w:t>
      </w:r>
    </w:p>
    <w:p w14:paraId="28008A3B">
      <w:pPr>
        <w:keepNext w:val="0"/>
        <w:keepLines w:val="0"/>
        <w:pageBreakBefore w:val="0"/>
        <w:widowControl/>
        <w:kinsoku/>
        <w:overflowPunct/>
        <w:topLinePunct w:val="0"/>
        <w:bidi w:val="0"/>
        <w:spacing w:line="360" w:lineRule="exact"/>
        <w:ind w:firstLine="540" w:firstLineChars="224"/>
        <w:jc w:val="left"/>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d.</w:t>
      </w:r>
      <w:r>
        <w:rPr>
          <w:rFonts w:hint="eastAsia" w:ascii="黑体" w:hAnsi="黑体" w:eastAsia="黑体" w:cs="黑体"/>
          <w:b/>
          <w:bCs/>
          <w:color w:val="auto"/>
          <w:sz w:val="24"/>
          <w:szCs w:val="24"/>
          <w:highlight w:val="none"/>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37C3C14A">
      <w:pPr>
        <w:keepNext w:val="0"/>
        <w:keepLines w:val="0"/>
        <w:pageBreakBefore w:val="0"/>
        <w:widowControl/>
        <w:kinsoku/>
        <w:overflowPunct/>
        <w:topLinePunct w:val="0"/>
        <w:bidi w:val="0"/>
        <w:spacing w:line="360" w:lineRule="exact"/>
        <w:ind w:firstLine="540" w:firstLineChars="224"/>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e.</w:t>
      </w:r>
      <w:r>
        <w:rPr>
          <w:rFonts w:hint="eastAsia" w:ascii="黑体" w:hAnsi="黑体" w:eastAsia="黑体" w:cs="黑体"/>
          <w:b/>
          <w:color w:val="auto"/>
          <w:sz w:val="24"/>
          <w:szCs w:val="24"/>
          <w:highlight w:val="none"/>
        </w:rPr>
        <w:t>磋商响应方的其他资格证明文件复印件加盖公章（如果供应商为金融、保险、通讯等特定行业的全国性企业所设立的区域性分支机构，以及个体工商户、个人独资企业、合伙企业，必须获得总公司（总机构）授权或能够提供房产权证或其他有效财产证明材料，证明文件可以是房产权证、车辆行驶证或其他固定资产等有效财产证明材料复印件加盖公章）</w:t>
      </w:r>
      <w:r>
        <w:rPr>
          <w:rFonts w:hint="eastAsia" w:ascii="黑体" w:hAnsi="黑体" w:eastAsia="黑体" w:cs="黑体"/>
          <w:b/>
          <w:bCs/>
          <w:color w:val="auto"/>
          <w:sz w:val="24"/>
          <w:szCs w:val="24"/>
          <w:highlight w:val="none"/>
        </w:rPr>
        <w:t>。</w:t>
      </w:r>
    </w:p>
    <w:p w14:paraId="6BDB1523">
      <w:pPr>
        <w:keepNext w:val="0"/>
        <w:keepLines w:val="0"/>
        <w:pageBreakBefore w:val="0"/>
        <w:tabs>
          <w:tab w:val="left" w:pos="704"/>
        </w:tabs>
        <w:kinsoku/>
        <w:overflowPunct/>
        <w:topLinePunct w:val="0"/>
        <w:bidi w:val="0"/>
        <w:snapToGrid w:val="0"/>
        <w:spacing w:before="120" w:beforeLines="50" w:line="360" w:lineRule="exact"/>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2.商务技术文件：</w:t>
      </w:r>
    </w:p>
    <w:p w14:paraId="4EC6D713">
      <w:pPr>
        <w:keepNext w:val="0"/>
        <w:keepLines w:val="0"/>
        <w:pageBreakBefore w:val="0"/>
        <w:kinsoku/>
        <w:overflowPunct/>
        <w:topLinePunct w:val="0"/>
        <w:bidi w:val="0"/>
        <w:snapToGrid w:val="0"/>
        <w:spacing w:before="120" w:beforeLines="50" w:line="360" w:lineRule="exact"/>
        <w:ind w:left="426"/>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（1）商务部分包括但不限于以下内容</w:t>
      </w:r>
    </w:p>
    <w:p w14:paraId="3D35DB61">
      <w:pPr>
        <w:keepNext w:val="0"/>
        <w:keepLines w:val="0"/>
        <w:pageBreakBefore w:val="0"/>
        <w:tabs>
          <w:tab w:val="left" w:pos="0"/>
        </w:tabs>
        <w:kinsoku/>
        <w:overflowPunct/>
        <w:topLinePunct w:val="0"/>
        <w:bidi w:val="0"/>
        <w:spacing w:line="360" w:lineRule="exact"/>
        <w:ind w:left="567"/>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A.供应商采购响应文件评分索引一览表（格式见附件）</w:t>
      </w:r>
    </w:p>
    <w:p w14:paraId="562DEC28">
      <w:pPr>
        <w:keepNext w:val="0"/>
        <w:keepLines w:val="0"/>
        <w:pageBreakBefore w:val="0"/>
        <w:tabs>
          <w:tab w:val="left" w:pos="0"/>
        </w:tabs>
        <w:kinsoku/>
        <w:overflowPunct/>
        <w:topLinePunct w:val="0"/>
        <w:bidi w:val="0"/>
        <w:spacing w:line="360" w:lineRule="exact"/>
        <w:ind w:left="567"/>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B.磋商声明书（格式见附件）</w:t>
      </w:r>
    </w:p>
    <w:p w14:paraId="3AC9A528">
      <w:pPr>
        <w:keepNext w:val="0"/>
        <w:keepLines w:val="0"/>
        <w:pageBreakBefore w:val="0"/>
        <w:tabs>
          <w:tab w:val="left" w:pos="0"/>
        </w:tabs>
        <w:kinsoku/>
        <w:overflowPunct/>
        <w:topLinePunct w:val="0"/>
        <w:bidi w:val="0"/>
        <w:spacing w:line="360" w:lineRule="exact"/>
        <w:ind w:left="567"/>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C.企业总体情况</w:t>
      </w:r>
    </w:p>
    <w:p w14:paraId="64D1B536">
      <w:pPr>
        <w:keepNext w:val="0"/>
        <w:keepLines w:val="0"/>
        <w:pageBreakBefore w:val="0"/>
        <w:tabs>
          <w:tab w:val="left" w:pos="0"/>
        </w:tabs>
        <w:kinsoku/>
        <w:overflowPunct/>
        <w:topLinePunct w:val="0"/>
        <w:bidi w:val="0"/>
        <w:spacing w:line="360" w:lineRule="exact"/>
        <w:ind w:left="567"/>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D.成功案例</w:t>
      </w:r>
    </w:p>
    <w:p w14:paraId="5C21D5F9">
      <w:pPr>
        <w:keepNext w:val="0"/>
        <w:keepLines w:val="0"/>
        <w:pageBreakBefore w:val="0"/>
        <w:tabs>
          <w:tab w:val="left" w:pos="0"/>
        </w:tabs>
        <w:kinsoku/>
        <w:overflowPunct/>
        <w:topLinePunct w:val="0"/>
        <w:bidi w:val="0"/>
        <w:spacing w:line="360" w:lineRule="exact"/>
        <w:ind w:left="567"/>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E.提供实质性的优惠条件或服务措施</w:t>
      </w:r>
    </w:p>
    <w:p w14:paraId="191A86E1">
      <w:pPr>
        <w:keepNext w:val="0"/>
        <w:keepLines w:val="0"/>
        <w:pageBreakBefore w:val="0"/>
        <w:tabs>
          <w:tab w:val="left" w:pos="0"/>
        </w:tabs>
        <w:kinsoku/>
        <w:overflowPunct/>
        <w:topLinePunct w:val="0"/>
        <w:bidi w:val="0"/>
        <w:spacing w:line="360" w:lineRule="exact"/>
        <w:ind w:left="567"/>
        <w:rPr>
          <w:rFonts w:hint="eastAsia" w:ascii="黑体" w:hAnsi="黑体" w:eastAsia="黑体" w:cs="黑体"/>
          <w:color w:val="auto"/>
          <w:sz w:val="24"/>
          <w:szCs w:val="24"/>
          <w:highlight w:val="none"/>
        </w:rPr>
      </w:pPr>
      <w:r>
        <w:rPr>
          <w:rFonts w:hint="eastAsia" w:ascii="黑体" w:hAnsi="黑体" w:eastAsia="黑体" w:cs="黑体"/>
          <w:snapToGrid w:val="0"/>
          <w:color w:val="auto"/>
          <w:sz w:val="24"/>
          <w:szCs w:val="24"/>
          <w:highlight w:val="none"/>
        </w:rPr>
        <w:t>F.服务响应情况</w:t>
      </w:r>
    </w:p>
    <w:p w14:paraId="29B51BEA">
      <w:pPr>
        <w:keepNext w:val="0"/>
        <w:keepLines w:val="0"/>
        <w:pageBreakBefore w:val="0"/>
        <w:tabs>
          <w:tab w:val="left" w:pos="0"/>
        </w:tabs>
        <w:kinsoku/>
        <w:overflowPunct/>
        <w:topLinePunct w:val="0"/>
        <w:bidi w:val="0"/>
        <w:spacing w:line="360" w:lineRule="exact"/>
        <w:ind w:left="567"/>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G.商务偏离表</w:t>
      </w:r>
    </w:p>
    <w:p w14:paraId="23FCA000">
      <w:pPr>
        <w:keepNext w:val="0"/>
        <w:keepLines w:val="0"/>
        <w:pageBreakBefore w:val="0"/>
        <w:tabs>
          <w:tab w:val="left" w:pos="0"/>
          <w:tab w:val="left" w:pos="540"/>
        </w:tabs>
        <w:kinsoku/>
        <w:overflowPunct/>
        <w:topLinePunct w:val="0"/>
        <w:bidi w:val="0"/>
        <w:spacing w:line="360" w:lineRule="exact"/>
        <w:ind w:left="567"/>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H.采购文件要求的，以及磋商响应方认为要说明的其他内容。</w:t>
      </w:r>
    </w:p>
    <w:p w14:paraId="2D92D81F">
      <w:pPr>
        <w:keepNext w:val="0"/>
        <w:keepLines w:val="0"/>
        <w:pageBreakBefore w:val="0"/>
        <w:kinsoku/>
        <w:overflowPunct/>
        <w:topLinePunct w:val="0"/>
        <w:bidi w:val="0"/>
        <w:spacing w:line="360" w:lineRule="exact"/>
        <w:ind w:left="426"/>
        <w:rPr>
          <w:rFonts w:hint="eastAsia" w:ascii="黑体" w:hAnsi="黑体" w:eastAsia="黑体" w:cs="黑体"/>
          <w:color w:val="auto"/>
          <w:sz w:val="24"/>
          <w:szCs w:val="24"/>
          <w:highlight w:val="none"/>
          <w:lang w:val="zh-CN"/>
        </w:rPr>
      </w:pPr>
      <w:r>
        <w:rPr>
          <w:rFonts w:hint="eastAsia" w:ascii="黑体" w:hAnsi="黑体" w:eastAsia="黑体" w:cs="黑体"/>
          <w:b/>
          <w:color w:val="auto"/>
          <w:sz w:val="24"/>
          <w:szCs w:val="24"/>
          <w:highlight w:val="none"/>
        </w:rPr>
        <w:t>（2）技术部分包括但不限于以下内容：</w:t>
      </w:r>
      <w:r>
        <w:rPr>
          <w:rFonts w:hint="eastAsia" w:ascii="黑体" w:hAnsi="黑体" w:eastAsia="黑体" w:cs="黑体"/>
          <w:color w:val="auto"/>
          <w:sz w:val="24"/>
          <w:szCs w:val="24"/>
          <w:highlight w:val="none"/>
          <w:lang w:val="zh-CN"/>
        </w:rPr>
        <w:t xml:space="preserve"> </w:t>
      </w:r>
    </w:p>
    <w:p w14:paraId="7579F8F9">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满足本项目采购文件要求</w:t>
      </w:r>
    </w:p>
    <w:p w14:paraId="4754FA37">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rPr>
        <w:t>养护方案</w:t>
      </w:r>
    </w:p>
    <w:p w14:paraId="414C19A1">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rPr>
        <w:t>服务保障应急预案</w:t>
      </w:r>
    </w:p>
    <w:p w14:paraId="1F80140D">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合理化建议</w:t>
      </w:r>
    </w:p>
    <w:p w14:paraId="0F8DF30B">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color w:val="auto"/>
          <w:sz w:val="24"/>
          <w:szCs w:val="24"/>
          <w:highlight w:val="none"/>
        </w:rPr>
      </w:pPr>
      <w:r>
        <w:rPr>
          <w:rFonts w:hint="eastAsia" w:ascii="黑体" w:hAnsi="黑体" w:eastAsia="黑体" w:cs="黑体"/>
          <w:b w:val="0"/>
          <w:bCs/>
          <w:color w:val="auto"/>
          <w:kern w:val="0"/>
          <w:sz w:val="24"/>
          <w:szCs w:val="24"/>
          <w:highlight w:val="none"/>
        </w:rPr>
        <w:t>车辆、设备配备情况</w:t>
      </w:r>
      <w:r>
        <w:rPr>
          <w:rFonts w:hint="eastAsia" w:ascii="黑体" w:hAnsi="黑体" w:eastAsia="黑体" w:cs="黑体"/>
          <w:b/>
          <w:color w:val="auto"/>
          <w:sz w:val="24"/>
          <w:szCs w:val="24"/>
          <w:highlight w:val="none"/>
        </w:rPr>
        <w:t>。</w:t>
      </w:r>
    </w:p>
    <w:p w14:paraId="3677AE6E">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项目人员配备情况</w:t>
      </w:r>
    </w:p>
    <w:p w14:paraId="53B1A8F0">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rPr>
        <w:t>技术偏离表</w:t>
      </w:r>
    </w:p>
    <w:p w14:paraId="61AAE503">
      <w:pPr>
        <w:keepNext w:val="0"/>
        <w:keepLines w:val="0"/>
        <w:pageBreakBefore w:val="0"/>
        <w:numPr>
          <w:ilvl w:val="1"/>
          <w:numId w:val="25"/>
        </w:numPr>
        <w:tabs>
          <w:tab w:val="left" w:pos="0"/>
          <w:tab w:val="clear" w:pos="360"/>
        </w:tabs>
        <w:kinsoku/>
        <w:overflowPunct/>
        <w:topLinePunct w:val="0"/>
        <w:bidi w:val="0"/>
        <w:spacing w:line="360" w:lineRule="exact"/>
        <w:ind w:left="0" w:firstLine="567"/>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采购文件要求的以及磋商响应方认为可能需要的其他文件资料。</w:t>
      </w:r>
    </w:p>
    <w:p w14:paraId="74209E85">
      <w:pPr>
        <w:keepNext w:val="0"/>
        <w:keepLines w:val="0"/>
        <w:pageBreakBefore w:val="0"/>
        <w:kinsoku/>
        <w:overflowPunct/>
        <w:topLinePunct w:val="0"/>
        <w:bidi w:val="0"/>
        <w:spacing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3.报价文件（初次）： </w:t>
      </w:r>
    </w:p>
    <w:p w14:paraId="226E4CE1">
      <w:pPr>
        <w:keepNext w:val="0"/>
        <w:keepLines w:val="0"/>
        <w:pageBreakBefore w:val="0"/>
        <w:numPr>
          <w:ilvl w:val="0"/>
          <w:numId w:val="26"/>
        </w:numPr>
        <w:kinsoku/>
        <w:overflowPunct/>
        <w:topLinePunct w:val="0"/>
        <w:bidi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采购响应函（格式见附件）</w:t>
      </w:r>
    </w:p>
    <w:p w14:paraId="7C881140">
      <w:pPr>
        <w:keepNext w:val="0"/>
        <w:keepLines w:val="0"/>
        <w:pageBreakBefore w:val="0"/>
        <w:numPr>
          <w:ilvl w:val="0"/>
          <w:numId w:val="26"/>
        </w:numPr>
        <w:kinsoku/>
        <w:overflowPunct/>
        <w:topLinePunct w:val="0"/>
        <w:bidi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磋商初次报价一览表（格式见附件）</w:t>
      </w:r>
    </w:p>
    <w:p w14:paraId="0B0AC954">
      <w:pPr>
        <w:keepNext w:val="0"/>
        <w:keepLines w:val="0"/>
        <w:pageBreakBefore w:val="0"/>
        <w:numPr>
          <w:ilvl w:val="0"/>
          <w:numId w:val="26"/>
        </w:numPr>
        <w:kinsoku/>
        <w:overflowPunct/>
        <w:topLinePunct w:val="0"/>
        <w:bidi w:val="0"/>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磋商初次报价明细表（格式见附件）</w:t>
      </w:r>
    </w:p>
    <w:p w14:paraId="37DA3F68">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b/>
          <w:bCs/>
          <w:color w:val="auto"/>
          <w:sz w:val="24"/>
          <w:szCs w:val="24"/>
          <w:highlight w:val="none"/>
        </w:rPr>
        <w:t>注：磋商声明书、采购响应函和法定代表人授权书至少必须各有一份原件具有法定代</w:t>
      </w:r>
      <w:r>
        <w:rPr>
          <w:rFonts w:hint="eastAsia" w:ascii="黑体" w:hAnsi="黑体" w:eastAsia="黑体" w:cs="黑体"/>
          <w:b/>
          <w:bCs/>
          <w:color w:val="auto"/>
          <w:sz w:val="24"/>
          <w:szCs w:val="24"/>
          <w:highlight w:val="none"/>
        </w:rPr>
        <w:t>表人签名(或盖法定代表人私章)并加盖单位公章。</w:t>
      </w:r>
      <w:r>
        <w:rPr>
          <w:rFonts w:hint="eastAsia" w:ascii="黑体" w:hAnsi="黑体" w:eastAsia="黑体" w:cs="黑体"/>
          <w:b/>
          <w:bCs/>
          <w:color w:val="auto"/>
          <w:kern w:val="0"/>
          <w:sz w:val="24"/>
          <w:szCs w:val="24"/>
          <w:highlight w:val="none"/>
        </w:rPr>
        <w:t>（法定代表人亲自参加开标的不需要提供法定代表人授权委托书）</w:t>
      </w:r>
    </w:p>
    <w:p w14:paraId="4ABF52D8">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（二）磋商响应文件的语言及计量</w:t>
      </w:r>
    </w:p>
    <w:p w14:paraId="28DA0F0C">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▲1磋商响应文件以及竞标方与采购方就有关竞标事宜的所有来往函电，均应以中文汉语书写。除签名、盖章、专用名称等特殊情形外，以中文汉语以外的文字表述的磋商响应文件视同未提供。</w:t>
      </w:r>
    </w:p>
    <w:p w14:paraId="50800C63">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▲2竞标计量单位，采购文件已有明确规定的，使用采购文件规定的计量单位。采购文件没有规定的，应采用中华人民共和国法定计量单位（货币单位：人民币元），否则视同未响应。</w:t>
      </w:r>
    </w:p>
    <w:p w14:paraId="5B680150">
      <w:pPr>
        <w:keepNext w:val="0"/>
        <w:keepLines w:val="0"/>
        <w:pageBreakBefore w:val="0"/>
        <w:kinsoku/>
        <w:overflowPunct/>
        <w:topLinePunct w:val="0"/>
        <w:bidi w:val="0"/>
        <w:snapToGrid w:val="0"/>
        <w:spacing w:before="120" w:beforeLines="50"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（三）磋商报价</w:t>
      </w:r>
    </w:p>
    <w:p w14:paraId="4007419D">
      <w:pPr>
        <w:keepNext w:val="0"/>
        <w:keepLines w:val="0"/>
        <w:pageBreakBefore w:val="0"/>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1.磋商报价应按采购文件中相关附表格式填写。</w:t>
      </w:r>
    </w:p>
    <w:p w14:paraId="716CFEEC">
      <w:pPr>
        <w:keepNext w:val="0"/>
        <w:keepLines w:val="0"/>
        <w:pageBreakBefore w:val="0"/>
        <w:kinsoku/>
        <w:overflowPunct/>
        <w:topLinePunct w:val="0"/>
        <w:bidi w:val="0"/>
        <w:spacing w:line="360" w:lineRule="exact"/>
        <w:ind w:firstLine="360" w:firstLineChars="15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b/>
          <w:color w:val="auto"/>
          <w:sz w:val="24"/>
          <w:szCs w:val="24"/>
          <w:highlight w:val="none"/>
        </w:rPr>
        <w:t>磋商报价是履行合同的最终价格，须包括工时费、服务费、交通费、参观费、培训及其他一切费用。磋商报价为磋商响应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14:paraId="7D7C8A3C">
      <w:pPr>
        <w:keepNext w:val="0"/>
        <w:keepLines w:val="0"/>
        <w:pageBreakBefore w:val="0"/>
        <w:tabs>
          <w:tab w:val="left" w:pos="525"/>
        </w:tabs>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▲3.磋商响应文件只允许有一个报价，有选择的或有条件的报价将不予接受。</w:t>
      </w:r>
    </w:p>
    <w:p w14:paraId="2DD00C38">
      <w:pPr>
        <w:keepNext w:val="0"/>
        <w:keepLines w:val="0"/>
        <w:pageBreakBefore w:val="0"/>
        <w:tabs>
          <w:tab w:val="left" w:pos="525"/>
        </w:tabs>
        <w:kinsoku/>
        <w:overflowPunct/>
        <w:topLinePunct w:val="0"/>
        <w:bidi w:val="0"/>
        <w:snapToGrid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▲4.磋商响应方对同一竞标产品不得同时出现可选择性品牌和一个品牌中的可选择性型号。</w:t>
      </w:r>
    </w:p>
    <w:p w14:paraId="217193E4">
      <w:pPr>
        <w:keepNext w:val="0"/>
        <w:keepLines w:val="0"/>
        <w:pageBreakBefore w:val="0"/>
        <w:tabs>
          <w:tab w:val="left" w:pos="525"/>
        </w:tabs>
        <w:kinsoku/>
        <w:overflowPunct/>
        <w:topLinePunct w:val="0"/>
        <w:bidi w:val="0"/>
        <w:snapToGrid w:val="0"/>
        <w:spacing w:line="360" w:lineRule="exact"/>
        <w:ind w:firstLine="720" w:firstLineChars="3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5.磋商响应文件中的单价、合价、总价全部采用人民币表示。</w:t>
      </w:r>
    </w:p>
    <w:p w14:paraId="1D43599D">
      <w:pPr>
        <w:keepNext w:val="0"/>
        <w:keepLines w:val="0"/>
        <w:pageBreakBefore w:val="0"/>
        <w:tabs>
          <w:tab w:val="left" w:pos="454"/>
          <w:tab w:val="left" w:pos="720"/>
        </w:tabs>
        <w:kinsoku/>
        <w:overflowPunct/>
        <w:topLinePunct w:val="0"/>
        <w:bidi w:val="0"/>
        <w:snapToGrid w:val="0"/>
        <w:spacing w:before="120" w:beforeLines="50" w:line="360" w:lineRule="exact"/>
        <w:ind w:firstLine="472" w:firstLineChars="196"/>
        <w:jc w:val="left"/>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（四）磋商响应文件的有效期</w:t>
      </w:r>
    </w:p>
    <w:p w14:paraId="3BD18FF6">
      <w:pPr>
        <w:keepNext w:val="0"/>
        <w:keepLines w:val="0"/>
        <w:pageBreakBefore w:val="0"/>
        <w:tabs>
          <w:tab w:val="left" w:pos="454"/>
          <w:tab w:val="left" w:pos="720"/>
        </w:tabs>
        <w:kinsoku/>
        <w:overflowPunct/>
        <w:topLinePunct w:val="0"/>
        <w:bidi w:val="0"/>
        <w:snapToGrid w:val="0"/>
        <w:spacing w:line="360" w:lineRule="exact"/>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▲1.自磋商截止日起</w:t>
      </w:r>
      <w:r>
        <w:rPr>
          <w:rFonts w:hint="eastAsia" w:ascii="黑体" w:hAnsi="黑体" w:eastAsia="黑体" w:cs="黑体"/>
          <w:color w:val="auto"/>
          <w:kern w:val="0"/>
          <w:sz w:val="24"/>
          <w:szCs w:val="24"/>
          <w:highlight w:val="none"/>
          <w:u w:val="single"/>
        </w:rPr>
        <w:t>90</w:t>
      </w:r>
      <w:r>
        <w:rPr>
          <w:rFonts w:hint="eastAsia" w:ascii="黑体" w:hAnsi="黑体" w:eastAsia="黑体" w:cs="黑体"/>
          <w:color w:val="auto"/>
          <w:kern w:val="0"/>
          <w:sz w:val="24"/>
          <w:szCs w:val="24"/>
          <w:highlight w:val="none"/>
        </w:rPr>
        <w:t>日历天磋商响应文件应保持有效。有效期不足的磋商响应文件将被拒绝。</w:t>
      </w:r>
    </w:p>
    <w:p w14:paraId="718CA57C">
      <w:pPr>
        <w:keepNext w:val="0"/>
        <w:keepLines w:val="0"/>
        <w:pageBreakBefore w:val="0"/>
        <w:tabs>
          <w:tab w:val="left" w:pos="454"/>
          <w:tab w:val="left" w:pos="720"/>
        </w:tabs>
        <w:kinsoku/>
        <w:overflowPunct/>
        <w:topLinePunct w:val="0"/>
        <w:bidi w:val="0"/>
        <w:snapToGrid w:val="0"/>
        <w:spacing w:line="360" w:lineRule="exact"/>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2.在特殊情况下，采购人可与磋商响应方协商延长竞标书的有效期，这种要求和答复均以书面形式进行。</w:t>
      </w:r>
    </w:p>
    <w:p w14:paraId="3BB56D13">
      <w:pPr>
        <w:keepNext w:val="0"/>
        <w:keepLines w:val="0"/>
        <w:pageBreakBefore w:val="0"/>
        <w:kinsoku/>
        <w:overflowPunct/>
        <w:topLinePunct w:val="0"/>
        <w:bidi w:val="0"/>
        <w:snapToGrid w:val="0"/>
        <w:spacing w:line="360" w:lineRule="exact"/>
        <w:ind w:firstLine="480" w:firstLineChars="200"/>
        <w:jc w:val="left"/>
        <w:outlineLvl w:val="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3.磋商响应方可拒绝接受延期要求。同意延长有效期的磋商响应方不能修改磋商响应文件。</w:t>
      </w:r>
    </w:p>
    <w:p w14:paraId="3A264273">
      <w:pPr>
        <w:keepNext w:val="0"/>
        <w:keepLines w:val="0"/>
        <w:pageBreakBefore w:val="0"/>
        <w:kinsoku/>
        <w:overflowPunct/>
        <w:topLinePunct w:val="0"/>
        <w:bidi w:val="0"/>
        <w:snapToGrid w:val="0"/>
        <w:spacing w:line="360" w:lineRule="exact"/>
        <w:ind w:firstLine="480" w:firstLineChars="200"/>
        <w:jc w:val="left"/>
        <w:outlineLvl w:val="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4.成交人的磋商响应文件自磋商之日起至合同履行完毕止均应保持有效。</w:t>
      </w:r>
    </w:p>
    <w:p w14:paraId="68D019BB">
      <w:pPr>
        <w:keepNext w:val="0"/>
        <w:keepLines w:val="0"/>
        <w:pageBreakBefore w:val="0"/>
        <w:kinsoku/>
        <w:overflowPunct/>
        <w:topLinePunct w:val="0"/>
        <w:bidi w:val="0"/>
        <w:snapToGrid w:val="0"/>
        <w:spacing w:before="120" w:beforeLines="50" w:line="360" w:lineRule="exact"/>
        <w:ind w:firstLine="472" w:firstLineChars="196"/>
        <w:jc w:val="lef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（五）磋商响应文件的装订、签署和份数</w:t>
      </w:r>
    </w:p>
    <w:p w14:paraId="1278009D">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1.电子磋商响应文件部分：</w:t>
      </w:r>
    </w:p>
    <w:p w14:paraId="20BC4D2C">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供应商应根据“政采云供应商项目采购-电子招投标操作指南”及本采购文件规定的格式和顺序编制电子磋商响应文件并进行关联定位。</w:t>
      </w:r>
    </w:p>
    <w:p w14:paraId="72E9450F">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2.备份电子磋商响应文件部分：</w:t>
      </w:r>
    </w:p>
    <w:p w14:paraId="7A0B3380">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电子磋商响应文件的备份文件，以光盘或U盘形式存储，并单独密封递交。数量为1份。</w:t>
      </w:r>
    </w:p>
    <w:p w14:paraId="1AC3BACD">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3.磋商响应方应按本采购文件规定的格式和顺序编制、装订磋商响应文件并标注页码，磋商响应文件内容不完整、编排混乱导致磋商响应文件被误读、漏读或者查找不到相关内容的，是磋商响应方的责任。</w:t>
      </w:r>
    </w:p>
    <w:p w14:paraId="61E20357">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4.磋商响应文件须由磋商响应方在规定位置盖章并由法定代表人或法定代表人的授权委托人签署，磋商响应方应写全称。</w:t>
      </w:r>
    </w:p>
    <w:p w14:paraId="36A71BA3">
      <w:pPr>
        <w:keepNext w:val="0"/>
        <w:keepLines w:val="0"/>
        <w:pageBreakBefore w:val="0"/>
        <w:kinsoku/>
        <w:overflowPunct/>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5.磋商响应文件不得涂改，若有修改错漏处，须加盖单位公章或者法定代表人或授权委托人签字或盖章。磋商响应文件因字迹潦草或表达不清所引起的后果由磋商响应方负责。</w:t>
      </w:r>
    </w:p>
    <w:p w14:paraId="43DC1FCB">
      <w:pPr>
        <w:keepNext w:val="0"/>
        <w:keepLines w:val="0"/>
        <w:pageBreakBefore w:val="0"/>
        <w:kinsoku/>
        <w:overflowPunct/>
        <w:topLinePunct w:val="0"/>
        <w:bidi w:val="0"/>
        <w:snapToGrid w:val="0"/>
        <w:spacing w:before="120" w:beforeLines="50" w:line="360" w:lineRule="exact"/>
        <w:ind w:firstLine="354" w:firstLineChars="147"/>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（六）备份磋商响应文件的包装、递交、修改和撤回</w:t>
      </w:r>
    </w:p>
    <w:p w14:paraId="6EBC97F1">
      <w:pPr>
        <w:keepNext w:val="0"/>
        <w:keepLines w:val="0"/>
        <w:pageBreakBefore w:val="0"/>
        <w:kinsoku/>
        <w:overflowPunct/>
        <w:topLinePunct w:val="0"/>
        <w:bidi w:val="0"/>
        <w:snapToGrid w:val="0"/>
        <w:spacing w:line="360" w:lineRule="exact"/>
        <w:ind w:firstLine="482" w:firstLineChars="200"/>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1.备份磋商响应文件的包装封面上应注明磋商响应方名称、磋商响应方地址、磋商响应文件名称、竞标项目名称、项目编号及“磋商时启封”字样，并加盖磋商响应方公章。</w:t>
      </w:r>
    </w:p>
    <w:p w14:paraId="541DF9A7">
      <w:pPr>
        <w:keepNext w:val="0"/>
        <w:keepLines w:val="0"/>
        <w:pageBreakBefore w:val="0"/>
        <w:kinsoku/>
        <w:overflowPunct/>
        <w:topLinePunct w:val="0"/>
        <w:bidi w:val="0"/>
        <w:snapToGrid w:val="0"/>
        <w:spacing w:line="360" w:lineRule="exact"/>
        <w:ind w:firstLine="420"/>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2.如果备份磋商响应文件密封袋未按规定密封或未加盖公章，采购代理公司有权予以拒绝此磋商响应文件，并退回磋商响应方。同时，由此造成磋商响应文件被误投或提前拆封的风险由磋商响应方承担。</w:t>
      </w:r>
    </w:p>
    <w:p w14:paraId="1CFF5450">
      <w:pPr>
        <w:keepNext w:val="0"/>
        <w:keepLines w:val="0"/>
        <w:pageBreakBefore w:val="0"/>
        <w:kinsoku/>
        <w:overflowPunct/>
        <w:topLinePunct w:val="0"/>
        <w:bidi w:val="0"/>
        <w:snapToGrid w:val="0"/>
        <w:spacing w:line="360" w:lineRule="exact"/>
        <w:ind w:firstLine="42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磋商响应方在磋商截止时间之前，可以对已提交的备份磋商响应文件进行修改或撤回，并书面通知采购单位。磋商截止时间后，磋商响应方不得撤回、修改备份磋商响应文件。修改后重新递交的备份磋商响应文件应当按本采购文件的要求签署、盖章和密封。</w:t>
      </w:r>
    </w:p>
    <w:p w14:paraId="0A522FF9">
      <w:pPr>
        <w:keepNext w:val="0"/>
        <w:keepLines w:val="0"/>
        <w:pageBreakBefore w:val="0"/>
        <w:kinsoku/>
        <w:overflowPunct/>
        <w:topLinePunct w:val="0"/>
        <w:bidi w:val="0"/>
        <w:snapToGrid w:val="0"/>
        <w:spacing w:line="360" w:lineRule="exact"/>
        <w:ind w:firstLine="42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4.如果因备份磋商响应文件密封不严、标记不明而造成过早启封、失密等情况，采购代理公司概不负责。</w:t>
      </w:r>
    </w:p>
    <w:p w14:paraId="0E070BB2">
      <w:pPr>
        <w:keepNext w:val="0"/>
        <w:keepLines w:val="0"/>
        <w:pageBreakBefore w:val="0"/>
        <w:kinsoku/>
        <w:overflowPunct/>
        <w:topLinePunct w:val="0"/>
        <w:bidi w:val="0"/>
        <w:snapToGrid w:val="0"/>
        <w:spacing w:line="360" w:lineRule="exact"/>
        <w:ind w:firstLine="42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5.在磋商截止时间之后递交的备份磋商响应文件将被拒绝。</w:t>
      </w:r>
    </w:p>
    <w:p w14:paraId="3F5873E5">
      <w:pPr>
        <w:keepNext w:val="0"/>
        <w:keepLines w:val="0"/>
        <w:pageBreakBefore w:val="0"/>
        <w:kinsoku/>
        <w:overflowPunct/>
        <w:topLinePunct w:val="0"/>
        <w:bidi w:val="0"/>
        <w:snapToGrid w:val="0"/>
        <w:spacing w:line="360" w:lineRule="exact"/>
        <w:ind w:firstLine="420"/>
        <w:jc w:val="lef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6.未在磋商响应截止时间前进行政采云报名程序的供应商的备份磋商响应文件将被拒绝。</w:t>
      </w:r>
    </w:p>
    <w:p w14:paraId="3F62F5ED">
      <w:pPr>
        <w:keepNext w:val="0"/>
        <w:keepLines w:val="0"/>
        <w:pageBreakBefore w:val="0"/>
        <w:kinsoku/>
        <w:overflowPunct/>
        <w:topLinePunct w:val="0"/>
        <w:bidi w:val="0"/>
        <w:snapToGrid w:val="0"/>
        <w:spacing w:before="120" w:beforeLines="50" w:line="360" w:lineRule="exact"/>
        <w:ind w:firstLine="472" w:firstLineChars="196"/>
        <w:outlineLvl w:val="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（七）竞标无效的情形</w:t>
      </w:r>
    </w:p>
    <w:p w14:paraId="528167DA">
      <w:pPr>
        <w:keepNext w:val="0"/>
        <w:keepLines w:val="0"/>
        <w:pageBreakBefore w:val="0"/>
        <w:kinsoku/>
        <w:overflowPunct/>
        <w:topLinePunct w:val="0"/>
        <w:bidi w:val="0"/>
        <w:snapToGrid w:val="0"/>
        <w:spacing w:line="360" w:lineRule="exact"/>
        <w:ind w:firstLine="472" w:firstLineChars="19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1.在符合性审查和商务评审时，如发现下列情形之一的，相应的磋商响应文件将被视为无效：</w:t>
      </w:r>
    </w:p>
    <w:p w14:paraId="7E7A814E">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（1）超出经营范围竞标且法律法规规定属于限制经营或需前置性经营许可的；</w:t>
      </w:r>
    </w:p>
    <w:p w14:paraId="594DF717">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w:t>
      </w:r>
      <w:r>
        <w:rPr>
          <w:rFonts w:hint="eastAsia" w:ascii="黑体" w:hAnsi="黑体" w:eastAsia="黑体" w:cs="黑体"/>
          <w:bCs/>
          <w:color w:val="auto"/>
          <w:spacing w:val="-4"/>
          <w:sz w:val="24"/>
          <w:szCs w:val="24"/>
          <w:highlight w:val="none"/>
        </w:rPr>
        <w:t>磋商时不能按采购文件和</w:t>
      </w:r>
      <w:r>
        <w:rPr>
          <w:rFonts w:hint="eastAsia" w:ascii="黑体" w:hAnsi="黑体" w:eastAsia="黑体" w:cs="黑体"/>
          <w:bCs/>
          <w:color w:val="auto"/>
          <w:sz w:val="24"/>
          <w:szCs w:val="24"/>
          <w:highlight w:val="none"/>
        </w:rPr>
        <w:t>磋商小组</w:t>
      </w:r>
      <w:r>
        <w:rPr>
          <w:rFonts w:hint="eastAsia" w:ascii="黑体" w:hAnsi="黑体" w:eastAsia="黑体" w:cs="黑体"/>
          <w:bCs/>
          <w:color w:val="auto"/>
          <w:spacing w:val="-4"/>
          <w:sz w:val="24"/>
          <w:szCs w:val="24"/>
          <w:highlight w:val="none"/>
        </w:rPr>
        <w:t>要求提供相应的资格证明文件供</w:t>
      </w:r>
      <w:r>
        <w:rPr>
          <w:rFonts w:hint="eastAsia" w:ascii="黑体" w:hAnsi="黑体" w:eastAsia="黑体" w:cs="黑体"/>
          <w:bCs/>
          <w:color w:val="auto"/>
          <w:sz w:val="24"/>
          <w:szCs w:val="24"/>
          <w:highlight w:val="none"/>
        </w:rPr>
        <w:t>磋商小组进行资格审查的，或者不符合采购文件标明的资格要求的；</w:t>
      </w:r>
    </w:p>
    <w:p w14:paraId="4C26DCF4">
      <w:pPr>
        <w:keepNext w:val="0"/>
        <w:keepLines w:val="0"/>
        <w:pageBreakBefore w:val="0"/>
        <w:kinsoku/>
        <w:wordWrap/>
        <w:overflowPunct/>
        <w:topLinePunct w:val="0"/>
        <w:autoSpaceDE/>
        <w:autoSpaceDN/>
        <w:bidi w:val="0"/>
        <w:adjustRightInd/>
        <w:snapToGrid w:val="0"/>
        <w:spacing w:line="400" w:lineRule="exact"/>
        <w:ind w:firstLine="454" w:firstLineChars="196"/>
        <w:textAlignment w:val="auto"/>
        <w:rPr>
          <w:rFonts w:hint="eastAsia" w:ascii="黑体" w:hAnsi="黑体" w:eastAsia="黑体" w:cs="黑体"/>
          <w:bCs/>
          <w:color w:val="auto"/>
          <w:kern w:val="0"/>
          <w:sz w:val="24"/>
          <w:szCs w:val="24"/>
          <w:highlight w:val="none"/>
        </w:rPr>
      </w:pPr>
      <w:r>
        <w:rPr>
          <w:rFonts w:hint="eastAsia" w:ascii="黑体" w:hAnsi="黑体" w:eastAsia="黑体" w:cs="黑体"/>
          <w:bCs/>
          <w:color w:val="auto"/>
          <w:spacing w:val="-4"/>
          <w:sz w:val="24"/>
          <w:szCs w:val="24"/>
          <w:highlight w:val="none"/>
        </w:rPr>
        <w:t>（</w:t>
      </w:r>
      <w:r>
        <w:rPr>
          <w:rFonts w:hint="eastAsia" w:ascii="黑体" w:hAnsi="黑体" w:eastAsia="黑体" w:cs="黑体"/>
          <w:bCs/>
          <w:snapToGrid w:val="0"/>
          <w:color w:val="auto"/>
          <w:spacing w:val="-4"/>
          <w:sz w:val="24"/>
          <w:szCs w:val="24"/>
          <w:highlight w:val="none"/>
        </w:rPr>
        <w:t>3）</w:t>
      </w:r>
      <w:r>
        <w:rPr>
          <w:rFonts w:hint="eastAsia" w:ascii="黑体" w:hAnsi="黑体" w:eastAsia="黑体" w:cs="黑体"/>
          <w:bCs/>
          <w:color w:val="auto"/>
          <w:sz w:val="24"/>
          <w:szCs w:val="24"/>
          <w:highlight w:val="none"/>
        </w:rPr>
        <w:t>磋</w:t>
      </w:r>
      <w:r>
        <w:rPr>
          <w:rFonts w:hint="eastAsia" w:ascii="黑体" w:hAnsi="黑体" w:eastAsia="黑体" w:cs="黑体"/>
          <w:color w:val="auto"/>
          <w:sz w:val="24"/>
          <w:szCs w:val="24"/>
          <w:highlight w:val="none"/>
        </w:rPr>
        <w:t>商响应文件所有的磋商声明书、采购响应函和法定代表人授权书原件均无法定代表人签名(或盖法定代表人私章)、没有盖单位公章的,或未按采购文件要求</w:t>
      </w:r>
      <w:r>
        <w:rPr>
          <w:rFonts w:hint="eastAsia" w:ascii="黑体" w:hAnsi="黑体" w:eastAsia="黑体" w:cs="黑体"/>
          <w:bCs/>
          <w:color w:val="auto"/>
          <w:kern w:val="0"/>
          <w:sz w:val="24"/>
          <w:szCs w:val="24"/>
          <w:highlight w:val="none"/>
        </w:rPr>
        <w:t>提供磋商声明书、</w:t>
      </w:r>
      <w:r>
        <w:rPr>
          <w:rFonts w:hint="eastAsia" w:ascii="黑体" w:hAnsi="黑体" w:eastAsia="黑体" w:cs="黑体"/>
          <w:color w:val="auto"/>
          <w:sz w:val="24"/>
          <w:szCs w:val="24"/>
          <w:highlight w:val="none"/>
        </w:rPr>
        <w:t>采购响应函</w:t>
      </w:r>
      <w:r>
        <w:rPr>
          <w:rFonts w:hint="eastAsia" w:ascii="黑体" w:hAnsi="黑体" w:eastAsia="黑体" w:cs="黑体"/>
          <w:bCs/>
          <w:color w:val="auto"/>
          <w:kern w:val="0"/>
          <w:sz w:val="24"/>
          <w:szCs w:val="24"/>
          <w:highlight w:val="none"/>
        </w:rPr>
        <w:t>和</w:t>
      </w:r>
      <w:r>
        <w:rPr>
          <w:rFonts w:hint="eastAsia" w:ascii="黑体" w:hAnsi="黑体" w:eastAsia="黑体" w:cs="黑体"/>
          <w:color w:val="auto"/>
          <w:sz w:val="24"/>
          <w:szCs w:val="24"/>
          <w:highlight w:val="none"/>
        </w:rPr>
        <w:t>法定代表人授权书原件</w:t>
      </w:r>
      <w:r>
        <w:rPr>
          <w:rFonts w:hint="eastAsia" w:ascii="黑体" w:hAnsi="黑体" w:eastAsia="黑体" w:cs="黑体"/>
          <w:bCs/>
          <w:color w:val="auto"/>
          <w:kern w:val="0"/>
          <w:sz w:val="24"/>
          <w:szCs w:val="24"/>
          <w:highlight w:val="none"/>
        </w:rPr>
        <w:t>的；</w:t>
      </w:r>
    </w:p>
    <w:p w14:paraId="53E44C8B">
      <w:pPr>
        <w:keepNext w:val="0"/>
        <w:keepLines w:val="0"/>
        <w:pageBreakBefore w:val="0"/>
        <w:kinsoku/>
        <w:wordWrap/>
        <w:overflowPunct/>
        <w:topLinePunct w:val="0"/>
        <w:autoSpaceDE/>
        <w:autoSpaceDN/>
        <w:bidi w:val="0"/>
        <w:adjustRightInd/>
        <w:snapToGrid w:val="0"/>
        <w:spacing w:line="400" w:lineRule="exact"/>
        <w:ind w:firstLine="454" w:firstLineChars="196"/>
        <w:textAlignment w:val="auto"/>
        <w:rPr>
          <w:rFonts w:hint="eastAsia" w:ascii="黑体" w:hAnsi="黑体" w:eastAsia="黑体" w:cs="黑体"/>
          <w:bCs/>
          <w:color w:val="auto"/>
          <w:spacing w:val="-4"/>
          <w:sz w:val="24"/>
          <w:szCs w:val="24"/>
          <w:highlight w:val="none"/>
        </w:rPr>
      </w:pPr>
      <w:r>
        <w:rPr>
          <w:rFonts w:hint="eastAsia" w:ascii="黑体" w:hAnsi="黑体" w:eastAsia="黑体" w:cs="黑体"/>
          <w:bCs/>
          <w:color w:val="auto"/>
          <w:spacing w:val="-4"/>
          <w:sz w:val="24"/>
          <w:szCs w:val="24"/>
          <w:highlight w:val="none"/>
        </w:rPr>
        <w:t>（</w:t>
      </w:r>
      <w:r>
        <w:rPr>
          <w:rFonts w:hint="eastAsia" w:ascii="黑体" w:hAnsi="黑体" w:eastAsia="黑体" w:cs="黑体"/>
          <w:bCs/>
          <w:snapToGrid w:val="0"/>
          <w:color w:val="auto"/>
          <w:spacing w:val="-4"/>
          <w:sz w:val="24"/>
          <w:szCs w:val="24"/>
          <w:highlight w:val="none"/>
        </w:rPr>
        <w:t>4）</w:t>
      </w:r>
      <w:r>
        <w:rPr>
          <w:rFonts w:hint="eastAsia" w:ascii="黑体" w:hAnsi="黑体" w:eastAsia="黑体" w:cs="黑体"/>
          <w:bCs/>
          <w:color w:val="auto"/>
          <w:spacing w:val="-4"/>
          <w:sz w:val="24"/>
          <w:szCs w:val="24"/>
          <w:highlight w:val="none"/>
        </w:rPr>
        <w:t>磋商响应文件内容不真实的；</w:t>
      </w:r>
    </w:p>
    <w:p w14:paraId="6DD78E22">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rPr>
          <w:rFonts w:hint="eastAsia" w:ascii="黑体" w:hAnsi="黑体" w:eastAsia="黑体" w:cs="黑体"/>
          <w:bCs/>
          <w:snapToGrid w:val="0"/>
          <w:color w:val="auto"/>
          <w:spacing w:val="-4"/>
          <w:sz w:val="24"/>
          <w:szCs w:val="24"/>
          <w:highlight w:val="none"/>
        </w:rPr>
      </w:pPr>
      <w:r>
        <w:rPr>
          <w:rFonts w:hint="eastAsia" w:ascii="黑体" w:hAnsi="黑体" w:eastAsia="黑体" w:cs="黑体"/>
          <w:bCs/>
          <w:color w:val="auto"/>
          <w:sz w:val="24"/>
          <w:szCs w:val="24"/>
          <w:highlight w:val="none"/>
        </w:rPr>
        <w:t>（5）</w:t>
      </w:r>
      <w:r>
        <w:rPr>
          <w:rFonts w:hint="eastAsia" w:ascii="黑体" w:hAnsi="黑体" w:eastAsia="黑体" w:cs="黑体"/>
          <w:bCs/>
          <w:color w:val="auto"/>
          <w:spacing w:val="-4"/>
          <w:sz w:val="24"/>
          <w:szCs w:val="24"/>
          <w:highlight w:val="none"/>
        </w:rPr>
        <w:t>磋商响应文件的实质性内容含义不明确、同类问题表述不一致或者有明显文字和计算错误，或者使用计量单位不符合采购文件要求的（经磋商小组认定并允许其当场更正的笔误除外）；</w:t>
      </w:r>
    </w:p>
    <w:p w14:paraId="610331D7">
      <w:pPr>
        <w:keepNext w:val="0"/>
        <w:keepLines w:val="0"/>
        <w:pageBreakBefore w:val="0"/>
        <w:kinsoku/>
        <w:wordWrap/>
        <w:overflowPunct/>
        <w:topLinePunct w:val="0"/>
        <w:autoSpaceDE/>
        <w:autoSpaceDN/>
        <w:bidi w:val="0"/>
        <w:adjustRightInd/>
        <w:snapToGrid w:val="0"/>
        <w:spacing w:line="400" w:lineRule="exact"/>
        <w:ind w:firstLine="454" w:firstLineChars="196"/>
        <w:textAlignment w:val="auto"/>
        <w:rPr>
          <w:rFonts w:hint="eastAsia" w:ascii="黑体" w:hAnsi="黑体" w:eastAsia="黑体" w:cs="黑体"/>
          <w:bCs/>
          <w:color w:val="auto"/>
          <w:spacing w:val="-4"/>
          <w:sz w:val="24"/>
          <w:szCs w:val="24"/>
          <w:highlight w:val="none"/>
        </w:rPr>
      </w:pPr>
      <w:r>
        <w:rPr>
          <w:rFonts w:hint="eastAsia" w:ascii="黑体" w:hAnsi="黑体" w:eastAsia="黑体" w:cs="黑体"/>
          <w:bCs/>
          <w:color w:val="auto"/>
          <w:spacing w:val="-4"/>
          <w:sz w:val="24"/>
          <w:szCs w:val="24"/>
          <w:highlight w:val="none"/>
        </w:rPr>
        <w:t>（6）未实质性响应采购文件要求或者磋商响应文件有采购人不能接受的附加条件的；</w:t>
      </w:r>
    </w:p>
    <w:p w14:paraId="2A2017D5">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rPr>
          <w:rFonts w:hint="eastAsia" w:ascii="黑体" w:hAnsi="黑体" w:eastAsia="黑体" w:cs="黑体"/>
          <w:color w:val="auto"/>
          <w:spacing w:val="-4"/>
          <w:sz w:val="24"/>
          <w:szCs w:val="24"/>
          <w:highlight w:val="none"/>
        </w:rPr>
      </w:pPr>
      <w:r>
        <w:rPr>
          <w:rFonts w:hint="eastAsia" w:ascii="黑体" w:hAnsi="黑体" w:eastAsia="黑体" w:cs="黑体"/>
          <w:bCs/>
          <w:color w:val="auto"/>
          <w:sz w:val="24"/>
          <w:szCs w:val="24"/>
          <w:highlight w:val="none"/>
        </w:rPr>
        <w:t>（7）</w:t>
      </w:r>
      <w:r>
        <w:rPr>
          <w:rFonts w:hint="eastAsia" w:ascii="黑体" w:hAnsi="黑体" w:eastAsia="黑体" w:cs="黑体"/>
          <w:color w:val="auto"/>
          <w:sz w:val="24"/>
          <w:szCs w:val="24"/>
          <w:highlight w:val="none"/>
        </w:rPr>
        <w:t>未在</w:t>
      </w:r>
      <w:r>
        <w:rPr>
          <w:rFonts w:hint="eastAsia" w:ascii="黑体" w:hAnsi="黑体" w:eastAsia="黑体" w:cs="黑体"/>
          <w:color w:val="auto"/>
          <w:spacing w:val="-4"/>
          <w:sz w:val="24"/>
          <w:szCs w:val="24"/>
          <w:highlight w:val="none"/>
        </w:rPr>
        <w:t>浙江政府采购网（政采云平台）完成本项目网上报名的；</w:t>
      </w:r>
    </w:p>
    <w:p w14:paraId="47F75ED5">
      <w:pPr>
        <w:keepNext w:val="0"/>
        <w:keepLines w:val="0"/>
        <w:pageBreakBefore w:val="0"/>
        <w:kinsoku/>
        <w:wordWrap/>
        <w:overflowPunct/>
        <w:topLinePunct w:val="0"/>
        <w:autoSpaceDE/>
        <w:autoSpaceDN/>
        <w:bidi w:val="0"/>
        <w:adjustRightInd/>
        <w:snapToGrid w:val="0"/>
        <w:spacing w:line="400" w:lineRule="exact"/>
        <w:ind w:firstLine="454" w:firstLineChars="196"/>
        <w:textAlignment w:val="auto"/>
        <w:rPr>
          <w:rFonts w:hint="eastAsia" w:ascii="黑体" w:hAnsi="黑体" w:eastAsia="黑体" w:cs="黑体"/>
          <w:color w:val="auto"/>
          <w:sz w:val="24"/>
          <w:szCs w:val="24"/>
          <w:highlight w:val="none"/>
        </w:rPr>
      </w:pPr>
      <w:r>
        <w:rPr>
          <w:rFonts w:hint="eastAsia" w:ascii="黑体" w:hAnsi="黑体" w:eastAsia="黑体" w:cs="黑体"/>
          <w:snapToGrid w:val="0"/>
          <w:color w:val="auto"/>
          <w:spacing w:val="-4"/>
          <w:sz w:val="24"/>
          <w:szCs w:val="24"/>
          <w:highlight w:val="none"/>
        </w:rPr>
        <w:t>（8）与采购文件中标“▲”的条款及采购文件其他要求发生实质性负偏离的</w:t>
      </w:r>
      <w:r>
        <w:rPr>
          <w:rFonts w:hint="eastAsia" w:ascii="黑体" w:hAnsi="黑体" w:eastAsia="黑体" w:cs="黑体"/>
          <w:color w:val="auto"/>
          <w:sz w:val="24"/>
          <w:szCs w:val="24"/>
          <w:highlight w:val="none"/>
        </w:rPr>
        <w:t>；</w:t>
      </w:r>
    </w:p>
    <w:p w14:paraId="17626C18">
      <w:pPr>
        <w:keepNext w:val="0"/>
        <w:keepLines w:val="0"/>
        <w:pageBreakBefore w:val="0"/>
        <w:kinsoku/>
        <w:wordWrap/>
        <w:overflowPunct/>
        <w:topLinePunct w:val="0"/>
        <w:autoSpaceDE/>
        <w:autoSpaceDN/>
        <w:bidi w:val="0"/>
        <w:adjustRightInd/>
        <w:snapToGrid w:val="0"/>
        <w:spacing w:line="400" w:lineRule="exact"/>
        <w:ind w:firstLine="464" w:firstLineChars="200"/>
        <w:textAlignment w:val="auto"/>
        <w:rPr>
          <w:rFonts w:hint="eastAsia" w:ascii="黑体" w:hAnsi="黑体" w:eastAsia="黑体" w:cs="黑体"/>
          <w:snapToGrid w:val="0"/>
          <w:color w:val="auto"/>
          <w:spacing w:val="-4"/>
          <w:sz w:val="24"/>
          <w:szCs w:val="24"/>
          <w:highlight w:val="none"/>
        </w:rPr>
      </w:pPr>
      <w:r>
        <w:rPr>
          <w:rFonts w:hint="eastAsia" w:ascii="黑体" w:hAnsi="黑体" w:eastAsia="黑体" w:cs="黑体"/>
          <w:snapToGrid w:val="0"/>
          <w:color w:val="auto"/>
          <w:spacing w:val="-4"/>
          <w:sz w:val="24"/>
          <w:szCs w:val="24"/>
          <w:highlight w:val="none"/>
        </w:rPr>
        <w:t>（9）磋商时磋商响应方的法定代表人或其授权代理人未能当场出具有效身份证明，或供应商代表与法定代表人授权委托人身份不符的；（该项只针对参与现场开标会议的供应商）；</w:t>
      </w:r>
    </w:p>
    <w:p w14:paraId="571C178B">
      <w:pPr>
        <w:keepNext w:val="0"/>
        <w:keepLines w:val="0"/>
        <w:pageBreakBefore w:val="0"/>
        <w:kinsoku/>
        <w:wordWrap/>
        <w:overflowPunct/>
        <w:topLinePunct w:val="0"/>
        <w:autoSpaceDE/>
        <w:autoSpaceDN/>
        <w:bidi w:val="0"/>
        <w:adjustRightInd/>
        <w:snapToGrid w:val="0"/>
        <w:spacing w:line="400" w:lineRule="exact"/>
        <w:ind w:firstLine="464" w:firstLineChars="200"/>
        <w:textAlignment w:val="auto"/>
        <w:rPr>
          <w:rFonts w:hint="eastAsia" w:ascii="黑体" w:hAnsi="黑体" w:eastAsia="黑体" w:cs="黑体"/>
          <w:snapToGrid w:val="0"/>
          <w:color w:val="auto"/>
          <w:spacing w:val="-4"/>
          <w:sz w:val="24"/>
          <w:szCs w:val="24"/>
          <w:highlight w:val="none"/>
        </w:rPr>
      </w:pPr>
      <w:r>
        <w:rPr>
          <w:rFonts w:hint="eastAsia" w:ascii="黑体" w:hAnsi="黑体" w:eastAsia="黑体" w:cs="黑体"/>
          <w:snapToGrid w:val="0"/>
          <w:color w:val="auto"/>
          <w:spacing w:val="-4"/>
          <w:sz w:val="24"/>
          <w:szCs w:val="24"/>
          <w:highlight w:val="none"/>
        </w:rPr>
        <w:t>（10）竞标产品（或服务）载明的验收标准和方法等不符合国家规定的；</w:t>
      </w:r>
    </w:p>
    <w:p w14:paraId="434268A2">
      <w:pPr>
        <w:keepNext w:val="0"/>
        <w:keepLines w:val="0"/>
        <w:pageBreakBefore w:val="0"/>
        <w:kinsoku/>
        <w:wordWrap/>
        <w:overflowPunct/>
        <w:topLinePunct w:val="0"/>
        <w:autoSpaceDE/>
        <w:autoSpaceDN/>
        <w:bidi w:val="0"/>
        <w:adjustRightInd/>
        <w:snapToGrid w:val="0"/>
        <w:spacing w:line="400" w:lineRule="exact"/>
        <w:ind w:firstLine="464" w:firstLineChars="200"/>
        <w:textAlignment w:val="auto"/>
        <w:rPr>
          <w:rFonts w:hint="eastAsia" w:ascii="黑体" w:hAnsi="黑体" w:eastAsia="黑体" w:cs="黑体"/>
          <w:snapToGrid w:val="0"/>
          <w:color w:val="auto"/>
          <w:spacing w:val="-4"/>
          <w:sz w:val="24"/>
          <w:szCs w:val="24"/>
          <w:highlight w:val="none"/>
        </w:rPr>
      </w:pPr>
      <w:r>
        <w:rPr>
          <w:rFonts w:hint="eastAsia" w:ascii="黑体" w:hAnsi="黑体" w:eastAsia="黑体" w:cs="黑体"/>
          <w:snapToGrid w:val="0"/>
          <w:color w:val="auto"/>
          <w:spacing w:val="-4"/>
          <w:sz w:val="24"/>
          <w:szCs w:val="24"/>
          <w:highlight w:val="none"/>
        </w:rPr>
        <w:t>（11）不符合法律、法规和采购文件规定的其他实质性要求（磋商小组一致认定）的；</w:t>
      </w:r>
    </w:p>
    <w:p w14:paraId="26AB3116">
      <w:pPr>
        <w:keepNext w:val="0"/>
        <w:keepLines w:val="0"/>
        <w:pageBreakBefore w:val="0"/>
        <w:kinsoku/>
        <w:wordWrap/>
        <w:overflowPunct/>
        <w:topLinePunct w:val="0"/>
        <w:autoSpaceDE/>
        <w:autoSpaceDN/>
        <w:bidi w:val="0"/>
        <w:adjustRightInd/>
        <w:snapToGrid w:val="0"/>
        <w:spacing w:line="400" w:lineRule="exact"/>
        <w:ind w:firstLine="464" w:firstLineChars="200"/>
        <w:textAlignment w:val="auto"/>
        <w:rPr>
          <w:rFonts w:hint="eastAsia" w:ascii="黑体" w:hAnsi="黑体" w:eastAsia="黑体" w:cs="黑体"/>
          <w:snapToGrid w:val="0"/>
          <w:color w:val="auto"/>
          <w:spacing w:val="-4"/>
          <w:sz w:val="24"/>
          <w:szCs w:val="24"/>
          <w:highlight w:val="none"/>
        </w:rPr>
      </w:pPr>
      <w:r>
        <w:rPr>
          <w:rFonts w:hint="eastAsia" w:ascii="黑体" w:hAnsi="黑体" w:eastAsia="黑体" w:cs="黑体"/>
          <w:snapToGrid w:val="0"/>
          <w:color w:val="auto"/>
          <w:spacing w:val="-4"/>
          <w:sz w:val="24"/>
          <w:szCs w:val="24"/>
          <w:highlight w:val="none"/>
        </w:rPr>
        <w:t>（12）在磋商响应截止时间以后传送的电子磋商响应文件；</w:t>
      </w:r>
    </w:p>
    <w:p w14:paraId="68092F38">
      <w:pPr>
        <w:keepNext w:val="0"/>
        <w:keepLines w:val="0"/>
        <w:pageBreakBefore w:val="0"/>
        <w:kinsoku/>
        <w:wordWrap/>
        <w:overflowPunct/>
        <w:topLinePunct w:val="0"/>
        <w:autoSpaceDE/>
        <w:autoSpaceDN/>
        <w:bidi w:val="0"/>
        <w:adjustRightInd/>
        <w:snapToGrid w:val="0"/>
        <w:spacing w:line="400" w:lineRule="exact"/>
        <w:ind w:firstLine="464" w:firstLineChars="200"/>
        <w:textAlignment w:val="auto"/>
        <w:rPr>
          <w:rFonts w:hint="eastAsia" w:ascii="黑体" w:hAnsi="黑体" w:eastAsia="黑体" w:cs="黑体"/>
          <w:snapToGrid w:val="0"/>
          <w:color w:val="auto"/>
          <w:spacing w:val="-4"/>
          <w:sz w:val="24"/>
          <w:szCs w:val="24"/>
          <w:highlight w:val="none"/>
        </w:rPr>
      </w:pPr>
      <w:r>
        <w:rPr>
          <w:rFonts w:hint="eastAsia" w:ascii="黑体" w:hAnsi="黑体" w:eastAsia="黑体" w:cs="黑体"/>
          <w:snapToGrid w:val="0"/>
          <w:color w:val="auto"/>
          <w:spacing w:val="-4"/>
          <w:sz w:val="24"/>
          <w:szCs w:val="24"/>
          <w:highlight w:val="none"/>
        </w:rPr>
        <w:t>（13）由于包装不妥，在送交途中严重破损或失散的磋商响应文件；</w:t>
      </w:r>
    </w:p>
    <w:p w14:paraId="6C26C022">
      <w:pPr>
        <w:keepNext w:val="0"/>
        <w:keepLines w:val="0"/>
        <w:pageBreakBefore w:val="0"/>
        <w:kinsoku/>
        <w:wordWrap/>
        <w:overflowPunct/>
        <w:topLinePunct w:val="0"/>
        <w:autoSpaceDE/>
        <w:autoSpaceDN/>
        <w:bidi w:val="0"/>
        <w:adjustRightInd/>
        <w:snapToGrid w:val="0"/>
        <w:spacing w:line="400" w:lineRule="exact"/>
        <w:ind w:firstLine="464" w:firstLineChars="200"/>
        <w:textAlignment w:val="auto"/>
        <w:rPr>
          <w:rFonts w:hint="eastAsia" w:ascii="黑体" w:hAnsi="黑体" w:eastAsia="黑体" w:cs="黑体"/>
          <w:snapToGrid w:val="0"/>
          <w:color w:val="auto"/>
          <w:spacing w:val="-4"/>
          <w:sz w:val="24"/>
          <w:szCs w:val="24"/>
          <w:highlight w:val="none"/>
        </w:rPr>
      </w:pPr>
      <w:r>
        <w:rPr>
          <w:rFonts w:hint="eastAsia" w:ascii="黑体" w:hAnsi="黑体" w:eastAsia="黑体" w:cs="黑体"/>
          <w:snapToGrid w:val="0"/>
          <w:color w:val="auto"/>
          <w:spacing w:val="-4"/>
          <w:sz w:val="24"/>
          <w:szCs w:val="24"/>
          <w:highlight w:val="none"/>
        </w:rPr>
        <w:t>（14）电子磋商响应文件解密失败的，且未在磋商响应截止时间前提交备份磋商响应文件的，或备份磋商响应文件均无法评审使用的；</w:t>
      </w:r>
    </w:p>
    <w:p w14:paraId="3BDF13BF">
      <w:pPr>
        <w:keepNext w:val="0"/>
        <w:keepLines w:val="0"/>
        <w:pageBreakBefore w:val="0"/>
        <w:kinsoku/>
        <w:overflowPunct/>
        <w:topLinePunct w:val="0"/>
        <w:bidi w:val="0"/>
        <w:snapToGrid w:val="0"/>
        <w:spacing w:line="360" w:lineRule="exact"/>
        <w:ind w:firstLine="464" w:firstLineChars="200"/>
        <w:rPr>
          <w:rFonts w:hint="eastAsia" w:ascii="黑体" w:hAnsi="黑体" w:eastAsia="黑体" w:cs="黑体"/>
          <w:color w:val="auto"/>
          <w:sz w:val="24"/>
          <w:szCs w:val="24"/>
          <w:highlight w:val="none"/>
        </w:rPr>
      </w:pPr>
      <w:r>
        <w:rPr>
          <w:rFonts w:hint="eastAsia" w:ascii="黑体" w:hAnsi="黑体" w:eastAsia="黑体" w:cs="黑体"/>
          <w:snapToGrid w:val="0"/>
          <w:color w:val="auto"/>
          <w:spacing w:val="-4"/>
          <w:sz w:val="24"/>
          <w:szCs w:val="24"/>
          <w:highlight w:val="none"/>
        </w:rPr>
        <w:t>（15）法律、法规和本采购文件中其他规定磋商响应文件无效的情形</w:t>
      </w:r>
      <w:r>
        <w:rPr>
          <w:rFonts w:hint="eastAsia" w:ascii="黑体" w:hAnsi="黑体" w:eastAsia="黑体" w:cs="黑体"/>
          <w:color w:val="auto"/>
          <w:sz w:val="24"/>
          <w:szCs w:val="24"/>
          <w:highlight w:val="none"/>
        </w:rPr>
        <w:t>。</w:t>
      </w:r>
    </w:p>
    <w:p w14:paraId="158DA13C">
      <w:pPr>
        <w:keepNext w:val="0"/>
        <w:keepLines w:val="0"/>
        <w:pageBreakBefore w:val="0"/>
        <w:kinsoku/>
        <w:overflowPunct/>
        <w:topLinePunct w:val="0"/>
        <w:bidi w:val="0"/>
        <w:snapToGrid w:val="0"/>
        <w:spacing w:line="360" w:lineRule="exact"/>
        <w:ind w:firstLine="466" w:firstLineChars="200"/>
        <w:rPr>
          <w:rFonts w:hint="eastAsia" w:ascii="黑体" w:hAnsi="黑体" w:eastAsia="黑体" w:cs="黑体"/>
          <w:b/>
          <w:bCs/>
          <w:color w:val="auto"/>
          <w:spacing w:val="-4"/>
          <w:sz w:val="24"/>
          <w:szCs w:val="24"/>
          <w:highlight w:val="none"/>
        </w:rPr>
      </w:pPr>
      <w:r>
        <w:rPr>
          <w:rFonts w:hint="eastAsia" w:ascii="黑体" w:hAnsi="黑体" w:eastAsia="黑体" w:cs="黑体"/>
          <w:b/>
          <w:bCs/>
          <w:color w:val="auto"/>
          <w:spacing w:val="-4"/>
          <w:sz w:val="24"/>
          <w:szCs w:val="24"/>
          <w:highlight w:val="none"/>
        </w:rPr>
        <w:t>2.在技术评审时，如发现下列情形之一的，磋商响应文件将被视为无效：</w:t>
      </w:r>
    </w:p>
    <w:p w14:paraId="756F4A25">
      <w:pPr>
        <w:keepNext w:val="0"/>
        <w:keepLines w:val="0"/>
        <w:pageBreakBefore w:val="0"/>
        <w:kinsoku/>
        <w:overflowPunct/>
        <w:topLinePunct w:val="0"/>
        <w:bidi w:val="0"/>
        <w:snapToGrid w:val="0"/>
        <w:spacing w:line="360" w:lineRule="exact"/>
        <w:ind w:firstLine="454" w:firstLineChars="196"/>
        <w:rPr>
          <w:rFonts w:hint="eastAsia" w:ascii="黑体" w:hAnsi="黑体" w:eastAsia="黑体" w:cs="黑体"/>
          <w:bCs/>
          <w:color w:val="auto"/>
          <w:spacing w:val="-4"/>
          <w:sz w:val="24"/>
          <w:szCs w:val="24"/>
          <w:highlight w:val="none"/>
        </w:rPr>
      </w:pPr>
      <w:r>
        <w:rPr>
          <w:rFonts w:hint="eastAsia" w:ascii="黑体" w:hAnsi="黑体" w:eastAsia="黑体" w:cs="黑体"/>
          <w:bCs/>
          <w:color w:val="auto"/>
          <w:spacing w:val="-4"/>
          <w:sz w:val="24"/>
          <w:szCs w:val="24"/>
          <w:highlight w:val="none"/>
        </w:rPr>
        <w:t>（1）未提供或未如实提供竞标产品的技术参数，或者磋商响应文件标明的响应或偏离与事实不符或虚假竞标的；</w:t>
      </w:r>
    </w:p>
    <w:p w14:paraId="497C54FE">
      <w:pPr>
        <w:keepNext w:val="0"/>
        <w:keepLines w:val="0"/>
        <w:pageBreakBefore w:val="0"/>
        <w:kinsoku/>
        <w:overflowPunct/>
        <w:topLinePunct w:val="0"/>
        <w:bidi w:val="0"/>
        <w:snapToGrid w:val="0"/>
        <w:spacing w:line="360" w:lineRule="exact"/>
        <w:ind w:firstLine="454" w:firstLineChars="196"/>
        <w:rPr>
          <w:rFonts w:hint="eastAsia" w:ascii="黑体" w:hAnsi="黑体" w:eastAsia="黑体" w:cs="黑体"/>
          <w:bCs/>
          <w:snapToGrid w:val="0"/>
          <w:color w:val="auto"/>
          <w:spacing w:val="-4"/>
          <w:sz w:val="24"/>
          <w:szCs w:val="24"/>
          <w:highlight w:val="none"/>
        </w:rPr>
      </w:pPr>
      <w:r>
        <w:rPr>
          <w:rFonts w:hint="eastAsia" w:ascii="黑体" w:hAnsi="黑体" w:eastAsia="黑体" w:cs="黑体"/>
          <w:bCs/>
          <w:color w:val="auto"/>
          <w:spacing w:val="-4"/>
          <w:sz w:val="24"/>
          <w:szCs w:val="24"/>
          <w:highlight w:val="none"/>
        </w:rPr>
        <w:t>（2）</w:t>
      </w:r>
      <w:r>
        <w:rPr>
          <w:rFonts w:hint="eastAsia" w:ascii="黑体" w:hAnsi="黑体" w:eastAsia="黑体" w:cs="黑体"/>
          <w:bCs/>
          <w:snapToGrid w:val="0"/>
          <w:color w:val="auto"/>
          <w:spacing w:val="-4"/>
          <w:sz w:val="24"/>
          <w:szCs w:val="24"/>
          <w:highlight w:val="none"/>
        </w:rPr>
        <w:t>明显不符合采购文件要求的质量标准，或者与采购文件中标“▲”的参数指标要求发生实质性负偏离的（磋商小组一致认定）；</w:t>
      </w:r>
    </w:p>
    <w:p w14:paraId="41D56F50">
      <w:pPr>
        <w:keepNext w:val="0"/>
        <w:keepLines w:val="0"/>
        <w:pageBreakBefore w:val="0"/>
        <w:kinsoku/>
        <w:overflowPunct/>
        <w:topLinePunct w:val="0"/>
        <w:bidi w:val="0"/>
        <w:snapToGrid w:val="0"/>
        <w:spacing w:line="360" w:lineRule="exact"/>
        <w:ind w:firstLine="454" w:firstLineChars="196"/>
        <w:rPr>
          <w:rFonts w:hint="eastAsia" w:ascii="黑体" w:hAnsi="黑体" w:eastAsia="黑体" w:cs="黑体"/>
          <w:color w:val="auto"/>
          <w:spacing w:val="-4"/>
          <w:sz w:val="24"/>
          <w:szCs w:val="24"/>
          <w:highlight w:val="none"/>
        </w:rPr>
      </w:pPr>
      <w:r>
        <w:rPr>
          <w:rFonts w:hint="eastAsia" w:ascii="黑体" w:hAnsi="黑体" w:eastAsia="黑体" w:cs="黑体"/>
          <w:bCs/>
          <w:color w:val="auto"/>
          <w:spacing w:val="-4"/>
          <w:sz w:val="24"/>
          <w:szCs w:val="24"/>
          <w:highlight w:val="none"/>
        </w:rPr>
        <w:t>（3）竞</w:t>
      </w:r>
      <w:r>
        <w:rPr>
          <w:rFonts w:hint="eastAsia" w:ascii="黑体" w:hAnsi="黑体" w:eastAsia="黑体" w:cs="黑体"/>
          <w:color w:val="auto"/>
          <w:spacing w:val="-4"/>
          <w:sz w:val="24"/>
          <w:szCs w:val="24"/>
          <w:highlight w:val="none"/>
        </w:rPr>
        <w:t>标产品的技术规范、技术标准明显不符合国家强制性要求的；</w:t>
      </w:r>
    </w:p>
    <w:p w14:paraId="341C1E24">
      <w:pPr>
        <w:keepNext w:val="0"/>
        <w:keepLines w:val="0"/>
        <w:pageBreakBefore w:val="0"/>
        <w:kinsoku/>
        <w:overflowPunct/>
        <w:topLinePunct w:val="0"/>
        <w:bidi w:val="0"/>
        <w:snapToGrid w:val="0"/>
        <w:spacing w:line="360" w:lineRule="exact"/>
        <w:ind w:firstLine="454" w:firstLineChars="196"/>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（4）竞标技术方案不明确，存在一个或一个以上备选（替代）磋商响应方案的；</w:t>
      </w:r>
    </w:p>
    <w:p w14:paraId="35BD08E5">
      <w:pPr>
        <w:keepNext w:val="0"/>
        <w:keepLines w:val="0"/>
        <w:pageBreakBefore w:val="0"/>
        <w:kinsoku/>
        <w:overflowPunct/>
        <w:topLinePunct w:val="0"/>
        <w:bidi w:val="0"/>
        <w:snapToGrid w:val="0"/>
        <w:spacing w:line="360" w:lineRule="exact"/>
        <w:ind w:firstLine="470" w:firstLineChars="196"/>
        <w:rPr>
          <w:rFonts w:hint="eastAsia" w:ascii="黑体" w:hAnsi="黑体" w:eastAsia="黑体" w:cs="黑体"/>
          <w:color w:val="auto"/>
          <w:spacing w:val="-4"/>
          <w:sz w:val="24"/>
          <w:szCs w:val="24"/>
          <w:highlight w:val="none"/>
        </w:rPr>
      </w:pPr>
      <w:r>
        <w:rPr>
          <w:rFonts w:hint="eastAsia" w:ascii="黑体" w:hAnsi="黑体" w:eastAsia="黑体" w:cs="黑体"/>
          <w:color w:val="auto"/>
          <w:sz w:val="24"/>
          <w:szCs w:val="24"/>
          <w:highlight w:val="none"/>
        </w:rPr>
        <w:t>(5)</w:t>
      </w:r>
      <w:r>
        <w:rPr>
          <w:rFonts w:hint="eastAsia" w:ascii="黑体" w:hAnsi="黑体" w:eastAsia="黑体" w:cs="黑体"/>
          <w:color w:val="auto"/>
          <w:sz w:val="24"/>
          <w:szCs w:val="24"/>
          <w:highlight w:val="none"/>
        </w:rPr>
        <w:t xml:space="preserve"> </w:t>
      </w:r>
      <w:r>
        <w:rPr>
          <w:rFonts w:hint="eastAsia" w:ascii="黑体" w:hAnsi="黑体" w:eastAsia="黑体" w:cs="黑体"/>
          <w:color w:val="auto"/>
          <w:spacing w:val="-4"/>
          <w:sz w:val="24"/>
          <w:szCs w:val="24"/>
          <w:highlight w:val="none"/>
        </w:rPr>
        <w:t>竞标产品</w:t>
      </w:r>
      <w:r>
        <w:rPr>
          <w:rFonts w:hint="eastAsia" w:ascii="黑体" w:hAnsi="黑体" w:eastAsia="黑体" w:cs="黑体"/>
          <w:color w:val="auto"/>
          <w:sz w:val="24"/>
          <w:szCs w:val="24"/>
          <w:highlight w:val="none"/>
        </w:rPr>
        <w:t>数量明显不符合采购文件要求的；</w:t>
      </w:r>
    </w:p>
    <w:p w14:paraId="300B0D69">
      <w:pPr>
        <w:keepNext w:val="0"/>
        <w:keepLines w:val="0"/>
        <w:pageBreakBefore w:val="0"/>
        <w:kinsoku/>
        <w:overflowPunct/>
        <w:topLinePunct w:val="0"/>
        <w:bidi w:val="0"/>
        <w:snapToGrid w:val="0"/>
        <w:spacing w:line="360" w:lineRule="exact"/>
        <w:ind w:firstLine="480" w:firstLineChars="200"/>
        <w:rPr>
          <w:rFonts w:hint="eastAsia" w:ascii="黑体" w:hAnsi="黑体" w:eastAsia="黑体" w:cs="黑体"/>
          <w:color w:val="auto"/>
          <w:spacing w:val="-4"/>
          <w:sz w:val="24"/>
          <w:szCs w:val="24"/>
          <w:highlight w:val="none"/>
        </w:rPr>
      </w:pPr>
      <w:r>
        <w:rPr>
          <w:rFonts w:hint="eastAsia" w:ascii="黑体" w:hAnsi="黑体" w:eastAsia="黑体" w:cs="黑体"/>
          <w:color w:val="auto"/>
          <w:sz w:val="24"/>
          <w:szCs w:val="24"/>
          <w:highlight w:val="none"/>
        </w:rPr>
        <w:t xml:space="preserve">(6) </w:t>
      </w:r>
      <w:r>
        <w:rPr>
          <w:rFonts w:hint="eastAsia" w:ascii="黑体" w:hAnsi="黑体" w:eastAsia="黑体" w:cs="黑体"/>
          <w:color w:val="auto"/>
          <w:spacing w:val="-4"/>
          <w:sz w:val="24"/>
          <w:szCs w:val="24"/>
          <w:highlight w:val="none"/>
        </w:rPr>
        <w:t>与其他参加本次磋商响应方的磋商响应文件（技术文件）的文字表述内容相同连续20行以上或者差错相同2处以上的；</w:t>
      </w:r>
    </w:p>
    <w:p w14:paraId="330E5547">
      <w:pPr>
        <w:keepNext w:val="0"/>
        <w:keepLines w:val="0"/>
        <w:pageBreakBefore w:val="0"/>
        <w:kinsoku/>
        <w:overflowPunct/>
        <w:topLinePunct w:val="0"/>
        <w:bidi w:val="0"/>
        <w:snapToGrid w:val="0"/>
        <w:spacing w:line="360" w:lineRule="exact"/>
        <w:ind w:firstLine="457" w:firstLineChars="196"/>
        <w:rPr>
          <w:rFonts w:hint="eastAsia" w:ascii="黑体" w:hAnsi="黑体" w:eastAsia="黑体" w:cs="黑体"/>
          <w:b/>
          <w:bCs/>
          <w:color w:val="auto"/>
          <w:spacing w:val="-4"/>
          <w:sz w:val="24"/>
          <w:szCs w:val="24"/>
          <w:highlight w:val="none"/>
        </w:rPr>
      </w:pPr>
      <w:r>
        <w:rPr>
          <w:rFonts w:hint="eastAsia" w:ascii="黑体" w:hAnsi="黑体" w:eastAsia="黑体" w:cs="黑体"/>
          <w:b/>
          <w:bCs/>
          <w:color w:val="auto"/>
          <w:spacing w:val="-4"/>
          <w:sz w:val="24"/>
          <w:szCs w:val="24"/>
          <w:highlight w:val="none"/>
        </w:rPr>
        <w:t>3.在报价评审时，如发现下列情形之一的，磋商响应文件将被视为无效：</w:t>
      </w:r>
    </w:p>
    <w:p w14:paraId="47EA605B">
      <w:pPr>
        <w:keepNext w:val="0"/>
        <w:keepLines w:val="0"/>
        <w:pageBreakBefore w:val="0"/>
        <w:kinsoku/>
        <w:overflowPunct/>
        <w:topLinePunct w:val="0"/>
        <w:bidi w:val="0"/>
        <w:snapToGrid w:val="0"/>
        <w:spacing w:line="360" w:lineRule="exact"/>
        <w:ind w:firstLine="454" w:firstLineChars="196"/>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（1）未采用人民币报价或者未按照采购文件标明的币种报价的；</w:t>
      </w:r>
    </w:p>
    <w:p w14:paraId="057F5B8E">
      <w:pPr>
        <w:keepNext w:val="0"/>
        <w:keepLines w:val="0"/>
        <w:pageBreakBefore w:val="0"/>
        <w:kinsoku/>
        <w:overflowPunct/>
        <w:topLinePunct w:val="0"/>
        <w:bidi w:val="0"/>
        <w:snapToGrid w:val="0"/>
        <w:spacing w:line="360" w:lineRule="exact"/>
        <w:ind w:firstLine="464" w:firstLineChars="200"/>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（2）磋商报价具有选择性；</w:t>
      </w:r>
    </w:p>
    <w:p w14:paraId="01E7F78F">
      <w:pPr>
        <w:keepNext w:val="0"/>
        <w:keepLines w:val="0"/>
        <w:pageBreakBefore w:val="0"/>
        <w:kinsoku/>
        <w:overflowPunct/>
        <w:topLinePunct w:val="0"/>
        <w:bidi w:val="0"/>
        <w:snapToGrid w:val="0"/>
        <w:spacing w:line="360" w:lineRule="exact"/>
        <w:ind w:firstLine="464" w:firstLineChars="200"/>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3B10D96E">
      <w:pPr>
        <w:keepNext w:val="0"/>
        <w:keepLines w:val="0"/>
        <w:pageBreakBefore w:val="0"/>
        <w:kinsoku/>
        <w:overflowPunct/>
        <w:topLinePunct w:val="0"/>
        <w:bidi w:val="0"/>
        <w:snapToGrid w:val="0"/>
        <w:spacing w:line="360" w:lineRule="exact"/>
        <w:ind w:firstLine="464" w:firstLineChars="200"/>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（4）二分之一以上的评委认为供应商报价明显高于市场平均价的；</w:t>
      </w:r>
    </w:p>
    <w:p w14:paraId="10721873">
      <w:pPr>
        <w:keepNext w:val="0"/>
        <w:keepLines w:val="0"/>
        <w:pageBreakBefore w:val="0"/>
        <w:kinsoku/>
        <w:overflowPunct/>
        <w:topLinePunct w:val="0"/>
        <w:bidi w:val="0"/>
        <w:snapToGrid w:val="0"/>
        <w:spacing w:line="360" w:lineRule="exact"/>
        <w:ind w:firstLine="464" w:firstLineChars="200"/>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（5）磋商报价超出采购预算的（或采购文件规定的价格上限）。</w:t>
      </w:r>
    </w:p>
    <w:p w14:paraId="0420A2D6">
      <w:pPr>
        <w:keepNext w:val="0"/>
        <w:keepLines w:val="0"/>
        <w:pageBreakBefore w:val="0"/>
        <w:kinsoku/>
        <w:overflowPunct/>
        <w:topLinePunct w:val="0"/>
        <w:bidi w:val="0"/>
        <w:snapToGrid w:val="0"/>
        <w:spacing w:line="360" w:lineRule="exact"/>
        <w:ind w:firstLine="580" w:firstLineChars="250"/>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(6)法律法规和采购文件规定的其他无效情形。</w:t>
      </w:r>
    </w:p>
    <w:p w14:paraId="5E78B873">
      <w:pPr>
        <w:keepNext w:val="0"/>
        <w:keepLines w:val="0"/>
        <w:pageBreakBefore w:val="0"/>
        <w:kinsoku/>
        <w:overflowPunct/>
        <w:topLinePunct w:val="0"/>
        <w:bidi w:val="0"/>
        <w:snapToGrid w:val="0"/>
        <w:spacing w:line="360" w:lineRule="exact"/>
        <w:ind w:firstLine="457" w:firstLineChars="196"/>
        <w:rPr>
          <w:rFonts w:hint="eastAsia" w:ascii="黑体" w:hAnsi="黑体" w:eastAsia="黑体" w:cs="黑体"/>
          <w:b/>
          <w:color w:val="auto"/>
          <w:spacing w:val="-4"/>
          <w:sz w:val="24"/>
          <w:szCs w:val="24"/>
          <w:highlight w:val="none"/>
        </w:rPr>
      </w:pPr>
      <w:r>
        <w:rPr>
          <w:rFonts w:hint="eastAsia" w:ascii="黑体" w:hAnsi="黑体" w:eastAsia="黑体" w:cs="黑体"/>
          <w:b/>
          <w:color w:val="auto"/>
          <w:spacing w:val="-4"/>
          <w:sz w:val="24"/>
          <w:szCs w:val="24"/>
          <w:highlight w:val="none"/>
        </w:rPr>
        <w:t>4.被拒绝的磋商响应文件为无效。</w:t>
      </w:r>
    </w:p>
    <w:p w14:paraId="7313A1EA">
      <w:pPr>
        <w:rPr>
          <w:rFonts w:hint="eastAsia" w:ascii="黑体" w:hAnsi="黑体" w:eastAsia="黑体" w:cs="黑体"/>
          <w:b/>
          <w:color w:val="auto"/>
          <w:spacing w:val="-4"/>
          <w:sz w:val="24"/>
          <w:szCs w:val="24"/>
          <w:highlight w:val="none"/>
        </w:rPr>
      </w:pPr>
      <w:r>
        <w:rPr>
          <w:rFonts w:hint="eastAsia" w:ascii="黑体" w:hAnsi="黑体" w:eastAsia="黑体" w:cs="黑体"/>
          <w:b/>
          <w:color w:val="auto"/>
          <w:spacing w:val="-4"/>
          <w:sz w:val="24"/>
          <w:szCs w:val="24"/>
          <w:highlight w:val="none"/>
        </w:rPr>
        <w:br w:type="page"/>
      </w:r>
    </w:p>
    <w:p w14:paraId="0693F07C">
      <w:pPr>
        <w:widowControl/>
        <w:numPr>
          <w:ilvl w:val="0"/>
          <w:numId w:val="27"/>
        </w:numPr>
        <w:jc w:val="center"/>
        <w:rPr>
          <w:rFonts w:hint="eastAsia" w:ascii="黑体" w:hAnsi="黑体" w:eastAsia="黑体" w:cs="黑体"/>
          <w:b/>
          <w:color w:val="auto"/>
          <w:kern w:val="44"/>
          <w:sz w:val="32"/>
          <w:szCs w:val="32"/>
          <w:highlight w:val="none"/>
        </w:rPr>
      </w:pPr>
      <w:r>
        <w:rPr>
          <w:rFonts w:hint="eastAsia" w:ascii="黑体" w:hAnsi="黑体" w:eastAsia="黑体" w:cs="黑体"/>
          <w:b/>
          <w:color w:val="auto"/>
          <w:kern w:val="44"/>
          <w:sz w:val="32"/>
          <w:szCs w:val="32"/>
          <w:highlight w:val="none"/>
        </w:rPr>
        <w:t>采购内容及技术要求</w:t>
      </w:r>
      <w:bookmarkEnd w:id="5"/>
    </w:p>
    <w:p w14:paraId="747D84E2">
      <w:pPr>
        <w:widowControl/>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（加▲号项需实质性响应）</w:t>
      </w:r>
    </w:p>
    <w:p w14:paraId="34380ABE">
      <w:pP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一、说明</w:t>
      </w:r>
    </w:p>
    <w:p w14:paraId="385C7DDF">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72CC834D">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2．本招标服务应按国际标准、国标、部标或专业标准提供，非标准服务按采购人提供的要求提供，服务标准按照国家有关规定及合同约定进行验收。</w:t>
      </w:r>
    </w:p>
    <w:p w14:paraId="35DD9330">
      <w:pPr>
        <w:spacing w:line="400" w:lineRule="exact"/>
        <w:ind w:firstLine="482" w:firstLineChars="200"/>
        <w:rPr>
          <w:rFonts w:hint="eastAsia" w:ascii="黑体" w:hAnsi="黑体" w:eastAsia="黑体" w:cs="黑体"/>
          <w:color w:val="auto"/>
          <w:sz w:val="24"/>
          <w:highlight w:val="none"/>
          <w:u w:val="single"/>
        </w:rPr>
      </w:pPr>
      <w:r>
        <w:rPr>
          <w:rFonts w:hint="eastAsia" w:ascii="黑体" w:hAnsi="黑体" w:eastAsia="黑体" w:cs="黑体"/>
          <w:b/>
          <w:color w:val="auto"/>
          <w:sz w:val="24"/>
          <w:highlight w:val="none"/>
          <w:shd w:val="clear" w:color="auto" w:fill="FFFFFF"/>
        </w:rPr>
        <w:t>3.</w:t>
      </w:r>
      <w:r>
        <w:rPr>
          <w:rFonts w:hint="eastAsia" w:ascii="黑体" w:hAnsi="黑体" w:eastAsia="黑体" w:cs="黑体"/>
          <w:color w:val="auto"/>
          <w:sz w:val="24"/>
          <w:highlight w:val="none"/>
          <w:u w:val="single"/>
        </w:rPr>
        <w:t>本项目采购标的对应的中小企业划分标准所属行业为其他未列明行业。根据关于印发中小企业划型标准规定的通知《工信部联企业[2011]300号》划分如下：</w:t>
      </w:r>
    </w:p>
    <w:p w14:paraId="10646159">
      <w:pPr>
        <w:spacing w:line="400" w:lineRule="exact"/>
        <w:ind w:firstLine="480" w:firstLineChars="2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u w:val="single"/>
        </w:rPr>
        <w:t>其他未列明行业。从业人员300人以下的为中小微型企业。其中，从业人员100人及以上的为中型企业；从业人员10人及以上的为小型企业；从业人员10人以下的为微型企业。</w:t>
      </w:r>
    </w:p>
    <w:p w14:paraId="75F73CB1">
      <w:pPr>
        <w:spacing w:line="440" w:lineRule="exact"/>
        <w:ind w:firstLine="361" w:firstLineChars="150"/>
        <w:rPr>
          <w:rFonts w:hint="eastAsia" w:ascii="黑体" w:hAnsi="黑体" w:eastAsia="黑体" w:cs="黑体"/>
          <w:b/>
          <w:color w:val="auto"/>
          <w:sz w:val="24"/>
          <w:highlight w:val="none"/>
          <w:shd w:val="clear" w:color="auto" w:fill="FFFFFF"/>
        </w:rPr>
      </w:pPr>
      <w:r>
        <w:rPr>
          <w:rFonts w:hint="eastAsia" w:ascii="黑体" w:hAnsi="黑体" w:eastAsia="黑体" w:cs="黑体"/>
          <w:b/>
          <w:color w:val="auto"/>
          <w:sz w:val="24"/>
          <w:highlight w:val="none"/>
          <w:shd w:val="clear" w:color="auto" w:fill="FFFFFF"/>
        </w:rPr>
        <w:t>4.依据《政府采购促进中小企业发展管理办法》（财库【2020】46号）规定享受扶持政策获得政府采购合同的，小微企业不得将合同分包给大中型企业，中型企业不得将合同分包给大型企业。</w:t>
      </w:r>
    </w:p>
    <w:p w14:paraId="32665BDD">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w:t>
      </w:r>
      <w:r>
        <w:rPr>
          <w:rFonts w:hint="eastAsia" w:ascii="黑体" w:hAnsi="黑体" w:eastAsia="黑体" w:cs="黑体"/>
          <w:b/>
          <w:color w:val="auto"/>
          <w:sz w:val="24"/>
          <w:highlight w:val="none"/>
          <w:shd w:val="clear" w:color="auto" w:fill="FFFFFF"/>
        </w:rPr>
        <w:t>带▲号的条款内容，为本次采购的主要条款和实质性内容，投标人必须完全响应。</w:t>
      </w:r>
    </w:p>
    <w:p w14:paraId="59E10566">
      <w:pPr>
        <w:rPr>
          <w:rFonts w:hint="eastAsia" w:ascii="黑体" w:hAnsi="黑体" w:eastAsia="黑体" w:cs="黑体"/>
          <w:color w:val="auto"/>
          <w:sz w:val="24"/>
          <w:highlight w:val="none"/>
        </w:rPr>
      </w:pPr>
      <w:r>
        <w:rPr>
          <w:rFonts w:hint="eastAsia" w:ascii="黑体" w:hAnsi="黑体" w:eastAsia="黑体" w:cs="黑体"/>
          <w:b/>
          <w:color w:val="auto"/>
          <w:sz w:val="24"/>
          <w:highlight w:val="none"/>
        </w:rPr>
        <w:t>二、招标项目内容（加▲号项需实质性响应）</w:t>
      </w:r>
    </w:p>
    <w:tbl>
      <w:tblPr>
        <w:tblStyle w:val="62"/>
        <w:tblW w:w="0" w:type="auto"/>
        <w:tblInd w:w="0" w:type="dxa"/>
        <w:tblLayout w:type="fixed"/>
        <w:tblCellMar>
          <w:top w:w="15" w:type="dxa"/>
          <w:left w:w="15" w:type="dxa"/>
          <w:bottom w:w="15" w:type="dxa"/>
          <w:right w:w="15" w:type="dxa"/>
        </w:tblCellMar>
      </w:tblPr>
      <w:tblGrid>
        <w:gridCol w:w="700"/>
        <w:gridCol w:w="5978"/>
        <w:gridCol w:w="2055"/>
        <w:gridCol w:w="1020"/>
      </w:tblGrid>
      <w:tr w14:paraId="59BCCBBB">
        <w:tblPrEx>
          <w:tblCellMar>
            <w:top w:w="15" w:type="dxa"/>
            <w:left w:w="15" w:type="dxa"/>
            <w:bottom w:w="15" w:type="dxa"/>
            <w:right w:w="15" w:type="dxa"/>
          </w:tblCellMar>
        </w:tblPrEx>
        <w:trPr>
          <w:trHeight w:val="551" w:hRule="atLeast"/>
        </w:trPr>
        <w:tc>
          <w:tcPr>
            <w:tcW w:w="9753" w:type="dxa"/>
            <w:gridSpan w:val="4"/>
            <w:noWrap w:val="0"/>
            <w:vAlign w:val="center"/>
          </w:tcPr>
          <w:p w14:paraId="7EC87373">
            <w:pPr>
              <w:widowControl/>
              <w:jc w:val="center"/>
              <w:textAlignment w:val="center"/>
              <w:rPr>
                <w:rFonts w:hint="eastAsia" w:ascii="黑体" w:hAnsi="黑体" w:eastAsia="黑体" w:cs="黑体"/>
                <w:b/>
                <w:color w:val="auto"/>
                <w:kern w:val="0"/>
                <w:sz w:val="24"/>
                <w:szCs w:val="24"/>
                <w:highlight w:val="none"/>
                <w:lang w:bidi="ar"/>
              </w:rPr>
            </w:pPr>
            <w:r>
              <w:rPr>
                <w:rFonts w:hint="eastAsia" w:ascii="黑体" w:hAnsi="黑体" w:eastAsia="黑体" w:cs="黑体"/>
                <w:b/>
                <w:color w:val="auto"/>
                <w:kern w:val="0"/>
                <w:sz w:val="24"/>
                <w:szCs w:val="24"/>
                <w:highlight w:val="none"/>
                <w:lang w:bidi="ar"/>
              </w:rPr>
              <w:t>绿化养护服务面积</w:t>
            </w:r>
          </w:p>
        </w:tc>
      </w:tr>
      <w:tr w14:paraId="02E17E17">
        <w:tblPrEx>
          <w:tblCellMar>
            <w:top w:w="0" w:type="dxa"/>
            <w:left w:w="108" w:type="dxa"/>
            <w:bottom w:w="0" w:type="dxa"/>
            <w:right w:w="108" w:type="dxa"/>
          </w:tblCellMar>
        </w:tblPrEx>
        <w:trPr>
          <w:trHeight w:val="570"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19F9990A">
            <w:pPr>
              <w:widowControl/>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序号</w:t>
            </w:r>
          </w:p>
        </w:tc>
        <w:tc>
          <w:tcPr>
            <w:tcW w:w="5978" w:type="dxa"/>
            <w:tcBorders>
              <w:top w:val="single" w:color="auto" w:sz="4" w:space="0"/>
              <w:left w:val="nil"/>
              <w:bottom w:val="single" w:color="auto" w:sz="4" w:space="0"/>
              <w:right w:val="single" w:color="auto" w:sz="4" w:space="0"/>
            </w:tcBorders>
            <w:noWrap w:val="0"/>
            <w:vAlign w:val="center"/>
          </w:tcPr>
          <w:p w14:paraId="4BAF11FD">
            <w:pPr>
              <w:widowControl/>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地点</w:t>
            </w:r>
          </w:p>
        </w:tc>
        <w:tc>
          <w:tcPr>
            <w:tcW w:w="2055" w:type="dxa"/>
            <w:tcBorders>
              <w:top w:val="single" w:color="auto" w:sz="4" w:space="0"/>
              <w:left w:val="nil"/>
              <w:bottom w:val="single" w:color="auto" w:sz="4" w:space="0"/>
              <w:right w:val="single" w:color="auto" w:sz="4" w:space="0"/>
            </w:tcBorders>
            <w:noWrap w:val="0"/>
            <w:vAlign w:val="center"/>
          </w:tcPr>
          <w:p w14:paraId="1B176345">
            <w:pPr>
              <w:widowControl/>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绿化面积（m2）</w:t>
            </w:r>
          </w:p>
        </w:tc>
        <w:tc>
          <w:tcPr>
            <w:tcW w:w="1020" w:type="dxa"/>
            <w:tcBorders>
              <w:top w:val="single" w:color="auto" w:sz="4" w:space="0"/>
              <w:left w:val="nil"/>
              <w:bottom w:val="single" w:color="auto" w:sz="4" w:space="0"/>
              <w:right w:val="single" w:color="auto" w:sz="4" w:space="0"/>
            </w:tcBorders>
            <w:noWrap w:val="0"/>
            <w:vAlign w:val="center"/>
          </w:tcPr>
          <w:p w14:paraId="1360976A">
            <w:pPr>
              <w:widowControl/>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备注</w:t>
            </w:r>
          </w:p>
        </w:tc>
      </w:tr>
      <w:tr w14:paraId="039AC99D">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05D0793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w:t>
            </w:r>
          </w:p>
        </w:tc>
        <w:tc>
          <w:tcPr>
            <w:tcW w:w="5978" w:type="dxa"/>
            <w:tcBorders>
              <w:top w:val="nil"/>
              <w:left w:val="nil"/>
              <w:bottom w:val="single" w:color="auto" w:sz="4" w:space="0"/>
              <w:right w:val="single" w:color="auto" w:sz="4" w:space="0"/>
            </w:tcBorders>
            <w:noWrap w:val="0"/>
            <w:vAlign w:val="center"/>
          </w:tcPr>
          <w:p w14:paraId="2143308E">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乾龙工业功能区含行道树1602棵</w:t>
            </w:r>
          </w:p>
        </w:tc>
        <w:tc>
          <w:tcPr>
            <w:tcW w:w="2055" w:type="dxa"/>
            <w:tcBorders>
              <w:top w:val="nil"/>
              <w:left w:val="nil"/>
              <w:bottom w:val="single" w:color="auto" w:sz="4" w:space="0"/>
              <w:right w:val="single" w:color="auto" w:sz="4" w:space="0"/>
            </w:tcBorders>
            <w:noWrap w:val="0"/>
            <w:vAlign w:val="center"/>
          </w:tcPr>
          <w:p w14:paraId="417BEFF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22121.94</w:t>
            </w:r>
          </w:p>
        </w:tc>
        <w:tc>
          <w:tcPr>
            <w:tcW w:w="1020" w:type="dxa"/>
            <w:tcBorders>
              <w:top w:val="nil"/>
              <w:left w:val="nil"/>
              <w:bottom w:val="single" w:color="auto" w:sz="4" w:space="0"/>
              <w:right w:val="single" w:color="auto" w:sz="4" w:space="0"/>
            </w:tcBorders>
            <w:noWrap w:val="0"/>
            <w:vAlign w:val="center"/>
          </w:tcPr>
          <w:p w14:paraId="23F20E00">
            <w:pPr>
              <w:widowControl/>
              <w:jc w:val="center"/>
              <w:rPr>
                <w:rFonts w:hint="eastAsia" w:ascii="黑体" w:hAnsi="黑体" w:eastAsia="黑体" w:cs="黑体"/>
                <w:color w:val="auto"/>
                <w:kern w:val="0"/>
                <w:sz w:val="24"/>
                <w:szCs w:val="24"/>
                <w:highlight w:val="none"/>
              </w:rPr>
            </w:pPr>
          </w:p>
        </w:tc>
      </w:tr>
      <w:tr w14:paraId="66D50246">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3A7E6BA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w:t>
            </w:r>
          </w:p>
        </w:tc>
        <w:tc>
          <w:tcPr>
            <w:tcW w:w="5978" w:type="dxa"/>
            <w:tcBorders>
              <w:top w:val="nil"/>
              <w:left w:val="nil"/>
              <w:bottom w:val="single" w:color="auto" w:sz="4" w:space="0"/>
              <w:right w:val="single" w:color="auto" w:sz="4" w:space="0"/>
            </w:tcBorders>
            <w:noWrap w:val="0"/>
            <w:vAlign w:val="center"/>
          </w:tcPr>
          <w:p w14:paraId="48F215C3">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新材料园区(乌牛山环线+诺贝尔大道)含行道树840棵</w:t>
            </w:r>
          </w:p>
        </w:tc>
        <w:tc>
          <w:tcPr>
            <w:tcW w:w="2055" w:type="dxa"/>
            <w:tcBorders>
              <w:top w:val="nil"/>
              <w:left w:val="nil"/>
              <w:bottom w:val="single" w:color="auto" w:sz="4" w:space="0"/>
              <w:right w:val="single" w:color="auto" w:sz="4" w:space="0"/>
            </w:tcBorders>
            <w:noWrap w:val="0"/>
            <w:vAlign w:val="center"/>
          </w:tcPr>
          <w:p w14:paraId="1B8BBC4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100931.67</w:t>
            </w:r>
          </w:p>
        </w:tc>
        <w:tc>
          <w:tcPr>
            <w:tcW w:w="1020" w:type="dxa"/>
            <w:tcBorders>
              <w:top w:val="nil"/>
              <w:left w:val="nil"/>
              <w:bottom w:val="single" w:color="auto" w:sz="4" w:space="0"/>
              <w:right w:val="single" w:color="auto" w:sz="4" w:space="0"/>
            </w:tcBorders>
            <w:noWrap/>
            <w:vAlign w:val="center"/>
          </w:tcPr>
          <w:p w14:paraId="15FEB6C7">
            <w:pPr>
              <w:widowControl/>
              <w:jc w:val="center"/>
              <w:rPr>
                <w:rFonts w:hint="eastAsia" w:ascii="黑体" w:hAnsi="黑体" w:eastAsia="黑体" w:cs="黑体"/>
                <w:color w:val="auto"/>
                <w:kern w:val="0"/>
                <w:sz w:val="24"/>
                <w:szCs w:val="24"/>
                <w:highlight w:val="none"/>
              </w:rPr>
            </w:pPr>
          </w:p>
        </w:tc>
      </w:tr>
      <w:tr w14:paraId="66C7B769">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7D096FC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w:t>
            </w:r>
          </w:p>
        </w:tc>
        <w:tc>
          <w:tcPr>
            <w:tcW w:w="5978" w:type="dxa"/>
            <w:tcBorders>
              <w:top w:val="nil"/>
              <w:left w:val="nil"/>
              <w:bottom w:val="single" w:color="auto" w:sz="4" w:space="0"/>
              <w:right w:val="single" w:color="auto" w:sz="4" w:space="0"/>
            </w:tcBorders>
            <w:noWrap w:val="0"/>
            <w:vAlign w:val="center"/>
          </w:tcPr>
          <w:p w14:paraId="1012F5C8">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城南警务室-振兴桥</w:t>
            </w:r>
          </w:p>
        </w:tc>
        <w:tc>
          <w:tcPr>
            <w:tcW w:w="2055" w:type="dxa"/>
            <w:tcBorders>
              <w:top w:val="nil"/>
              <w:left w:val="nil"/>
              <w:bottom w:val="single" w:color="auto" w:sz="4" w:space="0"/>
              <w:right w:val="single" w:color="auto" w:sz="4" w:space="0"/>
            </w:tcBorders>
            <w:noWrap w:val="0"/>
            <w:vAlign w:val="center"/>
          </w:tcPr>
          <w:p w14:paraId="1918508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8550</w:t>
            </w:r>
          </w:p>
        </w:tc>
        <w:tc>
          <w:tcPr>
            <w:tcW w:w="1020" w:type="dxa"/>
            <w:tcBorders>
              <w:top w:val="nil"/>
              <w:left w:val="nil"/>
              <w:bottom w:val="single" w:color="auto" w:sz="4" w:space="0"/>
              <w:right w:val="single" w:color="auto" w:sz="4" w:space="0"/>
            </w:tcBorders>
            <w:noWrap w:val="0"/>
            <w:vAlign w:val="center"/>
          </w:tcPr>
          <w:p w14:paraId="7C067D4A">
            <w:pPr>
              <w:widowControl/>
              <w:jc w:val="center"/>
              <w:rPr>
                <w:rFonts w:hint="eastAsia" w:ascii="黑体" w:hAnsi="黑体" w:eastAsia="黑体" w:cs="黑体"/>
                <w:color w:val="auto"/>
                <w:kern w:val="0"/>
                <w:sz w:val="24"/>
                <w:szCs w:val="24"/>
                <w:highlight w:val="none"/>
              </w:rPr>
            </w:pPr>
          </w:p>
        </w:tc>
      </w:tr>
      <w:tr w14:paraId="17A040B8">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499FEBC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w:t>
            </w:r>
          </w:p>
        </w:tc>
        <w:tc>
          <w:tcPr>
            <w:tcW w:w="5978" w:type="dxa"/>
            <w:tcBorders>
              <w:top w:val="nil"/>
              <w:left w:val="nil"/>
              <w:bottom w:val="single" w:color="auto" w:sz="4" w:space="0"/>
              <w:right w:val="single" w:color="auto" w:sz="4" w:space="0"/>
            </w:tcBorders>
            <w:noWrap w:val="0"/>
            <w:vAlign w:val="center"/>
          </w:tcPr>
          <w:p w14:paraId="43949202">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砻糠山至汽车车站两侧</w:t>
            </w:r>
          </w:p>
        </w:tc>
        <w:tc>
          <w:tcPr>
            <w:tcW w:w="2055" w:type="dxa"/>
            <w:tcBorders>
              <w:top w:val="nil"/>
              <w:left w:val="nil"/>
              <w:bottom w:val="single" w:color="auto" w:sz="4" w:space="0"/>
              <w:right w:val="single" w:color="auto" w:sz="4" w:space="0"/>
            </w:tcBorders>
            <w:noWrap/>
            <w:vAlign w:val="center"/>
          </w:tcPr>
          <w:p w14:paraId="2E9F557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4020</w:t>
            </w:r>
          </w:p>
        </w:tc>
        <w:tc>
          <w:tcPr>
            <w:tcW w:w="1020" w:type="dxa"/>
            <w:tcBorders>
              <w:top w:val="nil"/>
              <w:left w:val="nil"/>
              <w:bottom w:val="single" w:color="auto" w:sz="4" w:space="0"/>
              <w:right w:val="single" w:color="auto" w:sz="4" w:space="0"/>
            </w:tcBorders>
            <w:noWrap/>
            <w:vAlign w:val="center"/>
          </w:tcPr>
          <w:p w14:paraId="30602EE1">
            <w:pPr>
              <w:widowControl/>
              <w:jc w:val="center"/>
              <w:rPr>
                <w:rFonts w:hint="eastAsia" w:ascii="黑体" w:hAnsi="黑体" w:eastAsia="黑体" w:cs="黑体"/>
                <w:color w:val="auto"/>
                <w:kern w:val="0"/>
                <w:sz w:val="24"/>
                <w:szCs w:val="24"/>
                <w:highlight w:val="none"/>
              </w:rPr>
            </w:pPr>
          </w:p>
        </w:tc>
      </w:tr>
      <w:tr w14:paraId="0FD2F371">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32A241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w:t>
            </w:r>
          </w:p>
        </w:tc>
        <w:tc>
          <w:tcPr>
            <w:tcW w:w="5978" w:type="dxa"/>
            <w:tcBorders>
              <w:top w:val="nil"/>
              <w:left w:val="nil"/>
              <w:bottom w:val="single" w:color="auto" w:sz="4" w:space="0"/>
              <w:right w:val="single" w:color="auto" w:sz="4" w:space="0"/>
            </w:tcBorders>
            <w:noWrap w:val="0"/>
            <w:vAlign w:val="center"/>
          </w:tcPr>
          <w:p w14:paraId="3BF2332A">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东门城桥南公园及机械厂边</w:t>
            </w:r>
          </w:p>
        </w:tc>
        <w:tc>
          <w:tcPr>
            <w:tcW w:w="2055" w:type="dxa"/>
            <w:tcBorders>
              <w:top w:val="nil"/>
              <w:left w:val="nil"/>
              <w:bottom w:val="single" w:color="auto" w:sz="4" w:space="0"/>
              <w:right w:val="single" w:color="auto" w:sz="4" w:space="0"/>
            </w:tcBorders>
            <w:noWrap w:val="0"/>
            <w:vAlign w:val="center"/>
          </w:tcPr>
          <w:p w14:paraId="7D2B4B9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1235</w:t>
            </w:r>
          </w:p>
        </w:tc>
        <w:tc>
          <w:tcPr>
            <w:tcW w:w="1020" w:type="dxa"/>
            <w:tcBorders>
              <w:top w:val="nil"/>
              <w:left w:val="nil"/>
              <w:bottom w:val="single" w:color="auto" w:sz="4" w:space="0"/>
              <w:right w:val="single" w:color="auto" w:sz="4" w:space="0"/>
            </w:tcBorders>
            <w:noWrap w:val="0"/>
            <w:vAlign w:val="center"/>
          </w:tcPr>
          <w:p w14:paraId="0FA3559C">
            <w:pPr>
              <w:widowControl/>
              <w:jc w:val="center"/>
              <w:rPr>
                <w:rFonts w:hint="eastAsia" w:ascii="黑体" w:hAnsi="黑体" w:eastAsia="黑体" w:cs="黑体"/>
                <w:color w:val="auto"/>
                <w:kern w:val="0"/>
                <w:sz w:val="24"/>
                <w:szCs w:val="24"/>
                <w:highlight w:val="none"/>
              </w:rPr>
            </w:pPr>
          </w:p>
        </w:tc>
      </w:tr>
      <w:tr w14:paraId="36A7227F">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241AB93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w:t>
            </w:r>
          </w:p>
        </w:tc>
        <w:tc>
          <w:tcPr>
            <w:tcW w:w="5978" w:type="dxa"/>
            <w:tcBorders>
              <w:top w:val="nil"/>
              <w:left w:val="nil"/>
              <w:bottom w:val="single" w:color="auto" w:sz="4" w:space="0"/>
              <w:right w:val="single" w:color="auto" w:sz="4" w:space="0"/>
            </w:tcBorders>
            <w:noWrap w:val="0"/>
            <w:vAlign w:val="center"/>
          </w:tcPr>
          <w:p w14:paraId="3864B5C7">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东门城桥北公园</w:t>
            </w:r>
          </w:p>
        </w:tc>
        <w:tc>
          <w:tcPr>
            <w:tcW w:w="2055" w:type="dxa"/>
            <w:tcBorders>
              <w:top w:val="nil"/>
              <w:left w:val="nil"/>
              <w:bottom w:val="single" w:color="auto" w:sz="4" w:space="0"/>
              <w:right w:val="single" w:color="auto" w:sz="4" w:space="0"/>
            </w:tcBorders>
            <w:noWrap w:val="0"/>
            <w:vAlign w:val="center"/>
          </w:tcPr>
          <w:p w14:paraId="0DF5EE2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648</w:t>
            </w:r>
          </w:p>
        </w:tc>
        <w:tc>
          <w:tcPr>
            <w:tcW w:w="1020" w:type="dxa"/>
            <w:tcBorders>
              <w:top w:val="nil"/>
              <w:left w:val="nil"/>
              <w:bottom w:val="single" w:color="auto" w:sz="4" w:space="0"/>
              <w:right w:val="single" w:color="auto" w:sz="4" w:space="0"/>
            </w:tcBorders>
            <w:noWrap w:val="0"/>
            <w:vAlign w:val="center"/>
          </w:tcPr>
          <w:p w14:paraId="37AF2D31">
            <w:pPr>
              <w:widowControl/>
              <w:jc w:val="center"/>
              <w:rPr>
                <w:rFonts w:hint="eastAsia" w:ascii="黑体" w:hAnsi="黑体" w:eastAsia="黑体" w:cs="黑体"/>
                <w:color w:val="auto"/>
                <w:kern w:val="0"/>
                <w:sz w:val="24"/>
                <w:szCs w:val="24"/>
                <w:highlight w:val="none"/>
              </w:rPr>
            </w:pPr>
          </w:p>
        </w:tc>
      </w:tr>
      <w:tr w14:paraId="746A8E5B">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6CA9180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w:t>
            </w:r>
          </w:p>
        </w:tc>
        <w:tc>
          <w:tcPr>
            <w:tcW w:w="5978" w:type="dxa"/>
            <w:tcBorders>
              <w:top w:val="nil"/>
              <w:left w:val="nil"/>
              <w:bottom w:val="single" w:color="auto" w:sz="4" w:space="0"/>
              <w:right w:val="single" w:color="auto" w:sz="4" w:space="0"/>
            </w:tcBorders>
            <w:noWrap w:val="0"/>
            <w:vAlign w:val="center"/>
          </w:tcPr>
          <w:p w14:paraId="4F864918">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影院弄及周边</w:t>
            </w:r>
          </w:p>
        </w:tc>
        <w:tc>
          <w:tcPr>
            <w:tcW w:w="2055" w:type="dxa"/>
            <w:tcBorders>
              <w:top w:val="nil"/>
              <w:left w:val="nil"/>
              <w:bottom w:val="single" w:color="auto" w:sz="4" w:space="0"/>
              <w:right w:val="single" w:color="auto" w:sz="4" w:space="0"/>
            </w:tcBorders>
            <w:noWrap w:val="0"/>
            <w:vAlign w:val="center"/>
          </w:tcPr>
          <w:p w14:paraId="3DCC19B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276</w:t>
            </w:r>
          </w:p>
        </w:tc>
        <w:tc>
          <w:tcPr>
            <w:tcW w:w="1020" w:type="dxa"/>
            <w:tcBorders>
              <w:top w:val="nil"/>
              <w:left w:val="nil"/>
              <w:bottom w:val="single" w:color="auto" w:sz="4" w:space="0"/>
              <w:right w:val="single" w:color="auto" w:sz="4" w:space="0"/>
            </w:tcBorders>
            <w:noWrap w:val="0"/>
            <w:vAlign w:val="center"/>
          </w:tcPr>
          <w:p w14:paraId="0F7CA329">
            <w:pPr>
              <w:widowControl/>
              <w:jc w:val="center"/>
              <w:rPr>
                <w:rFonts w:hint="eastAsia" w:ascii="黑体" w:hAnsi="黑体" w:eastAsia="黑体" w:cs="黑体"/>
                <w:color w:val="auto"/>
                <w:kern w:val="0"/>
                <w:sz w:val="24"/>
                <w:szCs w:val="24"/>
                <w:highlight w:val="none"/>
              </w:rPr>
            </w:pPr>
          </w:p>
        </w:tc>
      </w:tr>
      <w:tr w14:paraId="72BF795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466A9D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w:t>
            </w:r>
          </w:p>
        </w:tc>
        <w:tc>
          <w:tcPr>
            <w:tcW w:w="5978" w:type="dxa"/>
            <w:tcBorders>
              <w:top w:val="nil"/>
              <w:left w:val="nil"/>
              <w:bottom w:val="single" w:color="auto" w:sz="4" w:space="0"/>
              <w:right w:val="single" w:color="auto" w:sz="4" w:space="0"/>
            </w:tcBorders>
            <w:noWrap w:val="0"/>
            <w:vAlign w:val="center"/>
          </w:tcPr>
          <w:p w14:paraId="7F29F77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乾元山全部</w:t>
            </w:r>
          </w:p>
        </w:tc>
        <w:tc>
          <w:tcPr>
            <w:tcW w:w="2055" w:type="dxa"/>
            <w:tcBorders>
              <w:top w:val="nil"/>
              <w:left w:val="nil"/>
              <w:bottom w:val="single" w:color="auto" w:sz="4" w:space="0"/>
              <w:right w:val="single" w:color="auto" w:sz="4" w:space="0"/>
            </w:tcBorders>
            <w:noWrap w:val="0"/>
            <w:vAlign w:val="center"/>
          </w:tcPr>
          <w:p w14:paraId="36F5CEC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7577</w:t>
            </w:r>
          </w:p>
        </w:tc>
        <w:tc>
          <w:tcPr>
            <w:tcW w:w="1020" w:type="dxa"/>
            <w:tcBorders>
              <w:top w:val="nil"/>
              <w:left w:val="nil"/>
              <w:bottom w:val="single" w:color="auto" w:sz="4" w:space="0"/>
              <w:right w:val="single" w:color="auto" w:sz="4" w:space="0"/>
            </w:tcBorders>
            <w:noWrap w:val="0"/>
            <w:vAlign w:val="center"/>
          </w:tcPr>
          <w:p w14:paraId="65718055">
            <w:pPr>
              <w:widowControl/>
              <w:jc w:val="center"/>
              <w:rPr>
                <w:rFonts w:hint="eastAsia" w:ascii="黑体" w:hAnsi="黑体" w:eastAsia="黑体" w:cs="黑体"/>
                <w:color w:val="auto"/>
                <w:kern w:val="0"/>
                <w:sz w:val="24"/>
                <w:szCs w:val="24"/>
                <w:highlight w:val="none"/>
              </w:rPr>
            </w:pPr>
          </w:p>
        </w:tc>
      </w:tr>
      <w:tr w14:paraId="72218C1A">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37521D6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w:t>
            </w:r>
          </w:p>
        </w:tc>
        <w:tc>
          <w:tcPr>
            <w:tcW w:w="5978" w:type="dxa"/>
            <w:tcBorders>
              <w:top w:val="nil"/>
              <w:left w:val="nil"/>
              <w:bottom w:val="single" w:color="auto" w:sz="4" w:space="0"/>
              <w:right w:val="single" w:color="auto" w:sz="4" w:space="0"/>
            </w:tcBorders>
            <w:noWrap w:val="0"/>
            <w:vAlign w:val="center"/>
          </w:tcPr>
          <w:p w14:paraId="5010A68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东风路</w:t>
            </w:r>
          </w:p>
        </w:tc>
        <w:tc>
          <w:tcPr>
            <w:tcW w:w="2055" w:type="dxa"/>
            <w:tcBorders>
              <w:top w:val="nil"/>
              <w:left w:val="nil"/>
              <w:bottom w:val="single" w:color="auto" w:sz="4" w:space="0"/>
              <w:right w:val="single" w:color="auto" w:sz="4" w:space="0"/>
            </w:tcBorders>
            <w:noWrap w:val="0"/>
            <w:vAlign w:val="center"/>
          </w:tcPr>
          <w:p w14:paraId="5698722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357</w:t>
            </w:r>
          </w:p>
        </w:tc>
        <w:tc>
          <w:tcPr>
            <w:tcW w:w="1020" w:type="dxa"/>
            <w:tcBorders>
              <w:top w:val="nil"/>
              <w:left w:val="nil"/>
              <w:bottom w:val="single" w:color="auto" w:sz="4" w:space="0"/>
              <w:right w:val="single" w:color="auto" w:sz="4" w:space="0"/>
            </w:tcBorders>
            <w:noWrap w:val="0"/>
            <w:vAlign w:val="center"/>
          </w:tcPr>
          <w:p w14:paraId="7EF5ABCD">
            <w:pPr>
              <w:widowControl/>
              <w:jc w:val="center"/>
              <w:rPr>
                <w:rFonts w:hint="eastAsia" w:ascii="黑体" w:hAnsi="黑体" w:eastAsia="黑体" w:cs="黑体"/>
                <w:color w:val="auto"/>
                <w:kern w:val="0"/>
                <w:sz w:val="24"/>
                <w:szCs w:val="24"/>
                <w:highlight w:val="none"/>
              </w:rPr>
            </w:pPr>
          </w:p>
        </w:tc>
      </w:tr>
      <w:tr w14:paraId="5E0B768A">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683330B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w:t>
            </w:r>
          </w:p>
        </w:tc>
        <w:tc>
          <w:tcPr>
            <w:tcW w:w="5978" w:type="dxa"/>
            <w:tcBorders>
              <w:top w:val="nil"/>
              <w:left w:val="nil"/>
              <w:bottom w:val="single" w:color="auto" w:sz="4" w:space="0"/>
              <w:right w:val="single" w:color="auto" w:sz="4" w:space="0"/>
            </w:tcBorders>
            <w:noWrap w:val="0"/>
            <w:vAlign w:val="center"/>
          </w:tcPr>
          <w:p w14:paraId="469672A4">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和美家园前面</w:t>
            </w:r>
          </w:p>
        </w:tc>
        <w:tc>
          <w:tcPr>
            <w:tcW w:w="2055" w:type="dxa"/>
            <w:tcBorders>
              <w:top w:val="nil"/>
              <w:left w:val="nil"/>
              <w:bottom w:val="single" w:color="auto" w:sz="4" w:space="0"/>
              <w:right w:val="single" w:color="auto" w:sz="4" w:space="0"/>
            </w:tcBorders>
            <w:noWrap w:val="0"/>
            <w:vAlign w:val="center"/>
          </w:tcPr>
          <w:p w14:paraId="59D8E315">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360</w:t>
            </w:r>
          </w:p>
        </w:tc>
        <w:tc>
          <w:tcPr>
            <w:tcW w:w="1020" w:type="dxa"/>
            <w:tcBorders>
              <w:top w:val="nil"/>
              <w:left w:val="nil"/>
              <w:bottom w:val="single" w:color="auto" w:sz="4" w:space="0"/>
              <w:right w:val="single" w:color="auto" w:sz="4" w:space="0"/>
            </w:tcBorders>
            <w:noWrap w:val="0"/>
            <w:vAlign w:val="center"/>
          </w:tcPr>
          <w:p w14:paraId="361EA514">
            <w:pPr>
              <w:widowControl/>
              <w:jc w:val="center"/>
              <w:rPr>
                <w:rFonts w:hint="eastAsia" w:ascii="黑体" w:hAnsi="黑体" w:eastAsia="黑体" w:cs="黑体"/>
                <w:color w:val="auto"/>
                <w:kern w:val="0"/>
                <w:sz w:val="24"/>
                <w:szCs w:val="24"/>
                <w:highlight w:val="none"/>
              </w:rPr>
            </w:pPr>
          </w:p>
        </w:tc>
      </w:tr>
      <w:tr w14:paraId="549FEB93">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228577B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11</w:t>
            </w:r>
          </w:p>
        </w:tc>
        <w:tc>
          <w:tcPr>
            <w:tcW w:w="5978" w:type="dxa"/>
            <w:tcBorders>
              <w:top w:val="nil"/>
              <w:left w:val="nil"/>
              <w:bottom w:val="single" w:color="auto" w:sz="4" w:space="0"/>
              <w:right w:val="single" w:color="auto" w:sz="4" w:space="0"/>
            </w:tcBorders>
            <w:noWrap w:val="0"/>
            <w:vAlign w:val="center"/>
          </w:tcPr>
          <w:p w14:paraId="387C628C">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党校对面公园</w:t>
            </w:r>
          </w:p>
        </w:tc>
        <w:tc>
          <w:tcPr>
            <w:tcW w:w="2055" w:type="dxa"/>
            <w:tcBorders>
              <w:top w:val="nil"/>
              <w:left w:val="nil"/>
              <w:bottom w:val="single" w:color="auto" w:sz="4" w:space="0"/>
              <w:right w:val="single" w:color="auto" w:sz="4" w:space="0"/>
            </w:tcBorders>
            <w:noWrap/>
            <w:vAlign w:val="center"/>
          </w:tcPr>
          <w:p w14:paraId="583C7A5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497</w:t>
            </w:r>
          </w:p>
        </w:tc>
        <w:tc>
          <w:tcPr>
            <w:tcW w:w="1020" w:type="dxa"/>
            <w:tcBorders>
              <w:top w:val="nil"/>
              <w:left w:val="nil"/>
              <w:bottom w:val="single" w:color="auto" w:sz="4" w:space="0"/>
              <w:right w:val="single" w:color="auto" w:sz="4" w:space="0"/>
            </w:tcBorders>
            <w:noWrap/>
            <w:vAlign w:val="center"/>
          </w:tcPr>
          <w:p w14:paraId="2198E551">
            <w:pPr>
              <w:widowControl/>
              <w:jc w:val="center"/>
              <w:rPr>
                <w:rFonts w:hint="eastAsia" w:ascii="黑体" w:hAnsi="黑体" w:eastAsia="黑体" w:cs="黑体"/>
                <w:color w:val="auto"/>
                <w:kern w:val="0"/>
                <w:sz w:val="24"/>
                <w:szCs w:val="24"/>
                <w:highlight w:val="none"/>
              </w:rPr>
            </w:pPr>
          </w:p>
        </w:tc>
      </w:tr>
      <w:tr w14:paraId="02F2C4DD">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60E76BA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12</w:t>
            </w:r>
          </w:p>
        </w:tc>
        <w:tc>
          <w:tcPr>
            <w:tcW w:w="5978" w:type="dxa"/>
            <w:tcBorders>
              <w:top w:val="nil"/>
              <w:left w:val="nil"/>
              <w:bottom w:val="single" w:color="auto" w:sz="4" w:space="0"/>
              <w:right w:val="single" w:color="auto" w:sz="4" w:space="0"/>
            </w:tcBorders>
            <w:noWrap w:val="0"/>
            <w:vAlign w:val="center"/>
          </w:tcPr>
          <w:p w14:paraId="75BEA444">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环城路百凉山周边及对面</w:t>
            </w:r>
          </w:p>
        </w:tc>
        <w:tc>
          <w:tcPr>
            <w:tcW w:w="2055" w:type="dxa"/>
            <w:tcBorders>
              <w:top w:val="nil"/>
              <w:left w:val="nil"/>
              <w:bottom w:val="single" w:color="auto" w:sz="4" w:space="0"/>
              <w:right w:val="single" w:color="auto" w:sz="4" w:space="0"/>
            </w:tcBorders>
            <w:noWrap w:val="0"/>
            <w:vAlign w:val="center"/>
          </w:tcPr>
          <w:p w14:paraId="4BF598F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453</w:t>
            </w:r>
          </w:p>
        </w:tc>
        <w:tc>
          <w:tcPr>
            <w:tcW w:w="1020" w:type="dxa"/>
            <w:tcBorders>
              <w:top w:val="nil"/>
              <w:left w:val="nil"/>
              <w:bottom w:val="single" w:color="auto" w:sz="4" w:space="0"/>
              <w:right w:val="single" w:color="auto" w:sz="4" w:space="0"/>
            </w:tcBorders>
            <w:noWrap w:val="0"/>
            <w:vAlign w:val="center"/>
          </w:tcPr>
          <w:p w14:paraId="37B599C3">
            <w:pPr>
              <w:widowControl/>
              <w:jc w:val="center"/>
              <w:rPr>
                <w:rFonts w:hint="eastAsia" w:ascii="黑体" w:hAnsi="黑体" w:eastAsia="黑体" w:cs="黑体"/>
                <w:color w:val="auto"/>
                <w:kern w:val="0"/>
                <w:sz w:val="24"/>
                <w:szCs w:val="24"/>
                <w:highlight w:val="none"/>
              </w:rPr>
            </w:pPr>
          </w:p>
        </w:tc>
      </w:tr>
      <w:tr w14:paraId="4216A16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E12AC9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13</w:t>
            </w:r>
          </w:p>
        </w:tc>
        <w:tc>
          <w:tcPr>
            <w:tcW w:w="5978" w:type="dxa"/>
            <w:tcBorders>
              <w:top w:val="nil"/>
              <w:left w:val="nil"/>
              <w:bottom w:val="single" w:color="auto" w:sz="4" w:space="0"/>
              <w:right w:val="single" w:color="auto" w:sz="4" w:space="0"/>
            </w:tcBorders>
            <w:noWrap w:val="0"/>
            <w:vAlign w:val="center"/>
          </w:tcPr>
          <w:p w14:paraId="445DD81E">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环城路西单弄北口及对面山坡周边</w:t>
            </w:r>
          </w:p>
        </w:tc>
        <w:tc>
          <w:tcPr>
            <w:tcW w:w="2055" w:type="dxa"/>
            <w:tcBorders>
              <w:top w:val="nil"/>
              <w:left w:val="nil"/>
              <w:bottom w:val="single" w:color="auto" w:sz="4" w:space="0"/>
              <w:right w:val="single" w:color="auto" w:sz="4" w:space="0"/>
            </w:tcBorders>
            <w:noWrap w:val="0"/>
            <w:vAlign w:val="center"/>
          </w:tcPr>
          <w:p w14:paraId="59E9354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871</w:t>
            </w:r>
          </w:p>
        </w:tc>
        <w:tc>
          <w:tcPr>
            <w:tcW w:w="1020" w:type="dxa"/>
            <w:tcBorders>
              <w:top w:val="nil"/>
              <w:left w:val="nil"/>
              <w:bottom w:val="single" w:color="auto" w:sz="4" w:space="0"/>
              <w:right w:val="single" w:color="auto" w:sz="4" w:space="0"/>
            </w:tcBorders>
            <w:noWrap w:val="0"/>
            <w:vAlign w:val="center"/>
          </w:tcPr>
          <w:p w14:paraId="24FD339D">
            <w:pPr>
              <w:widowControl/>
              <w:jc w:val="center"/>
              <w:rPr>
                <w:rFonts w:hint="eastAsia" w:ascii="黑体" w:hAnsi="黑体" w:eastAsia="黑体" w:cs="黑体"/>
                <w:color w:val="auto"/>
                <w:kern w:val="0"/>
                <w:sz w:val="24"/>
                <w:szCs w:val="24"/>
                <w:highlight w:val="none"/>
              </w:rPr>
            </w:pPr>
          </w:p>
        </w:tc>
      </w:tr>
      <w:tr w14:paraId="3FD463AF">
        <w:tblPrEx>
          <w:tblCellMar>
            <w:top w:w="0" w:type="dxa"/>
            <w:left w:w="108" w:type="dxa"/>
            <w:bottom w:w="0" w:type="dxa"/>
            <w:right w:w="108" w:type="dxa"/>
          </w:tblCellMar>
        </w:tblPrEx>
        <w:trPr>
          <w:trHeight w:val="525" w:hRule="atLeast"/>
        </w:trPr>
        <w:tc>
          <w:tcPr>
            <w:tcW w:w="700" w:type="dxa"/>
            <w:tcBorders>
              <w:top w:val="nil"/>
              <w:left w:val="single" w:color="auto" w:sz="4" w:space="0"/>
              <w:bottom w:val="single" w:color="auto" w:sz="4" w:space="0"/>
              <w:right w:val="single" w:color="auto" w:sz="4" w:space="0"/>
            </w:tcBorders>
            <w:noWrap/>
            <w:vAlign w:val="center"/>
          </w:tcPr>
          <w:p w14:paraId="09D8D83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14</w:t>
            </w:r>
          </w:p>
        </w:tc>
        <w:tc>
          <w:tcPr>
            <w:tcW w:w="5978" w:type="dxa"/>
            <w:tcBorders>
              <w:top w:val="nil"/>
              <w:left w:val="nil"/>
              <w:bottom w:val="single" w:color="auto" w:sz="4" w:space="0"/>
              <w:right w:val="single" w:color="auto" w:sz="4" w:space="0"/>
            </w:tcBorders>
            <w:noWrap w:val="0"/>
            <w:vAlign w:val="center"/>
          </w:tcPr>
          <w:p w14:paraId="04C90C59">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西门红绿灯周边</w:t>
            </w:r>
          </w:p>
        </w:tc>
        <w:tc>
          <w:tcPr>
            <w:tcW w:w="2055" w:type="dxa"/>
            <w:tcBorders>
              <w:top w:val="nil"/>
              <w:left w:val="nil"/>
              <w:bottom w:val="single" w:color="auto" w:sz="4" w:space="0"/>
              <w:right w:val="single" w:color="auto" w:sz="4" w:space="0"/>
            </w:tcBorders>
            <w:noWrap w:val="0"/>
            <w:vAlign w:val="center"/>
          </w:tcPr>
          <w:p w14:paraId="29294F4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175</w:t>
            </w:r>
          </w:p>
        </w:tc>
        <w:tc>
          <w:tcPr>
            <w:tcW w:w="1020" w:type="dxa"/>
            <w:tcBorders>
              <w:top w:val="nil"/>
              <w:left w:val="nil"/>
              <w:bottom w:val="single" w:color="auto" w:sz="4" w:space="0"/>
              <w:right w:val="single" w:color="auto" w:sz="4" w:space="0"/>
            </w:tcBorders>
            <w:noWrap w:val="0"/>
            <w:vAlign w:val="center"/>
          </w:tcPr>
          <w:p w14:paraId="6279B1DE">
            <w:pPr>
              <w:widowControl/>
              <w:jc w:val="center"/>
              <w:rPr>
                <w:rFonts w:hint="eastAsia" w:ascii="黑体" w:hAnsi="黑体" w:eastAsia="黑体" w:cs="黑体"/>
                <w:color w:val="auto"/>
                <w:kern w:val="0"/>
                <w:sz w:val="24"/>
                <w:szCs w:val="24"/>
                <w:highlight w:val="none"/>
              </w:rPr>
            </w:pPr>
          </w:p>
        </w:tc>
      </w:tr>
      <w:tr w14:paraId="65330CC1">
        <w:tblPrEx>
          <w:tblCellMar>
            <w:top w:w="0" w:type="dxa"/>
            <w:left w:w="108" w:type="dxa"/>
            <w:bottom w:w="0" w:type="dxa"/>
            <w:right w:w="108" w:type="dxa"/>
          </w:tblCellMar>
        </w:tblPrEx>
        <w:trPr>
          <w:trHeight w:val="525" w:hRule="atLeast"/>
        </w:trPr>
        <w:tc>
          <w:tcPr>
            <w:tcW w:w="700" w:type="dxa"/>
            <w:tcBorders>
              <w:top w:val="nil"/>
              <w:left w:val="single" w:color="auto" w:sz="4" w:space="0"/>
              <w:bottom w:val="single" w:color="auto" w:sz="4" w:space="0"/>
              <w:right w:val="single" w:color="auto" w:sz="4" w:space="0"/>
            </w:tcBorders>
            <w:noWrap/>
            <w:vAlign w:val="center"/>
          </w:tcPr>
          <w:p w14:paraId="7AB99AC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15</w:t>
            </w:r>
          </w:p>
        </w:tc>
        <w:tc>
          <w:tcPr>
            <w:tcW w:w="5978" w:type="dxa"/>
            <w:tcBorders>
              <w:top w:val="nil"/>
              <w:left w:val="nil"/>
              <w:bottom w:val="single" w:color="auto" w:sz="4" w:space="0"/>
              <w:right w:val="single" w:color="auto" w:sz="4" w:space="0"/>
            </w:tcBorders>
            <w:noWrap/>
            <w:vAlign w:val="center"/>
          </w:tcPr>
          <w:p w14:paraId="71BA4CE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砻糠山-新市方向叉路口左边</w:t>
            </w:r>
          </w:p>
        </w:tc>
        <w:tc>
          <w:tcPr>
            <w:tcW w:w="2055" w:type="dxa"/>
            <w:tcBorders>
              <w:top w:val="nil"/>
              <w:left w:val="nil"/>
              <w:bottom w:val="single" w:color="auto" w:sz="4" w:space="0"/>
              <w:right w:val="single" w:color="auto" w:sz="4" w:space="0"/>
            </w:tcBorders>
            <w:noWrap/>
            <w:vAlign w:val="center"/>
          </w:tcPr>
          <w:p w14:paraId="2F14550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1064</w:t>
            </w:r>
          </w:p>
        </w:tc>
        <w:tc>
          <w:tcPr>
            <w:tcW w:w="1020" w:type="dxa"/>
            <w:tcBorders>
              <w:top w:val="nil"/>
              <w:left w:val="nil"/>
              <w:bottom w:val="single" w:color="auto" w:sz="4" w:space="0"/>
              <w:right w:val="single" w:color="auto" w:sz="4" w:space="0"/>
            </w:tcBorders>
            <w:noWrap/>
            <w:vAlign w:val="center"/>
          </w:tcPr>
          <w:p w14:paraId="6CF6E415">
            <w:pPr>
              <w:widowControl/>
              <w:jc w:val="center"/>
              <w:rPr>
                <w:rFonts w:hint="eastAsia" w:ascii="黑体" w:hAnsi="黑体" w:eastAsia="黑体" w:cs="黑体"/>
                <w:color w:val="auto"/>
                <w:kern w:val="0"/>
                <w:sz w:val="24"/>
                <w:szCs w:val="24"/>
                <w:highlight w:val="none"/>
              </w:rPr>
            </w:pPr>
          </w:p>
        </w:tc>
      </w:tr>
      <w:tr w14:paraId="1AE8CEDD">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78354D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16</w:t>
            </w:r>
          </w:p>
        </w:tc>
        <w:tc>
          <w:tcPr>
            <w:tcW w:w="5978" w:type="dxa"/>
            <w:tcBorders>
              <w:top w:val="nil"/>
              <w:left w:val="nil"/>
              <w:bottom w:val="single" w:color="auto" w:sz="4" w:space="0"/>
              <w:right w:val="single" w:color="auto" w:sz="4" w:space="0"/>
            </w:tcBorders>
            <w:noWrap w:val="0"/>
            <w:vAlign w:val="center"/>
          </w:tcPr>
          <w:p w14:paraId="4BB0A5D1">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砻糠山下红绿灯右边回上坡至乾元方向</w:t>
            </w:r>
          </w:p>
        </w:tc>
        <w:tc>
          <w:tcPr>
            <w:tcW w:w="2055" w:type="dxa"/>
            <w:tcBorders>
              <w:top w:val="nil"/>
              <w:left w:val="nil"/>
              <w:bottom w:val="single" w:color="auto" w:sz="4" w:space="0"/>
              <w:right w:val="single" w:color="auto" w:sz="4" w:space="0"/>
            </w:tcBorders>
            <w:noWrap w:val="0"/>
            <w:vAlign w:val="center"/>
          </w:tcPr>
          <w:p w14:paraId="26D8BD55">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3963</w:t>
            </w:r>
          </w:p>
        </w:tc>
        <w:tc>
          <w:tcPr>
            <w:tcW w:w="1020" w:type="dxa"/>
            <w:tcBorders>
              <w:top w:val="nil"/>
              <w:left w:val="nil"/>
              <w:bottom w:val="single" w:color="auto" w:sz="4" w:space="0"/>
              <w:right w:val="single" w:color="auto" w:sz="4" w:space="0"/>
            </w:tcBorders>
            <w:noWrap w:val="0"/>
            <w:vAlign w:val="center"/>
          </w:tcPr>
          <w:p w14:paraId="655ADF85">
            <w:pPr>
              <w:widowControl/>
              <w:jc w:val="center"/>
              <w:rPr>
                <w:rFonts w:hint="eastAsia" w:ascii="黑体" w:hAnsi="黑体" w:eastAsia="黑体" w:cs="黑体"/>
                <w:color w:val="auto"/>
                <w:kern w:val="0"/>
                <w:sz w:val="24"/>
                <w:szCs w:val="24"/>
                <w:highlight w:val="none"/>
              </w:rPr>
            </w:pPr>
          </w:p>
        </w:tc>
      </w:tr>
      <w:tr w14:paraId="5B7D6002">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0FA1E88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17</w:t>
            </w:r>
          </w:p>
        </w:tc>
        <w:tc>
          <w:tcPr>
            <w:tcW w:w="5978" w:type="dxa"/>
            <w:tcBorders>
              <w:top w:val="nil"/>
              <w:left w:val="nil"/>
              <w:bottom w:val="single" w:color="auto" w:sz="4" w:space="0"/>
              <w:right w:val="single" w:color="auto" w:sz="4" w:space="0"/>
            </w:tcBorders>
            <w:noWrap w:val="0"/>
            <w:vAlign w:val="center"/>
          </w:tcPr>
          <w:p w14:paraId="5A498BF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砻糠山下路边花坛</w:t>
            </w:r>
          </w:p>
        </w:tc>
        <w:tc>
          <w:tcPr>
            <w:tcW w:w="2055" w:type="dxa"/>
            <w:tcBorders>
              <w:top w:val="nil"/>
              <w:left w:val="nil"/>
              <w:bottom w:val="single" w:color="auto" w:sz="4" w:space="0"/>
              <w:right w:val="single" w:color="auto" w:sz="4" w:space="0"/>
            </w:tcBorders>
            <w:noWrap w:val="0"/>
            <w:vAlign w:val="center"/>
          </w:tcPr>
          <w:p w14:paraId="4277A62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643</w:t>
            </w:r>
          </w:p>
        </w:tc>
        <w:tc>
          <w:tcPr>
            <w:tcW w:w="1020" w:type="dxa"/>
            <w:tcBorders>
              <w:top w:val="nil"/>
              <w:left w:val="nil"/>
              <w:bottom w:val="single" w:color="auto" w:sz="4" w:space="0"/>
              <w:right w:val="single" w:color="auto" w:sz="4" w:space="0"/>
            </w:tcBorders>
            <w:noWrap w:val="0"/>
            <w:vAlign w:val="center"/>
          </w:tcPr>
          <w:p w14:paraId="13AB8D20">
            <w:pPr>
              <w:widowControl/>
              <w:jc w:val="center"/>
              <w:rPr>
                <w:rFonts w:hint="eastAsia" w:ascii="黑体" w:hAnsi="黑体" w:eastAsia="黑体" w:cs="黑体"/>
                <w:color w:val="auto"/>
                <w:kern w:val="0"/>
                <w:sz w:val="24"/>
                <w:szCs w:val="24"/>
                <w:highlight w:val="none"/>
              </w:rPr>
            </w:pPr>
          </w:p>
        </w:tc>
      </w:tr>
      <w:tr w14:paraId="093628B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5D4A8D4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18</w:t>
            </w:r>
          </w:p>
        </w:tc>
        <w:tc>
          <w:tcPr>
            <w:tcW w:w="5978" w:type="dxa"/>
            <w:tcBorders>
              <w:top w:val="nil"/>
              <w:left w:val="nil"/>
              <w:bottom w:val="single" w:color="auto" w:sz="4" w:space="0"/>
              <w:right w:val="single" w:color="auto" w:sz="4" w:space="0"/>
            </w:tcBorders>
            <w:noWrap w:val="0"/>
            <w:vAlign w:val="center"/>
          </w:tcPr>
          <w:p w14:paraId="3429524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城河公园</w:t>
            </w:r>
          </w:p>
        </w:tc>
        <w:tc>
          <w:tcPr>
            <w:tcW w:w="2055" w:type="dxa"/>
            <w:tcBorders>
              <w:top w:val="nil"/>
              <w:left w:val="nil"/>
              <w:bottom w:val="single" w:color="auto" w:sz="4" w:space="0"/>
              <w:right w:val="single" w:color="auto" w:sz="4" w:space="0"/>
            </w:tcBorders>
            <w:noWrap w:val="0"/>
            <w:vAlign w:val="center"/>
          </w:tcPr>
          <w:p w14:paraId="6AE6AC0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3081</w:t>
            </w:r>
          </w:p>
        </w:tc>
        <w:tc>
          <w:tcPr>
            <w:tcW w:w="1020" w:type="dxa"/>
            <w:tcBorders>
              <w:top w:val="nil"/>
              <w:left w:val="nil"/>
              <w:bottom w:val="single" w:color="auto" w:sz="4" w:space="0"/>
              <w:right w:val="single" w:color="auto" w:sz="4" w:space="0"/>
            </w:tcBorders>
            <w:noWrap w:val="0"/>
            <w:vAlign w:val="center"/>
          </w:tcPr>
          <w:p w14:paraId="2813D355">
            <w:pPr>
              <w:widowControl/>
              <w:jc w:val="center"/>
              <w:rPr>
                <w:rFonts w:hint="eastAsia" w:ascii="黑体" w:hAnsi="黑体" w:eastAsia="黑体" w:cs="黑体"/>
                <w:color w:val="auto"/>
                <w:kern w:val="0"/>
                <w:sz w:val="24"/>
                <w:szCs w:val="24"/>
                <w:highlight w:val="none"/>
              </w:rPr>
            </w:pPr>
          </w:p>
        </w:tc>
      </w:tr>
      <w:tr w14:paraId="29EBB9B4">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050B343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19</w:t>
            </w:r>
          </w:p>
        </w:tc>
        <w:tc>
          <w:tcPr>
            <w:tcW w:w="5978" w:type="dxa"/>
            <w:tcBorders>
              <w:top w:val="nil"/>
              <w:left w:val="nil"/>
              <w:bottom w:val="single" w:color="auto" w:sz="4" w:space="0"/>
              <w:right w:val="single" w:color="auto" w:sz="4" w:space="0"/>
            </w:tcBorders>
            <w:noWrap w:val="0"/>
            <w:vAlign w:val="center"/>
          </w:tcPr>
          <w:p w14:paraId="2ED3C6FF">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老车站及周边</w:t>
            </w:r>
          </w:p>
        </w:tc>
        <w:tc>
          <w:tcPr>
            <w:tcW w:w="2055" w:type="dxa"/>
            <w:tcBorders>
              <w:top w:val="nil"/>
              <w:left w:val="nil"/>
              <w:bottom w:val="single" w:color="auto" w:sz="4" w:space="0"/>
              <w:right w:val="single" w:color="auto" w:sz="4" w:space="0"/>
            </w:tcBorders>
            <w:noWrap w:val="0"/>
            <w:vAlign w:val="center"/>
          </w:tcPr>
          <w:p w14:paraId="0C51555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878</w:t>
            </w:r>
          </w:p>
        </w:tc>
        <w:tc>
          <w:tcPr>
            <w:tcW w:w="1020" w:type="dxa"/>
            <w:tcBorders>
              <w:top w:val="nil"/>
              <w:left w:val="nil"/>
              <w:bottom w:val="single" w:color="auto" w:sz="4" w:space="0"/>
              <w:right w:val="single" w:color="auto" w:sz="4" w:space="0"/>
            </w:tcBorders>
            <w:noWrap w:val="0"/>
            <w:vAlign w:val="center"/>
          </w:tcPr>
          <w:p w14:paraId="55083932">
            <w:pPr>
              <w:widowControl/>
              <w:jc w:val="center"/>
              <w:rPr>
                <w:rFonts w:hint="eastAsia" w:ascii="黑体" w:hAnsi="黑体" w:eastAsia="黑体" w:cs="黑体"/>
                <w:color w:val="auto"/>
                <w:kern w:val="0"/>
                <w:sz w:val="24"/>
                <w:szCs w:val="24"/>
                <w:highlight w:val="none"/>
              </w:rPr>
            </w:pPr>
          </w:p>
        </w:tc>
      </w:tr>
      <w:tr w14:paraId="61E346E9">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9820F3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w:t>
            </w:r>
          </w:p>
        </w:tc>
        <w:tc>
          <w:tcPr>
            <w:tcW w:w="5978" w:type="dxa"/>
            <w:tcBorders>
              <w:top w:val="nil"/>
              <w:left w:val="nil"/>
              <w:bottom w:val="single" w:color="auto" w:sz="4" w:space="0"/>
              <w:right w:val="single" w:color="auto" w:sz="4" w:space="0"/>
            </w:tcBorders>
            <w:noWrap w:val="0"/>
            <w:vAlign w:val="center"/>
          </w:tcPr>
          <w:p w14:paraId="6FAA0702">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大家山西边及路边</w:t>
            </w:r>
          </w:p>
        </w:tc>
        <w:tc>
          <w:tcPr>
            <w:tcW w:w="2055" w:type="dxa"/>
            <w:tcBorders>
              <w:top w:val="nil"/>
              <w:left w:val="nil"/>
              <w:bottom w:val="single" w:color="auto" w:sz="4" w:space="0"/>
              <w:right w:val="single" w:color="auto" w:sz="4" w:space="0"/>
            </w:tcBorders>
            <w:noWrap w:val="0"/>
            <w:vAlign w:val="center"/>
          </w:tcPr>
          <w:p w14:paraId="60436B6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2394</w:t>
            </w:r>
          </w:p>
        </w:tc>
        <w:tc>
          <w:tcPr>
            <w:tcW w:w="1020" w:type="dxa"/>
            <w:tcBorders>
              <w:top w:val="nil"/>
              <w:left w:val="nil"/>
              <w:bottom w:val="single" w:color="auto" w:sz="4" w:space="0"/>
              <w:right w:val="single" w:color="auto" w:sz="4" w:space="0"/>
            </w:tcBorders>
            <w:noWrap w:val="0"/>
            <w:vAlign w:val="center"/>
          </w:tcPr>
          <w:p w14:paraId="74E0104D">
            <w:pPr>
              <w:widowControl/>
              <w:jc w:val="center"/>
              <w:rPr>
                <w:rFonts w:hint="eastAsia" w:ascii="黑体" w:hAnsi="黑体" w:eastAsia="黑体" w:cs="黑体"/>
                <w:color w:val="auto"/>
                <w:kern w:val="0"/>
                <w:sz w:val="24"/>
                <w:szCs w:val="24"/>
                <w:highlight w:val="none"/>
              </w:rPr>
            </w:pPr>
          </w:p>
        </w:tc>
      </w:tr>
      <w:tr w14:paraId="68EF46DC">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33BA0B6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21</w:t>
            </w:r>
          </w:p>
        </w:tc>
        <w:tc>
          <w:tcPr>
            <w:tcW w:w="5978" w:type="dxa"/>
            <w:tcBorders>
              <w:top w:val="nil"/>
              <w:left w:val="nil"/>
              <w:bottom w:val="single" w:color="auto" w:sz="4" w:space="0"/>
              <w:right w:val="single" w:color="auto" w:sz="4" w:space="0"/>
            </w:tcBorders>
            <w:noWrap w:val="0"/>
            <w:vAlign w:val="center"/>
          </w:tcPr>
          <w:p w14:paraId="476F5DF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东郊社区前面</w:t>
            </w:r>
          </w:p>
        </w:tc>
        <w:tc>
          <w:tcPr>
            <w:tcW w:w="2055" w:type="dxa"/>
            <w:tcBorders>
              <w:top w:val="nil"/>
              <w:left w:val="nil"/>
              <w:bottom w:val="single" w:color="auto" w:sz="4" w:space="0"/>
              <w:right w:val="single" w:color="auto" w:sz="4" w:space="0"/>
            </w:tcBorders>
            <w:noWrap w:val="0"/>
            <w:vAlign w:val="center"/>
          </w:tcPr>
          <w:p w14:paraId="426B9A1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765</w:t>
            </w:r>
          </w:p>
        </w:tc>
        <w:tc>
          <w:tcPr>
            <w:tcW w:w="1020" w:type="dxa"/>
            <w:tcBorders>
              <w:top w:val="nil"/>
              <w:left w:val="nil"/>
              <w:bottom w:val="single" w:color="auto" w:sz="4" w:space="0"/>
              <w:right w:val="single" w:color="auto" w:sz="4" w:space="0"/>
            </w:tcBorders>
            <w:noWrap w:val="0"/>
            <w:vAlign w:val="center"/>
          </w:tcPr>
          <w:p w14:paraId="6AF07509">
            <w:pPr>
              <w:widowControl/>
              <w:jc w:val="center"/>
              <w:rPr>
                <w:rFonts w:hint="eastAsia" w:ascii="黑体" w:hAnsi="黑体" w:eastAsia="黑体" w:cs="黑体"/>
                <w:color w:val="auto"/>
                <w:kern w:val="0"/>
                <w:sz w:val="24"/>
                <w:szCs w:val="24"/>
                <w:highlight w:val="none"/>
              </w:rPr>
            </w:pPr>
          </w:p>
        </w:tc>
      </w:tr>
      <w:tr w14:paraId="586F5311">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4524EE5">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22</w:t>
            </w:r>
          </w:p>
        </w:tc>
        <w:tc>
          <w:tcPr>
            <w:tcW w:w="5978" w:type="dxa"/>
            <w:tcBorders>
              <w:top w:val="nil"/>
              <w:left w:val="nil"/>
              <w:bottom w:val="single" w:color="auto" w:sz="4" w:space="0"/>
              <w:right w:val="single" w:color="auto" w:sz="4" w:space="0"/>
            </w:tcBorders>
            <w:noWrap w:val="0"/>
            <w:vAlign w:val="center"/>
          </w:tcPr>
          <w:p w14:paraId="08266893">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四十米大道</w:t>
            </w:r>
          </w:p>
        </w:tc>
        <w:tc>
          <w:tcPr>
            <w:tcW w:w="2055" w:type="dxa"/>
            <w:tcBorders>
              <w:top w:val="nil"/>
              <w:left w:val="nil"/>
              <w:bottom w:val="single" w:color="auto" w:sz="4" w:space="0"/>
              <w:right w:val="single" w:color="auto" w:sz="4" w:space="0"/>
            </w:tcBorders>
            <w:noWrap w:val="0"/>
            <w:vAlign w:val="center"/>
          </w:tcPr>
          <w:p w14:paraId="66D67EC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2990</w:t>
            </w:r>
          </w:p>
        </w:tc>
        <w:tc>
          <w:tcPr>
            <w:tcW w:w="1020" w:type="dxa"/>
            <w:tcBorders>
              <w:top w:val="nil"/>
              <w:left w:val="nil"/>
              <w:bottom w:val="single" w:color="auto" w:sz="4" w:space="0"/>
              <w:right w:val="single" w:color="auto" w:sz="4" w:space="0"/>
            </w:tcBorders>
            <w:noWrap w:val="0"/>
            <w:vAlign w:val="center"/>
          </w:tcPr>
          <w:p w14:paraId="2A6135E9">
            <w:pPr>
              <w:widowControl/>
              <w:jc w:val="center"/>
              <w:rPr>
                <w:rFonts w:hint="eastAsia" w:ascii="黑体" w:hAnsi="黑体" w:eastAsia="黑体" w:cs="黑体"/>
                <w:color w:val="auto"/>
                <w:kern w:val="0"/>
                <w:sz w:val="24"/>
                <w:szCs w:val="24"/>
                <w:highlight w:val="none"/>
              </w:rPr>
            </w:pPr>
          </w:p>
        </w:tc>
      </w:tr>
      <w:tr w14:paraId="75FD9998">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4CA528D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23</w:t>
            </w:r>
          </w:p>
        </w:tc>
        <w:tc>
          <w:tcPr>
            <w:tcW w:w="5978" w:type="dxa"/>
            <w:tcBorders>
              <w:top w:val="nil"/>
              <w:left w:val="nil"/>
              <w:bottom w:val="single" w:color="auto" w:sz="4" w:space="0"/>
              <w:right w:val="single" w:color="auto" w:sz="4" w:space="0"/>
            </w:tcBorders>
            <w:noWrap w:val="0"/>
            <w:vAlign w:val="center"/>
          </w:tcPr>
          <w:p w14:paraId="58FDA82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工商所</w:t>
            </w:r>
          </w:p>
        </w:tc>
        <w:tc>
          <w:tcPr>
            <w:tcW w:w="2055" w:type="dxa"/>
            <w:tcBorders>
              <w:top w:val="nil"/>
              <w:left w:val="nil"/>
              <w:bottom w:val="single" w:color="auto" w:sz="4" w:space="0"/>
              <w:right w:val="single" w:color="auto" w:sz="4" w:space="0"/>
            </w:tcBorders>
            <w:noWrap w:val="0"/>
            <w:vAlign w:val="center"/>
          </w:tcPr>
          <w:p w14:paraId="4AF7082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305</w:t>
            </w:r>
          </w:p>
        </w:tc>
        <w:tc>
          <w:tcPr>
            <w:tcW w:w="1020" w:type="dxa"/>
            <w:tcBorders>
              <w:top w:val="nil"/>
              <w:left w:val="nil"/>
              <w:bottom w:val="single" w:color="auto" w:sz="4" w:space="0"/>
              <w:right w:val="single" w:color="auto" w:sz="4" w:space="0"/>
            </w:tcBorders>
            <w:noWrap w:val="0"/>
            <w:vAlign w:val="center"/>
          </w:tcPr>
          <w:p w14:paraId="66429B1A">
            <w:pPr>
              <w:widowControl/>
              <w:jc w:val="center"/>
              <w:rPr>
                <w:rFonts w:hint="eastAsia" w:ascii="黑体" w:hAnsi="黑体" w:eastAsia="黑体" w:cs="黑体"/>
                <w:color w:val="auto"/>
                <w:kern w:val="0"/>
                <w:sz w:val="24"/>
                <w:szCs w:val="24"/>
                <w:highlight w:val="none"/>
              </w:rPr>
            </w:pPr>
          </w:p>
        </w:tc>
      </w:tr>
      <w:tr w14:paraId="40C92575">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2FCC125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24</w:t>
            </w:r>
          </w:p>
        </w:tc>
        <w:tc>
          <w:tcPr>
            <w:tcW w:w="5978" w:type="dxa"/>
            <w:tcBorders>
              <w:top w:val="nil"/>
              <w:left w:val="nil"/>
              <w:bottom w:val="single" w:color="auto" w:sz="4" w:space="0"/>
              <w:right w:val="single" w:color="auto" w:sz="4" w:space="0"/>
            </w:tcBorders>
            <w:noWrap w:val="0"/>
            <w:vAlign w:val="center"/>
          </w:tcPr>
          <w:p w14:paraId="735BEBB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乾龙花园大转盘</w:t>
            </w:r>
          </w:p>
        </w:tc>
        <w:tc>
          <w:tcPr>
            <w:tcW w:w="2055" w:type="dxa"/>
            <w:tcBorders>
              <w:top w:val="nil"/>
              <w:left w:val="nil"/>
              <w:bottom w:val="single" w:color="auto" w:sz="4" w:space="0"/>
              <w:right w:val="single" w:color="auto" w:sz="4" w:space="0"/>
            </w:tcBorders>
            <w:noWrap w:val="0"/>
            <w:vAlign w:val="center"/>
          </w:tcPr>
          <w:p w14:paraId="61872E9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243</w:t>
            </w:r>
          </w:p>
        </w:tc>
        <w:tc>
          <w:tcPr>
            <w:tcW w:w="1020" w:type="dxa"/>
            <w:tcBorders>
              <w:top w:val="nil"/>
              <w:left w:val="nil"/>
              <w:bottom w:val="single" w:color="auto" w:sz="4" w:space="0"/>
              <w:right w:val="single" w:color="auto" w:sz="4" w:space="0"/>
            </w:tcBorders>
            <w:noWrap w:val="0"/>
            <w:vAlign w:val="center"/>
          </w:tcPr>
          <w:p w14:paraId="310FD0DF">
            <w:pPr>
              <w:widowControl/>
              <w:jc w:val="center"/>
              <w:rPr>
                <w:rFonts w:hint="eastAsia" w:ascii="黑体" w:hAnsi="黑体" w:eastAsia="黑体" w:cs="黑体"/>
                <w:color w:val="auto"/>
                <w:kern w:val="0"/>
                <w:sz w:val="24"/>
                <w:szCs w:val="24"/>
                <w:highlight w:val="none"/>
              </w:rPr>
            </w:pPr>
          </w:p>
        </w:tc>
      </w:tr>
      <w:tr w14:paraId="15FBEF6B">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554AB79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25</w:t>
            </w:r>
          </w:p>
        </w:tc>
        <w:tc>
          <w:tcPr>
            <w:tcW w:w="5978" w:type="dxa"/>
            <w:tcBorders>
              <w:top w:val="nil"/>
              <w:left w:val="nil"/>
              <w:bottom w:val="single" w:color="auto" w:sz="4" w:space="0"/>
              <w:right w:val="single" w:color="auto" w:sz="4" w:space="0"/>
            </w:tcBorders>
            <w:noWrap w:val="0"/>
            <w:vAlign w:val="center"/>
          </w:tcPr>
          <w:p w14:paraId="5BC5E18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溪东街</w:t>
            </w:r>
          </w:p>
        </w:tc>
        <w:tc>
          <w:tcPr>
            <w:tcW w:w="2055" w:type="dxa"/>
            <w:tcBorders>
              <w:top w:val="nil"/>
              <w:left w:val="nil"/>
              <w:bottom w:val="single" w:color="auto" w:sz="4" w:space="0"/>
              <w:right w:val="single" w:color="auto" w:sz="4" w:space="0"/>
            </w:tcBorders>
            <w:noWrap w:val="0"/>
            <w:vAlign w:val="center"/>
          </w:tcPr>
          <w:p w14:paraId="443AC62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350</w:t>
            </w:r>
          </w:p>
        </w:tc>
        <w:tc>
          <w:tcPr>
            <w:tcW w:w="1020" w:type="dxa"/>
            <w:tcBorders>
              <w:top w:val="nil"/>
              <w:left w:val="nil"/>
              <w:bottom w:val="single" w:color="auto" w:sz="4" w:space="0"/>
              <w:right w:val="single" w:color="auto" w:sz="4" w:space="0"/>
            </w:tcBorders>
            <w:noWrap w:val="0"/>
            <w:vAlign w:val="center"/>
          </w:tcPr>
          <w:p w14:paraId="0BB9B94C">
            <w:pPr>
              <w:widowControl/>
              <w:jc w:val="center"/>
              <w:rPr>
                <w:rFonts w:hint="eastAsia" w:ascii="黑体" w:hAnsi="黑体" w:eastAsia="黑体" w:cs="黑体"/>
                <w:color w:val="auto"/>
                <w:kern w:val="0"/>
                <w:sz w:val="24"/>
                <w:szCs w:val="24"/>
                <w:highlight w:val="none"/>
              </w:rPr>
            </w:pPr>
          </w:p>
        </w:tc>
      </w:tr>
      <w:tr w14:paraId="2DFE64E0">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0ECABF0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26</w:t>
            </w:r>
          </w:p>
        </w:tc>
        <w:tc>
          <w:tcPr>
            <w:tcW w:w="5978" w:type="dxa"/>
            <w:tcBorders>
              <w:top w:val="nil"/>
              <w:left w:val="nil"/>
              <w:bottom w:val="single" w:color="auto" w:sz="4" w:space="0"/>
              <w:right w:val="single" w:color="auto" w:sz="4" w:space="0"/>
            </w:tcBorders>
            <w:noWrap w:val="0"/>
            <w:vAlign w:val="center"/>
          </w:tcPr>
          <w:p w14:paraId="3EBEE2B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余不弄</w:t>
            </w:r>
          </w:p>
        </w:tc>
        <w:tc>
          <w:tcPr>
            <w:tcW w:w="2055" w:type="dxa"/>
            <w:tcBorders>
              <w:top w:val="nil"/>
              <w:left w:val="nil"/>
              <w:bottom w:val="single" w:color="auto" w:sz="4" w:space="0"/>
              <w:right w:val="single" w:color="auto" w:sz="4" w:space="0"/>
            </w:tcBorders>
            <w:noWrap w:val="0"/>
            <w:vAlign w:val="center"/>
          </w:tcPr>
          <w:p w14:paraId="17F4826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415</w:t>
            </w:r>
          </w:p>
        </w:tc>
        <w:tc>
          <w:tcPr>
            <w:tcW w:w="1020" w:type="dxa"/>
            <w:tcBorders>
              <w:top w:val="nil"/>
              <w:left w:val="nil"/>
              <w:bottom w:val="single" w:color="auto" w:sz="4" w:space="0"/>
              <w:right w:val="single" w:color="auto" w:sz="4" w:space="0"/>
            </w:tcBorders>
            <w:noWrap w:val="0"/>
            <w:vAlign w:val="center"/>
          </w:tcPr>
          <w:p w14:paraId="719BB835">
            <w:pPr>
              <w:widowControl/>
              <w:jc w:val="center"/>
              <w:rPr>
                <w:rFonts w:hint="eastAsia" w:ascii="黑体" w:hAnsi="黑体" w:eastAsia="黑体" w:cs="黑体"/>
                <w:color w:val="auto"/>
                <w:kern w:val="0"/>
                <w:sz w:val="24"/>
                <w:szCs w:val="24"/>
                <w:highlight w:val="none"/>
              </w:rPr>
            </w:pPr>
          </w:p>
        </w:tc>
      </w:tr>
      <w:tr w14:paraId="4B378B2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4F38321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27</w:t>
            </w:r>
          </w:p>
        </w:tc>
        <w:tc>
          <w:tcPr>
            <w:tcW w:w="5978" w:type="dxa"/>
            <w:tcBorders>
              <w:top w:val="nil"/>
              <w:left w:val="nil"/>
              <w:bottom w:val="single" w:color="auto" w:sz="4" w:space="0"/>
              <w:right w:val="single" w:color="auto" w:sz="4" w:space="0"/>
            </w:tcBorders>
            <w:noWrap w:val="0"/>
            <w:vAlign w:val="center"/>
          </w:tcPr>
          <w:p w14:paraId="28D5ED2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广场路</w:t>
            </w:r>
          </w:p>
        </w:tc>
        <w:tc>
          <w:tcPr>
            <w:tcW w:w="2055" w:type="dxa"/>
            <w:tcBorders>
              <w:top w:val="nil"/>
              <w:left w:val="nil"/>
              <w:bottom w:val="single" w:color="auto" w:sz="4" w:space="0"/>
              <w:right w:val="single" w:color="auto" w:sz="4" w:space="0"/>
            </w:tcBorders>
            <w:noWrap w:val="0"/>
            <w:vAlign w:val="center"/>
          </w:tcPr>
          <w:p w14:paraId="4C5611B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420</w:t>
            </w:r>
          </w:p>
        </w:tc>
        <w:tc>
          <w:tcPr>
            <w:tcW w:w="1020" w:type="dxa"/>
            <w:tcBorders>
              <w:top w:val="nil"/>
              <w:left w:val="nil"/>
              <w:bottom w:val="single" w:color="auto" w:sz="4" w:space="0"/>
              <w:right w:val="single" w:color="auto" w:sz="4" w:space="0"/>
            </w:tcBorders>
            <w:noWrap w:val="0"/>
            <w:vAlign w:val="center"/>
          </w:tcPr>
          <w:p w14:paraId="6E10B7BF">
            <w:pPr>
              <w:widowControl/>
              <w:jc w:val="center"/>
              <w:rPr>
                <w:rFonts w:hint="eastAsia" w:ascii="黑体" w:hAnsi="黑体" w:eastAsia="黑体" w:cs="黑体"/>
                <w:color w:val="auto"/>
                <w:kern w:val="0"/>
                <w:sz w:val="24"/>
                <w:szCs w:val="24"/>
                <w:highlight w:val="none"/>
              </w:rPr>
            </w:pPr>
          </w:p>
        </w:tc>
      </w:tr>
      <w:tr w14:paraId="0059395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FD64E9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28</w:t>
            </w:r>
          </w:p>
        </w:tc>
        <w:tc>
          <w:tcPr>
            <w:tcW w:w="5978" w:type="dxa"/>
            <w:tcBorders>
              <w:top w:val="nil"/>
              <w:left w:val="nil"/>
              <w:bottom w:val="single" w:color="auto" w:sz="4" w:space="0"/>
              <w:right w:val="single" w:color="auto" w:sz="4" w:space="0"/>
            </w:tcBorders>
            <w:noWrap w:val="0"/>
            <w:vAlign w:val="center"/>
          </w:tcPr>
          <w:p w14:paraId="66A74903">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孔庙广场</w:t>
            </w:r>
          </w:p>
        </w:tc>
        <w:tc>
          <w:tcPr>
            <w:tcW w:w="2055" w:type="dxa"/>
            <w:tcBorders>
              <w:top w:val="nil"/>
              <w:left w:val="nil"/>
              <w:bottom w:val="single" w:color="auto" w:sz="4" w:space="0"/>
              <w:right w:val="single" w:color="auto" w:sz="4" w:space="0"/>
            </w:tcBorders>
            <w:noWrap w:val="0"/>
            <w:vAlign w:val="center"/>
          </w:tcPr>
          <w:p w14:paraId="540A618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486</w:t>
            </w:r>
          </w:p>
        </w:tc>
        <w:tc>
          <w:tcPr>
            <w:tcW w:w="1020" w:type="dxa"/>
            <w:tcBorders>
              <w:top w:val="nil"/>
              <w:left w:val="nil"/>
              <w:bottom w:val="single" w:color="auto" w:sz="4" w:space="0"/>
              <w:right w:val="single" w:color="auto" w:sz="4" w:space="0"/>
            </w:tcBorders>
            <w:noWrap w:val="0"/>
            <w:vAlign w:val="center"/>
          </w:tcPr>
          <w:p w14:paraId="1D53A5D0">
            <w:pPr>
              <w:widowControl/>
              <w:jc w:val="center"/>
              <w:rPr>
                <w:rFonts w:hint="eastAsia" w:ascii="黑体" w:hAnsi="黑体" w:eastAsia="黑体" w:cs="黑体"/>
                <w:color w:val="auto"/>
                <w:kern w:val="0"/>
                <w:sz w:val="24"/>
                <w:szCs w:val="24"/>
                <w:highlight w:val="none"/>
              </w:rPr>
            </w:pPr>
          </w:p>
        </w:tc>
      </w:tr>
      <w:tr w14:paraId="2B90E8A2">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6EAD92F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29</w:t>
            </w:r>
          </w:p>
        </w:tc>
        <w:tc>
          <w:tcPr>
            <w:tcW w:w="5978" w:type="dxa"/>
            <w:tcBorders>
              <w:top w:val="nil"/>
              <w:left w:val="nil"/>
              <w:bottom w:val="single" w:color="auto" w:sz="4" w:space="0"/>
              <w:right w:val="single" w:color="auto" w:sz="4" w:space="0"/>
            </w:tcBorders>
            <w:noWrap w:val="0"/>
            <w:vAlign w:val="center"/>
          </w:tcPr>
          <w:p w14:paraId="777C3F59">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丁家弄西口</w:t>
            </w:r>
          </w:p>
        </w:tc>
        <w:tc>
          <w:tcPr>
            <w:tcW w:w="2055" w:type="dxa"/>
            <w:tcBorders>
              <w:top w:val="nil"/>
              <w:left w:val="nil"/>
              <w:bottom w:val="single" w:color="auto" w:sz="4" w:space="0"/>
              <w:right w:val="single" w:color="auto" w:sz="4" w:space="0"/>
            </w:tcBorders>
            <w:noWrap w:val="0"/>
            <w:vAlign w:val="center"/>
          </w:tcPr>
          <w:p w14:paraId="3CA7EFD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205</w:t>
            </w:r>
          </w:p>
        </w:tc>
        <w:tc>
          <w:tcPr>
            <w:tcW w:w="1020" w:type="dxa"/>
            <w:tcBorders>
              <w:top w:val="nil"/>
              <w:left w:val="nil"/>
              <w:bottom w:val="single" w:color="auto" w:sz="4" w:space="0"/>
              <w:right w:val="single" w:color="auto" w:sz="4" w:space="0"/>
            </w:tcBorders>
            <w:noWrap w:val="0"/>
            <w:vAlign w:val="center"/>
          </w:tcPr>
          <w:p w14:paraId="328EF2EB">
            <w:pPr>
              <w:widowControl/>
              <w:jc w:val="center"/>
              <w:rPr>
                <w:rFonts w:hint="eastAsia" w:ascii="黑体" w:hAnsi="黑体" w:eastAsia="黑体" w:cs="黑体"/>
                <w:color w:val="auto"/>
                <w:kern w:val="0"/>
                <w:sz w:val="24"/>
                <w:szCs w:val="24"/>
                <w:highlight w:val="none"/>
              </w:rPr>
            </w:pPr>
          </w:p>
        </w:tc>
      </w:tr>
      <w:tr w14:paraId="2499D4A5">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2F6A21F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30</w:t>
            </w:r>
          </w:p>
        </w:tc>
        <w:tc>
          <w:tcPr>
            <w:tcW w:w="5978" w:type="dxa"/>
            <w:tcBorders>
              <w:top w:val="nil"/>
              <w:left w:val="nil"/>
              <w:bottom w:val="single" w:color="auto" w:sz="4" w:space="0"/>
              <w:right w:val="single" w:color="auto" w:sz="4" w:space="0"/>
            </w:tcBorders>
            <w:noWrap w:val="0"/>
            <w:vAlign w:val="center"/>
          </w:tcPr>
          <w:p w14:paraId="1C9BE55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自来水厂边上小公园</w:t>
            </w:r>
          </w:p>
        </w:tc>
        <w:tc>
          <w:tcPr>
            <w:tcW w:w="2055" w:type="dxa"/>
            <w:tcBorders>
              <w:top w:val="nil"/>
              <w:left w:val="nil"/>
              <w:bottom w:val="single" w:color="auto" w:sz="4" w:space="0"/>
              <w:right w:val="single" w:color="auto" w:sz="4" w:space="0"/>
            </w:tcBorders>
            <w:noWrap w:val="0"/>
            <w:vAlign w:val="center"/>
          </w:tcPr>
          <w:p w14:paraId="429C79F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250</w:t>
            </w:r>
          </w:p>
        </w:tc>
        <w:tc>
          <w:tcPr>
            <w:tcW w:w="1020" w:type="dxa"/>
            <w:tcBorders>
              <w:top w:val="nil"/>
              <w:left w:val="nil"/>
              <w:bottom w:val="single" w:color="auto" w:sz="4" w:space="0"/>
              <w:right w:val="single" w:color="auto" w:sz="4" w:space="0"/>
            </w:tcBorders>
            <w:noWrap w:val="0"/>
            <w:vAlign w:val="center"/>
          </w:tcPr>
          <w:p w14:paraId="72F6DB38">
            <w:pPr>
              <w:widowControl/>
              <w:jc w:val="center"/>
              <w:rPr>
                <w:rFonts w:hint="eastAsia" w:ascii="黑体" w:hAnsi="黑体" w:eastAsia="黑体" w:cs="黑体"/>
                <w:color w:val="auto"/>
                <w:kern w:val="0"/>
                <w:sz w:val="24"/>
                <w:szCs w:val="24"/>
                <w:highlight w:val="none"/>
              </w:rPr>
            </w:pPr>
          </w:p>
        </w:tc>
      </w:tr>
      <w:tr w14:paraId="0C25847C">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35C9F27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31</w:t>
            </w:r>
          </w:p>
        </w:tc>
        <w:tc>
          <w:tcPr>
            <w:tcW w:w="5978" w:type="dxa"/>
            <w:tcBorders>
              <w:top w:val="nil"/>
              <w:left w:val="nil"/>
              <w:bottom w:val="single" w:color="auto" w:sz="4" w:space="0"/>
              <w:right w:val="single" w:color="auto" w:sz="4" w:space="0"/>
            </w:tcBorders>
            <w:noWrap w:val="0"/>
            <w:vAlign w:val="center"/>
          </w:tcPr>
          <w:p w14:paraId="7756D6DF">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广场路停车场上面</w:t>
            </w:r>
          </w:p>
        </w:tc>
        <w:tc>
          <w:tcPr>
            <w:tcW w:w="2055" w:type="dxa"/>
            <w:tcBorders>
              <w:top w:val="nil"/>
              <w:left w:val="nil"/>
              <w:bottom w:val="single" w:color="auto" w:sz="4" w:space="0"/>
              <w:right w:val="single" w:color="auto" w:sz="4" w:space="0"/>
            </w:tcBorders>
            <w:noWrap w:val="0"/>
            <w:vAlign w:val="center"/>
          </w:tcPr>
          <w:p w14:paraId="0B7BBCD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450</w:t>
            </w:r>
          </w:p>
        </w:tc>
        <w:tc>
          <w:tcPr>
            <w:tcW w:w="1020" w:type="dxa"/>
            <w:tcBorders>
              <w:top w:val="nil"/>
              <w:left w:val="nil"/>
              <w:bottom w:val="single" w:color="auto" w:sz="4" w:space="0"/>
              <w:right w:val="single" w:color="auto" w:sz="4" w:space="0"/>
            </w:tcBorders>
            <w:noWrap w:val="0"/>
            <w:vAlign w:val="center"/>
          </w:tcPr>
          <w:p w14:paraId="1C615B71">
            <w:pPr>
              <w:widowControl/>
              <w:jc w:val="center"/>
              <w:rPr>
                <w:rFonts w:hint="eastAsia" w:ascii="黑体" w:hAnsi="黑体" w:eastAsia="黑体" w:cs="黑体"/>
                <w:color w:val="auto"/>
                <w:kern w:val="0"/>
                <w:sz w:val="24"/>
                <w:szCs w:val="24"/>
                <w:highlight w:val="none"/>
              </w:rPr>
            </w:pPr>
          </w:p>
        </w:tc>
      </w:tr>
      <w:tr w14:paraId="550367C9">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27DEFBF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32</w:t>
            </w:r>
          </w:p>
        </w:tc>
        <w:tc>
          <w:tcPr>
            <w:tcW w:w="5978" w:type="dxa"/>
            <w:tcBorders>
              <w:top w:val="nil"/>
              <w:left w:val="nil"/>
              <w:bottom w:val="single" w:color="auto" w:sz="4" w:space="0"/>
              <w:right w:val="single" w:color="auto" w:sz="4" w:space="0"/>
            </w:tcBorders>
            <w:noWrap w:val="0"/>
            <w:vAlign w:val="center"/>
          </w:tcPr>
          <w:p w14:paraId="32C526B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书香乾元</w:t>
            </w:r>
          </w:p>
        </w:tc>
        <w:tc>
          <w:tcPr>
            <w:tcW w:w="2055" w:type="dxa"/>
            <w:tcBorders>
              <w:top w:val="nil"/>
              <w:left w:val="nil"/>
              <w:bottom w:val="single" w:color="auto" w:sz="4" w:space="0"/>
              <w:right w:val="single" w:color="auto" w:sz="4" w:space="0"/>
            </w:tcBorders>
            <w:noWrap w:val="0"/>
            <w:vAlign w:val="center"/>
          </w:tcPr>
          <w:p w14:paraId="1C5704F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11870</w:t>
            </w:r>
          </w:p>
        </w:tc>
        <w:tc>
          <w:tcPr>
            <w:tcW w:w="1020" w:type="dxa"/>
            <w:tcBorders>
              <w:top w:val="nil"/>
              <w:left w:val="nil"/>
              <w:bottom w:val="single" w:color="auto" w:sz="4" w:space="0"/>
              <w:right w:val="single" w:color="auto" w:sz="4" w:space="0"/>
            </w:tcBorders>
            <w:noWrap w:val="0"/>
            <w:vAlign w:val="center"/>
          </w:tcPr>
          <w:p w14:paraId="01EBDE6C">
            <w:pPr>
              <w:widowControl/>
              <w:jc w:val="center"/>
              <w:rPr>
                <w:rFonts w:hint="eastAsia" w:ascii="黑体" w:hAnsi="黑体" w:eastAsia="黑体" w:cs="黑体"/>
                <w:color w:val="auto"/>
                <w:kern w:val="0"/>
                <w:sz w:val="24"/>
                <w:szCs w:val="24"/>
                <w:highlight w:val="none"/>
              </w:rPr>
            </w:pPr>
          </w:p>
        </w:tc>
      </w:tr>
      <w:tr w14:paraId="0A229A4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5571248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33</w:t>
            </w:r>
          </w:p>
        </w:tc>
        <w:tc>
          <w:tcPr>
            <w:tcW w:w="5978" w:type="dxa"/>
            <w:tcBorders>
              <w:top w:val="nil"/>
              <w:left w:val="nil"/>
              <w:bottom w:val="single" w:color="auto" w:sz="4" w:space="0"/>
              <w:right w:val="single" w:color="auto" w:sz="4" w:space="0"/>
            </w:tcBorders>
            <w:noWrap w:val="0"/>
            <w:vAlign w:val="center"/>
          </w:tcPr>
          <w:p w14:paraId="3617DD31">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09省道</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苕溪大桥-南洋路</w:t>
            </w:r>
          </w:p>
        </w:tc>
        <w:tc>
          <w:tcPr>
            <w:tcW w:w="2055" w:type="dxa"/>
            <w:tcBorders>
              <w:top w:val="nil"/>
              <w:left w:val="nil"/>
              <w:bottom w:val="single" w:color="auto" w:sz="4" w:space="0"/>
              <w:right w:val="single" w:color="auto" w:sz="4" w:space="0"/>
            </w:tcBorders>
            <w:noWrap w:val="0"/>
            <w:vAlign w:val="center"/>
          </w:tcPr>
          <w:p w14:paraId="6CDE19D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35800</w:t>
            </w:r>
          </w:p>
        </w:tc>
        <w:tc>
          <w:tcPr>
            <w:tcW w:w="1020" w:type="dxa"/>
            <w:tcBorders>
              <w:top w:val="nil"/>
              <w:left w:val="nil"/>
              <w:bottom w:val="single" w:color="auto" w:sz="4" w:space="0"/>
              <w:right w:val="single" w:color="auto" w:sz="4" w:space="0"/>
            </w:tcBorders>
            <w:noWrap w:val="0"/>
            <w:vAlign w:val="center"/>
          </w:tcPr>
          <w:p w14:paraId="5B2F7C48">
            <w:pPr>
              <w:widowControl/>
              <w:jc w:val="center"/>
              <w:rPr>
                <w:rFonts w:hint="eastAsia" w:ascii="黑体" w:hAnsi="黑体" w:eastAsia="黑体" w:cs="黑体"/>
                <w:color w:val="auto"/>
                <w:kern w:val="0"/>
                <w:sz w:val="24"/>
                <w:szCs w:val="24"/>
                <w:highlight w:val="none"/>
              </w:rPr>
            </w:pPr>
          </w:p>
        </w:tc>
      </w:tr>
      <w:tr w14:paraId="0254931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283DD48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34</w:t>
            </w:r>
          </w:p>
        </w:tc>
        <w:tc>
          <w:tcPr>
            <w:tcW w:w="5978" w:type="dxa"/>
            <w:tcBorders>
              <w:top w:val="nil"/>
              <w:left w:val="nil"/>
              <w:bottom w:val="single" w:color="auto" w:sz="4" w:space="0"/>
              <w:right w:val="single" w:color="auto" w:sz="4" w:space="0"/>
            </w:tcBorders>
            <w:noWrap w:val="0"/>
            <w:vAlign w:val="center"/>
          </w:tcPr>
          <w:p w14:paraId="513B177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09省道</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联星新四侧围墙-第一入口-店面西侧</w:t>
            </w:r>
          </w:p>
        </w:tc>
        <w:tc>
          <w:tcPr>
            <w:tcW w:w="2055" w:type="dxa"/>
            <w:tcBorders>
              <w:top w:val="nil"/>
              <w:left w:val="nil"/>
              <w:bottom w:val="single" w:color="auto" w:sz="4" w:space="0"/>
              <w:right w:val="single" w:color="auto" w:sz="4" w:space="0"/>
            </w:tcBorders>
            <w:noWrap w:val="0"/>
            <w:vAlign w:val="center"/>
          </w:tcPr>
          <w:p w14:paraId="4E716F2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1194</w:t>
            </w:r>
          </w:p>
        </w:tc>
        <w:tc>
          <w:tcPr>
            <w:tcW w:w="1020" w:type="dxa"/>
            <w:tcBorders>
              <w:top w:val="nil"/>
              <w:left w:val="nil"/>
              <w:bottom w:val="single" w:color="auto" w:sz="4" w:space="0"/>
              <w:right w:val="single" w:color="auto" w:sz="4" w:space="0"/>
            </w:tcBorders>
            <w:noWrap w:val="0"/>
            <w:vAlign w:val="center"/>
          </w:tcPr>
          <w:p w14:paraId="3B26F497">
            <w:pPr>
              <w:widowControl/>
              <w:jc w:val="center"/>
              <w:rPr>
                <w:rFonts w:hint="eastAsia" w:ascii="黑体" w:hAnsi="黑体" w:eastAsia="黑体" w:cs="黑体"/>
                <w:color w:val="auto"/>
                <w:kern w:val="0"/>
                <w:sz w:val="24"/>
                <w:szCs w:val="24"/>
                <w:highlight w:val="none"/>
              </w:rPr>
            </w:pPr>
          </w:p>
        </w:tc>
      </w:tr>
      <w:tr w14:paraId="1B258BA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6298D19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35</w:t>
            </w:r>
          </w:p>
        </w:tc>
        <w:tc>
          <w:tcPr>
            <w:tcW w:w="5978" w:type="dxa"/>
            <w:tcBorders>
              <w:top w:val="nil"/>
              <w:left w:val="nil"/>
              <w:bottom w:val="single" w:color="auto" w:sz="4" w:space="0"/>
              <w:right w:val="single" w:color="auto" w:sz="4" w:space="0"/>
            </w:tcBorders>
            <w:noWrap w:val="0"/>
            <w:vAlign w:val="center"/>
          </w:tcPr>
          <w:p w14:paraId="7F438B23">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09省道</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联星村大门西侧-新村西侧围墙</w:t>
            </w:r>
          </w:p>
        </w:tc>
        <w:tc>
          <w:tcPr>
            <w:tcW w:w="2055" w:type="dxa"/>
            <w:tcBorders>
              <w:top w:val="nil"/>
              <w:left w:val="nil"/>
              <w:bottom w:val="single" w:color="auto" w:sz="4" w:space="0"/>
              <w:right w:val="single" w:color="auto" w:sz="4" w:space="0"/>
            </w:tcBorders>
            <w:noWrap w:val="0"/>
            <w:vAlign w:val="center"/>
          </w:tcPr>
          <w:p w14:paraId="471E09F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2124</w:t>
            </w:r>
          </w:p>
        </w:tc>
        <w:tc>
          <w:tcPr>
            <w:tcW w:w="1020" w:type="dxa"/>
            <w:tcBorders>
              <w:top w:val="nil"/>
              <w:left w:val="nil"/>
              <w:bottom w:val="single" w:color="auto" w:sz="4" w:space="0"/>
              <w:right w:val="single" w:color="auto" w:sz="4" w:space="0"/>
            </w:tcBorders>
            <w:noWrap w:val="0"/>
            <w:vAlign w:val="center"/>
          </w:tcPr>
          <w:p w14:paraId="146B85FF">
            <w:pPr>
              <w:widowControl/>
              <w:jc w:val="center"/>
              <w:rPr>
                <w:rFonts w:hint="eastAsia" w:ascii="黑体" w:hAnsi="黑体" w:eastAsia="黑体" w:cs="黑体"/>
                <w:color w:val="auto"/>
                <w:kern w:val="0"/>
                <w:sz w:val="24"/>
                <w:szCs w:val="24"/>
                <w:highlight w:val="none"/>
              </w:rPr>
            </w:pPr>
          </w:p>
        </w:tc>
      </w:tr>
      <w:tr w14:paraId="735F36C0">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5B79011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36</w:t>
            </w:r>
          </w:p>
        </w:tc>
        <w:tc>
          <w:tcPr>
            <w:tcW w:w="5978" w:type="dxa"/>
            <w:tcBorders>
              <w:top w:val="nil"/>
              <w:left w:val="nil"/>
              <w:bottom w:val="single" w:color="auto" w:sz="4" w:space="0"/>
              <w:right w:val="single" w:color="auto" w:sz="4" w:space="0"/>
            </w:tcBorders>
            <w:noWrap w:val="0"/>
            <w:vAlign w:val="center"/>
          </w:tcPr>
          <w:p w14:paraId="2EEEE381">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09省道</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开发区红绿灯-中心村-德升木业</w:t>
            </w:r>
          </w:p>
        </w:tc>
        <w:tc>
          <w:tcPr>
            <w:tcW w:w="2055" w:type="dxa"/>
            <w:tcBorders>
              <w:top w:val="nil"/>
              <w:left w:val="nil"/>
              <w:bottom w:val="single" w:color="auto" w:sz="4" w:space="0"/>
              <w:right w:val="single" w:color="auto" w:sz="4" w:space="0"/>
            </w:tcBorders>
            <w:noWrap w:val="0"/>
            <w:vAlign w:val="center"/>
          </w:tcPr>
          <w:p w14:paraId="7DDB759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42000</w:t>
            </w:r>
          </w:p>
        </w:tc>
        <w:tc>
          <w:tcPr>
            <w:tcW w:w="1020" w:type="dxa"/>
            <w:tcBorders>
              <w:top w:val="nil"/>
              <w:left w:val="nil"/>
              <w:bottom w:val="single" w:color="auto" w:sz="4" w:space="0"/>
              <w:right w:val="single" w:color="auto" w:sz="4" w:space="0"/>
            </w:tcBorders>
            <w:noWrap w:val="0"/>
            <w:vAlign w:val="center"/>
          </w:tcPr>
          <w:p w14:paraId="737904C5">
            <w:pPr>
              <w:widowControl/>
              <w:jc w:val="center"/>
              <w:rPr>
                <w:rFonts w:hint="eastAsia" w:ascii="黑体" w:hAnsi="黑体" w:eastAsia="黑体" w:cs="黑体"/>
                <w:color w:val="auto"/>
                <w:kern w:val="0"/>
                <w:sz w:val="24"/>
                <w:szCs w:val="24"/>
                <w:highlight w:val="none"/>
              </w:rPr>
            </w:pPr>
          </w:p>
        </w:tc>
      </w:tr>
      <w:tr w14:paraId="3E672F22">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0526559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37</w:t>
            </w:r>
          </w:p>
        </w:tc>
        <w:tc>
          <w:tcPr>
            <w:tcW w:w="5978" w:type="dxa"/>
            <w:tcBorders>
              <w:top w:val="nil"/>
              <w:left w:val="nil"/>
              <w:bottom w:val="single" w:color="auto" w:sz="4" w:space="0"/>
              <w:right w:val="single" w:color="auto" w:sz="4" w:space="0"/>
            </w:tcBorders>
            <w:noWrap w:val="0"/>
            <w:vAlign w:val="center"/>
          </w:tcPr>
          <w:p w14:paraId="0159C09E">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观音漾周边绿化养护</w:t>
            </w:r>
          </w:p>
        </w:tc>
        <w:tc>
          <w:tcPr>
            <w:tcW w:w="2055" w:type="dxa"/>
            <w:tcBorders>
              <w:top w:val="nil"/>
              <w:left w:val="nil"/>
              <w:bottom w:val="single" w:color="auto" w:sz="4" w:space="0"/>
              <w:right w:val="single" w:color="auto" w:sz="4" w:space="0"/>
            </w:tcBorders>
            <w:noWrap w:val="0"/>
            <w:vAlign w:val="center"/>
          </w:tcPr>
          <w:p w14:paraId="108C118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10000</w:t>
            </w:r>
          </w:p>
        </w:tc>
        <w:tc>
          <w:tcPr>
            <w:tcW w:w="1020" w:type="dxa"/>
            <w:tcBorders>
              <w:top w:val="nil"/>
              <w:left w:val="nil"/>
              <w:bottom w:val="single" w:color="auto" w:sz="4" w:space="0"/>
              <w:right w:val="single" w:color="auto" w:sz="4" w:space="0"/>
            </w:tcBorders>
            <w:noWrap w:val="0"/>
            <w:vAlign w:val="center"/>
          </w:tcPr>
          <w:p w14:paraId="57E3D515">
            <w:pPr>
              <w:widowControl/>
              <w:jc w:val="center"/>
              <w:rPr>
                <w:rFonts w:hint="eastAsia" w:ascii="黑体" w:hAnsi="黑体" w:eastAsia="黑体" w:cs="黑体"/>
                <w:color w:val="auto"/>
                <w:kern w:val="0"/>
                <w:sz w:val="24"/>
                <w:szCs w:val="24"/>
                <w:highlight w:val="none"/>
              </w:rPr>
            </w:pPr>
          </w:p>
        </w:tc>
      </w:tr>
      <w:tr w14:paraId="472A750F">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46A4CAE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38</w:t>
            </w:r>
          </w:p>
        </w:tc>
        <w:tc>
          <w:tcPr>
            <w:tcW w:w="5978" w:type="dxa"/>
            <w:tcBorders>
              <w:top w:val="nil"/>
              <w:left w:val="nil"/>
              <w:bottom w:val="single" w:color="auto" w:sz="4" w:space="0"/>
              <w:right w:val="single" w:color="auto" w:sz="4" w:space="0"/>
            </w:tcBorders>
            <w:noWrap w:val="0"/>
            <w:vAlign w:val="center"/>
          </w:tcPr>
          <w:p w14:paraId="0677B99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御码头绿化养护</w:t>
            </w:r>
          </w:p>
        </w:tc>
        <w:tc>
          <w:tcPr>
            <w:tcW w:w="2055" w:type="dxa"/>
            <w:tcBorders>
              <w:top w:val="nil"/>
              <w:left w:val="nil"/>
              <w:bottom w:val="single" w:color="auto" w:sz="4" w:space="0"/>
              <w:right w:val="single" w:color="auto" w:sz="4" w:space="0"/>
            </w:tcBorders>
            <w:noWrap w:val="0"/>
            <w:vAlign w:val="center"/>
          </w:tcPr>
          <w:p w14:paraId="0EBF0095">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3084</w:t>
            </w:r>
          </w:p>
        </w:tc>
        <w:tc>
          <w:tcPr>
            <w:tcW w:w="1020" w:type="dxa"/>
            <w:tcBorders>
              <w:top w:val="nil"/>
              <w:left w:val="nil"/>
              <w:bottom w:val="single" w:color="auto" w:sz="4" w:space="0"/>
              <w:right w:val="single" w:color="auto" w:sz="4" w:space="0"/>
            </w:tcBorders>
            <w:noWrap w:val="0"/>
            <w:vAlign w:val="center"/>
          </w:tcPr>
          <w:p w14:paraId="27AC7DAD">
            <w:pPr>
              <w:widowControl/>
              <w:jc w:val="center"/>
              <w:rPr>
                <w:rFonts w:hint="eastAsia" w:ascii="黑体" w:hAnsi="黑体" w:eastAsia="黑体" w:cs="黑体"/>
                <w:color w:val="auto"/>
                <w:kern w:val="0"/>
                <w:sz w:val="24"/>
                <w:szCs w:val="24"/>
                <w:highlight w:val="none"/>
              </w:rPr>
            </w:pPr>
          </w:p>
        </w:tc>
      </w:tr>
      <w:tr w14:paraId="0466916C">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6DF7E8E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39</w:t>
            </w:r>
          </w:p>
        </w:tc>
        <w:tc>
          <w:tcPr>
            <w:tcW w:w="5978" w:type="dxa"/>
            <w:tcBorders>
              <w:top w:val="nil"/>
              <w:left w:val="nil"/>
              <w:bottom w:val="single" w:color="auto" w:sz="4" w:space="0"/>
              <w:right w:val="single" w:color="auto" w:sz="4" w:space="0"/>
            </w:tcBorders>
            <w:noWrap w:val="0"/>
            <w:vAlign w:val="center"/>
          </w:tcPr>
          <w:p w14:paraId="631303C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左顾亭绿化养护</w:t>
            </w:r>
          </w:p>
        </w:tc>
        <w:tc>
          <w:tcPr>
            <w:tcW w:w="2055" w:type="dxa"/>
            <w:tcBorders>
              <w:top w:val="nil"/>
              <w:left w:val="nil"/>
              <w:bottom w:val="single" w:color="auto" w:sz="4" w:space="0"/>
              <w:right w:val="single" w:color="auto" w:sz="4" w:space="0"/>
            </w:tcBorders>
            <w:noWrap w:val="0"/>
            <w:vAlign w:val="center"/>
          </w:tcPr>
          <w:p w14:paraId="537381F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762</w:t>
            </w:r>
          </w:p>
        </w:tc>
        <w:tc>
          <w:tcPr>
            <w:tcW w:w="1020" w:type="dxa"/>
            <w:tcBorders>
              <w:top w:val="nil"/>
              <w:left w:val="nil"/>
              <w:bottom w:val="single" w:color="auto" w:sz="4" w:space="0"/>
              <w:right w:val="single" w:color="auto" w:sz="4" w:space="0"/>
            </w:tcBorders>
            <w:noWrap w:val="0"/>
            <w:vAlign w:val="center"/>
          </w:tcPr>
          <w:p w14:paraId="2F3784C9">
            <w:pPr>
              <w:widowControl/>
              <w:jc w:val="center"/>
              <w:rPr>
                <w:rFonts w:hint="eastAsia" w:ascii="黑体" w:hAnsi="黑体" w:eastAsia="黑体" w:cs="黑体"/>
                <w:color w:val="auto"/>
                <w:kern w:val="0"/>
                <w:sz w:val="24"/>
                <w:szCs w:val="24"/>
                <w:highlight w:val="none"/>
              </w:rPr>
            </w:pPr>
          </w:p>
        </w:tc>
      </w:tr>
      <w:tr w14:paraId="42E1F795">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A6A72E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40</w:t>
            </w:r>
          </w:p>
        </w:tc>
        <w:tc>
          <w:tcPr>
            <w:tcW w:w="5978" w:type="dxa"/>
            <w:tcBorders>
              <w:top w:val="nil"/>
              <w:left w:val="nil"/>
              <w:bottom w:val="single" w:color="auto" w:sz="4" w:space="0"/>
              <w:right w:val="single" w:color="auto" w:sz="4" w:space="0"/>
            </w:tcBorders>
            <w:noWrap w:val="0"/>
            <w:vAlign w:val="center"/>
          </w:tcPr>
          <w:p w14:paraId="1D09632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水文站绿化养护</w:t>
            </w:r>
          </w:p>
        </w:tc>
        <w:tc>
          <w:tcPr>
            <w:tcW w:w="2055" w:type="dxa"/>
            <w:tcBorders>
              <w:top w:val="nil"/>
              <w:left w:val="nil"/>
              <w:bottom w:val="single" w:color="auto" w:sz="4" w:space="0"/>
              <w:right w:val="single" w:color="auto" w:sz="4" w:space="0"/>
            </w:tcBorders>
            <w:noWrap w:val="0"/>
            <w:vAlign w:val="center"/>
          </w:tcPr>
          <w:p w14:paraId="0A46E69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523</w:t>
            </w:r>
          </w:p>
        </w:tc>
        <w:tc>
          <w:tcPr>
            <w:tcW w:w="1020" w:type="dxa"/>
            <w:tcBorders>
              <w:top w:val="nil"/>
              <w:left w:val="nil"/>
              <w:bottom w:val="single" w:color="auto" w:sz="4" w:space="0"/>
              <w:right w:val="single" w:color="auto" w:sz="4" w:space="0"/>
            </w:tcBorders>
            <w:noWrap w:val="0"/>
            <w:vAlign w:val="center"/>
          </w:tcPr>
          <w:p w14:paraId="25D333D8">
            <w:pPr>
              <w:widowControl/>
              <w:jc w:val="center"/>
              <w:rPr>
                <w:rFonts w:hint="eastAsia" w:ascii="黑体" w:hAnsi="黑体" w:eastAsia="黑体" w:cs="黑体"/>
                <w:color w:val="auto"/>
                <w:kern w:val="0"/>
                <w:sz w:val="24"/>
                <w:szCs w:val="24"/>
                <w:highlight w:val="none"/>
              </w:rPr>
            </w:pPr>
          </w:p>
        </w:tc>
      </w:tr>
      <w:tr w14:paraId="0A82B603">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76DE0395">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41</w:t>
            </w:r>
          </w:p>
        </w:tc>
        <w:tc>
          <w:tcPr>
            <w:tcW w:w="5978" w:type="dxa"/>
            <w:tcBorders>
              <w:top w:val="nil"/>
              <w:left w:val="nil"/>
              <w:bottom w:val="single" w:color="auto" w:sz="4" w:space="0"/>
              <w:right w:val="single" w:color="auto" w:sz="4" w:space="0"/>
            </w:tcBorders>
            <w:noWrap w:val="0"/>
            <w:vAlign w:val="center"/>
          </w:tcPr>
          <w:p w14:paraId="3ADEA29E">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乾龙商厦绿化养护</w:t>
            </w:r>
          </w:p>
        </w:tc>
        <w:tc>
          <w:tcPr>
            <w:tcW w:w="2055" w:type="dxa"/>
            <w:tcBorders>
              <w:top w:val="nil"/>
              <w:left w:val="nil"/>
              <w:bottom w:val="single" w:color="auto" w:sz="4" w:space="0"/>
              <w:right w:val="single" w:color="auto" w:sz="4" w:space="0"/>
            </w:tcBorders>
            <w:noWrap w:val="0"/>
            <w:vAlign w:val="center"/>
          </w:tcPr>
          <w:p w14:paraId="42174CD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1180</w:t>
            </w:r>
          </w:p>
        </w:tc>
        <w:tc>
          <w:tcPr>
            <w:tcW w:w="1020" w:type="dxa"/>
            <w:tcBorders>
              <w:top w:val="nil"/>
              <w:left w:val="nil"/>
              <w:bottom w:val="single" w:color="auto" w:sz="4" w:space="0"/>
              <w:right w:val="single" w:color="auto" w:sz="4" w:space="0"/>
            </w:tcBorders>
            <w:noWrap w:val="0"/>
            <w:vAlign w:val="center"/>
          </w:tcPr>
          <w:p w14:paraId="4D84B5E2">
            <w:pPr>
              <w:widowControl/>
              <w:jc w:val="center"/>
              <w:rPr>
                <w:rFonts w:hint="eastAsia" w:ascii="黑体" w:hAnsi="黑体" w:eastAsia="黑体" w:cs="黑体"/>
                <w:color w:val="auto"/>
                <w:kern w:val="0"/>
                <w:sz w:val="24"/>
                <w:szCs w:val="24"/>
                <w:highlight w:val="none"/>
              </w:rPr>
            </w:pPr>
          </w:p>
        </w:tc>
      </w:tr>
      <w:tr w14:paraId="08D07ACF">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7FEA8BE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42</w:t>
            </w:r>
          </w:p>
        </w:tc>
        <w:tc>
          <w:tcPr>
            <w:tcW w:w="5978" w:type="dxa"/>
            <w:tcBorders>
              <w:top w:val="nil"/>
              <w:left w:val="nil"/>
              <w:bottom w:val="single" w:color="auto" w:sz="4" w:space="0"/>
              <w:right w:val="single" w:color="auto" w:sz="4" w:space="0"/>
            </w:tcBorders>
            <w:noWrap w:val="0"/>
            <w:vAlign w:val="center"/>
          </w:tcPr>
          <w:p w14:paraId="6C62D0A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历史人文景观带</w:t>
            </w:r>
          </w:p>
        </w:tc>
        <w:tc>
          <w:tcPr>
            <w:tcW w:w="2055" w:type="dxa"/>
            <w:tcBorders>
              <w:top w:val="nil"/>
              <w:left w:val="nil"/>
              <w:bottom w:val="single" w:color="auto" w:sz="4" w:space="0"/>
              <w:right w:val="single" w:color="auto" w:sz="4" w:space="0"/>
            </w:tcBorders>
            <w:noWrap w:val="0"/>
            <w:vAlign w:val="center"/>
          </w:tcPr>
          <w:p w14:paraId="5509D75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6020</w:t>
            </w:r>
          </w:p>
        </w:tc>
        <w:tc>
          <w:tcPr>
            <w:tcW w:w="1020" w:type="dxa"/>
            <w:tcBorders>
              <w:top w:val="nil"/>
              <w:left w:val="nil"/>
              <w:bottom w:val="single" w:color="auto" w:sz="4" w:space="0"/>
              <w:right w:val="single" w:color="auto" w:sz="4" w:space="0"/>
            </w:tcBorders>
            <w:noWrap w:val="0"/>
            <w:vAlign w:val="center"/>
          </w:tcPr>
          <w:p w14:paraId="6940B19B">
            <w:pPr>
              <w:widowControl/>
              <w:jc w:val="center"/>
              <w:rPr>
                <w:rFonts w:hint="eastAsia" w:ascii="黑体" w:hAnsi="黑体" w:eastAsia="黑体" w:cs="黑体"/>
                <w:color w:val="auto"/>
                <w:kern w:val="0"/>
                <w:sz w:val="24"/>
                <w:szCs w:val="24"/>
                <w:highlight w:val="none"/>
              </w:rPr>
            </w:pPr>
          </w:p>
        </w:tc>
      </w:tr>
      <w:tr w14:paraId="1DC5F7B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1BEF510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43</w:t>
            </w:r>
          </w:p>
        </w:tc>
        <w:tc>
          <w:tcPr>
            <w:tcW w:w="5978" w:type="dxa"/>
            <w:tcBorders>
              <w:top w:val="nil"/>
              <w:left w:val="nil"/>
              <w:bottom w:val="single" w:color="auto" w:sz="4" w:space="0"/>
              <w:right w:val="single" w:color="auto" w:sz="4" w:space="0"/>
            </w:tcBorders>
            <w:noWrap w:val="0"/>
            <w:vAlign w:val="center"/>
          </w:tcPr>
          <w:p w14:paraId="3C820FB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东苕溪大桥西侧引桥至乾元大桥西侧（中间隔离带及机动车道与非机动车道之间两边绿化带）</w:t>
            </w:r>
          </w:p>
        </w:tc>
        <w:tc>
          <w:tcPr>
            <w:tcW w:w="2055" w:type="dxa"/>
            <w:tcBorders>
              <w:top w:val="nil"/>
              <w:left w:val="nil"/>
              <w:bottom w:val="single" w:color="auto" w:sz="4" w:space="0"/>
              <w:right w:val="single" w:color="auto" w:sz="4" w:space="0"/>
            </w:tcBorders>
            <w:noWrap w:val="0"/>
            <w:vAlign w:val="center"/>
          </w:tcPr>
          <w:p w14:paraId="750B2EC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16168</w:t>
            </w:r>
          </w:p>
        </w:tc>
        <w:tc>
          <w:tcPr>
            <w:tcW w:w="1020" w:type="dxa"/>
            <w:tcBorders>
              <w:top w:val="nil"/>
              <w:left w:val="nil"/>
              <w:bottom w:val="single" w:color="auto" w:sz="4" w:space="0"/>
              <w:right w:val="single" w:color="auto" w:sz="4" w:space="0"/>
            </w:tcBorders>
            <w:noWrap w:val="0"/>
            <w:vAlign w:val="center"/>
          </w:tcPr>
          <w:p w14:paraId="763F83C3">
            <w:pPr>
              <w:widowControl/>
              <w:jc w:val="center"/>
              <w:rPr>
                <w:rFonts w:hint="eastAsia" w:ascii="黑体" w:hAnsi="黑体" w:eastAsia="黑体" w:cs="黑体"/>
                <w:color w:val="auto"/>
                <w:kern w:val="0"/>
                <w:sz w:val="24"/>
                <w:szCs w:val="24"/>
                <w:highlight w:val="none"/>
              </w:rPr>
            </w:pPr>
          </w:p>
        </w:tc>
      </w:tr>
      <w:tr w14:paraId="7426FED7">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7C3D59A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44</w:t>
            </w:r>
          </w:p>
        </w:tc>
        <w:tc>
          <w:tcPr>
            <w:tcW w:w="5978" w:type="dxa"/>
            <w:tcBorders>
              <w:top w:val="nil"/>
              <w:left w:val="nil"/>
              <w:bottom w:val="single" w:color="auto" w:sz="4" w:space="0"/>
              <w:right w:val="single" w:color="auto" w:sz="4" w:space="0"/>
            </w:tcBorders>
            <w:noWrap w:val="0"/>
            <w:vAlign w:val="center"/>
          </w:tcPr>
          <w:p w14:paraId="5F66F56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乌牛山一号线至钟管界南北两侧绿化</w:t>
            </w:r>
          </w:p>
        </w:tc>
        <w:tc>
          <w:tcPr>
            <w:tcW w:w="2055" w:type="dxa"/>
            <w:tcBorders>
              <w:top w:val="nil"/>
              <w:left w:val="nil"/>
              <w:bottom w:val="single" w:color="auto" w:sz="4" w:space="0"/>
              <w:right w:val="single" w:color="auto" w:sz="4" w:space="0"/>
            </w:tcBorders>
            <w:noWrap w:val="0"/>
            <w:vAlign w:val="center"/>
          </w:tcPr>
          <w:p w14:paraId="60D4357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23000</w:t>
            </w:r>
          </w:p>
        </w:tc>
        <w:tc>
          <w:tcPr>
            <w:tcW w:w="1020" w:type="dxa"/>
            <w:tcBorders>
              <w:top w:val="nil"/>
              <w:left w:val="nil"/>
              <w:bottom w:val="single" w:color="auto" w:sz="4" w:space="0"/>
              <w:right w:val="single" w:color="auto" w:sz="4" w:space="0"/>
            </w:tcBorders>
            <w:noWrap w:val="0"/>
            <w:vAlign w:val="center"/>
          </w:tcPr>
          <w:p w14:paraId="5A6E32FE">
            <w:pPr>
              <w:widowControl/>
              <w:jc w:val="center"/>
              <w:rPr>
                <w:rFonts w:hint="eastAsia" w:ascii="黑体" w:hAnsi="黑体" w:eastAsia="黑体" w:cs="黑体"/>
                <w:color w:val="auto"/>
                <w:kern w:val="0"/>
                <w:sz w:val="24"/>
                <w:szCs w:val="24"/>
                <w:highlight w:val="none"/>
              </w:rPr>
            </w:pPr>
          </w:p>
        </w:tc>
      </w:tr>
      <w:tr w14:paraId="6B7FB30B">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14:paraId="75F58E5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45</w:t>
            </w:r>
          </w:p>
        </w:tc>
        <w:tc>
          <w:tcPr>
            <w:tcW w:w="5978" w:type="dxa"/>
            <w:tcBorders>
              <w:top w:val="nil"/>
              <w:left w:val="nil"/>
              <w:bottom w:val="single" w:color="auto" w:sz="4" w:space="0"/>
              <w:right w:val="single" w:color="auto" w:sz="4" w:space="0"/>
            </w:tcBorders>
            <w:noWrap w:val="0"/>
            <w:vAlign w:val="center"/>
          </w:tcPr>
          <w:p w14:paraId="00D741A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德桐公路乾元段中间绿化带及二绕连接线和德桐公路交叉口红绿灯转弯角</w:t>
            </w:r>
          </w:p>
        </w:tc>
        <w:tc>
          <w:tcPr>
            <w:tcW w:w="2055" w:type="dxa"/>
            <w:tcBorders>
              <w:top w:val="nil"/>
              <w:left w:val="nil"/>
              <w:bottom w:val="single" w:color="auto" w:sz="4" w:space="0"/>
              <w:right w:val="single" w:color="auto" w:sz="4" w:space="0"/>
            </w:tcBorders>
            <w:noWrap w:val="0"/>
            <w:vAlign w:val="center"/>
          </w:tcPr>
          <w:p w14:paraId="2485BA5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6500</w:t>
            </w:r>
          </w:p>
        </w:tc>
        <w:tc>
          <w:tcPr>
            <w:tcW w:w="1020" w:type="dxa"/>
            <w:tcBorders>
              <w:top w:val="nil"/>
              <w:left w:val="nil"/>
              <w:bottom w:val="single" w:color="auto" w:sz="4" w:space="0"/>
              <w:right w:val="single" w:color="auto" w:sz="4" w:space="0"/>
            </w:tcBorders>
            <w:noWrap w:val="0"/>
            <w:vAlign w:val="center"/>
          </w:tcPr>
          <w:p w14:paraId="48594F25">
            <w:pPr>
              <w:widowControl/>
              <w:jc w:val="center"/>
              <w:rPr>
                <w:rFonts w:hint="eastAsia" w:ascii="黑体" w:hAnsi="黑体" w:eastAsia="黑体" w:cs="黑体"/>
                <w:color w:val="auto"/>
                <w:kern w:val="0"/>
                <w:sz w:val="24"/>
                <w:szCs w:val="24"/>
                <w:highlight w:val="none"/>
              </w:rPr>
            </w:pPr>
          </w:p>
        </w:tc>
      </w:tr>
      <w:tr w14:paraId="5313265F">
        <w:tblPrEx>
          <w:tblCellMar>
            <w:top w:w="0" w:type="dxa"/>
            <w:left w:w="108" w:type="dxa"/>
            <w:bottom w:w="0" w:type="dxa"/>
            <w:right w:w="108" w:type="dxa"/>
          </w:tblCellMar>
        </w:tblPrEx>
        <w:trPr>
          <w:trHeight w:val="450" w:hRule="atLeast"/>
        </w:trPr>
        <w:tc>
          <w:tcPr>
            <w:tcW w:w="700" w:type="dxa"/>
            <w:tcBorders>
              <w:top w:val="nil"/>
              <w:left w:val="single" w:color="auto" w:sz="4" w:space="0"/>
              <w:bottom w:val="single" w:color="auto" w:sz="4" w:space="0"/>
              <w:right w:val="single" w:color="auto" w:sz="4" w:space="0"/>
            </w:tcBorders>
            <w:noWrap/>
            <w:vAlign w:val="center"/>
          </w:tcPr>
          <w:p w14:paraId="1BEAA8E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46</w:t>
            </w:r>
          </w:p>
        </w:tc>
        <w:tc>
          <w:tcPr>
            <w:tcW w:w="5978" w:type="dxa"/>
            <w:tcBorders>
              <w:top w:val="nil"/>
              <w:left w:val="nil"/>
              <w:bottom w:val="single" w:color="auto" w:sz="4" w:space="0"/>
              <w:right w:val="single" w:color="auto" w:sz="4" w:space="0"/>
            </w:tcBorders>
            <w:noWrap w:val="0"/>
            <w:vAlign w:val="center"/>
          </w:tcPr>
          <w:p w14:paraId="15B8288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德桐公路乾元段部分（一号线地块至乌牛山庙对面）</w:t>
            </w:r>
          </w:p>
        </w:tc>
        <w:tc>
          <w:tcPr>
            <w:tcW w:w="2055" w:type="dxa"/>
            <w:tcBorders>
              <w:top w:val="nil"/>
              <w:left w:val="nil"/>
              <w:bottom w:val="single" w:color="auto" w:sz="4" w:space="0"/>
              <w:right w:val="single" w:color="auto" w:sz="4" w:space="0"/>
            </w:tcBorders>
            <w:noWrap w:val="0"/>
            <w:vAlign w:val="center"/>
          </w:tcPr>
          <w:p w14:paraId="149DF9D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20016</w:t>
            </w:r>
          </w:p>
        </w:tc>
        <w:tc>
          <w:tcPr>
            <w:tcW w:w="1020" w:type="dxa"/>
            <w:tcBorders>
              <w:top w:val="nil"/>
              <w:left w:val="nil"/>
              <w:bottom w:val="single" w:color="auto" w:sz="4" w:space="0"/>
              <w:right w:val="single" w:color="auto" w:sz="4" w:space="0"/>
            </w:tcBorders>
            <w:noWrap w:val="0"/>
            <w:vAlign w:val="center"/>
          </w:tcPr>
          <w:p w14:paraId="3A26400C">
            <w:pPr>
              <w:widowControl/>
              <w:jc w:val="center"/>
              <w:rPr>
                <w:rFonts w:hint="eastAsia" w:ascii="黑体" w:hAnsi="黑体" w:eastAsia="黑体" w:cs="黑体"/>
                <w:color w:val="auto"/>
                <w:kern w:val="0"/>
                <w:sz w:val="24"/>
                <w:szCs w:val="24"/>
                <w:highlight w:val="none"/>
              </w:rPr>
            </w:pPr>
          </w:p>
        </w:tc>
      </w:tr>
      <w:tr w14:paraId="640795BB">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433B657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47</w:t>
            </w:r>
          </w:p>
        </w:tc>
        <w:tc>
          <w:tcPr>
            <w:tcW w:w="5978" w:type="dxa"/>
            <w:tcBorders>
              <w:top w:val="nil"/>
              <w:left w:val="nil"/>
              <w:bottom w:val="single" w:color="auto" w:sz="4" w:space="0"/>
              <w:right w:val="single" w:color="auto" w:sz="4" w:space="0"/>
            </w:tcBorders>
            <w:noWrap w:val="0"/>
            <w:vAlign w:val="center"/>
          </w:tcPr>
          <w:p w14:paraId="1D48BE31">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杭木路道路两侧绿化</w:t>
            </w:r>
          </w:p>
        </w:tc>
        <w:tc>
          <w:tcPr>
            <w:tcW w:w="2055" w:type="dxa"/>
            <w:tcBorders>
              <w:top w:val="nil"/>
              <w:left w:val="nil"/>
              <w:bottom w:val="single" w:color="auto" w:sz="4" w:space="0"/>
              <w:right w:val="single" w:color="auto" w:sz="4" w:space="0"/>
            </w:tcBorders>
            <w:noWrap/>
            <w:vAlign w:val="center"/>
          </w:tcPr>
          <w:p w14:paraId="2A5C0EC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19000</w:t>
            </w:r>
          </w:p>
        </w:tc>
        <w:tc>
          <w:tcPr>
            <w:tcW w:w="1020" w:type="dxa"/>
            <w:tcBorders>
              <w:top w:val="nil"/>
              <w:left w:val="nil"/>
              <w:bottom w:val="single" w:color="auto" w:sz="4" w:space="0"/>
              <w:right w:val="single" w:color="auto" w:sz="4" w:space="0"/>
            </w:tcBorders>
            <w:noWrap w:val="0"/>
            <w:vAlign w:val="center"/>
          </w:tcPr>
          <w:p w14:paraId="1B289831">
            <w:pPr>
              <w:widowControl/>
              <w:jc w:val="center"/>
              <w:rPr>
                <w:rFonts w:hint="eastAsia" w:ascii="黑体" w:hAnsi="黑体" w:eastAsia="黑体" w:cs="黑体"/>
                <w:color w:val="auto"/>
                <w:kern w:val="0"/>
                <w:sz w:val="24"/>
                <w:szCs w:val="24"/>
                <w:highlight w:val="none"/>
              </w:rPr>
            </w:pPr>
          </w:p>
        </w:tc>
      </w:tr>
      <w:tr w14:paraId="52947516">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058229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48</w:t>
            </w:r>
          </w:p>
        </w:tc>
        <w:tc>
          <w:tcPr>
            <w:tcW w:w="5978" w:type="dxa"/>
            <w:tcBorders>
              <w:top w:val="nil"/>
              <w:left w:val="nil"/>
              <w:bottom w:val="single" w:color="auto" w:sz="4" w:space="0"/>
              <w:right w:val="single" w:color="auto" w:sz="4" w:space="0"/>
            </w:tcBorders>
            <w:noWrap w:val="0"/>
            <w:vAlign w:val="center"/>
          </w:tcPr>
          <w:p w14:paraId="69F58F6C">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北郊路两侧（勤俭桥至联合颜料厂）</w:t>
            </w:r>
          </w:p>
        </w:tc>
        <w:tc>
          <w:tcPr>
            <w:tcW w:w="2055" w:type="dxa"/>
            <w:tcBorders>
              <w:top w:val="nil"/>
              <w:left w:val="nil"/>
              <w:bottom w:val="single" w:color="auto" w:sz="4" w:space="0"/>
              <w:right w:val="single" w:color="auto" w:sz="4" w:space="0"/>
            </w:tcBorders>
            <w:noWrap w:val="0"/>
            <w:vAlign w:val="center"/>
          </w:tcPr>
          <w:p w14:paraId="5BF611C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784.6</w:t>
            </w:r>
          </w:p>
        </w:tc>
        <w:tc>
          <w:tcPr>
            <w:tcW w:w="1020" w:type="dxa"/>
            <w:tcBorders>
              <w:top w:val="nil"/>
              <w:left w:val="nil"/>
              <w:bottom w:val="single" w:color="auto" w:sz="4" w:space="0"/>
              <w:right w:val="single" w:color="auto" w:sz="4" w:space="0"/>
            </w:tcBorders>
            <w:noWrap w:val="0"/>
            <w:vAlign w:val="center"/>
          </w:tcPr>
          <w:p w14:paraId="2396B1E6">
            <w:pPr>
              <w:widowControl/>
              <w:jc w:val="center"/>
              <w:rPr>
                <w:rFonts w:hint="eastAsia" w:ascii="黑体" w:hAnsi="黑体" w:eastAsia="黑体" w:cs="黑体"/>
                <w:color w:val="auto"/>
                <w:kern w:val="0"/>
                <w:sz w:val="24"/>
                <w:szCs w:val="24"/>
                <w:highlight w:val="none"/>
              </w:rPr>
            </w:pPr>
          </w:p>
        </w:tc>
      </w:tr>
      <w:tr w14:paraId="6F00A2E6">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FD993F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49</w:t>
            </w:r>
          </w:p>
        </w:tc>
        <w:tc>
          <w:tcPr>
            <w:tcW w:w="5978" w:type="dxa"/>
            <w:tcBorders>
              <w:top w:val="nil"/>
              <w:left w:val="nil"/>
              <w:bottom w:val="single" w:color="auto" w:sz="4" w:space="0"/>
              <w:right w:val="single" w:color="auto" w:sz="4" w:space="0"/>
            </w:tcBorders>
            <w:noWrap w:val="0"/>
            <w:vAlign w:val="center"/>
          </w:tcPr>
          <w:p w14:paraId="1D518E2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东风横二路两侧花坛绿化</w:t>
            </w:r>
          </w:p>
        </w:tc>
        <w:tc>
          <w:tcPr>
            <w:tcW w:w="2055" w:type="dxa"/>
            <w:tcBorders>
              <w:top w:val="nil"/>
              <w:left w:val="nil"/>
              <w:bottom w:val="single" w:color="auto" w:sz="4" w:space="0"/>
              <w:right w:val="single" w:color="auto" w:sz="4" w:space="0"/>
            </w:tcBorders>
            <w:noWrap w:val="0"/>
            <w:vAlign w:val="center"/>
          </w:tcPr>
          <w:p w14:paraId="606A661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387</w:t>
            </w:r>
          </w:p>
        </w:tc>
        <w:tc>
          <w:tcPr>
            <w:tcW w:w="1020" w:type="dxa"/>
            <w:tcBorders>
              <w:top w:val="nil"/>
              <w:left w:val="nil"/>
              <w:bottom w:val="single" w:color="auto" w:sz="4" w:space="0"/>
              <w:right w:val="single" w:color="auto" w:sz="4" w:space="0"/>
            </w:tcBorders>
            <w:noWrap w:val="0"/>
            <w:vAlign w:val="center"/>
          </w:tcPr>
          <w:p w14:paraId="6EA0097B">
            <w:pPr>
              <w:widowControl/>
              <w:jc w:val="center"/>
              <w:rPr>
                <w:rFonts w:hint="eastAsia" w:ascii="黑体" w:hAnsi="黑体" w:eastAsia="黑体" w:cs="黑体"/>
                <w:color w:val="auto"/>
                <w:kern w:val="0"/>
                <w:sz w:val="24"/>
                <w:szCs w:val="24"/>
                <w:highlight w:val="none"/>
              </w:rPr>
            </w:pPr>
          </w:p>
        </w:tc>
      </w:tr>
      <w:tr w14:paraId="71CC4DFA">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E9A234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50</w:t>
            </w:r>
          </w:p>
        </w:tc>
        <w:tc>
          <w:tcPr>
            <w:tcW w:w="5978" w:type="dxa"/>
            <w:tcBorders>
              <w:top w:val="nil"/>
              <w:left w:val="nil"/>
              <w:bottom w:val="single" w:color="auto" w:sz="4" w:space="0"/>
              <w:right w:val="single" w:color="auto" w:sz="4" w:space="0"/>
            </w:tcBorders>
            <w:noWrap w:val="0"/>
            <w:vAlign w:val="center"/>
          </w:tcPr>
          <w:p w14:paraId="2C145B97">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十八步路（老北郊绿化）</w:t>
            </w:r>
          </w:p>
        </w:tc>
        <w:tc>
          <w:tcPr>
            <w:tcW w:w="2055" w:type="dxa"/>
            <w:tcBorders>
              <w:top w:val="nil"/>
              <w:left w:val="nil"/>
              <w:bottom w:val="single" w:color="auto" w:sz="4" w:space="0"/>
              <w:right w:val="single" w:color="auto" w:sz="4" w:space="0"/>
            </w:tcBorders>
            <w:noWrap w:val="0"/>
            <w:vAlign w:val="center"/>
          </w:tcPr>
          <w:p w14:paraId="60CB225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97</w:t>
            </w:r>
          </w:p>
        </w:tc>
        <w:tc>
          <w:tcPr>
            <w:tcW w:w="1020" w:type="dxa"/>
            <w:tcBorders>
              <w:top w:val="nil"/>
              <w:left w:val="nil"/>
              <w:bottom w:val="single" w:color="auto" w:sz="4" w:space="0"/>
              <w:right w:val="single" w:color="auto" w:sz="4" w:space="0"/>
            </w:tcBorders>
            <w:noWrap w:val="0"/>
            <w:vAlign w:val="center"/>
          </w:tcPr>
          <w:p w14:paraId="7480940A">
            <w:pPr>
              <w:widowControl/>
              <w:jc w:val="center"/>
              <w:rPr>
                <w:rFonts w:hint="eastAsia" w:ascii="黑体" w:hAnsi="黑体" w:eastAsia="黑体" w:cs="黑体"/>
                <w:color w:val="auto"/>
                <w:kern w:val="0"/>
                <w:sz w:val="24"/>
                <w:szCs w:val="24"/>
                <w:highlight w:val="none"/>
              </w:rPr>
            </w:pPr>
          </w:p>
        </w:tc>
      </w:tr>
      <w:tr w14:paraId="553C62A1">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87CE31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51</w:t>
            </w:r>
          </w:p>
        </w:tc>
        <w:tc>
          <w:tcPr>
            <w:tcW w:w="5978" w:type="dxa"/>
            <w:tcBorders>
              <w:top w:val="nil"/>
              <w:left w:val="nil"/>
              <w:bottom w:val="single" w:color="auto" w:sz="4" w:space="0"/>
              <w:right w:val="single" w:color="auto" w:sz="4" w:space="0"/>
            </w:tcBorders>
            <w:noWrap w:val="0"/>
            <w:vAlign w:val="center"/>
          </w:tcPr>
          <w:p w14:paraId="43CCD3CE">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东风横一路两侧花坛绿化</w:t>
            </w:r>
          </w:p>
        </w:tc>
        <w:tc>
          <w:tcPr>
            <w:tcW w:w="2055" w:type="dxa"/>
            <w:tcBorders>
              <w:top w:val="nil"/>
              <w:left w:val="nil"/>
              <w:bottom w:val="single" w:color="auto" w:sz="4" w:space="0"/>
              <w:right w:val="single" w:color="auto" w:sz="4" w:space="0"/>
            </w:tcBorders>
            <w:noWrap w:val="0"/>
            <w:vAlign w:val="center"/>
          </w:tcPr>
          <w:p w14:paraId="7855C03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31</w:t>
            </w:r>
          </w:p>
        </w:tc>
        <w:tc>
          <w:tcPr>
            <w:tcW w:w="1020" w:type="dxa"/>
            <w:tcBorders>
              <w:top w:val="nil"/>
              <w:left w:val="nil"/>
              <w:bottom w:val="single" w:color="auto" w:sz="4" w:space="0"/>
              <w:right w:val="single" w:color="auto" w:sz="4" w:space="0"/>
            </w:tcBorders>
            <w:noWrap w:val="0"/>
            <w:vAlign w:val="center"/>
          </w:tcPr>
          <w:p w14:paraId="508ABB58">
            <w:pPr>
              <w:widowControl/>
              <w:jc w:val="center"/>
              <w:rPr>
                <w:rFonts w:hint="eastAsia" w:ascii="黑体" w:hAnsi="黑体" w:eastAsia="黑体" w:cs="黑体"/>
                <w:color w:val="auto"/>
                <w:kern w:val="0"/>
                <w:sz w:val="24"/>
                <w:szCs w:val="24"/>
                <w:highlight w:val="none"/>
              </w:rPr>
            </w:pPr>
          </w:p>
        </w:tc>
      </w:tr>
      <w:tr w14:paraId="780A51BB">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2C40E0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52</w:t>
            </w:r>
          </w:p>
        </w:tc>
        <w:tc>
          <w:tcPr>
            <w:tcW w:w="5978" w:type="dxa"/>
            <w:tcBorders>
              <w:top w:val="nil"/>
              <w:left w:val="nil"/>
              <w:bottom w:val="single" w:color="auto" w:sz="4" w:space="0"/>
              <w:right w:val="single" w:color="auto" w:sz="4" w:space="0"/>
            </w:tcBorders>
            <w:noWrap w:val="0"/>
            <w:vAlign w:val="center"/>
          </w:tcPr>
          <w:p w14:paraId="66F7FFA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幸福邻里</w:t>
            </w:r>
          </w:p>
        </w:tc>
        <w:tc>
          <w:tcPr>
            <w:tcW w:w="2055" w:type="dxa"/>
            <w:tcBorders>
              <w:top w:val="nil"/>
              <w:left w:val="nil"/>
              <w:bottom w:val="single" w:color="auto" w:sz="4" w:space="0"/>
              <w:right w:val="single" w:color="auto" w:sz="4" w:space="0"/>
            </w:tcBorders>
            <w:noWrap w:val="0"/>
            <w:vAlign w:val="center"/>
          </w:tcPr>
          <w:p w14:paraId="615C4AF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32</w:t>
            </w:r>
          </w:p>
        </w:tc>
        <w:tc>
          <w:tcPr>
            <w:tcW w:w="1020" w:type="dxa"/>
            <w:tcBorders>
              <w:top w:val="nil"/>
              <w:left w:val="nil"/>
              <w:bottom w:val="single" w:color="auto" w:sz="4" w:space="0"/>
              <w:right w:val="single" w:color="auto" w:sz="4" w:space="0"/>
            </w:tcBorders>
            <w:noWrap w:val="0"/>
            <w:vAlign w:val="center"/>
          </w:tcPr>
          <w:p w14:paraId="17499B21">
            <w:pPr>
              <w:widowControl/>
              <w:jc w:val="center"/>
              <w:rPr>
                <w:rFonts w:hint="eastAsia" w:ascii="黑体" w:hAnsi="黑体" w:eastAsia="黑体" w:cs="黑体"/>
                <w:color w:val="auto"/>
                <w:kern w:val="0"/>
                <w:sz w:val="24"/>
                <w:szCs w:val="24"/>
                <w:highlight w:val="none"/>
              </w:rPr>
            </w:pPr>
          </w:p>
        </w:tc>
      </w:tr>
      <w:tr w14:paraId="105963AE">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E85812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53</w:t>
            </w:r>
          </w:p>
        </w:tc>
        <w:tc>
          <w:tcPr>
            <w:tcW w:w="5978" w:type="dxa"/>
            <w:tcBorders>
              <w:top w:val="nil"/>
              <w:left w:val="nil"/>
              <w:bottom w:val="single" w:color="auto" w:sz="4" w:space="0"/>
              <w:right w:val="single" w:color="auto" w:sz="4" w:space="0"/>
            </w:tcBorders>
            <w:noWrap w:val="0"/>
            <w:vAlign w:val="center"/>
          </w:tcPr>
          <w:p w14:paraId="758EAE99">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东郊社区内</w:t>
            </w:r>
          </w:p>
        </w:tc>
        <w:tc>
          <w:tcPr>
            <w:tcW w:w="2055" w:type="dxa"/>
            <w:tcBorders>
              <w:top w:val="nil"/>
              <w:left w:val="nil"/>
              <w:bottom w:val="single" w:color="auto" w:sz="4" w:space="0"/>
              <w:right w:val="single" w:color="auto" w:sz="4" w:space="0"/>
            </w:tcBorders>
            <w:noWrap w:val="0"/>
            <w:vAlign w:val="center"/>
          </w:tcPr>
          <w:p w14:paraId="0E44F24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550</w:t>
            </w:r>
          </w:p>
        </w:tc>
        <w:tc>
          <w:tcPr>
            <w:tcW w:w="1020" w:type="dxa"/>
            <w:tcBorders>
              <w:top w:val="nil"/>
              <w:left w:val="nil"/>
              <w:bottom w:val="single" w:color="auto" w:sz="4" w:space="0"/>
              <w:right w:val="single" w:color="auto" w:sz="4" w:space="0"/>
            </w:tcBorders>
            <w:noWrap w:val="0"/>
            <w:vAlign w:val="center"/>
          </w:tcPr>
          <w:p w14:paraId="04B22A41">
            <w:pPr>
              <w:widowControl/>
              <w:jc w:val="center"/>
              <w:rPr>
                <w:rFonts w:hint="eastAsia" w:ascii="黑体" w:hAnsi="黑体" w:eastAsia="黑体" w:cs="黑体"/>
                <w:color w:val="auto"/>
                <w:kern w:val="0"/>
                <w:sz w:val="24"/>
                <w:szCs w:val="24"/>
                <w:highlight w:val="none"/>
              </w:rPr>
            </w:pPr>
          </w:p>
        </w:tc>
      </w:tr>
      <w:tr w14:paraId="2F324695">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49D195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54</w:t>
            </w:r>
          </w:p>
        </w:tc>
        <w:tc>
          <w:tcPr>
            <w:tcW w:w="5978" w:type="dxa"/>
            <w:tcBorders>
              <w:top w:val="nil"/>
              <w:left w:val="nil"/>
              <w:bottom w:val="single" w:color="auto" w:sz="4" w:space="0"/>
              <w:right w:val="single" w:color="auto" w:sz="4" w:space="0"/>
            </w:tcBorders>
            <w:noWrap w:val="0"/>
            <w:vAlign w:val="center"/>
          </w:tcPr>
          <w:p w14:paraId="70419B92">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砻糠山两侧绿化</w:t>
            </w:r>
          </w:p>
        </w:tc>
        <w:tc>
          <w:tcPr>
            <w:tcW w:w="2055" w:type="dxa"/>
            <w:tcBorders>
              <w:top w:val="nil"/>
              <w:left w:val="nil"/>
              <w:bottom w:val="single" w:color="auto" w:sz="4" w:space="0"/>
              <w:right w:val="single" w:color="auto" w:sz="4" w:space="0"/>
            </w:tcBorders>
            <w:noWrap w:val="0"/>
            <w:vAlign w:val="center"/>
          </w:tcPr>
          <w:p w14:paraId="1CD4F86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1333</w:t>
            </w:r>
          </w:p>
        </w:tc>
        <w:tc>
          <w:tcPr>
            <w:tcW w:w="1020" w:type="dxa"/>
            <w:tcBorders>
              <w:top w:val="nil"/>
              <w:left w:val="nil"/>
              <w:bottom w:val="single" w:color="auto" w:sz="4" w:space="0"/>
              <w:right w:val="single" w:color="auto" w:sz="4" w:space="0"/>
            </w:tcBorders>
            <w:noWrap w:val="0"/>
            <w:vAlign w:val="center"/>
          </w:tcPr>
          <w:p w14:paraId="4C2D620F">
            <w:pPr>
              <w:widowControl/>
              <w:jc w:val="center"/>
              <w:rPr>
                <w:rFonts w:hint="eastAsia" w:ascii="黑体" w:hAnsi="黑体" w:eastAsia="黑体" w:cs="黑体"/>
                <w:color w:val="auto"/>
                <w:kern w:val="0"/>
                <w:sz w:val="24"/>
                <w:szCs w:val="24"/>
                <w:highlight w:val="none"/>
              </w:rPr>
            </w:pPr>
          </w:p>
        </w:tc>
      </w:tr>
      <w:tr w14:paraId="66F0CC92">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9B412A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55</w:t>
            </w:r>
          </w:p>
        </w:tc>
        <w:tc>
          <w:tcPr>
            <w:tcW w:w="5978" w:type="dxa"/>
            <w:tcBorders>
              <w:top w:val="nil"/>
              <w:left w:val="nil"/>
              <w:bottom w:val="single" w:color="auto" w:sz="4" w:space="0"/>
              <w:right w:val="single" w:color="auto" w:sz="4" w:space="0"/>
            </w:tcBorders>
            <w:noWrap w:val="0"/>
            <w:vAlign w:val="center"/>
          </w:tcPr>
          <w:p w14:paraId="44490877">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东郊路两侧集城东新村</w:t>
            </w:r>
          </w:p>
        </w:tc>
        <w:tc>
          <w:tcPr>
            <w:tcW w:w="2055" w:type="dxa"/>
            <w:tcBorders>
              <w:top w:val="nil"/>
              <w:left w:val="nil"/>
              <w:bottom w:val="single" w:color="auto" w:sz="4" w:space="0"/>
              <w:right w:val="single" w:color="auto" w:sz="4" w:space="0"/>
            </w:tcBorders>
            <w:noWrap w:val="0"/>
            <w:vAlign w:val="center"/>
          </w:tcPr>
          <w:p w14:paraId="6EE2DAB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800</w:t>
            </w:r>
          </w:p>
        </w:tc>
        <w:tc>
          <w:tcPr>
            <w:tcW w:w="1020" w:type="dxa"/>
            <w:tcBorders>
              <w:top w:val="nil"/>
              <w:left w:val="nil"/>
              <w:bottom w:val="single" w:color="auto" w:sz="4" w:space="0"/>
              <w:right w:val="single" w:color="auto" w:sz="4" w:space="0"/>
            </w:tcBorders>
            <w:noWrap w:val="0"/>
            <w:vAlign w:val="center"/>
          </w:tcPr>
          <w:p w14:paraId="4EE736B2">
            <w:pPr>
              <w:widowControl/>
              <w:jc w:val="center"/>
              <w:rPr>
                <w:rFonts w:hint="eastAsia" w:ascii="黑体" w:hAnsi="黑体" w:eastAsia="黑体" w:cs="黑体"/>
                <w:color w:val="auto"/>
                <w:kern w:val="0"/>
                <w:sz w:val="24"/>
                <w:szCs w:val="24"/>
                <w:highlight w:val="none"/>
              </w:rPr>
            </w:pPr>
          </w:p>
        </w:tc>
      </w:tr>
      <w:tr w14:paraId="391EF6E3">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064DE2C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56</w:t>
            </w:r>
          </w:p>
        </w:tc>
        <w:tc>
          <w:tcPr>
            <w:tcW w:w="5978" w:type="dxa"/>
            <w:tcBorders>
              <w:top w:val="nil"/>
              <w:left w:val="nil"/>
              <w:bottom w:val="single" w:color="auto" w:sz="4" w:space="0"/>
              <w:right w:val="single" w:color="auto" w:sz="4" w:space="0"/>
            </w:tcBorders>
            <w:noWrap w:val="0"/>
            <w:vAlign w:val="center"/>
          </w:tcPr>
          <w:p w14:paraId="79296091">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东郊社区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东澜苑小区绿化（三季度新增）</w:t>
            </w:r>
          </w:p>
        </w:tc>
        <w:tc>
          <w:tcPr>
            <w:tcW w:w="2055" w:type="dxa"/>
            <w:tcBorders>
              <w:top w:val="nil"/>
              <w:left w:val="nil"/>
              <w:bottom w:val="single" w:color="auto" w:sz="4" w:space="0"/>
              <w:right w:val="single" w:color="auto" w:sz="4" w:space="0"/>
            </w:tcBorders>
            <w:noWrap w:val="0"/>
            <w:vAlign w:val="center"/>
          </w:tcPr>
          <w:p w14:paraId="1750037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906</w:t>
            </w:r>
          </w:p>
        </w:tc>
        <w:tc>
          <w:tcPr>
            <w:tcW w:w="1020" w:type="dxa"/>
            <w:tcBorders>
              <w:top w:val="nil"/>
              <w:left w:val="nil"/>
              <w:bottom w:val="single" w:color="auto" w:sz="4" w:space="0"/>
              <w:right w:val="single" w:color="auto" w:sz="4" w:space="0"/>
            </w:tcBorders>
            <w:noWrap w:val="0"/>
            <w:vAlign w:val="center"/>
          </w:tcPr>
          <w:p w14:paraId="67074D07">
            <w:pPr>
              <w:widowControl/>
              <w:jc w:val="center"/>
              <w:rPr>
                <w:rFonts w:hint="eastAsia" w:ascii="黑体" w:hAnsi="黑体" w:eastAsia="黑体" w:cs="黑体"/>
                <w:color w:val="auto"/>
                <w:kern w:val="0"/>
                <w:sz w:val="24"/>
                <w:szCs w:val="24"/>
                <w:highlight w:val="none"/>
              </w:rPr>
            </w:pPr>
          </w:p>
        </w:tc>
      </w:tr>
      <w:tr w14:paraId="46AB098B">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F9C2EB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57</w:t>
            </w:r>
          </w:p>
        </w:tc>
        <w:tc>
          <w:tcPr>
            <w:tcW w:w="5978" w:type="dxa"/>
            <w:tcBorders>
              <w:top w:val="nil"/>
              <w:left w:val="nil"/>
              <w:bottom w:val="single" w:color="auto" w:sz="4" w:space="0"/>
              <w:right w:val="single" w:color="auto" w:sz="4" w:space="0"/>
            </w:tcBorders>
            <w:noWrap w:val="0"/>
            <w:vAlign w:val="center"/>
          </w:tcPr>
          <w:p w14:paraId="3C2ACAA2">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西门河下县桥河沿岸景观绿化</w:t>
            </w:r>
          </w:p>
        </w:tc>
        <w:tc>
          <w:tcPr>
            <w:tcW w:w="2055" w:type="dxa"/>
            <w:tcBorders>
              <w:top w:val="nil"/>
              <w:left w:val="nil"/>
              <w:bottom w:val="single" w:color="auto" w:sz="4" w:space="0"/>
              <w:right w:val="single" w:color="auto" w:sz="4" w:space="0"/>
            </w:tcBorders>
            <w:noWrap w:val="0"/>
            <w:vAlign w:val="center"/>
          </w:tcPr>
          <w:p w14:paraId="2904694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998</w:t>
            </w:r>
          </w:p>
        </w:tc>
        <w:tc>
          <w:tcPr>
            <w:tcW w:w="1020" w:type="dxa"/>
            <w:tcBorders>
              <w:top w:val="nil"/>
              <w:left w:val="nil"/>
              <w:bottom w:val="single" w:color="auto" w:sz="4" w:space="0"/>
              <w:right w:val="single" w:color="auto" w:sz="4" w:space="0"/>
            </w:tcBorders>
            <w:noWrap w:val="0"/>
            <w:vAlign w:val="center"/>
          </w:tcPr>
          <w:p w14:paraId="05E85AB2">
            <w:pPr>
              <w:widowControl/>
              <w:jc w:val="center"/>
              <w:rPr>
                <w:rFonts w:hint="eastAsia" w:ascii="黑体" w:hAnsi="黑体" w:eastAsia="黑体" w:cs="黑体"/>
                <w:color w:val="auto"/>
                <w:kern w:val="0"/>
                <w:sz w:val="24"/>
                <w:szCs w:val="24"/>
                <w:highlight w:val="none"/>
              </w:rPr>
            </w:pPr>
          </w:p>
        </w:tc>
      </w:tr>
      <w:tr w14:paraId="05E5B828">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69F5DE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58</w:t>
            </w:r>
          </w:p>
        </w:tc>
        <w:tc>
          <w:tcPr>
            <w:tcW w:w="5978" w:type="dxa"/>
            <w:tcBorders>
              <w:top w:val="nil"/>
              <w:left w:val="nil"/>
              <w:bottom w:val="single" w:color="auto" w:sz="4" w:space="0"/>
              <w:right w:val="single" w:color="auto" w:sz="4" w:space="0"/>
            </w:tcBorders>
            <w:noWrap w:val="0"/>
            <w:vAlign w:val="center"/>
          </w:tcPr>
          <w:p w14:paraId="102A1E84">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西郊公园绿化（包括停车场）</w:t>
            </w:r>
          </w:p>
        </w:tc>
        <w:tc>
          <w:tcPr>
            <w:tcW w:w="2055" w:type="dxa"/>
            <w:tcBorders>
              <w:top w:val="nil"/>
              <w:left w:val="nil"/>
              <w:bottom w:val="single" w:color="auto" w:sz="4" w:space="0"/>
              <w:right w:val="single" w:color="auto" w:sz="4" w:space="0"/>
            </w:tcBorders>
            <w:noWrap w:val="0"/>
            <w:vAlign w:val="center"/>
          </w:tcPr>
          <w:p w14:paraId="287A97C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1780</w:t>
            </w:r>
          </w:p>
        </w:tc>
        <w:tc>
          <w:tcPr>
            <w:tcW w:w="1020" w:type="dxa"/>
            <w:tcBorders>
              <w:top w:val="nil"/>
              <w:left w:val="nil"/>
              <w:bottom w:val="single" w:color="auto" w:sz="4" w:space="0"/>
              <w:right w:val="single" w:color="auto" w:sz="4" w:space="0"/>
            </w:tcBorders>
            <w:noWrap w:val="0"/>
            <w:vAlign w:val="center"/>
          </w:tcPr>
          <w:p w14:paraId="1DB889BC">
            <w:pPr>
              <w:widowControl/>
              <w:jc w:val="center"/>
              <w:rPr>
                <w:rFonts w:hint="eastAsia" w:ascii="黑体" w:hAnsi="黑体" w:eastAsia="黑体" w:cs="黑体"/>
                <w:color w:val="auto"/>
                <w:kern w:val="0"/>
                <w:sz w:val="24"/>
                <w:szCs w:val="24"/>
                <w:highlight w:val="none"/>
              </w:rPr>
            </w:pPr>
          </w:p>
        </w:tc>
      </w:tr>
      <w:tr w14:paraId="4F15DDDF">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5983676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59</w:t>
            </w:r>
          </w:p>
        </w:tc>
        <w:tc>
          <w:tcPr>
            <w:tcW w:w="5978" w:type="dxa"/>
            <w:tcBorders>
              <w:top w:val="nil"/>
              <w:left w:val="nil"/>
              <w:bottom w:val="single" w:color="auto" w:sz="4" w:space="0"/>
              <w:right w:val="single" w:color="auto" w:sz="4" w:space="0"/>
            </w:tcBorders>
            <w:noWrap w:val="0"/>
            <w:vAlign w:val="center"/>
          </w:tcPr>
          <w:p w14:paraId="2A91C3F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香草苑南侧停车场绿化</w:t>
            </w:r>
          </w:p>
        </w:tc>
        <w:tc>
          <w:tcPr>
            <w:tcW w:w="2055" w:type="dxa"/>
            <w:tcBorders>
              <w:top w:val="nil"/>
              <w:left w:val="nil"/>
              <w:bottom w:val="single" w:color="auto" w:sz="4" w:space="0"/>
              <w:right w:val="single" w:color="auto" w:sz="4" w:space="0"/>
            </w:tcBorders>
            <w:noWrap w:val="0"/>
            <w:vAlign w:val="center"/>
          </w:tcPr>
          <w:p w14:paraId="34A17435">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150</w:t>
            </w:r>
          </w:p>
        </w:tc>
        <w:tc>
          <w:tcPr>
            <w:tcW w:w="1020" w:type="dxa"/>
            <w:tcBorders>
              <w:top w:val="nil"/>
              <w:left w:val="nil"/>
              <w:bottom w:val="single" w:color="auto" w:sz="4" w:space="0"/>
              <w:right w:val="single" w:color="auto" w:sz="4" w:space="0"/>
            </w:tcBorders>
            <w:noWrap w:val="0"/>
            <w:vAlign w:val="center"/>
          </w:tcPr>
          <w:p w14:paraId="260746C2">
            <w:pPr>
              <w:widowControl/>
              <w:jc w:val="center"/>
              <w:rPr>
                <w:rFonts w:hint="eastAsia" w:ascii="黑体" w:hAnsi="黑体" w:eastAsia="黑体" w:cs="黑体"/>
                <w:color w:val="auto"/>
                <w:kern w:val="0"/>
                <w:sz w:val="24"/>
                <w:szCs w:val="24"/>
                <w:highlight w:val="none"/>
              </w:rPr>
            </w:pPr>
          </w:p>
        </w:tc>
      </w:tr>
      <w:tr w14:paraId="2B2109F2">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12B50BA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60</w:t>
            </w:r>
          </w:p>
        </w:tc>
        <w:tc>
          <w:tcPr>
            <w:tcW w:w="5978" w:type="dxa"/>
            <w:tcBorders>
              <w:top w:val="nil"/>
              <w:left w:val="nil"/>
              <w:bottom w:val="single" w:color="auto" w:sz="4" w:space="0"/>
              <w:right w:val="single" w:color="auto" w:sz="4" w:space="0"/>
            </w:tcBorders>
            <w:noWrap w:val="0"/>
            <w:vAlign w:val="center"/>
          </w:tcPr>
          <w:p w14:paraId="4D0843F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朱家角篮球场公园绿化</w:t>
            </w:r>
          </w:p>
        </w:tc>
        <w:tc>
          <w:tcPr>
            <w:tcW w:w="2055" w:type="dxa"/>
            <w:tcBorders>
              <w:top w:val="nil"/>
              <w:left w:val="nil"/>
              <w:bottom w:val="single" w:color="auto" w:sz="4" w:space="0"/>
              <w:right w:val="single" w:color="auto" w:sz="4" w:space="0"/>
            </w:tcBorders>
            <w:noWrap w:val="0"/>
            <w:vAlign w:val="center"/>
          </w:tcPr>
          <w:p w14:paraId="10E8AC0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522</w:t>
            </w:r>
          </w:p>
        </w:tc>
        <w:tc>
          <w:tcPr>
            <w:tcW w:w="1020" w:type="dxa"/>
            <w:tcBorders>
              <w:top w:val="nil"/>
              <w:left w:val="nil"/>
              <w:bottom w:val="single" w:color="auto" w:sz="4" w:space="0"/>
              <w:right w:val="single" w:color="auto" w:sz="4" w:space="0"/>
            </w:tcBorders>
            <w:noWrap w:val="0"/>
            <w:vAlign w:val="center"/>
          </w:tcPr>
          <w:p w14:paraId="35D3D452">
            <w:pPr>
              <w:widowControl/>
              <w:jc w:val="center"/>
              <w:rPr>
                <w:rFonts w:hint="eastAsia" w:ascii="黑体" w:hAnsi="黑体" w:eastAsia="黑体" w:cs="黑体"/>
                <w:color w:val="auto"/>
                <w:kern w:val="0"/>
                <w:sz w:val="24"/>
                <w:szCs w:val="24"/>
                <w:highlight w:val="none"/>
              </w:rPr>
            </w:pPr>
          </w:p>
        </w:tc>
      </w:tr>
      <w:tr w14:paraId="51EF71E7">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BFBBDB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61</w:t>
            </w:r>
          </w:p>
        </w:tc>
        <w:tc>
          <w:tcPr>
            <w:tcW w:w="5978" w:type="dxa"/>
            <w:tcBorders>
              <w:top w:val="nil"/>
              <w:left w:val="nil"/>
              <w:bottom w:val="single" w:color="auto" w:sz="4" w:space="0"/>
              <w:right w:val="single" w:color="auto" w:sz="4" w:space="0"/>
            </w:tcBorders>
            <w:noWrap w:val="0"/>
            <w:vAlign w:val="center"/>
          </w:tcPr>
          <w:p w14:paraId="2D39496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技师学院楼下绿化</w:t>
            </w:r>
          </w:p>
        </w:tc>
        <w:tc>
          <w:tcPr>
            <w:tcW w:w="2055" w:type="dxa"/>
            <w:tcBorders>
              <w:top w:val="nil"/>
              <w:left w:val="nil"/>
              <w:bottom w:val="single" w:color="auto" w:sz="4" w:space="0"/>
              <w:right w:val="single" w:color="auto" w:sz="4" w:space="0"/>
            </w:tcBorders>
            <w:noWrap w:val="0"/>
            <w:vAlign w:val="center"/>
          </w:tcPr>
          <w:p w14:paraId="30E624C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220</w:t>
            </w:r>
          </w:p>
        </w:tc>
        <w:tc>
          <w:tcPr>
            <w:tcW w:w="1020" w:type="dxa"/>
            <w:tcBorders>
              <w:top w:val="nil"/>
              <w:left w:val="nil"/>
              <w:bottom w:val="single" w:color="auto" w:sz="4" w:space="0"/>
              <w:right w:val="single" w:color="auto" w:sz="4" w:space="0"/>
            </w:tcBorders>
            <w:noWrap w:val="0"/>
            <w:vAlign w:val="center"/>
          </w:tcPr>
          <w:p w14:paraId="7BBB29E5">
            <w:pPr>
              <w:widowControl/>
              <w:jc w:val="center"/>
              <w:rPr>
                <w:rFonts w:hint="eastAsia" w:ascii="黑体" w:hAnsi="黑体" w:eastAsia="黑体" w:cs="黑体"/>
                <w:color w:val="auto"/>
                <w:kern w:val="0"/>
                <w:sz w:val="24"/>
                <w:szCs w:val="24"/>
                <w:highlight w:val="none"/>
              </w:rPr>
            </w:pPr>
          </w:p>
        </w:tc>
      </w:tr>
      <w:tr w14:paraId="469F70BE">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B13ACD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62</w:t>
            </w:r>
          </w:p>
        </w:tc>
        <w:tc>
          <w:tcPr>
            <w:tcW w:w="5978" w:type="dxa"/>
            <w:tcBorders>
              <w:top w:val="nil"/>
              <w:left w:val="nil"/>
              <w:bottom w:val="single" w:color="auto" w:sz="4" w:space="0"/>
              <w:right w:val="single" w:color="auto" w:sz="4" w:space="0"/>
            </w:tcBorders>
            <w:noWrap w:val="0"/>
            <w:vAlign w:val="center"/>
          </w:tcPr>
          <w:p w14:paraId="233FDBDA">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朱家角沿河绿化</w:t>
            </w:r>
          </w:p>
        </w:tc>
        <w:tc>
          <w:tcPr>
            <w:tcW w:w="2055" w:type="dxa"/>
            <w:tcBorders>
              <w:top w:val="nil"/>
              <w:left w:val="nil"/>
              <w:bottom w:val="single" w:color="auto" w:sz="4" w:space="0"/>
              <w:right w:val="single" w:color="auto" w:sz="4" w:space="0"/>
            </w:tcBorders>
            <w:noWrap w:val="0"/>
            <w:vAlign w:val="center"/>
          </w:tcPr>
          <w:p w14:paraId="7658E9B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650</w:t>
            </w:r>
          </w:p>
        </w:tc>
        <w:tc>
          <w:tcPr>
            <w:tcW w:w="1020" w:type="dxa"/>
            <w:tcBorders>
              <w:top w:val="nil"/>
              <w:left w:val="nil"/>
              <w:bottom w:val="single" w:color="auto" w:sz="4" w:space="0"/>
              <w:right w:val="single" w:color="auto" w:sz="4" w:space="0"/>
            </w:tcBorders>
            <w:noWrap w:val="0"/>
            <w:vAlign w:val="center"/>
          </w:tcPr>
          <w:p w14:paraId="5A53E159">
            <w:pPr>
              <w:widowControl/>
              <w:jc w:val="center"/>
              <w:rPr>
                <w:rFonts w:hint="eastAsia" w:ascii="黑体" w:hAnsi="黑体" w:eastAsia="黑体" w:cs="黑体"/>
                <w:color w:val="auto"/>
                <w:kern w:val="0"/>
                <w:sz w:val="24"/>
                <w:szCs w:val="24"/>
                <w:highlight w:val="none"/>
              </w:rPr>
            </w:pPr>
          </w:p>
        </w:tc>
      </w:tr>
      <w:tr w14:paraId="411F689D">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1BF438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63</w:t>
            </w:r>
          </w:p>
        </w:tc>
        <w:tc>
          <w:tcPr>
            <w:tcW w:w="5978" w:type="dxa"/>
            <w:tcBorders>
              <w:top w:val="nil"/>
              <w:left w:val="nil"/>
              <w:bottom w:val="single" w:color="auto" w:sz="4" w:space="0"/>
              <w:right w:val="single" w:color="auto" w:sz="4" w:space="0"/>
            </w:tcBorders>
            <w:noWrap w:val="0"/>
            <w:vAlign w:val="center"/>
          </w:tcPr>
          <w:p w14:paraId="48A11EB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香草苑小区绿化</w:t>
            </w:r>
          </w:p>
        </w:tc>
        <w:tc>
          <w:tcPr>
            <w:tcW w:w="2055" w:type="dxa"/>
            <w:tcBorders>
              <w:top w:val="nil"/>
              <w:left w:val="nil"/>
              <w:bottom w:val="single" w:color="auto" w:sz="4" w:space="0"/>
              <w:right w:val="single" w:color="auto" w:sz="4" w:space="0"/>
            </w:tcBorders>
            <w:noWrap w:val="0"/>
            <w:vAlign w:val="center"/>
          </w:tcPr>
          <w:p w14:paraId="582E71A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608</w:t>
            </w:r>
          </w:p>
        </w:tc>
        <w:tc>
          <w:tcPr>
            <w:tcW w:w="1020" w:type="dxa"/>
            <w:tcBorders>
              <w:top w:val="nil"/>
              <w:left w:val="nil"/>
              <w:bottom w:val="single" w:color="auto" w:sz="4" w:space="0"/>
              <w:right w:val="single" w:color="auto" w:sz="4" w:space="0"/>
            </w:tcBorders>
            <w:noWrap w:val="0"/>
            <w:vAlign w:val="center"/>
          </w:tcPr>
          <w:p w14:paraId="1FC38190">
            <w:pPr>
              <w:widowControl/>
              <w:jc w:val="center"/>
              <w:rPr>
                <w:rFonts w:hint="eastAsia" w:ascii="黑体" w:hAnsi="黑体" w:eastAsia="黑体" w:cs="黑体"/>
                <w:color w:val="auto"/>
                <w:kern w:val="0"/>
                <w:sz w:val="24"/>
                <w:szCs w:val="24"/>
                <w:highlight w:val="none"/>
              </w:rPr>
            </w:pPr>
          </w:p>
        </w:tc>
      </w:tr>
      <w:tr w14:paraId="7928639D">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6FA260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64</w:t>
            </w:r>
          </w:p>
        </w:tc>
        <w:tc>
          <w:tcPr>
            <w:tcW w:w="5978" w:type="dxa"/>
            <w:tcBorders>
              <w:top w:val="nil"/>
              <w:left w:val="nil"/>
              <w:bottom w:val="single" w:color="auto" w:sz="4" w:space="0"/>
              <w:right w:val="single" w:color="auto" w:sz="4" w:space="0"/>
            </w:tcBorders>
            <w:noWrap w:val="0"/>
            <w:vAlign w:val="center"/>
          </w:tcPr>
          <w:p w14:paraId="50EB2F33">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西郊社区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蚕丝路绿化（2020年新增）</w:t>
            </w:r>
          </w:p>
        </w:tc>
        <w:tc>
          <w:tcPr>
            <w:tcW w:w="2055" w:type="dxa"/>
            <w:tcBorders>
              <w:top w:val="nil"/>
              <w:left w:val="nil"/>
              <w:bottom w:val="single" w:color="auto" w:sz="4" w:space="0"/>
              <w:right w:val="single" w:color="auto" w:sz="4" w:space="0"/>
            </w:tcBorders>
            <w:noWrap w:val="0"/>
            <w:vAlign w:val="center"/>
          </w:tcPr>
          <w:p w14:paraId="513A431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345</w:t>
            </w:r>
          </w:p>
        </w:tc>
        <w:tc>
          <w:tcPr>
            <w:tcW w:w="1020" w:type="dxa"/>
            <w:tcBorders>
              <w:top w:val="nil"/>
              <w:left w:val="nil"/>
              <w:bottom w:val="single" w:color="auto" w:sz="4" w:space="0"/>
              <w:right w:val="single" w:color="auto" w:sz="4" w:space="0"/>
            </w:tcBorders>
            <w:noWrap w:val="0"/>
            <w:vAlign w:val="center"/>
          </w:tcPr>
          <w:p w14:paraId="56D02166">
            <w:pPr>
              <w:widowControl/>
              <w:jc w:val="center"/>
              <w:rPr>
                <w:rFonts w:hint="eastAsia" w:ascii="黑体" w:hAnsi="黑体" w:eastAsia="黑体" w:cs="黑体"/>
                <w:color w:val="auto"/>
                <w:kern w:val="0"/>
                <w:sz w:val="24"/>
                <w:szCs w:val="24"/>
                <w:highlight w:val="none"/>
              </w:rPr>
            </w:pPr>
          </w:p>
        </w:tc>
      </w:tr>
      <w:tr w14:paraId="3FA212CE">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72F799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65</w:t>
            </w:r>
          </w:p>
        </w:tc>
        <w:tc>
          <w:tcPr>
            <w:tcW w:w="5978" w:type="dxa"/>
            <w:tcBorders>
              <w:top w:val="nil"/>
              <w:left w:val="nil"/>
              <w:bottom w:val="single" w:color="auto" w:sz="4" w:space="0"/>
              <w:right w:val="single" w:color="auto" w:sz="4" w:space="0"/>
            </w:tcBorders>
            <w:noWrap w:val="0"/>
            <w:vAlign w:val="center"/>
          </w:tcPr>
          <w:p w14:paraId="670198CA">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社区休憩平台综合体建设绿化</w:t>
            </w:r>
          </w:p>
        </w:tc>
        <w:tc>
          <w:tcPr>
            <w:tcW w:w="2055" w:type="dxa"/>
            <w:tcBorders>
              <w:top w:val="nil"/>
              <w:left w:val="nil"/>
              <w:bottom w:val="single" w:color="auto" w:sz="4" w:space="0"/>
              <w:right w:val="single" w:color="auto" w:sz="4" w:space="0"/>
            </w:tcBorders>
            <w:noWrap w:val="0"/>
            <w:vAlign w:val="center"/>
          </w:tcPr>
          <w:p w14:paraId="3D26C9F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23</w:t>
            </w:r>
          </w:p>
        </w:tc>
        <w:tc>
          <w:tcPr>
            <w:tcW w:w="1020" w:type="dxa"/>
            <w:tcBorders>
              <w:top w:val="nil"/>
              <w:left w:val="nil"/>
              <w:bottom w:val="single" w:color="auto" w:sz="4" w:space="0"/>
              <w:right w:val="single" w:color="auto" w:sz="4" w:space="0"/>
            </w:tcBorders>
            <w:noWrap w:val="0"/>
            <w:vAlign w:val="center"/>
          </w:tcPr>
          <w:p w14:paraId="473E7334">
            <w:pPr>
              <w:widowControl/>
              <w:jc w:val="center"/>
              <w:rPr>
                <w:rFonts w:hint="eastAsia" w:ascii="黑体" w:hAnsi="黑体" w:eastAsia="黑体" w:cs="黑体"/>
                <w:color w:val="auto"/>
                <w:kern w:val="0"/>
                <w:sz w:val="24"/>
                <w:szCs w:val="24"/>
                <w:highlight w:val="none"/>
              </w:rPr>
            </w:pPr>
          </w:p>
        </w:tc>
      </w:tr>
      <w:tr w14:paraId="28A43631">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1F3A2A5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66</w:t>
            </w:r>
          </w:p>
        </w:tc>
        <w:tc>
          <w:tcPr>
            <w:tcW w:w="5978" w:type="dxa"/>
            <w:tcBorders>
              <w:top w:val="nil"/>
              <w:left w:val="nil"/>
              <w:bottom w:val="single" w:color="auto" w:sz="4" w:space="0"/>
              <w:right w:val="single" w:color="auto" w:sz="4" w:space="0"/>
            </w:tcBorders>
            <w:noWrap w:val="0"/>
            <w:vAlign w:val="center"/>
          </w:tcPr>
          <w:p w14:paraId="03029DA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城北一区绿化</w:t>
            </w:r>
          </w:p>
        </w:tc>
        <w:tc>
          <w:tcPr>
            <w:tcW w:w="2055" w:type="dxa"/>
            <w:tcBorders>
              <w:top w:val="nil"/>
              <w:left w:val="nil"/>
              <w:bottom w:val="single" w:color="auto" w:sz="4" w:space="0"/>
              <w:right w:val="single" w:color="auto" w:sz="4" w:space="0"/>
            </w:tcBorders>
            <w:noWrap w:val="0"/>
            <w:vAlign w:val="center"/>
          </w:tcPr>
          <w:p w14:paraId="69CDC5A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2056.3</w:t>
            </w:r>
          </w:p>
        </w:tc>
        <w:tc>
          <w:tcPr>
            <w:tcW w:w="1020" w:type="dxa"/>
            <w:tcBorders>
              <w:top w:val="nil"/>
              <w:left w:val="nil"/>
              <w:bottom w:val="single" w:color="auto" w:sz="4" w:space="0"/>
              <w:right w:val="single" w:color="auto" w:sz="4" w:space="0"/>
            </w:tcBorders>
            <w:noWrap w:val="0"/>
            <w:vAlign w:val="center"/>
          </w:tcPr>
          <w:p w14:paraId="538A201C">
            <w:pPr>
              <w:widowControl/>
              <w:jc w:val="center"/>
              <w:rPr>
                <w:rFonts w:hint="eastAsia" w:ascii="黑体" w:hAnsi="黑体" w:eastAsia="黑体" w:cs="黑体"/>
                <w:color w:val="auto"/>
                <w:kern w:val="0"/>
                <w:sz w:val="24"/>
                <w:szCs w:val="24"/>
                <w:highlight w:val="none"/>
              </w:rPr>
            </w:pPr>
          </w:p>
        </w:tc>
      </w:tr>
      <w:tr w14:paraId="3D36A5CC">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43424D0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67</w:t>
            </w:r>
          </w:p>
        </w:tc>
        <w:tc>
          <w:tcPr>
            <w:tcW w:w="5978" w:type="dxa"/>
            <w:tcBorders>
              <w:top w:val="nil"/>
              <w:left w:val="nil"/>
              <w:bottom w:val="single" w:color="auto" w:sz="4" w:space="0"/>
              <w:right w:val="single" w:color="auto" w:sz="4" w:space="0"/>
            </w:tcBorders>
            <w:noWrap w:val="0"/>
            <w:vAlign w:val="center"/>
          </w:tcPr>
          <w:p w14:paraId="3A0CAA61">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西单里弄内部巷道绿化</w:t>
            </w:r>
          </w:p>
        </w:tc>
        <w:tc>
          <w:tcPr>
            <w:tcW w:w="2055" w:type="dxa"/>
            <w:tcBorders>
              <w:top w:val="nil"/>
              <w:left w:val="nil"/>
              <w:bottom w:val="single" w:color="auto" w:sz="4" w:space="0"/>
              <w:right w:val="single" w:color="auto" w:sz="4" w:space="0"/>
            </w:tcBorders>
            <w:noWrap w:val="0"/>
            <w:vAlign w:val="center"/>
          </w:tcPr>
          <w:p w14:paraId="4F59D58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82</w:t>
            </w:r>
          </w:p>
        </w:tc>
        <w:tc>
          <w:tcPr>
            <w:tcW w:w="1020" w:type="dxa"/>
            <w:tcBorders>
              <w:top w:val="nil"/>
              <w:left w:val="nil"/>
              <w:bottom w:val="single" w:color="auto" w:sz="4" w:space="0"/>
              <w:right w:val="single" w:color="auto" w:sz="4" w:space="0"/>
            </w:tcBorders>
            <w:noWrap w:val="0"/>
            <w:vAlign w:val="center"/>
          </w:tcPr>
          <w:p w14:paraId="26EFD49A">
            <w:pPr>
              <w:widowControl/>
              <w:jc w:val="center"/>
              <w:rPr>
                <w:rFonts w:hint="eastAsia" w:ascii="黑体" w:hAnsi="黑体" w:eastAsia="黑体" w:cs="黑体"/>
                <w:color w:val="auto"/>
                <w:kern w:val="0"/>
                <w:sz w:val="24"/>
                <w:szCs w:val="24"/>
                <w:highlight w:val="none"/>
              </w:rPr>
            </w:pPr>
          </w:p>
        </w:tc>
      </w:tr>
      <w:tr w14:paraId="0C05F173">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8A806A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68</w:t>
            </w:r>
          </w:p>
        </w:tc>
        <w:tc>
          <w:tcPr>
            <w:tcW w:w="5978" w:type="dxa"/>
            <w:tcBorders>
              <w:top w:val="nil"/>
              <w:left w:val="nil"/>
              <w:bottom w:val="single" w:color="auto" w:sz="4" w:space="0"/>
              <w:right w:val="single" w:color="auto" w:sz="4" w:space="0"/>
            </w:tcBorders>
            <w:noWrap w:val="0"/>
            <w:vAlign w:val="center"/>
          </w:tcPr>
          <w:p w14:paraId="08D7F08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西单弄休闲内部巷道绿化（西单弄）</w:t>
            </w:r>
          </w:p>
        </w:tc>
        <w:tc>
          <w:tcPr>
            <w:tcW w:w="2055" w:type="dxa"/>
            <w:tcBorders>
              <w:top w:val="nil"/>
              <w:left w:val="nil"/>
              <w:bottom w:val="single" w:color="auto" w:sz="4" w:space="0"/>
              <w:right w:val="single" w:color="auto" w:sz="4" w:space="0"/>
            </w:tcBorders>
            <w:noWrap w:val="0"/>
            <w:vAlign w:val="center"/>
          </w:tcPr>
          <w:p w14:paraId="798A0A8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21</w:t>
            </w:r>
          </w:p>
        </w:tc>
        <w:tc>
          <w:tcPr>
            <w:tcW w:w="1020" w:type="dxa"/>
            <w:tcBorders>
              <w:top w:val="nil"/>
              <w:left w:val="nil"/>
              <w:bottom w:val="single" w:color="auto" w:sz="4" w:space="0"/>
              <w:right w:val="single" w:color="auto" w:sz="4" w:space="0"/>
            </w:tcBorders>
            <w:noWrap w:val="0"/>
            <w:vAlign w:val="center"/>
          </w:tcPr>
          <w:p w14:paraId="5AD2A9DD">
            <w:pPr>
              <w:widowControl/>
              <w:jc w:val="center"/>
              <w:rPr>
                <w:rFonts w:hint="eastAsia" w:ascii="黑体" w:hAnsi="黑体" w:eastAsia="黑体" w:cs="黑体"/>
                <w:color w:val="auto"/>
                <w:kern w:val="0"/>
                <w:sz w:val="24"/>
                <w:szCs w:val="24"/>
                <w:highlight w:val="none"/>
              </w:rPr>
            </w:pPr>
          </w:p>
        </w:tc>
      </w:tr>
      <w:tr w14:paraId="6173F490">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DF69E4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69</w:t>
            </w:r>
          </w:p>
        </w:tc>
        <w:tc>
          <w:tcPr>
            <w:tcW w:w="5978" w:type="dxa"/>
            <w:tcBorders>
              <w:top w:val="nil"/>
              <w:left w:val="nil"/>
              <w:bottom w:val="single" w:color="auto" w:sz="4" w:space="0"/>
              <w:right w:val="single" w:color="auto" w:sz="4" w:space="0"/>
            </w:tcBorders>
            <w:noWrap w:val="0"/>
            <w:vAlign w:val="center"/>
          </w:tcPr>
          <w:p w14:paraId="3D444AD8">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西单弄南入口</w:t>
            </w:r>
          </w:p>
        </w:tc>
        <w:tc>
          <w:tcPr>
            <w:tcW w:w="2055" w:type="dxa"/>
            <w:tcBorders>
              <w:top w:val="nil"/>
              <w:left w:val="nil"/>
              <w:bottom w:val="single" w:color="auto" w:sz="4" w:space="0"/>
              <w:right w:val="single" w:color="auto" w:sz="4" w:space="0"/>
            </w:tcBorders>
            <w:noWrap w:val="0"/>
            <w:vAlign w:val="center"/>
          </w:tcPr>
          <w:p w14:paraId="34889E2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100</w:t>
            </w:r>
          </w:p>
        </w:tc>
        <w:tc>
          <w:tcPr>
            <w:tcW w:w="1020" w:type="dxa"/>
            <w:tcBorders>
              <w:top w:val="nil"/>
              <w:left w:val="nil"/>
              <w:bottom w:val="single" w:color="auto" w:sz="4" w:space="0"/>
              <w:right w:val="single" w:color="auto" w:sz="4" w:space="0"/>
            </w:tcBorders>
            <w:noWrap w:val="0"/>
            <w:vAlign w:val="center"/>
          </w:tcPr>
          <w:p w14:paraId="602DB202">
            <w:pPr>
              <w:widowControl/>
              <w:jc w:val="center"/>
              <w:rPr>
                <w:rFonts w:hint="eastAsia" w:ascii="黑体" w:hAnsi="黑体" w:eastAsia="黑体" w:cs="黑体"/>
                <w:color w:val="auto"/>
                <w:kern w:val="0"/>
                <w:sz w:val="24"/>
                <w:szCs w:val="24"/>
                <w:highlight w:val="none"/>
              </w:rPr>
            </w:pPr>
          </w:p>
        </w:tc>
      </w:tr>
      <w:tr w14:paraId="0F8D6B1F">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F778CB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70</w:t>
            </w:r>
          </w:p>
        </w:tc>
        <w:tc>
          <w:tcPr>
            <w:tcW w:w="5978" w:type="dxa"/>
            <w:tcBorders>
              <w:top w:val="nil"/>
              <w:left w:val="nil"/>
              <w:bottom w:val="single" w:color="auto" w:sz="4" w:space="0"/>
              <w:right w:val="single" w:color="auto" w:sz="4" w:space="0"/>
            </w:tcBorders>
            <w:noWrap w:val="0"/>
            <w:vAlign w:val="center"/>
          </w:tcPr>
          <w:p w14:paraId="38D95BB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西单弄休闲漫道绿化（是否继续养护或缩减养护范围，可视情况调整）</w:t>
            </w:r>
          </w:p>
        </w:tc>
        <w:tc>
          <w:tcPr>
            <w:tcW w:w="2055" w:type="dxa"/>
            <w:tcBorders>
              <w:top w:val="nil"/>
              <w:left w:val="nil"/>
              <w:bottom w:val="single" w:color="auto" w:sz="4" w:space="0"/>
              <w:right w:val="single" w:color="auto" w:sz="4" w:space="0"/>
            </w:tcBorders>
            <w:noWrap w:val="0"/>
            <w:vAlign w:val="center"/>
          </w:tcPr>
          <w:p w14:paraId="6FB07D9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380</w:t>
            </w:r>
          </w:p>
        </w:tc>
        <w:tc>
          <w:tcPr>
            <w:tcW w:w="1020" w:type="dxa"/>
            <w:tcBorders>
              <w:top w:val="nil"/>
              <w:left w:val="nil"/>
              <w:bottom w:val="single" w:color="auto" w:sz="4" w:space="0"/>
              <w:right w:val="single" w:color="auto" w:sz="4" w:space="0"/>
            </w:tcBorders>
            <w:noWrap w:val="0"/>
            <w:vAlign w:val="center"/>
          </w:tcPr>
          <w:p w14:paraId="1C8B3F2E">
            <w:pPr>
              <w:widowControl/>
              <w:jc w:val="center"/>
              <w:rPr>
                <w:rFonts w:hint="eastAsia" w:ascii="黑体" w:hAnsi="黑体" w:eastAsia="黑体" w:cs="黑体"/>
                <w:color w:val="auto"/>
                <w:kern w:val="0"/>
                <w:sz w:val="24"/>
                <w:szCs w:val="24"/>
                <w:highlight w:val="none"/>
              </w:rPr>
            </w:pPr>
          </w:p>
        </w:tc>
      </w:tr>
      <w:tr w14:paraId="7A17A637">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080E4F3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71</w:t>
            </w:r>
          </w:p>
        </w:tc>
        <w:tc>
          <w:tcPr>
            <w:tcW w:w="5978" w:type="dxa"/>
            <w:tcBorders>
              <w:top w:val="nil"/>
              <w:left w:val="nil"/>
              <w:bottom w:val="single" w:color="auto" w:sz="4" w:space="0"/>
              <w:right w:val="single" w:color="auto" w:sz="4" w:space="0"/>
            </w:tcBorders>
            <w:noWrap w:val="0"/>
            <w:vAlign w:val="center"/>
          </w:tcPr>
          <w:p w14:paraId="248FAC4E">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福临门后面</w:t>
            </w:r>
          </w:p>
        </w:tc>
        <w:tc>
          <w:tcPr>
            <w:tcW w:w="2055" w:type="dxa"/>
            <w:tcBorders>
              <w:top w:val="nil"/>
              <w:left w:val="nil"/>
              <w:bottom w:val="single" w:color="auto" w:sz="4" w:space="0"/>
              <w:right w:val="single" w:color="auto" w:sz="4" w:space="0"/>
            </w:tcBorders>
            <w:noWrap w:val="0"/>
            <w:vAlign w:val="center"/>
          </w:tcPr>
          <w:p w14:paraId="760500B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200</w:t>
            </w:r>
          </w:p>
        </w:tc>
        <w:tc>
          <w:tcPr>
            <w:tcW w:w="1020" w:type="dxa"/>
            <w:tcBorders>
              <w:top w:val="nil"/>
              <w:left w:val="nil"/>
              <w:bottom w:val="single" w:color="auto" w:sz="4" w:space="0"/>
              <w:right w:val="single" w:color="auto" w:sz="4" w:space="0"/>
            </w:tcBorders>
            <w:noWrap w:val="0"/>
            <w:vAlign w:val="center"/>
          </w:tcPr>
          <w:p w14:paraId="29DB80DA">
            <w:pPr>
              <w:widowControl/>
              <w:jc w:val="center"/>
              <w:rPr>
                <w:rFonts w:hint="eastAsia" w:ascii="黑体" w:hAnsi="黑体" w:eastAsia="黑体" w:cs="黑体"/>
                <w:color w:val="auto"/>
                <w:kern w:val="0"/>
                <w:sz w:val="24"/>
                <w:szCs w:val="24"/>
                <w:highlight w:val="none"/>
              </w:rPr>
            </w:pPr>
          </w:p>
        </w:tc>
      </w:tr>
      <w:tr w14:paraId="05758E93">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550D17A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72</w:t>
            </w:r>
          </w:p>
        </w:tc>
        <w:tc>
          <w:tcPr>
            <w:tcW w:w="5978" w:type="dxa"/>
            <w:tcBorders>
              <w:top w:val="nil"/>
              <w:left w:val="nil"/>
              <w:bottom w:val="single" w:color="auto" w:sz="4" w:space="0"/>
              <w:right w:val="single" w:color="auto" w:sz="4" w:space="0"/>
            </w:tcBorders>
            <w:noWrap w:val="0"/>
            <w:vAlign w:val="center"/>
          </w:tcPr>
          <w:p w14:paraId="0251B07A">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县街县桥河沿河绿化（2020年新增）</w:t>
            </w:r>
          </w:p>
        </w:tc>
        <w:tc>
          <w:tcPr>
            <w:tcW w:w="2055" w:type="dxa"/>
            <w:tcBorders>
              <w:top w:val="nil"/>
              <w:left w:val="nil"/>
              <w:bottom w:val="single" w:color="auto" w:sz="4" w:space="0"/>
              <w:right w:val="single" w:color="auto" w:sz="4" w:space="0"/>
            </w:tcBorders>
            <w:noWrap w:val="0"/>
            <w:vAlign w:val="center"/>
          </w:tcPr>
          <w:p w14:paraId="7253F04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w:t>
            </w:r>
          </w:p>
        </w:tc>
        <w:tc>
          <w:tcPr>
            <w:tcW w:w="1020" w:type="dxa"/>
            <w:tcBorders>
              <w:top w:val="nil"/>
              <w:left w:val="nil"/>
              <w:bottom w:val="single" w:color="auto" w:sz="4" w:space="0"/>
              <w:right w:val="single" w:color="auto" w:sz="4" w:space="0"/>
            </w:tcBorders>
            <w:noWrap w:val="0"/>
            <w:vAlign w:val="center"/>
          </w:tcPr>
          <w:p w14:paraId="3B20A93C">
            <w:pPr>
              <w:widowControl/>
              <w:jc w:val="center"/>
              <w:rPr>
                <w:rFonts w:hint="eastAsia" w:ascii="黑体" w:hAnsi="黑体" w:eastAsia="黑体" w:cs="黑体"/>
                <w:color w:val="auto"/>
                <w:kern w:val="0"/>
                <w:sz w:val="24"/>
                <w:szCs w:val="24"/>
                <w:highlight w:val="none"/>
              </w:rPr>
            </w:pPr>
          </w:p>
        </w:tc>
      </w:tr>
      <w:tr w14:paraId="27B1AEB4">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9AB6D6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73</w:t>
            </w:r>
          </w:p>
        </w:tc>
        <w:tc>
          <w:tcPr>
            <w:tcW w:w="5978" w:type="dxa"/>
            <w:tcBorders>
              <w:top w:val="nil"/>
              <w:left w:val="nil"/>
              <w:bottom w:val="single" w:color="auto" w:sz="4" w:space="0"/>
              <w:right w:val="single" w:color="auto" w:sz="4" w:space="0"/>
            </w:tcBorders>
            <w:noWrap w:val="0"/>
            <w:vAlign w:val="center"/>
          </w:tcPr>
          <w:p w14:paraId="0A0BE574">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城北一区（广场路入口处）</w:t>
            </w:r>
          </w:p>
        </w:tc>
        <w:tc>
          <w:tcPr>
            <w:tcW w:w="2055" w:type="dxa"/>
            <w:tcBorders>
              <w:top w:val="nil"/>
              <w:left w:val="nil"/>
              <w:bottom w:val="single" w:color="auto" w:sz="4" w:space="0"/>
              <w:right w:val="single" w:color="auto" w:sz="4" w:space="0"/>
            </w:tcBorders>
            <w:noWrap w:val="0"/>
            <w:vAlign w:val="center"/>
          </w:tcPr>
          <w:p w14:paraId="18BD8DE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60</w:t>
            </w:r>
          </w:p>
        </w:tc>
        <w:tc>
          <w:tcPr>
            <w:tcW w:w="1020" w:type="dxa"/>
            <w:tcBorders>
              <w:top w:val="nil"/>
              <w:left w:val="nil"/>
              <w:bottom w:val="single" w:color="auto" w:sz="4" w:space="0"/>
              <w:right w:val="single" w:color="auto" w:sz="4" w:space="0"/>
            </w:tcBorders>
            <w:noWrap w:val="0"/>
            <w:vAlign w:val="center"/>
          </w:tcPr>
          <w:p w14:paraId="608137DF">
            <w:pPr>
              <w:widowControl/>
              <w:jc w:val="center"/>
              <w:rPr>
                <w:rFonts w:hint="eastAsia" w:ascii="黑体" w:hAnsi="黑体" w:eastAsia="黑体" w:cs="黑体"/>
                <w:color w:val="auto"/>
                <w:kern w:val="0"/>
                <w:sz w:val="24"/>
                <w:szCs w:val="24"/>
                <w:highlight w:val="none"/>
              </w:rPr>
            </w:pPr>
          </w:p>
        </w:tc>
      </w:tr>
      <w:tr w14:paraId="0B5844A6">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8A121A5">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74</w:t>
            </w:r>
          </w:p>
        </w:tc>
        <w:tc>
          <w:tcPr>
            <w:tcW w:w="5978" w:type="dxa"/>
            <w:tcBorders>
              <w:top w:val="nil"/>
              <w:left w:val="nil"/>
              <w:bottom w:val="single" w:color="auto" w:sz="4" w:space="0"/>
              <w:right w:val="single" w:color="auto" w:sz="4" w:space="0"/>
            </w:tcBorders>
            <w:noWrap w:val="0"/>
            <w:vAlign w:val="center"/>
          </w:tcPr>
          <w:p w14:paraId="252C66AE">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北郊社区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西单小区（2021年四季度新增）</w:t>
            </w:r>
          </w:p>
        </w:tc>
        <w:tc>
          <w:tcPr>
            <w:tcW w:w="2055" w:type="dxa"/>
            <w:tcBorders>
              <w:top w:val="nil"/>
              <w:left w:val="nil"/>
              <w:bottom w:val="single" w:color="auto" w:sz="4" w:space="0"/>
              <w:right w:val="single" w:color="auto" w:sz="4" w:space="0"/>
            </w:tcBorders>
            <w:noWrap w:val="0"/>
            <w:vAlign w:val="center"/>
          </w:tcPr>
          <w:p w14:paraId="66101F2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220</w:t>
            </w:r>
          </w:p>
        </w:tc>
        <w:tc>
          <w:tcPr>
            <w:tcW w:w="1020" w:type="dxa"/>
            <w:tcBorders>
              <w:top w:val="nil"/>
              <w:left w:val="nil"/>
              <w:bottom w:val="single" w:color="auto" w:sz="4" w:space="0"/>
              <w:right w:val="single" w:color="auto" w:sz="4" w:space="0"/>
            </w:tcBorders>
            <w:noWrap w:val="0"/>
            <w:vAlign w:val="center"/>
          </w:tcPr>
          <w:p w14:paraId="21D7A07A">
            <w:pPr>
              <w:widowControl/>
              <w:jc w:val="center"/>
              <w:rPr>
                <w:rFonts w:hint="eastAsia" w:ascii="黑体" w:hAnsi="黑体" w:eastAsia="黑体" w:cs="黑体"/>
                <w:color w:val="auto"/>
                <w:kern w:val="0"/>
                <w:sz w:val="24"/>
                <w:szCs w:val="24"/>
                <w:highlight w:val="none"/>
              </w:rPr>
            </w:pPr>
          </w:p>
        </w:tc>
      </w:tr>
      <w:tr w14:paraId="1C5130AC">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5AC3F98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75</w:t>
            </w:r>
          </w:p>
        </w:tc>
        <w:tc>
          <w:tcPr>
            <w:tcW w:w="5978" w:type="dxa"/>
            <w:tcBorders>
              <w:top w:val="nil"/>
              <w:left w:val="nil"/>
              <w:bottom w:val="single" w:color="auto" w:sz="4" w:space="0"/>
              <w:right w:val="single" w:color="auto" w:sz="4" w:space="0"/>
            </w:tcBorders>
            <w:noWrap w:val="0"/>
            <w:vAlign w:val="center"/>
          </w:tcPr>
          <w:p w14:paraId="750371A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赵家弄与余不弄交叉口小公园绿化</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（目前不足150，赵家弄改造完成后，视情况更新）</w:t>
            </w:r>
          </w:p>
        </w:tc>
        <w:tc>
          <w:tcPr>
            <w:tcW w:w="2055" w:type="dxa"/>
            <w:tcBorders>
              <w:top w:val="nil"/>
              <w:left w:val="nil"/>
              <w:bottom w:val="single" w:color="auto" w:sz="4" w:space="0"/>
              <w:right w:val="single" w:color="auto" w:sz="4" w:space="0"/>
            </w:tcBorders>
            <w:noWrap w:val="0"/>
            <w:vAlign w:val="center"/>
          </w:tcPr>
          <w:p w14:paraId="0F12474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150</w:t>
            </w:r>
          </w:p>
        </w:tc>
        <w:tc>
          <w:tcPr>
            <w:tcW w:w="1020" w:type="dxa"/>
            <w:tcBorders>
              <w:top w:val="nil"/>
              <w:left w:val="nil"/>
              <w:bottom w:val="single" w:color="auto" w:sz="4" w:space="0"/>
              <w:right w:val="single" w:color="auto" w:sz="4" w:space="0"/>
            </w:tcBorders>
            <w:noWrap w:val="0"/>
            <w:vAlign w:val="center"/>
          </w:tcPr>
          <w:p w14:paraId="048B1CDA">
            <w:pPr>
              <w:widowControl/>
              <w:jc w:val="center"/>
              <w:rPr>
                <w:rFonts w:hint="eastAsia" w:ascii="黑体" w:hAnsi="黑体" w:eastAsia="黑体" w:cs="黑体"/>
                <w:color w:val="auto"/>
                <w:kern w:val="0"/>
                <w:sz w:val="24"/>
                <w:szCs w:val="24"/>
                <w:highlight w:val="none"/>
              </w:rPr>
            </w:pPr>
          </w:p>
        </w:tc>
      </w:tr>
      <w:tr w14:paraId="5F123E9A">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E72558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76</w:t>
            </w:r>
          </w:p>
        </w:tc>
        <w:tc>
          <w:tcPr>
            <w:tcW w:w="5978" w:type="dxa"/>
            <w:tcBorders>
              <w:top w:val="nil"/>
              <w:left w:val="nil"/>
              <w:bottom w:val="single" w:color="auto" w:sz="4" w:space="0"/>
              <w:right w:val="single" w:color="auto" w:sz="4" w:space="0"/>
            </w:tcBorders>
            <w:noWrap w:val="0"/>
            <w:vAlign w:val="center"/>
          </w:tcPr>
          <w:p w14:paraId="2196AB4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环城西路130号金宇房产周围绿化</w:t>
            </w:r>
          </w:p>
        </w:tc>
        <w:tc>
          <w:tcPr>
            <w:tcW w:w="2055" w:type="dxa"/>
            <w:tcBorders>
              <w:top w:val="nil"/>
              <w:left w:val="nil"/>
              <w:bottom w:val="single" w:color="auto" w:sz="4" w:space="0"/>
              <w:right w:val="single" w:color="auto" w:sz="4" w:space="0"/>
            </w:tcBorders>
            <w:noWrap w:val="0"/>
            <w:vAlign w:val="center"/>
          </w:tcPr>
          <w:p w14:paraId="15183C7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314</w:t>
            </w:r>
          </w:p>
        </w:tc>
        <w:tc>
          <w:tcPr>
            <w:tcW w:w="1020" w:type="dxa"/>
            <w:tcBorders>
              <w:top w:val="nil"/>
              <w:left w:val="nil"/>
              <w:bottom w:val="single" w:color="auto" w:sz="4" w:space="0"/>
              <w:right w:val="single" w:color="auto" w:sz="4" w:space="0"/>
            </w:tcBorders>
            <w:noWrap w:val="0"/>
            <w:vAlign w:val="center"/>
          </w:tcPr>
          <w:p w14:paraId="660E5668">
            <w:pPr>
              <w:widowControl/>
              <w:jc w:val="center"/>
              <w:rPr>
                <w:rFonts w:hint="eastAsia" w:ascii="黑体" w:hAnsi="黑体" w:eastAsia="黑体" w:cs="黑体"/>
                <w:color w:val="auto"/>
                <w:kern w:val="0"/>
                <w:sz w:val="24"/>
                <w:szCs w:val="24"/>
                <w:highlight w:val="none"/>
              </w:rPr>
            </w:pPr>
          </w:p>
        </w:tc>
      </w:tr>
      <w:tr w14:paraId="7F0CC3F1">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DA8779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77</w:t>
            </w:r>
          </w:p>
        </w:tc>
        <w:tc>
          <w:tcPr>
            <w:tcW w:w="5978" w:type="dxa"/>
            <w:tcBorders>
              <w:top w:val="nil"/>
              <w:left w:val="nil"/>
              <w:bottom w:val="single" w:color="auto" w:sz="4" w:space="0"/>
              <w:right w:val="single" w:color="auto" w:sz="4" w:space="0"/>
            </w:tcBorders>
            <w:noWrap w:val="0"/>
            <w:vAlign w:val="center"/>
          </w:tcPr>
          <w:p w14:paraId="381729F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环城西路132号耐火纤维厂前绿化</w:t>
            </w:r>
          </w:p>
        </w:tc>
        <w:tc>
          <w:tcPr>
            <w:tcW w:w="2055" w:type="dxa"/>
            <w:tcBorders>
              <w:top w:val="nil"/>
              <w:left w:val="nil"/>
              <w:bottom w:val="single" w:color="auto" w:sz="4" w:space="0"/>
              <w:right w:val="single" w:color="auto" w:sz="4" w:space="0"/>
            </w:tcBorders>
            <w:noWrap w:val="0"/>
            <w:vAlign w:val="center"/>
          </w:tcPr>
          <w:p w14:paraId="5F65BD3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132</w:t>
            </w:r>
          </w:p>
        </w:tc>
        <w:tc>
          <w:tcPr>
            <w:tcW w:w="1020" w:type="dxa"/>
            <w:tcBorders>
              <w:top w:val="nil"/>
              <w:left w:val="nil"/>
              <w:bottom w:val="single" w:color="auto" w:sz="4" w:space="0"/>
              <w:right w:val="single" w:color="auto" w:sz="4" w:space="0"/>
            </w:tcBorders>
            <w:noWrap w:val="0"/>
            <w:vAlign w:val="center"/>
          </w:tcPr>
          <w:p w14:paraId="2615093F">
            <w:pPr>
              <w:widowControl/>
              <w:jc w:val="center"/>
              <w:rPr>
                <w:rFonts w:hint="eastAsia" w:ascii="黑体" w:hAnsi="黑体" w:eastAsia="黑体" w:cs="黑体"/>
                <w:color w:val="auto"/>
                <w:kern w:val="0"/>
                <w:sz w:val="24"/>
                <w:szCs w:val="24"/>
                <w:highlight w:val="none"/>
              </w:rPr>
            </w:pPr>
          </w:p>
        </w:tc>
      </w:tr>
      <w:tr w14:paraId="4BC7C6FF">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508B0D7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78</w:t>
            </w:r>
          </w:p>
        </w:tc>
        <w:tc>
          <w:tcPr>
            <w:tcW w:w="5978" w:type="dxa"/>
            <w:tcBorders>
              <w:top w:val="nil"/>
              <w:left w:val="nil"/>
              <w:bottom w:val="single" w:color="auto" w:sz="4" w:space="0"/>
              <w:right w:val="single" w:color="auto" w:sz="4" w:space="0"/>
            </w:tcBorders>
            <w:noWrap w:val="0"/>
            <w:vAlign w:val="center"/>
          </w:tcPr>
          <w:p w14:paraId="3A4437E7">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东立花园对面城河花园边绿化</w:t>
            </w:r>
          </w:p>
        </w:tc>
        <w:tc>
          <w:tcPr>
            <w:tcW w:w="2055" w:type="dxa"/>
            <w:tcBorders>
              <w:top w:val="nil"/>
              <w:left w:val="nil"/>
              <w:bottom w:val="single" w:color="auto" w:sz="4" w:space="0"/>
              <w:right w:val="single" w:color="auto" w:sz="4" w:space="0"/>
            </w:tcBorders>
            <w:noWrap w:val="0"/>
            <w:vAlign w:val="center"/>
          </w:tcPr>
          <w:p w14:paraId="441B37C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280</w:t>
            </w:r>
          </w:p>
        </w:tc>
        <w:tc>
          <w:tcPr>
            <w:tcW w:w="1020" w:type="dxa"/>
            <w:tcBorders>
              <w:top w:val="nil"/>
              <w:left w:val="nil"/>
              <w:bottom w:val="single" w:color="auto" w:sz="4" w:space="0"/>
              <w:right w:val="single" w:color="auto" w:sz="4" w:space="0"/>
            </w:tcBorders>
            <w:noWrap w:val="0"/>
            <w:vAlign w:val="center"/>
          </w:tcPr>
          <w:p w14:paraId="2769A58E">
            <w:pPr>
              <w:widowControl/>
              <w:jc w:val="center"/>
              <w:rPr>
                <w:rFonts w:hint="eastAsia" w:ascii="黑体" w:hAnsi="黑体" w:eastAsia="黑体" w:cs="黑体"/>
                <w:color w:val="auto"/>
                <w:kern w:val="0"/>
                <w:sz w:val="24"/>
                <w:szCs w:val="24"/>
                <w:highlight w:val="none"/>
              </w:rPr>
            </w:pPr>
          </w:p>
        </w:tc>
      </w:tr>
      <w:tr w14:paraId="16638DC7">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25B819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79</w:t>
            </w:r>
          </w:p>
        </w:tc>
        <w:tc>
          <w:tcPr>
            <w:tcW w:w="5978" w:type="dxa"/>
            <w:tcBorders>
              <w:top w:val="nil"/>
              <w:left w:val="nil"/>
              <w:bottom w:val="single" w:color="auto" w:sz="4" w:space="0"/>
              <w:right w:val="single" w:color="auto" w:sz="4" w:space="0"/>
            </w:tcBorders>
            <w:noWrap w:val="0"/>
            <w:vAlign w:val="center"/>
          </w:tcPr>
          <w:p w14:paraId="4BC28CA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仓前路沿线（包括浅水湾小区前公园绿化）</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下半年待调整，增至11738㎡</w:t>
            </w:r>
          </w:p>
        </w:tc>
        <w:tc>
          <w:tcPr>
            <w:tcW w:w="2055" w:type="dxa"/>
            <w:tcBorders>
              <w:top w:val="nil"/>
              <w:left w:val="nil"/>
              <w:bottom w:val="single" w:color="auto" w:sz="4" w:space="0"/>
              <w:right w:val="single" w:color="auto" w:sz="4" w:space="0"/>
            </w:tcBorders>
            <w:noWrap w:val="0"/>
            <w:vAlign w:val="center"/>
          </w:tcPr>
          <w:p w14:paraId="68474C5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3912</w:t>
            </w:r>
          </w:p>
        </w:tc>
        <w:tc>
          <w:tcPr>
            <w:tcW w:w="1020" w:type="dxa"/>
            <w:tcBorders>
              <w:top w:val="nil"/>
              <w:left w:val="nil"/>
              <w:bottom w:val="single" w:color="auto" w:sz="4" w:space="0"/>
              <w:right w:val="single" w:color="auto" w:sz="4" w:space="0"/>
            </w:tcBorders>
            <w:noWrap w:val="0"/>
            <w:vAlign w:val="center"/>
          </w:tcPr>
          <w:p w14:paraId="1778BF38">
            <w:pPr>
              <w:widowControl/>
              <w:jc w:val="center"/>
              <w:rPr>
                <w:rFonts w:hint="eastAsia" w:ascii="黑体" w:hAnsi="黑体" w:eastAsia="黑体" w:cs="黑体"/>
                <w:color w:val="auto"/>
                <w:kern w:val="0"/>
                <w:sz w:val="24"/>
                <w:szCs w:val="24"/>
                <w:highlight w:val="none"/>
              </w:rPr>
            </w:pPr>
          </w:p>
        </w:tc>
      </w:tr>
      <w:tr w14:paraId="405325CA">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4AA728E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80</w:t>
            </w:r>
          </w:p>
        </w:tc>
        <w:tc>
          <w:tcPr>
            <w:tcW w:w="5978" w:type="dxa"/>
            <w:tcBorders>
              <w:top w:val="nil"/>
              <w:left w:val="nil"/>
              <w:bottom w:val="single" w:color="auto" w:sz="4" w:space="0"/>
              <w:right w:val="single" w:color="auto" w:sz="4" w:space="0"/>
            </w:tcBorders>
            <w:noWrap w:val="0"/>
            <w:vAlign w:val="center"/>
          </w:tcPr>
          <w:p w14:paraId="4AC0243B">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环城西路116号内</w:t>
            </w:r>
          </w:p>
        </w:tc>
        <w:tc>
          <w:tcPr>
            <w:tcW w:w="2055" w:type="dxa"/>
            <w:tcBorders>
              <w:top w:val="nil"/>
              <w:left w:val="nil"/>
              <w:bottom w:val="single" w:color="auto" w:sz="4" w:space="0"/>
              <w:right w:val="single" w:color="auto" w:sz="4" w:space="0"/>
            </w:tcBorders>
            <w:noWrap w:val="0"/>
            <w:vAlign w:val="center"/>
          </w:tcPr>
          <w:p w14:paraId="14F00E8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30</w:t>
            </w:r>
          </w:p>
        </w:tc>
        <w:tc>
          <w:tcPr>
            <w:tcW w:w="1020" w:type="dxa"/>
            <w:tcBorders>
              <w:top w:val="nil"/>
              <w:left w:val="nil"/>
              <w:bottom w:val="single" w:color="auto" w:sz="4" w:space="0"/>
              <w:right w:val="single" w:color="auto" w:sz="4" w:space="0"/>
            </w:tcBorders>
            <w:noWrap w:val="0"/>
            <w:vAlign w:val="center"/>
          </w:tcPr>
          <w:p w14:paraId="1F959DF9">
            <w:pPr>
              <w:widowControl/>
              <w:jc w:val="center"/>
              <w:rPr>
                <w:rFonts w:hint="eastAsia" w:ascii="黑体" w:hAnsi="黑体" w:eastAsia="黑体" w:cs="黑体"/>
                <w:color w:val="auto"/>
                <w:kern w:val="0"/>
                <w:sz w:val="24"/>
                <w:szCs w:val="24"/>
                <w:highlight w:val="none"/>
              </w:rPr>
            </w:pPr>
          </w:p>
        </w:tc>
      </w:tr>
      <w:tr w14:paraId="714147D3">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518804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81</w:t>
            </w:r>
          </w:p>
        </w:tc>
        <w:tc>
          <w:tcPr>
            <w:tcW w:w="5978" w:type="dxa"/>
            <w:tcBorders>
              <w:top w:val="nil"/>
              <w:left w:val="nil"/>
              <w:bottom w:val="single" w:color="auto" w:sz="4" w:space="0"/>
              <w:right w:val="single" w:color="auto" w:sz="4" w:space="0"/>
            </w:tcBorders>
            <w:noWrap w:val="0"/>
            <w:vAlign w:val="center"/>
          </w:tcPr>
          <w:p w14:paraId="25F13A5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公园路沿线绿化带</w:t>
            </w:r>
          </w:p>
        </w:tc>
        <w:tc>
          <w:tcPr>
            <w:tcW w:w="2055" w:type="dxa"/>
            <w:tcBorders>
              <w:top w:val="nil"/>
              <w:left w:val="nil"/>
              <w:bottom w:val="single" w:color="auto" w:sz="4" w:space="0"/>
              <w:right w:val="single" w:color="auto" w:sz="4" w:space="0"/>
            </w:tcBorders>
            <w:noWrap w:val="0"/>
            <w:vAlign w:val="center"/>
          </w:tcPr>
          <w:p w14:paraId="64A6B50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60</w:t>
            </w:r>
          </w:p>
        </w:tc>
        <w:tc>
          <w:tcPr>
            <w:tcW w:w="1020" w:type="dxa"/>
            <w:tcBorders>
              <w:top w:val="nil"/>
              <w:left w:val="nil"/>
              <w:bottom w:val="single" w:color="auto" w:sz="4" w:space="0"/>
              <w:right w:val="single" w:color="auto" w:sz="4" w:space="0"/>
            </w:tcBorders>
            <w:noWrap w:val="0"/>
            <w:vAlign w:val="center"/>
          </w:tcPr>
          <w:p w14:paraId="6D7195CF">
            <w:pPr>
              <w:widowControl/>
              <w:jc w:val="center"/>
              <w:rPr>
                <w:rFonts w:hint="eastAsia" w:ascii="黑体" w:hAnsi="黑体" w:eastAsia="黑体" w:cs="黑体"/>
                <w:color w:val="auto"/>
                <w:kern w:val="0"/>
                <w:sz w:val="24"/>
                <w:szCs w:val="24"/>
                <w:highlight w:val="none"/>
              </w:rPr>
            </w:pPr>
          </w:p>
        </w:tc>
      </w:tr>
      <w:tr w14:paraId="5703D499">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A4561D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82</w:t>
            </w:r>
          </w:p>
        </w:tc>
        <w:tc>
          <w:tcPr>
            <w:tcW w:w="5978" w:type="dxa"/>
            <w:tcBorders>
              <w:top w:val="nil"/>
              <w:left w:val="nil"/>
              <w:bottom w:val="single" w:color="auto" w:sz="4" w:space="0"/>
              <w:right w:val="single" w:color="auto" w:sz="4" w:space="0"/>
            </w:tcBorders>
            <w:noWrap w:val="0"/>
            <w:vAlign w:val="center"/>
          </w:tcPr>
          <w:p w14:paraId="4F326AE3">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谈家弄18号医院宿舍绿化带（2020年新增）</w:t>
            </w:r>
          </w:p>
        </w:tc>
        <w:tc>
          <w:tcPr>
            <w:tcW w:w="2055" w:type="dxa"/>
            <w:tcBorders>
              <w:top w:val="nil"/>
              <w:left w:val="nil"/>
              <w:bottom w:val="single" w:color="auto" w:sz="4" w:space="0"/>
              <w:right w:val="single" w:color="auto" w:sz="4" w:space="0"/>
            </w:tcBorders>
            <w:noWrap w:val="0"/>
            <w:vAlign w:val="center"/>
          </w:tcPr>
          <w:p w14:paraId="3DA3F95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75</w:t>
            </w:r>
          </w:p>
        </w:tc>
        <w:tc>
          <w:tcPr>
            <w:tcW w:w="1020" w:type="dxa"/>
            <w:tcBorders>
              <w:top w:val="nil"/>
              <w:left w:val="nil"/>
              <w:bottom w:val="single" w:color="auto" w:sz="4" w:space="0"/>
              <w:right w:val="single" w:color="auto" w:sz="4" w:space="0"/>
            </w:tcBorders>
            <w:noWrap w:val="0"/>
            <w:vAlign w:val="center"/>
          </w:tcPr>
          <w:p w14:paraId="38CF0ABA">
            <w:pPr>
              <w:widowControl/>
              <w:jc w:val="center"/>
              <w:rPr>
                <w:rFonts w:hint="eastAsia" w:ascii="黑体" w:hAnsi="黑体" w:eastAsia="黑体" w:cs="黑体"/>
                <w:color w:val="auto"/>
                <w:kern w:val="0"/>
                <w:sz w:val="24"/>
                <w:szCs w:val="24"/>
                <w:highlight w:val="none"/>
              </w:rPr>
            </w:pPr>
          </w:p>
        </w:tc>
      </w:tr>
      <w:tr w14:paraId="1D1BB443">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EC6555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83</w:t>
            </w:r>
          </w:p>
        </w:tc>
        <w:tc>
          <w:tcPr>
            <w:tcW w:w="5978" w:type="dxa"/>
            <w:tcBorders>
              <w:top w:val="nil"/>
              <w:left w:val="nil"/>
              <w:bottom w:val="single" w:color="auto" w:sz="4" w:space="0"/>
              <w:right w:val="single" w:color="auto" w:sz="4" w:space="0"/>
            </w:tcBorders>
            <w:noWrap w:val="0"/>
            <w:vAlign w:val="center"/>
          </w:tcPr>
          <w:p w14:paraId="2ACD6AFF">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谈家弄小公园（2020年新增）</w:t>
            </w:r>
          </w:p>
        </w:tc>
        <w:tc>
          <w:tcPr>
            <w:tcW w:w="2055" w:type="dxa"/>
            <w:tcBorders>
              <w:top w:val="nil"/>
              <w:left w:val="nil"/>
              <w:bottom w:val="single" w:color="auto" w:sz="4" w:space="0"/>
              <w:right w:val="single" w:color="auto" w:sz="4" w:space="0"/>
            </w:tcBorders>
            <w:noWrap w:val="0"/>
            <w:vAlign w:val="center"/>
          </w:tcPr>
          <w:p w14:paraId="6F920DA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300</w:t>
            </w:r>
          </w:p>
        </w:tc>
        <w:tc>
          <w:tcPr>
            <w:tcW w:w="1020" w:type="dxa"/>
            <w:tcBorders>
              <w:top w:val="nil"/>
              <w:left w:val="nil"/>
              <w:bottom w:val="single" w:color="auto" w:sz="4" w:space="0"/>
              <w:right w:val="single" w:color="auto" w:sz="4" w:space="0"/>
            </w:tcBorders>
            <w:noWrap w:val="0"/>
            <w:vAlign w:val="center"/>
          </w:tcPr>
          <w:p w14:paraId="0F0A5E0F">
            <w:pPr>
              <w:widowControl/>
              <w:jc w:val="center"/>
              <w:rPr>
                <w:rFonts w:hint="eastAsia" w:ascii="黑体" w:hAnsi="黑体" w:eastAsia="黑体" w:cs="黑体"/>
                <w:color w:val="auto"/>
                <w:kern w:val="0"/>
                <w:sz w:val="24"/>
                <w:szCs w:val="24"/>
                <w:highlight w:val="none"/>
              </w:rPr>
            </w:pPr>
          </w:p>
        </w:tc>
      </w:tr>
      <w:tr w14:paraId="096E2A11">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5B13815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84</w:t>
            </w:r>
          </w:p>
        </w:tc>
        <w:tc>
          <w:tcPr>
            <w:tcW w:w="5978" w:type="dxa"/>
            <w:tcBorders>
              <w:top w:val="nil"/>
              <w:left w:val="nil"/>
              <w:bottom w:val="single" w:color="auto" w:sz="4" w:space="0"/>
              <w:right w:val="single" w:color="auto" w:sz="4" w:space="0"/>
            </w:tcBorders>
            <w:noWrap w:val="0"/>
            <w:vAlign w:val="center"/>
          </w:tcPr>
          <w:p w14:paraId="2DF829C2">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西门城桥西绿化带（2020年新增）</w:t>
            </w:r>
          </w:p>
        </w:tc>
        <w:tc>
          <w:tcPr>
            <w:tcW w:w="2055" w:type="dxa"/>
            <w:tcBorders>
              <w:top w:val="nil"/>
              <w:left w:val="nil"/>
              <w:bottom w:val="single" w:color="auto" w:sz="4" w:space="0"/>
              <w:right w:val="single" w:color="auto" w:sz="4" w:space="0"/>
            </w:tcBorders>
            <w:noWrap w:val="0"/>
            <w:vAlign w:val="center"/>
          </w:tcPr>
          <w:p w14:paraId="15A7833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135</w:t>
            </w:r>
          </w:p>
        </w:tc>
        <w:tc>
          <w:tcPr>
            <w:tcW w:w="1020" w:type="dxa"/>
            <w:tcBorders>
              <w:top w:val="nil"/>
              <w:left w:val="nil"/>
              <w:bottom w:val="single" w:color="auto" w:sz="4" w:space="0"/>
              <w:right w:val="single" w:color="auto" w:sz="4" w:space="0"/>
            </w:tcBorders>
            <w:noWrap w:val="0"/>
            <w:vAlign w:val="center"/>
          </w:tcPr>
          <w:p w14:paraId="356847F9">
            <w:pPr>
              <w:widowControl/>
              <w:jc w:val="center"/>
              <w:rPr>
                <w:rFonts w:hint="eastAsia" w:ascii="黑体" w:hAnsi="黑体" w:eastAsia="黑体" w:cs="黑体"/>
                <w:color w:val="auto"/>
                <w:kern w:val="0"/>
                <w:sz w:val="24"/>
                <w:szCs w:val="24"/>
                <w:highlight w:val="none"/>
              </w:rPr>
            </w:pPr>
          </w:p>
        </w:tc>
      </w:tr>
      <w:tr w14:paraId="25D4C0B8">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4679DA6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85</w:t>
            </w:r>
          </w:p>
        </w:tc>
        <w:tc>
          <w:tcPr>
            <w:tcW w:w="5978" w:type="dxa"/>
            <w:tcBorders>
              <w:top w:val="nil"/>
              <w:left w:val="nil"/>
              <w:bottom w:val="single" w:color="auto" w:sz="4" w:space="0"/>
              <w:right w:val="single" w:color="auto" w:sz="4" w:space="0"/>
            </w:tcBorders>
            <w:noWrap w:val="0"/>
            <w:vAlign w:val="center"/>
          </w:tcPr>
          <w:p w14:paraId="03FFC169">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张仙弄沿线绿化带（2020年新增）</w:t>
            </w:r>
          </w:p>
        </w:tc>
        <w:tc>
          <w:tcPr>
            <w:tcW w:w="2055" w:type="dxa"/>
            <w:tcBorders>
              <w:top w:val="nil"/>
              <w:left w:val="nil"/>
              <w:bottom w:val="single" w:color="auto" w:sz="4" w:space="0"/>
              <w:right w:val="single" w:color="auto" w:sz="4" w:space="0"/>
            </w:tcBorders>
            <w:noWrap w:val="0"/>
            <w:vAlign w:val="center"/>
          </w:tcPr>
          <w:p w14:paraId="00EEBF0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200</w:t>
            </w:r>
          </w:p>
        </w:tc>
        <w:tc>
          <w:tcPr>
            <w:tcW w:w="1020" w:type="dxa"/>
            <w:tcBorders>
              <w:top w:val="nil"/>
              <w:left w:val="nil"/>
              <w:bottom w:val="single" w:color="auto" w:sz="4" w:space="0"/>
              <w:right w:val="single" w:color="auto" w:sz="4" w:space="0"/>
            </w:tcBorders>
            <w:noWrap w:val="0"/>
            <w:vAlign w:val="center"/>
          </w:tcPr>
          <w:p w14:paraId="62E5B32A">
            <w:pPr>
              <w:widowControl/>
              <w:jc w:val="center"/>
              <w:rPr>
                <w:rFonts w:hint="eastAsia" w:ascii="黑体" w:hAnsi="黑体" w:eastAsia="黑体" w:cs="黑体"/>
                <w:color w:val="auto"/>
                <w:kern w:val="0"/>
                <w:sz w:val="24"/>
                <w:szCs w:val="24"/>
                <w:highlight w:val="none"/>
              </w:rPr>
            </w:pPr>
          </w:p>
        </w:tc>
      </w:tr>
      <w:tr w14:paraId="034FE307">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D4C1DA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86</w:t>
            </w:r>
          </w:p>
        </w:tc>
        <w:tc>
          <w:tcPr>
            <w:tcW w:w="5978" w:type="dxa"/>
            <w:tcBorders>
              <w:top w:val="nil"/>
              <w:left w:val="nil"/>
              <w:bottom w:val="single" w:color="auto" w:sz="4" w:space="0"/>
              <w:right w:val="single" w:color="auto" w:sz="4" w:space="0"/>
            </w:tcBorders>
            <w:noWrap w:val="0"/>
            <w:vAlign w:val="center"/>
          </w:tcPr>
          <w:p w14:paraId="3E1759C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丁家弄101号前绿化（2020年新增）</w:t>
            </w:r>
          </w:p>
        </w:tc>
        <w:tc>
          <w:tcPr>
            <w:tcW w:w="2055" w:type="dxa"/>
            <w:tcBorders>
              <w:top w:val="nil"/>
              <w:left w:val="nil"/>
              <w:bottom w:val="single" w:color="auto" w:sz="4" w:space="0"/>
              <w:right w:val="single" w:color="auto" w:sz="4" w:space="0"/>
            </w:tcBorders>
            <w:noWrap w:val="0"/>
            <w:vAlign w:val="center"/>
          </w:tcPr>
          <w:p w14:paraId="0148FA68">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w:t>
            </w:r>
          </w:p>
        </w:tc>
        <w:tc>
          <w:tcPr>
            <w:tcW w:w="1020" w:type="dxa"/>
            <w:tcBorders>
              <w:top w:val="nil"/>
              <w:left w:val="nil"/>
              <w:bottom w:val="single" w:color="auto" w:sz="4" w:space="0"/>
              <w:right w:val="single" w:color="auto" w:sz="4" w:space="0"/>
            </w:tcBorders>
            <w:noWrap w:val="0"/>
            <w:vAlign w:val="center"/>
          </w:tcPr>
          <w:p w14:paraId="6034E566">
            <w:pPr>
              <w:widowControl/>
              <w:jc w:val="center"/>
              <w:rPr>
                <w:rFonts w:hint="eastAsia" w:ascii="黑体" w:hAnsi="黑体" w:eastAsia="黑体" w:cs="黑体"/>
                <w:color w:val="auto"/>
                <w:kern w:val="0"/>
                <w:sz w:val="24"/>
                <w:szCs w:val="24"/>
                <w:highlight w:val="none"/>
              </w:rPr>
            </w:pPr>
          </w:p>
        </w:tc>
      </w:tr>
      <w:tr w14:paraId="00FA5FBD">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484F4B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87</w:t>
            </w:r>
          </w:p>
        </w:tc>
        <w:tc>
          <w:tcPr>
            <w:tcW w:w="5978" w:type="dxa"/>
            <w:tcBorders>
              <w:top w:val="nil"/>
              <w:left w:val="nil"/>
              <w:bottom w:val="single" w:color="auto" w:sz="4" w:space="0"/>
              <w:right w:val="single" w:color="auto" w:sz="4" w:space="0"/>
            </w:tcBorders>
            <w:noWrap w:val="0"/>
            <w:vAlign w:val="center"/>
          </w:tcPr>
          <w:p w14:paraId="2CCB92BA">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直街社区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丁家横弄绿化节点（2020年新增）</w:t>
            </w:r>
          </w:p>
        </w:tc>
        <w:tc>
          <w:tcPr>
            <w:tcW w:w="2055" w:type="dxa"/>
            <w:tcBorders>
              <w:top w:val="nil"/>
              <w:left w:val="nil"/>
              <w:bottom w:val="single" w:color="auto" w:sz="4" w:space="0"/>
              <w:right w:val="single" w:color="auto" w:sz="4" w:space="0"/>
            </w:tcBorders>
            <w:noWrap w:val="0"/>
            <w:vAlign w:val="center"/>
          </w:tcPr>
          <w:p w14:paraId="0A97DBD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20</w:t>
            </w:r>
          </w:p>
        </w:tc>
        <w:tc>
          <w:tcPr>
            <w:tcW w:w="1020" w:type="dxa"/>
            <w:tcBorders>
              <w:top w:val="nil"/>
              <w:left w:val="nil"/>
              <w:bottom w:val="single" w:color="auto" w:sz="4" w:space="0"/>
              <w:right w:val="single" w:color="auto" w:sz="4" w:space="0"/>
            </w:tcBorders>
            <w:noWrap w:val="0"/>
            <w:vAlign w:val="center"/>
          </w:tcPr>
          <w:p w14:paraId="2B876B6C">
            <w:pPr>
              <w:widowControl/>
              <w:jc w:val="center"/>
              <w:rPr>
                <w:rFonts w:hint="eastAsia" w:ascii="黑体" w:hAnsi="黑体" w:eastAsia="黑体" w:cs="黑体"/>
                <w:color w:val="auto"/>
                <w:kern w:val="0"/>
                <w:sz w:val="24"/>
                <w:szCs w:val="24"/>
                <w:highlight w:val="none"/>
              </w:rPr>
            </w:pPr>
          </w:p>
        </w:tc>
      </w:tr>
      <w:tr w14:paraId="5FDCEC7F">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90A8C8E">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88</w:t>
            </w:r>
          </w:p>
        </w:tc>
        <w:tc>
          <w:tcPr>
            <w:tcW w:w="5978" w:type="dxa"/>
            <w:tcBorders>
              <w:top w:val="nil"/>
              <w:left w:val="nil"/>
              <w:bottom w:val="single" w:color="auto" w:sz="4" w:space="0"/>
              <w:right w:val="single" w:color="auto" w:sz="4" w:space="0"/>
            </w:tcBorders>
            <w:noWrap w:val="0"/>
            <w:vAlign w:val="center"/>
          </w:tcPr>
          <w:p w14:paraId="174A0821">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焦山弄及周边（溪东街）</w:t>
            </w:r>
          </w:p>
        </w:tc>
        <w:tc>
          <w:tcPr>
            <w:tcW w:w="2055" w:type="dxa"/>
            <w:tcBorders>
              <w:top w:val="nil"/>
              <w:left w:val="nil"/>
              <w:bottom w:val="single" w:color="auto" w:sz="4" w:space="0"/>
              <w:right w:val="single" w:color="auto" w:sz="4" w:space="0"/>
            </w:tcBorders>
            <w:noWrap w:val="0"/>
            <w:vAlign w:val="center"/>
          </w:tcPr>
          <w:p w14:paraId="5754808F">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965</w:t>
            </w:r>
          </w:p>
        </w:tc>
        <w:tc>
          <w:tcPr>
            <w:tcW w:w="1020" w:type="dxa"/>
            <w:tcBorders>
              <w:top w:val="nil"/>
              <w:left w:val="nil"/>
              <w:bottom w:val="single" w:color="auto" w:sz="4" w:space="0"/>
              <w:right w:val="single" w:color="auto" w:sz="4" w:space="0"/>
            </w:tcBorders>
            <w:noWrap w:val="0"/>
            <w:vAlign w:val="center"/>
          </w:tcPr>
          <w:p w14:paraId="437CD9D0">
            <w:pPr>
              <w:widowControl/>
              <w:jc w:val="center"/>
              <w:rPr>
                <w:rFonts w:hint="eastAsia" w:ascii="黑体" w:hAnsi="黑体" w:eastAsia="黑体" w:cs="黑体"/>
                <w:color w:val="auto"/>
                <w:kern w:val="0"/>
                <w:sz w:val="24"/>
                <w:szCs w:val="24"/>
                <w:highlight w:val="none"/>
              </w:rPr>
            </w:pPr>
          </w:p>
        </w:tc>
      </w:tr>
      <w:tr w14:paraId="67FDB55D">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DDC25A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89</w:t>
            </w:r>
          </w:p>
        </w:tc>
        <w:tc>
          <w:tcPr>
            <w:tcW w:w="5978" w:type="dxa"/>
            <w:tcBorders>
              <w:top w:val="nil"/>
              <w:left w:val="nil"/>
              <w:bottom w:val="single" w:color="auto" w:sz="4" w:space="0"/>
              <w:right w:val="single" w:color="auto" w:sz="4" w:space="0"/>
            </w:tcBorders>
            <w:noWrap w:val="0"/>
            <w:vAlign w:val="center"/>
          </w:tcPr>
          <w:p w14:paraId="5BAED566">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吴羌山一弄、二弄上山绿化带</w:t>
            </w:r>
          </w:p>
        </w:tc>
        <w:tc>
          <w:tcPr>
            <w:tcW w:w="2055" w:type="dxa"/>
            <w:tcBorders>
              <w:top w:val="nil"/>
              <w:left w:val="nil"/>
              <w:bottom w:val="single" w:color="auto" w:sz="4" w:space="0"/>
              <w:right w:val="single" w:color="auto" w:sz="4" w:space="0"/>
            </w:tcBorders>
            <w:noWrap w:val="0"/>
            <w:vAlign w:val="center"/>
          </w:tcPr>
          <w:p w14:paraId="6681637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130</w:t>
            </w:r>
          </w:p>
        </w:tc>
        <w:tc>
          <w:tcPr>
            <w:tcW w:w="1020" w:type="dxa"/>
            <w:tcBorders>
              <w:top w:val="nil"/>
              <w:left w:val="nil"/>
              <w:bottom w:val="single" w:color="auto" w:sz="4" w:space="0"/>
              <w:right w:val="single" w:color="auto" w:sz="4" w:space="0"/>
            </w:tcBorders>
            <w:noWrap w:val="0"/>
            <w:vAlign w:val="center"/>
          </w:tcPr>
          <w:p w14:paraId="54FC28CA">
            <w:pPr>
              <w:widowControl/>
              <w:jc w:val="center"/>
              <w:rPr>
                <w:rFonts w:hint="eastAsia" w:ascii="黑体" w:hAnsi="黑体" w:eastAsia="黑体" w:cs="黑体"/>
                <w:color w:val="auto"/>
                <w:kern w:val="0"/>
                <w:sz w:val="24"/>
                <w:szCs w:val="24"/>
                <w:highlight w:val="none"/>
              </w:rPr>
            </w:pPr>
          </w:p>
        </w:tc>
      </w:tr>
      <w:tr w14:paraId="4D9933A4">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3D3AE8C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90</w:t>
            </w:r>
          </w:p>
        </w:tc>
        <w:tc>
          <w:tcPr>
            <w:tcW w:w="5978" w:type="dxa"/>
            <w:tcBorders>
              <w:top w:val="nil"/>
              <w:left w:val="nil"/>
              <w:bottom w:val="single" w:color="auto" w:sz="4" w:space="0"/>
              <w:right w:val="single" w:color="auto" w:sz="4" w:space="0"/>
            </w:tcBorders>
            <w:noWrap w:val="0"/>
            <w:vAlign w:val="center"/>
          </w:tcPr>
          <w:p w14:paraId="038A8190">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乾元路路边花坛及绿化带</w:t>
            </w:r>
          </w:p>
        </w:tc>
        <w:tc>
          <w:tcPr>
            <w:tcW w:w="2055" w:type="dxa"/>
            <w:tcBorders>
              <w:top w:val="nil"/>
              <w:left w:val="nil"/>
              <w:bottom w:val="single" w:color="auto" w:sz="4" w:space="0"/>
              <w:right w:val="single" w:color="auto" w:sz="4" w:space="0"/>
            </w:tcBorders>
            <w:noWrap w:val="0"/>
            <w:vAlign w:val="center"/>
          </w:tcPr>
          <w:p w14:paraId="33BB663B">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80</w:t>
            </w:r>
          </w:p>
        </w:tc>
        <w:tc>
          <w:tcPr>
            <w:tcW w:w="1020" w:type="dxa"/>
            <w:tcBorders>
              <w:top w:val="nil"/>
              <w:left w:val="nil"/>
              <w:bottom w:val="single" w:color="auto" w:sz="4" w:space="0"/>
              <w:right w:val="single" w:color="auto" w:sz="4" w:space="0"/>
            </w:tcBorders>
            <w:noWrap w:val="0"/>
            <w:vAlign w:val="center"/>
          </w:tcPr>
          <w:p w14:paraId="1C24EDC0">
            <w:pPr>
              <w:widowControl/>
              <w:jc w:val="center"/>
              <w:rPr>
                <w:rFonts w:hint="eastAsia" w:ascii="黑体" w:hAnsi="黑体" w:eastAsia="黑体" w:cs="黑体"/>
                <w:color w:val="auto"/>
                <w:kern w:val="0"/>
                <w:sz w:val="24"/>
                <w:szCs w:val="24"/>
                <w:highlight w:val="none"/>
              </w:rPr>
            </w:pPr>
          </w:p>
        </w:tc>
      </w:tr>
      <w:tr w14:paraId="6BEF305F">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51BC56A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91</w:t>
            </w:r>
          </w:p>
        </w:tc>
        <w:tc>
          <w:tcPr>
            <w:tcW w:w="5978" w:type="dxa"/>
            <w:tcBorders>
              <w:top w:val="nil"/>
              <w:left w:val="nil"/>
              <w:bottom w:val="single" w:color="auto" w:sz="4" w:space="0"/>
              <w:right w:val="single" w:color="auto" w:sz="4" w:space="0"/>
            </w:tcBorders>
            <w:noWrap w:val="0"/>
            <w:vAlign w:val="center"/>
          </w:tcPr>
          <w:p w14:paraId="65C4FC07">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龙栖庭院小区外绿化带</w:t>
            </w:r>
          </w:p>
        </w:tc>
        <w:tc>
          <w:tcPr>
            <w:tcW w:w="2055" w:type="dxa"/>
            <w:tcBorders>
              <w:top w:val="nil"/>
              <w:left w:val="nil"/>
              <w:bottom w:val="single" w:color="auto" w:sz="4" w:space="0"/>
              <w:right w:val="single" w:color="auto" w:sz="4" w:space="0"/>
            </w:tcBorders>
            <w:noWrap w:val="0"/>
            <w:vAlign w:val="center"/>
          </w:tcPr>
          <w:p w14:paraId="457A402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151</w:t>
            </w:r>
          </w:p>
        </w:tc>
        <w:tc>
          <w:tcPr>
            <w:tcW w:w="1020" w:type="dxa"/>
            <w:tcBorders>
              <w:top w:val="nil"/>
              <w:left w:val="nil"/>
              <w:bottom w:val="single" w:color="auto" w:sz="4" w:space="0"/>
              <w:right w:val="single" w:color="auto" w:sz="4" w:space="0"/>
            </w:tcBorders>
            <w:noWrap w:val="0"/>
            <w:vAlign w:val="center"/>
          </w:tcPr>
          <w:p w14:paraId="4743AAD4">
            <w:pPr>
              <w:widowControl/>
              <w:jc w:val="center"/>
              <w:rPr>
                <w:rFonts w:hint="eastAsia" w:ascii="黑体" w:hAnsi="黑体" w:eastAsia="黑体" w:cs="黑体"/>
                <w:color w:val="auto"/>
                <w:kern w:val="0"/>
                <w:sz w:val="24"/>
                <w:szCs w:val="24"/>
                <w:highlight w:val="none"/>
              </w:rPr>
            </w:pPr>
          </w:p>
        </w:tc>
      </w:tr>
      <w:tr w14:paraId="4349ABF7">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00335D2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92</w:t>
            </w:r>
          </w:p>
        </w:tc>
        <w:tc>
          <w:tcPr>
            <w:tcW w:w="5978" w:type="dxa"/>
            <w:tcBorders>
              <w:top w:val="nil"/>
              <w:left w:val="nil"/>
              <w:bottom w:val="single" w:color="auto" w:sz="4" w:space="0"/>
              <w:right w:val="single" w:color="auto" w:sz="4" w:space="0"/>
            </w:tcBorders>
            <w:noWrap w:val="0"/>
            <w:vAlign w:val="center"/>
          </w:tcPr>
          <w:p w14:paraId="678A594A">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庵前面河边绿化</w:t>
            </w:r>
          </w:p>
        </w:tc>
        <w:tc>
          <w:tcPr>
            <w:tcW w:w="2055" w:type="dxa"/>
            <w:tcBorders>
              <w:top w:val="nil"/>
              <w:left w:val="nil"/>
              <w:bottom w:val="single" w:color="auto" w:sz="4" w:space="0"/>
              <w:right w:val="single" w:color="auto" w:sz="4" w:space="0"/>
            </w:tcBorders>
            <w:noWrap w:val="0"/>
            <w:vAlign w:val="center"/>
          </w:tcPr>
          <w:p w14:paraId="5C495BD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3862</w:t>
            </w:r>
          </w:p>
        </w:tc>
        <w:tc>
          <w:tcPr>
            <w:tcW w:w="1020" w:type="dxa"/>
            <w:tcBorders>
              <w:top w:val="nil"/>
              <w:left w:val="nil"/>
              <w:bottom w:val="single" w:color="auto" w:sz="4" w:space="0"/>
              <w:right w:val="single" w:color="auto" w:sz="4" w:space="0"/>
            </w:tcBorders>
            <w:noWrap w:val="0"/>
            <w:vAlign w:val="center"/>
          </w:tcPr>
          <w:p w14:paraId="5A439CDC">
            <w:pPr>
              <w:widowControl/>
              <w:jc w:val="center"/>
              <w:rPr>
                <w:rFonts w:hint="eastAsia" w:ascii="黑体" w:hAnsi="黑体" w:eastAsia="黑体" w:cs="黑体"/>
                <w:color w:val="auto"/>
                <w:kern w:val="0"/>
                <w:sz w:val="24"/>
                <w:szCs w:val="24"/>
                <w:highlight w:val="none"/>
              </w:rPr>
            </w:pPr>
          </w:p>
        </w:tc>
      </w:tr>
      <w:tr w14:paraId="0942904D">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F90A0B4">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93</w:t>
            </w:r>
          </w:p>
        </w:tc>
        <w:tc>
          <w:tcPr>
            <w:tcW w:w="5978" w:type="dxa"/>
            <w:tcBorders>
              <w:top w:val="nil"/>
              <w:left w:val="nil"/>
              <w:bottom w:val="single" w:color="auto" w:sz="4" w:space="0"/>
              <w:right w:val="single" w:color="auto" w:sz="4" w:space="0"/>
            </w:tcBorders>
            <w:noWrap w:val="0"/>
            <w:vAlign w:val="center"/>
          </w:tcPr>
          <w:p w14:paraId="65B86695">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溪街社区内绿化</w:t>
            </w:r>
          </w:p>
        </w:tc>
        <w:tc>
          <w:tcPr>
            <w:tcW w:w="2055" w:type="dxa"/>
            <w:tcBorders>
              <w:top w:val="nil"/>
              <w:left w:val="nil"/>
              <w:bottom w:val="single" w:color="auto" w:sz="4" w:space="0"/>
              <w:right w:val="single" w:color="auto" w:sz="4" w:space="0"/>
            </w:tcBorders>
            <w:noWrap w:val="0"/>
            <w:vAlign w:val="center"/>
          </w:tcPr>
          <w:p w14:paraId="28DEE92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220</w:t>
            </w:r>
          </w:p>
        </w:tc>
        <w:tc>
          <w:tcPr>
            <w:tcW w:w="1020" w:type="dxa"/>
            <w:tcBorders>
              <w:top w:val="nil"/>
              <w:left w:val="nil"/>
              <w:bottom w:val="single" w:color="auto" w:sz="4" w:space="0"/>
              <w:right w:val="single" w:color="auto" w:sz="4" w:space="0"/>
            </w:tcBorders>
            <w:noWrap w:val="0"/>
            <w:vAlign w:val="center"/>
          </w:tcPr>
          <w:p w14:paraId="059DBD8C">
            <w:pPr>
              <w:widowControl/>
              <w:jc w:val="center"/>
              <w:rPr>
                <w:rFonts w:hint="eastAsia" w:ascii="黑体" w:hAnsi="黑体" w:eastAsia="黑体" w:cs="黑体"/>
                <w:color w:val="auto"/>
                <w:kern w:val="0"/>
                <w:sz w:val="24"/>
                <w:szCs w:val="24"/>
                <w:highlight w:val="none"/>
              </w:rPr>
            </w:pPr>
          </w:p>
        </w:tc>
      </w:tr>
      <w:tr w14:paraId="454C31FE">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67AECA4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94</w:t>
            </w:r>
          </w:p>
        </w:tc>
        <w:tc>
          <w:tcPr>
            <w:tcW w:w="5978" w:type="dxa"/>
            <w:tcBorders>
              <w:top w:val="nil"/>
              <w:left w:val="nil"/>
              <w:bottom w:val="single" w:color="auto" w:sz="4" w:space="0"/>
              <w:right w:val="single" w:color="auto" w:sz="4" w:space="0"/>
            </w:tcBorders>
            <w:noWrap w:val="0"/>
            <w:vAlign w:val="center"/>
          </w:tcPr>
          <w:p w14:paraId="19B8B257">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丁山坝地段</w:t>
            </w:r>
          </w:p>
        </w:tc>
        <w:tc>
          <w:tcPr>
            <w:tcW w:w="2055" w:type="dxa"/>
            <w:tcBorders>
              <w:top w:val="nil"/>
              <w:left w:val="nil"/>
              <w:bottom w:val="single" w:color="auto" w:sz="4" w:space="0"/>
              <w:right w:val="single" w:color="auto" w:sz="4" w:space="0"/>
            </w:tcBorders>
            <w:noWrap w:val="0"/>
            <w:vAlign w:val="center"/>
          </w:tcPr>
          <w:p w14:paraId="1F6B98DD">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180</w:t>
            </w:r>
          </w:p>
        </w:tc>
        <w:tc>
          <w:tcPr>
            <w:tcW w:w="1020" w:type="dxa"/>
            <w:tcBorders>
              <w:top w:val="nil"/>
              <w:left w:val="nil"/>
              <w:bottom w:val="single" w:color="auto" w:sz="4" w:space="0"/>
              <w:right w:val="single" w:color="auto" w:sz="4" w:space="0"/>
            </w:tcBorders>
            <w:noWrap w:val="0"/>
            <w:vAlign w:val="center"/>
          </w:tcPr>
          <w:p w14:paraId="448B53F6">
            <w:pPr>
              <w:widowControl/>
              <w:jc w:val="center"/>
              <w:rPr>
                <w:rFonts w:hint="eastAsia" w:ascii="黑体" w:hAnsi="黑体" w:eastAsia="黑体" w:cs="黑体"/>
                <w:color w:val="auto"/>
                <w:kern w:val="0"/>
                <w:sz w:val="24"/>
                <w:szCs w:val="24"/>
                <w:highlight w:val="none"/>
              </w:rPr>
            </w:pPr>
          </w:p>
        </w:tc>
      </w:tr>
      <w:tr w14:paraId="2C1C1571">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05EA87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95</w:t>
            </w:r>
          </w:p>
        </w:tc>
        <w:tc>
          <w:tcPr>
            <w:tcW w:w="5978" w:type="dxa"/>
            <w:tcBorders>
              <w:top w:val="nil"/>
              <w:left w:val="nil"/>
              <w:bottom w:val="single" w:color="auto" w:sz="4" w:space="0"/>
              <w:right w:val="single" w:color="auto" w:sz="4" w:space="0"/>
            </w:tcBorders>
            <w:noWrap w:val="0"/>
            <w:vAlign w:val="center"/>
          </w:tcPr>
          <w:p w14:paraId="1EC9E90D">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金湾坝河</w:t>
            </w:r>
          </w:p>
        </w:tc>
        <w:tc>
          <w:tcPr>
            <w:tcW w:w="2055" w:type="dxa"/>
            <w:tcBorders>
              <w:top w:val="nil"/>
              <w:left w:val="nil"/>
              <w:bottom w:val="single" w:color="auto" w:sz="4" w:space="0"/>
              <w:right w:val="single" w:color="auto" w:sz="4" w:space="0"/>
            </w:tcBorders>
            <w:noWrap w:val="0"/>
            <w:vAlign w:val="center"/>
          </w:tcPr>
          <w:p w14:paraId="539D1D17">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1800</w:t>
            </w:r>
          </w:p>
        </w:tc>
        <w:tc>
          <w:tcPr>
            <w:tcW w:w="1020" w:type="dxa"/>
            <w:tcBorders>
              <w:top w:val="nil"/>
              <w:left w:val="nil"/>
              <w:bottom w:val="single" w:color="auto" w:sz="4" w:space="0"/>
              <w:right w:val="single" w:color="auto" w:sz="4" w:space="0"/>
            </w:tcBorders>
            <w:noWrap w:val="0"/>
            <w:vAlign w:val="center"/>
          </w:tcPr>
          <w:p w14:paraId="3C485CE7">
            <w:pPr>
              <w:widowControl/>
              <w:jc w:val="center"/>
              <w:rPr>
                <w:rFonts w:hint="eastAsia" w:ascii="黑体" w:hAnsi="黑体" w:eastAsia="黑体" w:cs="黑体"/>
                <w:color w:val="auto"/>
                <w:kern w:val="0"/>
                <w:sz w:val="24"/>
                <w:szCs w:val="24"/>
                <w:highlight w:val="none"/>
              </w:rPr>
            </w:pPr>
          </w:p>
        </w:tc>
      </w:tr>
      <w:tr w14:paraId="7DFEAF4C">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D78093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96</w:t>
            </w:r>
          </w:p>
        </w:tc>
        <w:tc>
          <w:tcPr>
            <w:tcW w:w="5978" w:type="dxa"/>
            <w:tcBorders>
              <w:top w:val="nil"/>
              <w:left w:val="nil"/>
              <w:bottom w:val="single" w:color="auto" w:sz="4" w:space="0"/>
              <w:right w:val="single" w:color="auto" w:sz="4" w:space="0"/>
            </w:tcBorders>
            <w:noWrap w:val="0"/>
            <w:vAlign w:val="center"/>
          </w:tcPr>
          <w:p w14:paraId="6C963B1C">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冯介桥地段</w:t>
            </w:r>
          </w:p>
        </w:tc>
        <w:tc>
          <w:tcPr>
            <w:tcW w:w="2055" w:type="dxa"/>
            <w:tcBorders>
              <w:top w:val="nil"/>
              <w:left w:val="nil"/>
              <w:bottom w:val="single" w:color="auto" w:sz="4" w:space="0"/>
              <w:right w:val="single" w:color="auto" w:sz="4" w:space="0"/>
            </w:tcBorders>
            <w:noWrap w:val="0"/>
            <w:vAlign w:val="center"/>
          </w:tcPr>
          <w:p w14:paraId="2A56EF5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280</w:t>
            </w:r>
          </w:p>
        </w:tc>
        <w:tc>
          <w:tcPr>
            <w:tcW w:w="1020" w:type="dxa"/>
            <w:tcBorders>
              <w:top w:val="nil"/>
              <w:left w:val="nil"/>
              <w:bottom w:val="single" w:color="auto" w:sz="4" w:space="0"/>
              <w:right w:val="single" w:color="auto" w:sz="4" w:space="0"/>
            </w:tcBorders>
            <w:noWrap w:val="0"/>
            <w:vAlign w:val="center"/>
          </w:tcPr>
          <w:p w14:paraId="7B1E5F1A">
            <w:pPr>
              <w:widowControl/>
              <w:jc w:val="center"/>
              <w:rPr>
                <w:rFonts w:hint="eastAsia" w:ascii="黑体" w:hAnsi="黑体" w:eastAsia="黑体" w:cs="黑体"/>
                <w:color w:val="auto"/>
                <w:kern w:val="0"/>
                <w:sz w:val="24"/>
                <w:szCs w:val="24"/>
                <w:highlight w:val="none"/>
              </w:rPr>
            </w:pPr>
          </w:p>
        </w:tc>
      </w:tr>
      <w:tr w14:paraId="4EA5493A">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06C71B09">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97</w:t>
            </w:r>
          </w:p>
        </w:tc>
        <w:tc>
          <w:tcPr>
            <w:tcW w:w="5978" w:type="dxa"/>
            <w:tcBorders>
              <w:top w:val="nil"/>
              <w:left w:val="nil"/>
              <w:bottom w:val="single" w:color="auto" w:sz="4" w:space="0"/>
              <w:right w:val="single" w:color="auto" w:sz="4" w:space="0"/>
            </w:tcBorders>
            <w:noWrap w:val="0"/>
            <w:vAlign w:val="center"/>
          </w:tcPr>
          <w:p w14:paraId="6592C538">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丁山横路（二弄）</w:t>
            </w:r>
          </w:p>
        </w:tc>
        <w:tc>
          <w:tcPr>
            <w:tcW w:w="2055" w:type="dxa"/>
            <w:tcBorders>
              <w:top w:val="nil"/>
              <w:left w:val="nil"/>
              <w:bottom w:val="single" w:color="auto" w:sz="4" w:space="0"/>
              <w:right w:val="single" w:color="auto" w:sz="4" w:space="0"/>
            </w:tcBorders>
            <w:noWrap w:val="0"/>
            <w:vAlign w:val="center"/>
          </w:tcPr>
          <w:p w14:paraId="09CA7BF2">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100</w:t>
            </w:r>
          </w:p>
        </w:tc>
        <w:tc>
          <w:tcPr>
            <w:tcW w:w="1020" w:type="dxa"/>
            <w:tcBorders>
              <w:top w:val="nil"/>
              <w:left w:val="nil"/>
              <w:bottom w:val="single" w:color="auto" w:sz="4" w:space="0"/>
              <w:right w:val="single" w:color="auto" w:sz="4" w:space="0"/>
            </w:tcBorders>
            <w:noWrap w:val="0"/>
            <w:vAlign w:val="center"/>
          </w:tcPr>
          <w:p w14:paraId="5EA57A0D">
            <w:pPr>
              <w:widowControl/>
              <w:jc w:val="center"/>
              <w:rPr>
                <w:rFonts w:hint="eastAsia" w:ascii="黑体" w:hAnsi="黑体" w:eastAsia="黑体" w:cs="黑体"/>
                <w:color w:val="auto"/>
                <w:kern w:val="0"/>
                <w:sz w:val="24"/>
                <w:szCs w:val="24"/>
                <w:highlight w:val="none"/>
              </w:rPr>
            </w:pPr>
          </w:p>
        </w:tc>
      </w:tr>
      <w:tr w14:paraId="57953473">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724F912C">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98</w:t>
            </w:r>
          </w:p>
        </w:tc>
        <w:tc>
          <w:tcPr>
            <w:tcW w:w="5978" w:type="dxa"/>
            <w:tcBorders>
              <w:top w:val="nil"/>
              <w:left w:val="nil"/>
              <w:bottom w:val="single" w:color="auto" w:sz="4" w:space="0"/>
              <w:right w:val="single" w:color="auto" w:sz="4" w:space="0"/>
            </w:tcBorders>
            <w:noWrap w:val="0"/>
            <w:vAlign w:val="center"/>
          </w:tcPr>
          <w:p w14:paraId="28245FB3">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溪西街绿化（2020年新增）</w:t>
            </w:r>
          </w:p>
        </w:tc>
        <w:tc>
          <w:tcPr>
            <w:tcW w:w="2055" w:type="dxa"/>
            <w:tcBorders>
              <w:top w:val="nil"/>
              <w:left w:val="nil"/>
              <w:bottom w:val="single" w:color="auto" w:sz="4" w:space="0"/>
              <w:right w:val="single" w:color="auto" w:sz="4" w:space="0"/>
            </w:tcBorders>
            <w:noWrap w:val="0"/>
            <w:vAlign w:val="center"/>
          </w:tcPr>
          <w:p w14:paraId="32C79156">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25</w:t>
            </w:r>
          </w:p>
        </w:tc>
        <w:tc>
          <w:tcPr>
            <w:tcW w:w="1020" w:type="dxa"/>
            <w:tcBorders>
              <w:top w:val="nil"/>
              <w:left w:val="nil"/>
              <w:bottom w:val="single" w:color="auto" w:sz="4" w:space="0"/>
              <w:right w:val="single" w:color="auto" w:sz="4" w:space="0"/>
            </w:tcBorders>
            <w:noWrap w:val="0"/>
            <w:vAlign w:val="center"/>
          </w:tcPr>
          <w:p w14:paraId="2BDA2A79">
            <w:pPr>
              <w:widowControl/>
              <w:jc w:val="center"/>
              <w:rPr>
                <w:rFonts w:hint="eastAsia" w:ascii="黑体" w:hAnsi="黑体" w:eastAsia="黑体" w:cs="黑体"/>
                <w:color w:val="auto"/>
                <w:kern w:val="0"/>
                <w:sz w:val="24"/>
                <w:szCs w:val="24"/>
                <w:highlight w:val="none"/>
              </w:rPr>
            </w:pPr>
          </w:p>
        </w:tc>
      </w:tr>
      <w:tr w14:paraId="45714563">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20B984B1">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99</w:t>
            </w:r>
          </w:p>
        </w:tc>
        <w:tc>
          <w:tcPr>
            <w:tcW w:w="5978" w:type="dxa"/>
            <w:tcBorders>
              <w:top w:val="nil"/>
              <w:left w:val="nil"/>
              <w:bottom w:val="single" w:color="auto" w:sz="4" w:space="0"/>
              <w:right w:val="single" w:color="auto" w:sz="4" w:space="0"/>
            </w:tcBorders>
            <w:noWrap w:val="0"/>
            <w:vAlign w:val="center"/>
          </w:tcPr>
          <w:p w14:paraId="296AF539">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溪街社区</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医东路绿化（2020年新增）</w:t>
            </w:r>
          </w:p>
        </w:tc>
        <w:tc>
          <w:tcPr>
            <w:tcW w:w="2055" w:type="dxa"/>
            <w:tcBorders>
              <w:top w:val="nil"/>
              <w:left w:val="nil"/>
              <w:bottom w:val="single" w:color="auto" w:sz="4" w:space="0"/>
              <w:right w:val="single" w:color="auto" w:sz="4" w:space="0"/>
            </w:tcBorders>
            <w:noWrap w:val="0"/>
            <w:vAlign w:val="center"/>
          </w:tcPr>
          <w:p w14:paraId="639A73C3">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98</w:t>
            </w:r>
          </w:p>
        </w:tc>
        <w:tc>
          <w:tcPr>
            <w:tcW w:w="1020" w:type="dxa"/>
            <w:tcBorders>
              <w:top w:val="nil"/>
              <w:left w:val="nil"/>
              <w:bottom w:val="single" w:color="auto" w:sz="4" w:space="0"/>
              <w:right w:val="single" w:color="auto" w:sz="4" w:space="0"/>
            </w:tcBorders>
            <w:noWrap w:val="0"/>
            <w:vAlign w:val="center"/>
          </w:tcPr>
          <w:p w14:paraId="02544437">
            <w:pPr>
              <w:widowControl/>
              <w:jc w:val="center"/>
              <w:rPr>
                <w:rFonts w:hint="eastAsia" w:ascii="黑体" w:hAnsi="黑体" w:eastAsia="黑体" w:cs="黑体"/>
                <w:color w:val="auto"/>
                <w:kern w:val="0"/>
                <w:sz w:val="24"/>
                <w:szCs w:val="24"/>
                <w:highlight w:val="none"/>
              </w:rPr>
            </w:pPr>
          </w:p>
        </w:tc>
      </w:tr>
      <w:tr w14:paraId="309A542E">
        <w:tblPrEx>
          <w:tblCellMar>
            <w:top w:w="0" w:type="dxa"/>
            <w:left w:w="108" w:type="dxa"/>
            <w:bottom w:w="0" w:type="dxa"/>
            <w:right w:w="108" w:type="dxa"/>
          </w:tblCellMar>
        </w:tblPrEx>
        <w:trPr>
          <w:trHeight w:val="435" w:hRule="atLeast"/>
        </w:trPr>
        <w:tc>
          <w:tcPr>
            <w:tcW w:w="700" w:type="dxa"/>
            <w:tcBorders>
              <w:top w:val="nil"/>
              <w:left w:val="single" w:color="auto" w:sz="4" w:space="0"/>
              <w:bottom w:val="single" w:color="auto" w:sz="4" w:space="0"/>
              <w:right w:val="single" w:color="auto" w:sz="4" w:space="0"/>
            </w:tcBorders>
            <w:noWrap/>
            <w:vAlign w:val="center"/>
          </w:tcPr>
          <w:p w14:paraId="46C7E12A">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100</w:t>
            </w:r>
          </w:p>
        </w:tc>
        <w:tc>
          <w:tcPr>
            <w:tcW w:w="5978" w:type="dxa"/>
            <w:tcBorders>
              <w:top w:val="nil"/>
              <w:left w:val="nil"/>
              <w:bottom w:val="single" w:color="auto" w:sz="4" w:space="0"/>
              <w:right w:val="single" w:color="auto" w:sz="4" w:space="0"/>
            </w:tcBorders>
            <w:noWrap w:val="0"/>
            <w:vAlign w:val="center"/>
          </w:tcPr>
          <w:p w14:paraId="0CD987AA">
            <w:pPr>
              <w:keepNext w:val="0"/>
              <w:keepLines w:val="0"/>
              <w:widowControl/>
              <w:suppressLineNumbers w:val="0"/>
              <w:jc w:val="left"/>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行道树</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底框绿化</w:t>
            </w:r>
          </w:p>
        </w:tc>
        <w:tc>
          <w:tcPr>
            <w:tcW w:w="2055" w:type="dxa"/>
            <w:tcBorders>
              <w:top w:val="nil"/>
              <w:left w:val="nil"/>
              <w:bottom w:val="single" w:color="auto" w:sz="4" w:space="0"/>
              <w:right w:val="single" w:color="auto" w:sz="4" w:space="0"/>
            </w:tcBorders>
            <w:noWrap w:val="0"/>
            <w:vAlign w:val="center"/>
          </w:tcPr>
          <w:p w14:paraId="0203BA10">
            <w:pPr>
              <w:keepNext w:val="0"/>
              <w:keepLines w:val="0"/>
              <w:widowControl/>
              <w:suppressLineNumbers w:val="0"/>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i w:val="0"/>
                <w:iCs w:val="0"/>
                <w:color w:val="auto"/>
                <w:kern w:val="0"/>
                <w:sz w:val="24"/>
                <w:szCs w:val="24"/>
                <w:highlight w:val="none"/>
                <w:u w:val="none"/>
                <w:lang w:val="en-US" w:eastAsia="zh-CN" w:bidi="ar"/>
              </w:rPr>
              <w:t>7500</w:t>
            </w:r>
          </w:p>
        </w:tc>
        <w:tc>
          <w:tcPr>
            <w:tcW w:w="1020" w:type="dxa"/>
            <w:tcBorders>
              <w:top w:val="nil"/>
              <w:left w:val="nil"/>
              <w:bottom w:val="single" w:color="auto" w:sz="4" w:space="0"/>
              <w:right w:val="single" w:color="auto" w:sz="4" w:space="0"/>
            </w:tcBorders>
            <w:noWrap w:val="0"/>
            <w:vAlign w:val="center"/>
          </w:tcPr>
          <w:p w14:paraId="0D7CBDBE">
            <w:pPr>
              <w:widowControl/>
              <w:jc w:val="center"/>
              <w:rPr>
                <w:rFonts w:hint="eastAsia" w:ascii="黑体" w:hAnsi="黑体" w:eastAsia="黑体" w:cs="黑体"/>
                <w:color w:val="auto"/>
                <w:kern w:val="0"/>
                <w:sz w:val="24"/>
                <w:szCs w:val="24"/>
                <w:highlight w:val="none"/>
              </w:rPr>
            </w:pPr>
          </w:p>
        </w:tc>
      </w:tr>
      <w:tr w14:paraId="1B1E49A0">
        <w:tblPrEx>
          <w:tblCellMar>
            <w:top w:w="0" w:type="dxa"/>
            <w:left w:w="108" w:type="dxa"/>
            <w:bottom w:w="0" w:type="dxa"/>
            <w:right w:w="108" w:type="dxa"/>
          </w:tblCellMar>
        </w:tblPrEx>
        <w:trPr>
          <w:trHeight w:val="375" w:hRule="atLeast"/>
        </w:trPr>
        <w:tc>
          <w:tcPr>
            <w:tcW w:w="700" w:type="dxa"/>
            <w:tcBorders>
              <w:top w:val="nil"/>
              <w:left w:val="single" w:color="auto" w:sz="4" w:space="0"/>
              <w:bottom w:val="single" w:color="auto" w:sz="4" w:space="0"/>
              <w:right w:val="single" w:color="auto" w:sz="4" w:space="0"/>
            </w:tcBorders>
            <w:noWrap/>
            <w:vAlign w:val="center"/>
          </w:tcPr>
          <w:p w14:paraId="4C7561AF">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w:t>
            </w:r>
          </w:p>
        </w:tc>
        <w:tc>
          <w:tcPr>
            <w:tcW w:w="5978" w:type="dxa"/>
            <w:tcBorders>
              <w:top w:val="nil"/>
              <w:left w:val="nil"/>
              <w:bottom w:val="single" w:color="auto" w:sz="4" w:space="0"/>
              <w:right w:val="single" w:color="auto" w:sz="4" w:space="0"/>
            </w:tcBorders>
            <w:noWrap/>
            <w:vAlign w:val="center"/>
          </w:tcPr>
          <w:p w14:paraId="2609999B">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合  计</w:t>
            </w:r>
          </w:p>
        </w:tc>
        <w:tc>
          <w:tcPr>
            <w:tcW w:w="2055" w:type="dxa"/>
            <w:tcBorders>
              <w:top w:val="nil"/>
              <w:left w:val="nil"/>
              <w:bottom w:val="single" w:color="auto" w:sz="4" w:space="0"/>
              <w:right w:val="single" w:color="auto" w:sz="4" w:space="0"/>
            </w:tcBorders>
            <w:noWrap/>
            <w:vAlign w:val="center"/>
          </w:tcPr>
          <w:p w14:paraId="1951FAB6">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400580.5㎡</w:t>
            </w:r>
          </w:p>
        </w:tc>
        <w:tc>
          <w:tcPr>
            <w:tcW w:w="1020" w:type="dxa"/>
            <w:tcBorders>
              <w:top w:val="nil"/>
              <w:left w:val="nil"/>
              <w:bottom w:val="single" w:color="auto" w:sz="4" w:space="0"/>
              <w:right w:val="single" w:color="auto" w:sz="4" w:space="0"/>
            </w:tcBorders>
            <w:noWrap/>
            <w:vAlign w:val="center"/>
          </w:tcPr>
          <w:p w14:paraId="63530FA2">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w:t>
            </w:r>
          </w:p>
        </w:tc>
      </w:tr>
    </w:tbl>
    <w:p w14:paraId="247AEB53">
      <w:pPr>
        <w:spacing w:line="400" w:lineRule="exact"/>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绿化养护期限：</w:t>
      </w:r>
    </w:p>
    <w:p w14:paraId="5986149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本项目养护期限为签订合同后</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rPr>
        <w:t>年。</w:t>
      </w:r>
    </w:p>
    <w:p w14:paraId="0C5B79AE">
      <w:pPr>
        <w:spacing w:line="40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绿化养护管理质量目标：</w:t>
      </w:r>
    </w:p>
    <w:p w14:paraId="609023D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1、养护企业负责养护范围内的乔、灌木及水生植物、草坪、草花、地被植物的修剪、施肥、除草、浇水等日常养护工作及养护范围内死亡乔灌木、水生植物、草坪、草花、地被的及时补种和完善。</w:t>
      </w:r>
    </w:p>
    <w:p w14:paraId="79F3F3E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2、区域内绿化养护执行保活率达98%以上；杂草、病虫害防治及时率达98%以上；采购单位对本区域绿化服务满意率达98%以上。</w:t>
      </w:r>
    </w:p>
    <w:p w14:paraId="01CE86B1">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3、养护企业负责养护范围内各类垃圾（白色垃圾、建筑垃圾、绿化垃圾等）的清理，确保绿地干净整洁。</w:t>
      </w:r>
    </w:p>
    <w:p w14:paraId="0308C51E">
      <w:pPr>
        <w:spacing w:line="40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养护要求：</w:t>
      </w:r>
    </w:p>
    <w:p w14:paraId="42B3E982">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（一）乔木养护：</w:t>
      </w:r>
    </w:p>
    <w:p w14:paraId="60F980E1">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1、总体要求：生长旺盛，主干主枝无杂生孽芽，无枯枝、病枝、残枝。树干粗壮，有明显的生长量，枝繁叶茂，无弱株、病株、歪斜株。</w:t>
      </w:r>
    </w:p>
    <w:p w14:paraId="74C37D6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2、松土：每年不少于2次，一般定于每年的春、秋季，具体情况按实调整，要保持树木根部周围或树穴范围土壤的疏松透气，应无板结现象，松土深度以不影响根系生长为限。</w:t>
      </w:r>
    </w:p>
    <w:p w14:paraId="0F8BFA7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3、施肥：每年施肥不少于2次。</w:t>
      </w:r>
    </w:p>
    <w:p w14:paraId="12C22EC0">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4、病虫害防治:行道树每年施药不少于4次，应加强病虫检查，发现主要病虫害应根据虫情预报及时采取防治措施。</w:t>
      </w:r>
    </w:p>
    <w:p w14:paraId="3B53DD7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5、浇水：根据实际天气情况酌情考虑。</w:t>
      </w:r>
    </w:p>
    <w:p w14:paraId="6F2F4732">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修剪：根据不同树种适时进行抹芽、抽枝、修剪、整形，修剪时应遵循“从整体到局部，由下到上，由内到外，去弱留强，去老留新”的操作原则。及时剪除病虫枝、干枯枝、徒长枝、倒生枝；及时修剪偏冠或过密的树枝，保持均衡、通透的树冠，剪口平滑、整齐；要求整体树势保持疏密得当，整齐美观。</w:t>
      </w:r>
    </w:p>
    <w:p w14:paraId="4FF4BE9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（二）绿篱、灌木、地被、花卉等绿地养护：</w:t>
      </w:r>
    </w:p>
    <w:p w14:paraId="272671F9">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1、总体要求：生长健壮，花繁叶茂，无缺株、死株、病株、枯枝，无病虫害，存活率达98%以上。</w:t>
      </w:r>
    </w:p>
    <w:p w14:paraId="643513FD">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2、肥料：每年施肥不少于2次。</w:t>
      </w:r>
    </w:p>
    <w:p w14:paraId="18CBFED2">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病虫害防治：绿地每年施药不少于6次，平时加强病虫检查，发现病虫害应根据虫情预报及时采取防治措施。对于危险性病虫害，应迅速采取措施并及时清理带病虫的落叶、杂草等，消灭病源、虫源，防止病虫扩散、蔓延。</w:t>
      </w:r>
    </w:p>
    <w:p w14:paraId="1C6F14D8">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4、浇水：夏季高温天气每周浇水不少于3次，使用喷灌时应开关定时，专人看管，以地面达到径流为准，保持土壤湿润。</w:t>
      </w:r>
    </w:p>
    <w:p w14:paraId="285F156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修剪：绿篱修剪时应使绿篱及色带轮廓清晰，线条整齐，顶面平整，做到无断层、无缺口、无光秃，绿篱切边宽度在保持10—15cm之间；灌木修剪应使树型内高外低，内膛小枝适量疏剪，强壮枝适当短截，下垂细弱枝及地表萌生的枝条彻底疏除，形成自然丰满的树型。</w:t>
      </w:r>
    </w:p>
    <w:p w14:paraId="755FB29A">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（三）草坪养护：</w:t>
      </w:r>
    </w:p>
    <w:p w14:paraId="19A4E084">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总体要求：草坪整齐雅观，生长良好，对于区域内混播草坪要求一年撒播两次草籽，确保四季常绿，覆盖率达98%以上，杂草率低于5%，无坑洼积水，无裸露地；经常除杂草，保持草坪内无杂草，使纯草坪和混合草坪的草种纯度达98%，新接管的草坪要求半年内达到要求；缺损草坪及时补植，使草地保持完整，无裸露地，补植后加强保养，一个月内覆盖率达98%；坪地均匀平整，无坑洼现象，无明显干枯草丛，草坪叶色绿润，无明显色差，无病虫害。</w:t>
      </w:r>
    </w:p>
    <w:p w14:paraId="389DBEDC">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2、肥料：每年施肥不少于2次。</w:t>
      </w:r>
    </w:p>
    <w:p w14:paraId="22732606">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3、病虫害防治:每年施药不少于4次，发现病虫害应根据虫情预报及时采取防治措施。</w:t>
      </w:r>
    </w:p>
    <w:p w14:paraId="5C52140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4、浇水：夏季高温天气每周浇水不少于3次，使用喷灌时应开关定时，专人看管，以地面达到径流为准，保持土壤湿润。</w:t>
      </w:r>
    </w:p>
    <w:p w14:paraId="10EC0579">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5、修剪：混播型草坪一年修剪不少于8次，暖季型草坪（马尼拉）一年修剪不少于6次，边缘草要修剪整齐，高度保持在5-6cm并及时疏草，以确保草坪外观平整。</w:t>
      </w:r>
    </w:p>
    <w:p w14:paraId="70369A64">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（四）修剪后技术措施</w:t>
      </w:r>
    </w:p>
    <w:p w14:paraId="35A8E0A8">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1、对直径大的剪口应进行消毒和保护处理。</w:t>
      </w:r>
    </w:p>
    <w:p w14:paraId="48F093C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2、及时追肥，加强灌溉及病虫害防治等工作。</w:t>
      </w:r>
    </w:p>
    <w:p w14:paraId="294E0B1F">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3、对修剪后的病虫枝叶应集中进行无害化处理。</w:t>
      </w:r>
    </w:p>
    <w:p w14:paraId="5D2E7CA0">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（五）夏季技术措施</w:t>
      </w:r>
    </w:p>
    <w:p w14:paraId="311F0E99">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1、密切注意天气预报，在恶劣天气来临前，做好相应的台风、洪涝防护预案和树木加固措施。</w:t>
      </w:r>
    </w:p>
    <w:p w14:paraId="23A9E7C9">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2、每年夏、秋易受潮汛、暴雨、台风同时袭击，应及时注意开沟排水，倒伏的树木要及时扶起，修剪、加土夯紧、重新种植。</w:t>
      </w:r>
    </w:p>
    <w:p w14:paraId="7BEA4B57">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3、对于遭受大风危害，断枝或被刮倒的树木，要根据实际情况及时修剪、扶正并加固支撑，并在灾后加强肥水管理，促进树势的恢复；对难以补救者应加淘汰，秋后重新换植新株。</w:t>
      </w:r>
    </w:p>
    <w:p w14:paraId="2628FA78">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（六）冬季技术措施</w:t>
      </w:r>
    </w:p>
    <w:p w14:paraId="1E34D391">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1、冬季主要工作是树木的修剪，修剪时枝切口要平滑，并树干齐平，防止损伤树干、高杈枝突出和树冠大小不一的效果。在一定区域内树木冠形、高低应相同，使其整齐美观。</w:t>
      </w:r>
    </w:p>
    <w:p w14:paraId="15CADBAA">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2、冬季寒流侵袭会给树木带来危害，及时做好防寒工作，主要可对树木进行涂白，或用草绳包扎。</w:t>
      </w:r>
    </w:p>
    <w:p w14:paraId="103C383D">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3、及时做好除害灭病工作：主要是剪去病枝、枯枝，清除绿地中的杂草、落叶，并将其集中处理，消灭病虫源，消除火灾隐患。 </w:t>
      </w:r>
    </w:p>
    <w:p w14:paraId="16E8D08C">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4、密切注意天气预报，在恶劣天气来临前，做好相应的雪灾防护预案和树木加固措施。</w:t>
      </w:r>
    </w:p>
    <w:p w14:paraId="3D239FFF">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5、遇到雪情，迅速清理积雪，对断枝、倒伏树木及时处理，做好灾后修复工作。</w:t>
      </w:r>
    </w:p>
    <w:p w14:paraId="56DA87E5">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（七）绿地卫生清洁</w:t>
      </w:r>
    </w:p>
    <w:p w14:paraId="5D1D2F70">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1、配备一定的绿地保洁人员，定时定点捡拾清理绿地内垃圾，做到整洁、无杂物，无白色污染物，绿地、树框内不见砖瓦石块、纸屑、塑料袋、果皮等废弃物和人畜粪便,树枝无悬挂物。</w:t>
      </w:r>
    </w:p>
    <w:p w14:paraId="510EF630">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2、因栽植、修剪、除草等养护作业产生的各类绿化垃圾，由养护企业自行负责统一清理，做到随产随清，不得堆集在绿化带内。</w:t>
      </w:r>
    </w:p>
    <w:p w14:paraId="1EFAAD0F">
      <w:pPr>
        <w:spacing w:line="40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其他要求：</w:t>
      </w:r>
      <w:r>
        <w:rPr>
          <w:rFonts w:hint="eastAsia" w:ascii="黑体" w:hAnsi="黑体" w:eastAsia="黑体" w:cs="黑体"/>
          <w:b/>
          <w:color w:val="auto"/>
          <w:sz w:val="24"/>
          <w:szCs w:val="24"/>
          <w:highlight w:val="none"/>
        </w:rPr>
        <w:tab/>
      </w:r>
    </w:p>
    <w:p w14:paraId="04663460">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1、养护企业承担一切绿化养护物资的投入费用，期间所产生的一切安全问题均由养护企业自行负责。</w:t>
      </w:r>
    </w:p>
    <w:p w14:paraId="2930732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2、养护企业必须自行配备必要的绿化养护人员(每1万平方米绿地不得少于1人)和绿地保洁人员（每10万平方米绿地不得少于1人）、</w:t>
      </w:r>
      <w:r>
        <w:rPr>
          <w:rFonts w:hint="eastAsia" w:ascii="黑体" w:hAnsi="黑体" w:eastAsia="黑体" w:cs="黑体"/>
          <w:color w:val="auto"/>
          <w:sz w:val="24"/>
          <w:szCs w:val="24"/>
          <w:highlight w:val="none"/>
        </w:rPr>
        <w:t>养护机械设备和车辆，有固定的物资存放仓库，养护人员必须统一着装，作业时需穿着安全反光服，车辆设备统一标识，养护人员的交通工具不得随意乱停乱放。</w:t>
      </w:r>
    </w:p>
    <w:p w14:paraId="2F121269">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3、养护企业必须建立完善的每日巡查和详细的台账记录制度，台账记录将作为养护考核依据。</w:t>
      </w:r>
    </w:p>
    <w:p w14:paraId="4B6673DC">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4、养护企业需对采购单位下发的整改通知书24小时内回复，反映的问题48小时内处理解决。</w:t>
      </w:r>
    </w:p>
    <w:p w14:paraId="12A4B504">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5、如遇各种损毁、侵占绿地以及环卫工人在绿地随意倾倒垃圾等现象，应当立即制止，并立即向采购单位汇报。</w:t>
      </w:r>
    </w:p>
    <w:p w14:paraId="5D264238">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6、如遇上级各种检查以及各类创建活动，养护企业必须无条件配合采购单位完成各项应急工作，确保采购单位无批评投诉。</w:t>
      </w:r>
    </w:p>
    <w:p w14:paraId="53426494">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7、养护企业在大树修剪时，必须在作业地域内设置警戒标志或进行围挡。</w:t>
      </w:r>
    </w:p>
    <w:p w14:paraId="59F87638">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8、养护企业在病虫害防治时需严格按照农药操作规程，不使用过期及国家明令禁止的农药，时刻谨记安全生产的重要性。</w:t>
      </w:r>
    </w:p>
    <w:p w14:paraId="38E1CFD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9、养护企业应严格执行《劳动法》、《劳动合同法》等有关员工保障的国家规定，如出现劳动纠纷，由养护企业自行负责处理。</w:t>
      </w:r>
    </w:p>
    <w:p w14:paraId="38ABD928">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10、建立健全考核机制，考核结果与养护企业经费挂钩，由采购单位每月以定期和不定期相结合的方式进行考核，考核结果作为采购单位支付养护经费的依据。</w:t>
      </w:r>
    </w:p>
    <w:p w14:paraId="43C922FF">
      <w:pPr>
        <w:spacing w:line="40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考核办法：</w:t>
      </w:r>
    </w:p>
    <w:p w14:paraId="234CF42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1、考核检查由采购单位成立考核小组进行公开考核，按《绿地养护考核评分表》逐项进行考核，考核采取百分制，每月底考核汇总一次。</w:t>
      </w:r>
    </w:p>
    <w:p w14:paraId="228822F0">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考核主要以现场检查和审核台账资料相结合的方式为主，由考核组人员到现场进行检查，考核中发现的问题及时通知养护企业，并由考核小组出具限期整改通知单，最后根据绿地养护考核评分表和考核总体情况进行打分。</w:t>
      </w:r>
    </w:p>
    <w:p w14:paraId="28D20AF6">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3、养护企业应积极配合考核检查工作，根据整改要求及时完成整改，不服从整改要求的，将根据情节轻重，从相应的考核成绩中加倍扣分。</w:t>
      </w:r>
    </w:p>
    <w:p w14:paraId="410C3EE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应对灾害性天气（台风、雪灾、洪涝、干旱）时，因采取应急措施不到位，导致树木倒伏、死亡率超过20%的或者断枝数量特别严重的，视情节轻重加倍扣分；因未采取任何应急措施而造成重大损失的，加倍扣分，情节特别严重的，采购单位有权提前终止合同。</w:t>
      </w:r>
    </w:p>
    <w:p w14:paraId="1150E55D">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5、经采购单位审批同意的承包范围内所有绿化开挖工作及后期绿化复原工作统一由养护企业负责，采购单位负责对接落实开挖修复费用。</w:t>
      </w:r>
    </w:p>
    <w:p w14:paraId="1AAF849C">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6、养护企业应加强对养护工人的安全生产教育，确保安全生产。如果在日常作业活动中发现存在安全隐患，考核组有权要求停止作业并进行限期整改，如不服从整改要求的将视情节轻重加倍扣分。</w:t>
      </w:r>
    </w:p>
    <w:p w14:paraId="2806B2F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养护企业连续两次考核不合格或者全年累计三次考核不合格，采购单位有权终止合同；养护企业在养护工作中发生重大失误，养护质量受到严重影响、对社会造成重大负面影响，及在经营过程中因经营不善或违法违纪导致公司无法确保养护质量的，采购单位有权终止合同；养护企业出现媒体连续三次曝光、拖欠员工工资、发生重大安全作业事故等违规现象之一的，采购单位有权终止合同。</w:t>
      </w:r>
    </w:p>
    <w:p w14:paraId="20C6A3DA">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8、因德清县城市永久性占用绿地审批或政府建设项目减少绿地养护范围的，采购单位有权按面积减少支付相应的养护经费。</w:t>
      </w:r>
    </w:p>
    <w:p w14:paraId="3D913BDB">
      <w:pPr>
        <w:spacing w:line="40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考核评分：</w:t>
      </w:r>
    </w:p>
    <w:p w14:paraId="2734AE4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由考核小组对养护企业进行评分：90分以上为优秀，90分(含)—85分(含)为良好，85分—80(含)分为合格，80分以下为不合格，</w:t>
      </w:r>
    </w:p>
    <w:p w14:paraId="1F517013">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（1）优秀：养护经费按月全额支付；</w:t>
      </w:r>
    </w:p>
    <w:p w14:paraId="50D6790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（2）良好：养护经费按优秀标准每低一分扣减月养护经费的1%；</w:t>
      </w:r>
    </w:p>
    <w:p w14:paraId="67464128">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（3）合格：养护经费按优秀标准每低一分扣减月养护经费的1.5%；</w:t>
      </w:r>
    </w:p>
    <w:p w14:paraId="798B1C37">
      <w:pPr>
        <w:spacing w:line="400" w:lineRule="exact"/>
        <w:ind w:firstLine="480" w:firstLineChars="200"/>
        <w:rPr>
          <w:rFonts w:hint="eastAsia" w:ascii="宋体" w:hAnsi="宋体"/>
          <w:color w:val="auto"/>
          <w:sz w:val="24"/>
          <w:highlight w:val="none"/>
        </w:rPr>
      </w:pPr>
      <w:r>
        <w:rPr>
          <w:rFonts w:hint="eastAsia" w:ascii="黑体" w:hAnsi="黑体" w:eastAsia="黑体" w:cs="黑体"/>
          <w:color w:val="auto"/>
          <w:sz w:val="24"/>
          <w:szCs w:val="24"/>
          <w:highlight w:val="none"/>
        </w:rPr>
        <w:t>（4）不合格：养护经费按优秀标准每低一分扣减月养护经费的2.5%；</w:t>
      </w:r>
    </w:p>
    <w:p w14:paraId="24D10D6A">
      <w:pPr>
        <w:ind w:left="0" w:leftChars="0" w:firstLine="0" w:firstLineChars="0"/>
        <w:jc w:val="center"/>
        <w:rPr>
          <w:rFonts w:hint="eastAsia" w:ascii="黑体" w:hAnsi="黑体" w:eastAsia="黑体" w:cs="黑体"/>
          <w:b/>
          <w:color w:val="auto"/>
          <w:sz w:val="30"/>
          <w:szCs w:val="30"/>
          <w:highlight w:val="none"/>
        </w:rPr>
      </w:pPr>
    </w:p>
    <w:p w14:paraId="3FC8D140">
      <w:pPr>
        <w:ind w:left="0" w:leftChars="0" w:firstLine="0" w:firstLineChars="0"/>
        <w:jc w:val="center"/>
        <w:rPr>
          <w:rFonts w:hint="eastAsia" w:ascii="宋体" w:hAnsi="宋体"/>
          <w:color w:val="auto"/>
          <w:sz w:val="24"/>
          <w:highlight w:val="none"/>
        </w:rPr>
      </w:pPr>
      <w:r>
        <w:rPr>
          <w:rFonts w:hint="eastAsia" w:ascii="黑体" w:hAnsi="黑体" w:eastAsia="黑体" w:cs="黑体"/>
          <w:b/>
          <w:color w:val="auto"/>
          <w:sz w:val="30"/>
          <w:szCs w:val="30"/>
          <w:highlight w:val="none"/>
        </w:rPr>
        <w:t>绿地养护考核评分表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399"/>
        <w:gridCol w:w="3339"/>
        <w:gridCol w:w="702"/>
        <w:gridCol w:w="702"/>
        <w:gridCol w:w="702"/>
      </w:tblGrid>
      <w:tr w14:paraId="65C5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37" w:type="dxa"/>
            <w:noWrap w:val="0"/>
            <w:tcMar>
              <w:left w:w="28" w:type="dxa"/>
              <w:right w:w="28" w:type="dxa"/>
            </w:tcMar>
            <w:vAlign w:val="center"/>
          </w:tcPr>
          <w:p w14:paraId="7BEBA779">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考核内容</w:t>
            </w:r>
          </w:p>
        </w:tc>
        <w:tc>
          <w:tcPr>
            <w:tcW w:w="3399" w:type="dxa"/>
            <w:noWrap w:val="0"/>
            <w:tcMar>
              <w:left w:w="28" w:type="dxa"/>
              <w:right w:w="28" w:type="dxa"/>
            </w:tcMar>
            <w:vAlign w:val="center"/>
          </w:tcPr>
          <w:p w14:paraId="59B3745B">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考核标准</w:t>
            </w:r>
          </w:p>
        </w:tc>
        <w:tc>
          <w:tcPr>
            <w:tcW w:w="3339" w:type="dxa"/>
            <w:noWrap w:val="0"/>
            <w:tcMar>
              <w:left w:w="28" w:type="dxa"/>
              <w:right w:w="28" w:type="dxa"/>
            </w:tcMar>
            <w:vAlign w:val="center"/>
          </w:tcPr>
          <w:p w14:paraId="47BC315C">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评分标准</w:t>
            </w:r>
          </w:p>
        </w:tc>
        <w:tc>
          <w:tcPr>
            <w:tcW w:w="702" w:type="dxa"/>
            <w:noWrap w:val="0"/>
            <w:tcMar>
              <w:left w:w="28" w:type="dxa"/>
              <w:right w:w="28" w:type="dxa"/>
            </w:tcMar>
            <w:vAlign w:val="center"/>
          </w:tcPr>
          <w:p w14:paraId="2F1EAB2B">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分值</w:t>
            </w:r>
          </w:p>
        </w:tc>
        <w:tc>
          <w:tcPr>
            <w:tcW w:w="702" w:type="dxa"/>
            <w:noWrap w:val="0"/>
            <w:tcMar>
              <w:left w:w="28" w:type="dxa"/>
              <w:right w:w="28" w:type="dxa"/>
            </w:tcMar>
            <w:vAlign w:val="center"/>
          </w:tcPr>
          <w:p w14:paraId="7E5DDD08">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得分</w:t>
            </w:r>
          </w:p>
        </w:tc>
        <w:tc>
          <w:tcPr>
            <w:tcW w:w="702" w:type="dxa"/>
            <w:noWrap w:val="0"/>
            <w:vAlign w:val="center"/>
          </w:tcPr>
          <w:p w14:paraId="41965535">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扣分原因</w:t>
            </w:r>
          </w:p>
        </w:tc>
      </w:tr>
      <w:tr w14:paraId="297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937" w:type="dxa"/>
            <w:vMerge w:val="restart"/>
            <w:noWrap w:val="0"/>
            <w:tcMar>
              <w:left w:w="28" w:type="dxa"/>
              <w:right w:w="28" w:type="dxa"/>
            </w:tcMar>
            <w:vAlign w:val="center"/>
          </w:tcPr>
          <w:p w14:paraId="4A9FE1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整枝、修剪、剥芽</w:t>
            </w:r>
          </w:p>
          <w:p w14:paraId="488F63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（13分）</w:t>
            </w:r>
          </w:p>
        </w:tc>
        <w:tc>
          <w:tcPr>
            <w:tcW w:w="3399" w:type="dxa"/>
            <w:noWrap w:val="0"/>
            <w:tcMar>
              <w:left w:w="28" w:type="dxa"/>
              <w:right w:w="28" w:type="dxa"/>
            </w:tcMar>
            <w:vAlign w:val="center"/>
          </w:tcPr>
          <w:p w14:paraId="5E0344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树木修剪规范整齐。高大乔木树冠完美，定枝、整枝合理均匀，内膛不乱，无枯枝死枝；花灌木修剪适时，能正常开花；色块、绿篱适期修剪，曲线流畅，轮廓明显，不缺损，三面整齐平整；球类修剪圆整，造型优雅；根据树木习性及时修剪剥芽。</w:t>
            </w:r>
          </w:p>
        </w:tc>
        <w:tc>
          <w:tcPr>
            <w:tcW w:w="3339" w:type="dxa"/>
            <w:noWrap w:val="0"/>
            <w:tcMar>
              <w:left w:w="28" w:type="dxa"/>
              <w:right w:w="28" w:type="dxa"/>
            </w:tcMar>
            <w:vAlign w:val="center"/>
          </w:tcPr>
          <w:p w14:paraId="01839D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不及时修剪、剥芽扣2分；不按要求乱修剪，扣2分；乔木萌蘖芽未及时剥除，发现1株扣1分；绿篱修剪面不平，不直，宽度不匀，凹凸不平，轮廓不明显，扣1分/处；球类修剪不圆，同条路或同块趋向不一，扣1分/处。</w:t>
            </w:r>
          </w:p>
        </w:tc>
        <w:tc>
          <w:tcPr>
            <w:tcW w:w="702" w:type="dxa"/>
            <w:noWrap w:val="0"/>
            <w:tcMar>
              <w:left w:w="28" w:type="dxa"/>
              <w:right w:w="28" w:type="dxa"/>
            </w:tcMar>
            <w:vAlign w:val="center"/>
          </w:tcPr>
          <w:p w14:paraId="623144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highlight w:val="none"/>
              </w:rPr>
            </w:pPr>
            <w:r>
              <w:rPr>
                <w:rFonts w:hint="eastAsia" w:ascii="黑体" w:hAnsi="黑体" w:eastAsia="黑体" w:cs="黑体"/>
                <w:color w:val="auto"/>
                <w:szCs w:val="21"/>
                <w:highlight w:val="none"/>
              </w:rPr>
              <w:t>8</w:t>
            </w:r>
          </w:p>
        </w:tc>
        <w:tc>
          <w:tcPr>
            <w:tcW w:w="702" w:type="dxa"/>
            <w:noWrap w:val="0"/>
            <w:tcMar>
              <w:left w:w="28" w:type="dxa"/>
              <w:right w:w="28" w:type="dxa"/>
            </w:tcMar>
            <w:vAlign w:val="center"/>
          </w:tcPr>
          <w:p w14:paraId="32BCB6D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c>
          <w:tcPr>
            <w:tcW w:w="702" w:type="dxa"/>
            <w:noWrap w:val="0"/>
            <w:vAlign w:val="center"/>
          </w:tcPr>
          <w:p w14:paraId="4D9792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r>
      <w:tr w14:paraId="053E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937" w:type="dxa"/>
            <w:vMerge w:val="continue"/>
            <w:noWrap w:val="0"/>
            <w:tcMar>
              <w:left w:w="28" w:type="dxa"/>
              <w:right w:w="28" w:type="dxa"/>
            </w:tcMar>
            <w:vAlign w:val="top"/>
          </w:tcPr>
          <w:p w14:paraId="17A2DD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p>
        </w:tc>
        <w:tc>
          <w:tcPr>
            <w:tcW w:w="3399" w:type="dxa"/>
            <w:noWrap w:val="0"/>
            <w:tcMar>
              <w:left w:w="28" w:type="dxa"/>
              <w:right w:w="28" w:type="dxa"/>
            </w:tcMar>
            <w:vAlign w:val="center"/>
          </w:tcPr>
          <w:p w14:paraId="19214C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草坪按照1/3原则适时进行修剪，保持一定高度，修剪面平整，边角无遗留，草屑及时扫尽运出。草坪修剪高度：冷季型草夏季控制在6-8cm，其他季节为5-7cm；暖季型3-5cm。</w:t>
            </w:r>
          </w:p>
        </w:tc>
        <w:tc>
          <w:tcPr>
            <w:tcW w:w="3339" w:type="dxa"/>
            <w:noWrap w:val="0"/>
            <w:tcMar>
              <w:left w:w="28" w:type="dxa"/>
              <w:right w:w="28" w:type="dxa"/>
            </w:tcMar>
            <w:vAlign w:val="center"/>
          </w:tcPr>
          <w:p w14:paraId="501A41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修剪面不平，边角有遗留，扣1分/处；修剪后色斑明显，扣0.5分/处；不及时修剪的扣完。</w:t>
            </w:r>
          </w:p>
        </w:tc>
        <w:tc>
          <w:tcPr>
            <w:tcW w:w="702" w:type="dxa"/>
            <w:noWrap w:val="0"/>
            <w:tcMar>
              <w:left w:w="28" w:type="dxa"/>
              <w:right w:w="28" w:type="dxa"/>
            </w:tcMar>
            <w:vAlign w:val="center"/>
          </w:tcPr>
          <w:p w14:paraId="7E9866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highlight w:val="none"/>
              </w:rPr>
            </w:pPr>
            <w:r>
              <w:rPr>
                <w:rFonts w:hint="eastAsia" w:ascii="黑体" w:hAnsi="黑体" w:eastAsia="黑体" w:cs="黑体"/>
                <w:color w:val="auto"/>
                <w:szCs w:val="21"/>
                <w:highlight w:val="none"/>
              </w:rPr>
              <w:t>5</w:t>
            </w:r>
          </w:p>
        </w:tc>
        <w:tc>
          <w:tcPr>
            <w:tcW w:w="702" w:type="dxa"/>
            <w:noWrap w:val="0"/>
            <w:tcMar>
              <w:left w:w="28" w:type="dxa"/>
              <w:right w:w="28" w:type="dxa"/>
            </w:tcMar>
            <w:vAlign w:val="center"/>
          </w:tcPr>
          <w:p w14:paraId="6FF1E5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c>
          <w:tcPr>
            <w:tcW w:w="702" w:type="dxa"/>
            <w:noWrap w:val="0"/>
            <w:vAlign w:val="center"/>
          </w:tcPr>
          <w:p w14:paraId="0ACCA1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r>
      <w:tr w14:paraId="4712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937" w:type="dxa"/>
            <w:vMerge w:val="restart"/>
            <w:noWrap w:val="0"/>
            <w:tcMar>
              <w:left w:w="28" w:type="dxa"/>
              <w:right w:w="28" w:type="dxa"/>
            </w:tcMar>
            <w:vAlign w:val="center"/>
          </w:tcPr>
          <w:p w14:paraId="30DC6C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树木、绿地保存率</w:t>
            </w:r>
          </w:p>
          <w:p w14:paraId="0A8F63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（12分）</w:t>
            </w:r>
          </w:p>
        </w:tc>
        <w:tc>
          <w:tcPr>
            <w:tcW w:w="3399" w:type="dxa"/>
            <w:noWrap w:val="0"/>
            <w:tcMar>
              <w:left w:w="28" w:type="dxa"/>
              <w:right w:w="28" w:type="dxa"/>
            </w:tcMar>
            <w:vAlign w:val="center"/>
          </w:tcPr>
          <w:p w14:paraId="5C7C5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绿地内乔灌木及绿篱有缺株，应及时补缺，少数树种因季节不能及时补种除外。</w:t>
            </w:r>
          </w:p>
        </w:tc>
        <w:tc>
          <w:tcPr>
            <w:tcW w:w="3339" w:type="dxa"/>
            <w:noWrap w:val="0"/>
            <w:tcMar>
              <w:left w:w="28" w:type="dxa"/>
              <w:right w:w="28" w:type="dxa"/>
            </w:tcMar>
            <w:vAlign w:val="center"/>
          </w:tcPr>
          <w:p w14:paraId="589077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因养护不到位或者因可以避免的自然灾害影响造成树木死亡的，每棵死树扣2分，遇不可抗力因素(如交通事故等)造成树木死亡的不扣分。补种不及时每处扣1分。乔灌木未按规定及时补缺，扣1分/株；绿篱未按规定及时补缺，扣1分/米。</w:t>
            </w:r>
          </w:p>
        </w:tc>
        <w:tc>
          <w:tcPr>
            <w:tcW w:w="702" w:type="dxa"/>
            <w:noWrap w:val="0"/>
            <w:tcMar>
              <w:left w:w="28" w:type="dxa"/>
              <w:right w:w="28" w:type="dxa"/>
            </w:tcMar>
            <w:vAlign w:val="center"/>
          </w:tcPr>
          <w:p w14:paraId="51E9886E">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8</w:t>
            </w:r>
          </w:p>
        </w:tc>
        <w:tc>
          <w:tcPr>
            <w:tcW w:w="702" w:type="dxa"/>
            <w:noWrap w:val="0"/>
            <w:tcMar>
              <w:left w:w="28" w:type="dxa"/>
              <w:right w:w="28" w:type="dxa"/>
            </w:tcMar>
            <w:vAlign w:val="center"/>
          </w:tcPr>
          <w:p w14:paraId="0EC097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c>
          <w:tcPr>
            <w:tcW w:w="702" w:type="dxa"/>
            <w:noWrap w:val="0"/>
            <w:vAlign w:val="center"/>
          </w:tcPr>
          <w:p w14:paraId="77EDF1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r>
      <w:tr w14:paraId="578B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37" w:type="dxa"/>
            <w:vMerge w:val="continue"/>
            <w:noWrap w:val="0"/>
            <w:tcMar>
              <w:left w:w="28" w:type="dxa"/>
              <w:right w:w="28" w:type="dxa"/>
            </w:tcMar>
            <w:vAlign w:val="top"/>
          </w:tcPr>
          <w:p w14:paraId="460E8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p>
        </w:tc>
        <w:tc>
          <w:tcPr>
            <w:tcW w:w="3399" w:type="dxa"/>
            <w:noWrap w:val="0"/>
            <w:tcMar>
              <w:left w:w="28" w:type="dxa"/>
              <w:right w:w="28" w:type="dxa"/>
            </w:tcMar>
            <w:vAlign w:val="center"/>
          </w:tcPr>
          <w:p w14:paraId="2ED9A7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各类色块、地被及草坪长势饱满，无黄土裸露。</w:t>
            </w:r>
          </w:p>
        </w:tc>
        <w:tc>
          <w:tcPr>
            <w:tcW w:w="3339" w:type="dxa"/>
            <w:noWrap w:val="0"/>
            <w:tcMar>
              <w:left w:w="28" w:type="dxa"/>
              <w:right w:w="28" w:type="dxa"/>
            </w:tcMar>
            <w:vAlign w:val="center"/>
          </w:tcPr>
          <w:p w14:paraId="44C580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有1M2以上缺损色块或草坪或地被，每发现一处扣0.5分。</w:t>
            </w:r>
          </w:p>
        </w:tc>
        <w:tc>
          <w:tcPr>
            <w:tcW w:w="702" w:type="dxa"/>
            <w:noWrap w:val="0"/>
            <w:tcMar>
              <w:left w:w="28" w:type="dxa"/>
              <w:right w:w="28" w:type="dxa"/>
            </w:tcMar>
            <w:vAlign w:val="center"/>
          </w:tcPr>
          <w:p w14:paraId="1933E963">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702" w:type="dxa"/>
            <w:noWrap w:val="0"/>
            <w:tcMar>
              <w:left w:w="28" w:type="dxa"/>
              <w:right w:w="28" w:type="dxa"/>
            </w:tcMar>
            <w:vAlign w:val="center"/>
          </w:tcPr>
          <w:p w14:paraId="1C4968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c>
          <w:tcPr>
            <w:tcW w:w="702" w:type="dxa"/>
            <w:noWrap w:val="0"/>
            <w:vAlign w:val="center"/>
          </w:tcPr>
          <w:p w14:paraId="20DCE3B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 w:val="24"/>
                <w:highlight w:val="none"/>
              </w:rPr>
            </w:pPr>
          </w:p>
        </w:tc>
      </w:tr>
      <w:tr w14:paraId="4803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37" w:type="dxa"/>
            <w:vMerge w:val="restart"/>
            <w:noWrap w:val="0"/>
            <w:tcMar>
              <w:left w:w="28" w:type="dxa"/>
              <w:right w:w="28" w:type="dxa"/>
            </w:tcMar>
            <w:vAlign w:val="center"/>
          </w:tcPr>
          <w:p w14:paraId="76F787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病虫害</w:t>
            </w:r>
          </w:p>
          <w:p w14:paraId="0874EF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防治</w:t>
            </w:r>
          </w:p>
          <w:p w14:paraId="5F842B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（14分）</w:t>
            </w:r>
          </w:p>
        </w:tc>
        <w:tc>
          <w:tcPr>
            <w:tcW w:w="3399" w:type="dxa"/>
            <w:noWrap w:val="0"/>
            <w:tcMar>
              <w:left w:w="28" w:type="dxa"/>
              <w:right w:w="28" w:type="dxa"/>
            </w:tcMar>
            <w:vAlign w:val="center"/>
          </w:tcPr>
          <w:p w14:paraId="7D4AAB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及时防治和控制病虫害的发生，无群众举报；防治措施效果明显。</w:t>
            </w:r>
          </w:p>
        </w:tc>
        <w:tc>
          <w:tcPr>
            <w:tcW w:w="3339" w:type="dxa"/>
            <w:noWrap w:val="0"/>
            <w:tcMar>
              <w:left w:w="28" w:type="dxa"/>
              <w:right w:w="28" w:type="dxa"/>
            </w:tcMar>
            <w:vAlign w:val="center"/>
          </w:tcPr>
          <w:p w14:paraId="7E519C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病虫害防治不力或有群众举报，经查证属实的，每发现一处扣1分；发现病虫害不及时防治，有明显危害症状扣2分/处。</w:t>
            </w:r>
          </w:p>
        </w:tc>
        <w:tc>
          <w:tcPr>
            <w:tcW w:w="702" w:type="dxa"/>
            <w:noWrap w:val="0"/>
            <w:tcMar>
              <w:left w:w="28" w:type="dxa"/>
              <w:right w:w="28" w:type="dxa"/>
            </w:tcMar>
            <w:vAlign w:val="center"/>
          </w:tcPr>
          <w:p w14:paraId="69BBEE82">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8</w:t>
            </w:r>
          </w:p>
        </w:tc>
        <w:tc>
          <w:tcPr>
            <w:tcW w:w="702" w:type="dxa"/>
            <w:noWrap w:val="0"/>
            <w:tcMar>
              <w:left w:w="28" w:type="dxa"/>
              <w:right w:w="28" w:type="dxa"/>
            </w:tcMar>
            <w:vAlign w:val="center"/>
          </w:tcPr>
          <w:p w14:paraId="291C7D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798A88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724A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37" w:type="dxa"/>
            <w:vMerge w:val="continue"/>
            <w:noWrap w:val="0"/>
            <w:tcMar>
              <w:left w:w="28" w:type="dxa"/>
              <w:right w:w="28" w:type="dxa"/>
            </w:tcMar>
            <w:vAlign w:val="center"/>
          </w:tcPr>
          <w:p w14:paraId="604CDC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p>
        </w:tc>
        <w:tc>
          <w:tcPr>
            <w:tcW w:w="3399" w:type="dxa"/>
            <w:noWrap w:val="0"/>
            <w:tcMar>
              <w:left w:w="28" w:type="dxa"/>
              <w:right w:w="28" w:type="dxa"/>
            </w:tcMar>
            <w:vAlign w:val="center"/>
          </w:tcPr>
          <w:p w14:paraId="063C6C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用药配比正确，操作安全，不发生药害事故。</w:t>
            </w:r>
          </w:p>
        </w:tc>
        <w:tc>
          <w:tcPr>
            <w:tcW w:w="3339" w:type="dxa"/>
            <w:noWrap w:val="0"/>
            <w:tcMar>
              <w:left w:w="28" w:type="dxa"/>
              <w:right w:w="28" w:type="dxa"/>
            </w:tcMar>
            <w:vAlign w:val="center"/>
          </w:tcPr>
          <w:p w14:paraId="242259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造成药害事故或影响观瞻的，扣2分。</w:t>
            </w:r>
          </w:p>
        </w:tc>
        <w:tc>
          <w:tcPr>
            <w:tcW w:w="702" w:type="dxa"/>
            <w:noWrap w:val="0"/>
            <w:tcMar>
              <w:left w:w="28" w:type="dxa"/>
              <w:right w:w="28" w:type="dxa"/>
            </w:tcMar>
            <w:vAlign w:val="center"/>
          </w:tcPr>
          <w:p w14:paraId="526DECF1">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2</w:t>
            </w:r>
          </w:p>
        </w:tc>
        <w:tc>
          <w:tcPr>
            <w:tcW w:w="702" w:type="dxa"/>
            <w:noWrap w:val="0"/>
            <w:tcMar>
              <w:left w:w="28" w:type="dxa"/>
              <w:right w:w="28" w:type="dxa"/>
            </w:tcMar>
            <w:vAlign w:val="center"/>
          </w:tcPr>
          <w:p w14:paraId="6B8B4C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1D920F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729C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37" w:type="dxa"/>
            <w:vMerge w:val="continue"/>
            <w:noWrap w:val="0"/>
            <w:tcMar>
              <w:left w:w="28" w:type="dxa"/>
              <w:right w:w="28" w:type="dxa"/>
            </w:tcMar>
            <w:vAlign w:val="center"/>
          </w:tcPr>
          <w:p w14:paraId="3C6CF4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p>
        </w:tc>
        <w:tc>
          <w:tcPr>
            <w:tcW w:w="3399" w:type="dxa"/>
            <w:noWrap w:val="0"/>
            <w:tcMar>
              <w:left w:w="28" w:type="dxa"/>
              <w:right w:w="28" w:type="dxa"/>
            </w:tcMar>
            <w:vAlign w:val="center"/>
          </w:tcPr>
          <w:p w14:paraId="1B666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结合冬季树干涂白，修剪，及时清理消灭越冬虫蛹、虫茧及有关病原体。</w:t>
            </w:r>
          </w:p>
        </w:tc>
        <w:tc>
          <w:tcPr>
            <w:tcW w:w="3339" w:type="dxa"/>
            <w:noWrap w:val="0"/>
            <w:tcMar>
              <w:left w:w="28" w:type="dxa"/>
              <w:right w:w="28" w:type="dxa"/>
            </w:tcMar>
            <w:vAlign w:val="center"/>
          </w:tcPr>
          <w:p w14:paraId="2F66B9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实施不及时的扣2分，不实施的，扣完。</w:t>
            </w:r>
          </w:p>
        </w:tc>
        <w:tc>
          <w:tcPr>
            <w:tcW w:w="702" w:type="dxa"/>
            <w:noWrap w:val="0"/>
            <w:tcMar>
              <w:left w:w="28" w:type="dxa"/>
              <w:right w:w="28" w:type="dxa"/>
            </w:tcMar>
            <w:vAlign w:val="center"/>
          </w:tcPr>
          <w:p w14:paraId="4C3A2678">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702" w:type="dxa"/>
            <w:noWrap w:val="0"/>
            <w:tcMar>
              <w:left w:w="28" w:type="dxa"/>
              <w:right w:w="28" w:type="dxa"/>
            </w:tcMar>
            <w:vAlign w:val="center"/>
          </w:tcPr>
          <w:p w14:paraId="2C0613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6759D7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7BB6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937" w:type="dxa"/>
            <w:noWrap w:val="0"/>
            <w:tcMar>
              <w:left w:w="28" w:type="dxa"/>
              <w:right w:w="28" w:type="dxa"/>
            </w:tcMar>
            <w:vAlign w:val="center"/>
          </w:tcPr>
          <w:p w14:paraId="019F19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灾害性</w:t>
            </w:r>
          </w:p>
          <w:p w14:paraId="52021D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天气</w:t>
            </w:r>
          </w:p>
          <w:p w14:paraId="49AA4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（8分）</w:t>
            </w:r>
          </w:p>
        </w:tc>
        <w:tc>
          <w:tcPr>
            <w:tcW w:w="3399" w:type="dxa"/>
            <w:noWrap w:val="0"/>
            <w:tcMar>
              <w:left w:w="28" w:type="dxa"/>
              <w:right w:w="28" w:type="dxa"/>
            </w:tcMar>
            <w:vAlign w:val="center"/>
          </w:tcPr>
          <w:p w14:paraId="1B7BA4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在灾害性天气来临前，及时做好相应的防护预案和树木加固措施。对于遭受大风、大雪危害，迅速清理积雪，对断枝、倒伏树木及时处理，做好灾后修复工作；根据实际情况及时修剪、扶正并加固支撑，并在灾后加强肥水管理，促进树势的恢复，对难以补救者并适时补植。</w:t>
            </w:r>
          </w:p>
        </w:tc>
        <w:tc>
          <w:tcPr>
            <w:tcW w:w="3339" w:type="dxa"/>
            <w:noWrap w:val="0"/>
            <w:tcMar>
              <w:left w:w="28" w:type="dxa"/>
              <w:right w:w="28" w:type="dxa"/>
            </w:tcMar>
            <w:vAlign w:val="center"/>
          </w:tcPr>
          <w:p w14:paraId="6A9347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防护加固措施实施不及时的扣2分；未适时补植的扣2分；因未及时清理积雪影响交通或者遭受投诉的，扣2分；未及时做好灾后修复的扣2分；扣完为止。</w:t>
            </w:r>
          </w:p>
        </w:tc>
        <w:tc>
          <w:tcPr>
            <w:tcW w:w="702" w:type="dxa"/>
            <w:noWrap w:val="0"/>
            <w:tcMar>
              <w:left w:w="28" w:type="dxa"/>
              <w:right w:w="28" w:type="dxa"/>
            </w:tcMar>
            <w:vAlign w:val="center"/>
          </w:tcPr>
          <w:p w14:paraId="0D1D1017">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8</w:t>
            </w:r>
          </w:p>
        </w:tc>
        <w:tc>
          <w:tcPr>
            <w:tcW w:w="702" w:type="dxa"/>
            <w:noWrap w:val="0"/>
            <w:tcMar>
              <w:left w:w="28" w:type="dxa"/>
              <w:right w:w="28" w:type="dxa"/>
            </w:tcMar>
            <w:vAlign w:val="center"/>
          </w:tcPr>
          <w:p w14:paraId="3D14B1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3495E3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3A03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37" w:type="dxa"/>
            <w:noWrap w:val="0"/>
            <w:tcMar>
              <w:left w:w="28" w:type="dxa"/>
              <w:right w:w="28" w:type="dxa"/>
            </w:tcMar>
            <w:vAlign w:val="center"/>
          </w:tcPr>
          <w:p w14:paraId="3FE8AC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施肥、抗旱</w:t>
            </w:r>
          </w:p>
          <w:p w14:paraId="54F401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（9分）</w:t>
            </w:r>
          </w:p>
        </w:tc>
        <w:tc>
          <w:tcPr>
            <w:tcW w:w="3399" w:type="dxa"/>
            <w:noWrap w:val="0"/>
            <w:tcMar>
              <w:left w:w="28" w:type="dxa"/>
              <w:right w:w="28" w:type="dxa"/>
            </w:tcMar>
            <w:vAlign w:val="center"/>
          </w:tcPr>
          <w:p w14:paraId="2BDAC2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树木、草坪、色块按要求及时施肥，每年休眠期施基肥，生长期施2-3次追肥，规范操作。施肥方法适当，用量合理，不产生肥害。</w:t>
            </w:r>
          </w:p>
        </w:tc>
        <w:tc>
          <w:tcPr>
            <w:tcW w:w="3339" w:type="dxa"/>
            <w:noWrap w:val="0"/>
            <w:tcMar>
              <w:left w:w="28" w:type="dxa"/>
              <w:right w:w="28" w:type="dxa"/>
            </w:tcMar>
            <w:vAlign w:val="center"/>
          </w:tcPr>
          <w:p w14:paraId="013A5B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不按要求及时施肥，扣2分；偷工减料，肥料施用不规范不到位，造成植物长势不整齐，发现一处扣1分。如发生肥害，扣1分/处，致植物死亡，加倍扣分。</w:t>
            </w:r>
          </w:p>
        </w:tc>
        <w:tc>
          <w:tcPr>
            <w:tcW w:w="702" w:type="dxa"/>
            <w:noWrap w:val="0"/>
            <w:tcMar>
              <w:left w:w="28" w:type="dxa"/>
              <w:right w:w="28" w:type="dxa"/>
            </w:tcMar>
            <w:vAlign w:val="center"/>
          </w:tcPr>
          <w:p w14:paraId="0F2DB615">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3</w:t>
            </w:r>
          </w:p>
        </w:tc>
        <w:tc>
          <w:tcPr>
            <w:tcW w:w="702" w:type="dxa"/>
            <w:noWrap w:val="0"/>
            <w:tcMar>
              <w:left w:w="28" w:type="dxa"/>
              <w:right w:w="28" w:type="dxa"/>
            </w:tcMar>
            <w:vAlign w:val="center"/>
          </w:tcPr>
          <w:p w14:paraId="4DDA307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黑体" w:hAnsi="黑体" w:eastAsia="黑体" w:cs="黑体"/>
                <w:color w:val="auto"/>
                <w:sz w:val="24"/>
                <w:highlight w:val="none"/>
              </w:rPr>
            </w:pPr>
          </w:p>
        </w:tc>
        <w:tc>
          <w:tcPr>
            <w:tcW w:w="702" w:type="dxa"/>
            <w:noWrap w:val="0"/>
            <w:vAlign w:val="center"/>
          </w:tcPr>
          <w:p w14:paraId="0E9E921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黑体" w:hAnsi="黑体" w:eastAsia="黑体" w:cs="黑体"/>
                <w:color w:val="auto"/>
                <w:sz w:val="24"/>
                <w:highlight w:val="none"/>
              </w:rPr>
            </w:pPr>
          </w:p>
        </w:tc>
      </w:tr>
      <w:tr w14:paraId="7ECF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37" w:type="dxa"/>
            <w:noWrap w:val="0"/>
            <w:tcMar>
              <w:left w:w="28" w:type="dxa"/>
              <w:right w:w="28" w:type="dxa"/>
            </w:tcMar>
            <w:vAlign w:val="top"/>
          </w:tcPr>
          <w:p w14:paraId="4AA9EA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p>
        </w:tc>
        <w:tc>
          <w:tcPr>
            <w:tcW w:w="3399" w:type="dxa"/>
            <w:noWrap w:val="0"/>
            <w:tcMar>
              <w:left w:w="28" w:type="dxa"/>
              <w:right w:w="28" w:type="dxa"/>
            </w:tcMar>
            <w:vAlign w:val="center"/>
          </w:tcPr>
          <w:p w14:paraId="1EAAC3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根据实际情况，对绿化树木及草坪进行适期适量灌水，及时抗旱，确保正常生长。</w:t>
            </w:r>
          </w:p>
        </w:tc>
        <w:tc>
          <w:tcPr>
            <w:tcW w:w="3339" w:type="dxa"/>
            <w:noWrap w:val="0"/>
            <w:tcMar>
              <w:left w:w="28" w:type="dxa"/>
              <w:right w:w="28" w:type="dxa"/>
            </w:tcMar>
            <w:vAlign w:val="center"/>
          </w:tcPr>
          <w:p w14:paraId="43A69D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未及时浇灌，致使绿地植物死亡的，树木扣1分/株，绿篱、草坪扣0.5分/m2，扣完为止。</w:t>
            </w:r>
          </w:p>
        </w:tc>
        <w:tc>
          <w:tcPr>
            <w:tcW w:w="702" w:type="dxa"/>
            <w:noWrap w:val="0"/>
            <w:tcMar>
              <w:left w:w="28" w:type="dxa"/>
              <w:right w:w="28" w:type="dxa"/>
            </w:tcMar>
            <w:vAlign w:val="center"/>
          </w:tcPr>
          <w:p w14:paraId="1217AEA8">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6</w:t>
            </w:r>
          </w:p>
        </w:tc>
        <w:tc>
          <w:tcPr>
            <w:tcW w:w="702" w:type="dxa"/>
            <w:noWrap w:val="0"/>
            <w:tcMar>
              <w:left w:w="28" w:type="dxa"/>
              <w:right w:w="28" w:type="dxa"/>
            </w:tcMar>
            <w:vAlign w:val="center"/>
          </w:tcPr>
          <w:p w14:paraId="435ACD29">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p>
        </w:tc>
        <w:tc>
          <w:tcPr>
            <w:tcW w:w="702" w:type="dxa"/>
            <w:noWrap w:val="0"/>
            <w:vAlign w:val="center"/>
          </w:tcPr>
          <w:p w14:paraId="2917DD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4"/>
                <w:highlight w:val="none"/>
              </w:rPr>
            </w:pPr>
          </w:p>
        </w:tc>
      </w:tr>
      <w:tr w14:paraId="6FA4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noWrap w:val="0"/>
            <w:tcMar>
              <w:left w:w="28" w:type="dxa"/>
              <w:right w:w="28" w:type="dxa"/>
            </w:tcMar>
            <w:vAlign w:val="center"/>
          </w:tcPr>
          <w:p w14:paraId="427C96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松土、除草</w:t>
            </w:r>
          </w:p>
          <w:p w14:paraId="36E06F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（9分）</w:t>
            </w:r>
          </w:p>
        </w:tc>
        <w:tc>
          <w:tcPr>
            <w:tcW w:w="3399" w:type="dxa"/>
            <w:noWrap w:val="0"/>
            <w:tcMar>
              <w:left w:w="28" w:type="dxa"/>
              <w:right w:w="28" w:type="dxa"/>
            </w:tcMar>
            <w:vAlign w:val="center"/>
          </w:tcPr>
          <w:p w14:paraId="63916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绿地及时松土除草，保持土壤疏松，无明显杂草，清下的杂草当天清运；树穴整修，草坪内树穴与绿篱及时切边，草坪与绿篱、树木、草花应及时切边分隔，边缘线清晰；经同意使用除草剂须保证园林植物及环境安全，确保不发生药害。</w:t>
            </w:r>
          </w:p>
        </w:tc>
        <w:tc>
          <w:tcPr>
            <w:tcW w:w="3339" w:type="dxa"/>
            <w:noWrap w:val="0"/>
            <w:tcMar>
              <w:left w:w="28" w:type="dxa"/>
              <w:right w:w="28" w:type="dxa"/>
            </w:tcMar>
            <w:vAlign w:val="center"/>
          </w:tcPr>
          <w:p w14:paraId="30FDAA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树穴、地被土壤板结，长期不疏松，扣1分/处；发现有杂草扣1分/处；清下的杂草当天未及时清运扣2分；树穴、绿篱等不及时切边，草坪与树木、绿篱、草花等无明显分隔沟扣1分/处；发现一处药害扣1分，扣完为止。</w:t>
            </w:r>
          </w:p>
        </w:tc>
        <w:tc>
          <w:tcPr>
            <w:tcW w:w="702" w:type="dxa"/>
            <w:noWrap w:val="0"/>
            <w:tcMar>
              <w:left w:w="28" w:type="dxa"/>
              <w:right w:w="28" w:type="dxa"/>
            </w:tcMar>
            <w:vAlign w:val="center"/>
          </w:tcPr>
          <w:p w14:paraId="0E7BC591">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9</w:t>
            </w:r>
          </w:p>
        </w:tc>
        <w:tc>
          <w:tcPr>
            <w:tcW w:w="702" w:type="dxa"/>
            <w:noWrap w:val="0"/>
            <w:tcMar>
              <w:left w:w="28" w:type="dxa"/>
              <w:right w:w="28" w:type="dxa"/>
            </w:tcMar>
            <w:vAlign w:val="center"/>
          </w:tcPr>
          <w:p w14:paraId="4427B1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497B33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6F9B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37" w:type="dxa"/>
            <w:noWrap w:val="0"/>
            <w:tcMar>
              <w:left w:w="28" w:type="dxa"/>
              <w:right w:w="28" w:type="dxa"/>
            </w:tcMar>
            <w:vAlign w:val="center"/>
          </w:tcPr>
          <w:p w14:paraId="5B44DE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绿地清理</w:t>
            </w:r>
          </w:p>
          <w:p w14:paraId="45951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日常保洁</w:t>
            </w:r>
          </w:p>
          <w:p w14:paraId="4A68F8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（8分）</w:t>
            </w:r>
          </w:p>
        </w:tc>
        <w:tc>
          <w:tcPr>
            <w:tcW w:w="3399" w:type="dxa"/>
            <w:noWrap w:val="0"/>
            <w:tcMar>
              <w:left w:w="28" w:type="dxa"/>
              <w:right w:w="28" w:type="dxa"/>
            </w:tcMar>
            <w:vAlign w:val="center"/>
          </w:tcPr>
          <w:p w14:paraId="59F869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绿地整洁，无白色污染，无纸屑果壳等垃圾，无枯枝病叶；绿化生产垃圾(树枝、树叶、草屑等)，随产随清。</w:t>
            </w:r>
          </w:p>
        </w:tc>
        <w:tc>
          <w:tcPr>
            <w:tcW w:w="3339" w:type="dxa"/>
            <w:noWrap w:val="0"/>
            <w:tcMar>
              <w:left w:w="28" w:type="dxa"/>
              <w:right w:w="28" w:type="dxa"/>
            </w:tcMar>
            <w:vAlign w:val="center"/>
          </w:tcPr>
          <w:p w14:paraId="26D9FC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有一项内容达不到要求，扣1分，扣完为止。</w:t>
            </w:r>
          </w:p>
        </w:tc>
        <w:tc>
          <w:tcPr>
            <w:tcW w:w="702" w:type="dxa"/>
            <w:noWrap w:val="0"/>
            <w:tcMar>
              <w:left w:w="28" w:type="dxa"/>
              <w:right w:w="28" w:type="dxa"/>
            </w:tcMar>
            <w:vAlign w:val="center"/>
          </w:tcPr>
          <w:p w14:paraId="2BD0ECE1">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8</w:t>
            </w:r>
          </w:p>
        </w:tc>
        <w:tc>
          <w:tcPr>
            <w:tcW w:w="702" w:type="dxa"/>
            <w:noWrap w:val="0"/>
            <w:tcMar>
              <w:left w:w="28" w:type="dxa"/>
              <w:right w:w="28" w:type="dxa"/>
            </w:tcMar>
            <w:vAlign w:val="center"/>
          </w:tcPr>
          <w:p w14:paraId="648624E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51C10D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48D7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37" w:type="dxa"/>
            <w:noWrap w:val="0"/>
            <w:tcMar>
              <w:left w:w="28" w:type="dxa"/>
              <w:right w:w="28" w:type="dxa"/>
            </w:tcMar>
            <w:vAlign w:val="center"/>
          </w:tcPr>
          <w:p w14:paraId="0CF33D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绿化设施维修维护</w:t>
            </w:r>
          </w:p>
          <w:p w14:paraId="32A4E4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（3分）</w:t>
            </w:r>
          </w:p>
        </w:tc>
        <w:tc>
          <w:tcPr>
            <w:tcW w:w="3399" w:type="dxa"/>
            <w:noWrap w:val="0"/>
            <w:tcMar>
              <w:left w:w="28" w:type="dxa"/>
              <w:right w:w="28" w:type="dxa"/>
            </w:tcMar>
            <w:vAlign w:val="center"/>
          </w:tcPr>
          <w:p w14:paraId="68F930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树木支撑规范，扎缚有效，每年调整加固至少一次；隔离带护栏、树池护树板等设施整洁完好，维护及时。</w:t>
            </w:r>
          </w:p>
        </w:tc>
        <w:tc>
          <w:tcPr>
            <w:tcW w:w="3339" w:type="dxa"/>
            <w:noWrap w:val="0"/>
            <w:tcMar>
              <w:left w:w="28" w:type="dxa"/>
              <w:right w:w="28" w:type="dxa"/>
            </w:tcMar>
            <w:vAlign w:val="center"/>
          </w:tcPr>
          <w:p w14:paraId="08CBC7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发现一处扣1分，扣完为止。</w:t>
            </w:r>
          </w:p>
        </w:tc>
        <w:tc>
          <w:tcPr>
            <w:tcW w:w="702" w:type="dxa"/>
            <w:noWrap w:val="0"/>
            <w:tcMar>
              <w:left w:w="28" w:type="dxa"/>
              <w:right w:w="28" w:type="dxa"/>
            </w:tcMar>
            <w:vAlign w:val="center"/>
          </w:tcPr>
          <w:p w14:paraId="5C9D9D6F">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3</w:t>
            </w:r>
          </w:p>
        </w:tc>
        <w:tc>
          <w:tcPr>
            <w:tcW w:w="702" w:type="dxa"/>
            <w:noWrap w:val="0"/>
            <w:tcMar>
              <w:left w:w="28" w:type="dxa"/>
              <w:right w:w="28" w:type="dxa"/>
            </w:tcMar>
            <w:vAlign w:val="center"/>
          </w:tcPr>
          <w:p w14:paraId="4D2998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2D4CBFA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0093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37" w:type="dxa"/>
            <w:vMerge w:val="restart"/>
            <w:noWrap w:val="0"/>
            <w:tcMar>
              <w:left w:w="28" w:type="dxa"/>
              <w:right w:w="28" w:type="dxa"/>
            </w:tcMar>
            <w:vAlign w:val="center"/>
          </w:tcPr>
          <w:p w14:paraId="3E55ED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养护台账、车辆、人员安全管理</w:t>
            </w:r>
          </w:p>
          <w:p w14:paraId="6FFDE3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（7分）</w:t>
            </w:r>
          </w:p>
        </w:tc>
        <w:tc>
          <w:tcPr>
            <w:tcW w:w="3399" w:type="dxa"/>
            <w:noWrap w:val="0"/>
            <w:tcMar>
              <w:left w:w="28" w:type="dxa"/>
              <w:right w:w="28" w:type="dxa"/>
            </w:tcMar>
            <w:vAlign w:val="center"/>
          </w:tcPr>
          <w:p w14:paraId="7C611F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养护工作有台帐、记录全、内容实。每季度工作计划详细并及时上报管理处。</w:t>
            </w:r>
          </w:p>
        </w:tc>
        <w:tc>
          <w:tcPr>
            <w:tcW w:w="3339" w:type="dxa"/>
            <w:noWrap w:val="0"/>
            <w:tcMar>
              <w:left w:w="28" w:type="dxa"/>
              <w:right w:w="28" w:type="dxa"/>
            </w:tcMar>
            <w:vAlign w:val="center"/>
          </w:tcPr>
          <w:p w14:paraId="1909F5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养护台帐记录不全，每次扣1分；未按规定上报养护计划，每次扣1分；无养护台帐，不得分。</w:t>
            </w:r>
          </w:p>
        </w:tc>
        <w:tc>
          <w:tcPr>
            <w:tcW w:w="702" w:type="dxa"/>
            <w:noWrap w:val="0"/>
            <w:tcMar>
              <w:left w:w="28" w:type="dxa"/>
              <w:right w:w="28" w:type="dxa"/>
            </w:tcMar>
            <w:vAlign w:val="center"/>
          </w:tcPr>
          <w:p w14:paraId="16FB667B">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3</w:t>
            </w:r>
          </w:p>
        </w:tc>
        <w:tc>
          <w:tcPr>
            <w:tcW w:w="702" w:type="dxa"/>
            <w:noWrap w:val="0"/>
            <w:tcMar>
              <w:left w:w="28" w:type="dxa"/>
              <w:right w:w="28" w:type="dxa"/>
            </w:tcMar>
            <w:vAlign w:val="center"/>
          </w:tcPr>
          <w:p w14:paraId="766A95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3863D38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6B29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37" w:type="dxa"/>
            <w:vMerge w:val="continue"/>
            <w:noWrap w:val="0"/>
            <w:tcMar>
              <w:left w:w="28" w:type="dxa"/>
              <w:right w:w="28" w:type="dxa"/>
            </w:tcMar>
            <w:vAlign w:val="top"/>
          </w:tcPr>
          <w:p w14:paraId="6BB057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2"/>
                <w:highlight w:val="none"/>
              </w:rPr>
            </w:pPr>
          </w:p>
        </w:tc>
        <w:tc>
          <w:tcPr>
            <w:tcW w:w="3399" w:type="dxa"/>
            <w:noWrap w:val="0"/>
            <w:tcMar>
              <w:left w:w="28" w:type="dxa"/>
              <w:right w:w="28" w:type="dxa"/>
            </w:tcMar>
            <w:vAlign w:val="center"/>
          </w:tcPr>
          <w:p w14:paraId="2E7DCA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绿化养护人员(每1万平方米绿地不得少于1人)和绿地保洁人员（每10万平方米绿地不得少于1人），统一着装上岗，养护车辆统一标识，设备到位，严格按安全生产操作规程组织作业，养护作业规范，无重大责任事故及投拆。</w:t>
            </w:r>
          </w:p>
        </w:tc>
        <w:tc>
          <w:tcPr>
            <w:tcW w:w="3339" w:type="dxa"/>
            <w:noWrap w:val="0"/>
            <w:tcMar>
              <w:left w:w="28" w:type="dxa"/>
              <w:right w:w="28" w:type="dxa"/>
            </w:tcMar>
            <w:vAlign w:val="center"/>
          </w:tcPr>
          <w:p w14:paraId="2ABC7A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养护人员数量不符合要求，扣完分值；养护人员不按要求统一着装，现场养护秩序乱，不按要求安全作业，发现一次扣2分；施工时，标志标牌不齐全的扣2分。</w:t>
            </w:r>
          </w:p>
        </w:tc>
        <w:tc>
          <w:tcPr>
            <w:tcW w:w="702" w:type="dxa"/>
            <w:noWrap w:val="0"/>
            <w:tcMar>
              <w:left w:w="28" w:type="dxa"/>
              <w:right w:w="28" w:type="dxa"/>
            </w:tcMar>
            <w:vAlign w:val="center"/>
          </w:tcPr>
          <w:p w14:paraId="286EA303">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702" w:type="dxa"/>
            <w:noWrap w:val="0"/>
            <w:tcMar>
              <w:left w:w="28" w:type="dxa"/>
              <w:right w:w="28" w:type="dxa"/>
            </w:tcMar>
            <w:vAlign w:val="center"/>
          </w:tcPr>
          <w:p w14:paraId="3194225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c>
          <w:tcPr>
            <w:tcW w:w="702" w:type="dxa"/>
            <w:noWrap w:val="0"/>
            <w:vAlign w:val="center"/>
          </w:tcPr>
          <w:p w14:paraId="5AFE53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6D2C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937" w:type="dxa"/>
            <w:vMerge w:val="restart"/>
            <w:noWrap w:val="0"/>
            <w:tcMar>
              <w:left w:w="28" w:type="dxa"/>
              <w:right w:w="28" w:type="dxa"/>
            </w:tcMar>
            <w:vAlign w:val="center"/>
          </w:tcPr>
          <w:p w14:paraId="4C120A5A">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p>
          <w:p w14:paraId="3825311A">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其他管</w:t>
            </w:r>
          </w:p>
          <w:p w14:paraId="65E12EFA">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理工作</w:t>
            </w:r>
          </w:p>
          <w:p w14:paraId="13D72853">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（17分）</w:t>
            </w:r>
          </w:p>
        </w:tc>
        <w:tc>
          <w:tcPr>
            <w:tcW w:w="3399" w:type="dxa"/>
            <w:noWrap w:val="0"/>
            <w:tcMar>
              <w:left w:w="28" w:type="dxa"/>
              <w:right w:w="28" w:type="dxa"/>
            </w:tcMar>
            <w:vAlign w:val="center"/>
          </w:tcPr>
          <w:p w14:paraId="1CB170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一旦发现破坏毁损绿化现象(如采摘果实、攀折花木、偷盗苗木等)或在绿地中乱搭建设摊、在树上吊挂衣服以及遇到环卫工人随意向绿地中倾倒垃圾等现象，应当立即制止，情况严重的及时向管理处汇报情况。</w:t>
            </w:r>
          </w:p>
        </w:tc>
        <w:tc>
          <w:tcPr>
            <w:tcW w:w="3339" w:type="dxa"/>
            <w:noWrap w:val="0"/>
            <w:tcMar>
              <w:left w:w="28" w:type="dxa"/>
              <w:right w:w="28" w:type="dxa"/>
            </w:tcMar>
            <w:vAlign w:val="center"/>
          </w:tcPr>
          <w:p w14:paraId="2F5A2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发现其中一项未及时制止并上报，扣2分/次。</w:t>
            </w:r>
          </w:p>
        </w:tc>
        <w:tc>
          <w:tcPr>
            <w:tcW w:w="702" w:type="dxa"/>
            <w:noWrap w:val="0"/>
            <w:tcMar>
              <w:left w:w="28" w:type="dxa"/>
              <w:right w:w="28" w:type="dxa"/>
            </w:tcMar>
            <w:vAlign w:val="center"/>
          </w:tcPr>
          <w:p w14:paraId="45632ED0">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702" w:type="dxa"/>
            <w:noWrap w:val="0"/>
            <w:tcMar>
              <w:left w:w="28" w:type="dxa"/>
              <w:right w:w="28" w:type="dxa"/>
            </w:tcMar>
            <w:vAlign w:val="center"/>
          </w:tcPr>
          <w:p w14:paraId="55FF7724">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p>
        </w:tc>
        <w:tc>
          <w:tcPr>
            <w:tcW w:w="702" w:type="dxa"/>
            <w:noWrap w:val="0"/>
            <w:vAlign w:val="center"/>
          </w:tcPr>
          <w:p w14:paraId="49E7A9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6EB1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37" w:type="dxa"/>
            <w:vMerge w:val="continue"/>
            <w:noWrap w:val="0"/>
            <w:tcMar>
              <w:left w:w="28" w:type="dxa"/>
              <w:right w:w="28" w:type="dxa"/>
            </w:tcMar>
            <w:vAlign w:val="top"/>
          </w:tcPr>
          <w:p w14:paraId="79E0388A">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p>
        </w:tc>
        <w:tc>
          <w:tcPr>
            <w:tcW w:w="3399" w:type="dxa"/>
            <w:noWrap w:val="0"/>
            <w:tcMar>
              <w:left w:w="28" w:type="dxa"/>
              <w:right w:w="28" w:type="dxa"/>
            </w:tcMar>
            <w:vAlign w:val="center"/>
          </w:tcPr>
          <w:p w14:paraId="4EAFD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对相关部门、数字城管、社会各界及管理单位下发的整改通知书等所反映的问题及时处理。如遇上级各种检查以及各类创建活动，必须无条件及时配合完成各项应急工作。</w:t>
            </w:r>
          </w:p>
        </w:tc>
        <w:tc>
          <w:tcPr>
            <w:tcW w:w="3339" w:type="dxa"/>
            <w:noWrap w:val="0"/>
            <w:tcMar>
              <w:left w:w="28" w:type="dxa"/>
              <w:right w:w="28" w:type="dxa"/>
            </w:tcMar>
            <w:vAlign w:val="center"/>
          </w:tcPr>
          <w:p w14:paraId="353FCD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遭新闻媒体曝光及上级领导点名通报批评，一次性扣9分；数字城管案件，在规定时间未处理扣2分,返工案件、不及时配合一次性扣9分。</w:t>
            </w:r>
          </w:p>
        </w:tc>
        <w:tc>
          <w:tcPr>
            <w:tcW w:w="702" w:type="dxa"/>
            <w:noWrap w:val="0"/>
            <w:tcMar>
              <w:left w:w="28" w:type="dxa"/>
              <w:right w:w="28" w:type="dxa"/>
            </w:tcMar>
            <w:vAlign w:val="center"/>
          </w:tcPr>
          <w:p w14:paraId="629B73AF">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9</w:t>
            </w:r>
          </w:p>
        </w:tc>
        <w:tc>
          <w:tcPr>
            <w:tcW w:w="702" w:type="dxa"/>
            <w:noWrap w:val="0"/>
            <w:tcMar>
              <w:left w:w="28" w:type="dxa"/>
              <w:right w:w="28" w:type="dxa"/>
            </w:tcMar>
            <w:vAlign w:val="center"/>
          </w:tcPr>
          <w:p w14:paraId="26E89D44">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p>
        </w:tc>
        <w:tc>
          <w:tcPr>
            <w:tcW w:w="702" w:type="dxa"/>
            <w:noWrap w:val="0"/>
            <w:vAlign w:val="center"/>
          </w:tcPr>
          <w:p w14:paraId="359B318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r w14:paraId="628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37" w:type="dxa"/>
            <w:vMerge w:val="continue"/>
            <w:noWrap w:val="0"/>
            <w:tcMar>
              <w:left w:w="28" w:type="dxa"/>
              <w:right w:w="28" w:type="dxa"/>
            </w:tcMar>
            <w:vAlign w:val="top"/>
          </w:tcPr>
          <w:p w14:paraId="5F870ED7">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p>
        </w:tc>
        <w:tc>
          <w:tcPr>
            <w:tcW w:w="3399" w:type="dxa"/>
            <w:noWrap w:val="0"/>
            <w:tcMar>
              <w:left w:w="28" w:type="dxa"/>
              <w:right w:w="28" w:type="dxa"/>
            </w:tcMar>
            <w:vAlign w:val="center"/>
          </w:tcPr>
          <w:p w14:paraId="105B94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保护所承担养护区域的绿地，如遇第三方开挖，应主动检查其开挖证明，并跟踪其开挖活动，避免绿地受损。</w:t>
            </w:r>
          </w:p>
        </w:tc>
        <w:tc>
          <w:tcPr>
            <w:tcW w:w="3339" w:type="dxa"/>
            <w:noWrap w:val="0"/>
            <w:tcMar>
              <w:left w:w="28" w:type="dxa"/>
              <w:right w:w="28" w:type="dxa"/>
            </w:tcMar>
            <w:vAlign w:val="center"/>
          </w:tcPr>
          <w:p w14:paraId="289219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发现毁绿未及时制止及上报，扣4分。</w:t>
            </w:r>
          </w:p>
        </w:tc>
        <w:tc>
          <w:tcPr>
            <w:tcW w:w="702" w:type="dxa"/>
            <w:noWrap w:val="0"/>
            <w:tcMar>
              <w:left w:w="28" w:type="dxa"/>
              <w:right w:w="28" w:type="dxa"/>
            </w:tcMar>
            <w:vAlign w:val="center"/>
          </w:tcPr>
          <w:p w14:paraId="77773487">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702" w:type="dxa"/>
            <w:noWrap w:val="0"/>
            <w:tcMar>
              <w:left w:w="28" w:type="dxa"/>
              <w:right w:w="28" w:type="dxa"/>
            </w:tcMar>
            <w:vAlign w:val="center"/>
          </w:tcPr>
          <w:p w14:paraId="77DC671F">
            <w:pPr>
              <w:keepNext w:val="0"/>
              <w:keepLines w:val="0"/>
              <w:pageBreakBefore w:val="0"/>
              <w:widowControl w:val="0"/>
              <w:kinsoku/>
              <w:wordWrap/>
              <w:overflowPunct/>
              <w:topLinePunct w:val="0"/>
              <w:autoSpaceDE/>
              <w:autoSpaceDN/>
              <w:bidi w:val="0"/>
              <w:adjustRightInd/>
              <w:snapToGrid/>
              <w:spacing w:before="120" w:beforeLines="50" w:line="360" w:lineRule="exact"/>
              <w:jc w:val="center"/>
              <w:textAlignment w:val="auto"/>
              <w:rPr>
                <w:rFonts w:hint="eastAsia" w:ascii="黑体" w:hAnsi="黑体" w:eastAsia="黑体" w:cs="黑体"/>
                <w:color w:val="auto"/>
                <w:szCs w:val="21"/>
                <w:highlight w:val="none"/>
              </w:rPr>
            </w:pPr>
          </w:p>
        </w:tc>
        <w:tc>
          <w:tcPr>
            <w:tcW w:w="702" w:type="dxa"/>
            <w:noWrap w:val="0"/>
            <w:vAlign w:val="center"/>
          </w:tcPr>
          <w:p w14:paraId="569C1A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highlight w:val="none"/>
              </w:rPr>
            </w:pPr>
          </w:p>
        </w:tc>
      </w:tr>
    </w:tbl>
    <w:p w14:paraId="4973DBC9">
      <w:pPr>
        <w:pStyle w:val="73"/>
        <w:spacing w:line="360" w:lineRule="auto"/>
        <w:ind w:firstLine="420" w:firstLineChars="200"/>
        <w:jc w:val="both"/>
        <w:rPr>
          <w:rFonts w:hint="eastAsia" w:ascii="黑体" w:hAnsi="黑体" w:eastAsia="黑体" w:cs="黑体"/>
          <w:color w:val="auto"/>
          <w:sz w:val="21"/>
          <w:szCs w:val="21"/>
          <w:highlight w:val="none"/>
        </w:rPr>
      </w:pPr>
    </w:p>
    <w:p w14:paraId="2F0E2958">
      <w:pPr>
        <w:rPr>
          <w:rFonts w:hint="eastAsia" w:ascii="黑体" w:hAnsi="黑体" w:eastAsia="黑体" w:cs="黑体"/>
          <w:b/>
          <w:bCs/>
          <w:color w:val="auto"/>
          <w:kern w:val="28"/>
          <w:sz w:val="28"/>
          <w:szCs w:val="28"/>
          <w:highlight w:val="none"/>
        </w:rPr>
      </w:pPr>
      <w:r>
        <w:rPr>
          <w:rFonts w:hint="eastAsia" w:ascii="黑体" w:hAnsi="黑体" w:eastAsia="黑体" w:cs="黑体"/>
          <w:b/>
          <w:bCs/>
          <w:color w:val="auto"/>
          <w:kern w:val="28"/>
          <w:sz w:val="28"/>
          <w:szCs w:val="28"/>
          <w:highlight w:val="none"/>
        </w:rPr>
        <w:br w:type="page"/>
      </w:r>
    </w:p>
    <w:p w14:paraId="0F17CD6C">
      <w:pPr>
        <w:pStyle w:val="25"/>
        <w:spacing w:before="120" w:beforeLines="50" w:line="360" w:lineRule="auto"/>
        <w:jc w:val="center"/>
        <w:rPr>
          <w:rFonts w:hint="eastAsia" w:ascii="黑体" w:hAnsi="黑体" w:eastAsia="黑体" w:cs="黑体"/>
          <w:b/>
          <w:bCs/>
          <w:color w:val="auto"/>
          <w:kern w:val="28"/>
          <w:sz w:val="28"/>
          <w:szCs w:val="28"/>
          <w:highlight w:val="none"/>
        </w:rPr>
      </w:pPr>
      <w:r>
        <w:rPr>
          <w:rFonts w:hint="eastAsia" w:ascii="黑体" w:hAnsi="黑体" w:eastAsia="黑体" w:cs="黑体"/>
          <w:b/>
          <w:bCs/>
          <w:color w:val="auto"/>
          <w:kern w:val="28"/>
          <w:sz w:val="28"/>
          <w:szCs w:val="28"/>
          <w:highlight w:val="none"/>
        </w:rPr>
        <w:t>商务条款</w:t>
      </w:r>
    </w:p>
    <w:p w14:paraId="1F305FFC">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▲1.项目服务周期（进度）：合同签订之日起</w:t>
      </w:r>
      <w:r>
        <w:rPr>
          <w:rFonts w:hint="eastAsia" w:ascii="黑体" w:hAnsi="黑体" w:eastAsia="黑体" w:cs="黑体"/>
          <w:b/>
          <w:color w:val="auto"/>
          <w:sz w:val="24"/>
          <w:szCs w:val="24"/>
          <w:highlight w:val="none"/>
          <w:lang w:val="en-US" w:eastAsia="zh-CN"/>
        </w:rPr>
        <w:t>1</w:t>
      </w:r>
      <w:r>
        <w:rPr>
          <w:rFonts w:hint="eastAsia" w:ascii="黑体" w:hAnsi="黑体" w:eastAsia="黑体" w:cs="黑体"/>
          <w:b/>
          <w:color w:val="auto"/>
          <w:sz w:val="24"/>
          <w:szCs w:val="24"/>
          <w:highlight w:val="none"/>
        </w:rPr>
        <w:t>年。</w:t>
      </w:r>
    </w:p>
    <w:p w14:paraId="1DDEFF6B">
      <w:pPr>
        <w:pStyle w:val="25"/>
        <w:keepNext w:val="0"/>
        <w:keepLines w:val="0"/>
        <w:pageBreakBefore w:val="0"/>
        <w:widowControl w:val="0"/>
        <w:kinsoku/>
        <w:wordWrap/>
        <w:overflowPunct/>
        <w:topLinePunct w:val="0"/>
        <w:autoSpaceDE/>
        <w:autoSpaceDN/>
        <w:bidi w:val="0"/>
        <w:spacing w:before="120" w:beforeLines="50" w:line="360" w:lineRule="exact"/>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▲2.服务地点：采购人指定地点。</w:t>
      </w:r>
    </w:p>
    <w:p w14:paraId="0EF9808B">
      <w:pPr>
        <w:keepNext w:val="0"/>
        <w:keepLines w:val="0"/>
        <w:pageBreakBefore w:val="0"/>
        <w:widowControl w:val="0"/>
        <w:kinsoku/>
        <w:wordWrap/>
        <w:overflowPunct/>
        <w:topLinePunct w:val="0"/>
        <w:autoSpaceDE/>
        <w:autoSpaceDN/>
        <w:bidi w:val="0"/>
        <w:spacing w:before="120" w:beforeLines="50" w:after="120" w:line="360" w:lineRule="exact"/>
        <w:textAlignment w:val="auto"/>
        <w:rPr>
          <w:rFonts w:hint="eastAsia" w:ascii="黑体" w:hAnsi="黑体" w:eastAsia="黑体" w:cs="黑体"/>
          <w:b/>
          <w:bCs/>
          <w:color w:val="auto"/>
          <w:sz w:val="24"/>
          <w:szCs w:val="24"/>
          <w:highlight w:val="none"/>
        </w:rPr>
      </w:pPr>
      <w:r>
        <w:rPr>
          <w:rFonts w:hint="eastAsia" w:ascii="黑体" w:hAnsi="黑体" w:eastAsia="黑体" w:cs="黑体"/>
          <w:b/>
          <w:color w:val="auto"/>
          <w:sz w:val="24"/>
          <w:szCs w:val="24"/>
          <w:highlight w:val="none"/>
        </w:rPr>
        <w:t>▲3.付款方式和履约保证金:（1）</w:t>
      </w:r>
      <w:r>
        <w:rPr>
          <w:rFonts w:hint="eastAsia" w:ascii="黑体" w:hAnsi="黑体" w:eastAsia="黑体" w:cs="黑体"/>
          <w:b/>
          <w:color w:val="auto"/>
          <w:sz w:val="24"/>
          <w:szCs w:val="24"/>
          <w:highlight w:val="none"/>
        </w:rPr>
        <w:t>根据《保障中小企业款项支付条例》、省财政厅《关于坚决打赢疫情防控阻击战进一步做好政府采购资金支持企业发展工作的通知》（浙财采监【2020】3号）要求，制定如下付款方式：</w:t>
      </w:r>
      <w:r>
        <w:rPr>
          <w:rFonts w:hint="eastAsia" w:ascii="黑体" w:hAnsi="黑体" w:eastAsia="黑体" w:cs="黑体"/>
          <w:b/>
          <w:bCs/>
          <w:color w:val="auto"/>
          <w:sz w:val="24"/>
          <w:szCs w:val="24"/>
          <w:highlight w:val="none"/>
        </w:rPr>
        <w:t>合同签订后15日内支付合同金额的40%,之后半年为一个结算周期；半年末，经检查、验收合格后十五天内支付合同金额的30%。（</w:t>
      </w:r>
      <w:r>
        <w:rPr>
          <w:rFonts w:hint="eastAsia" w:ascii="黑体" w:hAnsi="黑体" w:eastAsia="黑体" w:cs="黑体"/>
          <w:b/>
          <w:bCs/>
          <w:color w:val="auto"/>
          <w:sz w:val="24"/>
          <w:szCs w:val="24"/>
          <w:highlight w:val="none"/>
        </w:rPr>
        <w:t>供应商明确表示无需预付款或者主动要求降低预付款比例的，采购单位可不适用前述规定。）在采购人支付预付款同时有权要求中标人提供预付款保函。</w:t>
      </w:r>
    </w:p>
    <w:p w14:paraId="6645C5E8">
      <w:pPr>
        <w:keepNext w:val="0"/>
        <w:keepLines w:val="0"/>
        <w:pageBreakBefore w:val="0"/>
        <w:widowControl w:val="0"/>
        <w:kinsoku/>
        <w:wordWrap/>
        <w:overflowPunct/>
        <w:topLinePunct w:val="0"/>
        <w:autoSpaceDE/>
        <w:autoSpaceDN/>
        <w:bidi w:val="0"/>
        <w:spacing w:before="120" w:beforeLines="50" w:after="120" w:line="360" w:lineRule="exact"/>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（2）中标方应在合同签订后 7 个工作日内，向采购人提交履约保证金（金额为中标价的1% ，应当以支票、汇票、本票或者金融机构、担保机构出具的保函等非现金形式提交），服务期满后无息退付。</w:t>
      </w:r>
    </w:p>
    <w:p w14:paraId="14C511B7">
      <w:pP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br w:type="page"/>
      </w:r>
    </w:p>
    <w:p w14:paraId="67455C50">
      <w:pPr>
        <w:spacing w:line="480" w:lineRule="auto"/>
        <w:jc w:val="center"/>
        <w:outlineLvl w:val="0"/>
        <w:rPr>
          <w:rFonts w:hint="eastAsia" w:ascii="黑体" w:hAnsi="黑体" w:eastAsia="黑体" w:cs="黑体"/>
          <w:b/>
          <w:color w:val="auto"/>
          <w:sz w:val="32"/>
          <w:szCs w:val="32"/>
          <w:highlight w:val="none"/>
        </w:rPr>
      </w:pPr>
      <w:r>
        <w:rPr>
          <w:rFonts w:hint="eastAsia" w:ascii="黑体" w:hAnsi="黑体" w:eastAsia="黑体" w:cs="黑体"/>
          <w:b/>
          <w:color w:val="auto"/>
          <w:kern w:val="44"/>
          <w:sz w:val="32"/>
          <w:szCs w:val="32"/>
          <w:highlight w:val="none"/>
        </w:rPr>
        <w:t>第四章 磋商原则和程序</w:t>
      </w:r>
    </w:p>
    <w:p w14:paraId="6AF36A29">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拆封采购响应文件</w:t>
      </w:r>
    </w:p>
    <w:p w14:paraId="173CA5D3">
      <w:pPr>
        <w:keepNext w:val="0"/>
        <w:keepLines w:val="0"/>
        <w:pageBreakBefore w:val="0"/>
        <w:numPr>
          <w:ilvl w:val="0"/>
          <w:numId w:val="29"/>
        </w:numPr>
        <w:kinsoku/>
        <w:wordWrap/>
        <w:topLinePunct w:val="0"/>
        <w:bidi w:val="0"/>
        <w:spacing w:line="360" w:lineRule="exact"/>
        <w:ind w:left="0" w:firstLine="54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需方在竞争性磋商文件规定的时间和地点进行竞争性磋商。参加磋商会的磋商响应方法定代表人或其授权代理人应出具其有效身份证明、授权委托书，磋商响应方的法定代表人或其授权代理人未参加磋商会或迟到的，事后不得对采购相关人员、磋商过程和磋商结果提出异议；</w:t>
      </w:r>
    </w:p>
    <w:p w14:paraId="0CB25E1B">
      <w:pPr>
        <w:keepNext w:val="0"/>
        <w:keepLines w:val="0"/>
        <w:pageBreakBefore w:val="0"/>
        <w:numPr>
          <w:ilvl w:val="0"/>
          <w:numId w:val="29"/>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磋商开始时，需方将查验采购响应文件密封情况，确认无误后拆封采购响应文件。</w:t>
      </w:r>
    </w:p>
    <w:p w14:paraId="31D0EC1B">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磋商小组</w:t>
      </w:r>
    </w:p>
    <w:p w14:paraId="36FE876C">
      <w:pPr>
        <w:keepNext w:val="0"/>
        <w:keepLines w:val="0"/>
        <w:pageBreakBefore w:val="0"/>
        <w:numPr>
          <w:ilvl w:val="0"/>
          <w:numId w:val="30"/>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磋商小组依法由3人（含）以上奇数的人员组成，其成员由采购方代表及从政府采购评审的相关专家库中通过随机方式抽取的专家组成，磋商小组对采购响应文件进行审查、质疑、评估和比较。</w:t>
      </w:r>
    </w:p>
    <w:p w14:paraId="5D9E1C3D">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竞争性磋商评审原则与方法</w:t>
      </w:r>
    </w:p>
    <w:p w14:paraId="15AE407B">
      <w:pPr>
        <w:keepNext w:val="0"/>
        <w:keepLines w:val="0"/>
        <w:pageBreakBefore w:val="0"/>
        <w:numPr>
          <w:ilvl w:val="0"/>
          <w:numId w:val="31"/>
        </w:numPr>
        <w:kinsoku/>
        <w:wordWrap/>
        <w:topLinePunct w:val="0"/>
        <w:bidi w:val="0"/>
        <w:spacing w:line="360" w:lineRule="exact"/>
        <w:ind w:left="0" w:firstLine="54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磋商小组将遵循公开、公平、公正，科学合理，竞争择优的原则，对磋商响应方提供货物、服务的价格、技术性能、交货期限、安装实施方案、售后服务、培训计划、公司基本情况、履约能力等进行综合分析考评，由磋商小组根据综合评分法法确定成交供应商。</w:t>
      </w:r>
    </w:p>
    <w:p w14:paraId="58EC6CDF">
      <w:pPr>
        <w:keepNext w:val="0"/>
        <w:keepLines w:val="0"/>
        <w:pageBreakBefore w:val="0"/>
        <w:numPr>
          <w:ilvl w:val="0"/>
          <w:numId w:val="31"/>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客观、公正的对待所有磋商响应方，对所有磋商评价，均采用相同的程序和标准。</w:t>
      </w:r>
    </w:p>
    <w:p w14:paraId="01199E14">
      <w:pPr>
        <w:keepNext w:val="0"/>
        <w:keepLines w:val="0"/>
        <w:pageBreakBefore w:val="0"/>
        <w:numPr>
          <w:ilvl w:val="0"/>
          <w:numId w:val="31"/>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磋商会开始后，直至授予成交供应商合同为止，凡属于对采购响应文件的审查、澄清、评判和比较的有关资料、成交候选供应商的推荐情况及与磋商有关的其他任何情况均依法严格保密。</w:t>
      </w:r>
    </w:p>
    <w:p w14:paraId="4ED20A6E">
      <w:pPr>
        <w:keepNext w:val="0"/>
        <w:keepLines w:val="0"/>
        <w:pageBreakBefore w:val="0"/>
        <w:numPr>
          <w:ilvl w:val="0"/>
          <w:numId w:val="31"/>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磋商小组分别与各磋商响应方进行商务、技术磋商，在磋商过程中磋商小组成员不得透露其他磋商响应方的磋商信息，严守商业秘密。</w:t>
      </w:r>
    </w:p>
    <w:p w14:paraId="6AE6FB65">
      <w:pPr>
        <w:keepNext w:val="0"/>
        <w:keepLines w:val="0"/>
        <w:pageBreakBefore w:val="0"/>
        <w:numPr>
          <w:ilvl w:val="0"/>
          <w:numId w:val="31"/>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在磋商期间，磋商响应方不得向磋商小组成员询问磋商情况，不得进行旨在影响磋商结果的活动，否则将废除其磋商资格。</w:t>
      </w:r>
    </w:p>
    <w:p w14:paraId="3A474A67">
      <w:pPr>
        <w:keepNext w:val="0"/>
        <w:keepLines w:val="0"/>
        <w:pageBreakBefore w:val="0"/>
        <w:numPr>
          <w:ilvl w:val="0"/>
          <w:numId w:val="31"/>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在磋商过程中，磋商小组成员不得与磋商响应方私下交换意见，在竞争性磋商工作结束后，凡与磋商情况有接触的人不得将磋商情况扩散出磋商小组成员之外。</w:t>
      </w:r>
    </w:p>
    <w:p w14:paraId="5BFE1CDF">
      <w:pPr>
        <w:keepNext w:val="0"/>
        <w:keepLines w:val="0"/>
        <w:pageBreakBefore w:val="0"/>
        <w:numPr>
          <w:ilvl w:val="0"/>
          <w:numId w:val="31"/>
        </w:numPr>
        <w:kinsoku/>
        <w:wordWrap/>
        <w:topLinePunct w:val="0"/>
        <w:bidi w:val="0"/>
        <w:spacing w:line="360" w:lineRule="exact"/>
        <w:ind w:left="0" w:firstLine="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需方不向落标方解释落标原因，不退还采购响应文件。</w:t>
      </w:r>
    </w:p>
    <w:p w14:paraId="3EA66D7B">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磋商程序</w:t>
      </w:r>
    </w:p>
    <w:p w14:paraId="11C2D2B1">
      <w:pPr>
        <w:keepNext w:val="0"/>
        <w:keepLines w:val="0"/>
        <w:pageBreakBefore w:val="0"/>
        <w:kinsoku/>
        <w:wordWrap/>
        <w:topLinePunct w:val="0"/>
        <w:bidi w:val="0"/>
        <w:spacing w:line="360" w:lineRule="exact"/>
        <w:ind w:firstLine="540" w:firstLineChars="22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1.磋商会由采购代理公司主持，主持人宣布磋商会议开始；</w:t>
      </w:r>
    </w:p>
    <w:p w14:paraId="7A197CF4">
      <w:pPr>
        <w:keepNext w:val="0"/>
        <w:keepLines w:val="0"/>
        <w:pageBreakBefore w:val="0"/>
        <w:kinsoku/>
        <w:wordWrap/>
        <w:topLinePunct w:val="0"/>
        <w:bidi w:val="0"/>
        <w:spacing w:line="360" w:lineRule="exact"/>
        <w:ind w:firstLine="540" w:firstLineChars="22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2.主持人介绍参加磋商会的人员名单；</w:t>
      </w:r>
    </w:p>
    <w:p w14:paraId="3EDBA6BC">
      <w:pPr>
        <w:keepNext w:val="0"/>
        <w:keepLines w:val="0"/>
        <w:pageBreakBefore w:val="0"/>
        <w:kinsoku/>
        <w:wordWrap/>
        <w:topLinePunct w:val="0"/>
        <w:bidi w:val="0"/>
        <w:spacing w:line="360" w:lineRule="exact"/>
        <w:ind w:firstLine="540" w:firstLineChars="22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3.主持人宣布磋商期间的有关事项，告知应当回避的情形,提请有关人员回避，组织到场供应商签署不存在影响公平竞争的《政府采购活动现场确认声明书》；</w:t>
      </w:r>
    </w:p>
    <w:p w14:paraId="6C87A3E7">
      <w:pPr>
        <w:keepNext w:val="0"/>
        <w:keepLines w:val="0"/>
        <w:pageBreakBefore w:val="0"/>
        <w:kinsoku/>
        <w:wordWrap/>
        <w:topLinePunct w:val="0"/>
        <w:bidi w:val="0"/>
        <w:snapToGrid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br w:type="page"/>
      </w:r>
      <w:r>
        <w:rPr>
          <w:rFonts w:hint="eastAsia" w:ascii="黑体" w:hAnsi="黑体" w:eastAsia="黑体" w:cs="黑体"/>
          <w:b/>
          <w:color w:val="auto"/>
          <w:sz w:val="24"/>
          <w:szCs w:val="24"/>
          <w:highlight w:val="none"/>
        </w:rPr>
        <w:t>4. 电子磋商开标及评审程序</w:t>
      </w:r>
    </w:p>
    <w:p w14:paraId="2AA7D07A">
      <w:pPr>
        <w:pStyle w:val="34"/>
        <w:keepNext w:val="0"/>
        <w:keepLines w:val="0"/>
        <w:pageBreakBefore w:val="0"/>
        <w:kinsoku/>
        <w:wordWrap/>
        <w:topLinePunct w:val="0"/>
        <w:bidi w:val="0"/>
        <w:snapToGrid w:val="0"/>
        <w:spacing w:before="120" w:after="120" w:line="360" w:lineRule="exact"/>
        <w:ind w:firstLine="472" w:firstLineChars="196"/>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4.1磋商响应截止时间后，供应商登录政采云平台，用“项目采购-开标评标”功能对电子磋商响应文件进行在线解密。</w:t>
      </w:r>
      <w:r>
        <w:rPr>
          <w:rFonts w:hint="eastAsia" w:ascii="黑体" w:hAnsi="黑体" w:eastAsia="黑体" w:cs="黑体"/>
          <w:b/>
          <w:bCs/>
          <w:color w:val="auto"/>
          <w:sz w:val="24"/>
          <w:szCs w:val="24"/>
          <w:highlight w:val="none"/>
          <w:u w:val="single"/>
        </w:rPr>
        <w:t>在线解密电子磋商响应文件时间为开标时间起半个小时内。</w:t>
      </w:r>
    </w:p>
    <w:p w14:paraId="02F5A008">
      <w:pPr>
        <w:pStyle w:val="34"/>
        <w:keepNext w:val="0"/>
        <w:keepLines w:val="0"/>
        <w:pageBreakBefore w:val="0"/>
        <w:kinsoku/>
        <w:wordWrap/>
        <w:topLinePunct w:val="0"/>
        <w:bidi w:val="0"/>
        <w:snapToGrid w:val="0"/>
        <w:spacing w:before="120" w:after="120" w:line="360" w:lineRule="exact"/>
        <w:ind w:firstLine="472" w:firstLineChars="19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4.2评标委员会对资格和商务技术响应文件进行评审；</w:t>
      </w:r>
    </w:p>
    <w:p w14:paraId="2408FFDE">
      <w:pPr>
        <w:pStyle w:val="34"/>
        <w:keepNext w:val="0"/>
        <w:keepLines w:val="0"/>
        <w:pageBreakBefore w:val="0"/>
        <w:kinsoku/>
        <w:wordWrap/>
        <w:topLinePunct w:val="0"/>
        <w:bidi w:val="0"/>
        <w:snapToGrid w:val="0"/>
        <w:spacing w:before="120" w:after="120" w:line="360" w:lineRule="exact"/>
        <w:ind w:firstLine="472" w:firstLineChars="19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4.3在系统上公开资格和商务技术评审结果；</w:t>
      </w:r>
    </w:p>
    <w:p w14:paraId="084C9A88">
      <w:pPr>
        <w:pStyle w:val="34"/>
        <w:keepNext w:val="0"/>
        <w:keepLines w:val="0"/>
        <w:pageBreakBefore w:val="0"/>
        <w:kinsoku/>
        <w:wordWrap/>
        <w:topLinePunct w:val="0"/>
        <w:bidi w:val="0"/>
        <w:snapToGrid w:val="0"/>
        <w:spacing w:before="120" w:after="120" w:line="360" w:lineRule="exact"/>
        <w:ind w:firstLine="472" w:firstLineChars="19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4.4在系统上公开报价开标情况；</w:t>
      </w:r>
    </w:p>
    <w:p w14:paraId="7DD10455">
      <w:pPr>
        <w:pStyle w:val="34"/>
        <w:keepNext w:val="0"/>
        <w:keepLines w:val="0"/>
        <w:pageBreakBefore w:val="0"/>
        <w:kinsoku/>
        <w:wordWrap/>
        <w:topLinePunct w:val="0"/>
        <w:bidi w:val="0"/>
        <w:snapToGrid w:val="0"/>
        <w:spacing w:before="120" w:after="120" w:line="360" w:lineRule="exact"/>
        <w:ind w:firstLine="472" w:firstLineChars="19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4.5评标委员会对报价情况进行评审；</w:t>
      </w:r>
    </w:p>
    <w:p w14:paraId="56A0222B">
      <w:pPr>
        <w:pStyle w:val="34"/>
        <w:keepNext w:val="0"/>
        <w:keepLines w:val="0"/>
        <w:pageBreakBefore w:val="0"/>
        <w:kinsoku/>
        <w:wordWrap/>
        <w:topLinePunct w:val="0"/>
        <w:bidi w:val="0"/>
        <w:snapToGrid w:val="0"/>
        <w:spacing w:before="120" w:after="120" w:line="360" w:lineRule="exact"/>
        <w:ind w:firstLine="472" w:firstLineChars="19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4.6在系统上公布评审结果。</w:t>
      </w:r>
    </w:p>
    <w:p w14:paraId="584BBE09">
      <w:pPr>
        <w:pStyle w:val="34"/>
        <w:keepNext w:val="0"/>
        <w:keepLines w:val="0"/>
        <w:pageBreakBefore w:val="0"/>
        <w:kinsoku/>
        <w:wordWrap/>
        <w:topLinePunct w:val="0"/>
        <w:bidi w:val="0"/>
        <w:snapToGrid w:val="0"/>
        <w:spacing w:before="120" w:after="120" w:line="360" w:lineRule="exact"/>
        <w:ind w:firstLine="472" w:firstLineChars="19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特别说明：政采云公司如对电子化开标及评审程序有调整的，按调整后的程序操作。</w:t>
      </w:r>
    </w:p>
    <w:p w14:paraId="6CC6471E">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5.磋商小组确认采购文件，讨论决定是否需要求采购文件的要求（采购文件规定的可变动部分）进行实质性变动。</w:t>
      </w:r>
    </w:p>
    <w:p w14:paraId="0DA340AA">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6.采购人授权磋商小组检查磋商响应方提交的资格证明文件，对磋商响应方进行资格审查,包括对供应商在“信用中国”网站（</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"http://www.creditchina.gov.cn"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sz w:val="24"/>
          <w:szCs w:val="24"/>
          <w:highlight w:val="none"/>
        </w:rPr>
        <w:t>www.creditchina.gov.cn</w: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rPr>
        <w:t>）和中国政府采购网（</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"http://www.ccgp.gov.cn"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sz w:val="24"/>
          <w:szCs w:val="24"/>
          <w:highlight w:val="none"/>
        </w:rPr>
        <w:t>www.ccgp.gov.cn</w: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rPr>
        <w:t>）进行信用查询。</w:t>
      </w:r>
    </w:p>
    <w:p w14:paraId="4AF4697D">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7.磋商小组审核采购响应文件。</w:t>
      </w:r>
    </w:p>
    <w:p w14:paraId="1D7FAEF0">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A.磋商小组按照商务、资格进行分工审核采购响应文件。各专家在全面审核的基础上有侧重的进行分工。</w:t>
      </w:r>
    </w:p>
    <w:p w14:paraId="4666EE73">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B.依据竞争性磋商文件的规定，从采购响应文件的有效性、完整性和对竞争性磋商文件的响应程度进行审查，以确定是否对磋商文件的实质性要求作出响应。</w:t>
      </w:r>
    </w:p>
    <w:p w14:paraId="75D693A1">
      <w:pPr>
        <w:keepNext w:val="0"/>
        <w:keepLines w:val="0"/>
        <w:pageBreakBefore w:val="0"/>
        <w:kinsoku/>
        <w:wordWrap/>
        <w:topLinePunct w:val="0"/>
        <w:bidi w:val="0"/>
        <w:spacing w:line="360" w:lineRule="exact"/>
        <w:ind w:left="5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8.磋商小组汇总并讨论审核情况，确定磋商响应方是否具有磋商资格。</w:t>
      </w:r>
    </w:p>
    <w:p w14:paraId="43EA903C">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18AC144F">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C93CB41">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11.采购响应文件的澄清。</w:t>
      </w:r>
    </w:p>
    <w:p w14:paraId="6CE94B10">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4CF18578">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12.对响应文件初次报价部分进行磋商，要求供应商剔除初次报价中不合理的成分。</w:t>
      </w:r>
    </w:p>
    <w:p w14:paraId="689A32B8">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13.按磋商项目内容与各磋商响应方进行2轮或多轮的磋商。</w:t>
      </w:r>
    </w:p>
    <w:p w14:paraId="7E98ACC8">
      <w:pPr>
        <w:keepNext w:val="0"/>
        <w:keepLines w:val="0"/>
        <w:pageBreakBefore w:val="0"/>
        <w:numPr>
          <w:ilvl w:val="0"/>
          <w:numId w:val="32"/>
        </w:numPr>
        <w:kinsoku/>
        <w:wordWrap/>
        <w:topLinePunct w:val="0"/>
        <w:bidi w:val="0"/>
        <w:spacing w:line="360" w:lineRule="exact"/>
        <w:ind w:left="0" w:firstLine="540" w:firstLineChars="225"/>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磋商响应方介绍公司的基本情况、磋商产品的性能、用途、销售。</w:t>
      </w:r>
    </w:p>
    <w:p w14:paraId="42298318">
      <w:pPr>
        <w:keepNext w:val="0"/>
        <w:keepLines w:val="0"/>
        <w:pageBreakBefore w:val="0"/>
        <w:numPr>
          <w:ilvl w:val="0"/>
          <w:numId w:val="32"/>
        </w:numPr>
        <w:kinsoku/>
        <w:wordWrap/>
        <w:topLinePunct w:val="0"/>
        <w:bidi w:val="0"/>
        <w:spacing w:line="360" w:lineRule="exact"/>
        <w:ind w:left="0" w:firstLine="540" w:firstLineChars="225"/>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磋商小组就讨论和汇总的情况与磋商响应方展开磋商，磋商分为技术和商务两部分，商务磋商主要内容为售后服务、交付时间、付款方式、特殊承诺。</w:t>
      </w:r>
    </w:p>
    <w:p w14:paraId="4D971519">
      <w:pPr>
        <w:keepNext w:val="0"/>
        <w:keepLines w:val="0"/>
        <w:pageBreakBefore w:val="0"/>
        <w:numPr>
          <w:ilvl w:val="0"/>
          <w:numId w:val="32"/>
        </w:numPr>
        <w:kinsoku/>
        <w:wordWrap/>
        <w:topLinePunct w:val="0"/>
        <w:bidi w:val="0"/>
        <w:spacing w:line="360" w:lineRule="exact"/>
        <w:ind w:left="0" w:firstLine="540" w:firstLineChars="225"/>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磋商响应方确认货物的配置及商务要求并对磋商记录确认后由授权代表签字。</w:t>
      </w:r>
    </w:p>
    <w:p w14:paraId="381130B5">
      <w:pPr>
        <w:keepNext w:val="0"/>
        <w:keepLines w:val="0"/>
        <w:pageBreakBefore w:val="0"/>
        <w:numPr>
          <w:ilvl w:val="0"/>
          <w:numId w:val="32"/>
        </w:numPr>
        <w:kinsoku/>
        <w:wordWrap/>
        <w:topLinePunct w:val="0"/>
        <w:bidi w:val="0"/>
        <w:spacing w:line="360" w:lineRule="exact"/>
        <w:ind w:left="0" w:firstLine="540" w:firstLineChars="225"/>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各磋商响应方在本项目全部磋商结束后三十分钟进行最终报价</w:t>
      </w:r>
      <w:r>
        <w:rPr>
          <w:rFonts w:hint="eastAsia" w:ascii="黑体" w:hAnsi="黑体" w:eastAsia="黑体" w:cs="黑体"/>
          <w:b/>
          <w:color w:val="auto"/>
          <w:sz w:val="24"/>
          <w:szCs w:val="24"/>
          <w:highlight w:val="none"/>
        </w:rPr>
        <w:t>（最终报价不得高于初次报价，否则为无效报价）。</w:t>
      </w:r>
      <w:r>
        <w:rPr>
          <w:rFonts w:hint="eastAsia" w:ascii="黑体" w:hAnsi="黑体" w:eastAsia="黑体" w:cs="黑体"/>
          <w:color w:val="auto"/>
          <w:sz w:val="24"/>
          <w:szCs w:val="24"/>
          <w:highlight w:val="none"/>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06865451">
      <w:pPr>
        <w:keepNext w:val="0"/>
        <w:keepLines w:val="0"/>
        <w:pageBreakBefore w:val="0"/>
        <w:numPr>
          <w:ilvl w:val="0"/>
          <w:numId w:val="32"/>
        </w:numPr>
        <w:kinsoku/>
        <w:wordWrap/>
        <w:topLinePunct w:val="0"/>
        <w:bidi w:val="0"/>
        <w:spacing w:line="360" w:lineRule="exact"/>
        <w:ind w:left="0" w:firstLine="540" w:firstLineChars="22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磋商小组对磋商的情况进行综合评议并根据</w:t>
      </w:r>
      <w:r>
        <w:rPr>
          <w:rFonts w:hint="eastAsia" w:ascii="黑体" w:hAnsi="黑体" w:eastAsia="黑体" w:cs="黑体"/>
          <w:b/>
          <w:color w:val="auto"/>
          <w:sz w:val="24"/>
          <w:szCs w:val="24"/>
          <w:highlight w:val="none"/>
        </w:rPr>
        <w:t>综合评分法</w:t>
      </w:r>
      <w:r>
        <w:rPr>
          <w:rFonts w:hint="eastAsia" w:ascii="黑体" w:hAnsi="黑体" w:eastAsia="黑体" w:cs="黑体"/>
          <w:color w:val="auto"/>
          <w:sz w:val="24"/>
          <w:szCs w:val="24"/>
          <w:highlight w:val="none"/>
        </w:rPr>
        <w:t>初步确定成交供应商。</w:t>
      </w:r>
    </w:p>
    <w:p w14:paraId="6A5D629E">
      <w:pPr>
        <w:keepNext w:val="0"/>
        <w:keepLines w:val="0"/>
        <w:pageBreakBefore w:val="0"/>
        <w:numPr>
          <w:ilvl w:val="0"/>
          <w:numId w:val="32"/>
        </w:numPr>
        <w:kinsoku/>
        <w:wordWrap/>
        <w:topLinePunct w:val="0"/>
        <w:bidi w:val="0"/>
        <w:spacing w:line="360" w:lineRule="exact"/>
        <w:ind w:left="0" w:firstLine="542" w:firstLineChars="225"/>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根据《浙江省财政厅关于印发浙江省政府采购供应商注册及诚信管理暂行办法的通知》（浙财采监字[2009]28号），凡浙江省政府采购注册供应商，在制作采购响应文件时，可凭网上打印的“供应商信息登记表”经法定代表人签字和加盖公章后，代替相应的竞标资格证明原件，在采购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1B9D3446">
      <w:pPr>
        <w:keepNext w:val="0"/>
        <w:keepLines w:val="0"/>
        <w:pageBreakBefore w:val="0"/>
        <w:numPr>
          <w:ilvl w:val="0"/>
          <w:numId w:val="32"/>
        </w:numPr>
        <w:kinsoku/>
        <w:wordWrap/>
        <w:topLinePunct w:val="0"/>
        <w:bidi w:val="0"/>
        <w:spacing w:line="360" w:lineRule="exact"/>
        <w:ind w:left="0" w:firstLine="540" w:firstLineChars="22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磋商小组应当从质量和服务均能满足采购文件实质性响应要求的供应商中，按照评分由高到低的顺序提出3名以上（法律、法规另有规定的情形除外）成交候选人，并编写磋商报告。</w:t>
      </w:r>
    </w:p>
    <w:p w14:paraId="78EB11FB">
      <w:pPr>
        <w:keepNext w:val="0"/>
        <w:keepLines w:val="0"/>
        <w:pageBreakBefore w:val="0"/>
        <w:numPr>
          <w:ilvl w:val="0"/>
          <w:numId w:val="32"/>
        </w:numPr>
        <w:kinsoku/>
        <w:wordWrap/>
        <w:topLinePunct w:val="0"/>
        <w:bidi w:val="0"/>
        <w:spacing w:line="360" w:lineRule="exact"/>
        <w:ind w:left="0" w:firstLine="542" w:firstLineChars="225"/>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确定成交供应商。本项目由采购人（或采购人事先授权磋商小组）按照磋商报告中推荐的排列顺序依法确定成交供应商。</w:t>
      </w:r>
    </w:p>
    <w:p w14:paraId="6D1DBEFF">
      <w:pPr>
        <w:keepNext w:val="0"/>
        <w:keepLines w:val="0"/>
        <w:pageBreakBefore w:val="0"/>
        <w:numPr>
          <w:ilvl w:val="0"/>
          <w:numId w:val="32"/>
        </w:numPr>
        <w:kinsoku/>
        <w:wordWrap/>
        <w:topLinePunct w:val="0"/>
        <w:bidi w:val="0"/>
        <w:spacing w:line="360" w:lineRule="exact"/>
        <w:ind w:left="0" w:firstLine="540" w:firstLineChars="225"/>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替补候选人的设定与使用：第一中标候选人放弃成标或者因不可抗力提出不能履行合同，采购人可以确定第二成交候选人为成标人，排名第二的成交候选人因前款同样的原因不能签订合同。</w:t>
      </w:r>
    </w:p>
    <w:p w14:paraId="29351D5F">
      <w:pPr>
        <w:keepNext w:val="0"/>
        <w:keepLines w:val="0"/>
        <w:pageBreakBefore w:val="0"/>
        <w:kinsoku/>
        <w:wordWrap/>
        <w:topLinePunct w:val="0"/>
        <w:bidi w:val="0"/>
        <w:snapToGrid w:val="0"/>
        <w:spacing w:line="360" w:lineRule="exact"/>
        <w:ind w:left="719" w:leftChars="228" w:hanging="240" w:hangingChars="100"/>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14.</w:t>
      </w:r>
      <w:r>
        <w:rPr>
          <w:rFonts w:hint="eastAsia" w:ascii="黑体" w:hAnsi="黑体" w:eastAsia="黑体" w:cs="黑体"/>
          <w:color w:val="auto"/>
          <w:sz w:val="24"/>
          <w:szCs w:val="24"/>
          <w:highlight w:val="none"/>
        </w:rPr>
        <w:t>采购代理公司公布最终评审结果。</w:t>
      </w:r>
    </w:p>
    <w:p w14:paraId="75B48C2B">
      <w:pPr>
        <w:keepNext w:val="0"/>
        <w:keepLines w:val="0"/>
        <w:pageBreakBefore w:val="0"/>
        <w:kinsoku/>
        <w:wordWrap/>
        <w:topLinePunct w:val="0"/>
        <w:bidi w:val="0"/>
        <w:snapToGrid w:val="0"/>
        <w:spacing w:line="360" w:lineRule="exact"/>
        <w:ind w:left="1" w:firstLine="479" w:firstLineChars="199"/>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14.1本项目原则上采用政采云电子招投标开标及评审程序，但有下情形之一的，按以下情况处理：</w:t>
      </w:r>
    </w:p>
    <w:p w14:paraId="2A72327A">
      <w:pPr>
        <w:keepNext w:val="0"/>
        <w:keepLines w:val="0"/>
        <w:pageBreakBefore w:val="0"/>
        <w:kinsoku/>
        <w:wordWrap/>
        <w:topLinePunct w:val="0"/>
        <w:bidi w:val="0"/>
        <w:snapToGrid w:val="0"/>
        <w:spacing w:line="360" w:lineRule="exact"/>
        <w:ind w:firstLine="479" w:firstLineChars="199"/>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14.2若供应商在规定时间内无法解密或解密失败，采购代理机构将开启该供应商递交的备份电子磋商响应文件，上传至政采云平台项目采购模块，以完成开标，原电子磋商响应文件自动失效；</w:t>
      </w:r>
    </w:p>
    <w:p w14:paraId="7A0738AD">
      <w:pPr>
        <w:keepNext w:val="0"/>
        <w:keepLines w:val="0"/>
        <w:pageBreakBefore w:val="0"/>
        <w:kinsoku/>
        <w:wordWrap/>
        <w:topLinePunct w:val="0"/>
        <w:bidi w:val="0"/>
        <w:snapToGrid w:val="0"/>
        <w:spacing w:line="360" w:lineRule="exact"/>
        <w:ind w:left="719" w:leftChars="228" w:hanging="240" w:hanging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15.开标会议结束。</w:t>
      </w:r>
    </w:p>
    <w:p w14:paraId="02163432">
      <w:pPr>
        <w:keepNext w:val="0"/>
        <w:keepLines w:val="0"/>
        <w:pageBreakBefore w:val="0"/>
        <w:widowControl/>
        <w:numPr>
          <w:ilvl w:val="0"/>
          <w:numId w:val="28"/>
        </w:numPr>
        <w:kinsoku/>
        <w:wordWrap/>
        <w:topLinePunct w:val="0"/>
        <w:bidi w:val="0"/>
        <w:snapToGrid w:val="0"/>
        <w:spacing w:before="120" w:beforeLines="50" w:line="360" w:lineRule="exact"/>
        <w:ind w:left="584"/>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采购响应文件计算错误的修正</w:t>
      </w:r>
    </w:p>
    <w:p w14:paraId="28DD12A5">
      <w:pPr>
        <w:keepNext w:val="0"/>
        <w:keepLines w:val="0"/>
        <w:pageBreakBefore w:val="0"/>
        <w:kinsoku/>
        <w:wordWrap/>
        <w:topLinePunct w:val="0"/>
        <w:bidi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A.采购响应文件中磋商报价一览表内容与采购响应文件中磋商分项报价表内容不一致的，以磋商报价一览表为准；</w:t>
      </w:r>
    </w:p>
    <w:p w14:paraId="44210B6D">
      <w:pPr>
        <w:keepNext w:val="0"/>
        <w:keepLines w:val="0"/>
        <w:pageBreakBefore w:val="0"/>
        <w:kinsoku/>
        <w:wordWrap/>
        <w:topLinePunct w:val="0"/>
        <w:bidi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B.采购响应文件的大写金额和小写金额不一致的，以大写金额为准；</w:t>
      </w:r>
    </w:p>
    <w:p w14:paraId="42C02A04">
      <w:pPr>
        <w:keepNext w:val="0"/>
        <w:keepLines w:val="0"/>
        <w:pageBreakBefore w:val="0"/>
        <w:kinsoku/>
        <w:wordWrap/>
        <w:topLinePunct w:val="0"/>
        <w:bidi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C.总价金额与按单价汇总金额不一致的，以单价金额计算结果为准；</w:t>
      </w:r>
    </w:p>
    <w:p w14:paraId="6118B7FD">
      <w:pPr>
        <w:keepNext w:val="0"/>
        <w:keepLines w:val="0"/>
        <w:pageBreakBefore w:val="0"/>
        <w:kinsoku/>
        <w:wordWrap/>
        <w:topLinePunct w:val="0"/>
        <w:bidi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D.单价金额小数点有明显错位的，应以总价为准，并修改单价；</w:t>
      </w:r>
    </w:p>
    <w:p w14:paraId="0C574B44">
      <w:pPr>
        <w:keepNext w:val="0"/>
        <w:keepLines w:val="0"/>
        <w:pageBreakBefore w:val="0"/>
        <w:kinsoku/>
        <w:wordWrap/>
        <w:topLinePunct w:val="0"/>
        <w:bidi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E.对不同文字文本采购响应文件的解释发生异议的，以中文文本为准。</w:t>
      </w:r>
    </w:p>
    <w:p w14:paraId="0BEF27D4">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综合评分法</w:t>
      </w:r>
    </w:p>
    <w:p w14:paraId="70D7A55D">
      <w:pPr>
        <w:keepNext w:val="0"/>
        <w:keepLines w:val="0"/>
        <w:pageBreakBefore w:val="0"/>
        <w:kinsoku/>
        <w:wordWrap/>
        <w:topLinePunct w:val="0"/>
        <w:bidi w:val="0"/>
        <w:spacing w:line="360" w:lineRule="exact"/>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为公正、公平、科学地选择中标人，根据《中华人民共和国政府采购法》等有关法律法规的规定，并结合本项目的实际，制定本办法。</w:t>
      </w:r>
    </w:p>
    <w:p w14:paraId="1BEFC737">
      <w:pPr>
        <w:keepNext w:val="0"/>
        <w:keepLines w:val="0"/>
        <w:pageBreakBefore w:val="0"/>
        <w:kinsoku/>
        <w:wordWrap/>
        <w:topLinePunct w:val="0"/>
        <w:bidi w:val="0"/>
        <w:spacing w:line="360" w:lineRule="exact"/>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本办法适</w:t>
      </w:r>
      <w:r>
        <w:rPr>
          <w:rFonts w:hint="eastAsia" w:ascii="黑体" w:hAnsi="黑体" w:eastAsia="黑体" w:cs="黑体"/>
          <w:color w:val="auto"/>
          <w:sz w:val="24"/>
          <w:szCs w:val="24"/>
          <w:highlight w:val="none"/>
        </w:rPr>
        <w:t>用</w:t>
      </w:r>
      <w:r>
        <w:rPr>
          <w:rFonts w:hint="eastAsia" w:ascii="黑体" w:hAnsi="黑体" w:eastAsia="黑体" w:cs="黑体"/>
          <w:color w:val="auto"/>
          <w:sz w:val="24"/>
          <w:szCs w:val="24"/>
          <w:highlight w:val="none"/>
        </w:rPr>
        <w:t>于</w:t>
      </w:r>
      <w:r>
        <w:rPr>
          <w:rFonts w:hint="eastAsia" w:ascii="黑体" w:hAnsi="黑体" w:eastAsia="黑体" w:cs="黑体"/>
          <w:b/>
          <w:bCs/>
          <w:color w:val="auto"/>
          <w:sz w:val="24"/>
          <w:szCs w:val="24"/>
          <w:highlight w:val="none"/>
          <w:lang w:eastAsia="zh-CN"/>
        </w:rPr>
        <w:t>乾元镇镇区绿化养护项目</w:t>
      </w:r>
      <w:r>
        <w:rPr>
          <w:rFonts w:hint="eastAsia" w:ascii="黑体" w:hAnsi="黑体" w:eastAsia="黑体" w:cs="黑体"/>
          <w:color w:val="auto"/>
          <w:sz w:val="24"/>
          <w:szCs w:val="24"/>
          <w:highlight w:val="none"/>
        </w:rPr>
        <w:t>的评标。</w:t>
      </w:r>
    </w:p>
    <w:p w14:paraId="58BA4825">
      <w:pPr>
        <w:keepNext w:val="0"/>
        <w:keepLines w:val="0"/>
        <w:pageBreakBefore w:val="0"/>
        <w:kinsoku/>
        <w:wordWrap/>
        <w:topLinePunct w:val="0"/>
        <w:bidi w:val="0"/>
        <w:spacing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6.1总则</w:t>
      </w:r>
    </w:p>
    <w:p w14:paraId="7D6E91FF">
      <w:pPr>
        <w:keepNext w:val="0"/>
        <w:keepLines w:val="0"/>
        <w:pageBreakBefore w:val="0"/>
        <w:kinsoku/>
        <w:wordWrap/>
        <w:topLinePunct w:val="0"/>
        <w:bidi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的磋商响应供应商为中标候选人,排名第二的磋商响应供应商为候补中标候选人。</w:t>
      </w:r>
      <w:r>
        <w:rPr>
          <w:rFonts w:hint="eastAsia" w:ascii="黑体" w:hAnsi="黑体" w:eastAsia="黑体" w:cs="黑体"/>
          <w:bCs/>
          <w:color w:val="auto"/>
          <w:sz w:val="24"/>
          <w:szCs w:val="24"/>
          <w:highlight w:val="none"/>
        </w:rPr>
        <w:t>评分过程中采用四舍五入法，并保留小数2位。</w:t>
      </w:r>
    </w:p>
    <w:p w14:paraId="15E3ECAF">
      <w:pPr>
        <w:keepNext w:val="0"/>
        <w:keepLines w:val="0"/>
        <w:pageBreakBefore w:val="0"/>
        <w:kinsoku/>
        <w:wordWrap/>
        <w:topLinePunct w:val="0"/>
        <w:bidi w:val="0"/>
        <w:spacing w:line="3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磋商响应供应商评标</w:t>
      </w:r>
      <w:r>
        <w:rPr>
          <w:rFonts w:hint="eastAsia" w:ascii="黑体" w:hAnsi="黑体" w:eastAsia="黑体" w:cs="黑体"/>
          <w:bCs/>
          <w:color w:val="auto"/>
          <w:sz w:val="24"/>
          <w:szCs w:val="24"/>
          <w:highlight w:val="none"/>
        </w:rPr>
        <w:t>综合得分=价格分+(技术分+商务分+资信及其他分)</w:t>
      </w:r>
    </w:p>
    <w:p w14:paraId="63FBB197">
      <w:pPr>
        <w:keepNext w:val="0"/>
        <w:keepLines w:val="0"/>
        <w:pageBreakBefore w:val="0"/>
        <w:kinsoku/>
        <w:wordWrap/>
        <w:topLinePunct w:val="0"/>
        <w:bidi w:val="0"/>
        <w:spacing w:line="3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49D8DAA7">
      <w:pPr>
        <w:keepNext w:val="0"/>
        <w:keepLines w:val="0"/>
        <w:pageBreakBefore w:val="0"/>
        <w:kinsoku/>
        <w:wordWrap/>
        <w:topLinePunct w:val="0"/>
        <w:bidi w:val="0"/>
        <w:spacing w:line="360" w:lineRule="exact"/>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二分之一以上的评委认为供应商报价明显高于市场平均价的将作为无效竞标处理。</w:t>
      </w:r>
    </w:p>
    <w:p w14:paraId="4FDC67F8">
      <w:pPr>
        <w:keepNext w:val="0"/>
        <w:keepLines w:val="0"/>
        <w:pageBreakBefore w:val="0"/>
        <w:kinsoku/>
        <w:wordWrap/>
        <w:topLinePunct w:val="0"/>
        <w:bidi w:val="0"/>
        <w:spacing w:line="36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u w:val="single"/>
        </w:rPr>
        <w:t>磋商响应供应商不得进行影响产品质量或者诚信履约的恶意报价。供应商在项目评审前应准备好报价核算、报价明细、报价说明等材料，以备评审专家核查。供应商报价低于项目预算（或采购文件中标明的最高限价）50%的，应当在报价文件中详细阐述不影响产品质量或者诚信履约的具体原因。</w:t>
      </w:r>
    </w:p>
    <w:p w14:paraId="558D7560">
      <w:pPr>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6.2评标内容及标准</w:t>
      </w:r>
    </w:p>
    <w:tbl>
      <w:tblPr>
        <w:tblStyle w:val="62"/>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322"/>
        <w:gridCol w:w="6358"/>
      </w:tblGrid>
      <w:tr w14:paraId="57D6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625" w:type="dxa"/>
            <w:shd w:val="clear" w:color="auto" w:fill="B3B3B3"/>
            <w:vAlign w:val="center"/>
          </w:tcPr>
          <w:p w14:paraId="2EDCCD60">
            <w:pPr>
              <w:keepNext w:val="0"/>
              <w:keepLines w:val="0"/>
              <w:pageBreakBefore w:val="0"/>
              <w:kinsoku/>
              <w:wordWrap/>
              <w:topLinePunct w:val="0"/>
              <w:bidi w:val="0"/>
              <w:spacing w:line="360" w:lineRule="exact"/>
              <w:ind w:firstLine="241" w:firstLineChars="100"/>
              <w:rPr>
                <w:rFonts w:hint="eastAsia" w:ascii="黑体" w:hAnsi="黑体" w:eastAsia="黑体" w:cs="黑体"/>
                <w:color w:val="auto"/>
                <w:kern w:val="0"/>
                <w:sz w:val="24"/>
                <w:szCs w:val="24"/>
                <w:highlight w:val="none"/>
              </w:rPr>
            </w:pPr>
            <w:r>
              <w:rPr>
                <w:rFonts w:hint="eastAsia" w:ascii="黑体" w:hAnsi="黑体" w:eastAsia="黑体" w:cs="黑体"/>
                <w:b/>
                <w:bCs/>
                <w:color w:val="auto"/>
                <w:kern w:val="0"/>
                <w:sz w:val="24"/>
                <w:szCs w:val="24"/>
                <w:highlight w:val="none"/>
              </w:rPr>
              <w:t>评分项目</w:t>
            </w:r>
          </w:p>
        </w:tc>
        <w:tc>
          <w:tcPr>
            <w:tcW w:w="1322" w:type="dxa"/>
            <w:shd w:val="clear" w:color="auto" w:fill="B3B3B3"/>
            <w:vAlign w:val="center"/>
          </w:tcPr>
          <w:p w14:paraId="67BFAC1F">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r>
              <w:rPr>
                <w:rFonts w:hint="eastAsia" w:ascii="黑体" w:hAnsi="黑体" w:eastAsia="黑体" w:cs="黑体"/>
                <w:b/>
                <w:bCs/>
                <w:color w:val="auto"/>
                <w:kern w:val="0"/>
                <w:sz w:val="24"/>
                <w:szCs w:val="24"/>
                <w:highlight w:val="none"/>
              </w:rPr>
              <w:t>分值</w:t>
            </w:r>
          </w:p>
        </w:tc>
        <w:tc>
          <w:tcPr>
            <w:tcW w:w="6358" w:type="dxa"/>
            <w:shd w:val="clear" w:color="auto" w:fill="B3B3B3"/>
            <w:vAlign w:val="center"/>
          </w:tcPr>
          <w:p w14:paraId="3F3B0FB5">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r>
              <w:rPr>
                <w:rFonts w:hint="eastAsia" w:ascii="黑体" w:hAnsi="黑体" w:eastAsia="黑体" w:cs="黑体"/>
                <w:b/>
                <w:bCs/>
                <w:color w:val="auto"/>
                <w:kern w:val="0"/>
                <w:sz w:val="24"/>
                <w:szCs w:val="24"/>
                <w:highlight w:val="none"/>
              </w:rPr>
              <w:t>评标要点及说明</w:t>
            </w:r>
          </w:p>
        </w:tc>
      </w:tr>
      <w:tr w14:paraId="2867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625" w:type="dxa"/>
            <w:vAlign w:val="center"/>
          </w:tcPr>
          <w:p w14:paraId="672B252E">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价格分</w:t>
            </w:r>
          </w:p>
          <w:p w14:paraId="5BF16694">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r>
              <w:rPr>
                <w:rFonts w:hint="eastAsia" w:ascii="黑体" w:hAnsi="黑体" w:eastAsia="黑体" w:cs="黑体"/>
                <w:snapToGrid w:val="0"/>
                <w:color w:val="auto"/>
                <w:kern w:val="0"/>
                <w:sz w:val="24"/>
                <w:szCs w:val="24"/>
                <w:highlight w:val="none"/>
              </w:rPr>
              <w:t>（</w:t>
            </w:r>
            <w:r>
              <w:rPr>
                <w:rFonts w:hint="eastAsia" w:ascii="黑体" w:hAnsi="黑体" w:eastAsia="黑体" w:cs="黑体"/>
                <w:snapToGrid w:val="0"/>
                <w:color w:val="auto"/>
                <w:kern w:val="0"/>
                <w:sz w:val="24"/>
                <w:szCs w:val="24"/>
                <w:highlight w:val="none"/>
                <w:lang w:val="en-US" w:eastAsia="zh-CN"/>
              </w:rPr>
              <w:t>10</w:t>
            </w:r>
            <w:r>
              <w:rPr>
                <w:rFonts w:hint="eastAsia" w:ascii="黑体" w:hAnsi="黑体" w:eastAsia="黑体" w:cs="黑体"/>
                <w:snapToGrid w:val="0"/>
                <w:color w:val="auto"/>
                <w:kern w:val="0"/>
                <w:sz w:val="24"/>
                <w:szCs w:val="24"/>
                <w:highlight w:val="none"/>
              </w:rPr>
              <w:t>分）</w:t>
            </w:r>
          </w:p>
        </w:tc>
        <w:tc>
          <w:tcPr>
            <w:tcW w:w="1322" w:type="dxa"/>
            <w:vAlign w:val="center"/>
          </w:tcPr>
          <w:p w14:paraId="798A1F65">
            <w:pPr>
              <w:keepNext w:val="0"/>
              <w:keepLines w:val="0"/>
              <w:pageBreakBefore w:val="0"/>
              <w:kinsoku/>
              <w:wordWrap/>
              <w:topLinePunct w:val="0"/>
              <w:bidi w:val="0"/>
              <w:spacing w:before="120" w:beforeLines="50" w:after="120" w:afterLines="50"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lang w:val="en-US" w:eastAsia="zh-CN"/>
              </w:rPr>
              <w:t>1</w:t>
            </w:r>
            <w:r>
              <w:rPr>
                <w:rFonts w:hint="eastAsia" w:ascii="黑体" w:hAnsi="黑体" w:eastAsia="黑体" w:cs="黑体"/>
                <w:snapToGrid w:val="0"/>
                <w:color w:val="auto"/>
                <w:kern w:val="0"/>
                <w:sz w:val="24"/>
                <w:szCs w:val="24"/>
                <w:highlight w:val="none"/>
              </w:rPr>
              <w:t>0分</w:t>
            </w:r>
          </w:p>
        </w:tc>
        <w:tc>
          <w:tcPr>
            <w:tcW w:w="6358" w:type="dxa"/>
            <w:vAlign w:val="center"/>
          </w:tcPr>
          <w:p w14:paraId="42E36359">
            <w:pPr>
              <w:keepNext w:val="0"/>
              <w:keepLines w:val="0"/>
              <w:pageBreakBefore w:val="0"/>
              <w:kinsoku/>
              <w:wordWrap/>
              <w:topLinePunct w:val="0"/>
              <w:bidi w:val="0"/>
              <w:spacing w:before="120" w:beforeLines="50" w:after="120" w:afterLines="50"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满足采购文件要求且投标报价最低的投标报价为评标基准价，其价格分为满分，其他供应商的价格分统一按照下列公式计算：投标报价得分=（评标基准价/投标报价）20%×100</w:t>
            </w:r>
          </w:p>
        </w:tc>
      </w:tr>
      <w:tr w14:paraId="526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1625" w:type="dxa"/>
            <w:vMerge w:val="restart"/>
            <w:vAlign w:val="center"/>
          </w:tcPr>
          <w:p w14:paraId="491DCF4B">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技术分</w:t>
            </w:r>
          </w:p>
          <w:p w14:paraId="0B81064C">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w:t>
            </w:r>
            <w:r>
              <w:rPr>
                <w:rFonts w:hint="eastAsia" w:ascii="黑体" w:hAnsi="黑体" w:eastAsia="黑体" w:cs="黑体"/>
                <w:snapToGrid w:val="0"/>
                <w:color w:val="auto"/>
                <w:kern w:val="0"/>
                <w:sz w:val="24"/>
                <w:szCs w:val="24"/>
                <w:highlight w:val="none"/>
                <w:lang w:val="en-US" w:eastAsia="zh-CN"/>
              </w:rPr>
              <w:t>72</w:t>
            </w:r>
            <w:r>
              <w:rPr>
                <w:rFonts w:hint="eastAsia" w:ascii="黑体" w:hAnsi="黑体" w:eastAsia="黑体" w:cs="黑体"/>
                <w:snapToGrid w:val="0"/>
                <w:color w:val="auto"/>
                <w:kern w:val="0"/>
                <w:sz w:val="24"/>
                <w:szCs w:val="24"/>
                <w:highlight w:val="none"/>
              </w:rPr>
              <w:t>分）</w:t>
            </w:r>
          </w:p>
        </w:tc>
        <w:tc>
          <w:tcPr>
            <w:tcW w:w="1322" w:type="dxa"/>
            <w:vAlign w:val="center"/>
          </w:tcPr>
          <w:p w14:paraId="03095751">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满足本项目采购文件要求1</w:t>
            </w:r>
            <w:r>
              <w:rPr>
                <w:rFonts w:hint="eastAsia" w:ascii="黑体" w:hAnsi="黑体" w:eastAsia="黑体" w:cs="黑体"/>
                <w:snapToGrid w:val="0"/>
                <w:color w:val="auto"/>
                <w:kern w:val="0"/>
                <w:sz w:val="24"/>
                <w:szCs w:val="24"/>
                <w:highlight w:val="none"/>
                <w:lang w:val="en-US" w:eastAsia="zh-CN"/>
              </w:rPr>
              <w:t>6</w:t>
            </w:r>
            <w:r>
              <w:rPr>
                <w:rFonts w:hint="eastAsia" w:ascii="黑体" w:hAnsi="黑体" w:eastAsia="黑体" w:cs="黑体"/>
                <w:snapToGrid w:val="0"/>
                <w:color w:val="auto"/>
                <w:kern w:val="0"/>
                <w:sz w:val="24"/>
                <w:szCs w:val="24"/>
                <w:highlight w:val="none"/>
              </w:rPr>
              <w:t>分</w:t>
            </w:r>
          </w:p>
        </w:tc>
        <w:tc>
          <w:tcPr>
            <w:tcW w:w="6358" w:type="dxa"/>
            <w:vAlign w:val="center"/>
          </w:tcPr>
          <w:p w14:paraId="18676A90">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针对本项目的相关服务承诺、技术需求中，其承诺和技术需求满足本项目采购文件要求得</w:t>
            </w:r>
            <w:r>
              <w:rPr>
                <w:rFonts w:hint="eastAsia" w:ascii="黑体" w:hAnsi="黑体" w:eastAsia="黑体" w:cs="黑体"/>
                <w:snapToGrid w:val="0"/>
                <w:color w:val="auto"/>
                <w:kern w:val="0"/>
                <w:sz w:val="24"/>
                <w:szCs w:val="24"/>
                <w:highlight w:val="none"/>
                <w:lang w:val="en-US" w:eastAsia="zh-CN"/>
              </w:rPr>
              <w:t>16</w:t>
            </w:r>
            <w:r>
              <w:rPr>
                <w:rFonts w:hint="eastAsia" w:ascii="黑体" w:hAnsi="黑体" w:eastAsia="黑体" w:cs="黑体"/>
                <w:snapToGrid w:val="0"/>
                <w:color w:val="auto"/>
                <w:kern w:val="0"/>
                <w:sz w:val="24"/>
                <w:szCs w:val="24"/>
                <w:highlight w:val="none"/>
              </w:rPr>
              <w:t>分，允许偏离的内容低于招标需求（非实质性负偏离，采购文件“第二章”中未标注“▲”的条款）的，每一项减1分，扣完为止。</w:t>
            </w:r>
          </w:p>
        </w:tc>
      </w:tr>
      <w:tr w14:paraId="0221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1625" w:type="dxa"/>
            <w:vMerge w:val="continue"/>
            <w:vAlign w:val="center"/>
          </w:tcPr>
          <w:p w14:paraId="28FB4745">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p>
        </w:tc>
        <w:tc>
          <w:tcPr>
            <w:tcW w:w="1322" w:type="dxa"/>
            <w:vAlign w:val="center"/>
          </w:tcPr>
          <w:p w14:paraId="3FE2956A">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养护方案</w:t>
            </w:r>
          </w:p>
          <w:p w14:paraId="43AF34CF">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lang w:val="en-US" w:eastAsia="zh-CN"/>
              </w:rPr>
              <w:t>24</w:t>
            </w:r>
            <w:r>
              <w:rPr>
                <w:rFonts w:hint="eastAsia" w:ascii="黑体" w:hAnsi="黑体" w:eastAsia="黑体" w:cs="黑体"/>
                <w:snapToGrid w:val="0"/>
                <w:color w:val="auto"/>
                <w:kern w:val="0"/>
                <w:sz w:val="24"/>
                <w:szCs w:val="24"/>
                <w:highlight w:val="none"/>
              </w:rPr>
              <w:t>分</w:t>
            </w:r>
          </w:p>
        </w:tc>
        <w:tc>
          <w:tcPr>
            <w:tcW w:w="6358" w:type="dxa"/>
            <w:vAlign w:val="center"/>
          </w:tcPr>
          <w:p w14:paraId="731FC750">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1、绿化养护实施方案是否符合实际，有操作性。（4分，3分、2分，1分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p w14:paraId="777F44BD">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2、专业技术是否满足绿化养护质量和进度要求。（4分，3分、2分，1分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p w14:paraId="529BA3B6">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3、</w:t>
            </w:r>
            <w:r>
              <w:rPr>
                <w:rFonts w:hint="eastAsia" w:ascii="黑体" w:hAnsi="黑体" w:eastAsia="黑体" w:cs="黑体"/>
                <w:snapToGrid w:val="0"/>
                <w:color w:val="auto"/>
                <w:kern w:val="0"/>
                <w:sz w:val="24"/>
                <w:szCs w:val="24"/>
                <w:highlight w:val="none"/>
                <w:lang w:val="en-US" w:eastAsia="zh-CN"/>
              </w:rPr>
              <w:t>绿化</w:t>
            </w:r>
            <w:r>
              <w:rPr>
                <w:rFonts w:hint="eastAsia" w:ascii="黑体" w:hAnsi="黑体" w:eastAsia="黑体" w:cs="黑体"/>
                <w:snapToGrid w:val="0"/>
                <w:color w:val="auto"/>
                <w:kern w:val="0"/>
                <w:sz w:val="24"/>
                <w:szCs w:val="24"/>
                <w:highlight w:val="none"/>
              </w:rPr>
              <w:t>养护期内成活率的措施是否可靠。（4分，3分、2分，1分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p w14:paraId="599D6582">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4、防治病虫害及抗击自然灾害的具体保证措施是否完善。（4分，3分、2分，1分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p w14:paraId="5DE3EC4E">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5、文明养护管理措施是否到位。（4分，3分、2分，1分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p w14:paraId="3EFEB105">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6、环境保护措施是否到位。（4分，3分、2分，1分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tc>
      </w:tr>
      <w:tr w14:paraId="5323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5" w:type="dxa"/>
            <w:vMerge w:val="continue"/>
            <w:vAlign w:val="center"/>
          </w:tcPr>
          <w:p w14:paraId="600D7E02">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p>
        </w:tc>
        <w:tc>
          <w:tcPr>
            <w:tcW w:w="1322" w:type="dxa"/>
            <w:vAlign w:val="center"/>
          </w:tcPr>
          <w:p w14:paraId="5A65C7B9">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企业体系和制度</w:t>
            </w:r>
          </w:p>
          <w:p w14:paraId="0C2F9134">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lang w:val="en-US" w:eastAsia="zh-CN"/>
              </w:rPr>
            </w:pPr>
            <w:r>
              <w:rPr>
                <w:rFonts w:hint="eastAsia" w:ascii="黑体" w:hAnsi="黑体" w:eastAsia="黑体" w:cs="黑体"/>
                <w:snapToGrid w:val="0"/>
                <w:color w:val="auto"/>
                <w:kern w:val="0"/>
                <w:sz w:val="24"/>
                <w:szCs w:val="24"/>
                <w:highlight w:val="none"/>
                <w:lang w:val="en-US" w:eastAsia="zh-CN"/>
              </w:rPr>
              <w:t>6</w:t>
            </w:r>
            <w:r>
              <w:rPr>
                <w:rFonts w:hint="eastAsia" w:ascii="黑体" w:hAnsi="黑体" w:eastAsia="黑体" w:cs="黑体"/>
                <w:snapToGrid w:val="0"/>
                <w:color w:val="auto"/>
                <w:kern w:val="0"/>
                <w:sz w:val="24"/>
                <w:szCs w:val="24"/>
                <w:highlight w:val="none"/>
              </w:rPr>
              <w:t>分</w:t>
            </w:r>
          </w:p>
        </w:tc>
        <w:tc>
          <w:tcPr>
            <w:tcW w:w="6358" w:type="dxa"/>
            <w:vAlign w:val="center"/>
          </w:tcPr>
          <w:p w14:paraId="6117F922">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1、企业绿化养护安全保证体系是否完善。（3分，2分，1分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p w14:paraId="5C707F92">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2、企业安全管理制度是否健全。（3分，2分，1分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tc>
      </w:tr>
      <w:tr w14:paraId="691E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1625" w:type="dxa"/>
            <w:vMerge w:val="continue"/>
            <w:vAlign w:val="center"/>
          </w:tcPr>
          <w:p w14:paraId="713A0C85">
            <w:pPr>
              <w:keepNext w:val="0"/>
              <w:keepLines w:val="0"/>
              <w:pageBreakBefore w:val="0"/>
              <w:kinsoku/>
              <w:wordWrap/>
              <w:topLinePunct w:val="0"/>
              <w:bidi w:val="0"/>
              <w:spacing w:before="120" w:beforeLines="50" w:after="120" w:afterLines="50" w:line="360" w:lineRule="exact"/>
              <w:ind w:firstLine="480" w:firstLineChars="200"/>
              <w:jc w:val="left"/>
              <w:rPr>
                <w:rFonts w:hint="eastAsia" w:ascii="黑体" w:hAnsi="黑体" w:eastAsia="黑体" w:cs="黑体"/>
                <w:color w:val="auto"/>
                <w:sz w:val="24"/>
                <w:szCs w:val="24"/>
                <w:highlight w:val="none"/>
              </w:rPr>
            </w:pPr>
          </w:p>
        </w:tc>
        <w:tc>
          <w:tcPr>
            <w:tcW w:w="1322" w:type="dxa"/>
            <w:vAlign w:val="center"/>
          </w:tcPr>
          <w:p w14:paraId="4B352606">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合理化建议</w:t>
            </w:r>
          </w:p>
          <w:p w14:paraId="27437E0C">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lang w:val="en-US" w:eastAsia="zh-CN"/>
              </w:rPr>
              <w:t>3</w:t>
            </w:r>
            <w:r>
              <w:rPr>
                <w:rFonts w:hint="eastAsia" w:ascii="黑体" w:hAnsi="黑体" w:eastAsia="黑体" w:cs="黑体"/>
                <w:snapToGrid w:val="0"/>
                <w:color w:val="auto"/>
                <w:kern w:val="0"/>
                <w:sz w:val="24"/>
                <w:szCs w:val="24"/>
                <w:highlight w:val="none"/>
              </w:rPr>
              <w:t>分</w:t>
            </w:r>
          </w:p>
        </w:tc>
        <w:tc>
          <w:tcPr>
            <w:tcW w:w="6358" w:type="dxa"/>
            <w:vAlign w:val="center"/>
          </w:tcPr>
          <w:p w14:paraId="0C6DBE00">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对本项目的合理化建议，是否具有科学性、可行性强。（3分，2分，1分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tc>
      </w:tr>
      <w:tr w14:paraId="1D4A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1625" w:type="dxa"/>
            <w:vMerge w:val="continue"/>
            <w:vAlign w:val="center"/>
          </w:tcPr>
          <w:p w14:paraId="5CE3564A">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p>
        </w:tc>
        <w:tc>
          <w:tcPr>
            <w:tcW w:w="1322" w:type="dxa"/>
            <w:vAlign w:val="center"/>
          </w:tcPr>
          <w:p w14:paraId="76739860">
            <w:pPr>
              <w:keepNext w:val="0"/>
              <w:keepLines w:val="0"/>
              <w:pageBreakBefore w:val="0"/>
              <w:kinsoku/>
              <w:wordWrap/>
              <w:topLinePunct w:val="0"/>
              <w:bidi w:val="0"/>
              <w:spacing w:before="120" w:beforeLines="50" w:after="120" w:afterLines="50"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车辆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rPr>
              <w:t>设备配备情况</w:t>
            </w:r>
          </w:p>
          <w:p w14:paraId="353BCA0E">
            <w:pPr>
              <w:keepNext w:val="0"/>
              <w:keepLines w:val="0"/>
              <w:pageBreakBefore w:val="0"/>
              <w:kinsoku/>
              <w:wordWrap/>
              <w:topLinePunct w:val="0"/>
              <w:bidi w:val="0"/>
              <w:spacing w:before="120" w:beforeLines="50" w:after="120" w:afterLines="50"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1</w:t>
            </w:r>
            <w:r>
              <w:rPr>
                <w:rFonts w:hint="eastAsia" w:ascii="黑体" w:hAnsi="黑体" w:eastAsia="黑体" w:cs="黑体"/>
                <w:snapToGrid w:val="0"/>
                <w:color w:val="auto"/>
                <w:kern w:val="0"/>
                <w:sz w:val="24"/>
                <w:szCs w:val="24"/>
                <w:highlight w:val="none"/>
                <w:lang w:val="en-US" w:eastAsia="zh-CN"/>
              </w:rPr>
              <w:t>4</w:t>
            </w:r>
            <w:r>
              <w:rPr>
                <w:rFonts w:hint="eastAsia" w:ascii="黑体" w:hAnsi="黑体" w:eastAsia="黑体" w:cs="黑体"/>
                <w:snapToGrid w:val="0"/>
                <w:color w:val="auto"/>
                <w:kern w:val="0"/>
                <w:sz w:val="24"/>
                <w:szCs w:val="24"/>
                <w:highlight w:val="none"/>
              </w:rPr>
              <w:t>分</w:t>
            </w:r>
          </w:p>
        </w:tc>
        <w:tc>
          <w:tcPr>
            <w:tcW w:w="6358" w:type="dxa"/>
            <w:vAlign w:val="center"/>
          </w:tcPr>
          <w:p w14:paraId="55160CC9">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1、具备总质量5吨以上洒水车3辆及以上的得</w:t>
            </w:r>
            <w:r>
              <w:rPr>
                <w:rFonts w:hint="eastAsia" w:ascii="黑体" w:hAnsi="黑体" w:eastAsia="黑体" w:cs="黑体"/>
                <w:snapToGrid w:val="0"/>
                <w:color w:val="auto"/>
                <w:kern w:val="0"/>
                <w:sz w:val="24"/>
                <w:szCs w:val="24"/>
                <w:highlight w:val="none"/>
                <w:lang w:val="en-US" w:eastAsia="zh-CN"/>
              </w:rPr>
              <w:t>2</w:t>
            </w:r>
            <w:r>
              <w:rPr>
                <w:rFonts w:hint="eastAsia" w:ascii="黑体" w:hAnsi="黑体" w:eastAsia="黑体" w:cs="黑体"/>
                <w:snapToGrid w:val="0"/>
                <w:color w:val="auto"/>
                <w:kern w:val="0"/>
                <w:sz w:val="24"/>
                <w:szCs w:val="24"/>
                <w:highlight w:val="none"/>
              </w:rPr>
              <w:t>分，否则不得分；</w:t>
            </w:r>
          </w:p>
          <w:p w14:paraId="19C79641">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2、具备绿化养护行道树除雪高射程风送式喷雾机1台及以上的得2分，否则不得分；</w:t>
            </w:r>
          </w:p>
          <w:p w14:paraId="0FC1ED23">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3、具备绿篱机3台（不含）以上的得2分，否则不得分；</w:t>
            </w:r>
          </w:p>
          <w:p w14:paraId="7002DA2B">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4、具备草坪机3台（不含）以上的得2分，否则不得分；</w:t>
            </w:r>
          </w:p>
          <w:p w14:paraId="55BD953F">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5、具备割灌机3台（不含）以上的得2分，否则不得分。</w:t>
            </w:r>
          </w:p>
          <w:p w14:paraId="67082244">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6、具备油锯5把（不含）以上的得</w:t>
            </w:r>
            <w:r>
              <w:rPr>
                <w:rFonts w:hint="eastAsia" w:ascii="黑体" w:hAnsi="黑体" w:eastAsia="黑体" w:cs="黑体"/>
                <w:snapToGrid w:val="0"/>
                <w:color w:val="auto"/>
                <w:kern w:val="0"/>
                <w:sz w:val="24"/>
                <w:szCs w:val="24"/>
                <w:highlight w:val="none"/>
                <w:lang w:val="en-US" w:eastAsia="zh-CN"/>
              </w:rPr>
              <w:t>1</w:t>
            </w:r>
            <w:r>
              <w:rPr>
                <w:rFonts w:hint="eastAsia" w:ascii="黑体" w:hAnsi="黑体" w:eastAsia="黑体" w:cs="黑体"/>
                <w:snapToGrid w:val="0"/>
                <w:color w:val="auto"/>
                <w:kern w:val="0"/>
                <w:sz w:val="24"/>
                <w:szCs w:val="24"/>
                <w:highlight w:val="none"/>
              </w:rPr>
              <w:t>分，否则不得分；</w:t>
            </w:r>
          </w:p>
          <w:p w14:paraId="4341E944">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7、具备园林喷药机，有一台得1分，最高得2分；</w:t>
            </w:r>
          </w:p>
          <w:p w14:paraId="2740EDE4">
            <w:pPr>
              <w:keepNext w:val="0"/>
              <w:keepLines w:val="0"/>
              <w:pageBreakBefore w:val="0"/>
              <w:kinsoku/>
              <w:wordWrap/>
              <w:topLinePunct w:val="0"/>
              <w:bidi w:val="0"/>
              <w:spacing w:line="360" w:lineRule="exact"/>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8、具备总质量1.5吨以上货车有一辆得</w:t>
            </w:r>
            <w:r>
              <w:rPr>
                <w:rFonts w:hint="eastAsia" w:ascii="黑体" w:hAnsi="黑体" w:eastAsia="黑体" w:cs="黑体"/>
                <w:snapToGrid w:val="0"/>
                <w:color w:val="auto"/>
                <w:kern w:val="0"/>
                <w:sz w:val="24"/>
                <w:szCs w:val="24"/>
                <w:highlight w:val="none"/>
                <w:lang w:val="en-US" w:eastAsia="zh-CN"/>
              </w:rPr>
              <w:t>0.5</w:t>
            </w:r>
            <w:r>
              <w:rPr>
                <w:rFonts w:hint="eastAsia" w:ascii="黑体" w:hAnsi="黑体" w:eastAsia="黑体" w:cs="黑体"/>
                <w:snapToGrid w:val="0"/>
                <w:color w:val="auto"/>
                <w:kern w:val="0"/>
                <w:sz w:val="24"/>
                <w:szCs w:val="24"/>
                <w:highlight w:val="none"/>
              </w:rPr>
              <w:t>分，最多得</w:t>
            </w:r>
            <w:r>
              <w:rPr>
                <w:rFonts w:hint="eastAsia" w:ascii="黑体" w:hAnsi="黑体" w:eastAsia="黑体" w:cs="黑体"/>
                <w:snapToGrid w:val="0"/>
                <w:color w:val="auto"/>
                <w:kern w:val="0"/>
                <w:sz w:val="24"/>
                <w:szCs w:val="24"/>
                <w:highlight w:val="none"/>
                <w:lang w:val="en-US" w:eastAsia="zh-CN"/>
              </w:rPr>
              <w:t>1</w:t>
            </w:r>
            <w:r>
              <w:rPr>
                <w:rFonts w:hint="eastAsia" w:ascii="黑体" w:hAnsi="黑体" w:eastAsia="黑体" w:cs="黑体"/>
                <w:snapToGrid w:val="0"/>
                <w:color w:val="auto"/>
                <w:kern w:val="0"/>
                <w:sz w:val="24"/>
                <w:szCs w:val="24"/>
                <w:highlight w:val="none"/>
              </w:rPr>
              <w:t>分，</w:t>
            </w:r>
          </w:p>
          <w:p w14:paraId="27655ED5">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注：以上作业设备需提供发票复印件或租赁合同复印件，原件备查。</w:t>
            </w:r>
          </w:p>
        </w:tc>
      </w:tr>
      <w:tr w14:paraId="2E66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1625" w:type="dxa"/>
            <w:vMerge w:val="continue"/>
            <w:vAlign w:val="center"/>
          </w:tcPr>
          <w:p w14:paraId="4E3B2E3B">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p>
        </w:tc>
        <w:tc>
          <w:tcPr>
            <w:tcW w:w="1322" w:type="dxa"/>
            <w:vAlign w:val="center"/>
          </w:tcPr>
          <w:p w14:paraId="5A9FD6E2">
            <w:pPr>
              <w:keepNext w:val="0"/>
              <w:keepLines w:val="0"/>
              <w:pageBreakBefore w:val="0"/>
              <w:widowControl/>
              <w:kinsoku/>
              <w:wordWrap/>
              <w:topLinePunct w:val="0"/>
              <w:bidi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项目人员配备情况</w:t>
            </w:r>
          </w:p>
          <w:p w14:paraId="5BE6A394">
            <w:pPr>
              <w:keepNext w:val="0"/>
              <w:keepLines w:val="0"/>
              <w:pageBreakBefore w:val="0"/>
              <w:widowControl/>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lang w:val="en-US" w:eastAsia="zh-CN"/>
              </w:rPr>
              <w:t>9</w:t>
            </w:r>
            <w:r>
              <w:rPr>
                <w:rFonts w:hint="eastAsia" w:ascii="黑体" w:hAnsi="黑体" w:eastAsia="黑体" w:cs="黑体"/>
                <w:snapToGrid w:val="0"/>
                <w:color w:val="auto"/>
                <w:kern w:val="0"/>
                <w:sz w:val="24"/>
                <w:szCs w:val="24"/>
                <w:highlight w:val="none"/>
              </w:rPr>
              <w:t>分</w:t>
            </w:r>
          </w:p>
        </w:tc>
        <w:tc>
          <w:tcPr>
            <w:tcW w:w="6358" w:type="dxa"/>
            <w:vAlign w:val="center"/>
          </w:tcPr>
          <w:p w14:paraId="0ECE2F54">
            <w:pPr>
              <w:keepNext w:val="0"/>
              <w:keepLines w:val="0"/>
              <w:pageBreakBefore w:val="0"/>
              <w:kinsoku/>
              <w:wordWrap/>
              <w:topLinePunct w:val="0"/>
              <w:bidi w:val="0"/>
              <w:spacing w:line="360" w:lineRule="exact"/>
              <w:ind w:firstLine="240" w:firstLineChars="1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1.拟派项目负责人具有园林绿化中级及以上工程师资格证书的得3分;</w:t>
            </w:r>
          </w:p>
          <w:p w14:paraId="05375CAB">
            <w:pPr>
              <w:keepNext w:val="0"/>
              <w:keepLines w:val="0"/>
              <w:pageBreakBefore w:val="0"/>
              <w:kinsoku/>
              <w:wordWrap/>
              <w:topLinePunct w:val="0"/>
              <w:bidi w:val="0"/>
              <w:spacing w:line="360" w:lineRule="exact"/>
              <w:ind w:firstLine="240" w:firstLineChars="1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需提供相关证书及本单位的近1个月社保或股东证明或项目人员合伙人证明或退休证明或返聘证明材料复印件。</w:t>
            </w:r>
          </w:p>
          <w:p w14:paraId="4AD211C1">
            <w:pPr>
              <w:keepNext w:val="0"/>
              <w:keepLines w:val="0"/>
              <w:pageBreakBefore w:val="0"/>
              <w:kinsoku/>
              <w:wordWrap/>
              <w:topLinePunct w:val="0"/>
              <w:bidi w:val="0"/>
              <w:spacing w:line="360" w:lineRule="exact"/>
              <w:ind w:firstLine="240" w:firstLineChars="1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2.本项目服务工作人员:</w:t>
            </w:r>
          </w:p>
          <w:p w14:paraId="5A64AFF0">
            <w:pPr>
              <w:keepNext w:val="0"/>
              <w:keepLines w:val="0"/>
              <w:pageBreakBefore w:val="0"/>
              <w:kinsoku/>
              <w:wordWrap/>
              <w:topLinePunct w:val="0"/>
              <w:bidi w:val="0"/>
              <w:spacing w:line="360" w:lineRule="exact"/>
              <w:ind w:firstLine="240" w:firstLineChars="1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(1)人员配备:人员配置结构是否能满足绿化养护项目质量的要求，有无合理的劳动力投入计划;(3分，2分，1分，0分)</w:t>
            </w:r>
          </w:p>
          <w:p w14:paraId="210A3ECC">
            <w:pPr>
              <w:keepNext w:val="0"/>
              <w:keepLines w:val="0"/>
              <w:pageBreakBefore w:val="0"/>
              <w:kinsoku/>
              <w:wordWrap/>
              <w:topLinePunct w:val="0"/>
              <w:bidi w:val="0"/>
              <w:spacing w:line="360" w:lineRule="exact"/>
              <w:ind w:firstLine="240" w:firstLineChars="1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(2)人员培训:对各类人员的培训计划、方式、目标及行为规范的培训等;(3分，2分，1分，0分)。</w:t>
            </w:r>
          </w:p>
        </w:tc>
      </w:tr>
      <w:tr w14:paraId="3846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625" w:type="dxa"/>
            <w:vMerge w:val="restart"/>
            <w:vAlign w:val="center"/>
          </w:tcPr>
          <w:p w14:paraId="31C5A85A">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商务、资信及其他分</w:t>
            </w: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val="en-US" w:eastAsia="zh-CN"/>
              </w:rPr>
              <w:t>18</w:t>
            </w:r>
            <w:r>
              <w:rPr>
                <w:rFonts w:hint="eastAsia" w:ascii="黑体" w:hAnsi="黑体" w:eastAsia="黑体" w:cs="黑体"/>
                <w:color w:val="auto"/>
                <w:kern w:val="0"/>
                <w:sz w:val="24"/>
                <w:szCs w:val="24"/>
                <w:highlight w:val="none"/>
              </w:rPr>
              <w:t>分）</w:t>
            </w:r>
          </w:p>
        </w:tc>
        <w:tc>
          <w:tcPr>
            <w:tcW w:w="1322" w:type="dxa"/>
            <w:vAlign w:val="center"/>
          </w:tcPr>
          <w:p w14:paraId="3200A9DD">
            <w:pPr>
              <w:keepNext w:val="0"/>
              <w:keepLines w:val="0"/>
              <w:pageBreakBefore w:val="0"/>
              <w:kinsoku/>
              <w:wordWrap/>
              <w:topLinePunct w:val="0"/>
              <w:bidi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投标企业总体情况6分</w:t>
            </w:r>
          </w:p>
        </w:tc>
        <w:tc>
          <w:tcPr>
            <w:tcW w:w="6358" w:type="dxa"/>
            <w:vAlign w:val="center"/>
          </w:tcPr>
          <w:p w14:paraId="1B429683">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投标人的经营情况</w:t>
            </w:r>
            <w:r>
              <w:rPr>
                <w:rFonts w:hint="eastAsia" w:ascii="黑体" w:hAnsi="黑体" w:eastAsia="黑体" w:cs="黑体"/>
                <w:color w:val="auto"/>
                <w:sz w:val="24"/>
                <w:szCs w:val="24"/>
                <w:highlight w:val="none"/>
              </w:rPr>
              <w:t>（3分，2分，1分</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0分</w:t>
            </w:r>
            <w:r>
              <w:rPr>
                <w:rFonts w:hint="eastAsia" w:ascii="黑体" w:hAnsi="黑体" w:eastAsia="黑体" w:cs="黑体"/>
                <w:color w:val="auto"/>
                <w:sz w:val="24"/>
                <w:szCs w:val="24"/>
                <w:highlight w:val="none"/>
              </w:rPr>
              <w:t>）</w:t>
            </w:r>
            <w:r>
              <w:rPr>
                <w:rFonts w:hint="eastAsia" w:ascii="黑体" w:hAnsi="黑体" w:eastAsia="黑体" w:cs="黑体"/>
                <w:snapToGrid w:val="0"/>
                <w:color w:val="auto"/>
                <w:kern w:val="0"/>
                <w:sz w:val="24"/>
                <w:szCs w:val="24"/>
                <w:highlight w:val="none"/>
              </w:rPr>
              <w:t>；</w:t>
            </w:r>
          </w:p>
          <w:p w14:paraId="5AA188C8">
            <w:pPr>
              <w:keepNext w:val="0"/>
              <w:keepLines w:val="0"/>
              <w:pageBreakBefore w:val="0"/>
              <w:kinsoku/>
              <w:wordWrap/>
              <w:topLinePunct w:val="0"/>
              <w:bidi w:val="0"/>
              <w:spacing w:line="36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rPr>
              <w:t>投标人的市场评价</w:t>
            </w:r>
            <w:r>
              <w:rPr>
                <w:rFonts w:hint="eastAsia" w:ascii="黑体" w:hAnsi="黑体" w:eastAsia="黑体" w:cs="黑体"/>
                <w:color w:val="auto"/>
                <w:sz w:val="24"/>
                <w:szCs w:val="24"/>
                <w:highlight w:val="none"/>
              </w:rPr>
              <w:t>（3分，2分，1分</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0分</w:t>
            </w:r>
            <w:r>
              <w:rPr>
                <w:rFonts w:hint="eastAsia" w:ascii="黑体" w:hAnsi="黑体" w:eastAsia="黑体" w:cs="黑体"/>
                <w:color w:val="auto"/>
                <w:sz w:val="24"/>
                <w:szCs w:val="24"/>
                <w:highlight w:val="none"/>
              </w:rPr>
              <w:t>）</w:t>
            </w:r>
            <w:r>
              <w:rPr>
                <w:rFonts w:hint="eastAsia" w:ascii="黑体" w:hAnsi="黑体" w:eastAsia="黑体" w:cs="黑体"/>
                <w:snapToGrid w:val="0"/>
                <w:color w:val="auto"/>
                <w:kern w:val="0"/>
                <w:sz w:val="24"/>
                <w:szCs w:val="24"/>
                <w:highlight w:val="none"/>
              </w:rPr>
              <w:t>；</w:t>
            </w:r>
          </w:p>
        </w:tc>
      </w:tr>
      <w:tr w14:paraId="5B3B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1625" w:type="dxa"/>
            <w:vMerge w:val="continue"/>
            <w:vAlign w:val="center"/>
          </w:tcPr>
          <w:p w14:paraId="097C62E6">
            <w:pPr>
              <w:keepNext w:val="0"/>
              <w:keepLines w:val="0"/>
              <w:pageBreakBefore w:val="0"/>
              <w:kinsoku/>
              <w:wordWrap/>
              <w:topLinePunct w:val="0"/>
              <w:bidi w:val="0"/>
              <w:spacing w:line="360" w:lineRule="exact"/>
              <w:jc w:val="center"/>
              <w:rPr>
                <w:rFonts w:hint="eastAsia" w:ascii="黑体" w:hAnsi="黑体" w:eastAsia="黑体" w:cs="黑体"/>
                <w:snapToGrid w:val="0"/>
                <w:color w:val="auto"/>
                <w:kern w:val="0"/>
                <w:sz w:val="24"/>
                <w:szCs w:val="24"/>
                <w:highlight w:val="none"/>
              </w:rPr>
            </w:pPr>
          </w:p>
        </w:tc>
        <w:tc>
          <w:tcPr>
            <w:tcW w:w="1322" w:type="dxa"/>
            <w:vAlign w:val="center"/>
          </w:tcPr>
          <w:p w14:paraId="2DB0CF87">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成功案例</w:t>
            </w:r>
          </w:p>
          <w:p w14:paraId="670474CF">
            <w:pPr>
              <w:keepNext w:val="0"/>
              <w:keepLines w:val="0"/>
              <w:pageBreakBefore w:val="0"/>
              <w:kinsoku/>
              <w:wordWrap/>
              <w:topLinePunct w:val="0"/>
              <w:bidi w:val="0"/>
              <w:spacing w:line="36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1分</w:t>
            </w:r>
          </w:p>
        </w:tc>
        <w:tc>
          <w:tcPr>
            <w:tcW w:w="6358" w:type="dxa"/>
            <w:vAlign w:val="center"/>
          </w:tcPr>
          <w:p w14:paraId="39BC9886">
            <w:pPr>
              <w:keepNext w:val="0"/>
              <w:keepLines w:val="0"/>
              <w:pageBreakBefore w:val="0"/>
              <w:kinsoku/>
              <w:wordWrap/>
              <w:topLinePunct w:val="0"/>
              <w:bidi w:val="0"/>
              <w:spacing w:line="360" w:lineRule="exact"/>
              <w:ind w:firstLine="480"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根据供应商提供的2021年1月1日起至本项目截标时间止完成的类似项目业绩</w:t>
            </w:r>
            <w:r>
              <w:rPr>
                <w:rFonts w:hint="eastAsia" w:ascii="黑体" w:hAnsi="黑体" w:eastAsia="黑体" w:cs="黑体"/>
                <w:b/>
                <w:bCs/>
                <w:snapToGrid w:val="0"/>
                <w:color w:val="auto"/>
                <w:kern w:val="0"/>
                <w:sz w:val="24"/>
                <w:szCs w:val="24"/>
                <w:highlight w:val="none"/>
              </w:rPr>
              <w:t>（项目特征为绿化养护或草花种植）</w:t>
            </w:r>
            <w:r>
              <w:rPr>
                <w:rFonts w:hint="eastAsia" w:ascii="黑体" w:hAnsi="黑体" w:eastAsia="黑体" w:cs="黑体"/>
                <w:snapToGrid w:val="0"/>
                <w:color w:val="auto"/>
                <w:kern w:val="0"/>
                <w:sz w:val="24"/>
                <w:szCs w:val="24"/>
                <w:highlight w:val="none"/>
              </w:rPr>
              <w:t>的每个得0.5分，最高得1分。</w:t>
            </w:r>
          </w:p>
          <w:p w14:paraId="067BBC8C">
            <w:pPr>
              <w:keepNext w:val="0"/>
              <w:keepLines w:val="0"/>
              <w:pageBreakBefore w:val="0"/>
              <w:kinsoku/>
              <w:wordWrap/>
              <w:topLinePunct w:val="0"/>
              <w:bidi w:val="0"/>
              <w:spacing w:line="360" w:lineRule="exact"/>
              <w:ind w:firstLine="482" w:firstLineChars="200"/>
              <w:jc w:val="left"/>
              <w:rPr>
                <w:rFonts w:hint="eastAsia" w:ascii="黑体" w:hAnsi="黑体" w:eastAsia="黑体" w:cs="黑体"/>
                <w:snapToGrid w:val="0"/>
                <w:color w:val="auto"/>
                <w:kern w:val="0"/>
                <w:sz w:val="24"/>
                <w:szCs w:val="24"/>
                <w:highlight w:val="none"/>
              </w:rPr>
            </w:pPr>
            <w:r>
              <w:rPr>
                <w:rFonts w:hint="eastAsia" w:ascii="黑体" w:hAnsi="黑体" w:eastAsia="黑体" w:cs="黑体"/>
                <w:b/>
                <w:bCs/>
                <w:snapToGrid w:val="0"/>
                <w:color w:val="auto"/>
                <w:kern w:val="0"/>
                <w:sz w:val="24"/>
                <w:szCs w:val="24"/>
                <w:highlight w:val="none"/>
              </w:rPr>
              <w:t>必须同时提供合同复印件（应包含能够体现具体采购内容的部分）和项目完成证明材料（如业主验收报告、业主评价意见或资金结算单等证明材料），不提供不得分。</w:t>
            </w:r>
          </w:p>
        </w:tc>
      </w:tr>
      <w:tr w14:paraId="1E82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25" w:type="dxa"/>
            <w:vMerge w:val="continue"/>
            <w:vAlign w:val="center"/>
          </w:tcPr>
          <w:p w14:paraId="24437C85">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p>
        </w:tc>
        <w:tc>
          <w:tcPr>
            <w:tcW w:w="1322" w:type="dxa"/>
            <w:vAlign w:val="center"/>
          </w:tcPr>
          <w:p w14:paraId="47BD8352">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提供实质性的优惠条件或服务措施</w:t>
            </w:r>
          </w:p>
          <w:p w14:paraId="1C286378">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4分</w:t>
            </w:r>
          </w:p>
        </w:tc>
        <w:tc>
          <w:tcPr>
            <w:tcW w:w="6358" w:type="dxa"/>
            <w:vAlign w:val="center"/>
          </w:tcPr>
          <w:p w14:paraId="43508F5A">
            <w:pPr>
              <w:keepNext w:val="0"/>
              <w:keepLines w:val="0"/>
              <w:pageBreakBefore w:val="0"/>
              <w:widowControl/>
              <w:kinsoku/>
              <w:wordWrap/>
              <w:topLinePunct w:val="0"/>
              <w:bidi w:val="0"/>
              <w:spacing w:line="360" w:lineRule="exact"/>
              <w:ind w:firstLine="480" w:firstLineChars="200"/>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主要根据投标针对本项目的养护期承诺，比如用户现场服务响应时间、问题解决时间等实质性优惠条件或服务措施情况比较打分。</w:t>
            </w:r>
          </w:p>
          <w:p w14:paraId="733CCE4D">
            <w:pPr>
              <w:keepNext w:val="0"/>
              <w:keepLines w:val="0"/>
              <w:pageBreakBefore w:val="0"/>
              <w:widowControl/>
              <w:kinsoku/>
              <w:wordWrap/>
              <w:topLinePunct w:val="0"/>
              <w:bidi w:val="0"/>
              <w:spacing w:line="360" w:lineRule="exact"/>
              <w:ind w:firstLine="480" w:firstLineChars="200"/>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同时可参考养护期外的服务价格及方案等优惠条件或服务措施情况比较打分（4分，3分、2分，1分）。</w:t>
            </w:r>
          </w:p>
        </w:tc>
      </w:tr>
      <w:tr w14:paraId="265A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25" w:type="dxa"/>
            <w:vMerge w:val="continue"/>
            <w:vAlign w:val="center"/>
          </w:tcPr>
          <w:p w14:paraId="529101F1">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p>
        </w:tc>
        <w:tc>
          <w:tcPr>
            <w:tcW w:w="1322" w:type="dxa"/>
            <w:vAlign w:val="center"/>
          </w:tcPr>
          <w:p w14:paraId="41A68DC4">
            <w:pPr>
              <w:keepNext w:val="0"/>
              <w:keepLines w:val="0"/>
              <w:pageBreakBefore w:val="0"/>
              <w:kinsoku/>
              <w:wordWrap/>
              <w:topLinePunct w:val="0"/>
              <w:bidi w:val="0"/>
              <w:spacing w:line="360" w:lineRule="exact"/>
              <w:jc w:val="center"/>
              <w:rPr>
                <w:rFonts w:hint="default" w:ascii="黑体" w:hAnsi="黑体" w:eastAsia="黑体" w:cs="黑体"/>
                <w:color w:val="auto"/>
                <w:kern w:val="0"/>
                <w:sz w:val="24"/>
                <w:szCs w:val="24"/>
                <w:highlight w:val="none"/>
                <w:lang w:val="en-US" w:eastAsia="zh-CN"/>
              </w:rPr>
            </w:pPr>
            <w:r>
              <w:rPr>
                <w:rFonts w:hint="eastAsia" w:ascii="黑体" w:hAnsi="黑体" w:eastAsia="黑体" w:cs="黑体"/>
                <w:snapToGrid w:val="0"/>
                <w:color w:val="auto"/>
                <w:kern w:val="0"/>
                <w:sz w:val="24"/>
                <w:szCs w:val="24"/>
                <w:highlight w:val="none"/>
              </w:rPr>
              <w:t>服务保障应急预案</w:t>
            </w:r>
            <w:r>
              <w:rPr>
                <w:rFonts w:hint="eastAsia" w:ascii="黑体" w:hAnsi="黑体" w:eastAsia="黑体" w:cs="黑体"/>
                <w:snapToGrid w:val="0"/>
                <w:color w:val="auto"/>
                <w:kern w:val="0"/>
                <w:sz w:val="24"/>
                <w:szCs w:val="24"/>
                <w:highlight w:val="none"/>
                <w:lang w:val="en-US" w:eastAsia="zh-CN"/>
              </w:rPr>
              <w:t>4分</w:t>
            </w:r>
          </w:p>
        </w:tc>
        <w:tc>
          <w:tcPr>
            <w:tcW w:w="6358" w:type="dxa"/>
            <w:vAlign w:val="center"/>
          </w:tcPr>
          <w:p w14:paraId="4B70DF61">
            <w:pPr>
              <w:keepNext w:val="0"/>
              <w:keepLines w:val="0"/>
              <w:pageBreakBefore w:val="0"/>
              <w:widowControl/>
              <w:kinsoku/>
              <w:wordWrap/>
              <w:topLinePunct w:val="0"/>
              <w:bidi w:val="0"/>
              <w:spacing w:line="360" w:lineRule="exact"/>
              <w:ind w:firstLine="480" w:firstLineChars="200"/>
              <w:rPr>
                <w:rFonts w:hint="eastAsia"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服务保障应急预案是否合理、完善。（4分，3分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rPr>
              <w:t>2分，1分</w:t>
            </w:r>
            <w:r>
              <w:rPr>
                <w:rFonts w:hint="eastAsia" w:ascii="黑体" w:hAnsi="黑体" w:eastAsia="黑体" w:cs="黑体"/>
                <w:snapToGrid w:val="0"/>
                <w:color w:val="auto"/>
                <w:kern w:val="0"/>
                <w:sz w:val="24"/>
                <w:szCs w:val="24"/>
                <w:highlight w:val="none"/>
                <w:lang w:eastAsia="zh-CN"/>
              </w:rPr>
              <w:t>，</w:t>
            </w:r>
            <w:r>
              <w:rPr>
                <w:rFonts w:hint="eastAsia" w:ascii="黑体" w:hAnsi="黑体" w:eastAsia="黑体" w:cs="黑体"/>
                <w:snapToGrid w:val="0"/>
                <w:color w:val="auto"/>
                <w:kern w:val="0"/>
                <w:sz w:val="24"/>
                <w:szCs w:val="24"/>
                <w:highlight w:val="none"/>
                <w:lang w:val="en-US" w:eastAsia="zh-CN"/>
              </w:rPr>
              <w:t>0分</w:t>
            </w:r>
            <w:r>
              <w:rPr>
                <w:rFonts w:hint="eastAsia" w:ascii="黑体" w:hAnsi="黑体" w:eastAsia="黑体" w:cs="黑体"/>
                <w:snapToGrid w:val="0"/>
                <w:color w:val="auto"/>
                <w:kern w:val="0"/>
                <w:sz w:val="24"/>
                <w:szCs w:val="24"/>
                <w:highlight w:val="none"/>
              </w:rPr>
              <w:t>）</w:t>
            </w:r>
          </w:p>
        </w:tc>
      </w:tr>
      <w:tr w14:paraId="3A54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625" w:type="dxa"/>
            <w:vMerge w:val="continue"/>
            <w:vAlign w:val="center"/>
          </w:tcPr>
          <w:p w14:paraId="76E93F05">
            <w:pPr>
              <w:keepNext w:val="0"/>
              <w:keepLines w:val="0"/>
              <w:pageBreakBefore w:val="0"/>
              <w:kinsoku/>
              <w:wordWrap/>
              <w:topLinePunct w:val="0"/>
              <w:bidi w:val="0"/>
              <w:spacing w:line="360" w:lineRule="exact"/>
              <w:jc w:val="center"/>
              <w:rPr>
                <w:rFonts w:hint="eastAsia" w:ascii="黑体" w:hAnsi="黑体" w:eastAsia="黑体" w:cs="黑体"/>
                <w:color w:val="auto"/>
                <w:kern w:val="0"/>
                <w:sz w:val="24"/>
                <w:szCs w:val="24"/>
                <w:highlight w:val="none"/>
              </w:rPr>
            </w:pPr>
          </w:p>
        </w:tc>
        <w:tc>
          <w:tcPr>
            <w:tcW w:w="1322" w:type="dxa"/>
            <w:vAlign w:val="center"/>
          </w:tcPr>
          <w:p w14:paraId="424B7FC2">
            <w:pPr>
              <w:keepNext w:val="0"/>
              <w:keepLines w:val="0"/>
              <w:pageBreakBefore w:val="0"/>
              <w:kinsoku/>
              <w:wordWrap/>
              <w:topLinePunct w:val="0"/>
              <w:bidi w:val="0"/>
              <w:snapToGrid w:val="0"/>
              <w:spacing w:line="360" w:lineRule="exact"/>
              <w:jc w:val="center"/>
              <w:rPr>
                <w:rFonts w:hint="eastAsia" w:ascii="黑体" w:hAnsi="黑体" w:eastAsia="黑体" w:cs="黑体"/>
                <w:color w:val="auto"/>
                <w:kern w:val="0"/>
                <w:sz w:val="24"/>
                <w:szCs w:val="24"/>
                <w:highlight w:val="none"/>
              </w:rPr>
            </w:pPr>
            <w:r>
              <w:rPr>
                <w:rFonts w:hint="eastAsia" w:ascii="黑体" w:hAnsi="黑体" w:eastAsia="黑体" w:cs="黑体"/>
                <w:snapToGrid w:val="0"/>
                <w:color w:val="auto"/>
                <w:sz w:val="24"/>
                <w:szCs w:val="24"/>
                <w:highlight w:val="none"/>
              </w:rPr>
              <w:t>服务响应情况</w:t>
            </w:r>
            <w:r>
              <w:rPr>
                <w:rFonts w:hint="eastAsia" w:ascii="黑体" w:hAnsi="黑体" w:eastAsia="黑体" w:cs="黑体"/>
                <w:snapToGrid w:val="0"/>
                <w:color w:val="auto"/>
                <w:sz w:val="24"/>
                <w:szCs w:val="24"/>
                <w:highlight w:val="none"/>
                <w:lang w:val="en-US" w:eastAsia="zh-CN"/>
              </w:rPr>
              <w:t>3</w:t>
            </w:r>
            <w:r>
              <w:rPr>
                <w:rFonts w:hint="eastAsia" w:ascii="黑体" w:hAnsi="黑体" w:eastAsia="黑体" w:cs="黑体"/>
                <w:snapToGrid w:val="0"/>
                <w:color w:val="auto"/>
                <w:sz w:val="24"/>
                <w:szCs w:val="24"/>
                <w:highlight w:val="none"/>
              </w:rPr>
              <w:t>分</w:t>
            </w:r>
          </w:p>
        </w:tc>
        <w:tc>
          <w:tcPr>
            <w:tcW w:w="6358" w:type="dxa"/>
            <w:vAlign w:val="center"/>
          </w:tcPr>
          <w:p w14:paraId="18C68AA6">
            <w:pPr>
              <w:keepNext w:val="0"/>
              <w:keepLines w:val="0"/>
              <w:pageBreakBefore w:val="0"/>
              <w:kinsoku/>
              <w:wordWrap/>
              <w:topLinePunct w:val="0"/>
              <w:bidi w:val="0"/>
              <w:snapToGrid w:val="0"/>
              <w:spacing w:line="360" w:lineRule="exact"/>
              <w:ind w:firstLine="240" w:firstLineChars="100"/>
              <w:jc w:val="left"/>
              <w:rPr>
                <w:rFonts w:hint="eastAsia"/>
                <w:color w:val="auto"/>
                <w:highlight w:val="none"/>
              </w:rPr>
            </w:pPr>
            <w:r>
              <w:rPr>
                <w:rFonts w:hint="eastAsia" w:ascii="黑体" w:hAnsi="黑体" w:eastAsia="黑体" w:cs="黑体"/>
                <w:snapToGrid w:val="0"/>
                <w:color w:val="auto"/>
                <w:sz w:val="24"/>
                <w:szCs w:val="24"/>
                <w:highlight w:val="none"/>
              </w:rPr>
              <w:t>供应商承诺在接到采购人通知后</w:t>
            </w:r>
            <w:r>
              <w:rPr>
                <w:rFonts w:hint="eastAsia" w:ascii="黑体" w:hAnsi="黑体" w:eastAsia="黑体" w:cs="黑体"/>
                <w:snapToGrid w:val="0"/>
                <w:color w:val="auto"/>
                <w:sz w:val="24"/>
                <w:szCs w:val="24"/>
                <w:highlight w:val="none"/>
                <w:lang w:val="en-US" w:eastAsia="zh-CN"/>
              </w:rPr>
              <w:t>30分钟</w:t>
            </w:r>
            <w:r>
              <w:rPr>
                <w:rFonts w:hint="eastAsia" w:ascii="黑体" w:hAnsi="黑体" w:eastAsia="黑体" w:cs="黑体"/>
                <w:snapToGrid w:val="0"/>
                <w:color w:val="auto"/>
                <w:sz w:val="24"/>
                <w:szCs w:val="24"/>
                <w:highlight w:val="none"/>
              </w:rPr>
              <w:t>内响应到达现场的得</w:t>
            </w:r>
            <w:r>
              <w:rPr>
                <w:rFonts w:hint="eastAsia" w:ascii="黑体" w:hAnsi="黑体" w:eastAsia="黑体" w:cs="黑体"/>
                <w:snapToGrid w:val="0"/>
                <w:color w:val="auto"/>
                <w:sz w:val="24"/>
                <w:szCs w:val="24"/>
                <w:highlight w:val="none"/>
                <w:lang w:val="en-US" w:eastAsia="zh-CN"/>
              </w:rPr>
              <w:t>3</w:t>
            </w:r>
            <w:r>
              <w:rPr>
                <w:rFonts w:hint="eastAsia" w:ascii="黑体" w:hAnsi="黑体" w:eastAsia="黑体" w:cs="黑体"/>
                <w:snapToGrid w:val="0"/>
                <w:color w:val="auto"/>
                <w:sz w:val="24"/>
                <w:szCs w:val="24"/>
                <w:highlight w:val="none"/>
              </w:rPr>
              <w:t>分，在</w:t>
            </w:r>
            <w:r>
              <w:rPr>
                <w:rFonts w:hint="eastAsia" w:ascii="黑体" w:hAnsi="黑体" w:eastAsia="黑体" w:cs="黑体"/>
                <w:snapToGrid w:val="0"/>
                <w:color w:val="auto"/>
                <w:sz w:val="24"/>
                <w:szCs w:val="24"/>
                <w:highlight w:val="none"/>
                <w:lang w:val="en-US" w:eastAsia="zh-CN"/>
              </w:rPr>
              <w:t>60分钟</w:t>
            </w:r>
            <w:r>
              <w:rPr>
                <w:rFonts w:hint="eastAsia" w:ascii="黑体" w:hAnsi="黑体" w:eastAsia="黑体" w:cs="黑体"/>
                <w:snapToGrid w:val="0"/>
                <w:color w:val="auto"/>
                <w:sz w:val="24"/>
                <w:szCs w:val="24"/>
                <w:highlight w:val="none"/>
              </w:rPr>
              <w:t>内到达现场的得</w:t>
            </w:r>
            <w:r>
              <w:rPr>
                <w:rFonts w:hint="eastAsia" w:ascii="黑体" w:hAnsi="黑体" w:eastAsia="黑体" w:cs="黑体"/>
                <w:snapToGrid w:val="0"/>
                <w:color w:val="auto"/>
                <w:sz w:val="24"/>
                <w:szCs w:val="24"/>
                <w:highlight w:val="none"/>
                <w:lang w:val="en-US" w:eastAsia="zh-CN"/>
              </w:rPr>
              <w:t>2</w:t>
            </w:r>
            <w:r>
              <w:rPr>
                <w:rFonts w:hint="eastAsia" w:ascii="黑体" w:hAnsi="黑体" w:eastAsia="黑体" w:cs="黑体"/>
                <w:snapToGrid w:val="0"/>
                <w:color w:val="auto"/>
                <w:sz w:val="24"/>
                <w:szCs w:val="24"/>
                <w:highlight w:val="none"/>
              </w:rPr>
              <w:t>分，在</w:t>
            </w:r>
            <w:r>
              <w:rPr>
                <w:rFonts w:hint="eastAsia" w:ascii="黑体" w:hAnsi="黑体" w:eastAsia="黑体" w:cs="黑体"/>
                <w:snapToGrid w:val="0"/>
                <w:color w:val="auto"/>
                <w:sz w:val="24"/>
                <w:szCs w:val="24"/>
                <w:highlight w:val="none"/>
                <w:lang w:val="en-US" w:eastAsia="zh-CN"/>
              </w:rPr>
              <w:t>90分钟</w:t>
            </w:r>
            <w:r>
              <w:rPr>
                <w:rFonts w:hint="eastAsia" w:ascii="黑体" w:hAnsi="黑体" w:eastAsia="黑体" w:cs="黑体"/>
                <w:snapToGrid w:val="0"/>
                <w:color w:val="auto"/>
                <w:sz w:val="24"/>
                <w:szCs w:val="24"/>
                <w:highlight w:val="none"/>
              </w:rPr>
              <w:t>内到达现场的得1分</w:t>
            </w:r>
            <w:r>
              <w:rPr>
                <w:rFonts w:hint="eastAsia" w:ascii="黑体" w:hAnsi="黑体" w:eastAsia="黑体" w:cs="黑体"/>
                <w:snapToGrid w:val="0"/>
                <w:color w:val="auto"/>
                <w:sz w:val="24"/>
                <w:szCs w:val="24"/>
                <w:highlight w:val="none"/>
                <w:lang w:val="en-US" w:eastAsia="zh-CN"/>
              </w:rPr>
              <w:t>,90分钟外不得分</w:t>
            </w:r>
            <w:r>
              <w:rPr>
                <w:rFonts w:hint="eastAsia" w:ascii="黑体" w:hAnsi="黑体" w:eastAsia="黑体" w:cs="黑体"/>
                <w:snapToGrid w:val="0"/>
                <w:color w:val="auto"/>
                <w:sz w:val="24"/>
                <w:szCs w:val="24"/>
                <w:highlight w:val="none"/>
              </w:rPr>
              <w:t>。</w:t>
            </w:r>
          </w:p>
          <w:p w14:paraId="5DE60EDF">
            <w:pPr>
              <w:keepNext w:val="0"/>
              <w:keepLines w:val="0"/>
              <w:pageBreakBefore w:val="0"/>
              <w:kinsoku/>
              <w:wordWrap/>
              <w:topLinePunct w:val="0"/>
              <w:bidi w:val="0"/>
              <w:snapToGrid w:val="0"/>
              <w:spacing w:line="360" w:lineRule="exact"/>
              <w:jc w:val="left"/>
              <w:rPr>
                <w:rFonts w:hint="eastAsia" w:ascii="黑体" w:hAnsi="黑体" w:eastAsia="黑体" w:cs="黑体"/>
                <w:b/>
                <w:bCs/>
                <w:snapToGrid w:val="0"/>
                <w:color w:val="auto"/>
                <w:kern w:val="0"/>
                <w:sz w:val="24"/>
                <w:szCs w:val="24"/>
                <w:highlight w:val="none"/>
              </w:rPr>
            </w:pPr>
            <w:r>
              <w:rPr>
                <w:rFonts w:hint="eastAsia" w:ascii="黑体" w:hAnsi="黑体" w:eastAsia="黑体" w:cs="黑体"/>
                <w:snapToGrid w:val="0"/>
                <w:color w:val="auto"/>
                <w:sz w:val="24"/>
                <w:szCs w:val="24"/>
                <w:highlight w:val="none"/>
              </w:rPr>
              <w:t>注：需提供书面承诺函扫描件，不提供不得分。</w:t>
            </w:r>
          </w:p>
        </w:tc>
      </w:tr>
    </w:tbl>
    <w:p w14:paraId="25B9060C">
      <w:pPr>
        <w:keepNext w:val="0"/>
        <w:keepLines w:val="0"/>
        <w:pageBreakBefore w:val="0"/>
        <w:kinsoku/>
        <w:wordWrap/>
        <w:topLinePunct w:val="0"/>
        <w:bidi w:val="0"/>
        <w:spacing w:before="120" w:beforeLines="50" w:after="120" w:afterLines="50" w:line="36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注：合同、证书等开标时请携带原件，以备核实，评标结束后退还。</w:t>
      </w:r>
    </w:p>
    <w:p w14:paraId="4629AF8F">
      <w:pPr>
        <w:keepNext w:val="0"/>
        <w:keepLines w:val="0"/>
        <w:pageBreakBefore w:val="0"/>
        <w:tabs>
          <w:tab w:val="left" w:pos="426"/>
        </w:tabs>
        <w:kinsoku/>
        <w:wordWrap/>
        <w:topLinePunct w:val="0"/>
        <w:autoSpaceDE w:val="0"/>
        <w:autoSpaceDN w:val="0"/>
        <w:bidi w:val="0"/>
        <w:adjustRightInd w:val="0"/>
        <w:spacing w:line="360" w:lineRule="exact"/>
        <w:jc w:val="left"/>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6.3 技术、商务、资信及其他分的计算</w:t>
      </w:r>
    </w:p>
    <w:p w14:paraId="4840D970">
      <w:pPr>
        <w:keepNext w:val="0"/>
        <w:keepLines w:val="0"/>
        <w:pageBreakBefore w:val="0"/>
        <w:tabs>
          <w:tab w:val="left" w:pos="426"/>
        </w:tabs>
        <w:kinsoku/>
        <w:wordWrap/>
        <w:topLinePunct w:val="0"/>
        <w:autoSpaceDE w:val="0"/>
        <w:autoSpaceDN w:val="0"/>
        <w:bidi w:val="0"/>
        <w:adjustRightInd w:val="0"/>
        <w:spacing w:line="360" w:lineRule="exact"/>
        <w:jc w:val="left"/>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技术、商务、资信及其他分按照评标委员会成员的独立评分结果汇总数的算术平均分计算，计算公式为：</w:t>
      </w:r>
    </w:p>
    <w:p w14:paraId="7AE28B61">
      <w:pPr>
        <w:keepNext w:val="0"/>
        <w:keepLines w:val="0"/>
        <w:pageBreakBefore w:val="0"/>
        <w:tabs>
          <w:tab w:val="left" w:pos="426"/>
        </w:tabs>
        <w:kinsoku/>
        <w:wordWrap/>
        <w:topLinePunct w:val="0"/>
        <w:autoSpaceDE w:val="0"/>
        <w:autoSpaceDN w:val="0"/>
        <w:bidi w:val="0"/>
        <w:adjustRightInd w:val="0"/>
        <w:spacing w:line="360" w:lineRule="exact"/>
        <w:jc w:val="left"/>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技术商务资信及其他分=评标委员会所有成员评分合计数/评标委员会组成人员数</w:t>
      </w:r>
    </w:p>
    <w:p w14:paraId="600A0571">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color w:val="auto"/>
          <w:sz w:val="24"/>
          <w:szCs w:val="24"/>
          <w:highlight w:val="none"/>
        </w:rPr>
        <w:t>废标</w:t>
      </w:r>
    </w:p>
    <w:p w14:paraId="7B7FADF8">
      <w:pPr>
        <w:keepNext w:val="0"/>
        <w:keepLines w:val="0"/>
        <w:pageBreakBefore w:val="0"/>
        <w:kinsoku/>
        <w:wordWrap/>
        <w:topLinePunct w:val="0"/>
        <w:bidi w:val="0"/>
        <w:spacing w:line="360" w:lineRule="exact"/>
        <w:ind w:firstLine="482" w:firstLineChars="20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在采购中，出现下列情形之一的，应予废标（法律、法规、规章、省级及以上监管部门规定的其他情形除外），并由磋商小组出具废标报告：</w:t>
      </w:r>
    </w:p>
    <w:p w14:paraId="6C41EED7">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1.符合专业条件的供应商或者对采购文件作实质响应的供应商不足三家的；</w:t>
      </w:r>
    </w:p>
    <w:p w14:paraId="38748FBD">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2.出现影响采购公正的违法、违规行为的；</w:t>
      </w:r>
    </w:p>
    <w:p w14:paraId="6ABB1335">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3.因重大变故，采购任务取消的；</w:t>
      </w:r>
    </w:p>
    <w:p w14:paraId="25DCD862">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4.磋商响应方的报价均超采购预算的，采购人不能支付的。</w:t>
      </w:r>
    </w:p>
    <w:p w14:paraId="2465F24F">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成交通知</w:t>
      </w:r>
    </w:p>
    <w:p w14:paraId="760D77D8">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（一）磋商结束后，</w:t>
      </w:r>
      <w:r>
        <w:rPr>
          <w:rFonts w:hint="eastAsia" w:ascii="黑体" w:hAnsi="黑体" w:eastAsia="黑体" w:cs="黑体"/>
          <w:color w:val="auto"/>
          <w:sz w:val="24"/>
          <w:szCs w:val="24"/>
          <w:highlight w:val="none"/>
          <w:lang w:eastAsia="zh-CN"/>
        </w:rPr>
        <w:t>德清佳平工程管理有限公司</w:t>
      </w:r>
      <w:r>
        <w:rPr>
          <w:rFonts w:hint="eastAsia" w:ascii="黑体" w:hAnsi="黑体" w:eastAsia="黑体" w:cs="黑体"/>
          <w:color w:val="auto"/>
          <w:sz w:val="24"/>
          <w:szCs w:val="24"/>
          <w:highlight w:val="none"/>
        </w:rPr>
        <w:t>在浙江省政府采购网上发布成交结果公告，公告7个工作日后，如无采购响应商质疑，由</w:t>
      </w:r>
      <w:r>
        <w:rPr>
          <w:rFonts w:hint="eastAsia" w:ascii="黑体" w:hAnsi="黑体" w:eastAsia="黑体" w:cs="黑体"/>
          <w:color w:val="auto"/>
          <w:sz w:val="24"/>
          <w:szCs w:val="24"/>
          <w:highlight w:val="none"/>
          <w:lang w:eastAsia="zh-CN"/>
        </w:rPr>
        <w:t>德清佳平工程管理有限公司</w:t>
      </w:r>
      <w:r>
        <w:rPr>
          <w:rFonts w:hint="eastAsia" w:ascii="黑体" w:hAnsi="黑体" w:eastAsia="黑体" w:cs="黑体"/>
          <w:color w:val="auto"/>
          <w:sz w:val="24"/>
          <w:szCs w:val="24"/>
          <w:highlight w:val="none"/>
        </w:rPr>
        <w:t>签发《成交通知书》，中标人应在公示发出10个工作日内前往代理机构领取通知书，若有质疑投诉的可在质疑投诉处理后领取。</w:t>
      </w:r>
    </w:p>
    <w:p w14:paraId="7DBB8DAE">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（二）如有恶意质疑、投诉，且导致授予合同的期限延期的，采购人有权将其列入不诚信供应商名单，在今后参加政府采购活动评标时，给予扣分处理。情节严重的将直接进入政府采购黑名单。</w:t>
      </w:r>
    </w:p>
    <w:p w14:paraId="1F3741ED">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14:paraId="25E8E25D">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14:paraId="7240C547">
      <w:pPr>
        <w:keepNext w:val="0"/>
        <w:keepLines w:val="0"/>
        <w:pageBreakBefore w:val="0"/>
        <w:widowControl/>
        <w:numPr>
          <w:ilvl w:val="0"/>
          <w:numId w:val="28"/>
        </w:numPr>
        <w:kinsoku/>
        <w:wordWrap/>
        <w:topLinePunct w:val="0"/>
        <w:bidi w:val="0"/>
        <w:snapToGrid w:val="0"/>
        <w:spacing w:before="120" w:beforeLines="50" w:after="120" w:afterLines="50" w:line="360" w:lineRule="exact"/>
        <w:jc w:val="left"/>
        <w:outlineLvl w:val="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合同授予</w:t>
      </w:r>
    </w:p>
    <w:p w14:paraId="39DD172D">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（一）采购人与成交供应商应当在《成交通知书》发出之日起30日内签订政府采购合同。同时，采购代理公司对合同内容进行审查，如发现与采购结果和磋商承诺内容不一致的，将予以纠正。</w:t>
      </w:r>
    </w:p>
    <w:p w14:paraId="71CEDFDA">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（二）合同正本应一式四份，采购单位与供应商双方各执一份；其他两份交由采购代理机构。</w:t>
      </w:r>
    </w:p>
    <w:p w14:paraId="40AF86DD">
      <w:pPr>
        <w:keepNext w:val="0"/>
        <w:keepLines w:val="0"/>
        <w:pageBreakBefore w:val="0"/>
        <w:kinsoku/>
        <w:wordWrap/>
        <w:topLinePunct w:val="0"/>
        <w:bidi w:val="0"/>
        <w:snapToGrid w:val="0"/>
        <w:spacing w:line="3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（三）成交供应商拖延、拒签合同的,将被取消中标资格。</w:t>
      </w:r>
      <w:bookmarkStart w:id="6" w:name="_Toc23150084"/>
      <w:bookmarkStart w:id="7" w:name="_Toc177981189"/>
      <w:bookmarkStart w:id="8" w:name="_Toc142379001"/>
      <w:bookmarkStart w:id="9" w:name="_Toc154458232"/>
      <w:bookmarkStart w:id="10" w:name="_Toc75236457"/>
    </w:p>
    <w:p w14:paraId="286EAB7A">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05EF7595">
      <w:pPr>
        <w:spacing w:line="360" w:lineRule="exact"/>
        <w:jc w:val="center"/>
        <w:outlineLvl w:val="0"/>
        <w:rPr>
          <w:rFonts w:hint="eastAsia" w:ascii="黑体" w:hAnsi="黑体" w:eastAsia="黑体" w:cs="黑体"/>
          <w:b/>
          <w:color w:val="auto"/>
          <w:kern w:val="44"/>
          <w:sz w:val="32"/>
          <w:szCs w:val="32"/>
          <w:highlight w:val="none"/>
        </w:rPr>
      </w:pPr>
      <w:r>
        <w:rPr>
          <w:rFonts w:hint="eastAsia" w:ascii="黑体" w:hAnsi="黑体" w:eastAsia="黑体" w:cs="黑体"/>
          <w:b/>
          <w:bCs/>
          <w:color w:val="auto"/>
          <w:sz w:val="32"/>
          <w:szCs w:val="32"/>
          <w:highlight w:val="none"/>
          <w:shd w:val="clear" w:color="auto" w:fill="FFFFFF"/>
        </w:rPr>
        <w:t xml:space="preserve">第五章 </w:t>
      </w:r>
      <w:r>
        <w:rPr>
          <w:rFonts w:hint="eastAsia" w:ascii="黑体" w:hAnsi="黑体" w:eastAsia="黑体" w:cs="黑体"/>
          <w:b/>
          <w:color w:val="auto"/>
          <w:kern w:val="44"/>
          <w:sz w:val="32"/>
          <w:szCs w:val="32"/>
          <w:highlight w:val="none"/>
        </w:rPr>
        <w:t>合同主要条款</w:t>
      </w:r>
      <w:bookmarkEnd w:id="6"/>
    </w:p>
    <w:p w14:paraId="4E7E993D">
      <w:pPr>
        <w:spacing w:line="360" w:lineRule="exact"/>
        <w:jc w:val="center"/>
        <w:rPr>
          <w:rFonts w:hint="eastAsia" w:ascii="黑体" w:hAnsi="黑体" w:eastAsia="黑体" w:cs="黑体"/>
          <w:color w:val="auto"/>
          <w:kern w:val="0"/>
          <w:sz w:val="32"/>
          <w:szCs w:val="32"/>
          <w:highlight w:val="none"/>
        </w:rPr>
      </w:pPr>
      <w:r>
        <w:rPr>
          <w:rFonts w:hint="eastAsia" w:ascii="黑体" w:hAnsi="黑体" w:eastAsia="黑体" w:cs="黑体"/>
          <w:b/>
          <w:color w:val="auto"/>
          <w:kern w:val="44"/>
          <w:sz w:val="32"/>
          <w:szCs w:val="32"/>
          <w:highlight w:val="none"/>
        </w:rPr>
        <w:t>（仅供参考）</w:t>
      </w:r>
    </w:p>
    <w:p w14:paraId="69C99745">
      <w:pPr>
        <w:pStyle w:val="34"/>
        <w:spacing w:before="120" w:beforeLines="50" w:after="120" w:afterLines="50" w:line="400" w:lineRule="exact"/>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浙江省政府采购合同指引</w:t>
      </w:r>
    </w:p>
    <w:p w14:paraId="75BD114C">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项目名称：                                     项目编号：</w:t>
      </w:r>
    </w:p>
    <w:p w14:paraId="714D8BA4">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甲方：（买方）</w:t>
      </w:r>
    </w:p>
    <w:p w14:paraId="46F2F64F">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乙方：（卖方）</w:t>
      </w:r>
    </w:p>
    <w:p w14:paraId="71E0058B">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    </w:t>
      </w:r>
      <w:r>
        <w:rPr>
          <w:rFonts w:hint="eastAsia" w:ascii="黑体" w:hAnsi="黑体" w:eastAsia="黑体" w:cs="黑体"/>
          <w:color w:val="auto"/>
          <w:sz w:val="24"/>
          <w:szCs w:val="24"/>
          <w:highlight w:val="none"/>
        </w:rPr>
        <w:t>甲、乙双方根据</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rPr>
        <w:t>政府采购项目的采购结果，签署本合同。</w:t>
      </w:r>
    </w:p>
    <w:p w14:paraId="3A41A553">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一、服务内容</w:t>
      </w:r>
      <w:r>
        <w:rPr>
          <w:rFonts w:hint="eastAsia" w:ascii="黑体" w:hAnsi="黑体" w:eastAsia="黑体" w:cs="黑体"/>
          <w:b/>
          <w:color w:val="auto"/>
          <w:sz w:val="24"/>
          <w:szCs w:val="24"/>
          <w:highlight w:val="none"/>
        </w:rPr>
        <w:t>：</w:t>
      </w:r>
    </w:p>
    <w:p w14:paraId="03703680">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二、合同金额</w:t>
      </w:r>
      <w:r>
        <w:rPr>
          <w:rFonts w:hint="eastAsia" w:ascii="黑体" w:hAnsi="黑体" w:eastAsia="黑体" w:cs="黑体"/>
          <w:b/>
          <w:color w:val="auto"/>
          <w:sz w:val="24"/>
          <w:szCs w:val="24"/>
          <w:highlight w:val="none"/>
        </w:rPr>
        <w:t>：</w:t>
      </w:r>
    </w:p>
    <w:p w14:paraId="02E77BB5">
      <w:pPr>
        <w:pStyle w:val="34"/>
        <w:keepNext w:val="0"/>
        <w:keepLines w:val="0"/>
        <w:pageBreakBefore w:val="0"/>
        <w:kinsoku/>
        <w:wordWrap/>
        <w:topLinePunct w:val="0"/>
        <w:bidi w:val="0"/>
        <w:spacing w:before="120" w:beforeLines="50" w:after="120" w:afterLines="50" w:line="360" w:lineRule="exact"/>
        <w:ind w:left="359" w:hanging="410" w:hangingChars="1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 本合同金额为（大写）：____________________________________元（￥_______________元）人民币。</w:t>
      </w:r>
    </w:p>
    <w:p w14:paraId="058192DE">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三、技术资料</w:t>
      </w:r>
    </w:p>
    <w:p w14:paraId="56EC0665">
      <w:pPr>
        <w:pStyle w:val="34"/>
        <w:keepNext w:val="0"/>
        <w:keepLines w:val="0"/>
        <w:pageBreakBefore w:val="0"/>
        <w:kinsoku/>
        <w:wordWrap/>
        <w:topLinePunct w:val="0"/>
        <w:bidi w:val="0"/>
        <w:spacing w:before="120" w:beforeLines="50" w:after="120" w:afterLines="50" w:line="360" w:lineRule="exact"/>
        <w:ind w:left="359" w:hanging="410" w:hangingChars="1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3.1乙方应按谈判文件规定的时间向甲方提供有关技术资料。</w:t>
      </w:r>
    </w:p>
    <w:p w14:paraId="37BE46EB">
      <w:pPr>
        <w:pStyle w:val="34"/>
        <w:keepNext w:val="0"/>
        <w:keepLines w:val="0"/>
        <w:pageBreakBefore w:val="0"/>
        <w:kinsoku/>
        <w:wordWrap/>
        <w:topLinePunct w:val="0"/>
        <w:bidi w:val="0"/>
        <w:spacing w:before="120" w:beforeLines="50" w:after="120" w:afterLines="50" w:line="360" w:lineRule="exact"/>
        <w:ind w:left="359" w:hanging="410" w:hangingChars="1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19B3880E">
      <w:pPr>
        <w:pStyle w:val="34"/>
        <w:keepNext w:val="0"/>
        <w:keepLines w:val="0"/>
        <w:pageBreakBefore w:val="0"/>
        <w:kinsoku/>
        <w:wordWrap/>
        <w:topLinePunct w:val="0"/>
        <w:bidi w:val="0"/>
        <w:spacing w:before="120" w:beforeLines="50" w:after="120" w:afterLines="50" w:line="360" w:lineRule="exact"/>
        <w:ind w:left="360" w:hanging="412" w:hangingChars="17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四、知识产权</w:t>
      </w:r>
    </w:p>
    <w:p w14:paraId="17773D08">
      <w:pPr>
        <w:pStyle w:val="34"/>
        <w:keepNext w:val="0"/>
        <w:keepLines w:val="0"/>
        <w:pageBreakBefore w:val="0"/>
        <w:kinsoku/>
        <w:wordWrap/>
        <w:topLinePunct w:val="0"/>
        <w:bidi w:val="0"/>
        <w:spacing w:before="120" w:beforeLines="50" w:after="120" w:afterLines="50" w:line="360" w:lineRule="exact"/>
        <w:ind w:left="359" w:hanging="410" w:hangingChars="171"/>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4.1 乙方应保证提供服务过程中不会侵犯任何第三方的知识产权</w:t>
      </w:r>
      <w:r>
        <w:rPr>
          <w:rFonts w:hint="eastAsia" w:ascii="黑体" w:hAnsi="黑体" w:eastAsia="黑体" w:cs="黑体"/>
          <w:bCs/>
          <w:color w:val="auto"/>
          <w:sz w:val="24"/>
          <w:szCs w:val="24"/>
          <w:highlight w:val="none"/>
        </w:rPr>
        <w:t>。</w:t>
      </w:r>
    </w:p>
    <w:p w14:paraId="546D1B5F">
      <w:pPr>
        <w:pStyle w:val="34"/>
        <w:keepNext w:val="0"/>
        <w:keepLines w:val="0"/>
        <w:pageBreakBefore w:val="0"/>
        <w:kinsoku/>
        <w:wordWrap/>
        <w:topLinePunct w:val="0"/>
        <w:bidi w:val="0"/>
        <w:spacing w:before="120" w:beforeLines="50" w:after="120" w:afterLines="50" w:line="360" w:lineRule="exact"/>
        <w:ind w:left="358" w:hanging="410" w:hangingChars="17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五、履约保证金</w:t>
      </w:r>
    </w:p>
    <w:p w14:paraId="78BFDF94">
      <w:pPr>
        <w:pStyle w:val="34"/>
        <w:keepNext w:val="0"/>
        <w:keepLines w:val="0"/>
        <w:pageBreakBefore w:val="0"/>
        <w:kinsoku/>
        <w:wordWrap/>
        <w:topLinePunct w:val="0"/>
        <w:bidi w:val="0"/>
        <w:spacing w:before="120" w:beforeLines="50" w:after="120" w:afterLines="50" w:line="360" w:lineRule="exact"/>
        <w:ind w:left="357" w:hanging="408" w:hangingChars="1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 乙方交纳人民币＿＿元作为本合同的履约保证金。</w:t>
      </w:r>
    </w:p>
    <w:p w14:paraId="73F12953">
      <w:pPr>
        <w:keepNext w:val="0"/>
        <w:keepLines w:val="0"/>
        <w:pageBreakBefore w:val="0"/>
        <w:kinsoku/>
        <w:wordWrap/>
        <w:topLinePunct w:val="0"/>
        <w:bidi w:val="0"/>
        <w:spacing w:before="120" w:beforeLines="50" w:after="120" w:afterLines="50" w:line="36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六.转包或分包</w:t>
      </w:r>
    </w:p>
    <w:p w14:paraId="05CB3909">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七、服务质量保证期和服务质量保证金(注：选用)</w:t>
      </w:r>
    </w:p>
    <w:p w14:paraId="6057C6B0">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八、合同履行时间、履行方式及履行地点</w:t>
      </w:r>
    </w:p>
    <w:p w14:paraId="226E4586">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九、款项支付</w:t>
      </w:r>
    </w:p>
    <w:p w14:paraId="7B6DFB9E">
      <w:pPr>
        <w:pStyle w:val="34"/>
        <w:keepNext w:val="0"/>
        <w:keepLines w:val="0"/>
        <w:pageBreakBefore w:val="0"/>
        <w:kinsoku/>
        <w:wordWrap/>
        <w:topLinePunct w:val="0"/>
        <w:bidi w:val="0"/>
        <w:spacing w:before="120" w:beforeLines="50" w:after="120" w:afterLines="50" w:line="36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9.1 付款方式：</w:t>
      </w:r>
    </w:p>
    <w:p w14:paraId="455AE9B7">
      <w:pPr>
        <w:keepNext w:val="0"/>
        <w:keepLines w:val="0"/>
        <w:pageBreakBefore w:val="0"/>
        <w:kinsoku/>
        <w:wordWrap/>
        <w:topLinePunct w:val="0"/>
        <w:bidi w:val="0"/>
        <w:spacing w:before="120" w:beforeLines="50" w:after="120" w:afterLines="50" w:line="36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十、税费</w:t>
      </w:r>
    </w:p>
    <w:p w14:paraId="4BC4DB22">
      <w:pPr>
        <w:keepNext w:val="0"/>
        <w:keepLines w:val="0"/>
        <w:pageBreakBefore w:val="0"/>
        <w:kinsoku/>
        <w:wordWrap/>
        <w:topLinePunct w:val="0"/>
        <w:bidi w:val="0"/>
        <w:spacing w:before="120" w:beforeLines="50" w:after="120" w:afterLines="50"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10.1本合同执行中相关的一切税费均由供方负担。</w:t>
      </w:r>
    </w:p>
    <w:p w14:paraId="5A179665">
      <w:pPr>
        <w:pStyle w:val="34"/>
        <w:keepNext w:val="0"/>
        <w:keepLines w:val="0"/>
        <w:pageBreakBefore w:val="0"/>
        <w:numPr>
          <w:ilvl w:val="0"/>
          <w:numId w:val="33"/>
        </w:numPr>
        <w:kinsoku/>
        <w:wordWrap/>
        <w:topLinePunct w:val="0"/>
        <w:bidi w:val="0"/>
        <w:spacing w:before="120" w:beforeLines="50" w:after="120" w:afterLines="50" w:line="360" w:lineRule="exact"/>
        <w:ind w:left="360" w:hanging="412" w:hangingChars="17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质量保证及后续服务</w:t>
      </w:r>
    </w:p>
    <w:p w14:paraId="55F181DF">
      <w:pPr>
        <w:pStyle w:val="34"/>
        <w:keepNext w:val="0"/>
        <w:keepLines w:val="0"/>
        <w:pageBreakBefore w:val="0"/>
        <w:kinsoku/>
        <w:wordWrap/>
        <w:topLinePunct w:val="0"/>
        <w:bidi w:val="0"/>
        <w:spacing w:before="120" w:beforeLines="50" w:after="120" w:afterLines="50" w:line="360" w:lineRule="exact"/>
        <w:ind w:left="-359" w:leftChars="-171" w:firstLine="480" w:firstLineChars="200"/>
        <w:rPr>
          <w:rFonts w:hint="eastAsia" w:ascii="黑体" w:hAnsi="黑体" w:eastAsia="黑体" w:cs="黑体"/>
          <w:color w:val="auto"/>
          <w:kern w:val="2"/>
          <w:sz w:val="24"/>
          <w:szCs w:val="24"/>
          <w:highlight w:val="none"/>
        </w:rPr>
      </w:pPr>
      <w:r>
        <w:rPr>
          <w:rFonts w:hint="eastAsia" w:ascii="黑体" w:hAnsi="黑体" w:eastAsia="黑体" w:cs="黑体"/>
          <w:color w:val="auto"/>
          <w:kern w:val="2"/>
          <w:sz w:val="24"/>
          <w:szCs w:val="24"/>
          <w:highlight w:val="none"/>
        </w:rPr>
        <w:t>乙方应按招标文件规定向甲方提供服务，咨询服务期间入企的专家老师需是竞标时所提供的资质证明名单内老师，否则视违约。</w:t>
      </w:r>
    </w:p>
    <w:p w14:paraId="2D103868">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十二、违约责任</w:t>
      </w:r>
    </w:p>
    <w:p w14:paraId="6250B2F0">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12.1 甲方无正当理由拒绝接受服务的，甲方向乙方偿付合同款项百分之五的违约金。</w:t>
      </w:r>
    </w:p>
    <w:p w14:paraId="4CED9421">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12.2 甲方无故逾期验收和办理款项支付手续的,甲方应按逾期付款总额每日万分之五向乙方支付违约金。</w:t>
      </w:r>
    </w:p>
    <w:p w14:paraId="515881E4">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12.3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B7BE1BE">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十三、不可抗力事件处理</w:t>
      </w:r>
    </w:p>
    <w:p w14:paraId="6A900EA9">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 在合同有效期内，任何一方因不可抗力事件导致不能履行合同，则合同履行期可延长，其延长期与不可抗力影响期相同。</w:t>
      </w:r>
    </w:p>
    <w:p w14:paraId="338F6507">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 不可抗力事件发生后，应立即通知对方，并寄送有关权威机构出具的证明。</w:t>
      </w:r>
    </w:p>
    <w:p w14:paraId="1F238C25">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13.3 不可抗力事件延续120天以上，双方应通过友好协商，确定是否继续履行合同。</w:t>
      </w:r>
    </w:p>
    <w:p w14:paraId="31C42FAC">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十四、诉讼</w:t>
      </w:r>
    </w:p>
    <w:p w14:paraId="4E65B738">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 双方在执行合同中所发生的一切争议，应通过协商解决。如协商不成，可向合同签订地法院起诉。</w:t>
      </w:r>
    </w:p>
    <w:p w14:paraId="2F32C21A">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十五、合同生效及其它</w:t>
      </w:r>
    </w:p>
    <w:p w14:paraId="494D225B">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15.1 合同经双方法定代表人或授权委托代理人签字并加盖单位公章后生效。</w:t>
      </w:r>
    </w:p>
    <w:p w14:paraId="2F2BDEC4">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15.2合同执行中涉及采购资金和采购内容修改或补充的，须经财政部门审批，并签书面补充协议报政府采购监督管理部门备案，方可作为主合同不可分割的一部分。</w:t>
      </w:r>
    </w:p>
    <w:p w14:paraId="410DD9A6">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15.3本合同未尽事宜，遵照《合同法》有关条文执行。</w:t>
      </w:r>
    </w:p>
    <w:p w14:paraId="4B6383FB">
      <w:pPr>
        <w:keepNext w:val="0"/>
        <w:keepLines w:val="0"/>
        <w:pageBreakBefore w:val="0"/>
        <w:kinsoku/>
        <w:wordWrap/>
        <w:topLinePunct w:val="0"/>
        <w:bidi w:val="0"/>
        <w:snapToGrid w:val="0"/>
        <w:spacing w:before="100" w:beforeAutospacing="1" w:after="100" w:afterAutospacing="1" w:line="360" w:lineRule="exact"/>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 本合同正本一式两份，具有同等法律效力，甲乙双方各执一份；副本</w:t>
      </w:r>
      <w:r>
        <w:rPr>
          <w:rFonts w:hint="eastAsia" w:ascii="黑体" w:hAnsi="黑体" w:eastAsia="黑体" w:cs="黑体"/>
          <w:b/>
          <w:color w:val="auto"/>
          <w:sz w:val="24"/>
          <w:szCs w:val="24"/>
          <w:highlight w:val="none"/>
        </w:rPr>
        <w:t>＿＿</w:t>
      </w:r>
      <w:r>
        <w:rPr>
          <w:rFonts w:hint="eastAsia" w:ascii="黑体" w:hAnsi="黑体" w:eastAsia="黑体" w:cs="黑体"/>
          <w:color w:val="auto"/>
          <w:sz w:val="24"/>
          <w:szCs w:val="24"/>
          <w:highlight w:val="none"/>
        </w:rPr>
        <w:t>份，(用途)。</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684B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nil"/>
              <w:left w:val="nil"/>
              <w:bottom w:val="nil"/>
              <w:right w:val="nil"/>
            </w:tcBorders>
          </w:tcPr>
          <w:p w14:paraId="47617D3A">
            <w:pPr>
              <w:pStyle w:val="34"/>
              <w:keepNext w:val="0"/>
              <w:keepLines w:val="0"/>
              <w:pageBreakBefore w:val="0"/>
              <w:kinsoku/>
              <w:wordWrap/>
              <w:topLinePunct w:val="0"/>
              <w:bidi w:val="0"/>
              <w:spacing w:before="120" w:beforeLines="50" w:after="120" w:afterLines="50" w:line="360" w:lineRule="exact"/>
              <w:ind w:left="420" w:hanging="480" w:hangingChars="200"/>
              <w:rPr>
                <w:color w:val="auto"/>
                <w:highlight w:val="none"/>
              </w:rPr>
            </w:pPr>
            <w:r>
              <w:rPr>
                <w:rFonts w:hint="eastAsia" w:ascii="黑体" w:hAnsi="黑体" w:eastAsia="黑体" w:cs="黑体"/>
                <w:color w:val="auto"/>
                <w:sz w:val="24"/>
                <w:szCs w:val="24"/>
                <w:highlight w:val="none"/>
              </w:rPr>
              <w:t>甲方：</w:t>
            </w:r>
          </w:p>
        </w:tc>
        <w:tc>
          <w:tcPr>
            <w:tcW w:w="4981" w:type="dxa"/>
            <w:tcBorders>
              <w:top w:val="nil"/>
              <w:left w:val="nil"/>
              <w:bottom w:val="nil"/>
              <w:right w:val="nil"/>
            </w:tcBorders>
          </w:tcPr>
          <w:p w14:paraId="43CB0362">
            <w:pPr>
              <w:pStyle w:val="34"/>
              <w:keepNext w:val="0"/>
              <w:keepLines w:val="0"/>
              <w:pageBreakBefore w:val="0"/>
              <w:kinsoku/>
              <w:wordWrap/>
              <w:topLinePunct w:val="0"/>
              <w:bidi w:val="0"/>
              <w:spacing w:before="120" w:beforeLines="50" w:after="120" w:afterLines="50" w:line="360" w:lineRule="exact"/>
              <w:ind w:left="420" w:hanging="480" w:hangingChars="200"/>
              <w:rPr>
                <w:color w:val="auto"/>
                <w:highlight w:val="none"/>
              </w:rPr>
            </w:pPr>
            <w:r>
              <w:rPr>
                <w:rFonts w:hint="eastAsia" w:ascii="黑体" w:hAnsi="黑体" w:eastAsia="黑体" w:cs="黑体"/>
                <w:color w:val="auto"/>
                <w:sz w:val="24"/>
                <w:szCs w:val="24"/>
                <w:highlight w:val="none"/>
              </w:rPr>
              <w:t>乙方：</w:t>
            </w:r>
          </w:p>
        </w:tc>
      </w:tr>
      <w:tr w14:paraId="475E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nil"/>
              <w:left w:val="nil"/>
              <w:bottom w:val="nil"/>
              <w:right w:val="nil"/>
            </w:tcBorders>
          </w:tcPr>
          <w:p w14:paraId="0C63C404">
            <w:pPr>
              <w:pStyle w:val="34"/>
              <w:keepNext w:val="0"/>
              <w:keepLines w:val="0"/>
              <w:pageBreakBefore w:val="0"/>
              <w:kinsoku/>
              <w:wordWrap/>
              <w:topLinePunct w:val="0"/>
              <w:bidi w:val="0"/>
              <w:spacing w:before="120" w:beforeLines="50" w:after="120" w:afterLines="50" w:line="360" w:lineRule="exact"/>
              <w:rPr>
                <w:color w:val="auto"/>
                <w:highlight w:val="none"/>
              </w:rPr>
            </w:pPr>
            <w:r>
              <w:rPr>
                <w:rFonts w:hint="eastAsia" w:ascii="黑体" w:hAnsi="黑体" w:eastAsia="黑体" w:cs="黑体"/>
                <w:color w:val="auto"/>
                <w:sz w:val="24"/>
                <w:szCs w:val="24"/>
                <w:highlight w:val="none"/>
              </w:rPr>
              <w:t>地址：</w:t>
            </w:r>
          </w:p>
        </w:tc>
        <w:tc>
          <w:tcPr>
            <w:tcW w:w="4981" w:type="dxa"/>
            <w:tcBorders>
              <w:top w:val="nil"/>
              <w:left w:val="nil"/>
              <w:bottom w:val="nil"/>
              <w:right w:val="nil"/>
            </w:tcBorders>
          </w:tcPr>
          <w:p w14:paraId="0163C39E">
            <w:pPr>
              <w:pStyle w:val="34"/>
              <w:keepNext w:val="0"/>
              <w:keepLines w:val="0"/>
              <w:pageBreakBefore w:val="0"/>
              <w:kinsoku/>
              <w:wordWrap/>
              <w:topLinePunct w:val="0"/>
              <w:bidi w:val="0"/>
              <w:spacing w:before="120" w:beforeLines="50" w:after="120" w:afterLines="50" w:line="360" w:lineRule="exact"/>
              <w:rPr>
                <w:color w:val="auto"/>
                <w:highlight w:val="none"/>
              </w:rPr>
            </w:pPr>
            <w:r>
              <w:rPr>
                <w:rFonts w:hint="eastAsia" w:ascii="黑体" w:hAnsi="黑体" w:eastAsia="黑体" w:cs="黑体"/>
                <w:color w:val="auto"/>
                <w:sz w:val="24"/>
                <w:szCs w:val="24"/>
                <w:highlight w:val="none"/>
              </w:rPr>
              <w:t>地址：</w:t>
            </w:r>
          </w:p>
        </w:tc>
      </w:tr>
      <w:tr w14:paraId="5C1B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nil"/>
              <w:left w:val="nil"/>
              <w:bottom w:val="nil"/>
              <w:right w:val="nil"/>
            </w:tcBorders>
          </w:tcPr>
          <w:p w14:paraId="35799974">
            <w:pPr>
              <w:pStyle w:val="34"/>
              <w:keepNext w:val="0"/>
              <w:keepLines w:val="0"/>
              <w:pageBreakBefore w:val="0"/>
              <w:kinsoku/>
              <w:wordWrap/>
              <w:topLinePunct w:val="0"/>
              <w:bidi w:val="0"/>
              <w:spacing w:before="120" w:beforeLines="50" w:after="120" w:afterLines="50" w:line="360" w:lineRule="exact"/>
              <w:rPr>
                <w:color w:val="auto"/>
                <w:highlight w:val="none"/>
              </w:rPr>
            </w:pPr>
            <w:r>
              <w:rPr>
                <w:rFonts w:hint="eastAsia" w:ascii="黑体" w:hAnsi="黑体" w:eastAsia="黑体" w:cs="黑体"/>
                <w:color w:val="auto"/>
                <w:sz w:val="24"/>
                <w:szCs w:val="24"/>
                <w:highlight w:val="none"/>
              </w:rPr>
              <w:t>法定代表人：</w:t>
            </w:r>
          </w:p>
        </w:tc>
        <w:tc>
          <w:tcPr>
            <w:tcW w:w="4981" w:type="dxa"/>
            <w:tcBorders>
              <w:top w:val="nil"/>
              <w:left w:val="nil"/>
              <w:bottom w:val="nil"/>
              <w:right w:val="nil"/>
            </w:tcBorders>
          </w:tcPr>
          <w:p w14:paraId="23FF3BD9">
            <w:pPr>
              <w:pStyle w:val="34"/>
              <w:keepNext w:val="0"/>
              <w:keepLines w:val="0"/>
              <w:pageBreakBefore w:val="0"/>
              <w:kinsoku/>
              <w:wordWrap/>
              <w:topLinePunct w:val="0"/>
              <w:bidi w:val="0"/>
              <w:spacing w:before="120" w:beforeLines="50" w:after="120" w:afterLines="50" w:line="360" w:lineRule="exact"/>
              <w:rPr>
                <w:color w:val="auto"/>
                <w:highlight w:val="none"/>
              </w:rPr>
            </w:pPr>
            <w:r>
              <w:rPr>
                <w:rFonts w:hint="eastAsia" w:ascii="黑体" w:hAnsi="黑体" w:eastAsia="黑体" w:cs="黑体"/>
                <w:color w:val="auto"/>
                <w:sz w:val="24"/>
                <w:szCs w:val="24"/>
                <w:highlight w:val="none"/>
              </w:rPr>
              <w:t>法定代表人：</w:t>
            </w:r>
          </w:p>
        </w:tc>
      </w:tr>
      <w:tr w14:paraId="3EA5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nil"/>
              <w:left w:val="nil"/>
              <w:bottom w:val="nil"/>
              <w:right w:val="nil"/>
            </w:tcBorders>
          </w:tcPr>
          <w:p w14:paraId="5F09BE60">
            <w:pPr>
              <w:pStyle w:val="34"/>
              <w:keepNext w:val="0"/>
              <w:keepLines w:val="0"/>
              <w:pageBreakBefore w:val="0"/>
              <w:kinsoku/>
              <w:wordWrap/>
              <w:topLinePunct w:val="0"/>
              <w:bidi w:val="0"/>
              <w:spacing w:before="120" w:beforeLines="50" w:after="120" w:afterLines="50" w:line="360" w:lineRule="exact"/>
              <w:rPr>
                <w:color w:val="auto"/>
                <w:highlight w:val="none"/>
              </w:rPr>
            </w:pPr>
            <w:r>
              <w:rPr>
                <w:rFonts w:hint="eastAsia" w:ascii="黑体" w:hAnsi="黑体" w:eastAsia="黑体" w:cs="黑体"/>
                <w:color w:val="auto"/>
                <w:sz w:val="24"/>
                <w:szCs w:val="24"/>
                <w:highlight w:val="none"/>
              </w:rPr>
              <w:t>签订地点：</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  月  日</w:t>
            </w:r>
          </w:p>
        </w:tc>
        <w:tc>
          <w:tcPr>
            <w:tcW w:w="4981" w:type="dxa"/>
            <w:tcBorders>
              <w:top w:val="nil"/>
              <w:left w:val="nil"/>
              <w:bottom w:val="nil"/>
              <w:right w:val="nil"/>
            </w:tcBorders>
          </w:tcPr>
          <w:p w14:paraId="1E123732">
            <w:pPr>
              <w:pStyle w:val="34"/>
              <w:keepNext w:val="0"/>
              <w:keepLines w:val="0"/>
              <w:pageBreakBefore w:val="0"/>
              <w:kinsoku/>
              <w:wordWrap/>
              <w:topLinePunct w:val="0"/>
              <w:bidi w:val="0"/>
              <w:spacing w:before="120" w:beforeLines="50" w:after="120" w:afterLines="50" w:line="360" w:lineRule="exact"/>
              <w:rPr>
                <w:color w:val="auto"/>
                <w:highlight w:val="none"/>
              </w:rPr>
            </w:pPr>
            <w:r>
              <w:rPr>
                <w:rFonts w:hint="eastAsia" w:ascii="黑体" w:hAnsi="黑体" w:eastAsia="黑体" w:cs="黑体"/>
                <w:color w:val="auto"/>
                <w:sz w:val="24"/>
                <w:szCs w:val="24"/>
                <w:highlight w:val="none"/>
              </w:rPr>
              <w:t>签订日期：</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  月  日</w:t>
            </w:r>
          </w:p>
        </w:tc>
      </w:tr>
    </w:tbl>
    <w:p w14:paraId="11A7B0E7">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7B222EE7">
      <w:pPr>
        <w:keepNext/>
        <w:keepLines/>
        <w:jc w:val="center"/>
        <w:outlineLvl w:val="0"/>
        <w:rPr>
          <w:rFonts w:hint="eastAsia" w:ascii="黑体" w:hAnsi="黑体" w:eastAsia="黑体" w:cs="黑体"/>
          <w:b/>
          <w:color w:val="auto"/>
          <w:kern w:val="44"/>
          <w:sz w:val="36"/>
          <w:szCs w:val="20"/>
          <w:highlight w:val="none"/>
        </w:rPr>
      </w:pPr>
      <w:r>
        <w:rPr>
          <w:rFonts w:hint="eastAsia" w:ascii="黑体" w:hAnsi="黑体" w:eastAsia="黑体" w:cs="黑体"/>
          <w:b/>
          <w:color w:val="auto"/>
          <w:kern w:val="44"/>
          <w:sz w:val="36"/>
          <w:szCs w:val="20"/>
          <w:highlight w:val="none"/>
        </w:rPr>
        <w:t>第六章 采购响应文件格式</w:t>
      </w:r>
      <w:bookmarkEnd w:id="7"/>
      <w:bookmarkEnd w:id="8"/>
      <w:bookmarkEnd w:id="9"/>
      <w:bookmarkEnd w:id="10"/>
    </w:p>
    <w:p w14:paraId="696E5218">
      <w:pPr>
        <w:spacing w:before="120" w:beforeLines="50" w:after="120" w:afterLines="50"/>
        <w:jc w:val="center"/>
        <w:rPr>
          <w:rFonts w:hint="eastAsia" w:ascii="黑体" w:hAnsi="黑体" w:eastAsia="黑体" w:cs="黑体"/>
          <w:color w:val="auto"/>
          <w:szCs w:val="21"/>
          <w:highlight w:val="none"/>
        </w:rPr>
      </w:pPr>
      <w:r>
        <w:rPr>
          <w:rFonts w:hint="eastAsia" w:ascii="黑体" w:hAnsi="黑体" w:eastAsia="黑体" w:cs="黑体"/>
          <w:b/>
          <w:bCs/>
          <w:color w:val="auto"/>
          <w:kern w:val="44"/>
          <w:szCs w:val="21"/>
          <w:highlight w:val="none"/>
        </w:rPr>
        <w:t>本章节内容提供部分采购响应文件格式，采购文件中要求，但未提供格式的，须由磋商响应方自行制作。</w:t>
      </w:r>
    </w:p>
    <w:p w14:paraId="48505E6D">
      <w:pPr>
        <w:spacing w:line="360" w:lineRule="auto"/>
        <w:outlineLvl w:val="1"/>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附件一：</w:t>
      </w:r>
    </w:p>
    <w:p w14:paraId="4E43512A">
      <w:pPr>
        <w:spacing w:line="360" w:lineRule="auto"/>
        <w:jc w:val="center"/>
        <w:outlineLvl w:val="1"/>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采购响应函</w:t>
      </w:r>
    </w:p>
    <w:p w14:paraId="078DA2BC">
      <w:pPr>
        <w:spacing w:after="120" w:afterLines="50"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致</w:t>
      </w:r>
      <w:r>
        <w:rPr>
          <w:rFonts w:hint="eastAsia" w:ascii="黑体" w:hAnsi="黑体" w:eastAsia="黑体" w:cs="黑体"/>
          <w:color w:val="auto"/>
          <w:sz w:val="24"/>
          <w:szCs w:val="24"/>
          <w:highlight w:val="none"/>
        </w:rPr>
        <w:t>XXX</w:t>
      </w:r>
      <w:r>
        <w:rPr>
          <w:rFonts w:hint="eastAsia" w:ascii="黑体" w:hAnsi="黑体" w:eastAsia="黑体" w:cs="黑体"/>
          <w:color w:val="auto"/>
          <w:sz w:val="24"/>
          <w:szCs w:val="24"/>
          <w:highlight w:val="none"/>
          <w:lang w:val="zh-CN"/>
        </w:rPr>
        <w:t>：</w:t>
      </w:r>
    </w:p>
    <w:p w14:paraId="5FA8BE0B">
      <w:pPr>
        <w:spacing w:line="360" w:lineRule="auto"/>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u w:val="single"/>
        </w:rPr>
        <w:t xml:space="preserve">  （磋商响应方全称）  </w:t>
      </w:r>
      <w:r>
        <w:rPr>
          <w:rFonts w:hint="eastAsia" w:ascii="黑体" w:hAnsi="黑体" w:eastAsia="黑体" w:cs="黑体"/>
          <w:color w:val="auto"/>
          <w:szCs w:val="21"/>
          <w:highlight w:val="none"/>
        </w:rPr>
        <w:t xml:space="preserve"> 授权 </w:t>
      </w:r>
      <w:r>
        <w:rPr>
          <w:rFonts w:hint="eastAsia" w:ascii="黑体" w:hAnsi="黑体" w:eastAsia="黑体" w:cs="黑体"/>
          <w:color w:val="auto"/>
          <w:szCs w:val="21"/>
          <w:highlight w:val="none"/>
          <w:u w:val="single"/>
        </w:rPr>
        <w:t xml:space="preserve">   （授权代表名称、职务、职称）    </w:t>
      </w:r>
      <w:r>
        <w:rPr>
          <w:rFonts w:hint="eastAsia" w:ascii="黑体" w:hAnsi="黑体" w:eastAsia="黑体" w:cs="黑体"/>
          <w:color w:val="auto"/>
          <w:szCs w:val="21"/>
          <w:highlight w:val="none"/>
        </w:rPr>
        <w:t xml:space="preserve"> 为本公司授权代表，参加贵方组织的</w:t>
      </w:r>
      <w:r>
        <w:rPr>
          <w:rFonts w:hint="eastAsia" w:ascii="黑体" w:hAnsi="黑体" w:eastAsia="黑体" w:cs="黑体"/>
          <w:color w:val="auto"/>
          <w:szCs w:val="21"/>
          <w:highlight w:val="none"/>
          <w:u w:val="single"/>
        </w:rPr>
        <w:t xml:space="preserve">  （采购项目名称）（括号内填项目编号）  </w:t>
      </w:r>
      <w:r>
        <w:rPr>
          <w:rFonts w:hint="eastAsia" w:ascii="黑体" w:hAnsi="黑体" w:eastAsia="黑体" w:cs="黑体"/>
          <w:color w:val="auto"/>
          <w:szCs w:val="21"/>
          <w:highlight w:val="none"/>
        </w:rPr>
        <w:t xml:space="preserve"> 采购的有关活动，进行磋商。为此</w:t>
      </w:r>
      <w:r>
        <w:rPr>
          <w:rFonts w:hint="eastAsia" w:ascii="黑体" w:hAnsi="黑体" w:eastAsia="黑体" w:cs="黑体"/>
          <w:color w:val="auto"/>
          <w:szCs w:val="21"/>
          <w:highlight w:val="none"/>
          <w:lang w:val="zh-CN"/>
        </w:rPr>
        <w:t>声明如下</w:t>
      </w:r>
      <w:r>
        <w:rPr>
          <w:rFonts w:hint="eastAsia" w:ascii="黑体" w:hAnsi="黑体" w:eastAsia="黑体" w:cs="黑体"/>
          <w:color w:val="auto"/>
          <w:szCs w:val="21"/>
          <w:highlight w:val="none"/>
        </w:rPr>
        <w:t xml:space="preserve">：  </w:t>
      </w:r>
    </w:p>
    <w:p w14:paraId="678F8B3A">
      <w:pPr>
        <w:spacing w:line="360" w:lineRule="auto"/>
        <w:ind w:firstLine="210" w:firstLineChars="100"/>
        <w:rPr>
          <w:rFonts w:hint="eastAsia" w:ascii="黑体" w:hAnsi="黑体" w:eastAsia="黑体" w:cs="黑体"/>
          <w:color w:val="auto"/>
          <w:szCs w:val="21"/>
          <w:highlight w:val="none"/>
        </w:rPr>
      </w:pPr>
      <w:r>
        <w:rPr>
          <w:rFonts w:hint="eastAsia" w:ascii="黑体" w:hAnsi="黑体" w:eastAsia="黑体" w:cs="黑体"/>
          <w:color w:val="auto"/>
          <w:szCs w:val="21"/>
          <w:highlight w:val="none"/>
        </w:rPr>
        <w:t>1、 按照采购文件要求制作并提交采购响应文件。</w:t>
      </w:r>
    </w:p>
    <w:p w14:paraId="08DD2B1B">
      <w:pPr>
        <w:spacing w:line="360" w:lineRule="auto"/>
        <w:ind w:firstLine="210" w:firstLineChars="100"/>
        <w:rPr>
          <w:rFonts w:hint="eastAsia" w:ascii="黑体" w:hAnsi="黑体" w:eastAsia="黑体" w:cs="黑体"/>
          <w:color w:val="auto"/>
          <w:szCs w:val="21"/>
          <w:highlight w:val="none"/>
        </w:rPr>
      </w:pPr>
      <w:r>
        <w:rPr>
          <w:rFonts w:hint="eastAsia" w:ascii="黑体" w:hAnsi="黑体" w:eastAsia="黑体" w:cs="黑体"/>
          <w:color w:val="auto"/>
          <w:szCs w:val="21"/>
          <w:highlight w:val="none"/>
        </w:rPr>
        <w:t>2、 项目负责人：</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；职务：</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；职称：</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；年龄：</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w:t>
      </w:r>
    </w:p>
    <w:p w14:paraId="27CB6807">
      <w:pPr>
        <w:spacing w:line="360" w:lineRule="auto"/>
        <w:ind w:firstLine="210" w:firstLineChars="100"/>
        <w:rPr>
          <w:rFonts w:hint="eastAsia" w:ascii="黑体" w:hAnsi="黑体" w:eastAsia="黑体" w:cs="黑体"/>
          <w:color w:val="auto"/>
          <w:szCs w:val="21"/>
          <w:highlight w:val="none"/>
        </w:rPr>
      </w:pPr>
      <w:r>
        <w:rPr>
          <w:rFonts w:hint="eastAsia" w:ascii="黑体" w:hAnsi="黑体" w:eastAsia="黑体" w:cs="黑体"/>
          <w:color w:val="auto"/>
          <w:szCs w:val="21"/>
          <w:highlight w:val="none"/>
        </w:rPr>
        <w:t>3、 保证遵守采购文件中的有关规定和收费标准。</w:t>
      </w:r>
    </w:p>
    <w:p w14:paraId="41629761">
      <w:pPr>
        <w:spacing w:line="360" w:lineRule="auto"/>
        <w:ind w:firstLine="210" w:firstLineChars="100"/>
        <w:rPr>
          <w:rFonts w:hint="eastAsia" w:ascii="黑体" w:hAnsi="黑体" w:eastAsia="黑体" w:cs="黑体"/>
          <w:color w:val="auto"/>
          <w:szCs w:val="21"/>
          <w:highlight w:val="none"/>
        </w:rPr>
      </w:pPr>
      <w:r>
        <w:rPr>
          <w:rFonts w:hint="eastAsia" w:ascii="黑体" w:hAnsi="黑体" w:eastAsia="黑体" w:cs="黑体"/>
          <w:color w:val="auto"/>
          <w:szCs w:val="21"/>
          <w:highlight w:val="none"/>
        </w:rPr>
        <w:t>4、 保证严格执行甲、乙双方所签的经济合同，并承担全部规定的责任义务。</w:t>
      </w:r>
    </w:p>
    <w:p w14:paraId="7E563EF9">
      <w:pPr>
        <w:spacing w:line="360" w:lineRule="auto"/>
        <w:ind w:left="630" w:leftChars="1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4DBAD563">
      <w:pPr>
        <w:spacing w:line="360" w:lineRule="auto"/>
        <w:ind w:left="630" w:leftChars="1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6、 我方在采购响应之前已经与贵方进行了充分的沟通，完全理解并接受采购文件的各项规定和要求，对采购文件的合理性、合法性不再有异议。</w:t>
      </w:r>
    </w:p>
    <w:p w14:paraId="1399056B">
      <w:pPr>
        <w:spacing w:line="360" w:lineRule="auto"/>
        <w:ind w:left="630" w:leftChars="1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7、 愿意向贵方提供任何与该项磋商有关的数据、情况和技术资料，完全理解贵方不一定接受最低价的磋商。</w:t>
      </w:r>
    </w:p>
    <w:p w14:paraId="7071942A">
      <w:pPr>
        <w:spacing w:line="360" w:lineRule="auto"/>
        <w:ind w:left="630" w:leftChars="1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8、 本采购响应文件对采购文件要求的偏离或保留均已在采购响应文件第</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页，第</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条中明示或在磋商偏离表中明示。</w:t>
      </w:r>
    </w:p>
    <w:p w14:paraId="504DF53C">
      <w:pPr>
        <w:spacing w:line="360" w:lineRule="auto"/>
        <w:ind w:left="630" w:leftChars="1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9、我单位承诺，本成交价为浙江地区最低价之一（最近三个月之内）。</w:t>
      </w:r>
    </w:p>
    <w:p w14:paraId="59C5E0E0">
      <w:pPr>
        <w:spacing w:line="360" w:lineRule="auto"/>
        <w:ind w:firstLine="210" w:firstLineChars="100"/>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10、本采购响应文件自磋商之日起 </w:t>
      </w:r>
      <w:r>
        <w:rPr>
          <w:rFonts w:hint="eastAsia" w:ascii="黑体" w:hAnsi="黑体" w:eastAsia="黑体" w:cs="黑体"/>
          <w:color w:val="auto"/>
          <w:szCs w:val="21"/>
          <w:highlight w:val="none"/>
          <w:u w:val="single"/>
        </w:rPr>
        <w:t xml:space="preserve"> 90</w:t>
      </w:r>
      <w:r>
        <w:rPr>
          <w:rFonts w:hint="eastAsia" w:ascii="黑体" w:hAnsi="黑体" w:eastAsia="黑体" w:cs="黑体"/>
          <w:color w:val="auto"/>
          <w:szCs w:val="21"/>
          <w:highlight w:val="none"/>
        </w:rPr>
        <w:t>日内有效。</w:t>
      </w:r>
    </w:p>
    <w:p w14:paraId="1750E8AA">
      <w:pPr>
        <w:spacing w:line="360" w:lineRule="auto"/>
        <w:ind w:firstLine="210" w:firstLineChars="100"/>
        <w:rPr>
          <w:rFonts w:hint="eastAsia" w:ascii="黑体" w:hAnsi="黑体" w:eastAsia="黑体" w:cs="黑体"/>
          <w:color w:val="auto"/>
          <w:szCs w:val="21"/>
          <w:highlight w:val="none"/>
        </w:rPr>
      </w:pPr>
      <w:r>
        <w:rPr>
          <w:rFonts w:hint="eastAsia" w:ascii="黑体" w:hAnsi="黑体" w:eastAsia="黑体" w:cs="黑体"/>
          <w:color w:val="auto"/>
          <w:szCs w:val="21"/>
          <w:highlight w:val="none"/>
        </w:rPr>
        <w:t>11、与本磋商有关的一切往来通讯请寄：</w:t>
      </w:r>
    </w:p>
    <w:p w14:paraId="15FA7BD5">
      <w:pPr>
        <w:spacing w:line="360" w:lineRule="auto"/>
        <w:ind w:firstLine="840" w:firstLineChars="400"/>
        <w:rPr>
          <w:rFonts w:hint="eastAsia" w:ascii="黑体" w:hAnsi="黑体" w:eastAsia="黑体" w:cs="黑体"/>
          <w:color w:val="auto"/>
          <w:szCs w:val="21"/>
          <w:highlight w:val="none"/>
        </w:rPr>
      </w:pPr>
      <w:r>
        <w:rPr>
          <w:rFonts w:hint="eastAsia" w:ascii="黑体" w:hAnsi="黑体" w:eastAsia="黑体" w:cs="黑体"/>
          <w:color w:val="auto"/>
          <w:szCs w:val="21"/>
          <w:highlight w:val="none"/>
        </w:rPr>
        <w:t>地址：</w:t>
      </w:r>
      <w:r>
        <w:rPr>
          <w:rFonts w:hint="eastAsia" w:ascii="黑体" w:hAnsi="黑体" w:eastAsia="黑体" w:cs="黑体"/>
          <w:color w:val="auto"/>
          <w:szCs w:val="21"/>
          <w:highlight w:val="none"/>
          <w:u w:val="single"/>
        </w:rPr>
        <w:t xml:space="preserve">                               </w:t>
      </w:r>
    </w:p>
    <w:p w14:paraId="456D4517">
      <w:pPr>
        <w:spacing w:line="360" w:lineRule="auto"/>
        <w:ind w:firstLine="840" w:firstLineChars="400"/>
        <w:rPr>
          <w:rFonts w:hint="eastAsia" w:ascii="黑体" w:hAnsi="黑体" w:eastAsia="黑体" w:cs="黑体"/>
          <w:color w:val="auto"/>
          <w:szCs w:val="21"/>
          <w:highlight w:val="none"/>
          <w:u w:val="single"/>
        </w:rPr>
      </w:pPr>
      <w:r>
        <w:rPr>
          <w:rFonts w:hint="eastAsia" w:ascii="黑体" w:hAnsi="黑体" w:eastAsia="黑体" w:cs="黑体"/>
          <w:color w:val="auto"/>
          <w:szCs w:val="21"/>
          <w:highlight w:val="none"/>
        </w:rPr>
        <w:t>邮编：</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电话：</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传真：</w:t>
      </w:r>
      <w:r>
        <w:rPr>
          <w:rFonts w:hint="eastAsia" w:ascii="黑体" w:hAnsi="黑体" w:eastAsia="黑体" w:cs="黑体"/>
          <w:color w:val="auto"/>
          <w:szCs w:val="21"/>
          <w:highlight w:val="none"/>
          <w:u w:val="single"/>
        </w:rPr>
        <w:t xml:space="preserve">              </w:t>
      </w:r>
    </w:p>
    <w:p w14:paraId="0C004B5D">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磋商响应方全称（加盖公章）：</w:t>
      </w:r>
    </w:p>
    <w:p w14:paraId="0257F79F">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法定代表人或授权代表（签字或盖章）：</w:t>
      </w:r>
    </w:p>
    <w:p w14:paraId="03C33128">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日期：</w:t>
      </w:r>
    </w:p>
    <w:p w14:paraId="72418D51">
      <w:pPr>
        <w:spacing w:line="360" w:lineRule="auto"/>
        <w:outlineLvl w:val="1"/>
        <w:rPr>
          <w:rFonts w:hint="eastAsia" w:ascii="黑体" w:hAnsi="黑体" w:eastAsia="黑体" w:cs="黑体"/>
          <w:b/>
          <w:color w:val="auto"/>
          <w:kern w:val="0"/>
          <w:sz w:val="30"/>
          <w:szCs w:val="30"/>
          <w:highlight w:val="none"/>
        </w:rPr>
      </w:pPr>
      <w:r>
        <w:rPr>
          <w:rFonts w:hint="eastAsia" w:ascii="黑体" w:hAnsi="黑体" w:eastAsia="黑体" w:cs="黑体"/>
          <w:color w:val="auto"/>
          <w:szCs w:val="21"/>
          <w:highlight w:val="none"/>
        </w:rPr>
        <w:br w:type="page"/>
      </w:r>
      <w:r>
        <w:rPr>
          <w:rFonts w:hint="eastAsia" w:ascii="黑体" w:hAnsi="黑体" w:eastAsia="黑体" w:cs="黑体"/>
          <w:b/>
          <w:color w:val="auto"/>
          <w:kern w:val="0"/>
          <w:sz w:val="30"/>
          <w:szCs w:val="30"/>
          <w:highlight w:val="none"/>
        </w:rPr>
        <w:t>附件二：</w:t>
      </w:r>
    </w:p>
    <w:p w14:paraId="57D75FB1">
      <w:pPr>
        <w:spacing w:line="360" w:lineRule="auto"/>
        <w:jc w:val="center"/>
        <w:outlineLvl w:val="1"/>
        <w:rPr>
          <w:rFonts w:hint="eastAsia" w:ascii="黑体" w:hAnsi="黑体" w:eastAsia="黑体" w:cs="黑体"/>
          <w:b/>
          <w:bCs/>
          <w:color w:val="auto"/>
          <w:sz w:val="24"/>
          <w:szCs w:val="20"/>
          <w:highlight w:val="none"/>
        </w:rPr>
      </w:pPr>
      <w:r>
        <w:rPr>
          <w:rFonts w:hint="eastAsia" w:ascii="黑体" w:hAnsi="黑体" w:eastAsia="黑体" w:cs="黑体"/>
          <w:b/>
          <w:color w:val="auto"/>
          <w:kern w:val="0"/>
          <w:sz w:val="30"/>
          <w:szCs w:val="30"/>
          <w:highlight w:val="none"/>
        </w:rPr>
        <w:t xml:space="preserve">磋商初次报价一览表 </w:t>
      </w:r>
    </w:p>
    <w:p w14:paraId="7C7EDCFE">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采购项目名称：XXXX采购项目    采购编号：          标项：</w:t>
      </w:r>
    </w:p>
    <w:tbl>
      <w:tblPr>
        <w:tblStyle w:val="62"/>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685"/>
        <w:gridCol w:w="2832"/>
        <w:gridCol w:w="3050"/>
      </w:tblGrid>
      <w:tr w14:paraId="31D2E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539" w:type="dxa"/>
            <w:vAlign w:val="center"/>
          </w:tcPr>
          <w:p w14:paraId="29F0F85B">
            <w:pPr>
              <w:spacing w:line="360" w:lineRule="auto"/>
              <w:ind w:right="-21" w:rightChars="-10"/>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序号</w:t>
            </w:r>
          </w:p>
        </w:tc>
        <w:tc>
          <w:tcPr>
            <w:tcW w:w="2685" w:type="dxa"/>
            <w:vAlign w:val="center"/>
          </w:tcPr>
          <w:p w14:paraId="1C748D1C">
            <w:pPr>
              <w:spacing w:line="360" w:lineRule="auto"/>
              <w:ind w:right="-21" w:rightChars="-10"/>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磋商项目</w:t>
            </w:r>
          </w:p>
        </w:tc>
        <w:tc>
          <w:tcPr>
            <w:tcW w:w="2832" w:type="dxa"/>
            <w:vAlign w:val="center"/>
          </w:tcPr>
          <w:p w14:paraId="3E561AAD">
            <w:pPr>
              <w:spacing w:line="360" w:lineRule="auto"/>
              <w:ind w:right="-21" w:rightChars="-10"/>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磋商总价</w:t>
            </w:r>
          </w:p>
          <w:p w14:paraId="084A3ED6">
            <w:pPr>
              <w:spacing w:line="360" w:lineRule="auto"/>
              <w:ind w:right="-21" w:rightChars="-10"/>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（人民币元）</w:t>
            </w:r>
          </w:p>
        </w:tc>
        <w:tc>
          <w:tcPr>
            <w:tcW w:w="3050" w:type="dxa"/>
            <w:vAlign w:val="center"/>
          </w:tcPr>
          <w:p w14:paraId="23593F02">
            <w:pPr>
              <w:spacing w:line="360" w:lineRule="auto"/>
              <w:ind w:right="-21" w:rightChars="-10"/>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项目负责人</w:t>
            </w:r>
          </w:p>
        </w:tc>
      </w:tr>
      <w:tr w14:paraId="028A8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14:paraId="036B87AB">
            <w:pPr>
              <w:spacing w:line="360" w:lineRule="auto"/>
              <w:ind w:right="-21" w:rightChars="-10"/>
              <w:jc w:val="center"/>
              <w:rPr>
                <w:rFonts w:hint="eastAsia" w:ascii="黑体" w:hAnsi="黑体" w:eastAsia="黑体" w:cs="黑体"/>
                <w:color w:val="auto"/>
                <w:sz w:val="28"/>
                <w:szCs w:val="20"/>
                <w:highlight w:val="none"/>
              </w:rPr>
            </w:pPr>
            <w:r>
              <w:rPr>
                <w:rFonts w:hint="eastAsia" w:ascii="黑体" w:hAnsi="黑体" w:eastAsia="黑体" w:cs="黑体"/>
                <w:color w:val="auto"/>
                <w:sz w:val="28"/>
                <w:szCs w:val="20"/>
                <w:highlight w:val="none"/>
              </w:rPr>
              <w:t>1</w:t>
            </w:r>
          </w:p>
        </w:tc>
        <w:tc>
          <w:tcPr>
            <w:tcW w:w="2685" w:type="dxa"/>
            <w:vAlign w:val="center"/>
          </w:tcPr>
          <w:p w14:paraId="4F4062A4">
            <w:pPr>
              <w:spacing w:line="360" w:lineRule="auto"/>
              <w:ind w:right="-21" w:rightChars="-10"/>
              <w:jc w:val="center"/>
              <w:rPr>
                <w:rFonts w:hint="eastAsia" w:ascii="黑体" w:hAnsi="黑体" w:eastAsia="黑体" w:cs="黑体"/>
                <w:color w:val="auto"/>
                <w:sz w:val="24"/>
                <w:szCs w:val="20"/>
                <w:highlight w:val="none"/>
              </w:rPr>
            </w:pPr>
          </w:p>
        </w:tc>
        <w:tc>
          <w:tcPr>
            <w:tcW w:w="2832" w:type="dxa"/>
            <w:vAlign w:val="center"/>
          </w:tcPr>
          <w:p w14:paraId="74151E44">
            <w:pPr>
              <w:spacing w:line="360" w:lineRule="auto"/>
              <w:ind w:right="-21" w:rightChars="-10"/>
              <w:jc w:val="center"/>
              <w:rPr>
                <w:rFonts w:hint="eastAsia" w:ascii="黑体" w:hAnsi="黑体" w:eastAsia="黑体" w:cs="黑体"/>
                <w:color w:val="auto"/>
                <w:sz w:val="24"/>
                <w:szCs w:val="20"/>
                <w:highlight w:val="none"/>
              </w:rPr>
            </w:pPr>
          </w:p>
        </w:tc>
        <w:tc>
          <w:tcPr>
            <w:tcW w:w="3050" w:type="dxa"/>
          </w:tcPr>
          <w:p w14:paraId="69371E19">
            <w:pPr>
              <w:spacing w:line="360" w:lineRule="auto"/>
              <w:ind w:right="-21" w:rightChars="-10"/>
              <w:jc w:val="center"/>
              <w:rPr>
                <w:rFonts w:hint="eastAsia" w:ascii="黑体" w:hAnsi="黑体" w:eastAsia="黑体" w:cs="黑体"/>
                <w:color w:val="auto"/>
                <w:sz w:val="28"/>
                <w:szCs w:val="20"/>
                <w:highlight w:val="none"/>
              </w:rPr>
            </w:pPr>
          </w:p>
        </w:tc>
      </w:tr>
      <w:tr w14:paraId="5A426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4"/>
            <w:vAlign w:val="center"/>
          </w:tcPr>
          <w:p w14:paraId="17816668">
            <w:pPr>
              <w:spacing w:line="360" w:lineRule="auto"/>
              <w:ind w:right="-21" w:rightChars="-10"/>
              <w:jc w:val="left"/>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投标总价（大写）：</w:t>
            </w:r>
          </w:p>
        </w:tc>
      </w:tr>
    </w:tbl>
    <w:p w14:paraId="412284BC">
      <w:pPr>
        <w:spacing w:before="120" w:beforeLines="50" w:after="120" w:afterLines="50" w:line="360" w:lineRule="auto"/>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注：</w:t>
      </w:r>
      <w:r>
        <w:rPr>
          <w:rFonts w:hint="eastAsia" w:ascii="黑体" w:hAnsi="黑体" w:eastAsia="黑体" w:cs="黑体"/>
          <w:color w:val="auto"/>
          <w:sz w:val="24"/>
          <w:szCs w:val="24"/>
          <w:highlight w:val="none"/>
        </w:rPr>
        <w:t>报价表上的价格应包括</w:t>
      </w:r>
      <w:r>
        <w:rPr>
          <w:rFonts w:hint="eastAsia" w:ascii="黑体" w:hAnsi="黑体" w:eastAsia="黑体" w:cs="黑体"/>
          <w:color w:val="auto"/>
          <w:sz w:val="24"/>
          <w:szCs w:val="20"/>
          <w:highlight w:val="none"/>
        </w:rPr>
        <w:t>项目费用包括项目实施所需的工时费、服务费、交通费、参观费、培训及其他一切费用。</w:t>
      </w:r>
      <w:r>
        <w:rPr>
          <w:rFonts w:hint="eastAsia" w:ascii="黑体" w:hAnsi="黑体" w:eastAsia="黑体" w:cs="黑体"/>
          <w:color w:val="auto"/>
          <w:sz w:val="24"/>
          <w:szCs w:val="24"/>
          <w:highlight w:val="none"/>
        </w:rPr>
        <w:t>应为履行合同的最终价格，其市场风险由磋商响应方承担。</w:t>
      </w:r>
    </w:p>
    <w:p w14:paraId="644AF078">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磋商响应方全称：</w:t>
      </w:r>
    </w:p>
    <w:p w14:paraId="29F81312">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法定代表人或授权代表（签字）：</w:t>
      </w:r>
    </w:p>
    <w:p w14:paraId="2D006D76">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0"/>
          <w:highlight w:val="none"/>
        </w:rPr>
      </w:pPr>
      <w:r>
        <w:rPr>
          <w:rFonts w:hint="eastAsia" w:ascii="黑体" w:hAnsi="黑体" w:eastAsia="黑体" w:cs="黑体"/>
          <w:color w:val="auto"/>
          <w:kern w:val="0"/>
          <w:szCs w:val="21"/>
          <w:highlight w:val="none"/>
        </w:rPr>
        <w:t xml:space="preserve">日期：     </w:t>
      </w:r>
    </w:p>
    <w:p w14:paraId="04740C21">
      <w:pPr>
        <w:spacing w:line="360" w:lineRule="auto"/>
        <w:jc w:val="center"/>
        <w:outlineLvl w:val="1"/>
        <w:rPr>
          <w:rFonts w:hint="eastAsia" w:ascii="黑体" w:hAnsi="黑体" w:eastAsia="黑体" w:cs="黑体"/>
          <w:b/>
          <w:color w:val="auto"/>
          <w:kern w:val="0"/>
          <w:sz w:val="30"/>
          <w:szCs w:val="30"/>
          <w:highlight w:val="none"/>
        </w:rPr>
      </w:pPr>
    </w:p>
    <w:p w14:paraId="730213AB">
      <w:pPr>
        <w:spacing w:line="360" w:lineRule="auto"/>
        <w:jc w:val="center"/>
        <w:outlineLvl w:val="1"/>
        <w:rPr>
          <w:rFonts w:hint="eastAsia" w:ascii="黑体" w:hAnsi="黑体" w:eastAsia="黑体" w:cs="黑体"/>
          <w:b/>
          <w:color w:val="auto"/>
          <w:kern w:val="0"/>
          <w:sz w:val="30"/>
          <w:szCs w:val="30"/>
          <w:highlight w:val="none"/>
        </w:rPr>
      </w:pPr>
    </w:p>
    <w:p w14:paraId="31B9847A">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     </w:t>
      </w:r>
    </w:p>
    <w:p w14:paraId="10E43C12">
      <w:pPr>
        <w:spacing w:line="360" w:lineRule="auto"/>
        <w:outlineLvl w:val="1"/>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br w:type="page"/>
      </w:r>
      <w:r>
        <w:rPr>
          <w:rFonts w:hint="eastAsia" w:ascii="黑体" w:hAnsi="黑体" w:eastAsia="黑体" w:cs="黑体"/>
          <w:b/>
          <w:color w:val="auto"/>
          <w:kern w:val="0"/>
          <w:sz w:val="30"/>
          <w:szCs w:val="30"/>
          <w:highlight w:val="none"/>
        </w:rPr>
        <w:t>附件三：</w:t>
      </w:r>
    </w:p>
    <w:p w14:paraId="1EE13A69">
      <w:pPr>
        <w:snapToGrid w:val="0"/>
        <w:jc w:val="center"/>
        <w:rPr>
          <w:rFonts w:hint="eastAsia" w:ascii="黑体" w:hAnsi="黑体" w:eastAsia="黑体" w:cs="黑体"/>
          <w:b/>
          <w:bCs/>
          <w:color w:val="auto"/>
          <w:sz w:val="30"/>
          <w:highlight w:val="none"/>
        </w:rPr>
      </w:pPr>
      <w:r>
        <w:rPr>
          <w:rFonts w:hint="eastAsia" w:ascii="黑体" w:hAnsi="黑体" w:eastAsia="黑体" w:cs="黑体"/>
          <w:b/>
          <w:bCs/>
          <w:color w:val="auto"/>
          <w:sz w:val="30"/>
          <w:highlight w:val="none"/>
        </w:rPr>
        <w:t>磋商初次报价明细表</w:t>
      </w:r>
    </w:p>
    <w:p w14:paraId="418A86A4">
      <w:pPr>
        <w:spacing w:line="400" w:lineRule="exact"/>
        <w:ind w:firstLine="480" w:firstLineChars="200"/>
        <w:rPr>
          <w:rFonts w:hint="eastAsia" w:ascii="黑体" w:hAnsi="黑体" w:eastAsia="黑体" w:cs="黑体"/>
          <w:b/>
          <w:color w:val="auto"/>
          <w:sz w:val="24"/>
          <w:highlight w:val="none"/>
          <w:shd w:val="clear" w:color="auto" w:fill="FFFFFF"/>
        </w:rPr>
      </w:pPr>
      <w:r>
        <w:rPr>
          <w:rFonts w:hint="eastAsia" w:ascii="黑体" w:hAnsi="黑体" w:eastAsia="黑体" w:cs="黑体"/>
          <w:color w:val="auto"/>
          <w:sz w:val="24"/>
          <w:highlight w:val="none"/>
          <w:shd w:val="clear" w:color="auto" w:fill="FFFFFF"/>
        </w:rPr>
        <w:t>采购项目名称：                                项目编号</w:t>
      </w:r>
    </w:p>
    <w:tbl>
      <w:tblPr>
        <w:tblStyle w:val="62"/>
        <w:tblW w:w="925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4"/>
        <w:gridCol w:w="1953"/>
        <w:gridCol w:w="1064"/>
        <w:gridCol w:w="1440"/>
        <w:gridCol w:w="1491"/>
        <w:gridCol w:w="1394"/>
        <w:gridCol w:w="881"/>
      </w:tblGrid>
      <w:tr w14:paraId="56B8F4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10" w:hRule="atLeast"/>
          <w:jc w:val="center"/>
        </w:trPr>
        <w:tc>
          <w:tcPr>
            <w:tcW w:w="1034" w:type="dxa"/>
            <w:vAlign w:val="center"/>
          </w:tcPr>
          <w:p w14:paraId="7A5C19C4">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953" w:type="dxa"/>
            <w:vAlign w:val="center"/>
          </w:tcPr>
          <w:p w14:paraId="3A556C64">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项目服务内容</w:t>
            </w:r>
          </w:p>
        </w:tc>
        <w:tc>
          <w:tcPr>
            <w:tcW w:w="1064" w:type="dxa"/>
            <w:vAlign w:val="center"/>
          </w:tcPr>
          <w:p w14:paraId="7A2BF94A">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数量</w:t>
            </w:r>
          </w:p>
          <w:p w14:paraId="0407783C">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单位</w:t>
            </w:r>
          </w:p>
        </w:tc>
        <w:tc>
          <w:tcPr>
            <w:tcW w:w="1440" w:type="dxa"/>
            <w:vAlign w:val="center"/>
          </w:tcPr>
          <w:p w14:paraId="2D9C3C16">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单价</w:t>
            </w:r>
          </w:p>
          <w:p w14:paraId="5DB9EADD">
            <w:pPr>
              <w:ind w:right="-11"/>
              <w:jc w:val="center"/>
              <w:rPr>
                <w:rFonts w:hint="eastAsia" w:ascii="黑体" w:hAnsi="黑体" w:eastAsia="黑体" w:cs="黑体"/>
                <w:b/>
                <w:bCs/>
                <w:color w:val="auto"/>
                <w:szCs w:val="21"/>
                <w:highlight w:val="none"/>
              </w:rPr>
            </w:pPr>
            <w:r>
              <w:rPr>
                <w:rFonts w:hint="eastAsia" w:ascii="黑体" w:hAnsi="黑体" w:eastAsia="黑体" w:cs="黑体"/>
                <w:color w:val="auto"/>
                <w:szCs w:val="21"/>
                <w:highlight w:val="none"/>
              </w:rPr>
              <w:t>（人民币元）</w:t>
            </w:r>
          </w:p>
        </w:tc>
        <w:tc>
          <w:tcPr>
            <w:tcW w:w="1491" w:type="dxa"/>
            <w:vAlign w:val="center"/>
          </w:tcPr>
          <w:p w14:paraId="4073F614">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总价</w:t>
            </w:r>
          </w:p>
          <w:p w14:paraId="3BB43648">
            <w:pPr>
              <w:ind w:right="-11"/>
              <w:jc w:val="center"/>
              <w:rPr>
                <w:rFonts w:hint="eastAsia" w:ascii="黑体" w:hAnsi="黑体" w:eastAsia="黑体" w:cs="黑体"/>
                <w:b/>
                <w:bCs/>
                <w:color w:val="auto"/>
                <w:szCs w:val="21"/>
                <w:highlight w:val="none"/>
              </w:rPr>
            </w:pPr>
            <w:r>
              <w:rPr>
                <w:rFonts w:hint="eastAsia" w:ascii="黑体" w:hAnsi="黑体" w:eastAsia="黑体" w:cs="黑体"/>
                <w:color w:val="auto"/>
                <w:szCs w:val="21"/>
                <w:highlight w:val="none"/>
              </w:rPr>
              <w:t>（人民币元）</w:t>
            </w:r>
          </w:p>
        </w:tc>
        <w:tc>
          <w:tcPr>
            <w:tcW w:w="1394" w:type="dxa"/>
            <w:vAlign w:val="center"/>
          </w:tcPr>
          <w:p w14:paraId="0B9339E8">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服务期限</w:t>
            </w:r>
          </w:p>
        </w:tc>
        <w:tc>
          <w:tcPr>
            <w:tcW w:w="881" w:type="dxa"/>
            <w:vAlign w:val="center"/>
          </w:tcPr>
          <w:p w14:paraId="2A213347">
            <w:pPr>
              <w:ind w:right="-11"/>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备注</w:t>
            </w:r>
          </w:p>
        </w:tc>
      </w:tr>
      <w:tr w14:paraId="526CDC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1097E7AF">
            <w:pPr>
              <w:spacing w:before="120" w:beforeLines="50"/>
              <w:ind w:right="-11"/>
              <w:jc w:val="center"/>
              <w:rPr>
                <w:rFonts w:hint="eastAsia" w:ascii="黑体" w:hAnsi="黑体" w:eastAsia="黑体" w:cs="黑体"/>
                <w:color w:val="auto"/>
                <w:sz w:val="24"/>
                <w:highlight w:val="none"/>
              </w:rPr>
            </w:pPr>
          </w:p>
        </w:tc>
        <w:tc>
          <w:tcPr>
            <w:tcW w:w="1953" w:type="dxa"/>
          </w:tcPr>
          <w:p w14:paraId="2E9FED08">
            <w:pPr>
              <w:spacing w:before="120" w:beforeLines="50"/>
              <w:ind w:right="-11"/>
              <w:jc w:val="center"/>
              <w:rPr>
                <w:rFonts w:hint="eastAsia" w:ascii="黑体" w:hAnsi="黑体" w:eastAsia="黑体" w:cs="黑体"/>
                <w:color w:val="auto"/>
                <w:sz w:val="24"/>
                <w:highlight w:val="none"/>
              </w:rPr>
            </w:pPr>
          </w:p>
        </w:tc>
        <w:tc>
          <w:tcPr>
            <w:tcW w:w="1064" w:type="dxa"/>
          </w:tcPr>
          <w:p w14:paraId="4855182F">
            <w:pPr>
              <w:spacing w:before="120" w:beforeLines="50"/>
              <w:ind w:right="-11"/>
              <w:jc w:val="center"/>
              <w:rPr>
                <w:rFonts w:hint="eastAsia" w:ascii="黑体" w:hAnsi="黑体" w:eastAsia="黑体" w:cs="黑体"/>
                <w:color w:val="auto"/>
                <w:sz w:val="24"/>
                <w:highlight w:val="none"/>
              </w:rPr>
            </w:pPr>
          </w:p>
        </w:tc>
        <w:tc>
          <w:tcPr>
            <w:tcW w:w="1440" w:type="dxa"/>
          </w:tcPr>
          <w:p w14:paraId="038D9978">
            <w:pPr>
              <w:spacing w:before="120" w:beforeLines="50"/>
              <w:ind w:right="-11"/>
              <w:jc w:val="center"/>
              <w:rPr>
                <w:rFonts w:hint="eastAsia" w:ascii="黑体" w:hAnsi="黑体" w:eastAsia="黑体" w:cs="黑体"/>
                <w:color w:val="auto"/>
                <w:sz w:val="24"/>
                <w:highlight w:val="none"/>
              </w:rPr>
            </w:pPr>
          </w:p>
        </w:tc>
        <w:tc>
          <w:tcPr>
            <w:tcW w:w="1491" w:type="dxa"/>
          </w:tcPr>
          <w:p w14:paraId="6A4554A0">
            <w:pPr>
              <w:spacing w:before="120" w:beforeLines="50"/>
              <w:ind w:right="-11"/>
              <w:jc w:val="center"/>
              <w:rPr>
                <w:rFonts w:hint="eastAsia" w:ascii="黑体" w:hAnsi="黑体" w:eastAsia="黑体" w:cs="黑体"/>
                <w:color w:val="auto"/>
                <w:sz w:val="24"/>
                <w:highlight w:val="none"/>
              </w:rPr>
            </w:pPr>
          </w:p>
        </w:tc>
        <w:tc>
          <w:tcPr>
            <w:tcW w:w="1394" w:type="dxa"/>
          </w:tcPr>
          <w:p w14:paraId="00CC7BA2">
            <w:pPr>
              <w:spacing w:before="120" w:beforeLines="50"/>
              <w:ind w:right="-11"/>
              <w:jc w:val="center"/>
              <w:rPr>
                <w:rFonts w:hint="eastAsia" w:ascii="黑体" w:hAnsi="黑体" w:eastAsia="黑体" w:cs="黑体"/>
                <w:color w:val="auto"/>
                <w:sz w:val="24"/>
                <w:highlight w:val="none"/>
              </w:rPr>
            </w:pPr>
          </w:p>
        </w:tc>
        <w:tc>
          <w:tcPr>
            <w:tcW w:w="881" w:type="dxa"/>
          </w:tcPr>
          <w:p w14:paraId="3FAFB2D8">
            <w:pPr>
              <w:spacing w:before="120" w:beforeLines="50"/>
              <w:ind w:right="-11"/>
              <w:jc w:val="center"/>
              <w:rPr>
                <w:rFonts w:hint="eastAsia" w:ascii="黑体" w:hAnsi="黑体" w:eastAsia="黑体" w:cs="黑体"/>
                <w:color w:val="auto"/>
                <w:sz w:val="24"/>
                <w:highlight w:val="none"/>
              </w:rPr>
            </w:pPr>
          </w:p>
        </w:tc>
      </w:tr>
      <w:tr w14:paraId="3A1383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355E1768">
            <w:pPr>
              <w:spacing w:before="120" w:beforeLines="50"/>
              <w:ind w:right="-11"/>
              <w:jc w:val="center"/>
              <w:rPr>
                <w:rFonts w:hint="eastAsia" w:ascii="黑体" w:hAnsi="黑体" w:eastAsia="黑体" w:cs="黑体"/>
                <w:color w:val="auto"/>
                <w:sz w:val="24"/>
                <w:highlight w:val="none"/>
              </w:rPr>
            </w:pPr>
          </w:p>
        </w:tc>
        <w:tc>
          <w:tcPr>
            <w:tcW w:w="1953" w:type="dxa"/>
          </w:tcPr>
          <w:p w14:paraId="75B4C034">
            <w:pPr>
              <w:spacing w:before="120" w:beforeLines="50"/>
              <w:ind w:right="-11"/>
              <w:jc w:val="center"/>
              <w:rPr>
                <w:rFonts w:hint="eastAsia" w:ascii="黑体" w:hAnsi="黑体" w:eastAsia="黑体" w:cs="黑体"/>
                <w:color w:val="auto"/>
                <w:sz w:val="24"/>
                <w:highlight w:val="none"/>
              </w:rPr>
            </w:pPr>
          </w:p>
        </w:tc>
        <w:tc>
          <w:tcPr>
            <w:tcW w:w="1064" w:type="dxa"/>
          </w:tcPr>
          <w:p w14:paraId="323E7969">
            <w:pPr>
              <w:spacing w:before="120" w:beforeLines="50"/>
              <w:ind w:right="-11"/>
              <w:jc w:val="center"/>
              <w:rPr>
                <w:rFonts w:hint="eastAsia" w:ascii="黑体" w:hAnsi="黑体" w:eastAsia="黑体" w:cs="黑体"/>
                <w:color w:val="auto"/>
                <w:sz w:val="24"/>
                <w:highlight w:val="none"/>
              </w:rPr>
            </w:pPr>
          </w:p>
        </w:tc>
        <w:tc>
          <w:tcPr>
            <w:tcW w:w="1440" w:type="dxa"/>
          </w:tcPr>
          <w:p w14:paraId="21C487FD">
            <w:pPr>
              <w:spacing w:before="120" w:beforeLines="50"/>
              <w:ind w:right="-11"/>
              <w:jc w:val="center"/>
              <w:rPr>
                <w:rFonts w:hint="eastAsia" w:ascii="黑体" w:hAnsi="黑体" w:eastAsia="黑体" w:cs="黑体"/>
                <w:color w:val="auto"/>
                <w:sz w:val="24"/>
                <w:highlight w:val="none"/>
              </w:rPr>
            </w:pPr>
          </w:p>
        </w:tc>
        <w:tc>
          <w:tcPr>
            <w:tcW w:w="1491" w:type="dxa"/>
          </w:tcPr>
          <w:p w14:paraId="0BA1BC65">
            <w:pPr>
              <w:spacing w:before="120" w:beforeLines="50"/>
              <w:ind w:right="-11"/>
              <w:jc w:val="center"/>
              <w:rPr>
                <w:rFonts w:hint="eastAsia" w:ascii="黑体" w:hAnsi="黑体" w:eastAsia="黑体" w:cs="黑体"/>
                <w:color w:val="auto"/>
                <w:sz w:val="24"/>
                <w:highlight w:val="none"/>
              </w:rPr>
            </w:pPr>
          </w:p>
        </w:tc>
        <w:tc>
          <w:tcPr>
            <w:tcW w:w="1394" w:type="dxa"/>
          </w:tcPr>
          <w:p w14:paraId="56C52D1B">
            <w:pPr>
              <w:spacing w:before="120" w:beforeLines="50"/>
              <w:ind w:right="-11"/>
              <w:jc w:val="center"/>
              <w:rPr>
                <w:rFonts w:hint="eastAsia" w:ascii="黑体" w:hAnsi="黑体" w:eastAsia="黑体" w:cs="黑体"/>
                <w:color w:val="auto"/>
                <w:sz w:val="24"/>
                <w:highlight w:val="none"/>
              </w:rPr>
            </w:pPr>
          </w:p>
        </w:tc>
        <w:tc>
          <w:tcPr>
            <w:tcW w:w="881" w:type="dxa"/>
          </w:tcPr>
          <w:p w14:paraId="65604A69">
            <w:pPr>
              <w:spacing w:before="120" w:beforeLines="50"/>
              <w:ind w:right="-11"/>
              <w:jc w:val="center"/>
              <w:rPr>
                <w:rFonts w:hint="eastAsia" w:ascii="黑体" w:hAnsi="黑体" w:eastAsia="黑体" w:cs="黑体"/>
                <w:color w:val="auto"/>
                <w:sz w:val="24"/>
                <w:highlight w:val="none"/>
              </w:rPr>
            </w:pPr>
          </w:p>
        </w:tc>
      </w:tr>
      <w:tr w14:paraId="74BDE2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19AF3C0C">
            <w:pPr>
              <w:spacing w:before="120" w:beforeLines="50"/>
              <w:ind w:right="-11"/>
              <w:jc w:val="center"/>
              <w:rPr>
                <w:rFonts w:hint="eastAsia" w:ascii="黑体" w:hAnsi="黑体" w:eastAsia="黑体" w:cs="黑体"/>
                <w:color w:val="auto"/>
                <w:sz w:val="24"/>
                <w:highlight w:val="none"/>
              </w:rPr>
            </w:pPr>
          </w:p>
        </w:tc>
        <w:tc>
          <w:tcPr>
            <w:tcW w:w="1953" w:type="dxa"/>
          </w:tcPr>
          <w:p w14:paraId="729F54AD">
            <w:pPr>
              <w:spacing w:before="120" w:beforeLines="50"/>
              <w:ind w:right="-11"/>
              <w:jc w:val="center"/>
              <w:rPr>
                <w:rFonts w:hint="eastAsia" w:ascii="黑体" w:hAnsi="黑体" w:eastAsia="黑体" w:cs="黑体"/>
                <w:color w:val="auto"/>
                <w:sz w:val="24"/>
                <w:highlight w:val="none"/>
              </w:rPr>
            </w:pPr>
          </w:p>
        </w:tc>
        <w:tc>
          <w:tcPr>
            <w:tcW w:w="1064" w:type="dxa"/>
          </w:tcPr>
          <w:p w14:paraId="65805327">
            <w:pPr>
              <w:spacing w:before="120" w:beforeLines="50"/>
              <w:ind w:right="-11"/>
              <w:jc w:val="center"/>
              <w:rPr>
                <w:rFonts w:hint="eastAsia" w:ascii="黑体" w:hAnsi="黑体" w:eastAsia="黑体" w:cs="黑体"/>
                <w:color w:val="auto"/>
                <w:sz w:val="24"/>
                <w:highlight w:val="none"/>
              </w:rPr>
            </w:pPr>
          </w:p>
        </w:tc>
        <w:tc>
          <w:tcPr>
            <w:tcW w:w="1440" w:type="dxa"/>
          </w:tcPr>
          <w:p w14:paraId="0702E500">
            <w:pPr>
              <w:spacing w:before="120" w:beforeLines="50"/>
              <w:ind w:right="-11"/>
              <w:jc w:val="center"/>
              <w:rPr>
                <w:rFonts w:hint="eastAsia" w:ascii="黑体" w:hAnsi="黑体" w:eastAsia="黑体" w:cs="黑体"/>
                <w:color w:val="auto"/>
                <w:sz w:val="24"/>
                <w:highlight w:val="none"/>
              </w:rPr>
            </w:pPr>
          </w:p>
        </w:tc>
        <w:tc>
          <w:tcPr>
            <w:tcW w:w="1491" w:type="dxa"/>
          </w:tcPr>
          <w:p w14:paraId="1517DEB6">
            <w:pPr>
              <w:spacing w:before="120" w:beforeLines="50"/>
              <w:ind w:right="-11"/>
              <w:jc w:val="center"/>
              <w:rPr>
                <w:rFonts w:hint="eastAsia" w:ascii="黑体" w:hAnsi="黑体" w:eastAsia="黑体" w:cs="黑体"/>
                <w:color w:val="auto"/>
                <w:sz w:val="24"/>
                <w:highlight w:val="none"/>
              </w:rPr>
            </w:pPr>
          </w:p>
        </w:tc>
        <w:tc>
          <w:tcPr>
            <w:tcW w:w="1394" w:type="dxa"/>
          </w:tcPr>
          <w:p w14:paraId="4FC797F3">
            <w:pPr>
              <w:spacing w:before="120" w:beforeLines="50"/>
              <w:ind w:right="-11"/>
              <w:jc w:val="center"/>
              <w:rPr>
                <w:rFonts w:hint="eastAsia" w:ascii="黑体" w:hAnsi="黑体" w:eastAsia="黑体" w:cs="黑体"/>
                <w:color w:val="auto"/>
                <w:sz w:val="24"/>
                <w:highlight w:val="none"/>
              </w:rPr>
            </w:pPr>
          </w:p>
        </w:tc>
        <w:tc>
          <w:tcPr>
            <w:tcW w:w="881" w:type="dxa"/>
          </w:tcPr>
          <w:p w14:paraId="371D2915">
            <w:pPr>
              <w:spacing w:before="120" w:beforeLines="50"/>
              <w:ind w:right="-11"/>
              <w:jc w:val="center"/>
              <w:rPr>
                <w:rFonts w:hint="eastAsia" w:ascii="黑体" w:hAnsi="黑体" w:eastAsia="黑体" w:cs="黑体"/>
                <w:color w:val="auto"/>
                <w:sz w:val="24"/>
                <w:highlight w:val="none"/>
              </w:rPr>
            </w:pPr>
          </w:p>
        </w:tc>
      </w:tr>
      <w:tr w14:paraId="6136C0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33A224E3">
            <w:pPr>
              <w:spacing w:before="120" w:beforeLines="50"/>
              <w:ind w:right="-11"/>
              <w:jc w:val="center"/>
              <w:rPr>
                <w:rFonts w:hint="eastAsia" w:ascii="黑体" w:hAnsi="黑体" w:eastAsia="黑体" w:cs="黑体"/>
                <w:color w:val="auto"/>
                <w:sz w:val="24"/>
                <w:highlight w:val="none"/>
              </w:rPr>
            </w:pPr>
          </w:p>
        </w:tc>
        <w:tc>
          <w:tcPr>
            <w:tcW w:w="1953" w:type="dxa"/>
          </w:tcPr>
          <w:p w14:paraId="6E6DF24D">
            <w:pPr>
              <w:spacing w:before="120" w:beforeLines="50"/>
              <w:ind w:right="-11"/>
              <w:jc w:val="center"/>
              <w:rPr>
                <w:rFonts w:hint="eastAsia" w:ascii="黑体" w:hAnsi="黑体" w:eastAsia="黑体" w:cs="黑体"/>
                <w:color w:val="auto"/>
                <w:sz w:val="24"/>
                <w:highlight w:val="none"/>
              </w:rPr>
            </w:pPr>
          </w:p>
        </w:tc>
        <w:tc>
          <w:tcPr>
            <w:tcW w:w="1064" w:type="dxa"/>
          </w:tcPr>
          <w:p w14:paraId="0AF56C03">
            <w:pPr>
              <w:spacing w:before="120" w:beforeLines="50"/>
              <w:ind w:right="-11"/>
              <w:jc w:val="center"/>
              <w:rPr>
                <w:rFonts w:hint="eastAsia" w:ascii="黑体" w:hAnsi="黑体" w:eastAsia="黑体" w:cs="黑体"/>
                <w:color w:val="auto"/>
                <w:sz w:val="24"/>
                <w:highlight w:val="none"/>
              </w:rPr>
            </w:pPr>
          </w:p>
        </w:tc>
        <w:tc>
          <w:tcPr>
            <w:tcW w:w="1440" w:type="dxa"/>
          </w:tcPr>
          <w:p w14:paraId="043D6245">
            <w:pPr>
              <w:spacing w:before="120" w:beforeLines="50"/>
              <w:ind w:right="-11"/>
              <w:jc w:val="center"/>
              <w:rPr>
                <w:rFonts w:hint="eastAsia" w:ascii="黑体" w:hAnsi="黑体" w:eastAsia="黑体" w:cs="黑体"/>
                <w:color w:val="auto"/>
                <w:sz w:val="24"/>
                <w:highlight w:val="none"/>
              </w:rPr>
            </w:pPr>
          </w:p>
        </w:tc>
        <w:tc>
          <w:tcPr>
            <w:tcW w:w="1491" w:type="dxa"/>
          </w:tcPr>
          <w:p w14:paraId="41EFA6DD">
            <w:pPr>
              <w:spacing w:before="120" w:beforeLines="50"/>
              <w:ind w:right="-11"/>
              <w:jc w:val="center"/>
              <w:rPr>
                <w:rFonts w:hint="eastAsia" w:ascii="黑体" w:hAnsi="黑体" w:eastAsia="黑体" w:cs="黑体"/>
                <w:color w:val="auto"/>
                <w:sz w:val="24"/>
                <w:highlight w:val="none"/>
              </w:rPr>
            </w:pPr>
          </w:p>
        </w:tc>
        <w:tc>
          <w:tcPr>
            <w:tcW w:w="1394" w:type="dxa"/>
          </w:tcPr>
          <w:p w14:paraId="21E15629">
            <w:pPr>
              <w:spacing w:before="120" w:beforeLines="50"/>
              <w:ind w:right="-11"/>
              <w:jc w:val="center"/>
              <w:rPr>
                <w:rFonts w:hint="eastAsia" w:ascii="黑体" w:hAnsi="黑体" w:eastAsia="黑体" w:cs="黑体"/>
                <w:color w:val="auto"/>
                <w:sz w:val="24"/>
                <w:highlight w:val="none"/>
              </w:rPr>
            </w:pPr>
          </w:p>
        </w:tc>
        <w:tc>
          <w:tcPr>
            <w:tcW w:w="881" w:type="dxa"/>
          </w:tcPr>
          <w:p w14:paraId="5CB32F9F">
            <w:pPr>
              <w:spacing w:before="120" w:beforeLines="50"/>
              <w:ind w:right="-11"/>
              <w:jc w:val="center"/>
              <w:rPr>
                <w:rFonts w:hint="eastAsia" w:ascii="黑体" w:hAnsi="黑体" w:eastAsia="黑体" w:cs="黑体"/>
                <w:color w:val="auto"/>
                <w:sz w:val="24"/>
                <w:highlight w:val="none"/>
              </w:rPr>
            </w:pPr>
          </w:p>
        </w:tc>
      </w:tr>
      <w:tr w14:paraId="79A54E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14:paraId="0C87A59F">
            <w:pPr>
              <w:spacing w:before="120" w:beforeLines="50" w:after="120" w:afterLines="50"/>
              <w:ind w:right="-10"/>
              <w:rPr>
                <w:rFonts w:hint="eastAsia" w:ascii="黑体" w:hAnsi="黑体" w:eastAsia="黑体" w:cs="黑体"/>
                <w:color w:val="auto"/>
                <w:sz w:val="24"/>
                <w:highlight w:val="none"/>
              </w:rPr>
            </w:pPr>
            <w:r>
              <w:rPr>
                <w:rFonts w:hint="eastAsia" w:ascii="黑体" w:hAnsi="黑体" w:eastAsia="黑体" w:cs="黑体"/>
                <w:color w:val="auto"/>
                <w:sz w:val="24"/>
                <w:highlight w:val="none"/>
              </w:rPr>
              <w:t>服务费用总价</w:t>
            </w:r>
          </w:p>
        </w:tc>
        <w:tc>
          <w:tcPr>
            <w:tcW w:w="5206" w:type="dxa"/>
            <w:gridSpan w:val="4"/>
          </w:tcPr>
          <w:p w14:paraId="4AE977CA">
            <w:pPr>
              <w:spacing w:before="120" w:beforeLines="50" w:after="120" w:afterLines="50"/>
              <w:ind w:right="-10"/>
              <w:jc w:val="center"/>
              <w:rPr>
                <w:rFonts w:hint="eastAsia" w:ascii="黑体" w:hAnsi="黑体" w:eastAsia="黑体" w:cs="黑体"/>
                <w:color w:val="auto"/>
                <w:sz w:val="24"/>
                <w:highlight w:val="none"/>
              </w:rPr>
            </w:pPr>
          </w:p>
        </w:tc>
      </w:tr>
      <w:tr w14:paraId="6EADD7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14:paraId="55C5826C">
            <w:pPr>
              <w:spacing w:before="120" w:beforeLines="50" w:after="120" w:afterLines="50"/>
              <w:ind w:right="-10"/>
              <w:rPr>
                <w:rFonts w:hint="eastAsia" w:ascii="黑体" w:hAnsi="黑体" w:eastAsia="黑体" w:cs="黑体"/>
                <w:color w:val="auto"/>
                <w:sz w:val="24"/>
                <w:highlight w:val="none"/>
              </w:rPr>
            </w:pPr>
            <w:r>
              <w:rPr>
                <w:rFonts w:hint="eastAsia" w:ascii="黑体" w:hAnsi="黑体" w:eastAsia="黑体" w:cs="黑体"/>
                <w:color w:val="auto"/>
                <w:sz w:val="24"/>
                <w:highlight w:val="none"/>
              </w:rPr>
              <w:t>其它相关费用</w:t>
            </w:r>
          </w:p>
        </w:tc>
        <w:tc>
          <w:tcPr>
            <w:tcW w:w="5206" w:type="dxa"/>
            <w:gridSpan w:val="4"/>
          </w:tcPr>
          <w:p w14:paraId="15295BA7">
            <w:pPr>
              <w:spacing w:before="120" w:beforeLines="50" w:after="120" w:afterLines="50"/>
              <w:ind w:right="-10"/>
              <w:jc w:val="center"/>
              <w:rPr>
                <w:rFonts w:hint="eastAsia" w:ascii="黑体" w:hAnsi="黑体" w:eastAsia="黑体" w:cs="黑体"/>
                <w:color w:val="auto"/>
                <w:sz w:val="24"/>
                <w:highlight w:val="none"/>
              </w:rPr>
            </w:pPr>
          </w:p>
        </w:tc>
      </w:tr>
      <w:tr w14:paraId="32F787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61" w:hRule="atLeast"/>
          <w:jc w:val="center"/>
        </w:trPr>
        <w:tc>
          <w:tcPr>
            <w:tcW w:w="4051" w:type="dxa"/>
            <w:gridSpan w:val="3"/>
          </w:tcPr>
          <w:p w14:paraId="1E23E9EF">
            <w:pPr>
              <w:spacing w:before="120" w:beforeLines="50" w:after="120" w:afterLines="50"/>
              <w:ind w:right="-10"/>
              <w:rPr>
                <w:rFonts w:hint="eastAsia" w:ascii="黑体" w:hAnsi="黑体" w:eastAsia="黑体" w:cs="黑体"/>
                <w:color w:val="auto"/>
                <w:sz w:val="24"/>
                <w:highlight w:val="none"/>
              </w:rPr>
            </w:pPr>
            <w:r>
              <w:rPr>
                <w:rFonts w:hint="eastAsia" w:ascii="黑体" w:hAnsi="黑体" w:eastAsia="黑体" w:cs="黑体"/>
                <w:color w:val="auto"/>
                <w:sz w:val="24"/>
                <w:highlight w:val="none"/>
              </w:rPr>
              <w:t>合计总价（应与开标一览表中初次报价一览表总价相一致）</w:t>
            </w:r>
          </w:p>
        </w:tc>
        <w:tc>
          <w:tcPr>
            <w:tcW w:w="5206" w:type="dxa"/>
            <w:gridSpan w:val="4"/>
            <w:vAlign w:val="center"/>
          </w:tcPr>
          <w:p w14:paraId="62D2258D">
            <w:pPr>
              <w:spacing w:before="120" w:beforeLines="50" w:after="120" w:afterLines="50"/>
              <w:ind w:right="-10"/>
              <w:jc w:val="center"/>
              <w:rPr>
                <w:rFonts w:hint="eastAsia" w:ascii="黑体" w:hAnsi="黑体" w:eastAsia="黑体" w:cs="黑体"/>
                <w:color w:val="auto"/>
                <w:sz w:val="24"/>
                <w:highlight w:val="none"/>
              </w:rPr>
            </w:pPr>
          </w:p>
        </w:tc>
      </w:tr>
    </w:tbl>
    <w:p w14:paraId="5D0724CC">
      <w:pPr>
        <w:snapToGrid w:val="0"/>
        <w:spacing w:before="50" w:after="50"/>
        <w:ind w:firstLine="482" w:firstLineChars="200"/>
        <w:jc w:val="left"/>
        <w:rPr>
          <w:rFonts w:hint="eastAsia" w:ascii="黑体" w:hAnsi="黑体" w:eastAsia="黑体" w:cs="黑体"/>
          <w:b/>
          <w:color w:val="auto"/>
          <w:sz w:val="24"/>
          <w:szCs w:val="20"/>
          <w:highlight w:val="none"/>
        </w:rPr>
      </w:pPr>
      <w:r>
        <w:rPr>
          <w:rFonts w:hint="eastAsia" w:ascii="黑体" w:hAnsi="黑体" w:eastAsia="黑体" w:cs="黑体"/>
          <w:b/>
          <w:color w:val="auto"/>
          <w:sz w:val="24"/>
          <w:szCs w:val="20"/>
          <w:highlight w:val="none"/>
        </w:rPr>
        <w:t>注：供应商在填报报价明细表时应按照采购需求服务清单内容逐项报价，不得随意更改序号、名称、单位、数量，否则有可能被视为无效报价文件。</w:t>
      </w:r>
    </w:p>
    <w:p w14:paraId="761B87F6">
      <w:pPr>
        <w:snapToGrid w:val="0"/>
        <w:spacing w:before="50" w:after="50"/>
        <w:ind w:firstLine="480" w:firstLineChars="200"/>
        <w:jc w:val="left"/>
        <w:rPr>
          <w:rFonts w:hint="eastAsia" w:ascii="黑体" w:hAnsi="黑体" w:eastAsia="黑体" w:cs="黑体"/>
          <w:color w:val="auto"/>
          <w:sz w:val="24"/>
          <w:highlight w:val="none"/>
          <w:shd w:val="clear" w:color="auto" w:fill="FFFFFF"/>
        </w:rPr>
      </w:pPr>
    </w:p>
    <w:p w14:paraId="193BF11D">
      <w:pPr>
        <w:spacing w:before="120" w:beforeLines="50" w:after="120" w:afterLines="50" w:line="360" w:lineRule="auto"/>
        <w:ind w:firstLine="720" w:firstLineChars="300"/>
        <w:rPr>
          <w:rFonts w:hint="eastAsia" w:ascii="黑体" w:hAnsi="黑体" w:eastAsia="黑体" w:cs="黑体"/>
          <w:color w:val="auto"/>
          <w:sz w:val="24"/>
          <w:szCs w:val="24"/>
          <w:highlight w:val="none"/>
          <w:shd w:val="clear" w:color="auto" w:fill="FFFFFF"/>
        </w:rPr>
      </w:pPr>
      <w:r>
        <w:rPr>
          <w:rFonts w:hint="eastAsia" w:ascii="黑体" w:hAnsi="黑体" w:eastAsia="黑体" w:cs="黑体"/>
          <w:color w:val="auto"/>
          <w:sz w:val="24"/>
          <w:szCs w:val="24"/>
          <w:highlight w:val="none"/>
          <w:shd w:val="clear" w:color="auto" w:fill="FFFFFF"/>
        </w:rPr>
        <w:t>磋商供应商（盖章）：</w:t>
      </w:r>
    </w:p>
    <w:p w14:paraId="2B9DAC0B">
      <w:pPr>
        <w:spacing w:before="120" w:beforeLines="50" w:after="120" w:afterLines="50" w:line="360" w:lineRule="auto"/>
        <w:ind w:firstLine="720" w:firstLineChars="300"/>
        <w:rPr>
          <w:rFonts w:hint="eastAsia" w:ascii="黑体" w:hAnsi="黑体" w:eastAsia="黑体" w:cs="黑体"/>
          <w:color w:val="auto"/>
          <w:sz w:val="24"/>
          <w:szCs w:val="24"/>
          <w:highlight w:val="none"/>
          <w:shd w:val="clear" w:color="auto" w:fill="FFFFFF"/>
        </w:rPr>
      </w:pPr>
      <w:r>
        <w:rPr>
          <w:rFonts w:hint="eastAsia" w:ascii="黑体" w:hAnsi="黑体" w:eastAsia="黑体" w:cs="黑体"/>
          <w:color w:val="auto"/>
          <w:sz w:val="24"/>
          <w:szCs w:val="24"/>
          <w:highlight w:val="none"/>
          <w:shd w:val="clear" w:color="auto" w:fill="FFFFFF"/>
        </w:rPr>
        <w:t>日期：</w:t>
      </w:r>
    </w:p>
    <w:p w14:paraId="5ADDF8E9">
      <w:pPr>
        <w:spacing w:before="120" w:beforeLines="50" w:after="120" w:afterLines="50" w:line="360" w:lineRule="auto"/>
        <w:rPr>
          <w:rFonts w:hint="eastAsia" w:ascii="黑体" w:hAnsi="黑体" w:eastAsia="黑体" w:cs="黑体"/>
          <w:color w:val="auto"/>
          <w:szCs w:val="20"/>
          <w:highlight w:val="none"/>
          <w:shd w:val="clear" w:color="auto" w:fill="FFFFFF"/>
          <w:lang w:val="en-GB"/>
        </w:rPr>
      </w:pPr>
    </w:p>
    <w:p w14:paraId="10A2F776">
      <w:pPr>
        <w:spacing w:line="360" w:lineRule="auto"/>
        <w:outlineLvl w:val="1"/>
        <w:rPr>
          <w:rFonts w:hint="eastAsia" w:ascii="黑体" w:hAnsi="黑体" w:eastAsia="黑体" w:cs="黑体"/>
          <w:b/>
          <w:color w:val="auto"/>
          <w:kern w:val="0"/>
          <w:sz w:val="30"/>
          <w:szCs w:val="30"/>
          <w:highlight w:val="none"/>
        </w:rPr>
      </w:pPr>
    </w:p>
    <w:p w14:paraId="56FC2429">
      <w:pPr>
        <w:spacing w:line="360" w:lineRule="auto"/>
        <w:outlineLvl w:val="1"/>
        <w:rPr>
          <w:rFonts w:hint="eastAsia" w:ascii="黑体" w:hAnsi="黑体" w:eastAsia="黑体" w:cs="黑体"/>
          <w:b/>
          <w:color w:val="auto"/>
          <w:kern w:val="0"/>
          <w:sz w:val="30"/>
          <w:szCs w:val="30"/>
          <w:highlight w:val="none"/>
        </w:rPr>
      </w:pPr>
    </w:p>
    <w:p w14:paraId="22041EE0">
      <w:pPr>
        <w:spacing w:line="360" w:lineRule="auto"/>
        <w:outlineLvl w:val="1"/>
        <w:rPr>
          <w:rFonts w:hint="eastAsia" w:ascii="黑体" w:hAnsi="黑体" w:eastAsia="黑体" w:cs="黑体"/>
          <w:b/>
          <w:color w:val="auto"/>
          <w:kern w:val="0"/>
          <w:sz w:val="30"/>
          <w:szCs w:val="30"/>
          <w:highlight w:val="none"/>
        </w:rPr>
      </w:pPr>
    </w:p>
    <w:p w14:paraId="13213305">
      <w:pPr>
        <w:spacing w:line="360" w:lineRule="auto"/>
        <w:outlineLvl w:val="1"/>
        <w:rPr>
          <w:rFonts w:hint="eastAsia" w:ascii="黑体" w:hAnsi="黑体" w:eastAsia="黑体" w:cs="黑体"/>
          <w:b/>
          <w:color w:val="auto"/>
          <w:kern w:val="0"/>
          <w:sz w:val="30"/>
          <w:szCs w:val="30"/>
          <w:highlight w:val="none"/>
        </w:rPr>
      </w:pPr>
    </w:p>
    <w:p w14:paraId="7BAF10C4">
      <w:pPr>
        <w:spacing w:line="360" w:lineRule="auto"/>
        <w:outlineLvl w:val="1"/>
        <w:rPr>
          <w:rFonts w:hint="eastAsia" w:ascii="黑体" w:hAnsi="黑体" w:eastAsia="黑体" w:cs="黑体"/>
          <w:b/>
          <w:color w:val="auto"/>
          <w:kern w:val="0"/>
          <w:sz w:val="30"/>
          <w:szCs w:val="30"/>
          <w:highlight w:val="none"/>
        </w:rPr>
      </w:pPr>
    </w:p>
    <w:p w14:paraId="06233A20">
      <w:pPr>
        <w:spacing w:line="360" w:lineRule="auto"/>
        <w:outlineLvl w:val="1"/>
        <w:rPr>
          <w:rFonts w:hint="eastAsia" w:ascii="黑体" w:hAnsi="黑体" w:eastAsia="黑体" w:cs="黑体"/>
          <w:b/>
          <w:color w:val="auto"/>
          <w:kern w:val="0"/>
          <w:sz w:val="30"/>
          <w:szCs w:val="30"/>
          <w:highlight w:val="none"/>
        </w:rPr>
      </w:pPr>
    </w:p>
    <w:p w14:paraId="1079881D">
      <w:pPr>
        <w:spacing w:line="360" w:lineRule="auto"/>
        <w:outlineLvl w:val="1"/>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附件四：</w:t>
      </w:r>
    </w:p>
    <w:p w14:paraId="216773A3">
      <w:pPr>
        <w:spacing w:line="360" w:lineRule="auto"/>
        <w:jc w:val="center"/>
        <w:outlineLvl w:val="1"/>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法定代表人授权委托书</w:t>
      </w:r>
    </w:p>
    <w:p w14:paraId="18CC0969">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致XXX</w:t>
      </w:r>
      <w:r>
        <w:rPr>
          <w:rFonts w:hint="eastAsia" w:ascii="黑体" w:hAnsi="黑体" w:eastAsia="黑体" w:cs="黑体"/>
          <w:color w:val="auto"/>
          <w:szCs w:val="21"/>
          <w:highlight w:val="none"/>
          <w:lang w:val="zh-CN"/>
        </w:rPr>
        <w:t>：</w:t>
      </w:r>
    </w:p>
    <w:p w14:paraId="6691C8C6">
      <w:pPr>
        <w:spacing w:line="360" w:lineRule="auto"/>
        <w:ind w:firstLine="612"/>
        <w:rPr>
          <w:rFonts w:hint="eastAsia" w:ascii="黑体" w:hAnsi="黑体" w:eastAsia="黑体" w:cs="黑体"/>
          <w:color w:val="auto"/>
          <w:szCs w:val="21"/>
          <w:highlight w:val="none"/>
        </w:rPr>
      </w:pPr>
      <w:r>
        <w:rPr>
          <w:rFonts w:hint="eastAsia" w:ascii="黑体" w:hAnsi="黑体" w:eastAsia="黑体" w:cs="黑体"/>
          <w:color w:val="auto"/>
          <w:szCs w:val="21"/>
          <w:highlight w:val="none"/>
        </w:rPr>
        <w:t>本授权委托书声明：我</w:t>
      </w:r>
      <w:r>
        <w:rPr>
          <w:rFonts w:hint="eastAsia" w:ascii="黑体" w:hAnsi="黑体" w:eastAsia="黑体" w:cs="黑体"/>
          <w:color w:val="auto"/>
          <w:szCs w:val="21"/>
          <w:highlight w:val="none"/>
          <w:u w:val="single"/>
        </w:rPr>
        <w:t xml:space="preserve">   （法定代表人姓名）   </w:t>
      </w:r>
      <w:r>
        <w:rPr>
          <w:rFonts w:hint="eastAsia" w:ascii="黑体" w:hAnsi="黑体" w:eastAsia="黑体" w:cs="黑体"/>
          <w:color w:val="auto"/>
          <w:szCs w:val="21"/>
          <w:highlight w:val="none"/>
        </w:rPr>
        <w:t>系</w:t>
      </w:r>
      <w:r>
        <w:rPr>
          <w:rFonts w:hint="eastAsia" w:ascii="黑体" w:hAnsi="黑体" w:eastAsia="黑体" w:cs="黑体"/>
          <w:color w:val="auto"/>
          <w:szCs w:val="21"/>
          <w:highlight w:val="none"/>
          <w:u w:val="single"/>
        </w:rPr>
        <w:t xml:space="preserve">   （投 标 人 名 称）  </w:t>
      </w:r>
      <w:r>
        <w:rPr>
          <w:rFonts w:hint="eastAsia" w:ascii="黑体" w:hAnsi="黑体" w:eastAsia="黑体" w:cs="黑体"/>
          <w:color w:val="auto"/>
          <w:szCs w:val="21"/>
          <w:highlight w:val="none"/>
        </w:rPr>
        <w:t>的法定代表人，现授权委托</w:t>
      </w:r>
      <w:r>
        <w:rPr>
          <w:rFonts w:hint="eastAsia" w:ascii="黑体" w:hAnsi="黑体" w:eastAsia="黑体" w:cs="黑体"/>
          <w:color w:val="auto"/>
          <w:szCs w:val="21"/>
          <w:highlight w:val="none"/>
          <w:u w:val="single"/>
        </w:rPr>
        <w:t xml:space="preserve">  （单 位 名 称）   </w:t>
      </w:r>
      <w:r>
        <w:rPr>
          <w:rFonts w:hint="eastAsia" w:ascii="黑体" w:hAnsi="黑体" w:eastAsia="黑体" w:cs="黑体"/>
          <w:color w:val="auto"/>
          <w:szCs w:val="21"/>
          <w:highlight w:val="none"/>
        </w:rPr>
        <w:t>的</w:t>
      </w:r>
      <w:r>
        <w:rPr>
          <w:rFonts w:hint="eastAsia" w:ascii="黑体" w:hAnsi="黑体" w:eastAsia="黑体" w:cs="黑体"/>
          <w:color w:val="auto"/>
          <w:szCs w:val="21"/>
          <w:highlight w:val="none"/>
          <w:u w:val="single"/>
        </w:rPr>
        <w:t xml:space="preserve">  （授权代表姓名）  </w:t>
      </w:r>
      <w:r>
        <w:rPr>
          <w:rFonts w:hint="eastAsia" w:ascii="黑体" w:hAnsi="黑体" w:eastAsia="黑体" w:cs="黑体"/>
          <w:color w:val="auto"/>
          <w:szCs w:val="21"/>
          <w:highlight w:val="none"/>
        </w:rPr>
        <w:t>为我公司法定代表人授权代表，参加贵处组织的</w:t>
      </w:r>
      <w:r>
        <w:rPr>
          <w:rFonts w:hint="eastAsia" w:ascii="黑体" w:hAnsi="黑体" w:eastAsia="黑体" w:cs="黑体"/>
          <w:color w:val="auto"/>
          <w:szCs w:val="21"/>
          <w:highlight w:val="none"/>
          <w:u w:val="single"/>
        </w:rPr>
        <w:t xml:space="preserve">  （采购项目名称，括号中填写项目编号）  </w:t>
      </w:r>
      <w:r>
        <w:rPr>
          <w:rFonts w:hint="eastAsia" w:ascii="黑体" w:hAnsi="黑体" w:eastAsia="黑体" w:cs="黑体"/>
          <w:color w:val="auto"/>
          <w:szCs w:val="21"/>
          <w:highlight w:val="none"/>
        </w:rPr>
        <w:t>项目磋商，全权处理本次招磋商活动中的一切事宜，我承认授权代表全权代表我所签署的本项目的磋商文件的内容。</w:t>
      </w:r>
    </w:p>
    <w:p w14:paraId="01D046A6">
      <w:pPr>
        <w:spacing w:line="360" w:lineRule="auto"/>
        <w:ind w:firstLine="697"/>
        <w:rPr>
          <w:rFonts w:hint="eastAsia" w:ascii="黑体" w:hAnsi="黑体" w:eastAsia="黑体" w:cs="黑体"/>
          <w:color w:val="auto"/>
          <w:szCs w:val="21"/>
          <w:highlight w:val="none"/>
        </w:rPr>
      </w:pPr>
      <w:r>
        <w:rPr>
          <w:rFonts w:hint="eastAsia" w:ascii="黑体" w:hAnsi="黑体" w:eastAsia="黑体" w:cs="黑体"/>
          <w:color w:val="auto"/>
          <w:szCs w:val="21"/>
          <w:highlight w:val="none"/>
        </w:rPr>
        <w:t>授权代表无转授权，特此授权</w:t>
      </w:r>
    </w:p>
    <w:p w14:paraId="2E33054E">
      <w:pPr>
        <w:spacing w:line="480" w:lineRule="auto"/>
        <w:ind w:left="2100"/>
        <w:rPr>
          <w:rFonts w:hint="eastAsia" w:ascii="黑体" w:hAnsi="黑体" w:eastAsia="黑体" w:cs="黑体"/>
          <w:color w:val="auto"/>
          <w:szCs w:val="21"/>
          <w:highlight w:val="none"/>
          <w:u w:val="single"/>
        </w:rPr>
      </w:pPr>
      <w:r>
        <w:rPr>
          <w:rFonts w:hint="eastAsia" w:ascii="黑体" w:hAnsi="黑体" w:eastAsia="黑体" w:cs="黑体"/>
          <w:color w:val="auto"/>
          <w:szCs w:val="21"/>
          <w:highlight w:val="none"/>
        </w:rPr>
        <w:t>授权代表：</w:t>
      </w:r>
      <w:r>
        <w:rPr>
          <w:rFonts w:hint="eastAsia" w:ascii="黑体" w:hAnsi="黑体" w:eastAsia="黑体" w:cs="黑体"/>
          <w:color w:val="auto"/>
          <w:szCs w:val="21"/>
          <w:highlight w:val="none"/>
          <w:u w:val="single"/>
        </w:rPr>
        <w:t xml:space="preserve">   （签字）  </w:t>
      </w:r>
      <w:r>
        <w:rPr>
          <w:rFonts w:hint="eastAsia" w:ascii="黑体" w:hAnsi="黑体" w:eastAsia="黑体" w:cs="黑体"/>
          <w:color w:val="auto"/>
          <w:szCs w:val="21"/>
          <w:highlight w:val="none"/>
        </w:rPr>
        <w:t xml:space="preserve"> 性别：</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 xml:space="preserve"> 年龄：</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职务：</w:t>
      </w:r>
      <w:r>
        <w:rPr>
          <w:rFonts w:hint="eastAsia" w:ascii="黑体" w:hAnsi="黑体" w:eastAsia="黑体" w:cs="黑体"/>
          <w:color w:val="auto"/>
          <w:szCs w:val="21"/>
          <w:highlight w:val="none"/>
          <w:u w:val="single"/>
        </w:rPr>
        <w:t xml:space="preserve">          </w:t>
      </w:r>
    </w:p>
    <w:p w14:paraId="765F4140">
      <w:pPr>
        <w:spacing w:line="480" w:lineRule="auto"/>
        <w:ind w:left="2100"/>
        <w:rPr>
          <w:rFonts w:hint="eastAsia" w:ascii="黑体" w:hAnsi="黑体" w:eastAsia="黑体" w:cs="黑体"/>
          <w:color w:val="auto"/>
          <w:szCs w:val="21"/>
          <w:highlight w:val="none"/>
          <w:u w:val="single"/>
        </w:rPr>
      </w:pPr>
      <w:r>
        <w:rPr>
          <w:rFonts w:hint="eastAsia" w:ascii="黑体" w:hAnsi="黑体" w:eastAsia="黑体" w:cs="黑体"/>
          <w:color w:val="auto"/>
          <w:szCs w:val="21"/>
          <w:highlight w:val="none"/>
        </w:rPr>
        <w:t>详细通讯地址：</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 xml:space="preserve"> 邮政编码：</w:t>
      </w:r>
      <w:r>
        <w:rPr>
          <w:rFonts w:hint="eastAsia" w:ascii="黑体" w:hAnsi="黑体" w:eastAsia="黑体" w:cs="黑体"/>
          <w:color w:val="auto"/>
          <w:szCs w:val="21"/>
          <w:highlight w:val="none"/>
          <w:u w:val="single"/>
        </w:rPr>
        <w:t xml:space="preserve">           </w:t>
      </w:r>
    </w:p>
    <w:p w14:paraId="3F5722C5">
      <w:pPr>
        <w:spacing w:line="480" w:lineRule="auto"/>
        <w:ind w:left="2100"/>
        <w:rPr>
          <w:rFonts w:hint="eastAsia" w:ascii="黑体" w:hAnsi="黑体" w:eastAsia="黑体" w:cs="黑体"/>
          <w:color w:val="auto"/>
          <w:szCs w:val="21"/>
          <w:highlight w:val="none"/>
          <w:u w:val="single"/>
        </w:rPr>
      </w:pPr>
      <w:r>
        <w:rPr>
          <w:rFonts w:hint="eastAsia" w:ascii="黑体" w:hAnsi="黑体" w:eastAsia="黑体" w:cs="黑体"/>
          <w:color w:val="auto"/>
          <w:szCs w:val="21"/>
          <w:highlight w:val="none"/>
        </w:rPr>
        <w:t>电话：</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 xml:space="preserve"> 传真：</w:t>
      </w:r>
      <w:r>
        <w:rPr>
          <w:rFonts w:hint="eastAsia" w:ascii="黑体" w:hAnsi="黑体" w:eastAsia="黑体" w:cs="黑体"/>
          <w:color w:val="auto"/>
          <w:szCs w:val="21"/>
          <w:highlight w:val="none"/>
          <w:u w:val="single"/>
        </w:rPr>
        <w:t xml:space="preserve">                      </w:t>
      </w:r>
    </w:p>
    <w:p w14:paraId="0CDDB669">
      <w:pPr>
        <w:spacing w:line="480" w:lineRule="auto"/>
        <w:ind w:left="2100"/>
        <w:jc w:val="right"/>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w:t>
      </w:r>
      <w:r>
        <w:rPr>
          <w:rFonts w:hint="eastAsia" w:ascii="黑体" w:hAnsi="黑体" w:eastAsia="黑体" w:cs="黑体"/>
          <w:color w:val="auto"/>
          <w:szCs w:val="21"/>
          <w:highlight w:val="none"/>
          <w:u w:val="single"/>
        </w:rPr>
        <w:t xml:space="preserve">                                      （盖章）</w:t>
      </w:r>
    </w:p>
    <w:p w14:paraId="30ABA1A1">
      <w:pPr>
        <w:spacing w:line="480" w:lineRule="auto"/>
        <w:ind w:left="2100"/>
        <w:jc w:val="right"/>
        <w:rPr>
          <w:rFonts w:hint="eastAsia" w:ascii="黑体" w:hAnsi="黑体" w:eastAsia="黑体" w:cs="黑体"/>
          <w:color w:val="auto"/>
          <w:szCs w:val="21"/>
          <w:highlight w:val="none"/>
        </w:rPr>
      </w:pPr>
      <w:r>
        <w:rPr>
          <w:rFonts w:hint="eastAsia" w:ascii="黑体" w:hAnsi="黑体" w:eastAsia="黑体" w:cs="黑体"/>
          <w:color w:val="auto"/>
          <w:szCs w:val="21"/>
          <w:highlight w:val="none"/>
        </w:rPr>
        <w:t>法定代表人：</w:t>
      </w:r>
      <w:r>
        <w:rPr>
          <w:rFonts w:hint="eastAsia" w:ascii="黑体" w:hAnsi="黑体" w:eastAsia="黑体" w:cs="黑体"/>
          <w:color w:val="auto"/>
          <w:szCs w:val="21"/>
          <w:highlight w:val="none"/>
          <w:u w:val="single"/>
        </w:rPr>
        <w:t xml:space="preserve">                          （亲笔签名或盖私章）</w:t>
      </w:r>
    </w:p>
    <w:p w14:paraId="43645BE7">
      <w:pPr>
        <w:spacing w:line="480" w:lineRule="auto"/>
        <w:ind w:left="2100"/>
        <w:jc w:val="right"/>
        <w:rPr>
          <w:rFonts w:hint="eastAsia" w:ascii="黑体" w:hAnsi="黑体" w:eastAsia="黑体" w:cs="黑体"/>
          <w:color w:val="auto"/>
          <w:szCs w:val="21"/>
          <w:highlight w:val="none"/>
        </w:rPr>
      </w:pPr>
    </w:p>
    <w:p w14:paraId="7C269284">
      <w:pPr>
        <w:spacing w:line="480" w:lineRule="auto"/>
        <w:ind w:firstLine="3150" w:firstLineChars="1500"/>
        <w:jc w:val="right"/>
        <w:rPr>
          <w:rFonts w:hint="eastAsia" w:ascii="黑体" w:hAnsi="黑体" w:eastAsia="黑体" w:cs="黑体"/>
          <w:color w:val="auto"/>
          <w:sz w:val="24"/>
          <w:szCs w:val="20"/>
          <w:highlight w:val="none"/>
        </w:rPr>
      </w:pPr>
      <w:r>
        <w:rPr>
          <w:rFonts w:hint="eastAsia" w:ascii="黑体" w:hAnsi="黑体" w:eastAsia="黑体" w:cs="黑体"/>
          <w:color w:val="auto"/>
          <w:szCs w:val="21"/>
          <w:highlight w:val="none"/>
        </w:rPr>
        <w:t>授权委托日期：</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 xml:space="preserve">年 </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u w:val="single"/>
        </w:rPr>
        <w:t xml:space="preserve">     </w:t>
      </w:r>
      <w:r>
        <w:rPr>
          <w:rFonts w:hint="eastAsia" w:ascii="黑体" w:hAnsi="黑体" w:eastAsia="黑体" w:cs="黑体"/>
          <w:color w:val="auto"/>
          <w:szCs w:val="21"/>
          <w:highlight w:val="none"/>
        </w:rPr>
        <w:t>日</w:t>
      </w:r>
    </w:p>
    <w:p w14:paraId="6ECFDDD7">
      <w:pPr>
        <w:pStyle w:val="7"/>
        <w:spacing w:line="500" w:lineRule="exact"/>
        <w:ind w:firstLine="436" w:firstLineChars="156"/>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w:t>
      </w:r>
    </w:p>
    <w:p w14:paraId="377E861B">
      <w:pPr>
        <w:pStyle w:val="7"/>
        <w:spacing w:line="500" w:lineRule="exact"/>
        <w:ind w:firstLine="436" w:firstLineChars="156"/>
        <w:jc w:val="center"/>
        <w:rPr>
          <w:rFonts w:hint="eastAsia" w:ascii="黑体" w:hAnsi="黑体" w:eastAsia="黑体" w:cs="黑体"/>
          <w:color w:val="auto"/>
          <w:sz w:val="28"/>
          <w:szCs w:val="28"/>
          <w:highlight w:val="none"/>
        </w:rPr>
      </w:pPr>
    </w:p>
    <w:p w14:paraId="0BEB7D2C">
      <w:pPr>
        <w:pStyle w:val="7"/>
        <w:spacing w:line="500" w:lineRule="exact"/>
        <w:ind w:firstLine="436" w:firstLineChars="156"/>
        <w:jc w:val="center"/>
        <w:rPr>
          <w:rFonts w:hint="eastAsia" w:ascii="黑体" w:hAnsi="黑体" w:eastAsia="黑体" w:cs="黑体"/>
          <w:color w:val="auto"/>
          <w:sz w:val="28"/>
          <w:szCs w:val="28"/>
          <w:highlight w:val="none"/>
        </w:rPr>
      </w:pPr>
    </w:p>
    <w:p w14:paraId="642DBFC6">
      <w:pPr>
        <w:pStyle w:val="7"/>
        <w:spacing w:line="500" w:lineRule="exact"/>
        <w:ind w:firstLine="436" w:firstLineChars="156"/>
        <w:jc w:val="center"/>
        <w:rPr>
          <w:rFonts w:hint="eastAsia" w:ascii="黑体" w:hAnsi="黑体" w:eastAsia="黑体" w:cs="黑体"/>
          <w:color w:val="auto"/>
          <w:sz w:val="28"/>
          <w:szCs w:val="28"/>
          <w:highlight w:val="none"/>
        </w:rPr>
      </w:pPr>
    </w:p>
    <w:p w14:paraId="4A22F103">
      <w:pPr>
        <w:pStyle w:val="7"/>
        <w:spacing w:line="500" w:lineRule="exact"/>
        <w:ind w:firstLine="436" w:firstLineChars="156"/>
        <w:jc w:val="center"/>
        <w:rPr>
          <w:rFonts w:hint="eastAsia" w:ascii="黑体" w:hAnsi="黑体" w:eastAsia="黑体" w:cs="黑体"/>
          <w:color w:val="auto"/>
          <w:sz w:val="30"/>
          <w:szCs w:val="24"/>
          <w:highlight w:val="none"/>
        </w:rPr>
      </w:pPr>
      <w:r>
        <w:rPr>
          <w:rFonts w:hint="eastAsia" w:ascii="黑体" w:hAnsi="黑体" w:eastAsia="黑体" w:cs="黑体"/>
          <w:color w:val="auto"/>
          <w:sz w:val="28"/>
          <w:szCs w:val="28"/>
          <w:highlight w:val="none"/>
        </w:rPr>
        <w:t>被授权人有效身份证明复印件粘贴处</w:t>
      </w:r>
    </w:p>
    <w:p w14:paraId="3984D103">
      <w:pPr>
        <w:spacing w:line="360" w:lineRule="auto"/>
        <w:ind w:firstLine="3600" w:firstLineChars="1500"/>
        <w:jc w:val="right"/>
        <w:rPr>
          <w:rFonts w:hint="eastAsia" w:ascii="黑体" w:hAnsi="黑体" w:eastAsia="黑体" w:cs="黑体"/>
          <w:color w:val="auto"/>
          <w:sz w:val="24"/>
          <w:szCs w:val="20"/>
          <w:highlight w:val="none"/>
        </w:rPr>
      </w:pPr>
    </w:p>
    <w:p w14:paraId="37534086">
      <w:pPr>
        <w:spacing w:line="360" w:lineRule="auto"/>
        <w:ind w:firstLine="3600" w:firstLineChars="1500"/>
        <w:jc w:val="right"/>
        <w:rPr>
          <w:rFonts w:hint="eastAsia" w:ascii="黑体" w:hAnsi="黑体" w:eastAsia="黑体" w:cs="黑体"/>
          <w:color w:val="auto"/>
          <w:sz w:val="24"/>
          <w:szCs w:val="20"/>
          <w:highlight w:val="none"/>
        </w:rPr>
      </w:pPr>
    </w:p>
    <w:p w14:paraId="0FDF25C1">
      <w:pPr>
        <w:spacing w:line="360" w:lineRule="auto"/>
        <w:ind w:firstLine="3600" w:firstLineChars="1500"/>
        <w:jc w:val="right"/>
        <w:rPr>
          <w:rFonts w:hint="eastAsia" w:ascii="黑体" w:hAnsi="黑体" w:eastAsia="黑体" w:cs="黑体"/>
          <w:color w:val="auto"/>
          <w:sz w:val="24"/>
          <w:szCs w:val="20"/>
          <w:highlight w:val="none"/>
        </w:rPr>
      </w:pPr>
    </w:p>
    <w:p w14:paraId="7EB8251E">
      <w:pPr>
        <w:spacing w:line="360" w:lineRule="auto"/>
        <w:ind w:firstLine="3600" w:firstLineChars="1500"/>
        <w:jc w:val="right"/>
        <w:rPr>
          <w:rFonts w:hint="eastAsia" w:ascii="黑体" w:hAnsi="黑体" w:eastAsia="黑体" w:cs="黑体"/>
          <w:color w:val="auto"/>
          <w:sz w:val="24"/>
          <w:szCs w:val="20"/>
          <w:highlight w:val="none"/>
        </w:rPr>
      </w:pPr>
    </w:p>
    <w:p w14:paraId="7974DF17">
      <w:pPr>
        <w:spacing w:after="120" w:line="360" w:lineRule="auto"/>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注：1、本法定代表人授权书正本一式二份，商务标中有一份，另一份可在递交资格审查文件时，随授权代表身份证一起交验。</w:t>
      </w:r>
    </w:p>
    <w:p w14:paraId="139F647A">
      <w:pPr>
        <w:spacing w:after="120" w:line="360" w:lineRule="auto"/>
        <w:ind w:firstLine="472" w:firstLineChars="196"/>
        <w:rPr>
          <w:rFonts w:hint="eastAsia" w:ascii="黑体" w:hAnsi="黑体" w:eastAsia="黑体" w:cs="黑体"/>
          <w:color w:val="auto"/>
          <w:sz w:val="24"/>
          <w:szCs w:val="20"/>
          <w:highlight w:val="none"/>
        </w:rPr>
      </w:pPr>
      <w:r>
        <w:rPr>
          <w:rFonts w:hint="eastAsia" w:ascii="黑体" w:hAnsi="黑体" w:eastAsia="黑体" w:cs="黑体"/>
          <w:b/>
          <w:color w:val="auto"/>
          <w:sz w:val="24"/>
          <w:highlight w:val="none"/>
        </w:rPr>
        <w:t>2、法定代表人授权委托书格式不得随意变更且内容如实填写完整，否则将可能导致授权委托书无效。</w:t>
      </w:r>
    </w:p>
    <w:p w14:paraId="64DE5E2E">
      <w:pPr>
        <w:spacing w:line="360" w:lineRule="auto"/>
        <w:outlineLvl w:val="1"/>
        <w:rPr>
          <w:rFonts w:hint="eastAsia" w:ascii="黑体" w:hAnsi="黑体" w:eastAsia="黑体" w:cs="黑体"/>
          <w:b/>
          <w:color w:val="auto"/>
          <w:kern w:val="0"/>
          <w:sz w:val="30"/>
          <w:szCs w:val="30"/>
          <w:highlight w:val="none"/>
        </w:rPr>
      </w:pPr>
      <w:r>
        <w:rPr>
          <w:rFonts w:hint="eastAsia" w:ascii="黑体" w:hAnsi="黑体" w:eastAsia="黑体" w:cs="黑体"/>
          <w:color w:val="auto"/>
          <w:sz w:val="24"/>
          <w:szCs w:val="20"/>
          <w:highlight w:val="none"/>
        </w:rPr>
        <w:br w:type="page"/>
      </w:r>
      <w:r>
        <w:rPr>
          <w:rFonts w:hint="eastAsia" w:ascii="黑体" w:hAnsi="黑体" w:eastAsia="黑体" w:cs="黑体"/>
          <w:b/>
          <w:color w:val="auto"/>
          <w:kern w:val="0"/>
          <w:sz w:val="30"/>
          <w:szCs w:val="30"/>
          <w:highlight w:val="none"/>
        </w:rPr>
        <w:t>附件五：</w:t>
      </w:r>
    </w:p>
    <w:p w14:paraId="41CFFDF3">
      <w:pPr>
        <w:spacing w:line="360" w:lineRule="auto"/>
        <w:jc w:val="center"/>
        <w:outlineLvl w:val="1"/>
        <w:rPr>
          <w:rFonts w:hint="eastAsia" w:ascii="黑体" w:hAnsi="黑体" w:eastAsia="黑体" w:cs="黑体"/>
          <w:b/>
          <w:bCs/>
          <w:color w:val="auto"/>
          <w:sz w:val="30"/>
          <w:szCs w:val="20"/>
          <w:highlight w:val="none"/>
        </w:rPr>
      </w:pPr>
      <w:r>
        <w:rPr>
          <w:rFonts w:hint="eastAsia" w:ascii="黑体" w:hAnsi="黑体" w:eastAsia="黑体" w:cs="黑体"/>
          <w:b/>
          <w:color w:val="auto"/>
          <w:kern w:val="0"/>
          <w:sz w:val="30"/>
          <w:szCs w:val="30"/>
          <w:highlight w:val="none"/>
        </w:rPr>
        <w:t>企业荣誉情况</w:t>
      </w:r>
    </w:p>
    <w:p w14:paraId="634E3B0D">
      <w:pPr>
        <w:spacing w:line="360" w:lineRule="auto"/>
        <w:rPr>
          <w:rFonts w:hint="eastAsia" w:ascii="黑体" w:hAnsi="黑体" w:eastAsia="黑体" w:cs="黑体"/>
          <w:color w:val="auto"/>
          <w:spacing w:val="14"/>
          <w:szCs w:val="21"/>
          <w:highlight w:val="none"/>
        </w:rPr>
      </w:pPr>
      <w:r>
        <w:rPr>
          <w:rFonts w:hint="eastAsia" w:ascii="黑体" w:hAnsi="黑体" w:eastAsia="黑体" w:cs="黑体"/>
          <w:color w:val="auto"/>
          <w:spacing w:val="14"/>
          <w:szCs w:val="21"/>
          <w:highlight w:val="none"/>
        </w:rPr>
        <w:t>企业荣誉证书（提供复印件并</w:t>
      </w:r>
      <w:r>
        <w:rPr>
          <w:rFonts w:hint="eastAsia" w:ascii="黑体" w:hAnsi="黑体" w:eastAsia="黑体" w:cs="黑体"/>
          <w:bCs/>
          <w:color w:val="auto"/>
          <w:szCs w:val="21"/>
          <w:highlight w:val="none"/>
        </w:rPr>
        <w:t>加盖公章</w:t>
      </w:r>
      <w:r>
        <w:rPr>
          <w:rFonts w:hint="eastAsia" w:ascii="黑体" w:hAnsi="黑体" w:eastAsia="黑体" w:cs="黑体"/>
          <w:color w:val="auto"/>
          <w:spacing w:val="14"/>
          <w:szCs w:val="21"/>
          <w:highlight w:val="none"/>
        </w:rPr>
        <w:t>）；</w:t>
      </w:r>
    </w:p>
    <w:p w14:paraId="4B3C5184">
      <w:pPr>
        <w:spacing w:line="360" w:lineRule="auto"/>
        <w:rPr>
          <w:rFonts w:hint="eastAsia" w:ascii="黑体" w:hAnsi="黑体" w:eastAsia="黑体" w:cs="黑体"/>
          <w:b/>
          <w:bCs/>
          <w:color w:val="auto"/>
          <w:szCs w:val="21"/>
          <w:highlight w:val="none"/>
        </w:rPr>
      </w:pPr>
      <w:r>
        <w:rPr>
          <w:rFonts w:hint="eastAsia" w:ascii="黑体" w:hAnsi="黑体" w:eastAsia="黑体" w:cs="黑体"/>
          <w:color w:val="auto"/>
          <w:szCs w:val="21"/>
          <w:highlight w:val="none"/>
        </w:rPr>
        <w:t xml:space="preserve">采购项目名称：                  采购编号：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14:paraId="05A9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4100F17">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序号</w:t>
            </w:r>
          </w:p>
        </w:tc>
        <w:tc>
          <w:tcPr>
            <w:tcW w:w="1811" w:type="dxa"/>
          </w:tcPr>
          <w:p w14:paraId="571FD2E6">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证书名称</w:t>
            </w:r>
          </w:p>
        </w:tc>
        <w:tc>
          <w:tcPr>
            <w:tcW w:w="1596" w:type="dxa"/>
          </w:tcPr>
          <w:p w14:paraId="7AEAB0D2">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颁发机构</w:t>
            </w:r>
          </w:p>
        </w:tc>
        <w:tc>
          <w:tcPr>
            <w:tcW w:w="1980" w:type="dxa"/>
          </w:tcPr>
          <w:p w14:paraId="188E5E61">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颁发时间</w:t>
            </w:r>
          </w:p>
        </w:tc>
        <w:tc>
          <w:tcPr>
            <w:tcW w:w="2474" w:type="dxa"/>
          </w:tcPr>
          <w:p w14:paraId="28C76CE8">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备注</w:t>
            </w:r>
          </w:p>
        </w:tc>
      </w:tr>
      <w:tr w14:paraId="449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D336AB0">
            <w:pPr>
              <w:spacing w:line="360" w:lineRule="auto"/>
              <w:rPr>
                <w:rFonts w:hint="eastAsia" w:ascii="黑体" w:hAnsi="黑体" w:eastAsia="黑体" w:cs="黑体"/>
                <w:bCs/>
                <w:color w:val="auto"/>
                <w:szCs w:val="21"/>
                <w:highlight w:val="none"/>
              </w:rPr>
            </w:pPr>
          </w:p>
        </w:tc>
        <w:tc>
          <w:tcPr>
            <w:tcW w:w="1811" w:type="dxa"/>
          </w:tcPr>
          <w:p w14:paraId="1890BCC1">
            <w:pPr>
              <w:spacing w:line="360" w:lineRule="auto"/>
              <w:rPr>
                <w:rFonts w:hint="eastAsia" w:ascii="黑体" w:hAnsi="黑体" w:eastAsia="黑体" w:cs="黑体"/>
                <w:bCs/>
                <w:color w:val="auto"/>
                <w:szCs w:val="21"/>
                <w:highlight w:val="none"/>
              </w:rPr>
            </w:pPr>
          </w:p>
        </w:tc>
        <w:tc>
          <w:tcPr>
            <w:tcW w:w="1596" w:type="dxa"/>
          </w:tcPr>
          <w:p w14:paraId="03A5F14A">
            <w:pPr>
              <w:spacing w:line="360" w:lineRule="auto"/>
              <w:rPr>
                <w:rFonts w:hint="eastAsia" w:ascii="黑体" w:hAnsi="黑体" w:eastAsia="黑体" w:cs="黑体"/>
                <w:bCs/>
                <w:color w:val="auto"/>
                <w:szCs w:val="21"/>
                <w:highlight w:val="none"/>
              </w:rPr>
            </w:pPr>
          </w:p>
        </w:tc>
        <w:tc>
          <w:tcPr>
            <w:tcW w:w="1980" w:type="dxa"/>
          </w:tcPr>
          <w:p w14:paraId="102647B4">
            <w:pPr>
              <w:spacing w:line="360" w:lineRule="auto"/>
              <w:rPr>
                <w:rFonts w:hint="eastAsia" w:ascii="黑体" w:hAnsi="黑体" w:eastAsia="黑体" w:cs="黑体"/>
                <w:bCs/>
                <w:color w:val="auto"/>
                <w:szCs w:val="21"/>
                <w:highlight w:val="none"/>
              </w:rPr>
            </w:pPr>
          </w:p>
        </w:tc>
        <w:tc>
          <w:tcPr>
            <w:tcW w:w="2474" w:type="dxa"/>
          </w:tcPr>
          <w:p w14:paraId="27997120">
            <w:pPr>
              <w:spacing w:line="360" w:lineRule="auto"/>
              <w:rPr>
                <w:rFonts w:hint="eastAsia" w:ascii="黑体" w:hAnsi="黑体" w:eastAsia="黑体" w:cs="黑体"/>
                <w:bCs/>
                <w:color w:val="auto"/>
                <w:szCs w:val="21"/>
                <w:highlight w:val="none"/>
              </w:rPr>
            </w:pPr>
          </w:p>
        </w:tc>
      </w:tr>
      <w:tr w14:paraId="0F01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B35605">
            <w:pPr>
              <w:spacing w:line="360" w:lineRule="auto"/>
              <w:rPr>
                <w:rFonts w:hint="eastAsia" w:ascii="黑体" w:hAnsi="黑体" w:eastAsia="黑体" w:cs="黑体"/>
                <w:bCs/>
                <w:color w:val="auto"/>
                <w:szCs w:val="21"/>
                <w:highlight w:val="none"/>
              </w:rPr>
            </w:pPr>
          </w:p>
        </w:tc>
        <w:tc>
          <w:tcPr>
            <w:tcW w:w="1811" w:type="dxa"/>
          </w:tcPr>
          <w:p w14:paraId="0CF7D0B1">
            <w:pPr>
              <w:spacing w:line="360" w:lineRule="auto"/>
              <w:rPr>
                <w:rFonts w:hint="eastAsia" w:ascii="黑体" w:hAnsi="黑体" w:eastAsia="黑体" w:cs="黑体"/>
                <w:bCs/>
                <w:color w:val="auto"/>
                <w:szCs w:val="21"/>
                <w:highlight w:val="none"/>
              </w:rPr>
            </w:pPr>
          </w:p>
        </w:tc>
        <w:tc>
          <w:tcPr>
            <w:tcW w:w="1596" w:type="dxa"/>
          </w:tcPr>
          <w:p w14:paraId="1A0DC5BC">
            <w:pPr>
              <w:spacing w:line="360" w:lineRule="auto"/>
              <w:rPr>
                <w:rFonts w:hint="eastAsia" w:ascii="黑体" w:hAnsi="黑体" w:eastAsia="黑体" w:cs="黑体"/>
                <w:bCs/>
                <w:color w:val="auto"/>
                <w:szCs w:val="21"/>
                <w:highlight w:val="none"/>
              </w:rPr>
            </w:pPr>
          </w:p>
        </w:tc>
        <w:tc>
          <w:tcPr>
            <w:tcW w:w="1980" w:type="dxa"/>
          </w:tcPr>
          <w:p w14:paraId="1D676FF3">
            <w:pPr>
              <w:spacing w:line="360" w:lineRule="auto"/>
              <w:rPr>
                <w:rFonts w:hint="eastAsia" w:ascii="黑体" w:hAnsi="黑体" w:eastAsia="黑体" w:cs="黑体"/>
                <w:bCs/>
                <w:color w:val="auto"/>
                <w:szCs w:val="21"/>
                <w:highlight w:val="none"/>
              </w:rPr>
            </w:pPr>
          </w:p>
        </w:tc>
        <w:tc>
          <w:tcPr>
            <w:tcW w:w="2474" w:type="dxa"/>
          </w:tcPr>
          <w:p w14:paraId="243E8F07">
            <w:pPr>
              <w:spacing w:line="360" w:lineRule="auto"/>
              <w:rPr>
                <w:rFonts w:hint="eastAsia" w:ascii="黑体" w:hAnsi="黑体" w:eastAsia="黑体" w:cs="黑体"/>
                <w:bCs/>
                <w:color w:val="auto"/>
                <w:szCs w:val="21"/>
                <w:highlight w:val="none"/>
              </w:rPr>
            </w:pPr>
          </w:p>
        </w:tc>
      </w:tr>
      <w:tr w14:paraId="598A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037AD3C">
            <w:pPr>
              <w:spacing w:line="360" w:lineRule="auto"/>
              <w:rPr>
                <w:rFonts w:hint="eastAsia" w:ascii="黑体" w:hAnsi="黑体" w:eastAsia="黑体" w:cs="黑体"/>
                <w:bCs/>
                <w:color w:val="auto"/>
                <w:szCs w:val="21"/>
                <w:highlight w:val="none"/>
              </w:rPr>
            </w:pPr>
          </w:p>
        </w:tc>
        <w:tc>
          <w:tcPr>
            <w:tcW w:w="1811" w:type="dxa"/>
          </w:tcPr>
          <w:p w14:paraId="02FDC94B">
            <w:pPr>
              <w:spacing w:line="360" w:lineRule="auto"/>
              <w:rPr>
                <w:rFonts w:hint="eastAsia" w:ascii="黑体" w:hAnsi="黑体" w:eastAsia="黑体" w:cs="黑体"/>
                <w:bCs/>
                <w:color w:val="auto"/>
                <w:szCs w:val="21"/>
                <w:highlight w:val="none"/>
              </w:rPr>
            </w:pPr>
          </w:p>
        </w:tc>
        <w:tc>
          <w:tcPr>
            <w:tcW w:w="1596" w:type="dxa"/>
          </w:tcPr>
          <w:p w14:paraId="5D1FE456">
            <w:pPr>
              <w:spacing w:line="360" w:lineRule="auto"/>
              <w:rPr>
                <w:rFonts w:hint="eastAsia" w:ascii="黑体" w:hAnsi="黑体" w:eastAsia="黑体" w:cs="黑体"/>
                <w:bCs/>
                <w:color w:val="auto"/>
                <w:szCs w:val="21"/>
                <w:highlight w:val="none"/>
              </w:rPr>
            </w:pPr>
          </w:p>
        </w:tc>
        <w:tc>
          <w:tcPr>
            <w:tcW w:w="1980" w:type="dxa"/>
          </w:tcPr>
          <w:p w14:paraId="2B87A9E3">
            <w:pPr>
              <w:spacing w:line="360" w:lineRule="auto"/>
              <w:rPr>
                <w:rFonts w:hint="eastAsia" w:ascii="黑体" w:hAnsi="黑体" w:eastAsia="黑体" w:cs="黑体"/>
                <w:bCs/>
                <w:color w:val="auto"/>
                <w:szCs w:val="21"/>
                <w:highlight w:val="none"/>
              </w:rPr>
            </w:pPr>
          </w:p>
        </w:tc>
        <w:tc>
          <w:tcPr>
            <w:tcW w:w="2474" w:type="dxa"/>
          </w:tcPr>
          <w:p w14:paraId="0E8D3080">
            <w:pPr>
              <w:spacing w:line="360" w:lineRule="auto"/>
              <w:rPr>
                <w:rFonts w:hint="eastAsia" w:ascii="黑体" w:hAnsi="黑体" w:eastAsia="黑体" w:cs="黑体"/>
                <w:bCs/>
                <w:color w:val="auto"/>
                <w:szCs w:val="21"/>
                <w:highlight w:val="none"/>
              </w:rPr>
            </w:pPr>
          </w:p>
        </w:tc>
      </w:tr>
      <w:tr w14:paraId="2FED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972890">
            <w:pPr>
              <w:spacing w:line="360" w:lineRule="auto"/>
              <w:rPr>
                <w:rFonts w:hint="eastAsia" w:ascii="黑体" w:hAnsi="黑体" w:eastAsia="黑体" w:cs="黑体"/>
                <w:bCs/>
                <w:color w:val="auto"/>
                <w:szCs w:val="21"/>
                <w:highlight w:val="none"/>
              </w:rPr>
            </w:pPr>
          </w:p>
        </w:tc>
        <w:tc>
          <w:tcPr>
            <w:tcW w:w="1811" w:type="dxa"/>
          </w:tcPr>
          <w:p w14:paraId="60FBD93A">
            <w:pPr>
              <w:spacing w:line="360" w:lineRule="auto"/>
              <w:rPr>
                <w:rFonts w:hint="eastAsia" w:ascii="黑体" w:hAnsi="黑体" w:eastAsia="黑体" w:cs="黑体"/>
                <w:bCs/>
                <w:color w:val="auto"/>
                <w:szCs w:val="21"/>
                <w:highlight w:val="none"/>
              </w:rPr>
            </w:pPr>
          </w:p>
        </w:tc>
        <w:tc>
          <w:tcPr>
            <w:tcW w:w="1596" w:type="dxa"/>
          </w:tcPr>
          <w:p w14:paraId="38C979C3">
            <w:pPr>
              <w:spacing w:line="360" w:lineRule="auto"/>
              <w:rPr>
                <w:rFonts w:hint="eastAsia" w:ascii="黑体" w:hAnsi="黑体" w:eastAsia="黑体" w:cs="黑体"/>
                <w:bCs/>
                <w:color w:val="auto"/>
                <w:szCs w:val="21"/>
                <w:highlight w:val="none"/>
              </w:rPr>
            </w:pPr>
          </w:p>
        </w:tc>
        <w:tc>
          <w:tcPr>
            <w:tcW w:w="1980" w:type="dxa"/>
          </w:tcPr>
          <w:p w14:paraId="2450F2B3">
            <w:pPr>
              <w:spacing w:line="360" w:lineRule="auto"/>
              <w:rPr>
                <w:rFonts w:hint="eastAsia" w:ascii="黑体" w:hAnsi="黑体" w:eastAsia="黑体" w:cs="黑体"/>
                <w:bCs/>
                <w:color w:val="auto"/>
                <w:szCs w:val="21"/>
                <w:highlight w:val="none"/>
              </w:rPr>
            </w:pPr>
          </w:p>
        </w:tc>
        <w:tc>
          <w:tcPr>
            <w:tcW w:w="2474" w:type="dxa"/>
          </w:tcPr>
          <w:p w14:paraId="507B9418">
            <w:pPr>
              <w:spacing w:line="360" w:lineRule="auto"/>
              <w:rPr>
                <w:rFonts w:hint="eastAsia" w:ascii="黑体" w:hAnsi="黑体" w:eastAsia="黑体" w:cs="黑体"/>
                <w:bCs/>
                <w:color w:val="auto"/>
                <w:szCs w:val="21"/>
                <w:highlight w:val="none"/>
              </w:rPr>
            </w:pPr>
          </w:p>
        </w:tc>
      </w:tr>
      <w:tr w14:paraId="3B5E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B4993A">
            <w:pPr>
              <w:spacing w:line="360" w:lineRule="auto"/>
              <w:rPr>
                <w:rFonts w:hint="eastAsia" w:ascii="黑体" w:hAnsi="黑体" w:eastAsia="黑体" w:cs="黑体"/>
                <w:bCs/>
                <w:color w:val="auto"/>
                <w:szCs w:val="21"/>
                <w:highlight w:val="none"/>
              </w:rPr>
            </w:pPr>
          </w:p>
        </w:tc>
        <w:tc>
          <w:tcPr>
            <w:tcW w:w="1811" w:type="dxa"/>
          </w:tcPr>
          <w:p w14:paraId="3D67066F">
            <w:pPr>
              <w:spacing w:line="360" w:lineRule="auto"/>
              <w:rPr>
                <w:rFonts w:hint="eastAsia" w:ascii="黑体" w:hAnsi="黑体" w:eastAsia="黑体" w:cs="黑体"/>
                <w:bCs/>
                <w:color w:val="auto"/>
                <w:szCs w:val="21"/>
                <w:highlight w:val="none"/>
              </w:rPr>
            </w:pPr>
          </w:p>
        </w:tc>
        <w:tc>
          <w:tcPr>
            <w:tcW w:w="1596" w:type="dxa"/>
          </w:tcPr>
          <w:p w14:paraId="346EAB4A">
            <w:pPr>
              <w:spacing w:line="360" w:lineRule="auto"/>
              <w:rPr>
                <w:rFonts w:hint="eastAsia" w:ascii="黑体" w:hAnsi="黑体" w:eastAsia="黑体" w:cs="黑体"/>
                <w:bCs/>
                <w:color w:val="auto"/>
                <w:szCs w:val="21"/>
                <w:highlight w:val="none"/>
              </w:rPr>
            </w:pPr>
          </w:p>
        </w:tc>
        <w:tc>
          <w:tcPr>
            <w:tcW w:w="1980" w:type="dxa"/>
          </w:tcPr>
          <w:p w14:paraId="14ADFCFE">
            <w:pPr>
              <w:spacing w:line="360" w:lineRule="auto"/>
              <w:rPr>
                <w:rFonts w:hint="eastAsia" w:ascii="黑体" w:hAnsi="黑体" w:eastAsia="黑体" w:cs="黑体"/>
                <w:bCs/>
                <w:color w:val="auto"/>
                <w:szCs w:val="21"/>
                <w:highlight w:val="none"/>
              </w:rPr>
            </w:pPr>
          </w:p>
        </w:tc>
        <w:tc>
          <w:tcPr>
            <w:tcW w:w="2474" w:type="dxa"/>
          </w:tcPr>
          <w:p w14:paraId="71CF5E35">
            <w:pPr>
              <w:spacing w:line="360" w:lineRule="auto"/>
              <w:rPr>
                <w:rFonts w:hint="eastAsia" w:ascii="黑体" w:hAnsi="黑体" w:eastAsia="黑体" w:cs="黑体"/>
                <w:bCs/>
                <w:color w:val="auto"/>
                <w:szCs w:val="21"/>
                <w:highlight w:val="none"/>
              </w:rPr>
            </w:pPr>
          </w:p>
        </w:tc>
      </w:tr>
      <w:tr w14:paraId="28C5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2D0BF99">
            <w:pPr>
              <w:spacing w:line="360" w:lineRule="auto"/>
              <w:rPr>
                <w:rFonts w:hint="eastAsia" w:ascii="黑体" w:hAnsi="黑体" w:eastAsia="黑体" w:cs="黑体"/>
                <w:bCs/>
                <w:color w:val="auto"/>
                <w:szCs w:val="21"/>
                <w:highlight w:val="none"/>
              </w:rPr>
            </w:pPr>
          </w:p>
        </w:tc>
        <w:tc>
          <w:tcPr>
            <w:tcW w:w="1811" w:type="dxa"/>
          </w:tcPr>
          <w:p w14:paraId="3D53215B">
            <w:pPr>
              <w:spacing w:line="360" w:lineRule="auto"/>
              <w:rPr>
                <w:rFonts w:hint="eastAsia" w:ascii="黑体" w:hAnsi="黑体" w:eastAsia="黑体" w:cs="黑体"/>
                <w:bCs/>
                <w:color w:val="auto"/>
                <w:szCs w:val="21"/>
                <w:highlight w:val="none"/>
              </w:rPr>
            </w:pPr>
          </w:p>
        </w:tc>
        <w:tc>
          <w:tcPr>
            <w:tcW w:w="1596" w:type="dxa"/>
          </w:tcPr>
          <w:p w14:paraId="3933728E">
            <w:pPr>
              <w:spacing w:line="360" w:lineRule="auto"/>
              <w:rPr>
                <w:rFonts w:hint="eastAsia" w:ascii="黑体" w:hAnsi="黑体" w:eastAsia="黑体" w:cs="黑体"/>
                <w:bCs/>
                <w:color w:val="auto"/>
                <w:szCs w:val="21"/>
                <w:highlight w:val="none"/>
              </w:rPr>
            </w:pPr>
          </w:p>
        </w:tc>
        <w:tc>
          <w:tcPr>
            <w:tcW w:w="1980" w:type="dxa"/>
          </w:tcPr>
          <w:p w14:paraId="05BE8AE8">
            <w:pPr>
              <w:spacing w:line="360" w:lineRule="auto"/>
              <w:rPr>
                <w:rFonts w:hint="eastAsia" w:ascii="黑体" w:hAnsi="黑体" w:eastAsia="黑体" w:cs="黑体"/>
                <w:bCs/>
                <w:color w:val="auto"/>
                <w:szCs w:val="21"/>
                <w:highlight w:val="none"/>
              </w:rPr>
            </w:pPr>
          </w:p>
        </w:tc>
        <w:tc>
          <w:tcPr>
            <w:tcW w:w="2474" w:type="dxa"/>
          </w:tcPr>
          <w:p w14:paraId="79E3872C">
            <w:pPr>
              <w:spacing w:line="360" w:lineRule="auto"/>
              <w:rPr>
                <w:rFonts w:hint="eastAsia" w:ascii="黑体" w:hAnsi="黑体" w:eastAsia="黑体" w:cs="黑体"/>
                <w:bCs/>
                <w:color w:val="auto"/>
                <w:szCs w:val="21"/>
                <w:highlight w:val="none"/>
              </w:rPr>
            </w:pPr>
          </w:p>
        </w:tc>
      </w:tr>
      <w:tr w14:paraId="62AB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F93EB76">
            <w:pPr>
              <w:spacing w:line="360" w:lineRule="auto"/>
              <w:rPr>
                <w:rFonts w:hint="eastAsia" w:ascii="黑体" w:hAnsi="黑体" w:eastAsia="黑体" w:cs="黑体"/>
                <w:bCs/>
                <w:color w:val="auto"/>
                <w:szCs w:val="21"/>
                <w:highlight w:val="none"/>
              </w:rPr>
            </w:pPr>
          </w:p>
        </w:tc>
        <w:tc>
          <w:tcPr>
            <w:tcW w:w="1811" w:type="dxa"/>
          </w:tcPr>
          <w:p w14:paraId="28BCD9D9">
            <w:pPr>
              <w:spacing w:line="360" w:lineRule="auto"/>
              <w:rPr>
                <w:rFonts w:hint="eastAsia" w:ascii="黑体" w:hAnsi="黑体" w:eastAsia="黑体" w:cs="黑体"/>
                <w:bCs/>
                <w:color w:val="auto"/>
                <w:szCs w:val="21"/>
                <w:highlight w:val="none"/>
              </w:rPr>
            </w:pPr>
          </w:p>
        </w:tc>
        <w:tc>
          <w:tcPr>
            <w:tcW w:w="1596" w:type="dxa"/>
          </w:tcPr>
          <w:p w14:paraId="6FFE1459">
            <w:pPr>
              <w:spacing w:line="360" w:lineRule="auto"/>
              <w:rPr>
                <w:rFonts w:hint="eastAsia" w:ascii="黑体" w:hAnsi="黑体" w:eastAsia="黑体" w:cs="黑体"/>
                <w:bCs/>
                <w:color w:val="auto"/>
                <w:szCs w:val="21"/>
                <w:highlight w:val="none"/>
              </w:rPr>
            </w:pPr>
          </w:p>
        </w:tc>
        <w:tc>
          <w:tcPr>
            <w:tcW w:w="1980" w:type="dxa"/>
          </w:tcPr>
          <w:p w14:paraId="015F9538">
            <w:pPr>
              <w:spacing w:line="360" w:lineRule="auto"/>
              <w:rPr>
                <w:rFonts w:hint="eastAsia" w:ascii="黑体" w:hAnsi="黑体" w:eastAsia="黑体" w:cs="黑体"/>
                <w:bCs/>
                <w:color w:val="auto"/>
                <w:szCs w:val="21"/>
                <w:highlight w:val="none"/>
              </w:rPr>
            </w:pPr>
          </w:p>
        </w:tc>
        <w:tc>
          <w:tcPr>
            <w:tcW w:w="2474" w:type="dxa"/>
          </w:tcPr>
          <w:p w14:paraId="4AEC34A0">
            <w:pPr>
              <w:spacing w:line="360" w:lineRule="auto"/>
              <w:rPr>
                <w:rFonts w:hint="eastAsia" w:ascii="黑体" w:hAnsi="黑体" w:eastAsia="黑体" w:cs="黑体"/>
                <w:bCs/>
                <w:color w:val="auto"/>
                <w:szCs w:val="21"/>
                <w:highlight w:val="none"/>
              </w:rPr>
            </w:pPr>
          </w:p>
        </w:tc>
      </w:tr>
      <w:tr w14:paraId="4CD6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871557">
            <w:pPr>
              <w:spacing w:line="360" w:lineRule="auto"/>
              <w:rPr>
                <w:rFonts w:hint="eastAsia" w:ascii="黑体" w:hAnsi="黑体" w:eastAsia="黑体" w:cs="黑体"/>
                <w:bCs/>
                <w:color w:val="auto"/>
                <w:szCs w:val="21"/>
                <w:highlight w:val="none"/>
              </w:rPr>
            </w:pPr>
          </w:p>
        </w:tc>
        <w:tc>
          <w:tcPr>
            <w:tcW w:w="1811" w:type="dxa"/>
          </w:tcPr>
          <w:p w14:paraId="4F4AA88F">
            <w:pPr>
              <w:spacing w:line="360" w:lineRule="auto"/>
              <w:rPr>
                <w:rFonts w:hint="eastAsia" w:ascii="黑体" w:hAnsi="黑体" w:eastAsia="黑体" w:cs="黑体"/>
                <w:bCs/>
                <w:color w:val="auto"/>
                <w:szCs w:val="21"/>
                <w:highlight w:val="none"/>
              </w:rPr>
            </w:pPr>
          </w:p>
        </w:tc>
        <w:tc>
          <w:tcPr>
            <w:tcW w:w="1596" w:type="dxa"/>
          </w:tcPr>
          <w:p w14:paraId="7E315CD3">
            <w:pPr>
              <w:spacing w:line="360" w:lineRule="auto"/>
              <w:rPr>
                <w:rFonts w:hint="eastAsia" w:ascii="黑体" w:hAnsi="黑体" w:eastAsia="黑体" w:cs="黑体"/>
                <w:bCs/>
                <w:color w:val="auto"/>
                <w:szCs w:val="21"/>
                <w:highlight w:val="none"/>
              </w:rPr>
            </w:pPr>
          </w:p>
        </w:tc>
        <w:tc>
          <w:tcPr>
            <w:tcW w:w="1980" w:type="dxa"/>
          </w:tcPr>
          <w:p w14:paraId="46C2F38D">
            <w:pPr>
              <w:spacing w:line="360" w:lineRule="auto"/>
              <w:rPr>
                <w:rFonts w:hint="eastAsia" w:ascii="黑体" w:hAnsi="黑体" w:eastAsia="黑体" w:cs="黑体"/>
                <w:bCs/>
                <w:color w:val="auto"/>
                <w:szCs w:val="21"/>
                <w:highlight w:val="none"/>
              </w:rPr>
            </w:pPr>
          </w:p>
        </w:tc>
        <w:tc>
          <w:tcPr>
            <w:tcW w:w="2474" w:type="dxa"/>
          </w:tcPr>
          <w:p w14:paraId="40064D73">
            <w:pPr>
              <w:spacing w:line="360" w:lineRule="auto"/>
              <w:rPr>
                <w:rFonts w:hint="eastAsia" w:ascii="黑体" w:hAnsi="黑体" w:eastAsia="黑体" w:cs="黑体"/>
                <w:bCs/>
                <w:color w:val="auto"/>
                <w:szCs w:val="21"/>
                <w:highlight w:val="none"/>
              </w:rPr>
            </w:pPr>
          </w:p>
        </w:tc>
      </w:tr>
      <w:tr w14:paraId="3225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D431AD1">
            <w:pPr>
              <w:spacing w:line="360" w:lineRule="auto"/>
              <w:rPr>
                <w:rFonts w:hint="eastAsia" w:ascii="黑体" w:hAnsi="黑体" w:eastAsia="黑体" w:cs="黑体"/>
                <w:bCs/>
                <w:color w:val="auto"/>
                <w:szCs w:val="21"/>
                <w:highlight w:val="none"/>
              </w:rPr>
            </w:pPr>
          </w:p>
        </w:tc>
        <w:tc>
          <w:tcPr>
            <w:tcW w:w="1811" w:type="dxa"/>
          </w:tcPr>
          <w:p w14:paraId="2268A4BC">
            <w:pPr>
              <w:spacing w:line="360" w:lineRule="auto"/>
              <w:rPr>
                <w:rFonts w:hint="eastAsia" w:ascii="黑体" w:hAnsi="黑体" w:eastAsia="黑体" w:cs="黑体"/>
                <w:bCs/>
                <w:color w:val="auto"/>
                <w:szCs w:val="21"/>
                <w:highlight w:val="none"/>
              </w:rPr>
            </w:pPr>
          </w:p>
        </w:tc>
        <w:tc>
          <w:tcPr>
            <w:tcW w:w="1596" w:type="dxa"/>
          </w:tcPr>
          <w:p w14:paraId="23848DDA">
            <w:pPr>
              <w:spacing w:line="360" w:lineRule="auto"/>
              <w:rPr>
                <w:rFonts w:hint="eastAsia" w:ascii="黑体" w:hAnsi="黑体" w:eastAsia="黑体" w:cs="黑体"/>
                <w:bCs/>
                <w:color w:val="auto"/>
                <w:szCs w:val="21"/>
                <w:highlight w:val="none"/>
              </w:rPr>
            </w:pPr>
          </w:p>
        </w:tc>
        <w:tc>
          <w:tcPr>
            <w:tcW w:w="1980" w:type="dxa"/>
          </w:tcPr>
          <w:p w14:paraId="2F429799">
            <w:pPr>
              <w:spacing w:line="360" w:lineRule="auto"/>
              <w:rPr>
                <w:rFonts w:hint="eastAsia" w:ascii="黑体" w:hAnsi="黑体" w:eastAsia="黑体" w:cs="黑体"/>
                <w:bCs/>
                <w:color w:val="auto"/>
                <w:szCs w:val="21"/>
                <w:highlight w:val="none"/>
              </w:rPr>
            </w:pPr>
          </w:p>
        </w:tc>
        <w:tc>
          <w:tcPr>
            <w:tcW w:w="2474" w:type="dxa"/>
          </w:tcPr>
          <w:p w14:paraId="28BE934A">
            <w:pPr>
              <w:spacing w:line="360" w:lineRule="auto"/>
              <w:rPr>
                <w:rFonts w:hint="eastAsia" w:ascii="黑体" w:hAnsi="黑体" w:eastAsia="黑体" w:cs="黑体"/>
                <w:bCs/>
                <w:color w:val="auto"/>
                <w:szCs w:val="21"/>
                <w:highlight w:val="none"/>
              </w:rPr>
            </w:pPr>
          </w:p>
        </w:tc>
      </w:tr>
      <w:tr w14:paraId="4D54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87041C1">
            <w:pPr>
              <w:spacing w:line="360" w:lineRule="auto"/>
              <w:rPr>
                <w:rFonts w:hint="eastAsia" w:ascii="黑体" w:hAnsi="黑体" w:eastAsia="黑体" w:cs="黑体"/>
                <w:bCs/>
                <w:color w:val="auto"/>
                <w:szCs w:val="21"/>
                <w:highlight w:val="none"/>
              </w:rPr>
            </w:pPr>
          </w:p>
        </w:tc>
        <w:tc>
          <w:tcPr>
            <w:tcW w:w="1811" w:type="dxa"/>
          </w:tcPr>
          <w:p w14:paraId="65977EC0">
            <w:pPr>
              <w:spacing w:line="360" w:lineRule="auto"/>
              <w:rPr>
                <w:rFonts w:hint="eastAsia" w:ascii="黑体" w:hAnsi="黑体" w:eastAsia="黑体" w:cs="黑体"/>
                <w:bCs/>
                <w:color w:val="auto"/>
                <w:szCs w:val="21"/>
                <w:highlight w:val="none"/>
              </w:rPr>
            </w:pPr>
          </w:p>
        </w:tc>
        <w:tc>
          <w:tcPr>
            <w:tcW w:w="1596" w:type="dxa"/>
          </w:tcPr>
          <w:p w14:paraId="7FE66C54">
            <w:pPr>
              <w:spacing w:line="360" w:lineRule="auto"/>
              <w:rPr>
                <w:rFonts w:hint="eastAsia" w:ascii="黑体" w:hAnsi="黑体" w:eastAsia="黑体" w:cs="黑体"/>
                <w:bCs/>
                <w:color w:val="auto"/>
                <w:szCs w:val="21"/>
                <w:highlight w:val="none"/>
              </w:rPr>
            </w:pPr>
          </w:p>
        </w:tc>
        <w:tc>
          <w:tcPr>
            <w:tcW w:w="1980" w:type="dxa"/>
          </w:tcPr>
          <w:p w14:paraId="45D6D7E3">
            <w:pPr>
              <w:spacing w:line="360" w:lineRule="auto"/>
              <w:rPr>
                <w:rFonts w:hint="eastAsia" w:ascii="黑体" w:hAnsi="黑体" w:eastAsia="黑体" w:cs="黑体"/>
                <w:bCs/>
                <w:color w:val="auto"/>
                <w:szCs w:val="21"/>
                <w:highlight w:val="none"/>
              </w:rPr>
            </w:pPr>
          </w:p>
        </w:tc>
        <w:tc>
          <w:tcPr>
            <w:tcW w:w="2474" w:type="dxa"/>
          </w:tcPr>
          <w:p w14:paraId="5E250597">
            <w:pPr>
              <w:spacing w:line="360" w:lineRule="auto"/>
              <w:rPr>
                <w:rFonts w:hint="eastAsia" w:ascii="黑体" w:hAnsi="黑体" w:eastAsia="黑体" w:cs="黑体"/>
                <w:bCs/>
                <w:color w:val="auto"/>
                <w:szCs w:val="21"/>
                <w:highlight w:val="none"/>
              </w:rPr>
            </w:pPr>
          </w:p>
        </w:tc>
      </w:tr>
    </w:tbl>
    <w:p w14:paraId="3938B72F">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磋商响应方全称（加盖公章）：</w:t>
      </w:r>
    </w:p>
    <w:p w14:paraId="4FD86B60">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日期：     </w:t>
      </w:r>
    </w:p>
    <w:p w14:paraId="3C9C31E5">
      <w:pPr>
        <w:spacing w:line="360" w:lineRule="auto"/>
        <w:rPr>
          <w:rFonts w:hint="eastAsia" w:ascii="黑体" w:hAnsi="黑体" w:eastAsia="黑体" w:cs="黑体"/>
          <w:b/>
          <w:bCs/>
          <w:color w:val="auto"/>
          <w:sz w:val="24"/>
          <w:szCs w:val="20"/>
          <w:highlight w:val="none"/>
        </w:rPr>
      </w:pPr>
      <w:r>
        <w:rPr>
          <w:rFonts w:hint="eastAsia" w:ascii="黑体" w:hAnsi="黑体" w:eastAsia="黑体" w:cs="黑体"/>
          <w:b/>
          <w:color w:val="auto"/>
          <w:sz w:val="24"/>
          <w:szCs w:val="20"/>
          <w:highlight w:val="none"/>
        </w:rPr>
        <w:t>注：1、</w:t>
      </w:r>
      <w:r>
        <w:rPr>
          <w:rFonts w:hint="eastAsia" w:ascii="黑体" w:hAnsi="黑体" w:eastAsia="黑体" w:cs="黑体"/>
          <w:b/>
          <w:bCs/>
          <w:color w:val="auto"/>
          <w:sz w:val="24"/>
          <w:szCs w:val="20"/>
          <w:highlight w:val="none"/>
        </w:rPr>
        <w:t>企业荣誉是     年1月1日至今由行政部门颁发的荣誉证书</w:t>
      </w:r>
    </w:p>
    <w:p w14:paraId="4F32E6DF">
      <w:pPr>
        <w:spacing w:line="360" w:lineRule="auto"/>
        <w:ind w:left="424" w:leftChars="202"/>
        <w:rPr>
          <w:rFonts w:hint="eastAsia" w:ascii="黑体" w:hAnsi="黑体" w:eastAsia="黑体" w:cs="黑体"/>
          <w:b/>
          <w:color w:val="auto"/>
          <w:sz w:val="24"/>
          <w:szCs w:val="20"/>
          <w:highlight w:val="none"/>
        </w:rPr>
      </w:pPr>
      <w:r>
        <w:rPr>
          <w:rFonts w:hint="eastAsia" w:ascii="黑体" w:hAnsi="黑体" w:eastAsia="黑体" w:cs="黑体"/>
          <w:b/>
          <w:color w:val="auto"/>
          <w:sz w:val="24"/>
          <w:szCs w:val="20"/>
          <w:highlight w:val="none"/>
        </w:rPr>
        <w:t>2、此表仅提供了表格形式，磋商响应方应根据需要准备足够数量的表格来填写。</w:t>
      </w:r>
    </w:p>
    <w:p w14:paraId="6ECFDA31">
      <w:pPr>
        <w:spacing w:line="360" w:lineRule="auto"/>
        <w:outlineLvl w:val="1"/>
        <w:rPr>
          <w:rFonts w:hint="eastAsia" w:ascii="黑体" w:hAnsi="黑体" w:eastAsia="黑体" w:cs="黑体"/>
          <w:b/>
          <w:color w:val="auto"/>
          <w:kern w:val="0"/>
          <w:sz w:val="30"/>
          <w:szCs w:val="30"/>
          <w:highlight w:val="none"/>
        </w:rPr>
      </w:pPr>
      <w:r>
        <w:rPr>
          <w:rFonts w:hint="eastAsia" w:ascii="黑体" w:hAnsi="黑体" w:eastAsia="黑体" w:cs="黑体"/>
          <w:color w:val="auto"/>
          <w:spacing w:val="14"/>
          <w:sz w:val="30"/>
          <w:szCs w:val="20"/>
          <w:highlight w:val="none"/>
        </w:rPr>
        <w:br w:type="page"/>
      </w:r>
      <w:r>
        <w:rPr>
          <w:rFonts w:hint="eastAsia" w:ascii="黑体" w:hAnsi="黑体" w:eastAsia="黑体" w:cs="黑体"/>
          <w:b/>
          <w:color w:val="auto"/>
          <w:kern w:val="0"/>
          <w:sz w:val="30"/>
          <w:szCs w:val="30"/>
          <w:highlight w:val="none"/>
        </w:rPr>
        <w:t>附件六：</w:t>
      </w:r>
    </w:p>
    <w:p w14:paraId="36F27A32">
      <w:pPr>
        <w:spacing w:line="360" w:lineRule="auto"/>
        <w:jc w:val="center"/>
        <w:outlineLvl w:val="1"/>
        <w:rPr>
          <w:rFonts w:hint="eastAsia" w:ascii="黑体" w:hAnsi="黑体" w:eastAsia="黑体" w:cs="黑体"/>
          <w:b/>
          <w:bCs/>
          <w:color w:val="auto"/>
          <w:sz w:val="30"/>
          <w:szCs w:val="20"/>
          <w:highlight w:val="none"/>
        </w:rPr>
      </w:pPr>
      <w:r>
        <w:rPr>
          <w:rFonts w:hint="eastAsia" w:ascii="黑体" w:hAnsi="黑体" w:eastAsia="黑体" w:cs="黑体"/>
          <w:b/>
          <w:color w:val="auto"/>
          <w:kern w:val="0"/>
          <w:sz w:val="30"/>
          <w:szCs w:val="30"/>
          <w:highlight w:val="none"/>
        </w:rPr>
        <w:t>企业业绩情况</w:t>
      </w:r>
    </w:p>
    <w:p w14:paraId="0F469554">
      <w:pPr>
        <w:spacing w:line="360" w:lineRule="auto"/>
        <w:rPr>
          <w:rFonts w:hint="eastAsia" w:ascii="黑体" w:hAnsi="黑体" w:eastAsia="黑体" w:cs="黑体"/>
          <w:b/>
          <w:color w:val="auto"/>
          <w:spacing w:val="14"/>
          <w:szCs w:val="21"/>
          <w:highlight w:val="none"/>
        </w:rPr>
      </w:pPr>
      <w:r>
        <w:rPr>
          <w:rFonts w:hint="eastAsia" w:ascii="黑体" w:hAnsi="黑体" w:eastAsia="黑体" w:cs="黑体"/>
          <w:b/>
          <w:color w:val="auto"/>
          <w:szCs w:val="21"/>
          <w:highlight w:val="none"/>
        </w:rPr>
        <w:t>注：</w:t>
      </w:r>
      <w:r>
        <w:rPr>
          <w:rFonts w:hint="eastAsia" w:ascii="黑体" w:hAnsi="黑体" w:eastAsia="黑体" w:cs="黑体"/>
          <w:bCs/>
          <w:color w:val="auto"/>
          <w:sz w:val="24"/>
          <w:szCs w:val="20"/>
          <w:highlight w:val="none"/>
        </w:rPr>
        <w:t>企业业绩是指磋商响应方     年1月1日至今            (复印件并加盖公章）；</w:t>
      </w:r>
    </w:p>
    <w:p w14:paraId="21DB5DBB">
      <w:pPr>
        <w:spacing w:line="360" w:lineRule="auto"/>
        <w:rPr>
          <w:rFonts w:hint="eastAsia" w:ascii="黑体" w:hAnsi="黑体" w:eastAsia="黑体" w:cs="黑体"/>
          <w:b/>
          <w:bCs/>
          <w:color w:val="auto"/>
          <w:sz w:val="24"/>
          <w:szCs w:val="24"/>
          <w:highlight w:val="none"/>
        </w:rPr>
      </w:pPr>
    </w:p>
    <w:p w14:paraId="77A79AD5">
      <w:pPr>
        <w:spacing w:line="360" w:lineRule="auto"/>
        <w:rPr>
          <w:rFonts w:hint="eastAsia" w:ascii="黑体" w:hAnsi="黑体" w:eastAsia="黑体" w:cs="黑体"/>
          <w:b/>
          <w:bCs/>
          <w:color w:val="auto"/>
          <w:szCs w:val="21"/>
          <w:highlight w:val="none"/>
        </w:rPr>
      </w:pPr>
      <w:r>
        <w:rPr>
          <w:rFonts w:hint="eastAsia" w:ascii="黑体" w:hAnsi="黑体" w:eastAsia="黑体" w:cs="黑体"/>
          <w:color w:val="auto"/>
          <w:szCs w:val="21"/>
          <w:highlight w:val="none"/>
        </w:rPr>
        <w:t xml:space="preserve">采购项目名称：                  采购编号：             </w:t>
      </w:r>
    </w:p>
    <w:p w14:paraId="73EBDDA7">
      <w:pPr>
        <w:spacing w:line="360" w:lineRule="auto"/>
        <w:rPr>
          <w:rFonts w:hint="eastAsia" w:ascii="黑体" w:hAnsi="黑体" w:eastAsia="黑体" w:cs="黑体"/>
          <w:color w:val="auto"/>
          <w:szCs w:val="21"/>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62B2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A34EAC">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序号</w:t>
            </w:r>
          </w:p>
        </w:tc>
        <w:tc>
          <w:tcPr>
            <w:tcW w:w="1811" w:type="dxa"/>
          </w:tcPr>
          <w:p w14:paraId="260DF1D4">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业主方</w:t>
            </w:r>
          </w:p>
        </w:tc>
        <w:tc>
          <w:tcPr>
            <w:tcW w:w="1440" w:type="dxa"/>
          </w:tcPr>
          <w:p w14:paraId="00032797">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合同金额</w:t>
            </w:r>
          </w:p>
        </w:tc>
        <w:tc>
          <w:tcPr>
            <w:tcW w:w="1440" w:type="dxa"/>
          </w:tcPr>
          <w:p w14:paraId="1412699B">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签订时间</w:t>
            </w:r>
          </w:p>
        </w:tc>
        <w:tc>
          <w:tcPr>
            <w:tcW w:w="1971" w:type="dxa"/>
          </w:tcPr>
          <w:p w14:paraId="216A170F">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业主联系人</w:t>
            </w:r>
          </w:p>
        </w:tc>
        <w:tc>
          <w:tcPr>
            <w:tcW w:w="1418" w:type="dxa"/>
          </w:tcPr>
          <w:p w14:paraId="7E036124">
            <w:pPr>
              <w:spacing w:line="360" w:lineRule="auto"/>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联系方式</w:t>
            </w:r>
          </w:p>
        </w:tc>
      </w:tr>
      <w:tr w14:paraId="7138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954CE05">
            <w:pPr>
              <w:spacing w:line="360" w:lineRule="auto"/>
              <w:rPr>
                <w:rFonts w:hint="eastAsia" w:ascii="黑体" w:hAnsi="黑体" w:eastAsia="黑体" w:cs="黑体"/>
                <w:bCs/>
                <w:color w:val="auto"/>
                <w:szCs w:val="21"/>
                <w:highlight w:val="none"/>
              </w:rPr>
            </w:pPr>
          </w:p>
        </w:tc>
        <w:tc>
          <w:tcPr>
            <w:tcW w:w="1811" w:type="dxa"/>
          </w:tcPr>
          <w:p w14:paraId="4570950B">
            <w:pPr>
              <w:spacing w:line="360" w:lineRule="auto"/>
              <w:rPr>
                <w:rFonts w:hint="eastAsia" w:ascii="黑体" w:hAnsi="黑体" w:eastAsia="黑体" w:cs="黑体"/>
                <w:bCs/>
                <w:color w:val="auto"/>
                <w:szCs w:val="21"/>
                <w:highlight w:val="none"/>
              </w:rPr>
            </w:pPr>
          </w:p>
        </w:tc>
        <w:tc>
          <w:tcPr>
            <w:tcW w:w="1440" w:type="dxa"/>
          </w:tcPr>
          <w:p w14:paraId="0B12B153">
            <w:pPr>
              <w:spacing w:line="360" w:lineRule="auto"/>
              <w:rPr>
                <w:rFonts w:hint="eastAsia" w:ascii="黑体" w:hAnsi="黑体" w:eastAsia="黑体" w:cs="黑体"/>
                <w:bCs/>
                <w:color w:val="auto"/>
                <w:szCs w:val="21"/>
                <w:highlight w:val="none"/>
              </w:rPr>
            </w:pPr>
          </w:p>
        </w:tc>
        <w:tc>
          <w:tcPr>
            <w:tcW w:w="1440" w:type="dxa"/>
          </w:tcPr>
          <w:p w14:paraId="672966F6">
            <w:pPr>
              <w:spacing w:line="360" w:lineRule="auto"/>
              <w:rPr>
                <w:rFonts w:hint="eastAsia" w:ascii="黑体" w:hAnsi="黑体" w:eastAsia="黑体" w:cs="黑体"/>
                <w:bCs/>
                <w:color w:val="auto"/>
                <w:szCs w:val="21"/>
                <w:highlight w:val="none"/>
              </w:rPr>
            </w:pPr>
          </w:p>
        </w:tc>
        <w:tc>
          <w:tcPr>
            <w:tcW w:w="1971" w:type="dxa"/>
          </w:tcPr>
          <w:p w14:paraId="3A5FD2D8">
            <w:pPr>
              <w:spacing w:line="360" w:lineRule="auto"/>
              <w:rPr>
                <w:rFonts w:hint="eastAsia" w:ascii="黑体" w:hAnsi="黑体" w:eastAsia="黑体" w:cs="黑体"/>
                <w:bCs/>
                <w:color w:val="auto"/>
                <w:szCs w:val="21"/>
                <w:highlight w:val="none"/>
              </w:rPr>
            </w:pPr>
          </w:p>
        </w:tc>
        <w:tc>
          <w:tcPr>
            <w:tcW w:w="1418" w:type="dxa"/>
          </w:tcPr>
          <w:p w14:paraId="09287C64">
            <w:pPr>
              <w:spacing w:line="360" w:lineRule="auto"/>
              <w:rPr>
                <w:rFonts w:hint="eastAsia" w:ascii="黑体" w:hAnsi="黑体" w:eastAsia="黑体" w:cs="黑体"/>
                <w:bCs/>
                <w:color w:val="auto"/>
                <w:szCs w:val="21"/>
                <w:highlight w:val="none"/>
              </w:rPr>
            </w:pPr>
          </w:p>
        </w:tc>
      </w:tr>
      <w:tr w14:paraId="490F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0D828A">
            <w:pPr>
              <w:spacing w:line="360" w:lineRule="auto"/>
              <w:rPr>
                <w:rFonts w:hint="eastAsia" w:ascii="黑体" w:hAnsi="黑体" w:eastAsia="黑体" w:cs="黑体"/>
                <w:bCs/>
                <w:color w:val="auto"/>
                <w:szCs w:val="21"/>
                <w:highlight w:val="none"/>
              </w:rPr>
            </w:pPr>
          </w:p>
        </w:tc>
        <w:tc>
          <w:tcPr>
            <w:tcW w:w="1811" w:type="dxa"/>
          </w:tcPr>
          <w:p w14:paraId="4055BF46">
            <w:pPr>
              <w:spacing w:line="360" w:lineRule="auto"/>
              <w:rPr>
                <w:rFonts w:hint="eastAsia" w:ascii="黑体" w:hAnsi="黑体" w:eastAsia="黑体" w:cs="黑体"/>
                <w:bCs/>
                <w:color w:val="auto"/>
                <w:szCs w:val="21"/>
                <w:highlight w:val="none"/>
              </w:rPr>
            </w:pPr>
          </w:p>
        </w:tc>
        <w:tc>
          <w:tcPr>
            <w:tcW w:w="1440" w:type="dxa"/>
          </w:tcPr>
          <w:p w14:paraId="3497C3C9">
            <w:pPr>
              <w:spacing w:line="360" w:lineRule="auto"/>
              <w:rPr>
                <w:rFonts w:hint="eastAsia" w:ascii="黑体" w:hAnsi="黑体" w:eastAsia="黑体" w:cs="黑体"/>
                <w:bCs/>
                <w:color w:val="auto"/>
                <w:szCs w:val="21"/>
                <w:highlight w:val="none"/>
              </w:rPr>
            </w:pPr>
          </w:p>
        </w:tc>
        <w:tc>
          <w:tcPr>
            <w:tcW w:w="1440" w:type="dxa"/>
          </w:tcPr>
          <w:p w14:paraId="3D3ECA50">
            <w:pPr>
              <w:spacing w:line="360" w:lineRule="auto"/>
              <w:rPr>
                <w:rFonts w:hint="eastAsia" w:ascii="黑体" w:hAnsi="黑体" w:eastAsia="黑体" w:cs="黑体"/>
                <w:bCs/>
                <w:color w:val="auto"/>
                <w:szCs w:val="21"/>
                <w:highlight w:val="none"/>
              </w:rPr>
            </w:pPr>
          </w:p>
        </w:tc>
        <w:tc>
          <w:tcPr>
            <w:tcW w:w="1971" w:type="dxa"/>
          </w:tcPr>
          <w:p w14:paraId="2CE4462A">
            <w:pPr>
              <w:spacing w:line="360" w:lineRule="auto"/>
              <w:rPr>
                <w:rFonts w:hint="eastAsia" w:ascii="黑体" w:hAnsi="黑体" w:eastAsia="黑体" w:cs="黑体"/>
                <w:bCs/>
                <w:color w:val="auto"/>
                <w:szCs w:val="21"/>
                <w:highlight w:val="none"/>
              </w:rPr>
            </w:pPr>
          </w:p>
        </w:tc>
        <w:tc>
          <w:tcPr>
            <w:tcW w:w="1418" w:type="dxa"/>
          </w:tcPr>
          <w:p w14:paraId="4C6490B3">
            <w:pPr>
              <w:spacing w:line="360" w:lineRule="auto"/>
              <w:rPr>
                <w:rFonts w:hint="eastAsia" w:ascii="黑体" w:hAnsi="黑体" w:eastAsia="黑体" w:cs="黑体"/>
                <w:bCs/>
                <w:color w:val="auto"/>
                <w:szCs w:val="21"/>
                <w:highlight w:val="none"/>
              </w:rPr>
            </w:pPr>
          </w:p>
        </w:tc>
      </w:tr>
      <w:tr w14:paraId="747C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53F4401">
            <w:pPr>
              <w:spacing w:line="360" w:lineRule="auto"/>
              <w:rPr>
                <w:rFonts w:hint="eastAsia" w:ascii="黑体" w:hAnsi="黑体" w:eastAsia="黑体" w:cs="黑体"/>
                <w:bCs/>
                <w:color w:val="auto"/>
                <w:szCs w:val="21"/>
                <w:highlight w:val="none"/>
              </w:rPr>
            </w:pPr>
          </w:p>
        </w:tc>
        <w:tc>
          <w:tcPr>
            <w:tcW w:w="1811" w:type="dxa"/>
          </w:tcPr>
          <w:p w14:paraId="67209C99">
            <w:pPr>
              <w:spacing w:line="360" w:lineRule="auto"/>
              <w:rPr>
                <w:rFonts w:hint="eastAsia" w:ascii="黑体" w:hAnsi="黑体" w:eastAsia="黑体" w:cs="黑体"/>
                <w:bCs/>
                <w:color w:val="auto"/>
                <w:szCs w:val="21"/>
                <w:highlight w:val="none"/>
              </w:rPr>
            </w:pPr>
          </w:p>
        </w:tc>
        <w:tc>
          <w:tcPr>
            <w:tcW w:w="1440" w:type="dxa"/>
          </w:tcPr>
          <w:p w14:paraId="6924894C">
            <w:pPr>
              <w:spacing w:line="360" w:lineRule="auto"/>
              <w:rPr>
                <w:rFonts w:hint="eastAsia" w:ascii="黑体" w:hAnsi="黑体" w:eastAsia="黑体" w:cs="黑体"/>
                <w:bCs/>
                <w:color w:val="auto"/>
                <w:szCs w:val="21"/>
                <w:highlight w:val="none"/>
              </w:rPr>
            </w:pPr>
          </w:p>
        </w:tc>
        <w:tc>
          <w:tcPr>
            <w:tcW w:w="1440" w:type="dxa"/>
          </w:tcPr>
          <w:p w14:paraId="39B42225">
            <w:pPr>
              <w:spacing w:line="360" w:lineRule="auto"/>
              <w:rPr>
                <w:rFonts w:hint="eastAsia" w:ascii="黑体" w:hAnsi="黑体" w:eastAsia="黑体" w:cs="黑体"/>
                <w:bCs/>
                <w:color w:val="auto"/>
                <w:szCs w:val="21"/>
                <w:highlight w:val="none"/>
              </w:rPr>
            </w:pPr>
          </w:p>
        </w:tc>
        <w:tc>
          <w:tcPr>
            <w:tcW w:w="1971" w:type="dxa"/>
          </w:tcPr>
          <w:p w14:paraId="4E8EB0BE">
            <w:pPr>
              <w:spacing w:line="360" w:lineRule="auto"/>
              <w:rPr>
                <w:rFonts w:hint="eastAsia" w:ascii="黑体" w:hAnsi="黑体" w:eastAsia="黑体" w:cs="黑体"/>
                <w:bCs/>
                <w:color w:val="auto"/>
                <w:szCs w:val="21"/>
                <w:highlight w:val="none"/>
              </w:rPr>
            </w:pPr>
          </w:p>
        </w:tc>
        <w:tc>
          <w:tcPr>
            <w:tcW w:w="1418" w:type="dxa"/>
          </w:tcPr>
          <w:p w14:paraId="531F57EB">
            <w:pPr>
              <w:spacing w:line="360" w:lineRule="auto"/>
              <w:rPr>
                <w:rFonts w:hint="eastAsia" w:ascii="黑体" w:hAnsi="黑体" w:eastAsia="黑体" w:cs="黑体"/>
                <w:bCs/>
                <w:color w:val="auto"/>
                <w:szCs w:val="21"/>
                <w:highlight w:val="none"/>
              </w:rPr>
            </w:pPr>
          </w:p>
        </w:tc>
      </w:tr>
      <w:tr w14:paraId="6FA5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CEA70AB">
            <w:pPr>
              <w:spacing w:line="360" w:lineRule="auto"/>
              <w:rPr>
                <w:rFonts w:hint="eastAsia" w:ascii="黑体" w:hAnsi="黑体" w:eastAsia="黑体" w:cs="黑体"/>
                <w:bCs/>
                <w:color w:val="auto"/>
                <w:szCs w:val="21"/>
                <w:highlight w:val="none"/>
              </w:rPr>
            </w:pPr>
          </w:p>
        </w:tc>
        <w:tc>
          <w:tcPr>
            <w:tcW w:w="1811" w:type="dxa"/>
          </w:tcPr>
          <w:p w14:paraId="78F13B0A">
            <w:pPr>
              <w:spacing w:line="360" w:lineRule="auto"/>
              <w:rPr>
                <w:rFonts w:hint="eastAsia" w:ascii="黑体" w:hAnsi="黑体" w:eastAsia="黑体" w:cs="黑体"/>
                <w:bCs/>
                <w:color w:val="auto"/>
                <w:szCs w:val="21"/>
                <w:highlight w:val="none"/>
              </w:rPr>
            </w:pPr>
          </w:p>
        </w:tc>
        <w:tc>
          <w:tcPr>
            <w:tcW w:w="1440" w:type="dxa"/>
          </w:tcPr>
          <w:p w14:paraId="5972F6A0">
            <w:pPr>
              <w:spacing w:line="360" w:lineRule="auto"/>
              <w:rPr>
                <w:rFonts w:hint="eastAsia" w:ascii="黑体" w:hAnsi="黑体" w:eastAsia="黑体" w:cs="黑体"/>
                <w:bCs/>
                <w:color w:val="auto"/>
                <w:szCs w:val="21"/>
                <w:highlight w:val="none"/>
              </w:rPr>
            </w:pPr>
          </w:p>
        </w:tc>
        <w:tc>
          <w:tcPr>
            <w:tcW w:w="1440" w:type="dxa"/>
          </w:tcPr>
          <w:p w14:paraId="2A6C4C0A">
            <w:pPr>
              <w:spacing w:line="360" w:lineRule="auto"/>
              <w:rPr>
                <w:rFonts w:hint="eastAsia" w:ascii="黑体" w:hAnsi="黑体" w:eastAsia="黑体" w:cs="黑体"/>
                <w:bCs/>
                <w:color w:val="auto"/>
                <w:szCs w:val="21"/>
                <w:highlight w:val="none"/>
              </w:rPr>
            </w:pPr>
          </w:p>
        </w:tc>
        <w:tc>
          <w:tcPr>
            <w:tcW w:w="1971" w:type="dxa"/>
          </w:tcPr>
          <w:p w14:paraId="17ADF566">
            <w:pPr>
              <w:spacing w:line="360" w:lineRule="auto"/>
              <w:rPr>
                <w:rFonts w:hint="eastAsia" w:ascii="黑体" w:hAnsi="黑体" w:eastAsia="黑体" w:cs="黑体"/>
                <w:bCs/>
                <w:color w:val="auto"/>
                <w:szCs w:val="21"/>
                <w:highlight w:val="none"/>
              </w:rPr>
            </w:pPr>
          </w:p>
        </w:tc>
        <w:tc>
          <w:tcPr>
            <w:tcW w:w="1418" w:type="dxa"/>
          </w:tcPr>
          <w:p w14:paraId="07AC14C3">
            <w:pPr>
              <w:spacing w:line="360" w:lineRule="auto"/>
              <w:rPr>
                <w:rFonts w:hint="eastAsia" w:ascii="黑体" w:hAnsi="黑体" w:eastAsia="黑体" w:cs="黑体"/>
                <w:bCs/>
                <w:color w:val="auto"/>
                <w:szCs w:val="21"/>
                <w:highlight w:val="none"/>
              </w:rPr>
            </w:pPr>
          </w:p>
        </w:tc>
      </w:tr>
      <w:tr w14:paraId="444C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C83EC3">
            <w:pPr>
              <w:spacing w:line="360" w:lineRule="auto"/>
              <w:rPr>
                <w:rFonts w:hint="eastAsia" w:ascii="黑体" w:hAnsi="黑体" w:eastAsia="黑体" w:cs="黑体"/>
                <w:bCs/>
                <w:color w:val="auto"/>
                <w:szCs w:val="21"/>
                <w:highlight w:val="none"/>
              </w:rPr>
            </w:pPr>
          </w:p>
        </w:tc>
        <w:tc>
          <w:tcPr>
            <w:tcW w:w="1811" w:type="dxa"/>
          </w:tcPr>
          <w:p w14:paraId="301C8E31">
            <w:pPr>
              <w:spacing w:line="360" w:lineRule="auto"/>
              <w:rPr>
                <w:rFonts w:hint="eastAsia" w:ascii="黑体" w:hAnsi="黑体" w:eastAsia="黑体" w:cs="黑体"/>
                <w:bCs/>
                <w:color w:val="auto"/>
                <w:szCs w:val="21"/>
                <w:highlight w:val="none"/>
              </w:rPr>
            </w:pPr>
          </w:p>
        </w:tc>
        <w:tc>
          <w:tcPr>
            <w:tcW w:w="1440" w:type="dxa"/>
          </w:tcPr>
          <w:p w14:paraId="5287AEFD">
            <w:pPr>
              <w:spacing w:line="360" w:lineRule="auto"/>
              <w:rPr>
                <w:rFonts w:hint="eastAsia" w:ascii="黑体" w:hAnsi="黑体" w:eastAsia="黑体" w:cs="黑体"/>
                <w:bCs/>
                <w:color w:val="auto"/>
                <w:szCs w:val="21"/>
                <w:highlight w:val="none"/>
              </w:rPr>
            </w:pPr>
          </w:p>
        </w:tc>
        <w:tc>
          <w:tcPr>
            <w:tcW w:w="1440" w:type="dxa"/>
          </w:tcPr>
          <w:p w14:paraId="3A50FACD">
            <w:pPr>
              <w:spacing w:line="360" w:lineRule="auto"/>
              <w:rPr>
                <w:rFonts w:hint="eastAsia" w:ascii="黑体" w:hAnsi="黑体" w:eastAsia="黑体" w:cs="黑体"/>
                <w:bCs/>
                <w:color w:val="auto"/>
                <w:szCs w:val="21"/>
                <w:highlight w:val="none"/>
              </w:rPr>
            </w:pPr>
          </w:p>
        </w:tc>
        <w:tc>
          <w:tcPr>
            <w:tcW w:w="1971" w:type="dxa"/>
          </w:tcPr>
          <w:p w14:paraId="4FB24A9C">
            <w:pPr>
              <w:spacing w:line="360" w:lineRule="auto"/>
              <w:rPr>
                <w:rFonts w:hint="eastAsia" w:ascii="黑体" w:hAnsi="黑体" w:eastAsia="黑体" w:cs="黑体"/>
                <w:bCs/>
                <w:color w:val="auto"/>
                <w:szCs w:val="21"/>
                <w:highlight w:val="none"/>
              </w:rPr>
            </w:pPr>
          </w:p>
        </w:tc>
        <w:tc>
          <w:tcPr>
            <w:tcW w:w="1418" w:type="dxa"/>
          </w:tcPr>
          <w:p w14:paraId="05E52F19">
            <w:pPr>
              <w:spacing w:line="360" w:lineRule="auto"/>
              <w:rPr>
                <w:rFonts w:hint="eastAsia" w:ascii="黑体" w:hAnsi="黑体" w:eastAsia="黑体" w:cs="黑体"/>
                <w:bCs/>
                <w:color w:val="auto"/>
                <w:szCs w:val="21"/>
                <w:highlight w:val="none"/>
              </w:rPr>
            </w:pPr>
          </w:p>
        </w:tc>
      </w:tr>
      <w:tr w14:paraId="53B9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5B83B9D">
            <w:pPr>
              <w:spacing w:line="360" w:lineRule="auto"/>
              <w:rPr>
                <w:rFonts w:hint="eastAsia" w:ascii="黑体" w:hAnsi="黑体" w:eastAsia="黑体" w:cs="黑体"/>
                <w:bCs/>
                <w:color w:val="auto"/>
                <w:szCs w:val="21"/>
                <w:highlight w:val="none"/>
              </w:rPr>
            </w:pPr>
          </w:p>
        </w:tc>
        <w:tc>
          <w:tcPr>
            <w:tcW w:w="1811" w:type="dxa"/>
          </w:tcPr>
          <w:p w14:paraId="47D3D472">
            <w:pPr>
              <w:spacing w:line="360" w:lineRule="auto"/>
              <w:rPr>
                <w:rFonts w:hint="eastAsia" w:ascii="黑体" w:hAnsi="黑体" w:eastAsia="黑体" w:cs="黑体"/>
                <w:bCs/>
                <w:color w:val="auto"/>
                <w:szCs w:val="21"/>
                <w:highlight w:val="none"/>
              </w:rPr>
            </w:pPr>
          </w:p>
        </w:tc>
        <w:tc>
          <w:tcPr>
            <w:tcW w:w="1440" w:type="dxa"/>
          </w:tcPr>
          <w:p w14:paraId="2489EE29">
            <w:pPr>
              <w:spacing w:line="360" w:lineRule="auto"/>
              <w:rPr>
                <w:rFonts w:hint="eastAsia" w:ascii="黑体" w:hAnsi="黑体" w:eastAsia="黑体" w:cs="黑体"/>
                <w:bCs/>
                <w:color w:val="auto"/>
                <w:szCs w:val="21"/>
                <w:highlight w:val="none"/>
              </w:rPr>
            </w:pPr>
          </w:p>
        </w:tc>
        <w:tc>
          <w:tcPr>
            <w:tcW w:w="1440" w:type="dxa"/>
          </w:tcPr>
          <w:p w14:paraId="5A825F14">
            <w:pPr>
              <w:spacing w:line="360" w:lineRule="auto"/>
              <w:rPr>
                <w:rFonts w:hint="eastAsia" w:ascii="黑体" w:hAnsi="黑体" w:eastAsia="黑体" w:cs="黑体"/>
                <w:bCs/>
                <w:color w:val="auto"/>
                <w:szCs w:val="21"/>
                <w:highlight w:val="none"/>
              </w:rPr>
            </w:pPr>
          </w:p>
        </w:tc>
        <w:tc>
          <w:tcPr>
            <w:tcW w:w="1971" w:type="dxa"/>
          </w:tcPr>
          <w:p w14:paraId="56866758">
            <w:pPr>
              <w:spacing w:line="360" w:lineRule="auto"/>
              <w:rPr>
                <w:rFonts w:hint="eastAsia" w:ascii="黑体" w:hAnsi="黑体" w:eastAsia="黑体" w:cs="黑体"/>
                <w:bCs/>
                <w:color w:val="auto"/>
                <w:szCs w:val="21"/>
                <w:highlight w:val="none"/>
              </w:rPr>
            </w:pPr>
          </w:p>
        </w:tc>
        <w:tc>
          <w:tcPr>
            <w:tcW w:w="1418" w:type="dxa"/>
          </w:tcPr>
          <w:p w14:paraId="7D377614">
            <w:pPr>
              <w:spacing w:line="360" w:lineRule="auto"/>
              <w:rPr>
                <w:rFonts w:hint="eastAsia" w:ascii="黑体" w:hAnsi="黑体" w:eastAsia="黑体" w:cs="黑体"/>
                <w:bCs/>
                <w:color w:val="auto"/>
                <w:szCs w:val="21"/>
                <w:highlight w:val="none"/>
              </w:rPr>
            </w:pPr>
          </w:p>
        </w:tc>
      </w:tr>
      <w:tr w14:paraId="3EB0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BBA1E9F">
            <w:pPr>
              <w:spacing w:line="360" w:lineRule="auto"/>
              <w:rPr>
                <w:rFonts w:hint="eastAsia" w:ascii="黑体" w:hAnsi="黑体" w:eastAsia="黑体" w:cs="黑体"/>
                <w:bCs/>
                <w:color w:val="auto"/>
                <w:szCs w:val="21"/>
                <w:highlight w:val="none"/>
              </w:rPr>
            </w:pPr>
          </w:p>
        </w:tc>
        <w:tc>
          <w:tcPr>
            <w:tcW w:w="1811" w:type="dxa"/>
          </w:tcPr>
          <w:p w14:paraId="4E356EF6">
            <w:pPr>
              <w:spacing w:line="360" w:lineRule="auto"/>
              <w:rPr>
                <w:rFonts w:hint="eastAsia" w:ascii="黑体" w:hAnsi="黑体" w:eastAsia="黑体" w:cs="黑体"/>
                <w:bCs/>
                <w:color w:val="auto"/>
                <w:szCs w:val="21"/>
                <w:highlight w:val="none"/>
              </w:rPr>
            </w:pPr>
          </w:p>
        </w:tc>
        <w:tc>
          <w:tcPr>
            <w:tcW w:w="1440" w:type="dxa"/>
          </w:tcPr>
          <w:p w14:paraId="72EEABDB">
            <w:pPr>
              <w:spacing w:line="360" w:lineRule="auto"/>
              <w:rPr>
                <w:rFonts w:hint="eastAsia" w:ascii="黑体" w:hAnsi="黑体" w:eastAsia="黑体" w:cs="黑体"/>
                <w:bCs/>
                <w:color w:val="auto"/>
                <w:szCs w:val="21"/>
                <w:highlight w:val="none"/>
              </w:rPr>
            </w:pPr>
          </w:p>
        </w:tc>
        <w:tc>
          <w:tcPr>
            <w:tcW w:w="1440" w:type="dxa"/>
          </w:tcPr>
          <w:p w14:paraId="4943DE41">
            <w:pPr>
              <w:spacing w:line="360" w:lineRule="auto"/>
              <w:rPr>
                <w:rFonts w:hint="eastAsia" w:ascii="黑体" w:hAnsi="黑体" w:eastAsia="黑体" w:cs="黑体"/>
                <w:bCs/>
                <w:color w:val="auto"/>
                <w:szCs w:val="21"/>
                <w:highlight w:val="none"/>
              </w:rPr>
            </w:pPr>
          </w:p>
        </w:tc>
        <w:tc>
          <w:tcPr>
            <w:tcW w:w="1971" w:type="dxa"/>
          </w:tcPr>
          <w:p w14:paraId="4BB23A74">
            <w:pPr>
              <w:spacing w:line="360" w:lineRule="auto"/>
              <w:rPr>
                <w:rFonts w:hint="eastAsia" w:ascii="黑体" w:hAnsi="黑体" w:eastAsia="黑体" w:cs="黑体"/>
                <w:bCs/>
                <w:color w:val="auto"/>
                <w:szCs w:val="21"/>
                <w:highlight w:val="none"/>
              </w:rPr>
            </w:pPr>
          </w:p>
        </w:tc>
        <w:tc>
          <w:tcPr>
            <w:tcW w:w="1418" w:type="dxa"/>
          </w:tcPr>
          <w:p w14:paraId="0F7961FD">
            <w:pPr>
              <w:spacing w:line="360" w:lineRule="auto"/>
              <w:rPr>
                <w:rFonts w:hint="eastAsia" w:ascii="黑体" w:hAnsi="黑体" w:eastAsia="黑体" w:cs="黑体"/>
                <w:bCs/>
                <w:color w:val="auto"/>
                <w:szCs w:val="21"/>
                <w:highlight w:val="none"/>
              </w:rPr>
            </w:pPr>
          </w:p>
        </w:tc>
      </w:tr>
      <w:tr w14:paraId="6D47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5A86C2">
            <w:pPr>
              <w:spacing w:line="360" w:lineRule="auto"/>
              <w:rPr>
                <w:rFonts w:hint="eastAsia" w:ascii="黑体" w:hAnsi="黑体" w:eastAsia="黑体" w:cs="黑体"/>
                <w:bCs/>
                <w:color w:val="auto"/>
                <w:szCs w:val="21"/>
                <w:highlight w:val="none"/>
              </w:rPr>
            </w:pPr>
          </w:p>
        </w:tc>
        <w:tc>
          <w:tcPr>
            <w:tcW w:w="1811" w:type="dxa"/>
          </w:tcPr>
          <w:p w14:paraId="62F07FA4">
            <w:pPr>
              <w:spacing w:line="360" w:lineRule="auto"/>
              <w:rPr>
                <w:rFonts w:hint="eastAsia" w:ascii="黑体" w:hAnsi="黑体" w:eastAsia="黑体" w:cs="黑体"/>
                <w:bCs/>
                <w:color w:val="auto"/>
                <w:szCs w:val="21"/>
                <w:highlight w:val="none"/>
              </w:rPr>
            </w:pPr>
          </w:p>
        </w:tc>
        <w:tc>
          <w:tcPr>
            <w:tcW w:w="1440" w:type="dxa"/>
          </w:tcPr>
          <w:p w14:paraId="3F5D9523">
            <w:pPr>
              <w:spacing w:line="360" w:lineRule="auto"/>
              <w:rPr>
                <w:rFonts w:hint="eastAsia" w:ascii="黑体" w:hAnsi="黑体" w:eastAsia="黑体" w:cs="黑体"/>
                <w:bCs/>
                <w:color w:val="auto"/>
                <w:szCs w:val="21"/>
                <w:highlight w:val="none"/>
              </w:rPr>
            </w:pPr>
          </w:p>
        </w:tc>
        <w:tc>
          <w:tcPr>
            <w:tcW w:w="1440" w:type="dxa"/>
          </w:tcPr>
          <w:p w14:paraId="042F4266">
            <w:pPr>
              <w:spacing w:line="360" w:lineRule="auto"/>
              <w:rPr>
                <w:rFonts w:hint="eastAsia" w:ascii="黑体" w:hAnsi="黑体" w:eastAsia="黑体" w:cs="黑体"/>
                <w:bCs/>
                <w:color w:val="auto"/>
                <w:szCs w:val="21"/>
                <w:highlight w:val="none"/>
              </w:rPr>
            </w:pPr>
          </w:p>
        </w:tc>
        <w:tc>
          <w:tcPr>
            <w:tcW w:w="1971" w:type="dxa"/>
          </w:tcPr>
          <w:p w14:paraId="2412FF00">
            <w:pPr>
              <w:spacing w:line="360" w:lineRule="auto"/>
              <w:rPr>
                <w:rFonts w:hint="eastAsia" w:ascii="黑体" w:hAnsi="黑体" w:eastAsia="黑体" w:cs="黑体"/>
                <w:bCs/>
                <w:color w:val="auto"/>
                <w:szCs w:val="21"/>
                <w:highlight w:val="none"/>
              </w:rPr>
            </w:pPr>
          </w:p>
        </w:tc>
        <w:tc>
          <w:tcPr>
            <w:tcW w:w="1418" w:type="dxa"/>
          </w:tcPr>
          <w:p w14:paraId="07CD6278">
            <w:pPr>
              <w:spacing w:line="360" w:lineRule="auto"/>
              <w:rPr>
                <w:rFonts w:hint="eastAsia" w:ascii="黑体" w:hAnsi="黑体" w:eastAsia="黑体" w:cs="黑体"/>
                <w:bCs/>
                <w:color w:val="auto"/>
                <w:szCs w:val="21"/>
                <w:highlight w:val="none"/>
              </w:rPr>
            </w:pPr>
          </w:p>
        </w:tc>
      </w:tr>
      <w:tr w14:paraId="7004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1EDB32B">
            <w:pPr>
              <w:spacing w:line="360" w:lineRule="auto"/>
              <w:rPr>
                <w:rFonts w:hint="eastAsia" w:ascii="黑体" w:hAnsi="黑体" w:eastAsia="黑体" w:cs="黑体"/>
                <w:bCs/>
                <w:color w:val="auto"/>
                <w:szCs w:val="21"/>
                <w:highlight w:val="none"/>
              </w:rPr>
            </w:pPr>
          </w:p>
        </w:tc>
        <w:tc>
          <w:tcPr>
            <w:tcW w:w="1811" w:type="dxa"/>
          </w:tcPr>
          <w:p w14:paraId="76FF5C7F">
            <w:pPr>
              <w:spacing w:line="360" w:lineRule="auto"/>
              <w:rPr>
                <w:rFonts w:hint="eastAsia" w:ascii="黑体" w:hAnsi="黑体" w:eastAsia="黑体" w:cs="黑体"/>
                <w:bCs/>
                <w:color w:val="auto"/>
                <w:szCs w:val="21"/>
                <w:highlight w:val="none"/>
              </w:rPr>
            </w:pPr>
          </w:p>
        </w:tc>
        <w:tc>
          <w:tcPr>
            <w:tcW w:w="1440" w:type="dxa"/>
          </w:tcPr>
          <w:p w14:paraId="3D8C7936">
            <w:pPr>
              <w:spacing w:line="360" w:lineRule="auto"/>
              <w:rPr>
                <w:rFonts w:hint="eastAsia" w:ascii="黑体" w:hAnsi="黑体" w:eastAsia="黑体" w:cs="黑体"/>
                <w:bCs/>
                <w:color w:val="auto"/>
                <w:szCs w:val="21"/>
                <w:highlight w:val="none"/>
              </w:rPr>
            </w:pPr>
          </w:p>
        </w:tc>
        <w:tc>
          <w:tcPr>
            <w:tcW w:w="1440" w:type="dxa"/>
          </w:tcPr>
          <w:p w14:paraId="5112D6DF">
            <w:pPr>
              <w:spacing w:line="360" w:lineRule="auto"/>
              <w:rPr>
                <w:rFonts w:hint="eastAsia" w:ascii="黑体" w:hAnsi="黑体" w:eastAsia="黑体" w:cs="黑体"/>
                <w:bCs/>
                <w:color w:val="auto"/>
                <w:szCs w:val="21"/>
                <w:highlight w:val="none"/>
              </w:rPr>
            </w:pPr>
          </w:p>
        </w:tc>
        <w:tc>
          <w:tcPr>
            <w:tcW w:w="1971" w:type="dxa"/>
          </w:tcPr>
          <w:p w14:paraId="5ACA0313">
            <w:pPr>
              <w:spacing w:line="360" w:lineRule="auto"/>
              <w:rPr>
                <w:rFonts w:hint="eastAsia" w:ascii="黑体" w:hAnsi="黑体" w:eastAsia="黑体" w:cs="黑体"/>
                <w:bCs/>
                <w:color w:val="auto"/>
                <w:szCs w:val="21"/>
                <w:highlight w:val="none"/>
              </w:rPr>
            </w:pPr>
          </w:p>
        </w:tc>
        <w:tc>
          <w:tcPr>
            <w:tcW w:w="1418" w:type="dxa"/>
          </w:tcPr>
          <w:p w14:paraId="12E4D67B">
            <w:pPr>
              <w:spacing w:line="360" w:lineRule="auto"/>
              <w:rPr>
                <w:rFonts w:hint="eastAsia" w:ascii="黑体" w:hAnsi="黑体" w:eastAsia="黑体" w:cs="黑体"/>
                <w:bCs/>
                <w:color w:val="auto"/>
                <w:szCs w:val="21"/>
                <w:highlight w:val="none"/>
              </w:rPr>
            </w:pPr>
          </w:p>
        </w:tc>
      </w:tr>
      <w:tr w14:paraId="754A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9EC8A78">
            <w:pPr>
              <w:spacing w:line="360" w:lineRule="auto"/>
              <w:rPr>
                <w:rFonts w:hint="eastAsia" w:ascii="黑体" w:hAnsi="黑体" w:eastAsia="黑体" w:cs="黑体"/>
                <w:bCs/>
                <w:color w:val="auto"/>
                <w:szCs w:val="21"/>
                <w:highlight w:val="none"/>
              </w:rPr>
            </w:pPr>
          </w:p>
        </w:tc>
        <w:tc>
          <w:tcPr>
            <w:tcW w:w="1811" w:type="dxa"/>
          </w:tcPr>
          <w:p w14:paraId="5288DEDB">
            <w:pPr>
              <w:spacing w:line="360" w:lineRule="auto"/>
              <w:rPr>
                <w:rFonts w:hint="eastAsia" w:ascii="黑体" w:hAnsi="黑体" w:eastAsia="黑体" w:cs="黑体"/>
                <w:bCs/>
                <w:color w:val="auto"/>
                <w:szCs w:val="21"/>
                <w:highlight w:val="none"/>
              </w:rPr>
            </w:pPr>
          </w:p>
        </w:tc>
        <w:tc>
          <w:tcPr>
            <w:tcW w:w="1440" w:type="dxa"/>
          </w:tcPr>
          <w:p w14:paraId="67DA596A">
            <w:pPr>
              <w:spacing w:line="360" w:lineRule="auto"/>
              <w:rPr>
                <w:rFonts w:hint="eastAsia" w:ascii="黑体" w:hAnsi="黑体" w:eastAsia="黑体" w:cs="黑体"/>
                <w:bCs/>
                <w:color w:val="auto"/>
                <w:szCs w:val="21"/>
                <w:highlight w:val="none"/>
              </w:rPr>
            </w:pPr>
          </w:p>
        </w:tc>
        <w:tc>
          <w:tcPr>
            <w:tcW w:w="1440" w:type="dxa"/>
          </w:tcPr>
          <w:p w14:paraId="3EA519E4">
            <w:pPr>
              <w:spacing w:line="360" w:lineRule="auto"/>
              <w:rPr>
                <w:rFonts w:hint="eastAsia" w:ascii="黑体" w:hAnsi="黑体" w:eastAsia="黑体" w:cs="黑体"/>
                <w:bCs/>
                <w:color w:val="auto"/>
                <w:szCs w:val="21"/>
                <w:highlight w:val="none"/>
              </w:rPr>
            </w:pPr>
          </w:p>
        </w:tc>
        <w:tc>
          <w:tcPr>
            <w:tcW w:w="1971" w:type="dxa"/>
          </w:tcPr>
          <w:p w14:paraId="5EDF0642">
            <w:pPr>
              <w:spacing w:line="360" w:lineRule="auto"/>
              <w:rPr>
                <w:rFonts w:hint="eastAsia" w:ascii="黑体" w:hAnsi="黑体" w:eastAsia="黑体" w:cs="黑体"/>
                <w:bCs/>
                <w:color w:val="auto"/>
                <w:szCs w:val="21"/>
                <w:highlight w:val="none"/>
              </w:rPr>
            </w:pPr>
          </w:p>
        </w:tc>
        <w:tc>
          <w:tcPr>
            <w:tcW w:w="1418" w:type="dxa"/>
          </w:tcPr>
          <w:p w14:paraId="2D00084A">
            <w:pPr>
              <w:spacing w:line="360" w:lineRule="auto"/>
              <w:rPr>
                <w:rFonts w:hint="eastAsia" w:ascii="黑体" w:hAnsi="黑体" w:eastAsia="黑体" w:cs="黑体"/>
                <w:bCs/>
                <w:color w:val="auto"/>
                <w:szCs w:val="21"/>
                <w:highlight w:val="none"/>
              </w:rPr>
            </w:pPr>
          </w:p>
        </w:tc>
      </w:tr>
    </w:tbl>
    <w:p w14:paraId="52522F6C">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磋商响应方全称（加盖公章）：</w:t>
      </w:r>
    </w:p>
    <w:p w14:paraId="35F22BCF">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日期：</w:t>
      </w:r>
    </w:p>
    <w:p w14:paraId="26877B6B">
      <w:pPr>
        <w:snapToGrid w:val="0"/>
        <w:spacing w:before="120" w:after="120"/>
        <w:outlineLvl w:val="1"/>
        <w:rPr>
          <w:rFonts w:hint="eastAsia" w:ascii="黑体" w:hAnsi="黑体" w:eastAsia="黑体" w:cs="黑体"/>
          <w:b/>
          <w:color w:val="auto"/>
          <w:sz w:val="30"/>
          <w:szCs w:val="30"/>
          <w:highlight w:val="none"/>
        </w:rPr>
      </w:pPr>
      <w:r>
        <w:rPr>
          <w:rFonts w:hint="eastAsia" w:ascii="黑体" w:hAnsi="黑体" w:eastAsia="黑体" w:cs="黑体"/>
          <w:color w:val="auto"/>
          <w:sz w:val="30"/>
          <w:szCs w:val="20"/>
          <w:highlight w:val="none"/>
        </w:rPr>
        <w:br w:type="page"/>
      </w:r>
      <w:r>
        <w:rPr>
          <w:rFonts w:hint="eastAsia" w:ascii="黑体" w:hAnsi="黑体" w:eastAsia="黑体" w:cs="黑体"/>
          <w:b/>
          <w:color w:val="auto"/>
          <w:sz w:val="30"/>
          <w:szCs w:val="30"/>
          <w:highlight w:val="none"/>
        </w:rPr>
        <w:t xml:space="preserve">附件七：                </w:t>
      </w:r>
    </w:p>
    <w:p w14:paraId="36967BD5">
      <w:pPr>
        <w:snapToGrid w:val="0"/>
        <w:spacing w:before="120" w:after="120"/>
        <w:jc w:val="center"/>
        <w:outlineLvl w:val="1"/>
        <w:rPr>
          <w:rFonts w:hint="eastAsia" w:ascii="黑体" w:hAnsi="黑体" w:eastAsia="黑体" w:cs="黑体"/>
          <w:b/>
          <w:color w:val="auto"/>
          <w:spacing w:val="6"/>
          <w:sz w:val="32"/>
          <w:szCs w:val="32"/>
          <w:highlight w:val="none"/>
        </w:rPr>
      </w:pPr>
      <w:r>
        <w:rPr>
          <w:rFonts w:hint="eastAsia" w:ascii="黑体" w:hAnsi="黑体" w:eastAsia="黑体" w:cs="黑体"/>
          <w:b/>
          <w:color w:val="auto"/>
          <w:sz w:val="30"/>
          <w:szCs w:val="30"/>
          <w:highlight w:val="none"/>
        </w:rPr>
        <w:t>商务条款偏离表</w:t>
      </w:r>
    </w:p>
    <w:p w14:paraId="46196A8D">
      <w:pPr>
        <w:spacing w:line="360" w:lineRule="auto"/>
        <w:rPr>
          <w:rFonts w:hint="eastAsia" w:ascii="黑体" w:hAnsi="黑体" w:eastAsia="黑体" w:cs="黑体"/>
          <w:b/>
          <w:bCs/>
          <w:color w:val="auto"/>
          <w:szCs w:val="21"/>
          <w:highlight w:val="none"/>
        </w:rPr>
      </w:pPr>
      <w:r>
        <w:rPr>
          <w:rFonts w:hint="eastAsia" w:ascii="黑体" w:hAnsi="黑体" w:eastAsia="黑体" w:cs="黑体"/>
          <w:color w:val="auto"/>
          <w:szCs w:val="21"/>
          <w:highlight w:val="none"/>
        </w:rPr>
        <w:t xml:space="preserve">采购项目名称：                  采购编号：             </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3594"/>
        <w:gridCol w:w="3594"/>
        <w:gridCol w:w="1754"/>
      </w:tblGrid>
      <w:tr w14:paraId="2ECDF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8198AB3">
            <w:pPr>
              <w:spacing w:before="120" w:after="120"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3594" w:type="dxa"/>
            <w:tcBorders>
              <w:top w:val="single" w:color="auto" w:sz="4" w:space="0"/>
              <w:left w:val="single" w:color="auto" w:sz="4" w:space="0"/>
              <w:bottom w:val="single" w:color="auto" w:sz="4" w:space="0"/>
              <w:right w:val="single" w:color="auto" w:sz="4" w:space="0"/>
            </w:tcBorders>
            <w:vAlign w:val="center"/>
          </w:tcPr>
          <w:p w14:paraId="66EAC8F2">
            <w:pPr>
              <w:spacing w:before="120" w:after="120"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14:paraId="582BD689">
            <w:pPr>
              <w:spacing w:before="120" w:after="120"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14:paraId="24D231D1">
            <w:pPr>
              <w:spacing w:before="120" w:after="120"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偏离原因</w:t>
            </w:r>
          </w:p>
        </w:tc>
      </w:tr>
      <w:tr w14:paraId="0EC54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E600DCA">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35FDDAEC">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66C44FB9">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14334AB2">
            <w:pPr>
              <w:spacing w:before="120" w:after="120" w:line="360" w:lineRule="auto"/>
              <w:jc w:val="center"/>
              <w:rPr>
                <w:rFonts w:hint="eastAsia" w:ascii="黑体" w:hAnsi="黑体" w:eastAsia="黑体" w:cs="黑体"/>
                <w:color w:val="auto"/>
                <w:szCs w:val="21"/>
                <w:highlight w:val="none"/>
              </w:rPr>
            </w:pPr>
          </w:p>
        </w:tc>
      </w:tr>
      <w:tr w14:paraId="11012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0CF0D84">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62466667">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1D37B5F">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6930D250">
            <w:pPr>
              <w:spacing w:before="120" w:after="120" w:line="360" w:lineRule="auto"/>
              <w:jc w:val="center"/>
              <w:rPr>
                <w:rFonts w:hint="eastAsia" w:ascii="黑体" w:hAnsi="黑体" w:eastAsia="黑体" w:cs="黑体"/>
                <w:color w:val="auto"/>
                <w:szCs w:val="21"/>
                <w:highlight w:val="none"/>
              </w:rPr>
            </w:pPr>
          </w:p>
        </w:tc>
      </w:tr>
      <w:tr w14:paraId="6CFD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48E819F">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1A0F9970">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637E2E15">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7ABAD802">
            <w:pPr>
              <w:spacing w:before="120" w:after="120" w:line="360" w:lineRule="auto"/>
              <w:jc w:val="center"/>
              <w:rPr>
                <w:rFonts w:hint="eastAsia" w:ascii="黑体" w:hAnsi="黑体" w:eastAsia="黑体" w:cs="黑体"/>
                <w:color w:val="auto"/>
                <w:szCs w:val="21"/>
                <w:highlight w:val="none"/>
              </w:rPr>
            </w:pPr>
          </w:p>
        </w:tc>
      </w:tr>
      <w:tr w14:paraId="71236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BBB4FC3">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3BEFD45E">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7AB2DC88">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3AC34B10">
            <w:pPr>
              <w:spacing w:before="120" w:after="120" w:line="360" w:lineRule="auto"/>
              <w:jc w:val="center"/>
              <w:rPr>
                <w:rFonts w:hint="eastAsia" w:ascii="黑体" w:hAnsi="黑体" w:eastAsia="黑体" w:cs="黑体"/>
                <w:color w:val="auto"/>
                <w:szCs w:val="21"/>
                <w:highlight w:val="none"/>
              </w:rPr>
            </w:pPr>
          </w:p>
        </w:tc>
      </w:tr>
      <w:tr w14:paraId="17EB8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78577F1">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565762A5">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717024C9">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764032D8">
            <w:pPr>
              <w:spacing w:before="120" w:after="120" w:line="360" w:lineRule="auto"/>
              <w:jc w:val="center"/>
              <w:rPr>
                <w:rFonts w:hint="eastAsia" w:ascii="黑体" w:hAnsi="黑体" w:eastAsia="黑体" w:cs="黑体"/>
                <w:color w:val="auto"/>
                <w:szCs w:val="21"/>
                <w:highlight w:val="none"/>
              </w:rPr>
            </w:pPr>
          </w:p>
        </w:tc>
      </w:tr>
      <w:tr w14:paraId="1A5BD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13A87FE">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7D7FE659">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2EB4E4B0">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6CB5ED41">
            <w:pPr>
              <w:spacing w:before="120" w:after="120" w:line="360" w:lineRule="auto"/>
              <w:jc w:val="center"/>
              <w:rPr>
                <w:rFonts w:hint="eastAsia" w:ascii="黑体" w:hAnsi="黑体" w:eastAsia="黑体" w:cs="黑体"/>
                <w:color w:val="auto"/>
                <w:szCs w:val="21"/>
                <w:highlight w:val="none"/>
              </w:rPr>
            </w:pPr>
          </w:p>
        </w:tc>
      </w:tr>
      <w:tr w14:paraId="48014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00AC492">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824007C">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28338105">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5AE96CD7">
            <w:pPr>
              <w:spacing w:before="120" w:after="120" w:line="360" w:lineRule="auto"/>
              <w:jc w:val="center"/>
              <w:rPr>
                <w:rFonts w:hint="eastAsia" w:ascii="黑体" w:hAnsi="黑体" w:eastAsia="黑体" w:cs="黑体"/>
                <w:color w:val="auto"/>
                <w:szCs w:val="21"/>
                <w:highlight w:val="none"/>
              </w:rPr>
            </w:pPr>
          </w:p>
        </w:tc>
      </w:tr>
      <w:tr w14:paraId="34FB1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50C8F1A">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7DDAC251">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C5D9097">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3C80D1BD">
            <w:pPr>
              <w:spacing w:before="120" w:after="120" w:line="360" w:lineRule="auto"/>
              <w:jc w:val="center"/>
              <w:rPr>
                <w:rFonts w:hint="eastAsia" w:ascii="黑体" w:hAnsi="黑体" w:eastAsia="黑体" w:cs="黑体"/>
                <w:color w:val="auto"/>
                <w:szCs w:val="21"/>
                <w:highlight w:val="none"/>
              </w:rPr>
            </w:pPr>
          </w:p>
        </w:tc>
      </w:tr>
      <w:tr w14:paraId="11300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1F41FE5B">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1C7B423">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25567CB5">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01FAE501">
            <w:pPr>
              <w:spacing w:before="120" w:after="120" w:line="360" w:lineRule="auto"/>
              <w:jc w:val="center"/>
              <w:rPr>
                <w:rFonts w:hint="eastAsia" w:ascii="黑体" w:hAnsi="黑体" w:eastAsia="黑体" w:cs="黑体"/>
                <w:color w:val="auto"/>
                <w:szCs w:val="21"/>
                <w:highlight w:val="none"/>
              </w:rPr>
            </w:pPr>
          </w:p>
        </w:tc>
      </w:tr>
      <w:tr w14:paraId="2A1BB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9CF3AC7">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1E0EE65F">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3CA88A93">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28D90EDB">
            <w:pPr>
              <w:spacing w:before="120" w:after="120" w:line="360" w:lineRule="auto"/>
              <w:jc w:val="center"/>
              <w:rPr>
                <w:rFonts w:hint="eastAsia" w:ascii="黑体" w:hAnsi="黑体" w:eastAsia="黑体" w:cs="黑体"/>
                <w:color w:val="auto"/>
                <w:szCs w:val="21"/>
                <w:highlight w:val="none"/>
              </w:rPr>
            </w:pPr>
          </w:p>
        </w:tc>
      </w:tr>
      <w:tr w14:paraId="186D1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0580FB9C">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0414B3D">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23F04C83">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54B3FFE7">
            <w:pPr>
              <w:spacing w:before="120" w:after="120" w:line="360" w:lineRule="auto"/>
              <w:jc w:val="center"/>
              <w:rPr>
                <w:rFonts w:hint="eastAsia" w:ascii="黑体" w:hAnsi="黑体" w:eastAsia="黑体" w:cs="黑体"/>
                <w:color w:val="auto"/>
                <w:szCs w:val="21"/>
                <w:highlight w:val="none"/>
              </w:rPr>
            </w:pPr>
          </w:p>
        </w:tc>
      </w:tr>
      <w:tr w14:paraId="21250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B3B4693">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1C0F4115">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104087A4">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16A05D39">
            <w:pPr>
              <w:spacing w:before="120" w:after="120" w:line="360" w:lineRule="auto"/>
              <w:jc w:val="center"/>
              <w:rPr>
                <w:rFonts w:hint="eastAsia" w:ascii="黑体" w:hAnsi="黑体" w:eastAsia="黑体" w:cs="黑体"/>
                <w:color w:val="auto"/>
                <w:szCs w:val="21"/>
                <w:highlight w:val="none"/>
              </w:rPr>
            </w:pPr>
          </w:p>
        </w:tc>
      </w:tr>
      <w:tr w14:paraId="10804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3B6F194">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3C5E7416">
            <w:pPr>
              <w:spacing w:before="120" w:after="120" w:line="360" w:lineRule="auto"/>
              <w:jc w:val="center"/>
              <w:rPr>
                <w:rFonts w:hint="eastAsia" w:ascii="黑体" w:hAnsi="黑体" w:eastAsia="黑体" w:cs="黑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0E98481C">
            <w:pPr>
              <w:spacing w:before="120" w:after="120" w:line="360" w:lineRule="auto"/>
              <w:jc w:val="center"/>
              <w:rPr>
                <w:rFonts w:hint="eastAsia" w:ascii="黑体" w:hAnsi="黑体" w:eastAsia="黑体" w:cs="黑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03132507">
            <w:pPr>
              <w:spacing w:before="120" w:after="120" w:line="360" w:lineRule="auto"/>
              <w:jc w:val="center"/>
              <w:rPr>
                <w:rFonts w:hint="eastAsia" w:ascii="黑体" w:hAnsi="黑体" w:eastAsia="黑体" w:cs="黑体"/>
                <w:color w:val="auto"/>
                <w:szCs w:val="21"/>
                <w:highlight w:val="none"/>
              </w:rPr>
            </w:pPr>
          </w:p>
        </w:tc>
      </w:tr>
    </w:tbl>
    <w:p w14:paraId="2388E01A">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color w:val="auto"/>
          <w:sz w:val="24"/>
          <w:szCs w:val="24"/>
          <w:highlight w:val="none"/>
        </w:rPr>
        <w:t>注：本表格为</w:t>
      </w:r>
      <w:r>
        <w:rPr>
          <w:rFonts w:hint="eastAsia" w:ascii="黑体" w:hAnsi="黑体" w:eastAsia="黑体" w:cs="黑体"/>
          <w:b/>
          <w:bCs/>
          <w:color w:val="auto"/>
          <w:sz w:val="24"/>
          <w:szCs w:val="24"/>
          <w:highlight w:val="none"/>
        </w:rPr>
        <w:t>商务要求中除报价以外的其他要求，“偏离原因”项应填写“正偏离”或“负偏离”，填写“无偏离”或未填写项将视同完全响应采购文件要求，</w:t>
      </w:r>
      <w:r>
        <w:rPr>
          <w:rFonts w:hint="eastAsia" w:ascii="黑体" w:hAnsi="黑体" w:eastAsia="黑体" w:cs="黑体"/>
          <w:b/>
          <w:color w:val="auto"/>
          <w:sz w:val="24"/>
          <w:szCs w:val="24"/>
          <w:highlight w:val="none"/>
        </w:rPr>
        <w:t>此表可在不改变格式的情况下自行制作。</w:t>
      </w:r>
    </w:p>
    <w:p w14:paraId="550A061C">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磋商响应方全称（加盖公章）：</w:t>
      </w:r>
    </w:p>
    <w:p w14:paraId="7C9930A4">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日期：</w:t>
      </w:r>
    </w:p>
    <w:p w14:paraId="1BEC06EE">
      <w:pPr>
        <w:snapToGrid w:val="0"/>
        <w:spacing w:before="120" w:after="120"/>
        <w:jc w:val="left"/>
        <w:outlineLvl w:val="1"/>
        <w:rPr>
          <w:rFonts w:hint="eastAsia" w:ascii="黑体" w:hAnsi="黑体" w:eastAsia="黑体" w:cs="黑体"/>
          <w:b/>
          <w:color w:val="auto"/>
          <w:sz w:val="30"/>
          <w:szCs w:val="30"/>
          <w:highlight w:val="none"/>
        </w:rPr>
      </w:pPr>
      <w:r>
        <w:rPr>
          <w:rFonts w:hint="eastAsia" w:ascii="黑体" w:hAnsi="黑体" w:eastAsia="黑体" w:cs="黑体"/>
          <w:color w:val="auto"/>
          <w:sz w:val="24"/>
          <w:szCs w:val="20"/>
          <w:highlight w:val="none"/>
        </w:rPr>
        <w:br w:type="page"/>
      </w:r>
      <w:r>
        <w:rPr>
          <w:rFonts w:hint="eastAsia" w:ascii="黑体" w:hAnsi="黑体" w:eastAsia="黑体" w:cs="黑体"/>
          <w:b/>
          <w:color w:val="auto"/>
          <w:sz w:val="30"/>
          <w:szCs w:val="30"/>
          <w:highlight w:val="none"/>
        </w:rPr>
        <w:t xml:space="preserve">附件八：                   </w:t>
      </w:r>
    </w:p>
    <w:p w14:paraId="48D29BF9">
      <w:pPr>
        <w:snapToGrid w:val="0"/>
        <w:spacing w:before="120" w:after="120"/>
        <w:jc w:val="center"/>
        <w:outlineLvl w:val="1"/>
        <w:rPr>
          <w:rFonts w:hint="eastAsia" w:ascii="黑体" w:hAnsi="黑体" w:eastAsia="黑体" w:cs="黑体"/>
          <w:color w:val="auto"/>
          <w:szCs w:val="21"/>
          <w:highlight w:val="none"/>
        </w:rPr>
      </w:pPr>
      <w:r>
        <w:rPr>
          <w:rFonts w:hint="eastAsia" w:ascii="黑体" w:hAnsi="黑体" w:eastAsia="黑体" w:cs="黑体"/>
          <w:b/>
          <w:color w:val="auto"/>
          <w:sz w:val="30"/>
          <w:szCs w:val="30"/>
          <w:highlight w:val="none"/>
        </w:rPr>
        <w:t>技术偏离表</w:t>
      </w:r>
    </w:p>
    <w:p w14:paraId="52B66C2F">
      <w:pPr>
        <w:spacing w:line="360" w:lineRule="auto"/>
        <w:rPr>
          <w:rFonts w:hint="eastAsia" w:ascii="黑体" w:hAnsi="黑体" w:eastAsia="黑体" w:cs="黑体"/>
          <w:b/>
          <w:bCs/>
          <w:color w:val="auto"/>
          <w:szCs w:val="21"/>
          <w:highlight w:val="none"/>
        </w:rPr>
      </w:pPr>
      <w:r>
        <w:rPr>
          <w:rFonts w:hint="eastAsia" w:ascii="黑体" w:hAnsi="黑体" w:eastAsia="黑体" w:cs="黑体"/>
          <w:color w:val="auto"/>
          <w:szCs w:val="21"/>
          <w:highlight w:val="none"/>
        </w:rPr>
        <w:t xml:space="preserve">采购项目名称：                  采购编号：             </w:t>
      </w:r>
    </w:p>
    <w:tbl>
      <w:tblPr>
        <w:tblStyle w:val="6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14:paraId="737F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vAlign w:val="center"/>
          </w:tcPr>
          <w:p w14:paraId="3B6120EA">
            <w:pPr>
              <w:spacing w:line="360" w:lineRule="auto"/>
              <w:rPr>
                <w:rFonts w:hint="eastAsia" w:ascii="黑体" w:hAnsi="黑体" w:eastAsia="黑体" w:cs="黑体"/>
                <w:b/>
                <w:color w:val="auto"/>
                <w:szCs w:val="20"/>
                <w:highlight w:val="none"/>
              </w:rPr>
            </w:pPr>
            <w:r>
              <w:rPr>
                <w:rFonts w:hint="eastAsia" w:ascii="黑体" w:hAnsi="黑体" w:eastAsia="黑体" w:cs="黑体"/>
                <w:b/>
                <w:color w:val="auto"/>
                <w:szCs w:val="20"/>
                <w:highlight w:val="none"/>
              </w:rPr>
              <w:t>序 号</w:t>
            </w:r>
          </w:p>
        </w:tc>
        <w:tc>
          <w:tcPr>
            <w:tcW w:w="2008" w:type="dxa"/>
            <w:tcBorders>
              <w:top w:val="single" w:color="auto" w:sz="4" w:space="0"/>
              <w:left w:val="single" w:color="auto" w:sz="4" w:space="0"/>
              <w:bottom w:val="single" w:color="auto" w:sz="4" w:space="0"/>
              <w:right w:val="single" w:color="auto" w:sz="4" w:space="0"/>
            </w:tcBorders>
            <w:vAlign w:val="center"/>
          </w:tcPr>
          <w:p w14:paraId="183882AF">
            <w:pPr>
              <w:spacing w:line="360" w:lineRule="auto"/>
              <w:jc w:val="center"/>
              <w:rPr>
                <w:rFonts w:hint="eastAsia" w:ascii="黑体" w:hAnsi="黑体" w:eastAsia="黑体" w:cs="黑体"/>
                <w:b/>
                <w:color w:val="auto"/>
                <w:szCs w:val="20"/>
                <w:highlight w:val="none"/>
              </w:rPr>
            </w:pPr>
            <w:r>
              <w:rPr>
                <w:rFonts w:hint="eastAsia" w:ascii="黑体" w:hAnsi="黑体" w:eastAsia="黑体" w:cs="黑体"/>
                <w:b/>
                <w:color w:val="auto"/>
                <w:szCs w:val="20"/>
                <w:highlight w:val="none"/>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4AFA269A">
            <w:pPr>
              <w:spacing w:line="360" w:lineRule="auto"/>
              <w:jc w:val="center"/>
              <w:rPr>
                <w:rFonts w:hint="eastAsia" w:ascii="黑体" w:hAnsi="黑体" w:eastAsia="黑体" w:cs="黑体"/>
                <w:b/>
                <w:color w:val="auto"/>
                <w:szCs w:val="20"/>
                <w:highlight w:val="none"/>
              </w:rPr>
            </w:pPr>
            <w:r>
              <w:rPr>
                <w:rFonts w:hint="eastAsia" w:ascii="黑体" w:hAnsi="黑体" w:eastAsia="黑体" w:cs="黑体"/>
                <w:b/>
                <w:color w:val="auto"/>
                <w:szCs w:val="20"/>
                <w:highlight w:val="none"/>
              </w:rPr>
              <w:t>采购文件规范要求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79A7B02B">
            <w:pPr>
              <w:spacing w:line="360" w:lineRule="auto"/>
              <w:jc w:val="center"/>
              <w:rPr>
                <w:rFonts w:hint="eastAsia" w:ascii="黑体" w:hAnsi="黑体" w:eastAsia="黑体" w:cs="黑体"/>
                <w:b/>
                <w:color w:val="auto"/>
                <w:szCs w:val="20"/>
                <w:highlight w:val="none"/>
              </w:rPr>
            </w:pPr>
            <w:r>
              <w:rPr>
                <w:rFonts w:hint="eastAsia" w:ascii="黑体" w:hAnsi="黑体" w:eastAsia="黑体" w:cs="黑体"/>
                <w:b/>
                <w:color w:val="auto"/>
                <w:szCs w:val="20"/>
                <w:highlight w:val="none"/>
              </w:rPr>
              <w:t>采购响应文件对应规范</w:t>
            </w:r>
          </w:p>
        </w:tc>
        <w:tc>
          <w:tcPr>
            <w:tcW w:w="1788" w:type="dxa"/>
            <w:tcBorders>
              <w:top w:val="single" w:color="auto" w:sz="4" w:space="0"/>
              <w:left w:val="single" w:color="auto" w:sz="4" w:space="0"/>
              <w:bottom w:val="single" w:color="auto" w:sz="4" w:space="0"/>
              <w:right w:val="single" w:color="auto" w:sz="4" w:space="0"/>
            </w:tcBorders>
            <w:vAlign w:val="center"/>
          </w:tcPr>
          <w:p w14:paraId="311E53BD">
            <w:pPr>
              <w:spacing w:line="360" w:lineRule="auto"/>
              <w:ind w:firstLine="422" w:firstLineChars="200"/>
              <w:rPr>
                <w:rFonts w:hint="eastAsia" w:ascii="黑体" w:hAnsi="黑体" w:eastAsia="黑体" w:cs="黑体"/>
                <w:b/>
                <w:color w:val="auto"/>
                <w:szCs w:val="20"/>
                <w:highlight w:val="none"/>
              </w:rPr>
            </w:pPr>
            <w:r>
              <w:rPr>
                <w:rFonts w:hint="eastAsia" w:ascii="黑体" w:hAnsi="黑体" w:eastAsia="黑体" w:cs="黑体"/>
                <w:b/>
                <w:color w:val="auto"/>
                <w:szCs w:val="20"/>
                <w:highlight w:val="none"/>
              </w:rPr>
              <w:t>备 注</w:t>
            </w:r>
          </w:p>
        </w:tc>
      </w:tr>
      <w:tr w14:paraId="623E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4A23EF7">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0F5680A5">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0491F79D">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6ED4E1F4">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77ED3603">
            <w:pPr>
              <w:spacing w:line="360" w:lineRule="auto"/>
              <w:ind w:firstLine="420" w:firstLineChars="200"/>
              <w:rPr>
                <w:rFonts w:hint="eastAsia" w:ascii="黑体" w:hAnsi="黑体" w:eastAsia="黑体" w:cs="黑体"/>
                <w:color w:val="auto"/>
                <w:szCs w:val="20"/>
                <w:highlight w:val="none"/>
              </w:rPr>
            </w:pPr>
          </w:p>
        </w:tc>
      </w:tr>
      <w:tr w14:paraId="33E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02527A30">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31262A1A">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2029F6CD">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04EDC84E">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312A03CC">
            <w:pPr>
              <w:spacing w:line="360" w:lineRule="auto"/>
              <w:ind w:firstLine="420" w:firstLineChars="200"/>
              <w:rPr>
                <w:rFonts w:hint="eastAsia" w:ascii="黑体" w:hAnsi="黑体" w:eastAsia="黑体" w:cs="黑体"/>
                <w:color w:val="auto"/>
                <w:szCs w:val="20"/>
                <w:highlight w:val="none"/>
              </w:rPr>
            </w:pPr>
          </w:p>
        </w:tc>
      </w:tr>
      <w:tr w14:paraId="347B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35220E3">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40C470F8">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4B2E9F07">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5697AD94">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13EADF09">
            <w:pPr>
              <w:spacing w:line="360" w:lineRule="auto"/>
              <w:ind w:firstLine="420" w:firstLineChars="200"/>
              <w:rPr>
                <w:rFonts w:hint="eastAsia" w:ascii="黑体" w:hAnsi="黑体" w:eastAsia="黑体" w:cs="黑体"/>
                <w:color w:val="auto"/>
                <w:szCs w:val="20"/>
                <w:highlight w:val="none"/>
              </w:rPr>
            </w:pPr>
          </w:p>
        </w:tc>
      </w:tr>
      <w:tr w14:paraId="7307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FEFA5DE">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57BB225E">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41225F91">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5EB91B56">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7E5A8E07">
            <w:pPr>
              <w:spacing w:line="360" w:lineRule="auto"/>
              <w:ind w:firstLine="420" w:firstLineChars="200"/>
              <w:rPr>
                <w:rFonts w:hint="eastAsia" w:ascii="黑体" w:hAnsi="黑体" w:eastAsia="黑体" w:cs="黑体"/>
                <w:color w:val="auto"/>
                <w:szCs w:val="20"/>
                <w:highlight w:val="none"/>
              </w:rPr>
            </w:pPr>
          </w:p>
        </w:tc>
      </w:tr>
      <w:tr w14:paraId="3650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0429CB86">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5271855B">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6815DE4E">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29FE45E8">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1ACC9A85">
            <w:pPr>
              <w:spacing w:line="360" w:lineRule="auto"/>
              <w:ind w:firstLine="420" w:firstLineChars="200"/>
              <w:rPr>
                <w:rFonts w:hint="eastAsia" w:ascii="黑体" w:hAnsi="黑体" w:eastAsia="黑体" w:cs="黑体"/>
                <w:color w:val="auto"/>
                <w:szCs w:val="20"/>
                <w:highlight w:val="none"/>
              </w:rPr>
            </w:pPr>
          </w:p>
        </w:tc>
      </w:tr>
      <w:tr w14:paraId="1B6E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B512F48">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048FB773">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187D6589">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1DACF96F">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0FE9E7CD">
            <w:pPr>
              <w:spacing w:line="360" w:lineRule="auto"/>
              <w:ind w:firstLine="420" w:firstLineChars="200"/>
              <w:rPr>
                <w:rFonts w:hint="eastAsia" w:ascii="黑体" w:hAnsi="黑体" w:eastAsia="黑体" w:cs="黑体"/>
                <w:color w:val="auto"/>
                <w:szCs w:val="20"/>
                <w:highlight w:val="none"/>
              </w:rPr>
            </w:pPr>
          </w:p>
        </w:tc>
      </w:tr>
      <w:tr w14:paraId="0531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3833484">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0B829814">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2C10EEF0">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20AB4575">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65944BEE">
            <w:pPr>
              <w:spacing w:line="360" w:lineRule="auto"/>
              <w:ind w:firstLine="420" w:firstLineChars="200"/>
              <w:rPr>
                <w:rFonts w:hint="eastAsia" w:ascii="黑体" w:hAnsi="黑体" w:eastAsia="黑体" w:cs="黑体"/>
                <w:color w:val="auto"/>
                <w:szCs w:val="20"/>
                <w:highlight w:val="none"/>
              </w:rPr>
            </w:pPr>
          </w:p>
        </w:tc>
      </w:tr>
      <w:tr w14:paraId="0880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285827A">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36EB71AA">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01745D74">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6831E4AF">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5D1EFA98">
            <w:pPr>
              <w:spacing w:line="360" w:lineRule="auto"/>
              <w:ind w:firstLine="420" w:firstLineChars="200"/>
              <w:rPr>
                <w:rFonts w:hint="eastAsia" w:ascii="黑体" w:hAnsi="黑体" w:eastAsia="黑体" w:cs="黑体"/>
                <w:color w:val="auto"/>
                <w:szCs w:val="20"/>
                <w:highlight w:val="none"/>
              </w:rPr>
            </w:pPr>
          </w:p>
        </w:tc>
      </w:tr>
      <w:tr w14:paraId="54F6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46293153">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35560DDA">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415E2FB9">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5559A9A4">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6BCDE5D2">
            <w:pPr>
              <w:spacing w:line="360" w:lineRule="auto"/>
              <w:ind w:firstLine="420" w:firstLineChars="200"/>
              <w:rPr>
                <w:rFonts w:hint="eastAsia" w:ascii="黑体" w:hAnsi="黑体" w:eastAsia="黑体" w:cs="黑体"/>
                <w:color w:val="auto"/>
                <w:szCs w:val="20"/>
                <w:highlight w:val="none"/>
              </w:rPr>
            </w:pPr>
          </w:p>
        </w:tc>
      </w:tr>
      <w:tr w14:paraId="4783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4D9E3A5">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05FEF415">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20E67384">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43EA5709">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1019C412">
            <w:pPr>
              <w:spacing w:line="360" w:lineRule="auto"/>
              <w:ind w:firstLine="420" w:firstLineChars="200"/>
              <w:rPr>
                <w:rFonts w:hint="eastAsia" w:ascii="黑体" w:hAnsi="黑体" w:eastAsia="黑体" w:cs="黑体"/>
                <w:color w:val="auto"/>
                <w:szCs w:val="20"/>
                <w:highlight w:val="none"/>
              </w:rPr>
            </w:pPr>
          </w:p>
        </w:tc>
      </w:tr>
      <w:tr w14:paraId="6274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214A9F83">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46D626FA">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20A21C1D">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061D4F78">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2D7E5449">
            <w:pPr>
              <w:spacing w:line="360" w:lineRule="auto"/>
              <w:ind w:firstLine="420" w:firstLineChars="200"/>
              <w:rPr>
                <w:rFonts w:hint="eastAsia" w:ascii="黑体" w:hAnsi="黑体" w:eastAsia="黑体" w:cs="黑体"/>
                <w:color w:val="auto"/>
                <w:szCs w:val="20"/>
                <w:highlight w:val="none"/>
              </w:rPr>
            </w:pPr>
          </w:p>
        </w:tc>
      </w:tr>
      <w:tr w14:paraId="0D4D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F48BB20">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443F90A5">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559CD17F">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7C1DE0E1">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21491F96">
            <w:pPr>
              <w:spacing w:line="360" w:lineRule="auto"/>
              <w:ind w:firstLine="420" w:firstLineChars="200"/>
              <w:rPr>
                <w:rFonts w:hint="eastAsia" w:ascii="黑体" w:hAnsi="黑体" w:eastAsia="黑体" w:cs="黑体"/>
                <w:color w:val="auto"/>
                <w:szCs w:val="20"/>
                <w:highlight w:val="none"/>
              </w:rPr>
            </w:pPr>
          </w:p>
        </w:tc>
      </w:tr>
      <w:tr w14:paraId="1B78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0C556D0">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5DA059E1">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6BA4F15D">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31CC7AD1">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0C906B7C">
            <w:pPr>
              <w:spacing w:line="360" w:lineRule="auto"/>
              <w:ind w:firstLine="420" w:firstLineChars="200"/>
              <w:rPr>
                <w:rFonts w:hint="eastAsia" w:ascii="黑体" w:hAnsi="黑体" w:eastAsia="黑体" w:cs="黑体"/>
                <w:color w:val="auto"/>
                <w:szCs w:val="20"/>
                <w:highlight w:val="none"/>
              </w:rPr>
            </w:pPr>
          </w:p>
        </w:tc>
      </w:tr>
      <w:tr w14:paraId="33A9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E401271">
            <w:pPr>
              <w:spacing w:line="360" w:lineRule="auto"/>
              <w:ind w:firstLine="420" w:firstLineChars="200"/>
              <w:rPr>
                <w:rFonts w:hint="eastAsia" w:ascii="黑体" w:hAnsi="黑体" w:eastAsia="黑体" w:cs="黑体"/>
                <w:color w:val="auto"/>
                <w:szCs w:val="20"/>
                <w:highlight w:val="none"/>
              </w:rPr>
            </w:pPr>
          </w:p>
        </w:tc>
        <w:tc>
          <w:tcPr>
            <w:tcW w:w="2008" w:type="dxa"/>
            <w:tcBorders>
              <w:top w:val="single" w:color="auto" w:sz="4" w:space="0"/>
              <w:left w:val="single" w:color="auto" w:sz="4" w:space="0"/>
              <w:bottom w:val="single" w:color="auto" w:sz="4" w:space="0"/>
              <w:right w:val="single" w:color="auto" w:sz="4" w:space="0"/>
            </w:tcBorders>
          </w:tcPr>
          <w:p w14:paraId="2B105EF4">
            <w:pPr>
              <w:spacing w:line="360" w:lineRule="auto"/>
              <w:ind w:firstLine="420" w:firstLineChars="200"/>
              <w:rPr>
                <w:rFonts w:hint="eastAsia" w:ascii="黑体" w:hAnsi="黑体" w:eastAsia="黑体" w:cs="黑体"/>
                <w:color w:val="auto"/>
                <w:szCs w:val="20"/>
                <w:highlight w:val="none"/>
              </w:rPr>
            </w:pPr>
          </w:p>
        </w:tc>
        <w:tc>
          <w:tcPr>
            <w:tcW w:w="2583" w:type="dxa"/>
            <w:tcBorders>
              <w:top w:val="single" w:color="auto" w:sz="4" w:space="0"/>
              <w:left w:val="single" w:color="auto" w:sz="4" w:space="0"/>
              <w:bottom w:val="single" w:color="auto" w:sz="4" w:space="0"/>
              <w:right w:val="single" w:color="auto" w:sz="4" w:space="0"/>
            </w:tcBorders>
          </w:tcPr>
          <w:p w14:paraId="2E1791AE">
            <w:pPr>
              <w:spacing w:line="360" w:lineRule="auto"/>
              <w:ind w:firstLine="420" w:firstLineChars="200"/>
              <w:rPr>
                <w:rFonts w:hint="eastAsia" w:ascii="黑体" w:hAnsi="黑体" w:eastAsia="黑体" w:cs="黑体"/>
                <w:color w:val="auto"/>
                <w:szCs w:val="20"/>
                <w:highlight w:val="none"/>
              </w:rPr>
            </w:pPr>
          </w:p>
        </w:tc>
        <w:tc>
          <w:tcPr>
            <w:tcW w:w="2384" w:type="dxa"/>
            <w:tcBorders>
              <w:top w:val="single" w:color="auto" w:sz="4" w:space="0"/>
              <w:left w:val="single" w:color="auto" w:sz="4" w:space="0"/>
              <w:bottom w:val="single" w:color="auto" w:sz="4" w:space="0"/>
              <w:right w:val="single" w:color="auto" w:sz="4" w:space="0"/>
            </w:tcBorders>
          </w:tcPr>
          <w:p w14:paraId="593C8E49">
            <w:pPr>
              <w:spacing w:line="360" w:lineRule="auto"/>
              <w:ind w:firstLine="420" w:firstLineChars="200"/>
              <w:rPr>
                <w:rFonts w:hint="eastAsia" w:ascii="黑体" w:hAnsi="黑体" w:eastAsia="黑体" w:cs="黑体"/>
                <w:color w:val="auto"/>
                <w:szCs w:val="20"/>
                <w:highlight w:val="none"/>
              </w:rPr>
            </w:pPr>
          </w:p>
        </w:tc>
        <w:tc>
          <w:tcPr>
            <w:tcW w:w="1788" w:type="dxa"/>
            <w:tcBorders>
              <w:top w:val="single" w:color="auto" w:sz="4" w:space="0"/>
              <w:left w:val="single" w:color="auto" w:sz="4" w:space="0"/>
              <w:bottom w:val="single" w:color="auto" w:sz="4" w:space="0"/>
              <w:right w:val="single" w:color="auto" w:sz="4" w:space="0"/>
            </w:tcBorders>
          </w:tcPr>
          <w:p w14:paraId="032B6AB4">
            <w:pPr>
              <w:spacing w:line="360" w:lineRule="auto"/>
              <w:ind w:firstLine="420" w:firstLineChars="200"/>
              <w:rPr>
                <w:rFonts w:hint="eastAsia" w:ascii="黑体" w:hAnsi="黑体" w:eastAsia="黑体" w:cs="黑体"/>
                <w:color w:val="auto"/>
                <w:szCs w:val="20"/>
                <w:highlight w:val="none"/>
              </w:rPr>
            </w:pPr>
          </w:p>
        </w:tc>
      </w:tr>
    </w:tbl>
    <w:p w14:paraId="7BA03605">
      <w:pPr>
        <w:spacing w:line="360" w:lineRule="auto"/>
        <w:ind w:firstLine="420" w:firstLineChars="200"/>
        <w:rPr>
          <w:rFonts w:hint="eastAsia" w:ascii="黑体" w:hAnsi="黑体" w:eastAsia="黑体" w:cs="黑体"/>
          <w:color w:val="auto"/>
          <w:szCs w:val="20"/>
          <w:highlight w:val="none"/>
        </w:rPr>
      </w:pPr>
    </w:p>
    <w:p w14:paraId="4C455062">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color w:val="auto"/>
          <w:sz w:val="24"/>
          <w:szCs w:val="24"/>
          <w:highlight w:val="none"/>
        </w:rPr>
        <w:t>注：本表格为</w:t>
      </w:r>
      <w:r>
        <w:rPr>
          <w:rFonts w:hint="eastAsia" w:ascii="黑体" w:hAnsi="黑体" w:eastAsia="黑体" w:cs="黑体"/>
          <w:b/>
          <w:bCs/>
          <w:color w:val="auto"/>
          <w:sz w:val="24"/>
          <w:szCs w:val="24"/>
          <w:highlight w:val="none"/>
        </w:rPr>
        <w:t>商务要求中除报价以外的其他要求，“偏离原因”项应填写“正偏离”、“负偏离”或“无偏离”，未填写项将视同完全响应采购文件要求，</w:t>
      </w:r>
      <w:r>
        <w:rPr>
          <w:rFonts w:hint="eastAsia" w:ascii="黑体" w:hAnsi="黑体" w:eastAsia="黑体" w:cs="黑体"/>
          <w:b/>
          <w:color w:val="auto"/>
          <w:sz w:val="24"/>
          <w:szCs w:val="24"/>
          <w:highlight w:val="none"/>
        </w:rPr>
        <w:t>此表可在不改变格式的情况下自行制作。</w:t>
      </w:r>
    </w:p>
    <w:p w14:paraId="1A298F1A">
      <w:pPr>
        <w:spacing w:before="120" w:beforeLines="50" w:after="120" w:afterLines="50"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磋商响应方全称（加盖公章）：</w:t>
      </w:r>
    </w:p>
    <w:p w14:paraId="4763A792">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日期：</w:t>
      </w:r>
    </w:p>
    <w:p w14:paraId="55205EAF">
      <w:pPr>
        <w:spacing w:before="120" w:beforeLines="50" w:after="120" w:afterLines="50"/>
        <w:ind w:right="-10"/>
        <w:rPr>
          <w:rFonts w:hint="eastAsia" w:ascii="黑体" w:hAnsi="黑体" w:eastAsia="黑体" w:cs="黑体"/>
          <w:color w:val="auto"/>
          <w:sz w:val="24"/>
          <w:szCs w:val="20"/>
          <w:highlight w:val="none"/>
        </w:rPr>
      </w:pPr>
      <w:r>
        <w:rPr>
          <w:rFonts w:hint="eastAsia" w:ascii="黑体" w:hAnsi="黑体" w:eastAsia="黑体" w:cs="黑体"/>
          <w:color w:val="auto"/>
          <w:highlight w:val="none"/>
        </w:rPr>
        <w:br w:type="page"/>
      </w:r>
      <w:r>
        <w:rPr>
          <w:rFonts w:hint="eastAsia" w:ascii="黑体" w:hAnsi="黑体" w:eastAsia="黑体" w:cs="黑体"/>
          <w:b/>
          <w:color w:val="auto"/>
          <w:sz w:val="30"/>
          <w:szCs w:val="30"/>
          <w:highlight w:val="none"/>
        </w:rPr>
        <w:t>附件九：</w:t>
      </w:r>
    </w:p>
    <w:p w14:paraId="55DD46D3">
      <w:pPr>
        <w:spacing w:before="120" w:beforeLines="50" w:after="120" w:afterLines="50" w:line="400" w:lineRule="exact"/>
        <w:jc w:val="center"/>
        <w:rPr>
          <w:rFonts w:hint="eastAsia" w:ascii="黑体" w:hAnsi="黑体" w:eastAsia="黑体" w:cs="黑体"/>
          <w:b/>
          <w:bCs/>
          <w:color w:val="auto"/>
          <w:sz w:val="30"/>
          <w:szCs w:val="20"/>
          <w:highlight w:val="none"/>
        </w:rPr>
      </w:pPr>
      <w:r>
        <w:rPr>
          <w:rFonts w:hint="eastAsia" w:ascii="黑体" w:hAnsi="黑体" w:eastAsia="黑体" w:cs="黑体"/>
          <w:b/>
          <w:bCs/>
          <w:color w:val="auto"/>
          <w:sz w:val="30"/>
          <w:szCs w:val="20"/>
          <w:highlight w:val="none"/>
        </w:rPr>
        <w:t>项目实施方案</w:t>
      </w:r>
    </w:p>
    <w:p w14:paraId="24F2F208">
      <w:pPr>
        <w:spacing w:before="120" w:beforeLines="50" w:after="120" w:afterLines="50" w:line="400" w:lineRule="exact"/>
        <w:rPr>
          <w:rFonts w:hint="eastAsia" w:ascii="黑体" w:hAnsi="黑体" w:eastAsia="黑体" w:cs="黑体"/>
          <w:b/>
          <w:bCs/>
          <w:color w:val="auto"/>
          <w:sz w:val="30"/>
          <w:szCs w:val="20"/>
          <w:highlight w:val="none"/>
        </w:rPr>
      </w:pPr>
      <w:r>
        <w:rPr>
          <w:rFonts w:hint="eastAsia" w:ascii="黑体" w:hAnsi="黑体" w:eastAsia="黑体" w:cs="黑体"/>
          <w:color w:val="auto"/>
          <w:szCs w:val="21"/>
          <w:highlight w:val="none"/>
        </w:rPr>
        <w:t xml:space="preserve">采购项目名称：                             采购编号：            </w:t>
      </w:r>
    </w:p>
    <w:p w14:paraId="173BED88">
      <w:pPr>
        <w:spacing w:before="120" w:beforeLines="50" w:after="120" w:afterLines="50" w:line="400" w:lineRule="exact"/>
        <w:rPr>
          <w:rFonts w:hint="eastAsia" w:ascii="黑体" w:hAnsi="黑体" w:eastAsia="黑体" w:cs="黑体"/>
          <w:color w:val="auto"/>
          <w:szCs w:val="21"/>
          <w:highlight w:val="none"/>
        </w:rPr>
      </w:pPr>
    </w:p>
    <w:p w14:paraId="71143EF7">
      <w:pPr>
        <w:spacing w:before="120" w:beforeLines="50" w:after="120" w:afterLines="50" w:line="400" w:lineRule="exact"/>
        <w:rPr>
          <w:rFonts w:hint="eastAsia" w:ascii="黑体" w:hAnsi="黑体" w:eastAsia="黑体" w:cs="黑体"/>
          <w:color w:val="auto"/>
          <w:szCs w:val="21"/>
          <w:highlight w:val="none"/>
        </w:rPr>
      </w:pPr>
    </w:p>
    <w:p w14:paraId="30C06B4A">
      <w:pPr>
        <w:spacing w:before="120" w:beforeLines="50" w:after="120" w:afterLines="50" w:line="400" w:lineRule="exact"/>
        <w:rPr>
          <w:rFonts w:hint="eastAsia" w:ascii="黑体" w:hAnsi="黑体" w:eastAsia="黑体" w:cs="黑体"/>
          <w:color w:val="auto"/>
          <w:szCs w:val="21"/>
          <w:highlight w:val="none"/>
        </w:rPr>
      </w:pPr>
    </w:p>
    <w:p w14:paraId="60E0BC8A">
      <w:pPr>
        <w:spacing w:before="120" w:beforeLines="50" w:after="120" w:afterLines="50" w:line="400" w:lineRule="exact"/>
        <w:rPr>
          <w:rFonts w:hint="eastAsia" w:ascii="黑体" w:hAnsi="黑体" w:eastAsia="黑体" w:cs="黑体"/>
          <w:color w:val="auto"/>
          <w:szCs w:val="21"/>
          <w:highlight w:val="none"/>
        </w:rPr>
      </w:pPr>
    </w:p>
    <w:p w14:paraId="28ADDEFD">
      <w:pPr>
        <w:spacing w:before="120" w:beforeLines="50" w:after="120" w:afterLines="50" w:line="400" w:lineRule="exact"/>
        <w:rPr>
          <w:rFonts w:hint="eastAsia" w:ascii="黑体" w:hAnsi="黑体" w:eastAsia="黑体" w:cs="黑体"/>
          <w:color w:val="auto"/>
          <w:szCs w:val="21"/>
          <w:highlight w:val="none"/>
        </w:rPr>
      </w:pPr>
    </w:p>
    <w:p w14:paraId="3150561F">
      <w:pPr>
        <w:spacing w:before="120" w:beforeLines="50" w:after="120" w:afterLines="50" w:line="400" w:lineRule="exact"/>
        <w:rPr>
          <w:rFonts w:hint="eastAsia" w:ascii="黑体" w:hAnsi="黑体" w:eastAsia="黑体" w:cs="黑体"/>
          <w:color w:val="auto"/>
          <w:szCs w:val="21"/>
          <w:highlight w:val="none"/>
        </w:rPr>
      </w:pPr>
    </w:p>
    <w:p w14:paraId="72049E4D">
      <w:pPr>
        <w:spacing w:before="120" w:beforeLines="50" w:after="120" w:afterLines="50" w:line="400" w:lineRule="exact"/>
        <w:rPr>
          <w:rFonts w:hint="eastAsia" w:ascii="黑体" w:hAnsi="黑体" w:eastAsia="黑体" w:cs="黑体"/>
          <w:color w:val="auto"/>
          <w:szCs w:val="21"/>
          <w:highlight w:val="none"/>
        </w:rPr>
      </w:pPr>
    </w:p>
    <w:p w14:paraId="3639F545">
      <w:pPr>
        <w:spacing w:before="120" w:beforeLines="50" w:after="120" w:afterLines="50" w:line="400" w:lineRule="exact"/>
        <w:rPr>
          <w:rFonts w:hint="eastAsia" w:ascii="黑体" w:hAnsi="黑体" w:eastAsia="黑体" w:cs="黑体"/>
          <w:color w:val="auto"/>
          <w:szCs w:val="21"/>
          <w:highlight w:val="none"/>
        </w:rPr>
      </w:pPr>
    </w:p>
    <w:p w14:paraId="6883374C">
      <w:pPr>
        <w:spacing w:before="120" w:beforeLines="50" w:after="120" w:afterLines="50" w:line="400" w:lineRule="exact"/>
        <w:rPr>
          <w:rFonts w:hint="eastAsia" w:ascii="黑体" w:hAnsi="黑体" w:eastAsia="黑体" w:cs="黑体"/>
          <w:color w:val="auto"/>
          <w:szCs w:val="21"/>
          <w:highlight w:val="none"/>
        </w:rPr>
      </w:pPr>
    </w:p>
    <w:p w14:paraId="0CED59A5">
      <w:pPr>
        <w:spacing w:before="120" w:beforeLines="50" w:after="120" w:afterLines="50" w:line="400" w:lineRule="exact"/>
        <w:rPr>
          <w:rFonts w:hint="eastAsia" w:ascii="黑体" w:hAnsi="黑体" w:eastAsia="黑体" w:cs="黑体"/>
          <w:color w:val="auto"/>
          <w:szCs w:val="21"/>
          <w:highlight w:val="none"/>
        </w:rPr>
      </w:pPr>
    </w:p>
    <w:p w14:paraId="0894CC29">
      <w:pPr>
        <w:spacing w:before="120" w:beforeLines="50" w:after="120" w:afterLines="50" w:line="400" w:lineRule="exact"/>
        <w:rPr>
          <w:rFonts w:hint="eastAsia" w:ascii="黑体" w:hAnsi="黑体" w:eastAsia="黑体" w:cs="黑体"/>
          <w:color w:val="auto"/>
          <w:szCs w:val="21"/>
          <w:highlight w:val="none"/>
        </w:rPr>
      </w:pPr>
    </w:p>
    <w:p w14:paraId="4F6903BB">
      <w:pPr>
        <w:spacing w:before="120" w:beforeLines="50" w:after="120" w:afterLines="50" w:line="400" w:lineRule="exact"/>
        <w:rPr>
          <w:rFonts w:hint="eastAsia" w:ascii="黑体" w:hAnsi="黑体" w:eastAsia="黑体" w:cs="黑体"/>
          <w:color w:val="auto"/>
          <w:szCs w:val="21"/>
          <w:highlight w:val="none"/>
        </w:rPr>
      </w:pPr>
    </w:p>
    <w:p w14:paraId="0AC0F7AD">
      <w:pPr>
        <w:spacing w:before="120" w:beforeLines="50" w:after="120" w:afterLines="50" w:line="400" w:lineRule="exact"/>
        <w:rPr>
          <w:rFonts w:hint="eastAsia" w:ascii="黑体" w:hAnsi="黑体" w:eastAsia="黑体" w:cs="黑体"/>
          <w:color w:val="auto"/>
          <w:szCs w:val="21"/>
          <w:highlight w:val="none"/>
        </w:rPr>
      </w:pPr>
      <w:r>
        <w:rPr>
          <w:rFonts w:hint="eastAsia" w:ascii="黑体" w:hAnsi="黑体" w:eastAsia="黑体" w:cs="黑体"/>
          <w:color w:val="auto"/>
          <w:szCs w:val="21"/>
          <w:highlight w:val="none"/>
        </w:rPr>
        <w:t>磋商响应方（盖章）：</w:t>
      </w:r>
    </w:p>
    <w:p w14:paraId="27EA5A0D">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日期：     </w:t>
      </w:r>
    </w:p>
    <w:p w14:paraId="648D7305">
      <w:pPr>
        <w:spacing w:before="120" w:beforeLines="50" w:after="120" w:afterLines="50"/>
        <w:ind w:right="-10"/>
        <w:rPr>
          <w:rFonts w:hint="eastAsia" w:ascii="黑体" w:hAnsi="黑体" w:eastAsia="黑体" w:cs="黑体"/>
          <w:color w:val="auto"/>
          <w:kern w:val="0"/>
          <w:sz w:val="24"/>
          <w:szCs w:val="20"/>
          <w:highlight w:val="none"/>
        </w:rPr>
      </w:pPr>
      <w:r>
        <w:rPr>
          <w:rFonts w:hint="eastAsia" w:ascii="黑体" w:hAnsi="黑体" w:eastAsia="黑体" w:cs="黑体"/>
          <w:color w:val="auto"/>
          <w:kern w:val="0"/>
          <w:szCs w:val="20"/>
          <w:highlight w:val="none"/>
        </w:rPr>
        <w:br w:type="page"/>
      </w:r>
      <w:r>
        <w:rPr>
          <w:rFonts w:hint="eastAsia" w:ascii="黑体" w:hAnsi="黑体" w:eastAsia="黑体" w:cs="黑体"/>
          <w:b/>
          <w:color w:val="auto"/>
          <w:sz w:val="30"/>
          <w:szCs w:val="30"/>
          <w:highlight w:val="none"/>
        </w:rPr>
        <w:t>附件十：</w:t>
      </w:r>
    </w:p>
    <w:p w14:paraId="21827FE7">
      <w:pPr>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技术资料</w:t>
      </w:r>
    </w:p>
    <w:p w14:paraId="267188C7">
      <w:pPr>
        <w:jc w:val="center"/>
        <w:rPr>
          <w:rFonts w:hint="eastAsia" w:ascii="黑体" w:hAnsi="黑体" w:eastAsia="黑体" w:cs="黑体"/>
          <w:b/>
          <w:color w:val="auto"/>
          <w:sz w:val="28"/>
          <w:szCs w:val="28"/>
          <w:highlight w:val="none"/>
        </w:rPr>
      </w:pPr>
    </w:p>
    <w:p w14:paraId="6C98F52F">
      <w:pPr>
        <w:jc w:val="center"/>
        <w:rPr>
          <w:rFonts w:hint="eastAsia" w:ascii="黑体" w:hAnsi="黑体" w:eastAsia="黑体" w:cs="黑体"/>
          <w:b/>
          <w:color w:val="auto"/>
          <w:sz w:val="28"/>
          <w:szCs w:val="28"/>
          <w:highlight w:val="none"/>
        </w:rPr>
      </w:pPr>
    </w:p>
    <w:p w14:paraId="4303036F">
      <w:pPr>
        <w:jc w:val="center"/>
        <w:rPr>
          <w:rFonts w:hint="eastAsia" w:ascii="黑体" w:hAnsi="黑体" w:eastAsia="黑体" w:cs="黑体"/>
          <w:b/>
          <w:color w:val="auto"/>
          <w:sz w:val="28"/>
          <w:szCs w:val="28"/>
          <w:highlight w:val="none"/>
        </w:rPr>
      </w:pPr>
    </w:p>
    <w:p w14:paraId="65A7A0CC">
      <w:pPr>
        <w:jc w:val="center"/>
        <w:rPr>
          <w:rFonts w:hint="eastAsia" w:ascii="黑体" w:hAnsi="黑体" w:eastAsia="黑体" w:cs="黑体"/>
          <w:b/>
          <w:color w:val="auto"/>
          <w:sz w:val="28"/>
          <w:szCs w:val="28"/>
          <w:highlight w:val="none"/>
        </w:rPr>
      </w:pPr>
    </w:p>
    <w:p w14:paraId="6AD0AC64">
      <w:pPr>
        <w:jc w:val="center"/>
        <w:rPr>
          <w:rFonts w:hint="eastAsia" w:ascii="黑体" w:hAnsi="黑体" w:eastAsia="黑体" w:cs="黑体"/>
          <w:b/>
          <w:color w:val="auto"/>
          <w:sz w:val="28"/>
          <w:szCs w:val="28"/>
          <w:highlight w:val="none"/>
        </w:rPr>
      </w:pPr>
    </w:p>
    <w:p w14:paraId="627262F3">
      <w:pPr>
        <w:jc w:val="center"/>
        <w:rPr>
          <w:rFonts w:hint="eastAsia" w:ascii="黑体" w:hAnsi="黑体" w:eastAsia="黑体" w:cs="黑体"/>
          <w:b/>
          <w:color w:val="auto"/>
          <w:sz w:val="28"/>
          <w:szCs w:val="28"/>
          <w:highlight w:val="none"/>
        </w:rPr>
      </w:pPr>
    </w:p>
    <w:p w14:paraId="594AF066">
      <w:pPr>
        <w:jc w:val="center"/>
        <w:rPr>
          <w:rFonts w:hint="eastAsia" w:ascii="黑体" w:hAnsi="黑体" w:eastAsia="黑体" w:cs="黑体"/>
          <w:b/>
          <w:color w:val="auto"/>
          <w:sz w:val="28"/>
          <w:szCs w:val="28"/>
          <w:highlight w:val="none"/>
        </w:rPr>
      </w:pPr>
    </w:p>
    <w:p w14:paraId="2AF55704">
      <w:pPr>
        <w:spacing w:line="500" w:lineRule="exact"/>
        <w:ind w:firstLine="1836" w:firstLineChars="656"/>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磋商响应方：</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（盖章）</w:t>
      </w:r>
    </w:p>
    <w:p w14:paraId="211805C1">
      <w:pPr>
        <w:spacing w:line="500" w:lineRule="exact"/>
        <w:ind w:firstLine="436" w:firstLineChars="156"/>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w:t>
      </w:r>
    </w:p>
    <w:p w14:paraId="31A173AA">
      <w:pPr>
        <w:spacing w:line="500" w:lineRule="exact"/>
        <w:ind w:firstLine="436" w:firstLineChars="156"/>
        <w:rPr>
          <w:rFonts w:hint="eastAsia" w:ascii="黑体" w:hAnsi="黑体" w:eastAsia="黑体" w:cs="黑体"/>
          <w:color w:val="auto"/>
          <w:sz w:val="28"/>
          <w:szCs w:val="28"/>
          <w:highlight w:val="none"/>
        </w:rPr>
      </w:pPr>
    </w:p>
    <w:p w14:paraId="19DEFD3A">
      <w:pPr>
        <w:spacing w:line="500" w:lineRule="exact"/>
        <w:ind w:firstLine="436" w:firstLineChars="156"/>
        <w:jc w:val="center"/>
        <w:rPr>
          <w:rFonts w:hint="eastAsia" w:ascii="黑体" w:hAnsi="黑体" w:eastAsia="黑体" w:cs="黑体"/>
          <w:color w:val="auto"/>
          <w:sz w:val="28"/>
          <w:szCs w:val="28"/>
          <w:highlight w:val="none"/>
        </w:rPr>
      </w:pPr>
    </w:p>
    <w:p w14:paraId="1AA563F4">
      <w:pPr>
        <w:widowControl/>
        <w:overflowPunct w:val="0"/>
        <w:autoSpaceDE w:val="0"/>
        <w:autoSpaceDN w:val="0"/>
        <w:adjustRightInd w:val="0"/>
        <w:spacing w:line="360" w:lineRule="auto"/>
        <w:jc w:val="left"/>
        <w:textAlignment w:val="baseline"/>
        <w:rPr>
          <w:rFonts w:hint="eastAsia" w:ascii="黑体" w:hAnsi="黑体" w:eastAsia="黑体" w:cs="黑体"/>
          <w:color w:val="auto"/>
          <w:kern w:val="0"/>
          <w:szCs w:val="21"/>
          <w:highlight w:val="none"/>
        </w:rPr>
      </w:pPr>
      <w:r>
        <w:rPr>
          <w:rFonts w:hint="eastAsia" w:ascii="黑体" w:hAnsi="黑体" w:eastAsia="黑体" w:cs="黑体"/>
          <w:color w:val="auto"/>
          <w:kern w:val="0"/>
          <w:szCs w:val="20"/>
          <w:highlight w:val="none"/>
        </w:rPr>
        <w:t xml:space="preserve">              日期：    年   月   日</w:t>
      </w:r>
    </w:p>
    <w:p w14:paraId="55F83EDD">
      <w:pPr>
        <w:rPr>
          <w:rFonts w:hint="eastAsia" w:ascii="黑体" w:hAnsi="黑体" w:eastAsia="黑体" w:cs="黑体"/>
          <w:color w:val="auto"/>
          <w:sz w:val="36"/>
          <w:szCs w:val="36"/>
          <w:highlight w:val="none"/>
        </w:rPr>
      </w:pPr>
    </w:p>
    <w:p w14:paraId="2F90791B">
      <w:pPr>
        <w:rPr>
          <w:rFonts w:hint="eastAsia" w:ascii="黑体" w:hAnsi="黑体" w:eastAsia="黑体" w:cs="黑体"/>
          <w:color w:val="auto"/>
          <w:highlight w:val="none"/>
        </w:rPr>
      </w:pPr>
    </w:p>
    <w:p w14:paraId="5482CBF6">
      <w:pPr>
        <w:rPr>
          <w:rFonts w:hint="eastAsia" w:ascii="黑体" w:hAnsi="黑体" w:eastAsia="黑体" w:cs="黑体"/>
          <w:color w:val="auto"/>
          <w:highlight w:val="none"/>
        </w:rPr>
      </w:pPr>
    </w:p>
    <w:p w14:paraId="38D77D53">
      <w:pPr>
        <w:rPr>
          <w:rFonts w:hint="eastAsia" w:ascii="黑体" w:hAnsi="黑体" w:eastAsia="黑体" w:cs="黑体"/>
          <w:color w:val="auto"/>
          <w:highlight w:val="none"/>
        </w:rPr>
      </w:pPr>
    </w:p>
    <w:p w14:paraId="3DEFB4A4">
      <w:pPr>
        <w:rPr>
          <w:rFonts w:hint="eastAsia" w:ascii="黑体" w:hAnsi="黑体" w:eastAsia="黑体" w:cs="黑体"/>
          <w:color w:val="auto"/>
          <w:highlight w:val="none"/>
        </w:rPr>
      </w:pPr>
    </w:p>
    <w:p w14:paraId="2FF1C91A">
      <w:pPr>
        <w:rPr>
          <w:rFonts w:hint="eastAsia" w:ascii="黑体" w:hAnsi="黑体" w:eastAsia="黑体" w:cs="黑体"/>
          <w:color w:val="auto"/>
          <w:highlight w:val="none"/>
        </w:rPr>
      </w:pPr>
    </w:p>
    <w:p w14:paraId="69BCB5E5">
      <w:pPr>
        <w:rPr>
          <w:rFonts w:hint="eastAsia" w:ascii="黑体" w:hAnsi="黑体" w:eastAsia="黑体" w:cs="黑体"/>
          <w:color w:val="auto"/>
          <w:highlight w:val="none"/>
        </w:rPr>
      </w:pPr>
    </w:p>
    <w:p w14:paraId="079B0F07">
      <w:pPr>
        <w:rPr>
          <w:rFonts w:hint="eastAsia" w:ascii="黑体" w:hAnsi="黑体" w:eastAsia="黑体" w:cs="黑体"/>
          <w:color w:val="auto"/>
          <w:highlight w:val="none"/>
        </w:rPr>
      </w:pPr>
    </w:p>
    <w:p w14:paraId="629C242E">
      <w:pPr>
        <w:rPr>
          <w:rFonts w:hint="eastAsia" w:ascii="黑体" w:hAnsi="黑体" w:eastAsia="黑体" w:cs="黑体"/>
          <w:color w:val="auto"/>
          <w:highlight w:val="none"/>
        </w:rPr>
      </w:pPr>
    </w:p>
    <w:p w14:paraId="1B24F219">
      <w:pPr>
        <w:rPr>
          <w:rFonts w:hint="eastAsia" w:ascii="黑体" w:hAnsi="黑体" w:eastAsia="黑体" w:cs="黑体"/>
          <w:color w:val="auto"/>
          <w:highlight w:val="none"/>
        </w:rPr>
      </w:pPr>
    </w:p>
    <w:p w14:paraId="73686672">
      <w:pPr>
        <w:rPr>
          <w:rFonts w:hint="eastAsia" w:ascii="黑体" w:hAnsi="黑体" w:eastAsia="黑体" w:cs="黑体"/>
          <w:color w:val="auto"/>
          <w:highlight w:val="none"/>
        </w:rPr>
      </w:pPr>
    </w:p>
    <w:p w14:paraId="072F1A8E">
      <w:pPr>
        <w:rPr>
          <w:rFonts w:hint="eastAsia" w:ascii="黑体" w:hAnsi="黑体" w:eastAsia="黑体" w:cs="黑体"/>
          <w:color w:val="auto"/>
          <w:highlight w:val="none"/>
        </w:rPr>
      </w:pPr>
    </w:p>
    <w:p w14:paraId="351A65DF">
      <w:pPr>
        <w:rPr>
          <w:rFonts w:hint="eastAsia" w:ascii="黑体" w:hAnsi="黑体" w:eastAsia="黑体" w:cs="黑体"/>
          <w:color w:val="auto"/>
          <w:highlight w:val="none"/>
        </w:rPr>
      </w:pPr>
    </w:p>
    <w:p w14:paraId="50C2DCE6">
      <w:pPr>
        <w:rPr>
          <w:rFonts w:hint="eastAsia" w:ascii="黑体" w:hAnsi="黑体" w:eastAsia="黑体" w:cs="黑体"/>
          <w:color w:val="auto"/>
          <w:highlight w:val="none"/>
        </w:rPr>
      </w:pPr>
    </w:p>
    <w:p w14:paraId="5EA148EE">
      <w:pPr>
        <w:rPr>
          <w:rFonts w:hint="eastAsia" w:ascii="黑体" w:hAnsi="黑体" w:eastAsia="黑体" w:cs="黑体"/>
          <w:color w:val="auto"/>
          <w:highlight w:val="none"/>
        </w:rPr>
      </w:pPr>
    </w:p>
    <w:p w14:paraId="6C77C972">
      <w:pPr>
        <w:rPr>
          <w:rFonts w:hint="eastAsia" w:ascii="黑体" w:hAnsi="黑体" w:eastAsia="黑体" w:cs="黑体"/>
          <w:color w:val="auto"/>
          <w:highlight w:val="none"/>
        </w:rPr>
      </w:pPr>
    </w:p>
    <w:p w14:paraId="4A780556">
      <w:pPr>
        <w:rPr>
          <w:rFonts w:hint="eastAsia" w:ascii="黑体" w:hAnsi="黑体" w:eastAsia="黑体" w:cs="黑体"/>
          <w:color w:val="auto"/>
          <w:highlight w:val="none"/>
        </w:rPr>
      </w:pPr>
    </w:p>
    <w:p w14:paraId="797195DF">
      <w:pPr>
        <w:rPr>
          <w:rFonts w:hint="eastAsia" w:ascii="黑体" w:hAnsi="黑体" w:eastAsia="黑体" w:cs="黑体"/>
          <w:color w:val="auto"/>
          <w:highlight w:val="none"/>
        </w:rPr>
      </w:pPr>
    </w:p>
    <w:p w14:paraId="158F7FDB">
      <w:pPr>
        <w:rPr>
          <w:rFonts w:hint="eastAsia" w:ascii="黑体" w:hAnsi="黑体" w:eastAsia="黑体" w:cs="黑体"/>
          <w:color w:val="auto"/>
          <w:highlight w:val="none"/>
        </w:rPr>
      </w:pPr>
    </w:p>
    <w:p w14:paraId="3D28A124">
      <w:pPr>
        <w:rPr>
          <w:rFonts w:hint="eastAsia" w:ascii="黑体" w:hAnsi="黑体" w:eastAsia="黑体" w:cs="黑体"/>
          <w:color w:val="auto"/>
          <w:highlight w:val="none"/>
        </w:rPr>
      </w:pPr>
    </w:p>
    <w:p w14:paraId="5ABABED7">
      <w:pPr>
        <w:rPr>
          <w:rFonts w:hint="eastAsia" w:ascii="黑体" w:hAnsi="黑体" w:eastAsia="黑体" w:cs="黑体"/>
          <w:color w:val="auto"/>
          <w:highlight w:val="none"/>
        </w:rPr>
      </w:pPr>
    </w:p>
    <w:p w14:paraId="49381300">
      <w:pPr>
        <w:rPr>
          <w:rFonts w:hint="eastAsia" w:ascii="黑体" w:hAnsi="黑体" w:eastAsia="黑体" w:cs="黑体"/>
          <w:color w:val="auto"/>
          <w:highlight w:val="none"/>
        </w:rPr>
      </w:pPr>
    </w:p>
    <w:p w14:paraId="073DB920">
      <w:pPr>
        <w:rPr>
          <w:rFonts w:hint="eastAsia" w:ascii="黑体" w:hAnsi="黑体" w:eastAsia="黑体" w:cs="黑体"/>
          <w:color w:val="auto"/>
          <w:highlight w:val="none"/>
        </w:rPr>
      </w:pPr>
    </w:p>
    <w:p w14:paraId="65F3B719">
      <w:pPr>
        <w:rPr>
          <w:rFonts w:hint="eastAsia" w:ascii="黑体" w:hAnsi="黑体" w:eastAsia="黑体" w:cs="黑体"/>
          <w:color w:val="auto"/>
          <w:highlight w:val="none"/>
        </w:rPr>
      </w:pPr>
    </w:p>
    <w:p w14:paraId="51C415F1">
      <w:pPr>
        <w:rPr>
          <w:rFonts w:hint="eastAsia" w:ascii="黑体" w:hAnsi="黑体" w:eastAsia="黑体" w:cs="黑体"/>
          <w:color w:val="auto"/>
          <w:highlight w:val="none"/>
        </w:rPr>
      </w:pPr>
    </w:p>
    <w:p w14:paraId="6A8AB2EA">
      <w:pPr>
        <w:rPr>
          <w:rFonts w:hint="eastAsia" w:ascii="黑体" w:hAnsi="黑体" w:eastAsia="黑体" w:cs="黑体"/>
          <w:color w:val="auto"/>
          <w:highlight w:val="none"/>
        </w:rPr>
      </w:pPr>
    </w:p>
    <w:p w14:paraId="65FE9837">
      <w:pPr>
        <w:rPr>
          <w:rFonts w:hint="eastAsia" w:ascii="黑体" w:hAnsi="黑体" w:eastAsia="黑体" w:cs="黑体"/>
          <w:color w:val="auto"/>
          <w:highlight w:val="none"/>
        </w:rPr>
      </w:pPr>
    </w:p>
    <w:p w14:paraId="732274AE">
      <w:pPr>
        <w:rPr>
          <w:rFonts w:hint="eastAsia" w:ascii="黑体" w:hAnsi="黑体" w:eastAsia="黑体" w:cs="黑体"/>
          <w:color w:val="auto"/>
          <w:highlight w:val="none"/>
        </w:rPr>
      </w:pPr>
    </w:p>
    <w:p w14:paraId="0BE33D56">
      <w:pPr>
        <w:rPr>
          <w:rFonts w:hint="eastAsia" w:ascii="黑体" w:hAnsi="黑体" w:eastAsia="黑体" w:cs="黑体"/>
          <w:color w:val="auto"/>
          <w:highlight w:val="none"/>
        </w:rPr>
      </w:pPr>
    </w:p>
    <w:p w14:paraId="27B4C51D">
      <w:pPr>
        <w:tabs>
          <w:tab w:val="left" w:pos="540"/>
        </w:tabs>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附件十一：</w:t>
      </w:r>
    </w:p>
    <w:p w14:paraId="5CFABE34">
      <w:pPr>
        <w:tabs>
          <w:tab w:val="left" w:pos="540"/>
        </w:tabs>
        <w:jc w:val="center"/>
        <w:rPr>
          <w:rFonts w:hint="eastAsia" w:ascii="黑体" w:hAnsi="黑体" w:eastAsia="黑体" w:cs="黑体"/>
          <w:b/>
          <w:color w:val="auto"/>
          <w:sz w:val="30"/>
          <w:szCs w:val="30"/>
          <w:highlight w:val="none"/>
        </w:rPr>
      </w:pPr>
      <w:r>
        <w:rPr>
          <w:rFonts w:hint="eastAsia" w:ascii="黑体" w:hAnsi="黑体" w:eastAsia="黑体" w:cs="黑体"/>
          <w:b/>
          <w:color w:val="auto"/>
          <w:sz w:val="28"/>
          <w:szCs w:val="28"/>
          <w:highlight w:val="none"/>
        </w:rPr>
        <w:t>售后服务方案</w:t>
      </w:r>
    </w:p>
    <w:p w14:paraId="1A5FB479">
      <w:pPr>
        <w:tabs>
          <w:tab w:val="left" w:pos="540"/>
        </w:tabs>
        <w:rPr>
          <w:rFonts w:hint="eastAsia" w:ascii="黑体" w:hAnsi="黑体" w:eastAsia="黑体" w:cs="黑体"/>
          <w:b/>
          <w:color w:val="auto"/>
          <w:sz w:val="30"/>
          <w:szCs w:val="30"/>
          <w:highlight w:val="none"/>
        </w:rPr>
      </w:pPr>
    </w:p>
    <w:p w14:paraId="649B48CB">
      <w:pPr>
        <w:tabs>
          <w:tab w:val="left" w:pos="540"/>
        </w:tabs>
        <w:rPr>
          <w:rFonts w:hint="eastAsia" w:ascii="黑体" w:hAnsi="黑体" w:eastAsia="黑体" w:cs="黑体"/>
          <w:b/>
          <w:color w:val="auto"/>
          <w:sz w:val="30"/>
          <w:szCs w:val="30"/>
          <w:highlight w:val="none"/>
        </w:rPr>
      </w:pPr>
    </w:p>
    <w:p w14:paraId="34446E7C">
      <w:pPr>
        <w:spacing w:line="50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售后服务内容格式自拟，主要根据采购需求的要求。</w:t>
      </w:r>
    </w:p>
    <w:p w14:paraId="404F639D">
      <w:pPr>
        <w:spacing w:line="500" w:lineRule="exact"/>
        <w:rPr>
          <w:rFonts w:hint="eastAsia" w:ascii="黑体" w:hAnsi="黑体" w:eastAsia="黑体" w:cs="黑体"/>
          <w:color w:val="auto"/>
          <w:sz w:val="28"/>
          <w:szCs w:val="28"/>
          <w:highlight w:val="none"/>
        </w:rPr>
      </w:pPr>
    </w:p>
    <w:p w14:paraId="40AD4C56">
      <w:pPr>
        <w:spacing w:line="500" w:lineRule="exact"/>
        <w:rPr>
          <w:rFonts w:hint="eastAsia" w:ascii="黑体" w:hAnsi="黑体" w:eastAsia="黑体" w:cs="黑体"/>
          <w:color w:val="auto"/>
          <w:sz w:val="28"/>
          <w:szCs w:val="28"/>
          <w:highlight w:val="none"/>
        </w:rPr>
      </w:pPr>
    </w:p>
    <w:p w14:paraId="535651F6">
      <w:pPr>
        <w:spacing w:line="500" w:lineRule="exact"/>
        <w:rPr>
          <w:rFonts w:hint="eastAsia" w:ascii="黑体" w:hAnsi="黑体" w:eastAsia="黑体" w:cs="黑体"/>
          <w:color w:val="auto"/>
          <w:sz w:val="28"/>
          <w:szCs w:val="28"/>
          <w:highlight w:val="none"/>
        </w:rPr>
      </w:pPr>
    </w:p>
    <w:p w14:paraId="31933897">
      <w:pPr>
        <w:spacing w:line="500" w:lineRule="exact"/>
        <w:rPr>
          <w:rFonts w:hint="eastAsia" w:ascii="黑体" w:hAnsi="黑体" w:eastAsia="黑体" w:cs="黑体"/>
          <w:color w:val="auto"/>
          <w:sz w:val="28"/>
          <w:szCs w:val="28"/>
          <w:highlight w:val="none"/>
        </w:rPr>
      </w:pPr>
    </w:p>
    <w:p w14:paraId="77EEB3BF">
      <w:pPr>
        <w:spacing w:line="500" w:lineRule="exact"/>
        <w:rPr>
          <w:rFonts w:hint="eastAsia" w:ascii="黑体" w:hAnsi="黑体" w:eastAsia="黑体" w:cs="黑体"/>
          <w:color w:val="auto"/>
          <w:sz w:val="28"/>
          <w:szCs w:val="28"/>
          <w:highlight w:val="none"/>
        </w:rPr>
      </w:pPr>
    </w:p>
    <w:p w14:paraId="1B729DC0">
      <w:pPr>
        <w:spacing w:line="500" w:lineRule="exact"/>
        <w:rPr>
          <w:rFonts w:hint="eastAsia" w:ascii="黑体" w:hAnsi="黑体" w:eastAsia="黑体" w:cs="黑体"/>
          <w:color w:val="auto"/>
          <w:sz w:val="28"/>
          <w:szCs w:val="28"/>
          <w:highlight w:val="none"/>
        </w:rPr>
      </w:pPr>
    </w:p>
    <w:p w14:paraId="171A8FDE">
      <w:pPr>
        <w:spacing w:line="500" w:lineRule="exact"/>
        <w:rPr>
          <w:rFonts w:hint="eastAsia" w:ascii="黑体" w:hAnsi="黑体" w:eastAsia="黑体" w:cs="黑体"/>
          <w:color w:val="auto"/>
          <w:sz w:val="28"/>
          <w:szCs w:val="28"/>
          <w:highlight w:val="none"/>
        </w:rPr>
      </w:pPr>
    </w:p>
    <w:p w14:paraId="710DE534">
      <w:pPr>
        <w:spacing w:line="500" w:lineRule="exac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响应供应商名称（签章）：</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 xml:space="preserve">   </w:t>
      </w:r>
    </w:p>
    <w:p w14:paraId="3D1EE684">
      <w:pPr>
        <w:spacing w:line="500" w:lineRule="exac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日期：          年      月     日</w:t>
      </w:r>
    </w:p>
    <w:p w14:paraId="657E1BB6">
      <w:pPr>
        <w:tabs>
          <w:tab w:val="left" w:pos="540"/>
        </w:tabs>
        <w:rPr>
          <w:rFonts w:hint="eastAsia" w:ascii="黑体" w:hAnsi="黑体" w:eastAsia="黑体" w:cs="黑体"/>
          <w:b/>
          <w:color w:val="auto"/>
          <w:sz w:val="30"/>
          <w:szCs w:val="30"/>
          <w:highlight w:val="none"/>
        </w:rPr>
      </w:pPr>
    </w:p>
    <w:p w14:paraId="31F9F314">
      <w:pPr>
        <w:tabs>
          <w:tab w:val="left" w:pos="540"/>
        </w:tabs>
        <w:rPr>
          <w:rFonts w:hint="eastAsia" w:ascii="黑体" w:hAnsi="黑体" w:eastAsia="黑体" w:cs="黑体"/>
          <w:b/>
          <w:color w:val="auto"/>
          <w:sz w:val="30"/>
          <w:szCs w:val="30"/>
          <w:highlight w:val="none"/>
        </w:rPr>
      </w:pPr>
    </w:p>
    <w:p w14:paraId="5CEF1790">
      <w:pPr>
        <w:tabs>
          <w:tab w:val="left" w:pos="540"/>
        </w:tabs>
        <w:rPr>
          <w:rFonts w:hint="eastAsia" w:ascii="黑体" w:hAnsi="黑体" w:eastAsia="黑体" w:cs="黑体"/>
          <w:b/>
          <w:color w:val="auto"/>
          <w:sz w:val="30"/>
          <w:szCs w:val="30"/>
          <w:highlight w:val="none"/>
        </w:rPr>
      </w:pPr>
    </w:p>
    <w:p w14:paraId="5B67CC39">
      <w:pPr>
        <w:tabs>
          <w:tab w:val="left" w:pos="540"/>
        </w:tabs>
        <w:rPr>
          <w:rFonts w:hint="eastAsia" w:ascii="黑体" w:hAnsi="黑体" w:eastAsia="黑体" w:cs="黑体"/>
          <w:b/>
          <w:color w:val="auto"/>
          <w:sz w:val="30"/>
          <w:szCs w:val="30"/>
          <w:highlight w:val="none"/>
        </w:rPr>
      </w:pPr>
    </w:p>
    <w:p w14:paraId="3812898A">
      <w:pPr>
        <w:tabs>
          <w:tab w:val="left" w:pos="540"/>
        </w:tabs>
        <w:rPr>
          <w:rFonts w:hint="eastAsia" w:ascii="黑体" w:hAnsi="黑体" w:eastAsia="黑体" w:cs="黑体"/>
          <w:b/>
          <w:color w:val="auto"/>
          <w:sz w:val="30"/>
          <w:szCs w:val="30"/>
          <w:highlight w:val="none"/>
        </w:rPr>
      </w:pPr>
    </w:p>
    <w:p w14:paraId="3A333D03">
      <w:pPr>
        <w:tabs>
          <w:tab w:val="left" w:pos="540"/>
        </w:tabs>
        <w:rPr>
          <w:rFonts w:hint="eastAsia" w:ascii="黑体" w:hAnsi="黑体" w:eastAsia="黑体" w:cs="黑体"/>
          <w:b/>
          <w:color w:val="auto"/>
          <w:sz w:val="30"/>
          <w:szCs w:val="30"/>
          <w:highlight w:val="none"/>
        </w:rPr>
      </w:pPr>
    </w:p>
    <w:p w14:paraId="5AB879AD">
      <w:pPr>
        <w:tabs>
          <w:tab w:val="left" w:pos="540"/>
        </w:tabs>
        <w:rPr>
          <w:rFonts w:hint="eastAsia" w:ascii="黑体" w:hAnsi="黑体" w:eastAsia="黑体" w:cs="黑体"/>
          <w:b/>
          <w:color w:val="auto"/>
          <w:sz w:val="30"/>
          <w:szCs w:val="30"/>
          <w:highlight w:val="none"/>
        </w:rPr>
      </w:pPr>
    </w:p>
    <w:p w14:paraId="7220B6AA">
      <w:pPr>
        <w:tabs>
          <w:tab w:val="left" w:pos="540"/>
        </w:tabs>
        <w:rPr>
          <w:rFonts w:hint="eastAsia" w:ascii="黑体" w:hAnsi="黑体" w:eastAsia="黑体" w:cs="黑体"/>
          <w:b/>
          <w:color w:val="auto"/>
          <w:sz w:val="30"/>
          <w:szCs w:val="30"/>
          <w:highlight w:val="none"/>
        </w:rPr>
      </w:pPr>
    </w:p>
    <w:p w14:paraId="6C0C8946">
      <w:pPr>
        <w:tabs>
          <w:tab w:val="left" w:pos="540"/>
        </w:tabs>
        <w:rPr>
          <w:rFonts w:hint="eastAsia" w:ascii="黑体" w:hAnsi="黑体" w:eastAsia="黑体" w:cs="黑体"/>
          <w:b/>
          <w:color w:val="auto"/>
          <w:sz w:val="30"/>
          <w:szCs w:val="30"/>
          <w:highlight w:val="none"/>
        </w:rPr>
      </w:pPr>
    </w:p>
    <w:p w14:paraId="37FB2376">
      <w:pPr>
        <w:tabs>
          <w:tab w:val="left" w:pos="540"/>
        </w:tabs>
        <w:rPr>
          <w:rFonts w:hint="eastAsia" w:ascii="黑体" w:hAnsi="黑体" w:eastAsia="黑体" w:cs="黑体"/>
          <w:b/>
          <w:color w:val="auto"/>
          <w:sz w:val="30"/>
          <w:szCs w:val="30"/>
          <w:highlight w:val="none"/>
        </w:rPr>
      </w:pPr>
    </w:p>
    <w:p w14:paraId="388C4866">
      <w:pPr>
        <w:tabs>
          <w:tab w:val="left" w:pos="540"/>
        </w:tabs>
        <w:rPr>
          <w:rFonts w:hint="eastAsia" w:ascii="黑体" w:hAnsi="黑体" w:eastAsia="黑体" w:cs="黑体"/>
          <w:b/>
          <w:color w:val="auto"/>
          <w:sz w:val="30"/>
          <w:szCs w:val="30"/>
          <w:highlight w:val="none"/>
        </w:rPr>
      </w:pPr>
    </w:p>
    <w:p w14:paraId="78C2456C">
      <w:pPr>
        <w:tabs>
          <w:tab w:val="left" w:pos="540"/>
        </w:tabs>
        <w:rPr>
          <w:rFonts w:hint="eastAsia" w:ascii="黑体" w:hAnsi="黑体" w:eastAsia="黑体" w:cs="黑体"/>
          <w:b/>
          <w:color w:val="auto"/>
          <w:sz w:val="30"/>
          <w:szCs w:val="30"/>
          <w:highlight w:val="none"/>
        </w:rPr>
      </w:pPr>
    </w:p>
    <w:p w14:paraId="4FEE2E4E">
      <w:pPr>
        <w:tabs>
          <w:tab w:val="left" w:pos="540"/>
        </w:tabs>
        <w:rPr>
          <w:rFonts w:hint="eastAsia" w:ascii="黑体" w:hAnsi="黑体" w:eastAsia="黑体" w:cs="黑体"/>
          <w:b/>
          <w:color w:val="auto"/>
          <w:sz w:val="30"/>
          <w:szCs w:val="30"/>
          <w:highlight w:val="none"/>
        </w:rPr>
      </w:pPr>
    </w:p>
    <w:p w14:paraId="7F7339BA">
      <w:pPr>
        <w:tabs>
          <w:tab w:val="left" w:pos="540"/>
        </w:tabs>
        <w:rPr>
          <w:rFonts w:hint="eastAsia" w:ascii="黑体" w:hAnsi="黑体" w:eastAsia="黑体" w:cs="黑体"/>
          <w:b/>
          <w:color w:val="auto"/>
          <w:sz w:val="30"/>
          <w:szCs w:val="30"/>
          <w:highlight w:val="none"/>
        </w:rPr>
      </w:pPr>
    </w:p>
    <w:p w14:paraId="027A9B25">
      <w:pPr>
        <w:tabs>
          <w:tab w:val="left" w:pos="540"/>
        </w:tabs>
        <w:rPr>
          <w:rFonts w:hint="eastAsia" w:ascii="黑体" w:hAnsi="黑体" w:eastAsia="黑体" w:cs="黑体"/>
          <w:b/>
          <w:color w:val="auto"/>
          <w:sz w:val="30"/>
          <w:szCs w:val="30"/>
          <w:highlight w:val="none"/>
        </w:rPr>
      </w:pPr>
    </w:p>
    <w:p w14:paraId="349E969C">
      <w:pPr>
        <w:tabs>
          <w:tab w:val="left" w:pos="540"/>
        </w:tabs>
        <w:rPr>
          <w:rFonts w:hint="eastAsia" w:ascii="黑体" w:hAnsi="黑体" w:eastAsia="黑体" w:cs="黑体"/>
          <w:b/>
          <w:color w:val="auto"/>
          <w:sz w:val="30"/>
          <w:szCs w:val="30"/>
          <w:highlight w:val="none"/>
        </w:rPr>
      </w:pPr>
    </w:p>
    <w:p w14:paraId="4304B30B">
      <w:pPr>
        <w:tabs>
          <w:tab w:val="left" w:pos="540"/>
        </w:tabs>
        <w:rPr>
          <w:rFonts w:hint="eastAsia" w:ascii="黑体" w:hAnsi="黑体" w:eastAsia="黑体" w:cs="黑体"/>
          <w:b/>
          <w:color w:val="auto"/>
          <w:sz w:val="30"/>
          <w:szCs w:val="30"/>
          <w:highlight w:val="none"/>
        </w:rPr>
      </w:pPr>
    </w:p>
    <w:p w14:paraId="26558BB5">
      <w:pPr>
        <w:tabs>
          <w:tab w:val="left" w:pos="540"/>
        </w:tabs>
        <w:rPr>
          <w:rFonts w:hint="eastAsia" w:ascii="黑体" w:hAnsi="黑体" w:eastAsia="黑体" w:cs="黑体"/>
          <w:b/>
          <w:color w:val="auto"/>
          <w:sz w:val="30"/>
          <w:szCs w:val="30"/>
          <w:highlight w:val="none"/>
        </w:rPr>
      </w:pPr>
    </w:p>
    <w:p w14:paraId="3ADD6902">
      <w:pPr>
        <w:tabs>
          <w:tab w:val="left" w:pos="540"/>
        </w:tabs>
        <w:rPr>
          <w:rFonts w:hint="eastAsia" w:ascii="黑体" w:hAnsi="黑体" w:eastAsia="黑体" w:cs="黑体"/>
          <w:b/>
          <w:color w:val="auto"/>
          <w:sz w:val="30"/>
          <w:szCs w:val="30"/>
          <w:highlight w:val="none"/>
        </w:rPr>
      </w:pPr>
    </w:p>
    <w:p w14:paraId="5B124BCA">
      <w:pPr>
        <w:tabs>
          <w:tab w:val="left" w:pos="540"/>
        </w:tabs>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附件十二：</w:t>
      </w:r>
    </w:p>
    <w:p w14:paraId="67F26AF5">
      <w:pPr>
        <w:tabs>
          <w:tab w:val="left" w:pos="540"/>
        </w:tabs>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en-GB"/>
        </w:rPr>
        <w:t>其它重要事项说明及承诺</w:t>
      </w:r>
    </w:p>
    <w:p w14:paraId="59FE2C64">
      <w:pPr>
        <w:pStyle w:val="75"/>
        <w:rPr>
          <w:rFonts w:hint="eastAsia" w:ascii="黑体" w:hAnsi="黑体" w:eastAsia="黑体" w:cs="黑体"/>
          <w:color w:val="auto"/>
          <w:sz w:val="28"/>
          <w:szCs w:val="28"/>
          <w:highlight w:val="none"/>
        </w:rPr>
      </w:pPr>
    </w:p>
    <w:p w14:paraId="06F9EE0B">
      <w:pPr>
        <w:pStyle w:val="75"/>
        <w:rPr>
          <w:rFonts w:hint="eastAsia" w:ascii="黑体" w:hAnsi="黑体" w:eastAsia="黑体" w:cs="黑体"/>
          <w:color w:val="auto"/>
          <w:sz w:val="28"/>
          <w:szCs w:val="28"/>
          <w:highlight w:val="none"/>
        </w:rPr>
      </w:pPr>
    </w:p>
    <w:p w14:paraId="3D2DDD2F">
      <w:pPr>
        <w:pStyle w:val="75"/>
        <w:rPr>
          <w:rFonts w:hint="eastAsia" w:ascii="黑体" w:hAnsi="黑体" w:eastAsia="黑体" w:cs="黑体"/>
          <w:color w:val="auto"/>
          <w:sz w:val="28"/>
          <w:szCs w:val="28"/>
          <w:highlight w:val="none"/>
        </w:rPr>
      </w:pPr>
    </w:p>
    <w:p w14:paraId="238B2EF7">
      <w:pPr>
        <w:pStyle w:val="75"/>
        <w:rPr>
          <w:rFonts w:hint="eastAsia" w:ascii="黑体" w:hAnsi="黑体" w:eastAsia="黑体" w:cs="黑体"/>
          <w:color w:val="auto"/>
          <w:sz w:val="28"/>
          <w:szCs w:val="28"/>
          <w:highlight w:val="none"/>
        </w:rPr>
      </w:pPr>
    </w:p>
    <w:p w14:paraId="2D9579DF">
      <w:pPr>
        <w:pStyle w:val="75"/>
        <w:rPr>
          <w:rFonts w:hint="eastAsia" w:ascii="黑体" w:hAnsi="黑体" w:eastAsia="黑体" w:cs="黑体"/>
          <w:color w:val="auto"/>
          <w:sz w:val="28"/>
          <w:szCs w:val="28"/>
          <w:highlight w:val="none"/>
        </w:rPr>
      </w:pPr>
    </w:p>
    <w:p w14:paraId="5A712612">
      <w:pPr>
        <w:spacing w:line="500" w:lineRule="exac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w:t>
      </w:r>
    </w:p>
    <w:p w14:paraId="41CE5402">
      <w:pPr>
        <w:spacing w:line="500" w:lineRule="exac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响应供应商名称（签章）：                        </w:t>
      </w:r>
    </w:p>
    <w:p w14:paraId="2379B7E8">
      <w:pPr>
        <w:spacing w:line="500" w:lineRule="exac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日期：          年      月     日</w:t>
      </w:r>
    </w:p>
    <w:p w14:paraId="0F90F755">
      <w:pPr>
        <w:pStyle w:val="75"/>
        <w:rPr>
          <w:rFonts w:hint="eastAsia" w:ascii="黑体" w:hAnsi="黑体" w:eastAsia="黑体" w:cs="黑体"/>
          <w:color w:val="auto"/>
          <w:szCs w:val="24"/>
          <w:highlight w:val="none"/>
        </w:rPr>
      </w:pPr>
    </w:p>
    <w:p w14:paraId="476D2642">
      <w:pPr>
        <w:rPr>
          <w:rFonts w:hint="eastAsia" w:ascii="黑体" w:hAnsi="黑体" w:eastAsia="黑体" w:cs="黑体"/>
          <w:color w:val="auto"/>
          <w:highlight w:val="none"/>
        </w:rPr>
      </w:pPr>
    </w:p>
    <w:p w14:paraId="41619C86">
      <w:pPr>
        <w:rPr>
          <w:rFonts w:hint="eastAsia" w:ascii="黑体" w:hAnsi="黑体" w:eastAsia="黑体" w:cs="黑体"/>
          <w:color w:val="auto"/>
          <w:highlight w:val="none"/>
        </w:rPr>
      </w:pPr>
    </w:p>
    <w:p w14:paraId="58BEA5C2">
      <w:pPr>
        <w:rPr>
          <w:rFonts w:hint="eastAsia" w:ascii="黑体" w:hAnsi="黑体" w:eastAsia="黑体" w:cs="黑体"/>
          <w:color w:val="auto"/>
          <w:highlight w:val="none"/>
        </w:rPr>
      </w:pPr>
    </w:p>
    <w:p w14:paraId="24E9DE97">
      <w:pPr>
        <w:rPr>
          <w:rFonts w:hint="eastAsia" w:ascii="黑体" w:hAnsi="黑体" w:eastAsia="黑体" w:cs="黑体"/>
          <w:color w:val="auto"/>
          <w:highlight w:val="none"/>
        </w:rPr>
      </w:pPr>
    </w:p>
    <w:p w14:paraId="3B0D1BE6">
      <w:pPr>
        <w:rPr>
          <w:rFonts w:hint="eastAsia" w:ascii="黑体" w:hAnsi="黑体" w:eastAsia="黑体" w:cs="黑体"/>
          <w:color w:val="auto"/>
          <w:highlight w:val="none"/>
        </w:rPr>
      </w:pPr>
    </w:p>
    <w:p w14:paraId="00F4269E">
      <w:pPr>
        <w:rPr>
          <w:rFonts w:hint="eastAsia" w:ascii="黑体" w:hAnsi="黑体" w:eastAsia="黑体" w:cs="黑体"/>
          <w:color w:val="auto"/>
          <w:highlight w:val="none"/>
        </w:rPr>
      </w:pPr>
    </w:p>
    <w:p w14:paraId="317A29A1">
      <w:pPr>
        <w:rPr>
          <w:rFonts w:hint="eastAsia" w:ascii="黑体" w:hAnsi="黑体" w:eastAsia="黑体" w:cs="黑体"/>
          <w:color w:val="auto"/>
          <w:highlight w:val="none"/>
        </w:rPr>
      </w:pPr>
    </w:p>
    <w:p w14:paraId="369BE21A">
      <w:pPr>
        <w:rPr>
          <w:rFonts w:hint="eastAsia" w:ascii="黑体" w:hAnsi="黑体" w:eastAsia="黑体" w:cs="黑体"/>
          <w:color w:val="auto"/>
          <w:highlight w:val="none"/>
        </w:rPr>
      </w:pPr>
    </w:p>
    <w:p w14:paraId="153DD1E8">
      <w:pPr>
        <w:rPr>
          <w:rFonts w:hint="eastAsia" w:ascii="黑体" w:hAnsi="黑体" w:eastAsia="黑体" w:cs="黑体"/>
          <w:color w:val="auto"/>
          <w:highlight w:val="none"/>
        </w:rPr>
      </w:pPr>
    </w:p>
    <w:p w14:paraId="7FAA73F7">
      <w:pPr>
        <w:rPr>
          <w:rFonts w:hint="eastAsia" w:ascii="黑体" w:hAnsi="黑体" w:eastAsia="黑体" w:cs="黑体"/>
          <w:color w:val="auto"/>
          <w:highlight w:val="none"/>
        </w:rPr>
      </w:pPr>
    </w:p>
    <w:p w14:paraId="492FBDE5">
      <w:pPr>
        <w:rPr>
          <w:rFonts w:hint="eastAsia" w:ascii="黑体" w:hAnsi="黑体" w:eastAsia="黑体" w:cs="黑体"/>
          <w:color w:val="auto"/>
          <w:highlight w:val="none"/>
        </w:rPr>
      </w:pPr>
    </w:p>
    <w:p w14:paraId="4794DB13">
      <w:pPr>
        <w:rPr>
          <w:rFonts w:hint="eastAsia" w:ascii="黑体" w:hAnsi="黑体" w:eastAsia="黑体" w:cs="黑体"/>
          <w:color w:val="auto"/>
          <w:highlight w:val="none"/>
        </w:rPr>
      </w:pPr>
    </w:p>
    <w:p w14:paraId="34A53C6C">
      <w:pPr>
        <w:rPr>
          <w:rFonts w:hint="eastAsia" w:ascii="黑体" w:hAnsi="黑体" w:eastAsia="黑体" w:cs="黑体"/>
          <w:color w:val="auto"/>
          <w:highlight w:val="none"/>
        </w:rPr>
      </w:pPr>
    </w:p>
    <w:p w14:paraId="420BD0E1">
      <w:pPr>
        <w:rPr>
          <w:rFonts w:hint="eastAsia" w:ascii="黑体" w:hAnsi="黑体" w:eastAsia="黑体" w:cs="黑体"/>
          <w:color w:val="auto"/>
          <w:highlight w:val="none"/>
        </w:rPr>
      </w:pPr>
    </w:p>
    <w:p w14:paraId="5A5912D1">
      <w:pPr>
        <w:rPr>
          <w:rFonts w:hint="eastAsia" w:ascii="黑体" w:hAnsi="黑体" w:eastAsia="黑体" w:cs="黑体"/>
          <w:color w:val="auto"/>
          <w:highlight w:val="none"/>
        </w:rPr>
      </w:pPr>
    </w:p>
    <w:p w14:paraId="2633B5EB">
      <w:pPr>
        <w:rPr>
          <w:rFonts w:hint="eastAsia" w:ascii="黑体" w:hAnsi="黑体" w:eastAsia="黑体" w:cs="黑体"/>
          <w:color w:val="auto"/>
          <w:highlight w:val="none"/>
        </w:rPr>
      </w:pPr>
    </w:p>
    <w:p w14:paraId="28D6B19E">
      <w:pPr>
        <w:rPr>
          <w:rFonts w:hint="eastAsia" w:ascii="黑体" w:hAnsi="黑体" w:eastAsia="黑体" w:cs="黑体"/>
          <w:color w:val="auto"/>
          <w:highlight w:val="none"/>
        </w:rPr>
      </w:pPr>
    </w:p>
    <w:p w14:paraId="4F68CB8C">
      <w:pPr>
        <w:rPr>
          <w:rFonts w:hint="eastAsia" w:ascii="黑体" w:hAnsi="黑体" w:eastAsia="黑体" w:cs="黑体"/>
          <w:color w:val="auto"/>
          <w:highlight w:val="none"/>
        </w:rPr>
      </w:pPr>
    </w:p>
    <w:p w14:paraId="025588D6">
      <w:pPr>
        <w:rPr>
          <w:rFonts w:hint="eastAsia" w:ascii="黑体" w:hAnsi="黑体" w:eastAsia="黑体" w:cs="黑体"/>
          <w:color w:val="auto"/>
          <w:highlight w:val="none"/>
        </w:rPr>
      </w:pPr>
    </w:p>
    <w:p w14:paraId="266F3E74">
      <w:pPr>
        <w:rPr>
          <w:rFonts w:hint="eastAsia" w:ascii="黑体" w:hAnsi="黑体" w:eastAsia="黑体" w:cs="黑体"/>
          <w:color w:val="auto"/>
          <w:highlight w:val="none"/>
        </w:rPr>
      </w:pPr>
    </w:p>
    <w:p w14:paraId="14BBB147">
      <w:pPr>
        <w:rPr>
          <w:rFonts w:hint="eastAsia" w:ascii="黑体" w:hAnsi="黑体" w:eastAsia="黑体" w:cs="黑体"/>
          <w:color w:val="auto"/>
          <w:highlight w:val="none"/>
        </w:rPr>
      </w:pPr>
    </w:p>
    <w:p w14:paraId="7F8C9FB2">
      <w:pPr>
        <w:rPr>
          <w:rFonts w:hint="eastAsia" w:ascii="黑体" w:hAnsi="黑体" w:eastAsia="黑体" w:cs="黑体"/>
          <w:color w:val="auto"/>
          <w:highlight w:val="none"/>
        </w:rPr>
      </w:pPr>
    </w:p>
    <w:p w14:paraId="50D764A0">
      <w:pPr>
        <w:rPr>
          <w:rFonts w:hint="eastAsia" w:ascii="黑体" w:hAnsi="黑体" w:eastAsia="黑体" w:cs="黑体"/>
          <w:color w:val="auto"/>
          <w:highlight w:val="none"/>
        </w:rPr>
      </w:pPr>
    </w:p>
    <w:p w14:paraId="723C3CCB">
      <w:pPr>
        <w:rPr>
          <w:rFonts w:hint="eastAsia" w:ascii="黑体" w:hAnsi="黑体" w:eastAsia="黑体" w:cs="黑体"/>
          <w:color w:val="auto"/>
          <w:highlight w:val="none"/>
        </w:rPr>
      </w:pPr>
    </w:p>
    <w:p w14:paraId="0BF51C74">
      <w:pPr>
        <w:rPr>
          <w:rFonts w:hint="eastAsia" w:ascii="黑体" w:hAnsi="黑体" w:eastAsia="黑体" w:cs="黑体"/>
          <w:color w:val="auto"/>
          <w:highlight w:val="none"/>
        </w:rPr>
      </w:pPr>
    </w:p>
    <w:p w14:paraId="55514669">
      <w:pPr>
        <w:rPr>
          <w:rFonts w:hint="eastAsia" w:ascii="黑体" w:hAnsi="黑体" w:eastAsia="黑体" w:cs="黑体"/>
          <w:color w:val="auto"/>
          <w:highlight w:val="none"/>
        </w:rPr>
      </w:pPr>
    </w:p>
    <w:p w14:paraId="2A0713CC">
      <w:pPr>
        <w:rPr>
          <w:rFonts w:hint="eastAsia" w:ascii="黑体" w:hAnsi="黑体" w:eastAsia="黑体" w:cs="黑体"/>
          <w:color w:val="auto"/>
          <w:highlight w:val="none"/>
        </w:rPr>
      </w:pPr>
    </w:p>
    <w:p w14:paraId="6C8F30EE">
      <w:pPr>
        <w:rPr>
          <w:rFonts w:hint="eastAsia" w:ascii="黑体" w:hAnsi="黑体" w:eastAsia="黑体" w:cs="黑体"/>
          <w:color w:val="auto"/>
          <w:highlight w:val="none"/>
        </w:rPr>
      </w:pPr>
    </w:p>
    <w:p w14:paraId="4C5500AA">
      <w:pPr>
        <w:rPr>
          <w:rFonts w:hint="eastAsia" w:ascii="黑体" w:hAnsi="黑体" w:eastAsia="黑体" w:cs="黑体"/>
          <w:color w:val="auto"/>
          <w:highlight w:val="none"/>
        </w:rPr>
      </w:pPr>
    </w:p>
    <w:p w14:paraId="74074A4E">
      <w:pPr>
        <w:rPr>
          <w:rFonts w:hint="eastAsia" w:ascii="黑体" w:hAnsi="黑体" w:eastAsia="黑体" w:cs="黑体"/>
          <w:color w:val="auto"/>
          <w:highlight w:val="none"/>
        </w:rPr>
      </w:pPr>
    </w:p>
    <w:p w14:paraId="56BA764A">
      <w:pPr>
        <w:rPr>
          <w:rFonts w:hint="eastAsia" w:ascii="黑体" w:hAnsi="黑体" w:eastAsia="黑体" w:cs="黑体"/>
          <w:color w:val="auto"/>
          <w:highlight w:val="none"/>
        </w:rPr>
      </w:pPr>
    </w:p>
    <w:p w14:paraId="4A58DAB6">
      <w:pPr>
        <w:rPr>
          <w:rFonts w:hint="eastAsia" w:ascii="黑体" w:hAnsi="黑体" w:eastAsia="黑体" w:cs="黑体"/>
          <w:color w:val="auto"/>
          <w:highlight w:val="none"/>
        </w:rPr>
      </w:pPr>
    </w:p>
    <w:p w14:paraId="4DCB4C30">
      <w:pPr>
        <w:rPr>
          <w:rFonts w:hint="eastAsia" w:ascii="黑体" w:hAnsi="黑体" w:eastAsia="黑体" w:cs="黑体"/>
          <w:color w:val="auto"/>
          <w:highlight w:val="none"/>
        </w:rPr>
      </w:pPr>
    </w:p>
    <w:p w14:paraId="0B369FA3">
      <w:pPr>
        <w:rPr>
          <w:rFonts w:hint="eastAsia" w:ascii="黑体" w:hAnsi="黑体" w:eastAsia="黑体" w:cs="黑体"/>
          <w:color w:val="auto"/>
          <w:highlight w:val="none"/>
        </w:rPr>
      </w:pPr>
    </w:p>
    <w:p w14:paraId="4996EDA8">
      <w:pPr>
        <w:rPr>
          <w:rFonts w:hint="eastAsia" w:ascii="黑体" w:hAnsi="黑体" w:eastAsia="黑体" w:cs="黑体"/>
          <w:color w:val="auto"/>
          <w:highlight w:val="none"/>
        </w:rPr>
      </w:pPr>
    </w:p>
    <w:p w14:paraId="3E281DC6">
      <w:pPr>
        <w:rPr>
          <w:rFonts w:hint="eastAsia" w:ascii="黑体" w:hAnsi="黑体" w:eastAsia="黑体" w:cs="黑体"/>
          <w:color w:val="auto"/>
          <w:highlight w:val="none"/>
        </w:rPr>
      </w:pPr>
    </w:p>
    <w:p w14:paraId="240B034F">
      <w:pPr>
        <w:tabs>
          <w:tab w:val="left" w:pos="540"/>
        </w:tabs>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附件十三：</w:t>
      </w:r>
    </w:p>
    <w:p w14:paraId="558AA106">
      <w:pPr>
        <w:tabs>
          <w:tab w:val="left" w:pos="540"/>
        </w:tabs>
        <w:jc w:val="center"/>
        <w:rPr>
          <w:rFonts w:hint="eastAsia" w:ascii="黑体" w:hAnsi="黑体" w:eastAsia="黑体" w:cs="黑体"/>
          <w:b/>
          <w:color w:val="auto"/>
          <w:sz w:val="28"/>
          <w:szCs w:val="28"/>
          <w:highlight w:val="none"/>
          <w:lang w:val="en-GB"/>
        </w:rPr>
      </w:pPr>
      <w:r>
        <w:rPr>
          <w:rFonts w:hint="eastAsia" w:ascii="黑体" w:hAnsi="黑体" w:eastAsia="黑体" w:cs="黑体"/>
          <w:b/>
          <w:color w:val="auto"/>
          <w:sz w:val="28"/>
          <w:szCs w:val="28"/>
          <w:highlight w:val="none"/>
          <w:lang w:val="en-GB"/>
        </w:rPr>
        <w:t>拟任执行管理及技术人员情况</w:t>
      </w:r>
    </w:p>
    <w:p w14:paraId="42504D47">
      <w:pPr>
        <w:spacing w:line="500" w:lineRule="exact"/>
        <w:jc w:val="center"/>
        <w:rPr>
          <w:rFonts w:hint="eastAsia" w:ascii="黑体" w:hAnsi="黑体" w:eastAsia="黑体" w:cs="黑体"/>
          <w:b/>
          <w:color w:val="auto"/>
          <w:sz w:val="28"/>
          <w:szCs w:val="28"/>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14:paraId="4E79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14:paraId="1DB17E6D">
            <w:pP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14:paraId="3D4BE913">
            <w:pPr>
              <w:ind w:firstLine="116" w:firstLineChars="48"/>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姓名</w:t>
            </w:r>
          </w:p>
        </w:tc>
        <w:tc>
          <w:tcPr>
            <w:tcW w:w="1105" w:type="dxa"/>
            <w:tcBorders>
              <w:top w:val="single" w:color="auto" w:sz="4" w:space="0"/>
              <w:left w:val="single" w:color="auto" w:sz="4" w:space="0"/>
              <w:bottom w:val="nil"/>
            </w:tcBorders>
            <w:shd w:val="clear" w:color="auto" w:fill="F3F3F3"/>
            <w:vAlign w:val="center"/>
          </w:tcPr>
          <w:p w14:paraId="243950B3">
            <w:pP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现职务</w:t>
            </w:r>
          </w:p>
        </w:tc>
        <w:tc>
          <w:tcPr>
            <w:tcW w:w="3755" w:type="dxa"/>
            <w:tcBorders>
              <w:top w:val="single" w:color="auto" w:sz="4" w:space="0"/>
              <w:bottom w:val="nil"/>
            </w:tcBorders>
            <w:shd w:val="clear" w:color="auto" w:fill="F3F3F3"/>
            <w:vAlign w:val="center"/>
          </w:tcPr>
          <w:p w14:paraId="45D9B1DA">
            <w:pP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曾主持/参与的同类项目经历</w:t>
            </w:r>
          </w:p>
        </w:tc>
        <w:tc>
          <w:tcPr>
            <w:tcW w:w="600" w:type="dxa"/>
            <w:tcBorders>
              <w:top w:val="single" w:color="auto" w:sz="4" w:space="0"/>
              <w:bottom w:val="nil"/>
            </w:tcBorders>
            <w:shd w:val="clear" w:color="auto" w:fill="F3F3F3"/>
            <w:vAlign w:val="center"/>
          </w:tcPr>
          <w:p w14:paraId="4B88D555">
            <w:pP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职称</w:t>
            </w:r>
          </w:p>
        </w:tc>
        <w:tc>
          <w:tcPr>
            <w:tcW w:w="661" w:type="dxa"/>
            <w:tcBorders>
              <w:top w:val="single" w:color="auto" w:sz="4" w:space="0"/>
              <w:bottom w:val="nil"/>
              <w:right w:val="single" w:color="auto" w:sz="4" w:space="0"/>
            </w:tcBorders>
            <w:shd w:val="clear" w:color="auto" w:fill="F3F3F3"/>
            <w:vAlign w:val="center"/>
          </w:tcPr>
          <w:p w14:paraId="5B6CEF40">
            <w:pPr>
              <w:ind w:firstLine="12"/>
              <w:jc w:val="cente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专业工龄</w:t>
            </w:r>
          </w:p>
        </w:tc>
        <w:tc>
          <w:tcPr>
            <w:tcW w:w="2235" w:type="dxa"/>
            <w:tcBorders>
              <w:top w:val="single" w:color="auto" w:sz="4" w:space="0"/>
              <w:bottom w:val="nil"/>
              <w:right w:val="single" w:color="auto" w:sz="4" w:space="0"/>
            </w:tcBorders>
            <w:shd w:val="clear" w:color="auto" w:fill="F3F3F3"/>
            <w:vAlign w:val="center"/>
          </w:tcPr>
          <w:p w14:paraId="7D234E20">
            <w:pPr>
              <w:ind w:firstLine="12"/>
              <w:rPr>
                <w:rFonts w:hint="eastAsia" w:ascii="黑体" w:hAnsi="黑体" w:eastAsia="黑体" w:cs="黑体"/>
                <w:b/>
                <w:color w:val="auto"/>
                <w:sz w:val="24"/>
                <w:highlight w:val="none"/>
              </w:rPr>
            </w:pPr>
            <w:r>
              <w:rPr>
                <w:rFonts w:hint="eastAsia" w:ascii="黑体" w:hAnsi="黑体" w:eastAsia="黑体" w:cs="黑体"/>
                <w:b/>
                <w:color w:val="auto"/>
                <w:sz w:val="24"/>
                <w:highlight w:val="none"/>
              </w:rPr>
              <w:t>联系电话/手机</w:t>
            </w:r>
          </w:p>
        </w:tc>
      </w:tr>
      <w:tr w14:paraId="1B0E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14:paraId="18CE6B49">
            <w:pPr>
              <w:rPr>
                <w:rFonts w:hint="eastAsia" w:ascii="黑体" w:hAnsi="黑体" w:eastAsia="黑体" w:cs="黑体"/>
                <w:color w:val="auto"/>
                <w:sz w:val="24"/>
                <w:highlight w:val="none"/>
              </w:rPr>
            </w:pPr>
            <w:r>
              <w:rPr>
                <w:rFonts w:hint="eastAsia" w:ascii="黑体" w:hAnsi="黑体" w:eastAsia="黑体" w:cs="黑体"/>
                <w:color w:val="auto"/>
                <w:sz w:val="24"/>
                <w:highlight w:val="none"/>
              </w:rPr>
              <w:t>项目负责人</w:t>
            </w:r>
          </w:p>
        </w:tc>
        <w:tc>
          <w:tcPr>
            <w:tcW w:w="1015" w:type="dxa"/>
            <w:tcBorders>
              <w:top w:val="single" w:color="auto" w:sz="4" w:space="0"/>
              <w:left w:val="single" w:color="auto" w:sz="4" w:space="0"/>
              <w:bottom w:val="nil"/>
              <w:right w:val="single" w:color="auto" w:sz="4" w:space="0"/>
            </w:tcBorders>
            <w:vAlign w:val="center"/>
          </w:tcPr>
          <w:p w14:paraId="41F68338">
            <w:pPr>
              <w:jc w:val="center"/>
              <w:rPr>
                <w:rFonts w:hint="eastAsia" w:ascii="黑体" w:hAnsi="黑体" w:eastAsia="黑体" w:cs="黑体"/>
                <w:color w:val="auto"/>
                <w:sz w:val="24"/>
                <w:highlight w:val="none"/>
              </w:rPr>
            </w:pPr>
          </w:p>
        </w:tc>
        <w:tc>
          <w:tcPr>
            <w:tcW w:w="1105" w:type="dxa"/>
            <w:tcBorders>
              <w:top w:val="single" w:color="auto" w:sz="4" w:space="0"/>
              <w:left w:val="single" w:color="auto" w:sz="4" w:space="0"/>
              <w:bottom w:val="nil"/>
            </w:tcBorders>
            <w:vAlign w:val="center"/>
          </w:tcPr>
          <w:p w14:paraId="2914E1EC">
            <w:pPr>
              <w:jc w:val="center"/>
              <w:rPr>
                <w:rFonts w:hint="eastAsia" w:ascii="黑体" w:hAnsi="黑体" w:eastAsia="黑体" w:cs="黑体"/>
                <w:color w:val="auto"/>
                <w:sz w:val="24"/>
                <w:highlight w:val="none"/>
              </w:rPr>
            </w:pPr>
          </w:p>
        </w:tc>
        <w:tc>
          <w:tcPr>
            <w:tcW w:w="3755" w:type="dxa"/>
            <w:tcBorders>
              <w:top w:val="single" w:color="auto" w:sz="4" w:space="0"/>
              <w:bottom w:val="nil"/>
            </w:tcBorders>
            <w:vAlign w:val="center"/>
          </w:tcPr>
          <w:p w14:paraId="212BE7C3">
            <w:pPr>
              <w:pStyle w:val="231"/>
              <w:keepNext w:val="0"/>
              <w:adjustRightInd/>
              <w:spacing w:before="0" w:after="0" w:line="240" w:lineRule="auto"/>
              <w:textAlignment w:val="auto"/>
              <w:rPr>
                <w:rFonts w:hint="eastAsia" w:ascii="黑体" w:hAnsi="黑体" w:eastAsia="黑体" w:cs="黑体"/>
                <w:snapToGrid/>
                <w:color w:val="auto"/>
                <w:spacing w:val="0"/>
                <w:kern w:val="2"/>
                <w:szCs w:val="24"/>
                <w:highlight w:val="none"/>
              </w:rPr>
            </w:pPr>
          </w:p>
        </w:tc>
        <w:tc>
          <w:tcPr>
            <w:tcW w:w="600" w:type="dxa"/>
            <w:tcBorders>
              <w:top w:val="single" w:color="auto" w:sz="4" w:space="0"/>
              <w:bottom w:val="nil"/>
            </w:tcBorders>
            <w:vAlign w:val="center"/>
          </w:tcPr>
          <w:p w14:paraId="2C66F331">
            <w:pPr>
              <w:jc w:val="center"/>
              <w:rPr>
                <w:rFonts w:hint="eastAsia" w:ascii="黑体" w:hAnsi="黑体" w:eastAsia="黑体" w:cs="黑体"/>
                <w:color w:val="auto"/>
                <w:sz w:val="24"/>
                <w:highlight w:val="none"/>
              </w:rPr>
            </w:pPr>
          </w:p>
        </w:tc>
        <w:tc>
          <w:tcPr>
            <w:tcW w:w="661" w:type="dxa"/>
            <w:tcBorders>
              <w:top w:val="single" w:color="auto" w:sz="4" w:space="0"/>
              <w:bottom w:val="nil"/>
              <w:right w:val="single" w:color="auto" w:sz="4" w:space="0"/>
            </w:tcBorders>
            <w:vAlign w:val="center"/>
          </w:tcPr>
          <w:p w14:paraId="048C5FFE">
            <w:pPr>
              <w:ind w:firstLine="12"/>
              <w:jc w:val="center"/>
              <w:rPr>
                <w:rFonts w:hint="eastAsia" w:ascii="黑体" w:hAnsi="黑体" w:eastAsia="黑体" w:cs="黑体"/>
                <w:color w:val="auto"/>
                <w:sz w:val="24"/>
                <w:highlight w:val="none"/>
              </w:rPr>
            </w:pPr>
          </w:p>
        </w:tc>
        <w:tc>
          <w:tcPr>
            <w:tcW w:w="2235" w:type="dxa"/>
            <w:tcBorders>
              <w:top w:val="single" w:color="auto" w:sz="4" w:space="0"/>
              <w:bottom w:val="nil"/>
              <w:right w:val="single" w:color="auto" w:sz="4" w:space="0"/>
            </w:tcBorders>
            <w:vAlign w:val="center"/>
          </w:tcPr>
          <w:p w14:paraId="184B47CD">
            <w:pPr>
              <w:ind w:firstLine="12"/>
              <w:jc w:val="center"/>
              <w:rPr>
                <w:rFonts w:hint="eastAsia" w:ascii="黑体" w:hAnsi="黑体" w:eastAsia="黑体" w:cs="黑体"/>
                <w:color w:val="auto"/>
                <w:sz w:val="24"/>
                <w:highlight w:val="none"/>
              </w:rPr>
            </w:pPr>
          </w:p>
        </w:tc>
      </w:tr>
      <w:tr w14:paraId="7B6D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14:paraId="0D44A419">
            <w:pPr>
              <w:rPr>
                <w:rFonts w:hint="eastAsia" w:ascii="黑体" w:hAnsi="黑体" w:eastAsia="黑体" w:cs="黑体"/>
                <w:color w:val="auto"/>
                <w:sz w:val="24"/>
                <w:highlight w:val="none"/>
              </w:rPr>
            </w:pPr>
            <w:r>
              <w:rPr>
                <w:rFonts w:hint="eastAsia" w:ascii="黑体" w:hAnsi="黑体" w:eastAsia="黑体" w:cs="黑体"/>
                <w:color w:val="auto"/>
                <w:sz w:val="24"/>
                <w:highlight w:val="none"/>
              </w:rPr>
              <w:t>其他主要技术人员</w:t>
            </w:r>
          </w:p>
        </w:tc>
        <w:tc>
          <w:tcPr>
            <w:tcW w:w="1015" w:type="dxa"/>
            <w:tcBorders>
              <w:left w:val="single" w:color="auto" w:sz="4" w:space="0"/>
              <w:right w:val="single" w:color="auto" w:sz="4" w:space="0"/>
            </w:tcBorders>
            <w:vAlign w:val="center"/>
          </w:tcPr>
          <w:p w14:paraId="1D580031">
            <w:pPr>
              <w:jc w:val="center"/>
              <w:rPr>
                <w:rFonts w:hint="eastAsia" w:ascii="黑体" w:hAnsi="黑体" w:eastAsia="黑体" w:cs="黑体"/>
                <w:color w:val="auto"/>
                <w:sz w:val="24"/>
                <w:highlight w:val="none"/>
              </w:rPr>
            </w:pPr>
          </w:p>
        </w:tc>
        <w:tc>
          <w:tcPr>
            <w:tcW w:w="1105" w:type="dxa"/>
            <w:tcBorders>
              <w:left w:val="single" w:color="auto" w:sz="4" w:space="0"/>
            </w:tcBorders>
            <w:vAlign w:val="center"/>
          </w:tcPr>
          <w:p w14:paraId="540C189D">
            <w:pPr>
              <w:jc w:val="center"/>
              <w:rPr>
                <w:rFonts w:hint="eastAsia" w:ascii="黑体" w:hAnsi="黑体" w:eastAsia="黑体" w:cs="黑体"/>
                <w:color w:val="auto"/>
                <w:sz w:val="24"/>
                <w:highlight w:val="none"/>
              </w:rPr>
            </w:pPr>
          </w:p>
        </w:tc>
        <w:tc>
          <w:tcPr>
            <w:tcW w:w="3755" w:type="dxa"/>
            <w:vAlign w:val="center"/>
          </w:tcPr>
          <w:p w14:paraId="6F191D71">
            <w:pPr>
              <w:jc w:val="center"/>
              <w:rPr>
                <w:rFonts w:hint="eastAsia" w:ascii="黑体" w:hAnsi="黑体" w:eastAsia="黑体" w:cs="黑体"/>
                <w:color w:val="auto"/>
                <w:sz w:val="24"/>
                <w:highlight w:val="none"/>
              </w:rPr>
            </w:pPr>
          </w:p>
        </w:tc>
        <w:tc>
          <w:tcPr>
            <w:tcW w:w="600" w:type="dxa"/>
            <w:vAlign w:val="center"/>
          </w:tcPr>
          <w:p w14:paraId="318B7329">
            <w:pPr>
              <w:jc w:val="center"/>
              <w:rPr>
                <w:rFonts w:hint="eastAsia" w:ascii="黑体" w:hAnsi="黑体" w:eastAsia="黑体" w:cs="黑体"/>
                <w:color w:val="auto"/>
                <w:sz w:val="24"/>
                <w:highlight w:val="none"/>
              </w:rPr>
            </w:pPr>
          </w:p>
        </w:tc>
        <w:tc>
          <w:tcPr>
            <w:tcW w:w="661" w:type="dxa"/>
            <w:tcBorders>
              <w:right w:val="single" w:color="auto" w:sz="4" w:space="0"/>
            </w:tcBorders>
            <w:vAlign w:val="center"/>
          </w:tcPr>
          <w:p w14:paraId="4DCDB027">
            <w:pPr>
              <w:jc w:val="center"/>
              <w:rPr>
                <w:rFonts w:hint="eastAsia" w:ascii="黑体" w:hAnsi="黑体" w:eastAsia="黑体" w:cs="黑体"/>
                <w:color w:val="auto"/>
                <w:sz w:val="24"/>
                <w:highlight w:val="none"/>
              </w:rPr>
            </w:pPr>
          </w:p>
        </w:tc>
        <w:tc>
          <w:tcPr>
            <w:tcW w:w="2235" w:type="dxa"/>
            <w:tcBorders>
              <w:right w:val="single" w:color="auto" w:sz="4" w:space="0"/>
            </w:tcBorders>
            <w:vAlign w:val="center"/>
          </w:tcPr>
          <w:p w14:paraId="66EBB436">
            <w:pPr>
              <w:jc w:val="center"/>
              <w:rPr>
                <w:rFonts w:hint="eastAsia" w:ascii="黑体" w:hAnsi="黑体" w:eastAsia="黑体" w:cs="黑体"/>
                <w:color w:val="auto"/>
                <w:sz w:val="24"/>
                <w:highlight w:val="none"/>
              </w:rPr>
            </w:pPr>
          </w:p>
        </w:tc>
      </w:tr>
      <w:tr w14:paraId="4A96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1C6BDE0">
            <w:pPr>
              <w:rPr>
                <w:rFonts w:hint="eastAsia" w:ascii="黑体" w:hAnsi="黑体" w:eastAsia="黑体" w:cs="黑体"/>
                <w:color w:val="auto"/>
                <w:sz w:val="24"/>
                <w:highlight w:val="none"/>
              </w:rPr>
            </w:pPr>
          </w:p>
        </w:tc>
        <w:tc>
          <w:tcPr>
            <w:tcW w:w="1015" w:type="dxa"/>
            <w:tcBorders>
              <w:left w:val="single" w:color="auto" w:sz="4" w:space="0"/>
              <w:right w:val="single" w:color="auto" w:sz="4" w:space="0"/>
            </w:tcBorders>
            <w:vAlign w:val="center"/>
          </w:tcPr>
          <w:p w14:paraId="306F16EA">
            <w:pPr>
              <w:jc w:val="center"/>
              <w:rPr>
                <w:rFonts w:hint="eastAsia" w:ascii="黑体" w:hAnsi="黑体" w:eastAsia="黑体" w:cs="黑体"/>
                <w:color w:val="auto"/>
                <w:sz w:val="24"/>
                <w:highlight w:val="none"/>
              </w:rPr>
            </w:pPr>
          </w:p>
        </w:tc>
        <w:tc>
          <w:tcPr>
            <w:tcW w:w="1105" w:type="dxa"/>
            <w:tcBorders>
              <w:left w:val="single" w:color="auto" w:sz="4" w:space="0"/>
            </w:tcBorders>
            <w:vAlign w:val="center"/>
          </w:tcPr>
          <w:p w14:paraId="30CECEFF">
            <w:pPr>
              <w:jc w:val="center"/>
              <w:rPr>
                <w:rFonts w:hint="eastAsia" w:ascii="黑体" w:hAnsi="黑体" w:eastAsia="黑体" w:cs="黑体"/>
                <w:color w:val="auto"/>
                <w:sz w:val="24"/>
                <w:highlight w:val="none"/>
              </w:rPr>
            </w:pPr>
          </w:p>
        </w:tc>
        <w:tc>
          <w:tcPr>
            <w:tcW w:w="3755" w:type="dxa"/>
            <w:vAlign w:val="center"/>
          </w:tcPr>
          <w:p w14:paraId="08E7EB20">
            <w:pPr>
              <w:jc w:val="center"/>
              <w:rPr>
                <w:rFonts w:hint="eastAsia" w:ascii="黑体" w:hAnsi="黑体" w:eastAsia="黑体" w:cs="黑体"/>
                <w:color w:val="auto"/>
                <w:sz w:val="24"/>
                <w:highlight w:val="none"/>
              </w:rPr>
            </w:pPr>
          </w:p>
        </w:tc>
        <w:tc>
          <w:tcPr>
            <w:tcW w:w="600" w:type="dxa"/>
            <w:vAlign w:val="center"/>
          </w:tcPr>
          <w:p w14:paraId="4433DFF9">
            <w:pPr>
              <w:jc w:val="center"/>
              <w:rPr>
                <w:rFonts w:hint="eastAsia" w:ascii="黑体" w:hAnsi="黑体" w:eastAsia="黑体" w:cs="黑体"/>
                <w:color w:val="auto"/>
                <w:sz w:val="24"/>
                <w:highlight w:val="none"/>
              </w:rPr>
            </w:pPr>
          </w:p>
        </w:tc>
        <w:tc>
          <w:tcPr>
            <w:tcW w:w="661" w:type="dxa"/>
            <w:tcBorders>
              <w:right w:val="single" w:color="auto" w:sz="4" w:space="0"/>
            </w:tcBorders>
            <w:vAlign w:val="center"/>
          </w:tcPr>
          <w:p w14:paraId="152439E3">
            <w:pPr>
              <w:jc w:val="center"/>
              <w:rPr>
                <w:rFonts w:hint="eastAsia" w:ascii="黑体" w:hAnsi="黑体" w:eastAsia="黑体" w:cs="黑体"/>
                <w:color w:val="auto"/>
                <w:sz w:val="24"/>
                <w:highlight w:val="none"/>
              </w:rPr>
            </w:pPr>
          </w:p>
        </w:tc>
        <w:tc>
          <w:tcPr>
            <w:tcW w:w="2235" w:type="dxa"/>
            <w:tcBorders>
              <w:right w:val="single" w:color="auto" w:sz="4" w:space="0"/>
            </w:tcBorders>
            <w:vAlign w:val="center"/>
          </w:tcPr>
          <w:p w14:paraId="29CD788E">
            <w:pPr>
              <w:jc w:val="center"/>
              <w:rPr>
                <w:rFonts w:hint="eastAsia" w:ascii="黑体" w:hAnsi="黑体" w:eastAsia="黑体" w:cs="黑体"/>
                <w:color w:val="auto"/>
                <w:sz w:val="24"/>
                <w:highlight w:val="none"/>
              </w:rPr>
            </w:pPr>
          </w:p>
        </w:tc>
      </w:tr>
      <w:tr w14:paraId="524B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12FE2027">
            <w:pPr>
              <w:rPr>
                <w:rFonts w:hint="eastAsia" w:ascii="黑体" w:hAnsi="黑体" w:eastAsia="黑体" w:cs="黑体"/>
                <w:color w:val="auto"/>
                <w:sz w:val="24"/>
                <w:highlight w:val="none"/>
              </w:rPr>
            </w:pPr>
          </w:p>
        </w:tc>
        <w:tc>
          <w:tcPr>
            <w:tcW w:w="1015" w:type="dxa"/>
            <w:tcBorders>
              <w:left w:val="single" w:color="auto" w:sz="4" w:space="0"/>
              <w:right w:val="single" w:color="auto" w:sz="4" w:space="0"/>
            </w:tcBorders>
            <w:vAlign w:val="center"/>
          </w:tcPr>
          <w:p w14:paraId="3A2433BD">
            <w:pPr>
              <w:jc w:val="center"/>
              <w:rPr>
                <w:rFonts w:hint="eastAsia" w:ascii="黑体" w:hAnsi="黑体" w:eastAsia="黑体" w:cs="黑体"/>
                <w:color w:val="auto"/>
                <w:sz w:val="24"/>
                <w:highlight w:val="none"/>
              </w:rPr>
            </w:pPr>
          </w:p>
        </w:tc>
        <w:tc>
          <w:tcPr>
            <w:tcW w:w="1105" w:type="dxa"/>
            <w:tcBorders>
              <w:left w:val="single" w:color="auto" w:sz="4" w:space="0"/>
            </w:tcBorders>
            <w:vAlign w:val="center"/>
          </w:tcPr>
          <w:p w14:paraId="19E19CA6">
            <w:pPr>
              <w:jc w:val="center"/>
              <w:rPr>
                <w:rFonts w:hint="eastAsia" w:ascii="黑体" w:hAnsi="黑体" w:eastAsia="黑体" w:cs="黑体"/>
                <w:color w:val="auto"/>
                <w:sz w:val="24"/>
                <w:highlight w:val="none"/>
              </w:rPr>
            </w:pPr>
          </w:p>
        </w:tc>
        <w:tc>
          <w:tcPr>
            <w:tcW w:w="3755" w:type="dxa"/>
            <w:vAlign w:val="center"/>
          </w:tcPr>
          <w:p w14:paraId="7F434E9D">
            <w:pPr>
              <w:jc w:val="center"/>
              <w:rPr>
                <w:rFonts w:hint="eastAsia" w:ascii="黑体" w:hAnsi="黑体" w:eastAsia="黑体" w:cs="黑体"/>
                <w:color w:val="auto"/>
                <w:sz w:val="24"/>
                <w:highlight w:val="none"/>
              </w:rPr>
            </w:pPr>
          </w:p>
        </w:tc>
        <w:tc>
          <w:tcPr>
            <w:tcW w:w="600" w:type="dxa"/>
            <w:vAlign w:val="center"/>
          </w:tcPr>
          <w:p w14:paraId="542BD3B8">
            <w:pPr>
              <w:jc w:val="center"/>
              <w:rPr>
                <w:rFonts w:hint="eastAsia" w:ascii="黑体" w:hAnsi="黑体" w:eastAsia="黑体" w:cs="黑体"/>
                <w:color w:val="auto"/>
                <w:sz w:val="24"/>
                <w:highlight w:val="none"/>
              </w:rPr>
            </w:pPr>
          </w:p>
        </w:tc>
        <w:tc>
          <w:tcPr>
            <w:tcW w:w="661" w:type="dxa"/>
            <w:tcBorders>
              <w:right w:val="single" w:color="auto" w:sz="4" w:space="0"/>
            </w:tcBorders>
            <w:vAlign w:val="center"/>
          </w:tcPr>
          <w:p w14:paraId="30662F42">
            <w:pPr>
              <w:jc w:val="center"/>
              <w:rPr>
                <w:rFonts w:hint="eastAsia" w:ascii="黑体" w:hAnsi="黑体" w:eastAsia="黑体" w:cs="黑体"/>
                <w:color w:val="auto"/>
                <w:sz w:val="24"/>
                <w:highlight w:val="none"/>
              </w:rPr>
            </w:pPr>
          </w:p>
        </w:tc>
        <w:tc>
          <w:tcPr>
            <w:tcW w:w="2235" w:type="dxa"/>
            <w:tcBorders>
              <w:right w:val="single" w:color="auto" w:sz="4" w:space="0"/>
            </w:tcBorders>
            <w:vAlign w:val="center"/>
          </w:tcPr>
          <w:p w14:paraId="5B2FC2A7">
            <w:pPr>
              <w:jc w:val="center"/>
              <w:rPr>
                <w:rFonts w:hint="eastAsia" w:ascii="黑体" w:hAnsi="黑体" w:eastAsia="黑体" w:cs="黑体"/>
                <w:color w:val="auto"/>
                <w:sz w:val="24"/>
                <w:highlight w:val="none"/>
              </w:rPr>
            </w:pPr>
          </w:p>
        </w:tc>
      </w:tr>
      <w:tr w14:paraId="27B6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27CA0A3">
            <w:pPr>
              <w:jc w:val="center"/>
              <w:rPr>
                <w:rFonts w:hint="eastAsia" w:ascii="黑体" w:hAnsi="黑体" w:eastAsia="黑体" w:cs="黑体"/>
                <w:color w:val="auto"/>
                <w:sz w:val="24"/>
                <w:highlight w:val="none"/>
              </w:rPr>
            </w:pPr>
          </w:p>
        </w:tc>
        <w:tc>
          <w:tcPr>
            <w:tcW w:w="1015" w:type="dxa"/>
            <w:tcBorders>
              <w:left w:val="single" w:color="auto" w:sz="4" w:space="0"/>
              <w:right w:val="single" w:color="auto" w:sz="4" w:space="0"/>
            </w:tcBorders>
            <w:vAlign w:val="center"/>
          </w:tcPr>
          <w:p w14:paraId="722B615B">
            <w:pPr>
              <w:jc w:val="center"/>
              <w:rPr>
                <w:rFonts w:hint="eastAsia" w:ascii="黑体" w:hAnsi="黑体" w:eastAsia="黑体" w:cs="黑体"/>
                <w:color w:val="auto"/>
                <w:sz w:val="24"/>
                <w:highlight w:val="none"/>
              </w:rPr>
            </w:pPr>
          </w:p>
        </w:tc>
        <w:tc>
          <w:tcPr>
            <w:tcW w:w="1105" w:type="dxa"/>
            <w:tcBorders>
              <w:left w:val="single" w:color="auto" w:sz="4" w:space="0"/>
            </w:tcBorders>
            <w:vAlign w:val="center"/>
          </w:tcPr>
          <w:p w14:paraId="0542DF97">
            <w:pPr>
              <w:jc w:val="center"/>
              <w:rPr>
                <w:rFonts w:hint="eastAsia" w:ascii="黑体" w:hAnsi="黑体" w:eastAsia="黑体" w:cs="黑体"/>
                <w:color w:val="auto"/>
                <w:sz w:val="24"/>
                <w:highlight w:val="none"/>
              </w:rPr>
            </w:pPr>
          </w:p>
        </w:tc>
        <w:tc>
          <w:tcPr>
            <w:tcW w:w="3755" w:type="dxa"/>
            <w:vAlign w:val="center"/>
          </w:tcPr>
          <w:p w14:paraId="71885D53">
            <w:pPr>
              <w:jc w:val="center"/>
              <w:rPr>
                <w:rFonts w:hint="eastAsia" w:ascii="黑体" w:hAnsi="黑体" w:eastAsia="黑体" w:cs="黑体"/>
                <w:color w:val="auto"/>
                <w:sz w:val="24"/>
                <w:highlight w:val="none"/>
              </w:rPr>
            </w:pPr>
          </w:p>
        </w:tc>
        <w:tc>
          <w:tcPr>
            <w:tcW w:w="600" w:type="dxa"/>
            <w:vAlign w:val="center"/>
          </w:tcPr>
          <w:p w14:paraId="17711F35">
            <w:pPr>
              <w:jc w:val="center"/>
              <w:rPr>
                <w:rFonts w:hint="eastAsia" w:ascii="黑体" w:hAnsi="黑体" w:eastAsia="黑体" w:cs="黑体"/>
                <w:color w:val="auto"/>
                <w:sz w:val="24"/>
                <w:highlight w:val="none"/>
              </w:rPr>
            </w:pPr>
          </w:p>
        </w:tc>
        <w:tc>
          <w:tcPr>
            <w:tcW w:w="661" w:type="dxa"/>
            <w:tcBorders>
              <w:right w:val="single" w:color="auto" w:sz="4" w:space="0"/>
            </w:tcBorders>
            <w:vAlign w:val="center"/>
          </w:tcPr>
          <w:p w14:paraId="69C6F703">
            <w:pPr>
              <w:jc w:val="center"/>
              <w:rPr>
                <w:rFonts w:hint="eastAsia" w:ascii="黑体" w:hAnsi="黑体" w:eastAsia="黑体" w:cs="黑体"/>
                <w:color w:val="auto"/>
                <w:sz w:val="24"/>
                <w:highlight w:val="none"/>
              </w:rPr>
            </w:pPr>
          </w:p>
        </w:tc>
        <w:tc>
          <w:tcPr>
            <w:tcW w:w="2235" w:type="dxa"/>
            <w:tcBorders>
              <w:right w:val="single" w:color="auto" w:sz="4" w:space="0"/>
            </w:tcBorders>
            <w:vAlign w:val="center"/>
          </w:tcPr>
          <w:p w14:paraId="10FF283A">
            <w:pPr>
              <w:jc w:val="center"/>
              <w:rPr>
                <w:rFonts w:hint="eastAsia" w:ascii="黑体" w:hAnsi="黑体" w:eastAsia="黑体" w:cs="黑体"/>
                <w:color w:val="auto"/>
                <w:sz w:val="24"/>
                <w:highlight w:val="none"/>
              </w:rPr>
            </w:pPr>
          </w:p>
        </w:tc>
      </w:tr>
      <w:tr w14:paraId="0E21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00AC39E">
            <w:pPr>
              <w:jc w:val="center"/>
              <w:rPr>
                <w:rFonts w:hint="eastAsia" w:ascii="黑体" w:hAnsi="黑体" w:eastAsia="黑体" w:cs="黑体"/>
                <w:color w:val="auto"/>
                <w:sz w:val="24"/>
                <w:highlight w:val="none"/>
              </w:rPr>
            </w:pPr>
          </w:p>
        </w:tc>
        <w:tc>
          <w:tcPr>
            <w:tcW w:w="1015" w:type="dxa"/>
            <w:tcBorders>
              <w:left w:val="single" w:color="auto" w:sz="4" w:space="0"/>
              <w:right w:val="single" w:color="auto" w:sz="4" w:space="0"/>
            </w:tcBorders>
            <w:vAlign w:val="center"/>
          </w:tcPr>
          <w:p w14:paraId="27FF5AA5">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w:t>
            </w:r>
          </w:p>
        </w:tc>
        <w:tc>
          <w:tcPr>
            <w:tcW w:w="1105" w:type="dxa"/>
            <w:tcBorders>
              <w:left w:val="single" w:color="auto" w:sz="4" w:space="0"/>
            </w:tcBorders>
            <w:vAlign w:val="center"/>
          </w:tcPr>
          <w:p w14:paraId="0A45220B">
            <w:pPr>
              <w:jc w:val="center"/>
              <w:rPr>
                <w:rFonts w:hint="eastAsia" w:ascii="黑体" w:hAnsi="黑体" w:eastAsia="黑体" w:cs="黑体"/>
                <w:color w:val="auto"/>
                <w:sz w:val="24"/>
                <w:highlight w:val="none"/>
              </w:rPr>
            </w:pPr>
          </w:p>
        </w:tc>
        <w:tc>
          <w:tcPr>
            <w:tcW w:w="3755" w:type="dxa"/>
            <w:vAlign w:val="center"/>
          </w:tcPr>
          <w:p w14:paraId="1937B905">
            <w:pPr>
              <w:jc w:val="center"/>
              <w:rPr>
                <w:rFonts w:hint="eastAsia" w:ascii="黑体" w:hAnsi="黑体" w:eastAsia="黑体" w:cs="黑体"/>
                <w:color w:val="auto"/>
                <w:sz w:val="24"/>
                <w:highlight w:val="none"/>
              </w:rPr>
            </w:pPr>
          </w:p>
        </w:tc>
        <w:tc>
          <w:tcPr>
            <w:tcW w:w="600" w:type="dxa"/>
            <w:vAlign w:val="center"/>
          </w:tcPr>
          <w:p w14:paraId="09C1B110">
            <w:pPr>
              <w:jc w:val="center"/>
              <w:rPr>
                <w:rFonts w:hint="eastAsia" w:ascii="黑体" w:hAnsi="黑体" w:eastAsia="黑体" w:cs="黑体"/>
                <w:color w:val="auto"/>
                <w:sz w:val="24"/>
                <w:highlight w:val="none"/>
              </w:rPr>
            </w:pPr>
          </w:p>
        </w:tc>
        <w:tc>
          <w:tcPr>
            <w:tcW w:w="661" w:type="dxa"/>
            <w:tcBorders>
              <w:right w:val="single" w:color="auto" w:sz="4" w:space="0"/>
            </w:tcBorders>
            <w:vAlign w:val="center"/>
          </w:tcPr>
          <w:p w14:paraId="66B267C9">
            <w:pPr>
              <w:jc w:val="center"/>
              <w:rPr>
                <w:rFonts w:hint="eastAsia" w:ascii="黑体" w:hAnsi="黑体" w:eastAsia="黑体" w:cs="黑体"/>
                <w:color w:val="auto"/>
                <w:sz w:val="24"/>
                <w:highlight w:val="none"/>
              </w:rPr>
            </w:pPr>
          </w:p>
        </w:tc>
        <w:tc>
          <w:tcPr>
            <w:tcW w:w="2235" w:type="dxa"/>
            <w:tcBorders>
              <w:right w:val="single" w:color="auto" w:sz="4" w:space="0"/>
            </w:tcBorders>
            <w:vAlign w:val="center"/>
          </w:tcPr>
          <w:p w14:paraId="654473F7">
            <w:pPr>
              <w:jc w:val="center"/>
              <w:rPr>
                <w:rFonts w:hint="eastAsia" w:ascii="黑体" w:hAnsi="黑体" w:eastAsia="黑体" w:cs="黑体"/>
                <w:color w:val="auto"/>
                <w:sz w:val="24"/>
                <w:highlight w:val="none"/>
              </w:rPr>
            </w:pPr>
          </w:p>
        </w:tc>
      </w:tr>
    </w:tbl>
    <w:p w14:paraId="40874F1A">
      <w:pPr>
        <w:spacing w:line="500" w:lineRule="exact"/>
        <w:jc w:val="center"/>
        <w:rPr>
          <w:rFonts w:hint="eastAsia" w:ascii="黑体" w:hAnsi="黑体" w:eastAsia="黑体" w:cs="黑体"/>
          <w:b/>
          <w:bCs/>
          <w:color w:val="auto"/>
          <w:sz w:val="28"/>
          <w:szCs w:val="28"/>
          <w:highlight w:val="none"/>
        </w:rPr>
      </w:pPr>
    </w:p>
    <w:p w14:paraId="21F26A7E">
      <w:pPr>
        <w:rPr>
          <w:rFonts w:hint="eastAsia" w:ascii="黑体" w:hAnsi="黑体" w:eastAsia="黑体" w:cs="黑体"/>
          <w:color w:val="auto"/>
          <w:sz w:val="28"/>
          <w:szCs w:val="28"/>
          <w:highlight w:val="none"/>
          <w:lang w:val="en-GB"/>
        </w:rPr>
      </w:pPr>
      <w:r>
        <w:rPr>
          <w:rFonts w:hint="eastAsia" w:ascii="黑体" w:hAnsi="黑体" w:eastAsia="黑体" w:cs="黑体"/>
          <w:color w:val="auto"/>
          <w:sz w:val="28"/>
          <w:szCs w:val="28"/>
          <w:highlight w:val="none"/>
          <w:lang w:val="en-GB"/>
        </w:rPr>
        <w:t>注：项目负责人和其他主要技术人员应附有关身份证明、从业资格证明、职称证、社保缴费等等有关证明文件等。</w:t>
      </w:r>
    </w:p>
    <w:p w14:paraId="6BEC39A4">
      <w:pPr>
        <w:tabs>
          <w:tab w:val="left" w:pos="540"/>
        </w:tabs>
        <w:ind w:firstLine="560" w:firstLineChars="200"/>
        <w:rPr>
          <w:rFonts w:hint="eastAsia" w:ascii="黑体" w:hAnsi="黑体" w:eastAsia="黑体" w:cs="黑体"/>
          <w:b/>
          <w:color w:val="auto"/>
          <w:sz w:val="28"/>
          <w:szCs w:val="28"/>
          <w:highlight w:val="none"/>
          <w:lang w:val="en-GB"/>
        </w:rPr>
      </w:pPr>
      <w:r>
        <w:rPr>
          <w:rFonts w:hint="eastAsia" w:ascii="黑体" w:hAnsi="黑体" w:eastAsia="黑体" w:cs="黑体"/>
          <w:color w:val="auto"/>
          <w:sz w:val="28"/>
          <w:szCs w:val="28"/>
          <w:highlight w:val="none"/>
        </w:rPr>
        <w:t>此表仅提供了表格形式，磋商响应方应根据需要准备足够数量的表格来填写。</w:t>
      </w:r>
    </w:p>
    <w:p w14:paraId="606C288F">
      <w:pPr>
        <w:tabs>
          <w:tab w:val="left" w:pos="540"/>
        </w:tabs>
        <w:rPr>
          <w:rFonts w:hint="eastAsia" w:ascii="黑体" w:hAnsi="黑体" w:eastAsia="黑体" w:cs="黑体"/>
          <w:b/>
          <w:color w:val="auto"/>
          <w:sz w:val="28"/>
          <w:szCs w:val="28"/>
          <w:highlight w:val="none"/>
          <w:lang w:val="en-GB"/>
        </w:rPr>
      </w:pPr>
    </w:p>
    <w:p w14:paraId="305CEA04">
      <w:pPr>
        <w:adjustRightInd w:val="0"/>
        <w:snapToGrid w:val="0"/>
        <w:spacing w:line="300" w:lineRule="auto"/>
        <w:rPr>
          <w:rFonts w:hint="eastAsia" w:ascii="黑体" w:hAnsi="黑体" w:eastAsia="黑体" w:cs="黑体"/>
          <w:color w:val="auto"/>
          <w:sz w:val="28"/>
          <w:szCs w:val="28"/>
          <w:highlight w:val="none"/>
        </w:rPr>
      </w:pPr>
    </w:p>
    <w:p w14:paraId="778A5CCA">
      <w:pPr>
        <w:adjustRightInd w:val="0"/>
        <w:snapToGrid w:val="0"/>
        <w:spacing w:line="300" w:lineRule="auto"/>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rPr>
        <w:t>响应供应商名称（签章）：</w:t>
      </w:r>
      <w:r>
        <w:rPr>
          <w:rFonts w:hint="eastAsia" w:ascii="黑体" w:hAnsi="黑体" w:eastAsia="黑体" w:cs="黑体"/>
          <w:color w:val="auto"/>
          <w:sz w:val="28"/>
          <w:szCs w:val="28"/>
          <w:highlight w:val="none"/>
          <w:u w:val="single"/>
        </w:rPr>
        <w:t xml:space="preserve">                        </w:t>
      </w:r>
    </w:p>
    <w:p w14:paraId="12169A36">
      <w:pPr>
        <w:spacing w:line="500" w:lineRule="exac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日期：</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年</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 xml:space="preserve"> 月</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 xml:space="preserve"> 日</w:t>
      </w:r>
    </w:p>
    <w:p w14:paraId="0826C198">
      <w:pPr>
        <w:tabs>
          <w:tab w:val="left" w:pos="540"/>
        </w:tabs>
        <w:jc w:val="center"/>
        <w:rPr>
          <w:rFonts w:hint="eastAsia" w:ascii="黑体" w:hAnsi="黑体" w:eastAsia="黑体" w:cs="黑体"/>
          <w:b/>
          <w:color w:val="auto"/>
          <w:sz w:val="28"/>
          <w:szCs w:val="28"/>
          <w:highlight w:val="none"/>
          <w:lang w:val="en-GB"/>
        </w:rPr>
      </w:pPr>
    </w:p>
    <w:p w14:paraId="51DD8BA1">
      <w:pPr>
        <w:tabs>
          <w:tab w:val="left" w:pos="540"/>
        </w:tabs>
        <w:jc w:val="center"/>
        <w:rPr>
          <w:rFonts w:hint="eastAsia" w:ascii="黑体" w:hAnsi="黑体" w:eastAsia="黑体" w:cs="黑体"/>
          <w:b/>
          <w:color w:val="auto"/>
          <w:sz w:val="28"/>
          <w:szCs w:val="28"/>
          <w:highlight w:val="none"/>
          <w:lang w:val="en-GB"/>
        </w:rPr>
      </w:pPr>
    </w:p>
    <w:p w14:paraId="3B428E28">
      <w:pPr>
        <w:tabs>
          <w:tab w:val="left" w:pos="540"/>
        </w:tabs>
        <w:jc w:val="center"/>
        <w:rPr>
          <w:rFonts w:hint="eastAsia" w:ascii="黑体" w:hAnsi="黑体" w:eastAsia="黑体" w:cs="黑体"/>
          <w:b/>
          <w:color w:val="auto"/>
          <w:sz w:val="28"/>
          <w:szCs w:val="28"/>
          <w:highlight w:val="none"/>
          <w:lang w:val="en-GB"/>
        </w:rPr>
      </w:pPr>
    </w:p>
    <w:p w14:paraId="0354793D">
      <w:pPr>
        <w:tabs>
          <w:tab w:val="left" w:pos="540"/>
        </w:tabs>
        <w:jc w:val="center"/>
        <w:rPr>
          <w:rFonts w:hint="eastAsia" w:ascii="黑体" w:hAnsi="黑体" w:eastAsia="黑体" w:cs="黑体"/>
          <w:b/>
          <w:color w:val="auto"/>
          <w:sz w:val="28"/>
          <w:szCs w:val="28"/>
          <w:highlight w:val="none"/>
          <w:lang w:val="en-GB"/>
        </w:rPr>
      </w:pPr>
    </w:p>
    <w:p w14:paraId="5ABBD16E">
      <w:pPr>
        <w:tabs>
          <w:tab w:val="left" w:pos="540"/>
        </w:tabs>
        <w:jc w:val="center"/>
        <w:rPr>
          <w:rFonts w:hint="eastAsia" w:ascii="黑体" w:hAnsi="黑体" w:eastAsia="黑体" w:cs="黑体"/>
          <w:b/>
          <w:color w:val="auto"/>
          <w:sz w:val="28"/>
          <w:szCs w:val="28"/>
          <w:highlight w:val="none"/>
          <w:lang w:val="en-GB"/>
        </w:rPr>
      </w:pPr>
    </w:p>
    <w:p w14:paraId="725E529C">
      <w:pPr>
        <w:tabs>
          <w:tab w:val="left" w:pos="540"/>
        </w:tabs>
        <w:jc w:val="center"/>
        <w:rPr>
          <w:rFonts w:hint="eastAsia" w:ascii="黑体" w:hAnsi="黑体" w:eastAsia="黑体" w:cs="黑体"/>
          <w:b/>
          <w:color w:val="auto"/>
          <w:sz w:val="28"/>
          <w:szCs w:val="28"/>
          <w:highlight w:val="none"/>
          <w:lang w:val="en-GB"/>
        </w:rPr>
      </w:pPr>
    </w:p>
    <w:p w14:paraId="27941FDD">
      <w:pPr>
        <w:tabs>
          <w:tab w:val="left" w:pos="540"/>
        </w:tabs>
        <w:jc w:val="center"/>
        <w:rPr>
          <w:rFonts w:hint="eastAsia" w:ascii="黑体" w:hAnsi="黑体" w:eastAsia="黑体" w:cs="黑体"/>
          <w:b/>
          <w:color w:val="auto"/>
          <w:sz w:val="28"/>
          <w:szCs w:val="28"/>
          <w:highlight w:val="none"/>
          <w:lang w:val="en-GB"/>
        </w:rPr>
      </w:pPr>
    </w:p>
    <w:p w14:paraId="7897180E">
      <w:pPr>
        <w:pStyle w:val="76"/>
        <w:rPr>
          <w:rFonts w:hint="eastAsia" w:ascii="黑体" w:hAnsi="黑体" w:eastAsia="黑体" w:cs="黑体"/>
          <w:color w:val="auto"/>
          <w:highlight w:val="none"/>
          <w:lang w:val="en-GB"/>
        </w:rPr>
      </w:pPr>
    </w:p>
    <w:p w14:paraId="5782C8D2">
      <w:pPr>
        <w:tabs>
          <w:tab w:val="left" w:pos="540"/>
        </w:tabs>
        <w:jc w:val="center"/>
        <w:rPr>
          <w:rFonts w:hint="eastAsia" w:ascii="黑体" w:hAnsi="黑体" w:eastAsia="黑体" w:cs="黑体"/>
          <w:b/>
          <w:color w:val="auto"/>
          <w:sz w:val="28"/>
          <w:szCs w:val="28"/>
          <w:highlight w:val="none"/>
          <w:lang w:val="en-GB"/>
        </w:rPr>
      </w:pPr>
    </w:p>
    <w:p w14:paraId="4F5F0451">
      <w:pPr>
        <w:tabs>
          <w:tab w:val="left" w:pos="540"/>
        </w:tabs>
        <w:jc w:val="center"/>
        <w:rPr>
          <w:rFonts w:hint="eastAsia" w:ascii="黑体" w:hAnsi="黑体" w:eastAsia="黑体" w:cs="黑体"/>
          <w:b/>
          <w:color w:val="auto"/>
          <w:sz w:val="28"/>
          <w:szCs w:val="28"/>
          <w:highlight w:val="none"/>
          <w:lang w:val="en-GB"/>
        </w:rPr>
      </w:pPr>
    </w:p>
    <w:p w14:paraId="0B358413">
      <w:pPr>
        <w:tabs>
          <w:tab w:val="left" w:pos="540"/>
        </w:tabs>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附件十四：</w:t>
      </w:r>
    </w:p>
    <w:p w14:paraId="1F188EEB">
      <w:pPr>
        <w:widowControl/>
        <w:spacing w:line="36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承诺函</w:t>
      </w:r>
    </w:p>
    <w:p w14:paraId="0C2F81D3">
      <w:pPr>
        <w:widowControl/>
        <w:spacing w:line="360" w:lineRule="auto"/>
        <w:jc w:val="left"/>
        <w:rPr>
          <w:rFonts w:hint="eastAsia" w:ascii="黑体" w:hAnsi="黑体" w:eastAsia="黑体" w:cs="黑体"/>
          <w:color w:val="auto"/>
          <w:sz w:val="28"/>
          <w:szCs w:val="28"/>
          <w:highlight w:val="none"/>
        </w:rPr>
      </w:pPr>
      <w:r>
        <w:rPr>
          <w:rFonts w:hint="eastAsia" w:ascii="黑体" w:hAnsi="黑体" w:eastAsia="黑体" w:cs="黑体"/>
          <w:color w:val="auto"/>
          <w:kern w:val="0"/>
          <w:sz w:val="28"/>
          <w:szCs w:val="28"/>
          <w:highlight w:val="none"/>
          <w:u w:val="single"/>
        </w:rPr>
        <w:t>（采购人）</w:t>
      </w:r>
      <w:r>
        <w:rPr>
          <w:rFonts w:hint="eastAsia" w:ascii="黑体" w:hAnsi="黑体" w:eastAsia="黑体" w:cs="黑体"/>
          <w:color w:val="auto"/>
          <w:kern w:val="0"/>
          <w:sz w:val="28"/>
          <w:szCs w:val="28"/>
          <w:highlight w:val="none"/>
        </w:rPr>
        <w:t xml:space="preserve">： </w:t>
      </w:r>
    </w:p>
    <w:p w14:paraId="159434D3">
      <w:pPr>
        <w:widowControl/>
        <w:spacing w:line="360" w:lineRule="auto"/>
        <w:ind w:firstLine="560" w:firstLineChars="200"/>
        <w:jc w:val="left"/>
        <w:rPr>
          <w:rFonts w:hint="eastAsia" w:ascii="黑体" w:hAnsi="黑体" w:eastAsia="黑体" w:cs="黑体"/>
          <w:color w:val="auto"/>
          <w:sz w:val="28"/>
          <w:szCs w:val="28"/>
          <w:highlight w:val="none"/>
        </w:rPr>
      </w:pPr>
      <w:r>
        <w:rPr>
          <w:rFonts w:hint="eastAsia" w:ascii="黑体" w:hAnsi="黑体" w:eastAsia="黑体" w:cs="黑体"/>
          <w:color w:val="auto"/>
          <w:kern w:val="0"/>
          <w:sz w:val="28"/>
          <w:szCs w:val="28"/>
          <w:highlight w:val="none"/>
        </w:rPr>
        <w:t>我方</w:t>
      </w:r>
      <w:r>
        <w:rPr>
          <w:rFonts w:hint="eastAsia" w:ascii="黑体" w:hAnsi="黑体" w:eastAsia="黑体" w:cs="黑体"/>
          <w:color w:val="auto"/>
          <w:kern w:val="0"/>
          <w:sz w:val="28"/>
          <w:szCs w:val="28"/>
          <w:highlight w:val="none"/>
          <w:u w:val="single"/>
        </w:rPr>
        <w:t>（供应商）</w:t>
      </w:r>
      <w:r>
        <w:rPr>
          <w:rFonts w:hint="eastAsia" w:ascii="黑体" w:hAnsi="黑体" w:eastAsia="黑体" w:cs="黑体"/>
          <w:color w:val="auto"/>
          <w:kern w:val="0"/>
          <w:sz w:val="28"/>
          <w:szCs w:val="28"/>
          <w:highlight w:val="none"/>
        </w:rPr>
        <w:t xml:space="preserve"> 在参加政府采购活动前三年内，具有良好的商业信誉，</w:t>
      </w:r>
      <w:r>
        <w:rPr>
          <w:rFonts w:hint="eastAsia" w:ascii="黑体" w:hAnsi="黑体" w:eastAsia="黑体" w:cs="黑体"/>
          <w:bCs/>
          <w:color w:val="auto"/>
          <w:kern w:val="0"/>
          <w:sz w:val="28"/>
          <w:szCs w:val="28"/>
          <w:highlight w:val="none"/>
        </w:rPr>
        <w:t>依法缴纳税收和社会保障资金</w:t>
      </w:r>
      <w:r>
        <w:rPr>
          <w:rFonts w:hint="eastAsia" w:ascii="黑体" w:hAnsi="黑体" w:eastAsia="黑体" w:cs="黑体"/>
          <w:color w:val="auto"/>
          <w:kern w:val="0"/>
          <w:sz w:val="28"/>
          <w:szCs w:val="28"/>
          <w:highlight w:val="none"/>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吊销许可证或者执照、被处以较大数额罚款等行政处罚，没有因违法经营被禁止参加政府采购活动的期限未满情形）。如有虚假，采购人可取消我方任何资格（投标/中标/签订合同），我方对此无任何 异议。</w:t>
      </w:r>
    </w:p>
    <w:p w14:paraId="71BB4CD4">
      <w:pPr>
        <w:widowControl/>
        <w:spacing w:line="360" w:lineRule="auto"/>
        <w:jc w:val="left"/>
        <w:rPr>
          <w:rFonts w:hint="eastAsia" w:ascii="黑体" w:hAnsi="黑体" w:eastAsia="黑体" w:cs="黑体"/>
          <w:color w:val="auto"/>
          <w:sz w:val="28"/>
          <w:szCs w:val="28"/>
          <w:highlight w:val="none"/>
        </w:rPr>
      </w:pPr>
      <w:r>
        <w:rPr>
          <w:rFonts w:hint="eastAsia" w:ascii="黑体" w:hAnsi="黑体" w:eastAsia="黑体" w:cs="黑体"/>
          <w:color w:val="auto"/>
          <w:kern w:val="0"/>
          <w:sz w:val="28"/>
          <w:szCs w:val="28"/>
          <w:highlight w:val="none"/>
        </w:rPr>
        <w:t xml:space="preserve">特此承诺！ </w:t>
      </w:r>
    </w:p>
    <w:p w14:paraId="397F5A7A">
      <w:pPr>
        <w:widowControl/>
        <w:spacing w:line="360" w:lineRule="auto"/>
        <w:jc w:val="left"/>
        <w:rPr>
          <w:rFonts w:hint="eastAsia" w:ascii="黑体" w:hAnsi="黑体" w:eastAsia="黑体" w:cs="黑体"/>
          <w:color w:val="auto"/>
          <w:kern w:val="0"/>
          <w:sz w:val="28"/>
          <w:szCs w:val="28"/>
          <w:highlight w:val="none"/>
        </w:rPr>
      </w:pPr>
    </w:p>
    <w:p w14:paraId="65BEBEBA">
      <w:pPr>
        <w:widowControl/>
        <w:spacing w:line="360" w:lineRule="auto"/>
        <w:jc w:val="left"/>
        <w:rPr>
          <w:rFonts w:hint="eastAsia" w:ascii="黑体" w:hAnsi="黑体" w:eastAsia="黑体" w:cs="黑体"/>
          <w:color w:val="auto"/>
          <w:sz w:val="28"/>
          <w:szCs w:val="28"/>
          <w:highlight w:val="none"/>
        </w:rPr>
      </w:pPr>
      <w:r>
        <w:rPr>
          <w:rFonts w:hint="eastAsia" w:ascii="黑体" w:hAnsi="黑体" w:eastAsia="黑体" w:cs="黑体"/>
          <w:color w:val="auto"/>
          <w:kern w:val="0"/>
          <w:sz w:val="28"/>
          <w:szCs w:val="28"/>
          <w:highlight w:val="none"/>
        </w:rPr>
        <w:t>供应商全称：（</w:t>
      </w:r>
      <w:r>
        <w:rPr>
          <w:rFonts w:hint="eastAsia" w:ascii="黑体" w:hAnsi="黑体" w:eastAsia="黑体" w:cs="黑体"/>
          <w:bCs/>
          <w:color w:val="auto"/>
          <w:kern w:val="0"/>
          <w:sz w:val="28"/>
          <w:szCs w:val="28"/>
          <w:highlight w:val="none"/>
        </w:rPr>
        <w:t>盖单位公章</w:t>
      </w:r>
      <w:r>
        <w:rPr>
          <w:rFonts w:hint="eastAsia" w:ascii="黑体" w:hAnsi="黑体" w:eastAsia="黑体" w:cs="黑体"/>
          <w:color w:val="auto"/>
          <w:kern w:val="0"/>
          <w:sz w:val="28"/>
          <w:szCs w:val="28"/>
          <w:highlight w:val="none"/>
        </w:rPr>
        <w:t>）：</w:t>
      </w:r>
    </w:p>
    <w:p w14:paraId="61A7DF8D">
      <w:pPr>
        <w:widowControl/>
        <w:spacing w:line="360" w:lineRule="auto"/>
        <w:jc w:val="left"/>
        <w:rPr>
          <w:rFonts w:hint="eastAsia" w:ascii="黑体" w:hAnsi="黑体" w:eastAsia="黑体" w:cs="黑体"/>
          <w:color w:val="auto"/>
          <w:kern w:val="0"/>
          <w:sz w:val="28"/>
          <w:szCs w:val="28"/>
          <w:highlight w:val="none"/>
        </w:rPr>
      </w:pPr>
    </w:p>
    <w:p w14:paraId="00381957">
      <w:pPr>
        <w:widowControl/>
        <w:spacing w:line="360" w:lineRule="auto"/>
        <w:jc w:val="left"/>
        <w:rPr>
          <w:rFonts w:hint="eastAsia" w:ascii="黑体" w:hAnsi="黑体" w:eastAsia="黑体" w:cs="黑体"/>
          <w:color w:val="auto"/>
          <w:sz w:val="28"/>
          <w:szCs w:val="28"/>
          <w:highlight w:val="none"/>
        </w:rPr>
      </w:pPr>
      <w:r>
        <w:rPr>
          <w:rFonts w:hint="eastAsia" w:ascii="黑体" w:hAnsi="黑体" w:eastAsia="黑体" w:cs="黑体"/>
          <w:color w:val="auto"/>
          <w:kern w:val="0"/>
          <w:sz w:val="28"/>
          <w:szCs w:val="28"/>
          <w:highlight w:val="none"/>
        </w:rPr>
        <w:t xml:space="preserve">法定代表人或授权代表（签字）： </w:t>
      </w:r>
    </w:p>
    <w:p w14:paraId="0330CE6A">
      <w:pPr>
        <w:widowControl/>
        <w:spacing w:line="360" w:lineRule="auto"/>
        <w:jc w:val="left"/>
        <w:rPr>
          <w:rFonts w:hint="eastAsia" w:ascii="黑体" w:hAnsi="黑体" w:eastAsia="黑体" w:cs="黑体"/>
          <w:color w:val="auto"/>
          <w:kern w:val="0"/>
          <w:sz w:val="28"/>
          <w:szCs w:val="28"/>
          <w:highlight w:val="none"/>
        </w:rPr>
      </w:pPr>
    </w:p>
    <w:p w14:paraId="026B67A5">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kern w:val="0"/>
          <w:sz w:val="28"/>
          <w:szCs w:val="28"/>
          <w:highlight w:val="none"/>
        </w:rPr>
        <w:t>日期：      年   月   日</w:t>
      </w:r>
    </w:p>
    <w:p w14:paraId="6D73CA17">
      <w:pPr>
        <w:tabs>
          <w:tab w:val="left" w:pos="540"/>
        </w:tabs>
        <w:rPr>
          <w:rFonts w:hint="eastAsia" w:ascii="黑体" w:hAnsi="黑体" w:eastAsia="黑体" w:cs="黑体"/>
          <w:b/>
          <w:color w:val="auto"/>
          <w:sz w:val="30"/>
          <w:szCs w:val="30"/>
          <w:highlight w:val="none"/>
        </w:rPr>
      </w:pPr>
    </w:p>
    <w:p w14:paraId="0E1CD845">
      <w:pPr>
        <w:tabs>
          <w:tab w:val="left" w:pos="540"/>
        </w:tabs>
        <w:rPr>
          <w:rFonts w:hint="eastAsia" w:ascii="黑体" w:hAnsi="黑体" w:eastAsia="黑体" w:cs="黑体"/>
          <w:b/>
          <w:color w:val="auto"/>
          <w:sz w:val="30"/>
          <w:szCs w:val="30"/>
          <w:highlight w:val="none"/>
        </w:rPr>
      </w:pPr>
    </w:p>
    <w:p w14:paraId="03A18D56">
      <w:pPr>
        <w:tabs>
          <w:tab w:val="left" w:pos="540"/>
        </w:tabs>
        <w:rPr>
          <w:rFonts w:hint="eastAsia" w:ascii="黑体" w:hAnsi="黑体" w:eastAsia="黑体" w:cs="黑体"/>
          <w:b/>
          <w:color w:val="auto"/>
          <w:sz w:val="30"/>
          <w:szCs w:val="30"/>
          <w:highlight w:val="none"/>
        </w:rPr>
      </w:pPr>
    </w:p>
    <w:p w14:paraId="67B7CD8B">
      <w:pPr>
        <w:tabs>
          <w:tab w:val="left" w:pos="540"/>
        </w:tabs>
        <w:rPr>
          <w:rFonts w:hint="eastAsia" w:ascii="黑体" w:hAnsi="黑体" w:eastAsia="黑体" w:cs="黑体"/>
          <w:b/>
          <w:color w:val="auto"/>
          <w:sz w:val="30"/>
          <w:szCs w:val="30"/>
          <w:highlight w:val="none"/>
        </w:rPr>
      </w:pPr>
    </w:p>
    <w:p w14:paraId="11553B45">
      <w:pPr>
        <w:tabs>
          <w:tab w:val="left" w:pos="540"/>
        </w:tabs>
        <w:rPr>
          <w:rFonts w:hint="eastAsia" w:ascii="黑体" w:hAnsi="黑体" w:eastAsia="黑体" w:cs="黑体"/>
          <w:b/>
          <w:color w:val="auto"/>
          <w:sz w:val="30"/>
          <w:szCs w:val="30"/>
          <w:highlight w:val="none"/>
        </w:rPr>
      </w:pPr>
    </w:p>
    <w:p w14:paraId="0DCF7D84">
      <w:pPr>
        <w:tabs>
          <w:tab w:val="left" w:pos="540"/>
        </w:tabs>
        <w:rPr>
          <w:rFonts w:hint="eastAsia" w:ascii="黑体" w:hAnsi="黑体" w:eastAsia="黑体" w:cs="黑体"/>
          <w:b/>
          <w:color w:val="auto"/>
          <w:sz w:val="30"/>
          <w:szCs w:val="30"/>
          <w:highlight w:val="none"/>
        </w:rPr>
      </w:pPr>
    </w:p>
    <w:p w14:paraId="6C0EF450">
      <w:pPr>
        <w:tabs>
          <w:tab w:val="left" w:pos="540"/>
        </w:tabs>
        <w:rPr>
          <w:rFonts w:hint="eastAsia" w:ascii="黑体" w:hAnsi="黑体" w:eastAsia="黑体" w:cs="黑体"/>
          <w:b/>
          <w:color w:val="auto"/>
          <w:sz w:val="30"/>
          <w:szCs w:val="30"/>
          <w:highlight w:val="none"/>
        </w:rPr>
      </w:pPr>
    </w:p>
    <w:p w14:paraId="14BF8638">
      <w:pPr>
        <w:tabs>
          <w:tab w:val="left" w:pos="540"/>
        </w:tabs>
        <w:rPr>
          <w:rFonts w:hint="eastAsia" w:ascii="黑体" w:hAnsi="黑体" w:eastAsia="黑体" w:cs="黑体"/>
          <w:b/>
          <w:color w:val="auto"/>
          <w:sz w:val="30"/>
          <w:szCs w:val="30"/>
          <w:highlight w:val="none"/>
        </w:rPr>
      </w:pPr>
    </w:p>
    <w:p w14:paraId="128CCE37">
      <w:pPr>
        <w:tabs>
          <w:tab w:val="left" w:pos="540"/>
        </w:tabs>
        <w:rPr>
          <w:rFonts w:hint="eastAsia" w:ascii="黑体" w:hAnsi="黑体" w:eastAsia="黑体" w:cs="黑体"/>
          <w:b/>
          <w:color w:val="auto"/>
          <w:sz w:val="30"/>
          <w:szCs w:val="30"/>
          <w:highlight w:val="none"/>
        </w:rPr>
      </w:pPr>
    </w:p>
    <w:p w14:paraId="3ECFCC7A">
      <w:pPr>
        <w:tabs>
          <w:tab w:val="left" w:pos="540"/>
        </w:tabs>
        <w:rPr>
          <w:rFonts w:hint="eastAsia" w:ascii="黑体" w:hAnsi="黑体" w:eastAsia="黑体" w:cs="黑体"/>
          <w:b/>
          <w:color w:val="auto"/>
          <w:sz w:val="30"/>
          <w:szCs w:val="30"/>
          <w:highlight w:val="none"/>
        </w:rPr>
      </w:pPr>
    </w:p>
    <w:p w14:paraId="44E43C83">
      <w:pPr>
        <w:tabs>
          <w:tab w:val="left" w:pos="540"/>
        </w:tabs>
        <w:rPr>
          <w:rFonts w:hint="eastAsia" w:ascii="黑体" w:hAnsi="黑体" w:eastAsia="黑体" w:cs="黑体"/>
          <w:b/>
          <w:color w:val="auto"/>
          <w:sz w:val="30"/>
          <w:szCs w:val="30"/>
          <w:highlight w:val="none"/>
        </w:rPr>
      </w:pPr>
    </w:p>
    <w:p w14:paraId="02F23F6A">
      <w:pPr>
        <w:tabs>
          <w:tab w:val="left" w:pos="540"/>
        </w:tabs>
        <w:rPr>
          <w:rFonts w:hint="eastAsia" w:ascii="黑体" w:hAnsi="黑体" w:eastAsia="黑体" w:cs="黑体"/>
          <w:b/>
          <w:color w:val="auto"/>
          <w:sz w:val="30"/>
          <w:szCs w:val="30"/>
          <w:highlight w:val="none"/>
        </w:rPr>
      </w:pPr>
    </w:p>
    <w:p w14:paraId="22778679">
      <w:pPr>
        <w:tabs>
          <w:tab w:val="left" w:pos="540"/>
        </w:tabs>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附件十五：</w:t>
      </w:r>
    </w:p>
    <w:p w14:paraId="5E6E95F1">
      <w:pPr>
        <w:tabs>
          <w:tab w:val="center" w:pos="4156"/>
        </w:tabs>
        <w:snapToGrid w:val="0"/>
        <w:spacing w:before="120" w:beforeLines="50" w:after="50"/>
        <w:jc w:val="center"/>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磋 商 声 明 书</w:t>
      </w:r>
    </w:p>
    <w:p w14:paraId="537B220E">
      <w:pPr>
        <w:snapToGrid w:val="0"/>
        <w:spacing w:before="120" w:beforeLines="50" w:after="5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致：______</w:t>
      </w:r>
      <w:r>
        <w:rPr>
          <w:rFonts w:hint="eastAsia" w:ascii="黑体" w:hAnsi="黑体" w:eastAsia="黑体" w:cs="黑体"/>
          <w:color w:val="auto"/>
          <w:sz w:val="24"/>
          <w:szCs w:val="20"/>
          <w:highlight w:val="none"/>
          <w:u w:val="single"/>
        </w:rPr>
        <w:t>__</w:t>
      </w:r>
      <w:r>
        <w:rPr>
          <w:rFonts w:hint="eastAsia" w:ascii="黑体" w:hAnsi="黑体" w:eastAsia="黑体" w:cs="黑体"/>
          <w:color w:val="auto"/>
          <w:sz w:val="24"/>
          <w:szCs w:val="20"/>
          <w:highlight w:val="none"/>
        </w:rPr>
        <w:t>_（代理公司、采购单位名称）：</w:t>
      </w:r>
    </w:p>
    <w:p w14:paraId="35D65551">
      <w:pPr>
        <w:snapToGrid w:val="0"/>
        <w:spacing w:before="120" w:beforeLines="50" w:after="50"/>
        <w:ind w:firstLine="720" w:firstLineChars="3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______</w:t>
      </w:r>
      <w:r>
        <w:rPr>
          <w:rFonts w:hint="eastAsia" w:ascii="黑体" w:hAnsi="黑体" w:eastAsia="黑体" w:cs="黑体"/>
          <w:color w:val="auto"/>
          <w:sz w:val="24"/>
          <w:szCs w:val="20"/>
          <w:highlight w:val="none"/>
          <w:u w:val="single"/>
        </w:rPr>
        <w:t>__</w:t>
      </w:r>
      <w:r>
        <w:rPr>
          <w:rFonts w:hint="eastAsia" w:ascii="黑体" w:hAnsi="黑体" w:eastAsia="黑体" w:cs="黑体"/>
          <w:color w:val="auto"/>
          <w:sz w:val="24"/>
          <w:szCs w:val="20"/>
          <w:highlight w:val="none"/>
        </w:rPr>
        <w:t>_（磋商响应供应商名称）系中华人民共和国合法</w:t>
      </w:r>
      <w:r>
        <w:rPr>
          <w:rFonts w:hint="eastAsia" w:ascii="黑体" w:hAnsi="黑体" w:eastAsia="黑体" w:cs="黑体"/>
          <w:color w:val="auto"/>
          <w:sz w:val="24"/>
          <w:szCs w:val="20"/>
          <w:highlight w:val="none"/>
          <w:u w:val="single"/>
        </w:rPr>
        <w:t xml:space="preserve">      （企业、法人或其他）</w:t>
      </w:r>
      <w:r>
        <w:rPr>
          <w:rFonts w:hint="eastAsia" w:ascii="黑体" w:hAnsi="黑体" w:eastAsia="黑体" w:cs="黑体"/>
          <w:color w:val="auto"/>
          <w:sz w:val="24"/>
          <w:szCs w:val="20"/>
          <w:highlight w:val="none"/>
        </w:rPr>
        <w:t>，经营地址</w:t>
      </w:r>
      <w:r>
        <w:rPr>
          <w:rFonts w:hint="eastAsia" w:ascii="黑体" w:hAnsi="黑体" w:eastAsia="黑体" w:cs="黑体"/>
          <w:color w:val="auto"/>
          <w:sz w:val="24"/>
          <w:szCs w:val="20"/>
          <w:highlight w:val="none"/>
          <w:u w:val="single"/>
        </w:rPr>
        <w:t xml:space="preserve">                     </w:t>
      </w:r>
      <w:r>
        <w:rPr>
          <w:rFonts w:hint="eastAsia" w:ascii="黑体" w:hAnsi="黑体" w:eastAsia="黑体" w:cs="黑体"/>
          <w:color w:val="auto"/>
          <w:sz w:val="24"/>
          <w:szCs w:val="20"/>
          <w:highlight w:val="none"/>
        </w:rPr>
        <w:t>。</w:t>
      </w:r>
    </w:p>
    <w:p w14:paraId="7A93E348">
      <w:pPr>
        <w:snapToGrid w:val="0"/>
        <w:spacing w:before="120" w:beforeLines="50" w:after="50"/>
        <w:ind w:firstLine="645"/>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我___</w:t>
      </w:r>
      <w:r>
        <w:rPr>
          <w:rFonts w:hint="eastAsia" w:ascii="黑体" w:hAnsi="黑体" w:eastAsia="黑体" w:cs="黑体"/>
          <w:color w:val="auto"/>
          <w:sz w:val="24"/>
          <w:szCs w:val="20"/>
          <w:highlight w:val="none"/>
          <w:u w:val="single"/>
        </w:rPr>
        <w:t>_</w:t>
      </w:r>
      <w:r>
        <w:rPr>
          <w:rFonts w:hint="eastAsia" w:ascii="黑体" w:hAnsi="黑体" w:eastAsia="黑体" w:cs="黑体"/>
          <w:color w:val="auto"/>
          <w:sz w:val="24"/>
          <w:szCs w:val="20"/>
          <w:highlight w:val="none"/>
        </w:rPr>
        <w:t>_（姓名）系______</w:t>
      </w:r>
      <w:r>
        <w:rPr>
          <w:rFonts w:hint="eastAsia" w:ascii="黑体" w:hAnsi="黑体" w:eastAsia="黑体" w:cs="黑体"/>
          <w:color w:val="auto"/>
          <w:sz w:val="24"/>
          <w:szCs w:val="20"/>
          <w:highlight w:val="none"/>
          <w:u w:val="single"/>
        </w:rPr>
        <w:t>__</w:t>
      </w:r>
      <w:r>
        <w:rPr>
          <w:rFonts w:hint="eastAsia" w:ascii="黑体" w:hAnsi="黑体" w:eastAsia="黑体" w:cs="黑体"/>
          <w:color w:val="auto"/>
          <w:sz w:val="24"/>
          <w:szCs w:val="20"/>
          <w:highlight w:val="none"/>
        </w:rPr>
        <w:t>_（磋商响应供应商名称）的法定代表人，我方愿意参加贵方组织的__</w:t>
      </w:r>
      <w:r>
        <w:rPr>
          <w:rFonts w:hint="eastAsia" w:ascii="黑体" w:hAnsi="黑体" w:eastAsia="黑体" w:cs="黑体"/>
          <w:color w:val="auto"/>
          <w:sz w:val="24"/>
          <w:szCs w:val="20"/>
          <w:highlight w:val="none"/>
          <w:u w:val="single"/>
        </w:rPr>
        <w:t xml:space="preserve">__        </w:t>
      </w:r>
      <w:r>
        <w:rPr>
          <w:rFonts w:hint="eastAsia" w:ascii="黑体" w:hAnsi="黑体" w:eastAsia="黑体" w:cs="黑体"/>
          <w:color w:val="auto"/>
          <w:sz w:val="24"/>
          <w:szCs w:val="20"/>
          <w:highlight w:val="none"/>
        </w:rPr>
        <w:t>_</w:t>
      </w:r>
      <w:r>
        <w:rPr>
          <w:rFonts w:hint="eastAsia" w:ascii="黑体" w:hAnsi="黑体" w:eastAsia="黑体" w:cs="黑体"/>
          <w:color w:val="auto"/>
          <w:sz w:val="24"/>
          <w:szCs w:val="20"/>
          <w:highlight w:val="none"/>
          <w:u w:val="single"/>
        </w:rPr>
        <w:t>___</w:t>
      </w:r>
      <w:r>
        <w:rPr>
          <w:rFonts w:hint="eastAsia" w:ascii="黑体" w:hAnsi="黑体" w:eastAsia="黑体" w:cs="黑体"/>
          <w:color w:val="auto"/>
          <w:sz w:val="24"/>
          <w:szCs w:val="20"/>
          <w:highlight w:val="none"/>
        </w:rPr>
        <w:t>_项目的磋商，为便于贵方公正、择优地确定成交人及其成交产品和服务，我方就本次磋商有关事项郑重声明如下：</w:t>
      </w:r>
    </w:p>
    <w:p w14:paraId="16833FB7">
      <w:pPr>
        <w:snapToGrid w:val="0"/>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1.我方向贵方提交的所有磋商响应文件、资料都是准确的和真实的。</w:t>
      </w:r>
    </w:p>
    <w:p w14:paraId="442FFB04">
      <w:pPr>
        <w:snapToGrid w:val="0"/>
        <w:spacing w:before="120" w:beforeLines="50"/>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2.我方现已清楚知道本项目的采购人情况，与之不存在投资关系、行政隶属关系、业务指导关系以及其他可能影响采购公正性的厉害关系。（如有，请如实说明）</w:t>
      </w:r>
    </w:p>
    <w:p w14:paraId="7FBD9061">
      <w:pPr>
        <w:snapToGrid w:val="0"/>
        <w:spacing w:before="120" w:beforeLines="50"/>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3.在获知本项目采购信息后，与采购人聘请的为此项目提供咨询服务的公司及其附属机构没有任何联系。（如有，请如实说明）</w:t>
      </w:r>
    </w:p>
    <w:p w14:paraId="2658E7D4">
      <w:pPr>
        <w:snapToGrid w:val="0"/>
        <w:spacing w:before="120" w:beforeLines="50"/>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4.我方此次向贵方提供的产品名称为：</w:t>
      </w:r>
    </w:p>
    <w:p w14:paraId="3BC27CF8">
      <w:pPr>
        <w:snapToGrid w:val="0"/>
        <w:spacing w:before="120" w:beforeLines="50"/>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5.我方诚意提请贵方关注：近期有关该类服务的重大决策和事项有：</w:t>
      </w:r>
    </w:p>
    <w:p w14:paraId="2F40FE7A">
      <w:pPr>
        <w:snapToGrid w:val="0"/>
        <w:spacing w:before="120" w:beforeLines="50"/>
        <w:ind w:firstLine="480" w:firstLineChars="200"/>
        <w:rPr>
          <w:rFonts w:hint="eastAsia" w:ascii="黑体" w:hAnsi="黑体" w:eastAsia="黑体" w:cs="黑体"/>
          <w:color w:val="auto"/>
          <w:sz w:val="24"/>
          <w:szCs w:val="20"/>
          <w:highlight w:val="none"/>
          <w:u w:val="single"/>
        </w:rPr>
      </w:pPr>
      <w:r>
        <w:rPr>
          <w:rFonts w:hint="eastAsia" w:ascii="黑体" w:hAnsi="黑体" w:eastAsia="黑体" w:cs="黑体"/>
          <w:color w:val="auto"/>
          <w:sz w:val="24"/>
          <w:szCs w:val="20"/>
          <w:highlight w:val="none"/>
          <w:u w:val="single"/>
        </w:rPr>
        <w:t>（如有，请如实说明）　　　　　　　　　　　　　　　　　　　　</w:t>
      </w:r>
    </w:p>
    <w:p w14:paraId="6B6F53A0">
      <w:pPr>
        <w:snapToGrid w:val="0"/>
        <w:spacing w:before="120" w:beforeLines="50"/>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u w:val="single"/>
        </w:rPr>
        <w:t>　　　　　　　　　　　　　　　　　　　　　　　　　　　</w:t>
      </w:r>
    </w:p>
    <w:p w14:paraId="28E82201">
      <w:pPr>
        <w:snapToGrid w:val="0"/>
        <w:ind w:firstLine="464" w:firstLineChars="200"/>
        <w:rPr>
          <w:rFonts w:hint="eastAsia" w:ascii="黑体" w:hAnsi="黑体" w:eastAsia="黑体" w:cs="黑体"/>
          <w:color w:val="auto"/>
          <w:spacing w:val="-4"/>
          <w:sz w:val="24"/>
          <w:szCs w:val="20"/>
          <w:highlight w:val="none"/>
        </w:rPr>
      </w:pPr>
      <w:r>
        <w:rPr>
          <w:rFonts w:hint="eastAsia" w:ascii="黑体" w:hAnsi="黑体" w:eastAsia="黑体" w:cs="黑体"/>
          <w:color w:val="auto"/>
          <w:spacing w:val="-4"/>
          <w:sz w:val="24"/>
          <w:szCs w:val="20"/>
          <w:highlight w:val="none"/>
        </w:rPr>
        <w:t>6.我方及由本人担任法定代表人的其他机构最近三年内被通报或者被处罚的违法行为有：</w:t>
      </w:r>
    </w:p>
    <w:p w14:paraId="6C6D4405">
      <w:pPr>
        <w:snapToGrid w:val="0"/>
        <w:spacing w:before="120" w:beforeLines="50"/>
        <w:ind w:firstLine="480" w:firstLineChars="200"/>
        <w:rPr>
          <w:rFonts w:hint="eastAsia" w:ascii="黑体" w:hAnsi="黑体" w:eastAsia="黑体" w:cs="黑体"/>
          <w:color w:val="auto"/>
          <w:sz w:val="24"/>
          <w:szCs w:val="20"/>
          <w:highlight w:val="none"/>
          <w:u w:val="single"/>
        </w:rPr>
      </w:pPr>
      <w:r>
        <w:rPr>
          <w:rFonts w:hint="eastAsia" w:ascii="黑体" w:hAnsi="黑体" w:eastAsia="黑体" w:cs="黑体"/>
          <w:color w:val="auto"/>
          <w:sz w:val="24"/>
          <w:szCs w:val="20"/>
          <w:highlight w:val="none"/>
          <w:u w:val="single"/>
        </w:rPr>
        <w:t>（如有，请如实说明）　　　　　　　　　　　　　　　　　</w:t>
      </w:r>
    </w:p>
    <w:p w14:paraId="36D774D8">
      <w:pPr>
        <w:snapToGrid w:val="0"/>
        <w:spacing w:before="120" w:beforeLines="50"/>
        <w:ind w:firstLine="480" w:firstLineChars="200"/>
        <w:rPr>
          <w:rFonts w:hint="eastAsia" w:ascii="黑体" w:hAnsi="黑体" w:eastAsia="黑体" w:cs="黑体"/>
          <w:color w:val="auto"/>
          <w:sz w:val="24"/>
          <w:szCs w:val="20"/>
          <w:highlight w:val="none"/>
          <w:u w:val="single"/>
        </w:rPr>
      </w:pPr>
      <w:r>
        <w:rPr>
          <w:rFonts w:hint="eastAsia" w:ascii="黑体" w:hAnsi="黑体" w:eastAsia="黑体" w:cs="黑体"/>
          <w:color w:val="auto"/>
          <w:sz w:val="24"/>
          <w:szCs w:val="20"/>
          <w:highlight w:val="none"/>
          <w:u w:val="single"/>
        </w:rPr>
        <w:t>　　　　　　　　　　　　　　　　　　　　　　　　　　　</w:t>
      </w:r>
    </w:p>
    <w:p w14:paraId="02AA5438">
      <w:pPr>
        <w:snapToGrid w:val="0"/>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7.以上事项如有虚假或隐瞒，我方愿意承担一切后果，并不再寻求任何旨在减轻或免除法律责任的辩解。</w:t>
      </w:r>
    </w:p>
    <w:p w14:paraId="5B6DA256">
      <w:pPr>
        <w:tabs>
          <w:tab w:val="left" w:pos="939"/>
        </w:tabs>
        <w:snapToGrid w:val="0"/>
        <w:ind w:left="773" w:leftChars="150" w:hanging="458" w:hangingChars="191"/>
        <w:rPr>
          <w:rFonts w:hint="eastAsia" w:ascii="黑体" w:hAnsi="黑体" w:eastAsia="黑体" w:cs="黑体"/>
          <w:color w:val="auto"/>
          <w:sz w:val="24"/>
          <w:highlight w:val="none"/>
        </w:rPr>
      </w:pPr>
    </w:p>
    <w:p w14:paraId="17F9ADB7">
      <w:pPr>
        <w:snapToGrid w:val="0"/>
        <w:spacing w:before="120" w:beforeLines="50"/>
        <w:ind w:firstLine="200"/>
        <w:rPr>
          <w:rFonts w:hint="eastAsia" w:ascii="黑体" w:hAnsi="黑体" w:eastAsia="黑体" w:cs="黑体"/>
          <w:color w:val="auto"/>
          <w:sz w:val="24"/>
          <w:szCs w:val="20"/>
          <w:highlight w:val="none"/>
        </w:rPr>
      </w:pPr>
    </w:p>
    <w:p w14:paraId="608A023F">
      <w:pPr>
        <w:snapToGrid w:val="0"/>
        <w:spacing w:before="120" w:beforeLines="50"/>
        <w:ind w:firstLine="200"/>
        <w:rPr>
          <w:rFonts w:hint="eastAsia" w:ascii="黑体" w:hAnsi="黑体" w:eastAsia="黑体" w:cs="黑体"/>
          <w:color w:val="auto"/>
          <w:sz w:val="24"/>
          <w:szCs w:val="20"/>
          <w:highlight w:val="none"/>
          <w:u w:val="single"/>
        </w:rPr>
      </w:pPr>
      <w:r>
        <w:rPr>
          <w:rFonts w:hint="eastAsia" w:ascii="黑体" w:hAnsi="黑体" w:eastAsia="黑体" w:cs="黑体"/>
          <w:color w:val="auto"/>
          <w:sz w:val="24"/>
          <w:szCs w:val="20"/>
          <w:highlight w:val="none"/>
        </w:rPr>
        <w:t>法定代表人签字或盖章：</w:t>
      </w:r>
    </w:p>
    <w:p w14:paraId="298510A4">
      <w:pPr>
        <w:snapToGrid w:val="0"/>
        <w:spacing w:before="120" w:beforeLines="50" w:after="50"/>
        <w:ind w:firstLine="240" w:firstLineChars="1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磋商响应供应商公章： 年  月  日</w:t>
      </w:r>
    </w:p>
    <w:p w14:paraId="70DC30AD">
      <w:pPr>
        <w:spacing w:line="360" w:lineRule="auto"/>
        <w:jc w:val="center"/>
        <w:rPr>
          <w:rFonts w:hint="eastAsia" w:ascii="黑体" w:hAnsi="黑体" w:eastAsia="黑体" w:cs="黑体"/>
          <w:color w:val="auto"/>
          <w:highlight w:val="none"/>
          <w:lang w:val="en-GB"/>
        </w:rPr>
      </w:pPr>
    </w:p>
    <w:p w14:paraId="4A445987">
      <w:pPr>
        <w:spacing w:line="360" w:lineRule="auto"/>
        <w:jc w:val="center"/>
        <w:rPr>
          <w:rFonts w:hint="eastAsia" w:ascii="黑体" w:hAnsi="黑体" w:eastAsia="黑体" w:cs="黑体"/>
          <w:color w:val="auto"/>
          <w:highlight w:val="none"/>
          <w:lang w:val="en-GB"/>
        </w:rPr>
      </w:pPr>
    </w:p>
    <w:p w14:paraId="3B2B7379">
      <w:pPr>
        <w:spacing w:line="360" w:lineRule="auto"/>
        <w:jc w:val="center"/>
        <w:rPr>
          <w:rFonts w:hint="eastAsia" w:ascii="黑体" w:hAnsi="黑体" w:eastAsia="黑体" w:cs="黑体"/>
          <w:color w:val="auto"/>
          <w:highlight w:val="none"/>
          <w:lang w:val="en-GB"/>
        </w:rPr>
      </w:pPr>
    </w:p>
    <w:p w14:paraId="0CF9C439">
      <w:pPr>
        <w:spacing w:line="360" w:lineRule="auto"/>
        <w:jc w:val="center"/>
        <w:rPr>
          <w:rFonts w:hint="eastAsia" w:ascii="黑体" w:hAnsi="黑体" w:eastAsia="黑体" w:cs="黑体"/>
          <w:color w:val="auto"/>
          <w:highlight w:val="none"/>
          <w:lang w:val="en-GB"/>
        </w:rPr>
      </w:pPr>
    </w:p>
    <w:p w14:paraId="64E97B52">
      <w:pPr>
        <w:spacing w:line="360" w:lineRule="auto"/>
        <w:jc w:val="center"/>
        <w:rPr>
          <w:rFonts w:hint="eastAsia" w:ascii="黑体" w:hAnsi="黑体" w:eastAsia="黑体" w:cs="黑体"/>
          <w:color w:val="auto"/>
          <w:highlight w:val="none"/>
          <w:lang w:val="en-GB"/>
        </w:rPr>
      </w:pPr>
    </w:p>
    <w:p w14:paraId="6C2CF6F7">
      <w:pPr>
        <w:spacing w:line="360" w:lineRule="auto"/>
        <w:jc w:val="center"/>
        <w:rPr>
          <w:rFonts w:hint="eastAsia" w:ascii="黑体" w:hAnsi="黑体" w:eastAsia="黑体" w:cs="黑体"/>
          <w:color w:val="auto"/>
          <w:highlight w:val="none"/>
          <w:lang w:val="en-GB"/>
        </w:rPr>
      </w:pPr>
    </w:p>
    <w:p w14:paraId="140B5D71">
      <w:pPr>
        <w:spacing w:line="360" w:lineRule="auto"/>
        <w:jc w:val="center"/>
        <w:rPr>
          <w:rFonts w:hint="eastAsia" w:ascii="黑体" w:hAnsi="黑体" w:eastAsia="黑体" w:cs="黑体"/>
          <w:color w:val="auto"/>
          <w:highlight w:val="none"/>
          <w:lang w:val="en-GB"/>
        </w:rPr>
      </w:pPr>
    </w:p>
    <w:p w14:paraId="130C6755">
      <w:pPr>
        <w:spacing w:line="360" w:lineRule="auto"/>
        <w:jc w:val="center"/>
        <w:rPr>
          <w:rFonts w:hint="eastAsia" w:ascii="黑体" w:hAnsi="黑体" w:eastAsia="黑体" w:cs="黑体"/>
          <w:color w:val="auto"/>
          <w:highlight w:val="none"/>
          <w:lang w:val="en-GB"/>
        </w:rPr>
      </w:pPr>
    </w:p>
    <w:p w14:paraId="5DE4F2F5">
      <w:pPr>
        <w:spacing w:line="360" w:lineRule="auto"/>
        <w:jc w:val="center"/>
        <w:rPr>
          <w:rFonts w:hint="eastAsia" w:ascii="黑体" w:hAnsi="黑体" w:eastAsia="黑体" w:cs="黑体"/>
          <w:color w:val="auto"/>
          <w:highlight w:val="none"/>
          <w:lang w:val="en-GB"/>
        </w:rPr>
      </w:pPr>
    </w:p>
    <w:p w14:paraId="33497AFE">
      <w:pPr>
        <w:tabs>
          <w:tab w:val="left" w:pos="540"/>
        </w:tabs>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附件十六：</w:t>
      </w:r>
    </w:p>
    <w:p w14:paraId="250041E2">
      <w:pPr>
        <w:spacing w:line="460" w:lineRule="exact"/>
        <w:ind w:firstLine="602" w:firstLineChars="200"/>
        <w:jc w:val="center"/>
        <w:rPr>
          <w:rFonts w:hint="eastAsia" w:ascii="黑体" w:hAnsi="黑体" w:eastAsia="黑体" w:cs="黑体"/>
          <w:b/>
          <w:bCs/>
          <w:color w:val="auto"/>
          <w:sz w:val="30"/>
          <w:highlight w:val="none"/>
        </w:rPr>
      </w:pPr>
      <w:r>
        <w:rPr>
          <w:rFonts w:hint="eastAsia" w:ascii="黑体" w:hAnsi="黑体" w:eastAsia="黑体" w:cs="黑体"/>
          <w:b/>
          <w:bCs/>
          <w:color w:val="auto"/>
          <w:sz w:val="30"/>
          <w:highlight w:val="none"/>
        </w:rPr>
        <w:t>中小企业声明函（工程、服务）</w:t>
      </w:r>
    </w:p>
    <w:p w14:paraId="15EC4C40">
      <w:pPr>
        <w:spacing w:line="460" w:lineRule="exact"/>
        <w:ind w:firstLine="480" w:firstLineChars="200"/>
        <w:rPr>
          <w:rFonts w:hint="eastAsia" w:ascii="黑体" w:hAnsi="黑体" w:eastAsia="黑体" w:cs="黑体"/>
          <w:color w:val="auto"/>
          <w:sz w:val="24"/>
          <w:highlight w:val="none"/>
        </w:rPr>
      </w:pPr>
    </w:p>
    <w:p w14:paraId="2536023A">
      <w:p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本公司（联合体）郑重声明，根据《政府采购促进中小企业发展管理办法》（财库﹝2020﹞46号）的规定，本公司（联合体）参加</w:t>
      </w:r>
      <w:r>
        <w:rPr>
          <w:rFonts w:hint="eastAsia" w:ascii="黑体" w:hAnsi="黑体" w:eastAsia="黑体" w:cs="黑体"/>
          <w:color w:val="auto"/>
          <w:sz w:val="24"/>
          <w:highlight w:val="none"/>
          <w:u w:val="single"/>
        </w:rPr>
        <w:t xml:space="preserve">         （单位名称）</w:t>
      </w:r>
      <w:r>
        <w:rPr>
          <w:rFonts w:hint="eastAsia" w:ascii="黑体" w:hAnsi="黑体" w:eastAsia="黑体" w:cs="黑体"/>
          <w:color w:val="auto"/>
          <w:sz w:val="24"/>
          <w:highlight w:val="none"/>
        </w:rPr>
        <w:t>的</w:t>
      </w:r>
      <w:r>
        <w:rPr>
          <w:rFonts w:hint="eastAsia" w:ascii="黑体" w:hAnsi="黑体" w:eastAsia="黑体" w:cs="黑体"/>
          <w:color w:val="auto"/>
          <w:sz w:val="24"/>
          <w:highlight w:val="none"/>
          <w:u w:val="single"/>
        </w:rPr>
        <w:t xml:space="preserve">          （项目名称）</w:t>
      </w:r>
      <w:r>
        <w:rPr>
          <w:rFonts w:hint="eastAsia" w:ascii="黑体" w:hAnsi="黑体" w:eastAsia="黑体" w:cs="黑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002FC8">
      <w:pPr>
        <w:numPr>
          <w:ilvl w:val="0"/>
          <w:numId w:val="34"/>
        </w:num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（标的名称） </w:t>
      </w:r>
      <w:r>
        <w:rPr>
          <w:rFonts w:hint="eastAsia" w:ascii="黑体" w:hAnsi="黑体" w:eastAsia="黑体" w:cs="黑体"/>
          <w:color w:val="auto"/>
          <w:sz w:val="24"/>
          <w:highlight w:val="none"/>
        </w:rPr>
        <w:t>，属于</w:t>
      </w:r>
      <w:r>
        <w:rPr>
          <w:rFonts w:hint="eastAsia" w:ascii="黑体" w:hAnsi="黑体" w:eastAsia="黑体" w:cs="黑体"/>
          <w:color w:val="auto"/>
          <w:sz w:val="24"/>
          <w:highlight w:val="none"/>
          <w:u w:val="single"/>
        </w:rPr>
        <w:t xml:space="preserve">       采购文件中明确的所属行业）</w:t>
      </w:r>
      <w:r>
        <w:rPr>
          <w:rFonts w:hint="eastAsia" w:ascii="黑体" w:hAnsi="黑体" w:eastAsia="黑体" w:cs="黑体"/>
          <w:color w:val="auto"/>
          <w:sz w:val="24"/>
          <w:highlight w:val="none"/>
        </w:rPr>
        <w:t>；承建（承接）企业为</w:t>
      </w:r>
      <w:r>
        <w:rPr>
          <w:rFonts w:hint="eastAsia" w:ascii="黑体" w:hAnsi="黑体" w:eastAsia="黑体" w:cs="黑体"/>
          <w:color w:val="auto"/>
          <w:sz w:val="24"/>
          <w:highlight w:val="none"/>
          <w:u w:val="single"/>
        </w:rPr>
        <w:t xml:space="preserve">       （企业名称） </w:t>
      </w:r>
      <w:r>
        <w:rPr>
          <w:rFonts w:hint="eastAsia" w:ascii="黑体" w:hAnsi="黑体" w:eastAsia="黑体" w:cs="黑体"/>
          <w:color w:val="auto"/>
          <w:sz w:val="24"/>
          <w:highlight w:val="none"/>
        </w:rPr>
        <w:t>，从业人员</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人，营业收入为</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万元，资产总额为</w:t>
      </w:r>
      <w:r>
        <w:rPr>
          <w:rFonts w:hint="eastAsia" w:ascii="黑体" w:hAnsi="黑体" w:eastAsia="黑体" w:cs="黑体"/>
          <w:color w:val="auto"/>
          <w:sz w:val="24"/>
          <w:highlight w:val="none"/>
          <w:u w:val="single"/>
        </w:rPr>
        <w:t xml:space="preserve">  万元</w:t>
      </w:r>
      <w:r>
        <w:rPr>
          <w:rFonts w:hint="eastAsia" w:ascii="黑体" w:hAnsi="黑体" w:eastAsia="黑体" w:cs="黑体"/>
          <w:color w:val="auto"/>
          <w:sz w:val="24"/>
          <w:highlight w:val="none"/>
        </w:rPr>
        <w:t>，属于</w:t>
      </w:r>
      <w:r>
        <w:rPr>
          <w:rFonts w:hint="eastAsia" w:ascii="黑体" w:hAnsi="黑体" w:eastAsia="黑体" w:cs="黑体"/>
          <w:color w:val="auto"/>
          <w:sz w:val="24"/>
          <w:highlight w:val="none"/>
          <w:u w:val="single"/>
        </w:rPr>
        <w:t xml:space="preserve"> （中型企业、小型企业、微型企业）</w:t>
      </w:r>
      <w:r>
        <w:rPr>
          <w:rFonts w:hint="eastAsia" w:ascii="黑体" w:hAnsi="黑体" w:eastAsia="黑体" w:cs="黑体"/>
          <w:color w:val="auto"/>
          <w:sz w:val="24"/>
          <w:highlight w:val="none"/>
        </w:rPr>
        <w:t xml:space="preserve"> ；</w:t>
      </w:r>
    </w:p>
    <w:p w14:paraId="3635D4CA">
      <w:pPr>
        <w:numPr>
          <w:ilvl w:val="0"/>
          <w:numId w:val="34"/>
        </w:num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（标的名称）</w:t>
      </w:r>
      <w:r>
        <w:rPr>
          <w:rFonts w:hint="eastAsia" w:ascii="黑体" w:hAnsi="黑体" w:eastAsia="黑体" w:cs="黑体"/>
          <w:color w:val="auto"/>
          <w:sz w:val="24"/>
          <w:highlight w:val="none"/>
        </w:rPr>
        <w:t>，属于</w:t>
      </w:r>
      <w:r>
        <w:rPr>
          <w:rFonts w:hint="eastAsia" w:ascii="黑体" w:hAnsi="黑体" w:eastAsia="黑体" w:cs="黑体"/>
          <w:color w:val="auto"/>
          <w:sz w:val="24"/>
          <w:highlight w:val="none"/>
          <w:u w:val="single"/>
        </w:rPr>
        <w:t xml:space="preserve">     （采购文件中明确的所属行业）</w:t>
      </w:r>
      <w:r>
        <w:rPr>
          <w:rFonts w:hint="eastAsia" w:ascii="黑体" w:hAnsi="黑体" w:eastAsia="黑体" w:cs="黑体"/>
          <w:color w:val="auto"/>
          <w:sz w:val="24"/>
          <w:highlight w:val="none"/>
        </w:rPr>
        <w:t xml:space="preserve"> ；承建（承接）企业为 </w:t>
      </w:r>
      <w:r>
        <w:rPr>
          <w:rFonts w:hint="eastAsia" w:ascii="黑体" w:hAnsi="黑体" w:eastAsia="黑体" w:cs="黑体"/>
          <w:color w:val="auto"/>
          <w:sz w:val="24"/>
          <w:highlight w:val="none"/>
          <w:u w:val="single"/>
        </w:rPr>
        <w:t>（企业名称）</w:t>
      </w:r>
      <w:r>
        <w:rPr>
          <w:rFonts w:hint="eastAsia" w:ascii="黑体" w:hAnsi="黑体" w:eastAsia="黑体" w:cs="黑体"/>
          <w:color w:val="auto"/>
          <w:sz w:val="24"/>
          <w:highlight w:val="none"/>
        </w:rPr>
        <w:t xml:space="preserve"> ，从业人员</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人，营业收入为</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万元，资产总额为</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万元，属于</w:t>
      </w:r>
      <w:r>
        <w:rPr>
          <w:rFonts w:hint="eastAsia" w:ascii="黑体" w:hAnsi="黑体" w:eastAsia="黑体" w:cs="黑体"/>
          <w:color w:val="auto"/>
          <w:sz w:val="24"/>
          <w:highlight w:val="none"/>
          <w:u w:val="single"/>
        </w:rPr>
        <w:t xml:space="preserve"> （中型企业、小型企业、微型企业） </w:t>
      </w:r>
      <w:r>
        <w:rPr>
          <w:rFonts w:hint="eastAsia" w:ascii="黑体" w:hAnsi="黑体" w:eastAsia="黑体" w:cs="黑体"/>
          <w:color w:val="auto"/>
          <w:sz w:val="24"/>
          <w:highlight w:val="none"/>
        </w:rPr>
        <w:t>；</w:t>
      </w:r>
    </w:p>
    <w:p w14:paraId="4A3107A6">
      <w:pPr>
        <w:spacing w:line="460" w:lineRule="exact"/>
        <w:ind w:left="420" w:left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w:t>
      </w:r>
    </w:p>
    <w:p w14:paraId="55FF42F8">
      <w:p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以上企业，不属于大企业的分支机构，不存在控股股东为大企业的情形，也不存在与大企业的负责人为同一人的情形。</w:t>
      </w:r>
    </w:p>
    <w:p w14:paraId="3CB911DD">
      <w:p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本企业对上述声明内容的真实性负责。如有虚假，将依法承担相应责任。</w:t>
      </w:r>
    </w:p>
    <w:p w14:paraId="22EF2919">
      <w:pPr>
        <w:spacing w:line="460" w:lineRule="exact"/>
        <w:ind w:firstLine="480" w:firstLineChars="200"/>
        <w:rPr>
          <w:rFonts w:hint="eastAsia" w:ascii="黑体" w:hAnsi="黑体" w:eastAsia="黑体" w:cs="黑体"/>
          <w:color w:val="auto"/>
          <w:sz w:val="24"/>
          <w:highlight w:val="none"/>
        </w:rPr>
      </w:pPr>
    </w:p>
    <w:p w14:paraId="4C086771">
      <w:pPr>
        <w:spacing w:line="460" w:lineRule="exact"/>
        <w:ind w:firstLine="480" w:firstLineChars="200"/>
        <w:rPr>
          <w:rFonts w:hint="eastAsia" w:ascii="黑体" w:hAnsi="黑体" w:eastAsia="黑体" w:cs="黑体"/>
          <w:color w:val="auto"/>
          <w:sz w:val="24"/>
          <w:highlight w:val="none"/>
        </w:rPr>
      </w:pPr>
    </w:p>
    <w:p w14:paraId="79753F33">
      <w:p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企业名称（盖章）：</w:t>
      </w:r>
    </w:p>
    <w:p w14:paraId="22068FF9">
      <w:pPr>
        <w:spacing w:line="460" w:lineRule="exact"/>
        <w:ind w:firstLine="480" w:firstLineChars="200"/>
        <w:rPr>
          <w:rFonts w:hint="eastAsia" w:ascii="黑体" w:hAnsi="黑体" w:eastAsia="黑体" w:cs="黑体"/>
          <w:color w:val="auto"/>
          <w:sz w:val="24"/>
          <w:highlight w:val="none"/>
        </w:rPr>
      </w:pPr>
    </w:p>
    <w:p w14:paraId="70CE1474">
      <w:p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日 期：</w:t>
      </w:r>
    </w:p>
    <w:p w14:paraId="2CF38D8B">
      <w:pPr>
        <w:rPr>
          <w:rFonts w:hint="eastAsia" w:ascii="黑体" w:hAnsi="黑体" w:eastAsia="黑体" w:cs="黑体"/>
          <w:color w:val="auto"/>
          <w:szCs w:val="20"/>
          <w:highlight w:val="none"/>
        </w:rPr>
      </w:pPr>
    </w:p>
    <w:p w14:paraId="1689DA73">
      <w:pPr>
        <w:widowControl/>
        <w:jc w:val="left"/>
        <w:rPr>
          <w:rFonts w:hint="eastAsia" w:ascii="黑体" w:hAnsi="黑体" w:eastAsia="黑体" w:cs="黑体"/>
          <w:color w:val="auto"/>
          <w:sz w:val="24"/>
          <w:szCs w:val="20"/>
          <w:highlight w:val="none"/>
        </w:rPr>
      </w:pPr>
    </w:p>
    <w:p w14:paraId="418E3629">
      <w:pPr>
        <w:widowControl/>
        <w:jc w:val="left"/>
        <w:rPr>
          <w:rFonts w:hint="eastAsia" w:ascii="黑体" w:hAnsi="黑体" w:eastAsia="黑体" w:cs="黑体"/>
          <w:color w:val="auto"/>
          <w:sz w:val="24"/>
          <w:szCs w:val="20"/>
          <w:highlight w:val="none"/>
        </w:rPr>
      </w:pPr>
    </w:p>
    <w:p w14:paraId="07C08835">
      <w:pPr>
        <w:widowControl/>
        <w:jc w:val="left"/>
        <w:rPr>
          <w:rFonts w:hint="eastAsia" w:ascii="黑体" w:hAnsi="黑体" w:eastAsia="黑体" w:cs="黑体"/>
          <w:color w:val="auto"/>
          <w:sz w:val="24"/>
          <w:szCs w:val="20"/>
          <w:highlight w:val="none"/>
        </w:rPr>
      </w:pPr>
    </w:p>
    <w:p w14:paraId="00360D69">
      <w:pPr>
        <w:rPr>
          <w:rFonts w:hint="eastAsia" w:ascii="黑体" w:hAnsi="黑体" w:eastAsia="黑体" w:cs="黑体"/>
          <w:color w:val="auto"/>
          <w:highlight w:val="none"/>
        </w:rPr>
      </w:pPr>
    </w:p>
    <w:p w14:paraId="34AD1271">
      <w:pPr>
        <w:rPr>
          <w:rFonts w:hint="eastAsia" w:ascii="黑体" w:hAnsi="黑体" w:eastAsia="黑体" w:cs="黑体"/>
          <w:color w:val="auto"/>
          <w:highlight w:val="none"/>
        </w:rPr>
      </w:pPr>
    </w:p>
    <w:p w14:paraId="6EA953B7">
      <w:pPr>
        <w:rPr>
          <w:rFonts w:hint="eastAsia" w:ascii="黑体" w:hAnsi="黑体" w:eastAsia="黑体" w:cs="黑体"/>
          <w:color w:val="auto"/>
          <w:highlight w:val="none"/>
        </w:rPr>
      </w:pPr>
    </w:p>
    <w:p w14:paraId="70FD7376">
      <w:pPr>
        <w:rPr>
          <w:rFonts w:hint="eastAsia" w:ascii="黑体" w:hAnsi="黑体" w:eastAsia="黑体" w:cs="黑体"/>
          <w:color w:val="auto"/>
          <w:highlight w:val="none"/>
        </w:rPr>
      </w:pPr>
    </w:p>
    <w:p w14:paraId="464369EE">
      <w:pPr>
        <w:rPr>
          <w:rFonts w:hint="eastAsia" w:ascii="黑体" w:hAnsi="黑体" w:eastAsia="黑体" w:cs="黑体"/>
          <w:color w:val="auto"/>
          <w:highlight w:val="none"/>
        </w:rPr>
      </w:pPr>
    </w:p>
    <w:p w14:paraId="2343B73D">
      <w:pPr>
        <w:rPr>
          <w:rFonts w:hint="eastAsia" w:ascii="黑体" w:hAnsi="黑体" w:eastAsia="黑体" w:cs="黑体"/>
          <w:color w:val="auto"/>
          <w:highlight w:val="none"/>
        </w:rPr>
      </w:pPr>
    </w:p>
    <w:p w14:paraId="77D96896">
      <w:pPr>
        <w:rPr>
          <w:rFonts w:hint="eastAsia" w:ascii="黑体" w:hAnsi="黑体" w:eastAsia="黑体" w:cs="黑体"/>
          <w:color w:val="auto"/>
          <w:highlight w:val="none"/>
        </w:rPr>
      </w:pPr>
    </w:p>
    <w:p w14:paraId="6A8E42FE">
      <w:pPr>
        <w:spacing w:line="588" w:lineRule="exact"/>
        <w:jc w:val="center"/>
        <w:rPr>
          <w:rFonts w:hint="eastAsia" w:ascii="黑体" w:hAnsi="黑体" w:eastAsia="黑体" w:cs="黑体"/>
          <w:b/>
          <w:color w:val="auto"/>
          <w:spacing w:val="6"/>
          <w:sz w:val="44"/>
          <w:szCs w:val="44"/>
          <w:highlight w:val="none"/>
        </w:rPr>
      </w:pPr>
    </w:p>
    <w:p w14:paraId="6EACF7E4">
      <w:pPr>
        <w:spacing w:line="588" w:lineRule="exact"/>
        <w:jc w:val="center"/>
        <w:rPr>
          <w:rFonts w:hint="eastAsia" w:ascii="黑体" w:hAnsi="黑体" w:eastAsia="黑体" w:cs="黑体"/>
          <w:b/>
          <w:color w:val="auto"/>
          <w:spacing w:val="6"/>
          <w:sz w:val="44"/>
          <w:szCs w:val="44"/>
          <w:highlight w:val="none"/>
        </w:rPr>
      </w:pPr>
    </w:p>
    <w:p w14:paraId="7CAEDC10">
      <w:pPr>
        <w:spacing w:line="588" w:lineRule="exact"/>
        <w:jc w:val="center"/>
        <w:rPr>
          <w:rFonts w:hint="eastAsia" w:ascii="黑体" w:hAnsi="黑体" w:eastAsia="黑体" w:cs="黑体"/>
          <w:b/>
          <w:color w:val="auto"/>
          <w:spacing w:val="6"/>
          <w:sz w:val="44"/>
          <w:szCs w:val="44"/>
          <w:highlight w:val="none"/>
        </w:rPr>
      </w:pPr>
    </w:p>
    <w:p w14:paraId="5B3D43ED">
      <w:pPr>
        <w:spacing w:line="588" w:lineRule="exact"/>
        <w:jc w:val="center"/>
        <w:rPr>
          <w:rFonts w:hint="eastAsia" w:ascii="黑体" w:hAnsi="黑体" w:eastAsia="黑体" w:cs="黑体"/>
          <w:b/>
          <w:color w:val="auto"/>
          <w:spacing w:val="6"/>
          <w:sz w:val="44"/>
          <w:szCs w:val="44"/>
          <w:highlight w:val="none"/>
        </w:rPr>
      </w:pPr>
      <w:r>
        <w:rPr>
          <w:rFonts w:hint="eastAsia" w:ascii="黑体" w:hAnsi="黑体" w:eastAsia="黑体" w:cs="黑体"/>
          <w:b/>
          <w:color w:val="auto"/>
          <w:spacing w:val="6"/>
          <w:sz w:val="44"/>
          <w:szCs w:val="44"/>
          <w:highlight w:val="none"/>
        </w:rPr>
        <w:t>残疾人福利性单位声明函</w:t>
      </w:r>
    </w:p>
    <w:p w14:paraId="5863CD83">
      <w:pPr>
        <w:spacing w:line="588" w:lineRule="exact"/>
        <w:jc w:val="center"/>
        <w:rPr>
          <w:rFonts w:hint="eastAsia" w:ascii="黑体" w:hAnsi="黑体" w:eastAsia="黑体" w:cs="黑体"/>
          <w:b/>
          <w:color w:val="auto"/>
          <w:spacing w:val="6"/>
          <w:sz w:val="32"/>
          <w:szCs w:val="32"/>
          <w:highlight w:val="none"/>
        </w:rPr>
      </w:pPr>
    </w:p>
    <w:p w14:paraId="07D00272">
      <w:pPr>
        <w:snapToGrid w:val="0"/>
        <w:spacing w:line="360" w:lineRule="auto"/>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FA7973">
      <w:pPr>
        <w:snapToGrid w:val="0"/>
        <w:spacing w:line="360" w:lineRule="auto"/>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本单位对上述声明的真实性负责。如有虚假，将依法承担相应责任。</w:t>
      </w:r>
    </w:p>
    <w:p w14:paraId="111206CC">
      <w:pPr>
        <w:snapToGrid w:val="0"/>
        <w:spacing w:line="360" w:lineRule="auto"/>
        <w:ind w:firstLine="560" w:firstLineChars="200"/>
        <w:rPr>
          <w:rFonts w:hint="eastAsia" w:ascii="黑体" w:hAnsi="黑体" w:eastAsia="黑体" w:cs="黑体"/>
          <w:color w:val="auto"/>
          <w:sz w:val="28"/>
          <w:szCs w:val="28"/>
          <w:highlight w:val="none"/>
        </w:rPr>
      </w:pPr>
    </w:p>
    <w:p w14:paraId="7B9B87AA">
      <w:pPr>
        <w:spacing w:line="588" w:lineRule="exact"/>
        <w:ind w:firstLine="624" w:firstLineChars="200"/>
        <w:rPr>
          <w:rFonts w:hint="eastAsia" w:ascii="黑体" w:hAnsi="黑体" w:eastAsia="黑体" w:cs="黑体"/>
          <w:color w:val="auto"/>
          <w:spacing w:val="6"/>
          <w:sz w:val="30"/>
          <w:szCs w:val="30"/>
          <w:highlight w:val="none"/>
        </w:rPr>
      </w:pPr>
    </w:p>
    <w:p w14:paraId="18B07082">
      <w:pPr>
        <w:snapToGrid w:val="0"/>
        <w:spacing w:line="360" w:lineRule="auto"/>
        <w:ind w:firstLine="624" w:firstLineChars="200"/>
        <w:jc w:val="right"/>
        <w:rPr>
          <w:rFonts w:hint="eastAsia" w:ascii="黑体" w:hAnsi="黑体" w:eastAsia="黑体" w:cs="黑体"/>
          <w:color w:val="auto"/>
          <w:sz w:val="28"/>
          <w:szCs w:val="28"/>
          <w:highlight w:val="none"/>
        </w:rPr>
      </w:pPr>
      <w:r>
        <w:rPr>
          <w:rFonts w:hint="eastAsia" w:ascii="黑体" w:hAnsi="黑体" w:eastAsia="黑体" w:cs="黑体"/>
          <w:color w:val="auto"/>
          <w:spacing w:val="6"/>
          <w:sz w:val="30"/>
          <w:szCs w:val="30"/>
          <w:highlight w:val="none"/>
        </w:rPr>
        <w:t xml:space="preserve">         </w:t>
      </w:r>
      <w:r>
        <w:rPr>
          <w:rFonts w:hint="eastAsia" w:ascii="黑体" w:hAnsi="黑体" w:eastAsia="黑体" w:cs="黑体"/>
          <w:color w:val="auto"/>
          <w:sz w:val="28"/>
          <w:szCs w:val="28"/>
          <w:highlight w:val="none"/>
        </w:rPr>
        <w:t xml:space="preserve">      单位名称（盖章）：</w:t>
      </w:r>
    </w:p>
    <w:p w14:paraId="43D8E67F">
      <w:pPr>
        <w:snapToGrid w:val="0"/>
        <w:spacing w:line="360" w:lineRule="auto"/>
        <w:ind w:firstLine="560" w:firstLineChars="200"/>
        <w:jc w:val="righ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日  期：</w:t>
      </w:r>
    </w:p>
    <w:p w14:paraId="730F639C">
      <w:pPr>
        <w:spacing w:line="360" w:lineRule="auto"/>
        <w:rPr>
          <w:rFonts w:hint="eastAsia" w:ascii="黑体" w:hAnsi="黑体" w:eastAsia="黑体" w:cs="黑体"/>
          <w:color w:val="auto"/>
          <w:highlight w:val="none"/>
          <w:lang w:val="en-GB"/>
        </w:rPr>
      </w:pPr>
    </w:p>
    <w:p w14:paraId="306D50D5">
      <w:pPr>
        <w:spacing w:line="360" w:lineRule="auto"/>
        <w:rPr>
          <w:rFonts w:hint="eastAsia" w:ascii="黑体" w:hAnsi="黑体" w:eastAsia="黑体" w:cs="黑体"/>
          <w:color w:val="auto"/>
          <w:highlight w:val="none"/>
          <w:lang w:val="en-GB"/>
        </w:rPr>
      </w:pPr>
    </w:p>
    <w:p w14:paraId="6CC2CA47">
      <w:pPr>
        <w:tabs>
          <w:tab w:val="left" w:pos="540"/>
        </w:tabs>
        <w:rPr>
          <w:rFonts w:hint="eastAsia" w:ascii="黑体" w:hAnsi="黑体" w:eastAsia="黑体" w:cs="黑体"/>
          <w:b/>
          <w:color w:val="auto"/>
          <w:sz w:val="30"/>
          <w:szCs w:val="30"/>
          <w:highlight w:val="none"/>
        </w:rPr>
      </w:pPr>
    </w:p>
    <w:p w14:paraId="07D6E9E7">
      <w:pPr>
        <w:tabs>
          <w:tab w:val="left" w:pos="540"/>
        </w:tabs>
        <w:rPr>
          <w:rFonts w:hint="eastAsia" w:ascii="黑体" w:hAnsi="黑体" w:eastAsia="黑体" w:cs="黑体"/>
          <w:b/>
          <w:color w:val="auto"/>
          <w:sz w:val="30"/>
          <w:szCs w:val="30"/>
          <w:highlight w:val="none"/>
        </w:rPr>
      </w:pPr>
    </w:p>
    <w:p w14:paraId="5AD7E9CE">
      <w:pPr>
        <w:tabs>
          <w:tab w:val="left" w:pos="540"/>
        </w:tabs>
        <w:rPr>
          <w:rFonts w:hint="eastAsia" w:ascii="黑体" w:hAnsi="黑体" w:eastAsia="黑体" w:cs="黑体"/>
          <w:b/>
          <w:color w:val="auto"/>
          <w:sz w:val="30"/>
          <w:szCs w:val="30"/>
          <w:highlight w:val="none"/>
        </w:rPr>
      </w:pPr>
    </w:p>
    <w:p w14:paraId="28316817">
      <w:pPr>
        <w:tabs>
          <w:tab w:val="left" w:pos="540"/>
        </w:tabs>
        <w:rPr>
          <w:rFonts w:hint="eastAsia" w:ascii="黑体" w:hAnsi="黑体" w:eastAsia="黑体" w:cs="黑体"/>
          <w:b/>
          <w:color w:val="auto"/>
          <w:sz w:val="30"/>
          <w:szCs w:val="30"/>
          <w:highlight w:val="none"/>
        </w:rPr>
      </w:pPr>
    </w:p>
    <w:p w14:paraId="0A73158C">
      <w:pPr>
        <w:tabs>
          <w:tab w:val="left" w:pos="540"/>
        </w:tabs>
        <w:rPr>
          <w:rFonts w:hint="eastAsia" w:ascii="黑体" w:hAnsi="黑体" w:eastAsia="黑体" w:cs="黑体"/>
          <w:b/>
          <w:color w:val="auto"/>
          <w:sz w:val="30"/>
          <w:szCs w:val="30"/>
          <w:highlight w:val="none"/>
        </w:rPr>
      </w:pPr>
    </w:p>
    <w:p w14:paraId="7C0E5181">
      <w:pPr>
        <w:tabs>
          <w:tab w:val="left" w:pos="540"/>
        </w:tabs>
        <w:rPr>
          <w:rFonts w:hint="eastAsia" w:ascii="黑体" w:hAnsi="黑体" w:eastAsia="黑体" w:cs="黑体"/>
          <w:b/>
          <w:color w:val="auto"/>
          <w:sz w:val="30"/>
          <w:szCs w:val="30"/>
          <w:highlight w:val="none"/>
        </w:rPr>
      </w:pPr>
    </w:p>
    <w:p w14:paraId="4C59C42A">
      <w:pPr>
        <w:tabs>
          <w:tab w:val="left" w:pos="540"/>
        </w:tabs>
        <w:rPr>
          <w:rFonts w:hint="eastAsia" w:ascii="黑体" w:hAnsi="黑体" w:eastAsia="黑体" w:cs="黑体"/>
          <w:b/>
          <w:color w:val="auto"/>
          <w:sz w:val="30"/>
          <w:szCs w:val="30"/>
          <w:highlight w:val="none"/>
        </w:rPr>
      </w:pPr>
    </w:p>
    <w:p w14:paraId="2AC7544E">
      <w:pPr>
        <w:tabs>
          <w:tab w:val="left" w:pos="540"/>
        </w:tabs>
        <w:rPr>
          <w:rFonts w:hint="eastAsia" w:ascii="黑体" w:hAnsi="黑体" w:eastAsia="黑体" w:cs="黑体"/>
          <w:b/>
          <w:color w:val="auto"/>
          <w:sz w:val="30"/>
          <w:szCs w:val="30"/>
          <w:highlight w:val="none"/>
        </w:rPr>
      </w:pPr>
    </w:p>
    <w:p w14:paraId="3BF9EE08">
      <w:pPr>
        <w:tabs>
          <w:tab w:val="left" w:pos="540"/>
        </w:tabs>
        <w:rPr>
          <w:rFonts w:hint="eastAsia" w:ascii="黑体" w:hAnsi="黑体" w:eastAsia="黑体" w:cs="黑体"/>
          <w:b/>
          <w:color w:val="auto"/>
          <w:sz w:val="30"/>
          <w:szCs w:val="30"/>
          <w:highlight w:val="none"/>
        </w:rPr>
      </w:pPr>
    </w:p>
    <w:p w14:paraId="7E2D7D7F">
      <w:pPr>
        <w:tabs>
          <w:tab w:val="left" w:pos="540"/>
        </w:tabs>
        <w:rPr>
          <w:rFonts w:hint="eastAsia" w:ascii="黑体" w:hAnsi="黑体" w:eastAsia="黑体" w:cs="黑体"/>
          <w:b/>
          <w:color w:val="auto"/>
          <w:sz w:val="30"/>
          <w:szCs w:val="30"/>
          <w:highlight w:val="none"/>
        </w:rPr>
      </w:pPr>
    </w:p>
    <w:p w14:paraId="3234741D">
      <w:pPr>
        <w:tabs>
          <w:tab w:val="left" w:pos="540"/>
        </w:tabs>
        <w:rPr>
          <w:rFonts w:hint="eastAsia" w:ascii="黑体" w:hAnsi="黑体" w:eastAsia="黑体" w:cs="黑体"/>
          <w:b/>
          <w:color w:val="auto"/>
          <w:sz w:val="30"/>
          <w:szCs w:val="30"/>
          <w:highlight w:val="none"/>
        </w:rPr>
      </w:pPr>
    </w:p>
    <w:p w14:paraId="2157437F">
      <w:pPr>
        <w:tabs>
          <w:tab w:val="left" w:pos="540"/>
        </w:tabs>
        <w:rPr>
          <w:rFonts w:hint="eastAsia" w:ascii="黑体" w:hAnsi="黑体" w:eastAsia="黑体" w:cs="黑体"/>
          <w:b/>
          <w:color w:val="auto"/>
          <w:sz w:val="30"/>
          <w:szCs w:val="30"/>
          <w:highlight w:val="none"/>
        </w:rPr>
      </w:pPr>
    </w:p>
    <w:p w14:paraId="2BC51323">
      <w:pPr>
        <w:tabs>
          <w:tab w:val="left" w:pos="540"/>
        </w:tabs>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附件十七：</w:t>
      </w:r>
    </w:p>
    <w:p w14:paraId="427C01CD">
      <w:pPr>
        <w:spacing w:line="360" w:lineRule="auto"/>
        <w:jc w:val="center"/>
        <w:rPr>
          <w:rFonts w:hint="eastAsia" w:ascii="黑体" w:hAnsi="黑体" w:eastAsia="黑体" w:cs="黑体"/>
          <w:color w:val="auto"/>
          <w:szCs w:val="21"/>
          <w:highlight w:val="none"/>
        </w:rPr>
      </w:pPr>
      <w:r>
        <w:rPr>
          <w:rFonts w:hint="eastAsia" w:ascii="黑体" w:hAnsi="黑体" w:eastAsia="黑体" w:cs="黑体"/>
          <w:b/>
          <w:bCs/>
          <w:color w:val="auto"/>
          <w:sz w:val="30"/>
          <w:szCs w:val="30"/>
          <w:highlight w:val="none"/>
        </w:rPr>
        <w:t>供应商磋商响应文件评分索引一览表（</w:t>
      </w:r>
      <w:r>
        <w:rPr>
          <w:rFonts w:hint="eastAsia" w:ascii="黑体" w:hAnsi="黑体" w:eastAsia="黑体" w:cs="黑体"/>
          <w:b/>
          <w:color w:val="auto"/>
          <w:sz w:val="32"/>
          <w:szCs w:val="32"/>
          <w:highlight w:val="none"/>
        </w:rPr>
        <w:t>格式仅供参考</w:t>
      </w:r>
      <w:r>
        <w:rPr>
          <w:rFonts w:hint="eastAsia" w:ascii="黑体" w:hAnsi="黑体" w:eastAsia="黑体" w:cs="黑体"/>
          <w:b/>
          <w:bCs/>
          <w:color w:val="auto"/>
          <w:sz w:val="30"/>
          <w:szCs w:val="30"/>
          <w:highlight w:val="none"/>
        </w:rPr>
        <w:t>）</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14:paraId="36596A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2A5DF861">
            <w:pPr>
              <w:widowControl/>
              <w:spacing w:line="300" w:lineRule="exact"/>
              <w:ind w:left="147" w:leftChars="70" w:right="84" w:rightChars="40"/>
              <w:rPr>
                <w:rFonts w:hint="eastAsia" w:ascii="黑体" w:hAnsi="黑体" w:eastAsia="黑体" w:cs="黑体"/>
                <w:color w:val="auto"/>
                <w:szCs w:val="21"/>
                <w:highlight w:val="none"/>
              </w:rPr>
            </w:pPr>
            <w:r>
              <w:rPr>
                <w:rFonts w:hint="eastAsia" w:ascii="黑体" w:hAnsi="黑体" w:eastAsia="黑体" w:cs="黑体"/>
                <w:color w:val="auto"/>
                <w:szCs w:val="21"/>
                <w:highlight w:val="none"/>
              </w:rPr>
              <w:t>评审内容</w:t>
            </w:r>
          </w:p>
        </w:tc>
        <w:tc>
          <w:tcPr>
            <w:tcW w:w="949" w:type="dxa"/>
            <w:vAlign w:val="center"/>
          </w:tcPr>
          <w:p w14:paraId="720E7215">
            <w:pPr>
              <w:widowControl/>
              <w:spacing w:line="400" w:lineRule="exact"/>
              <w:ind w:left="-29" w:leftChars="-14" w:right="-88" w:rightChars="-42"/>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分值</w:t>
            </w:r>
          </w:p>
        </w:tc>
        <w:tc>
          <w:tcPr>
            <w:tcW w:w="6980" w:type="dxa"/>
            <w:vAlign w:val="center"/>
          </w:tcPr>
          <w:p w14:paraId="2F3B8F75">
            <w:pPr>
              <w:widowControl/>
              <w:spacing w:line="400" w:lineRule="exact"/>
              <w:ind w:left="-527" w:firstLine="527"/>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评分标准</w:t>
            </w:r>
          </w:p>
        </w:tc>
        <w:tc>
          <w:tcPr>
            <w:tcW w:w="1150" w:type="dxa"/>
            <w:vAlign w:val="center"/>
          </w:tcPr>
          <w:p w14:paraId="1AFB50DA">
            <w:pPr>
              <w:widowControl/>
              <w:spacing w:line="300" w:lineRule="exact"/>
              <w:ind w:left="-29" w:leftChars="-14" w:right="-88" w:rightChars="-42"/>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相应内容所在磋商响应文件页码</w:t>
            </w:r>
          </w:p>
        </w:tc>
      </w:tr>
      <w:tr w14:paraId="2190D4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1F53B588">
            <w:pPr>
              <w:widowControl/>
              <w:spacing w:line="300" w:lineRule="exact"/>
              <w:ind w:left="147" w:leftChars="70" w:right="84" w:rightChars="40"/>
              <w:rPr>
                <w:rFonts w:hint="eastAsia" w:ascii="黑体" w:hAnsi="黑体" w:eastAsia="黑体" w:cs="黑体"/>
                <w:b/>
                <w:color w:val="auto"/>
                <w:szCs w:val="21"/>
                <w:highlight w:val="none"/>
              </w:rPr>
            </w:pPr>
            <w:r>
              <w:rPr>
                <w:rFonts w:hint="eastAsia" w:ascii="黑体" w:hAnsi="黑体" w:eastAsia="黑体" w:cs="黑体"/>
                <w:color w:val="auto"/>
                <w:szCs w:val="21"/>
                <w:highlight w:val="none"/>
              </w:rPr>
              <w:t>技术分</w:t>
            </w:r>
          </w:p>
        </w:tc>
        <w:tc>
          <w:tcPr>
            <w:tcW w:w="949" w:type="dxa"/>
            <w:vAlign w:val="center"/>
          </w:tcPr>
          <w:p w14:paraId="6967DA27">
            <w:pPr>
              <w:widowControl/>
              <w:spacing w:line="400" w:lineRule="exact"/>
              <w:ind w:left="118" w:leftChars="56" w:right="84" w:rightChars="40"/>
              <w:jc w:val="center"/>
              <w:rPr>
                <w:rFonts w:hint="eastAsia" w:ascii="黑体" w:hAnsi="黑体" w:eastAsia="黑体" w:cs="黑体"/>
                <w:color w:val="auto"/>
                <w:szCs w:val="21"/>
                <w:highlight w:val="none"/>
              </w:rPr>
            </w:pPr>
          </w:p>
        </w:tc>
        <w:tc>
          <w:tcPr>
            <w:tcW w:w="6980" w:type="dxa"/>
            <w:vAlign w:val="center"/>
          </w:tcPr>
          <w:p w14:paraId="5028E967">
            <w:pPr>
              <w:widowControl/>
              <w:spacing w:line="400" w:lineRule="exact"/>
              <w:ind w:left="118" w:leftChars="56" w:right="84" w:rightChars="40"/>
              <w:rPr>
                <w:rFonts w:hint="eastAsia" w:ascii="黑体" w:hAnsi="黑体" w:eastAsia="黑体" w:cs="黑体"/>
                <w:color w:val="auto"/>
                <w:szCs w:val="21"/>
                <w:highlight w:val="none"/>
              </w:rPr>
            </w:pPr>
          </w:p>
        </w:tc>
        <w:tc>
          <w:tcPr>
            <w:tcW w:w="1150" w:type="dxa"/>
          </w:tcPr>
          <w:p w14:paraId="4C8EE916">
            <w:pPr>
              <w:widowControl/>
              <w:spacing w:line="300" w:lineRule="exact"/>
              <w:ind w:left="-29" w:leftChars="-14" w:right="-88" w:rightChars="-42"/>
              <w:jc w:val="center"/>
              <w:rPr>
                <w:rFonts w:hint="eastAsia" w:ascii="黑体" w:hAnsi="黑体" w:eastAsia="黑体" w:cs="黑体"/>
                <w:color w:val="auto"/>
                <w:szCs w:val="21"/>
                <w:highlight w:val="none"/>
              </w:rPr>
            </w:pPr>
          </w:p>
        </w:tc>
      </w:tr>
      <w:tr w14:paraId="7B10221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4C37CE3D">
            <w:pPr>
              <w:widowControl/>
              <w:spacing w:line="300" w:lineRule="exact"/>
              <w:ind w:left="147" w:leftChars="70" w:right="84" w:rightChars="40"/>
              <w:rPr>
                <w:rFonts w:hint="eastAsia" w:ascii="黑体" w:hAnsi="黑体" w:eastAsia="黑体" w:cs="黑体"/>
                <w:color w:val="auto"/>
                <w:szCs w:val="21"/>
                <w:highlight w:val="none"/>
              </w:rPr>
            </w:pPr>
          </w:p>
        </w:tc>
        <w:tc>
          <w:tcPr>
            <w:tcW w:w="949" w:type="dxa"/>
            <w:vAlign w:val="center"/>
          </w:tcPr>
          <w:p w14:paraId="13EFD4E7">
            <w:pPr>
              <w:widowControl/>
              <w:spacing w:line="400" w:lineRule="exact"/>
              <w:ind w:left="118" w:leftChars="56" w:right="84" w:rightChars="40"/>
              <w:jc w:val="center"/>
              <w:rPr>
                <w:rFonts w:hint="eastAsia" w:ascii="黑体" w:hAnsi="黑体" w:eastAsia="黑体" w:cs="黑体"/>
                <w:color w:val="auto"/>
                <w:szCs w:val="21"/>
                <w:highlight w:val="none"/>
              </w:rPr>
            </w:pPr>
          </w:p>
        </w:tc>
        <w:tc>
          <w:tcPr>
            <w:tcW w:w="6980" w:type="dxa"/>
            <w:vAlign w:val="center"/>
          </w:tcPr>
          <w:p w14:paraId="72C7541E">
            <w:pPr>
              <w:widowControl/>
              <w:spacing w:line="400" w:lineRule="exact"/>
              <w:ind w:left="118" w:leftChars="56" w:right="84" w:rightChars="40"/>
              <w:rPr>
                <w:rFonts w:hint="eastAsia" w:ascii="黑体" w:hAnsi="黑体" w:eastAsia="黑体" w:cs="黑体"/>
                <w:color w:val="auto"/>
                <w:szCs w:val="21"/>
                <w:highlight w:val="none"/>
              </w:rPr>
            </w:pPr>
          </w:p>
        </w:tc>
        <w:tc>
          <w:tcPr>
            <w:tcW w:w="1150" w:type="dxa"/>
          </w:tcPr>
          <w:p w14:paraId="63F2F78F">
            <w:pPr>
              <w:widowControl/>
              <w:spacing w:line="300" w:lineRule="exact"/>
              <w:ind w:left="118" w:leftChars="56" w:right="84" w:rightChars="40"/>
              <w:rPr>
                <w:rFonts w:hint="eastAsia" w:ascii="黑体" w:hAnsi="黑体" w:eastAsia="黑体" w:cs="黑体"/>
                <w:color w:val="auto"/>
                <w:szCs w:val="21"/>
                <w:highlight w:val="none"/>
              </w:rPr>
            </w:pPr>
          </w:p>
        </w:tc>
      </w:tr>
      <w:tr w14:paraId="738020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4F95AFF">
            <w:pPr>
              <w:widowControl/>
              <w:spacing w:line="300" w:lineRule="exact"/>
              <w:ind w:left="147" w:leftChars="70" w:right="84" w:rightChars="40"/>
              <w:rPr>
                <w:rFonts w:hint="eastAsia" w:ascii="黑体" w:hAnsi="黑体" w:eastAsia="黑体" w:cs="黑体"/>
                <w:color w:val="auto"/>
                <w:szCs w:val="21"/>
                <w:highlight w:val="none"/>
              </w:rPr>
            </w:pPr>
          </w:p>
        </w:tc>
        <w:tc>
          <w:tcPr>
            <w:tcW w:w="949" w:type="dxa"/>
            <w:vAlign w:val="center"/>
          </w:tcPr>
          <w:p w14:paraId="5D24C5C5">
            <w:pPr>
              <w:widowControl/>
              <w:spacing w:line="400" w:lineRule="exact"/>
              <w:ind w:left="118" w:leftChars="56" w:right="84" w:rightChars="40"/>
              <w:jc w:val="center"/>
              <w:rPr>
                <w:rFonts w:hint="eastAsia" w:ascii="黑体" w:hAnsi="黑体" w:eastAsia="黑体" w:cs="黑体"/>
                <w:color w:val="auto"/>
                <w:szCs w:val="21"/>
                <w:highlight w:val="none"/>
              </w:rPr>
            </w:pPr>
          </w:p>
        </w:tc>
        <w:tc>
          <w:tcPr>
            <w:tcW w:w="6980" w:type="dxa"/>
            <w:vAlign w:val="center"/>
          </w:tcPr>
          <w:p w14:paraId="66C40E4D">
            <w:pPr>
              <w:widowControl/>
              <w:spacing w:line="400" w:lineRule="exact"/>
              <w:ind w:left="118" w:leftChars="56" w:right="84" w:rightChars="40"/>
              <w:rPr>
                <w:rFonts w:hint="eastAsia" w:ascii="黑体" w:hAnsi="黑体" w:eastAsia="黑体" w:cs="黑体"/>
                <w:color w:val="auto"/>
                <w:szCs w:val="21"/>
                <w:highlight w:val="none"/>
              </w:rPr>
            </w:pPr>
          </w:p>
        </w:tc>
        <w:tc>
          <w:tcPr>
            <w:tcW w:w="1150" w:type="dxa"/>
          </w:tcPr>
          <w:p w14:paraId="0A6583DB">
            <w:pPr>
              <w:widowControl/>
              <w:spacing w:line="300" w:lineRule="exact"/>
              <w:ind w:left="118" w:leftChars="56" w:right="84" w:rightChars="40"/>
              <w:rPr>
                <w:rFonts w:hint="eastAsia" w:ascii="黑体" w:hAnsi="黑体" w:eastAsia="黑体" w:cs="黑体"/>
                <w:color w:val="auto"/>
                <w:szCs w:val="21"/>
                <w:highlight w:val="none"/>
              </w:rPr>
            </w:pPr>
          </w:p>
        </w:tc>
      </w:tr>
      <w:tr w14:paraId="1BEDD2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157B2E8A">
            <w:pPr>
              <w:widowControl/>
              <w:spacing w:line="300" w:lineRule="exact"/>
              <w:ind w:left="147" w:leftChars="70" w:right="84" w:rightChars="40"/>
              <w:rPr>
                <w:rFonts w:hint="eastAsia" w:ascii="黑体" w:hAnsi="黑体" w:eastAsia="黑体" w:cs="黑体"/>
                <w:color w:val="auto"/>
                <w:szCs w:val="21"/>
                <w:highlight w:val="none"/>
              </w:rPr>
            </w:pPr>
          </w:p>
        </w:tc>
        <w:tc>
          <w:tcPr>
            <w:tcW w:w="949" w:type="dxa"/>
            <w:vAlign w:val="center"/>
          </w:tcPr>
          <w:p w14:paraId="31B517E9">
            <w:pPr>
              <w:widowControl/>
              <w:spacing w:line="400" w:lineRule="exact"/>
              <w:ind w:left="118" w:leftChars="56" w:right="84" w:rightChars="40"/>
              <w:jc w:val="center"/>
              <w:rPr>
                <w:rFonts w:hint="eastAsia" w:ascii="黑体" w:hAnsi="黑体" w:eastAsia="黑体" w:cs="黑体"/>
                <w:color w:val="auto"/>
                <w:szCs w:val="21"/>
                <w:highlight w:val="none"/>
              </w:rPr>
            </w:pPr>
          </w:p>
        </w:tc>
        <w:tc>
          <w:tcPr>
            <w:tcW w:w="6980" w:type="dxa"/>
            <w:vAlign w:val="center"/>
          </w:tcPr>
          <w:p w14:paraId="0B630CD4">
            <w:pPr>
              <w:widowControl/>
              <w:spacing w:line="400" w:lineRule="exact"/>
              <w:ind w:left="118" w:leftChars="56" w:right="84" w:rightChars="40"/>
              <w:rPr>
                <w:rFonts w:hint="eastAsia" w:ascii="黑体" w:hAnsi="黑体" w:eastAsia="黑体" w:cs="黑体"/>
                <w:color w:val="auto"/>
                <w:szCs w:val="21"/>
                <w:highlight w:val="none"/>
              </w:rPr>
            </w:pPr>
          </w:p>
        </w:tc>
        <w:tc>
          <w:tcPr>
            <w:tcW w:w="1150" w:type="dxa"/>
          </w:tcPr>
          <w:p w14:paraId="71EFE9EB">
            <w:pPr>
              <w:widowControl/>
              <w:spacing w:line="300" w:lineRule="exact"/>
              <w:ind w:left="118" w:leftChars="56" w:right="84" w:rightChars="40"/>
              <w:rPr>
                <w:rFonts w:hint="eastAsia" w:ascii="黑体" w:hAnsi="黑体" w:eastAsia="黑体" w:cs="黑体"/>
                <w:color w:val="auto"/>
                <w:szCs w:val="21"/>
                <w:highlight w:val="none"/>
              </w:rPr>
            </w:pPr>
          </w:p>
        </w:tc>
      </w:tr>
      <w:tr w14:paraId="7789D4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DAFB689">
            <w:pPr>
              <w:widowControl/>
              <w:spacing w:line="300" w:lineRule="exact"/>
              <w:ind w:left="147" w:leftChars="70" w:right="84" w:rightChars="40"/>
              <w:rPr>
                <w:rFonts w:hint="eastAsia" w:ascii="黑体" w:hAnsi="黑体" w:eastAsia="黑体" w:cs="黑体"/>
                <w:color w:val="auto"/>
                <w:szCs w:val="21"/>
                <w:highlight w:val="none"/>
              </w:rPr>
            </w:pPr>
          </w:p>
        </w:tc>
        <w:tc>
          <w:tcPr>
            <w:tcW w:w="949" w:type="dxa"/>
            <w:vAlign w:val="center"/>
          </w:tcPr>
          <w:p w14:paraId="28FA6C0E">
            <w:pPr>
              <w:widowControl/>
              <w:spacing w:line="400" w:lineRule="exact"/>
              <w:ind w:left="118" w:leftChars="56" w:right="84" w:rightChars="40"/>
              <w:jc w:val="center"/>
              <w:rPr>
                <w:rFonts w:hint="eastAsia" w:ascii="黑体" w:hAnsi="黑体" w:eastAsia="黑体" w:cs="黑体"/>
                <w:color w:val="auto"/>
                <w:szCs w:val="21"/>
                <w:highlight w:val="none"/>
              </w:rPr>
            </w:pPr>
          </w:p>
        </w:tc>
        <w:tc>
          <w:tcPr>
            <w:tcW w:w="6980" w:type="dxa"/>
            <w:vAlign w:val="center"/>
          </w:tcPr>
          <w:p w14:paraId="2A101719">
            <w:pPr>
              <w:widowControl/>
              <w:spacing w:line="400" w:lineRule="exact"/>
              <w:ind w:left="118" w:leftChars="56" w:right="84" w:rightChars="40"/>
              <w:rPr>
                <w:rFonts w:hint="eastAsia" w:ascii="黑体" w:hAnsi="黑体" w:eastAsia="黑体" w:cs="黑体"/>
                <w:color w:val="auto"/>
                <w:szCs w:val="21"/>
                <w:highlight w:val="none"/>
              </w:rPr>
            </w:pPr>
          </w:p>
        </w:tc>
        <w:tc>
          <w:tcPr>
            <w:tcW w:w="1150" w:type="dxa"/>
          </w:tcPr>
          <w:p w14:paraId="4652F4E5">
            <w:pPr>
              <w:widowControl/>
              <w:spacing w:line="300" w:lineRule="exact"/>
              <w:ind w:left="118" w:leftChars="56" w:right="84" w:rightChars="40"/>
              <w:rPr>
                <w:rFonts w:hint="eastAsia" w:ascii="黑体" w:hAnsi="黑体" w:eastAsia="黑体" w:cs="黑体"/>
                <w:color w:val="auto"/>
                <w:szCs w:val="21"/>
                <w:highlight w:val="none"/>
              </w:rPr>
            </w:pPr>
          </w:p>
        </w:tc>
      </w:tr>
      <w:tr w14:paraId="6EA5669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DB2ADBF">
            <w:pPr>
              <w:widowControl/>
              <w:spacing w:line="300" w:lineRule="exact"/>
              <w:ind w:left="147" w:leftChars="70" w:right="84" w:rightChars="40"/>
              <w:rPr>
                <w:rFonts w:hint="eastAsia" w:ascii="黑体" w:hAnsi="黑体" w:eastAsia="黑体" w:cs="黑体"/>
                <w:color w:val="auto"/>
                <w:szCs w:val="21"/>
                <w:highlight w:val="none"/>
              </w:rPr>
            </w:pPr>
          </w:p>
        </w:tc>
        <w:tc>
          <w:tcPr>
            <w:tcW w:w="949" w:type="dxa"/>
            <w:vAlign w:val="center"/>
          </w:tcPr>
          <w:p w14:paraId="4AC071FF">
            <w:pPr>
              <w:widowControl/>
              <w:spacing w:line="400" w:lineRule="exact"/>
              <w:ind w:left="118" w:leftChars="56" w:right="84" w:rightChars="40"/>
              <w:jc w:val="center"/>
              <w:rPr>
                <w:rFonts w:hint="eastAsia" w:ascii="黑体" w:hAnsi="黑体" w:eastAsia="黑体" w:cs="黑体"/>
                <w:color w:val="auto"/>
                <w:szCs w:val="21"/>
                <w:highlight w:val="none"/>
              </w:rPr>
            </w:pPr>
          </w:p>
        </w:tc>
        <w:tc>
          <w:tcPr>
            <w:tcW w:w="6980" w:type="dxa"/>
            <w:vAlign w:val="center"/>
          </w:tcPr>
          <w:p w14:paraId="53E215FB">
            <w:pPr>
              <w:widowControl/>
              <w:spacing w:line="400" w:lineRule="exact"/>
              <w:ind w:left="118" w:leftChars="56" w:right="84" w:rightChars="40"/>
              <w:rPr>
                <w:rFonts w:hint="eastAsia" w:ascii="黑体" w:hAnsi="黑体" w:eastAsia="黑体" w:cs="黑体"/>
                <w:color w:val="auto"/>
                <w:szCs w:val="21"/>
                <w:highlight w:val="none"/>
              </w:rPr>
            </w:pPr>
          </w:p>
        </w:tc>
        <w:tc>
          <w:tcPr>
            <w:tcW w:w="1150" w:type="dxa"/>
          </w:tcPr>
          <w:p w14:paraId="23722FED">
            <w:pPr>
              <w:widowControl/>
              <w:spacing w:line="300" w:lineRule="exact"/>
              <w:ind w:left="118" w:leftChars="56" w:right="84" w:rightChars="40"/>
              <w:rPr>
                <w:rFonts w:hint="eastAsia" w:ascii="黑体" w:hAnsi="黑体" w:eastAsia="黑体" w:cs="黑体"/>
                <w:color w:val="auto"/>
                <w:szCs w:val="21"/>
                <w:highlight w:val="none"/>
              </w:rPr>
            </w:pPr>
          </w:p>
        </w:tc>
      </w:tr>
      <w:tr w14:paraId="7775B2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5A5DCAB4">
            <w:pPr>
              <w:widowControl/>
              <w:spacing w:line="300" w:lineRule="exact"/>
              <w:ind w:left="147" w:leftChars="70" w:right="84" w:rightChars="40"/>
              <w:rPr>
                <w:rFonts w:hint="eastAsia" w:ascii="黑体" w:hAnsi="黑体" w:eastAsia="黑体" w:cs="黑体"/>
                <w:color w:val="auto"/>
                <w:szCs w:val="21"/>
                <w:highlight w:val="none"/>
              </w:rPr>
            </w:pPr>
          </w:p>
        </w:tc>
        <w:tc>
          <w:tcPr>
            <w:tcW w:w="949" w:type="dxa"/>
            <w:vAlign w:val="center"/>
          </w:tcPr>
          <w:p w14:paraId="5B365466">
            <w:pPr>
              <w:widowControl/>
              <w:spacing w:line="400" w:lineRule="exact"/>
              <w:ind w:left="118" w:leftChars="56" w:right="84" w:rightChars="40"/>
              <w:jc w:val="center"/>
              <w:rPr>
                <w:rFonts w:hint="eastAsia" w:ascii="黑体" w:hAnsi="黑体" w:eastAsia="黑体" w:cs="黑体"/>
                <w:color w:val="auto"/>
                <w:szCs w:val="21"/>
                <w:highlight w:val="none"/>
              </w:rPr>
            </w:pPr>
          </w:p>
        </w:tc>
        <w:tc>
          <w:tcPr>
            <w:tcW w:w="6980" w:type="dxa"/>
            <w:vAlign w:val="center"/>
          </w:tcPr>
          <w:p w14:paraId="4E50B44E">
            <w:pPr>
              <w:widowControl/>
              <w:spacing w:line="400" w:lineRule="exact"/>
              <w:ind w:left="118" w:leftChars="56" w:right="84" w:rightChars="40"/>
              <w:rPr>
                <w:rFonts w:hint="eastAsia" w:ascii="黑体" w:hAnsi="黑体" w:eastAsia="黑体" w:cs="黑体"/>
                <w:color w:val="auto"/>
                <w:szCs w:val="21"/>
                <w:highlight w:val="none"/>
              </w:rPr>
            </w:pPr>
          </w:p>
        </w:tc>
        <w:tc>
          <w:tcPr>
            <w:tcW w:w="1150" w:type="dxa"/>
          </w:tcPr>
          <w:p w14:paraId="0921F9B8">
            <w:pPr>
              <w:widowControl/>
              <w:spacing w:line="300" w:lineRule="exact"/>
              <w:ind w:left="118" w:leftChars="56" w:right="84" w:rightChars="40"/>
              <w:rPr>
                <w:rFonts w:hint="eastAsia" w:ascii="黑体" w:hAnsi="黑体" w:eastAsia="黑体" w:cs="黑体"/>
                <w:color w:val="auto"/>
                <w:szCs w:val="21"/>
                <w:highlight w:val="none"/>
              </w:rPr>
            </w:pPr>
          </w:p>
        </w:tc>
      </w:tr>
      <w:tr w14:paraId="371A0C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793E7A5D">
            <w:pPr>
              <w:jc w:val="center"/>
              <w:rPr>
                <w:rFonts w:hint="eastAsia" w:ascii="黑体" w:hAnsi="黑体" w:eastAsia="黑体" w:cs="黑体"/>
                <w:color w:val="auto"/>
                <w:kern w:val="0"/>
                <w:szCs w:val="21"/>
                <w:highlight w:val="none"/>
              </w:rPr>
            </w:pPr>
            <w:r>
              <w:rPr>
                <w:rFonts w:hint="eastAsia" w:ascii="黑体" w:hAnsi="黑体" w:eastAsia="黑体" w:cs="黑体"/>
                <w:snapToGrid w:val="0"/>
                <w:color w:val="auto"/>
                <w:kern w:val="0"/>
                <w:sz w:val="22"/>
                <w:highlight w:val="none"/>
              </w:rPr>
              <w:t>商务、资信及其他分</w:t>
            </w:r>
          </w:p>
          <w:p w14:paraId="6CE949C7">
            <w:pPr>
              <w:widowControl/>
              <w:spacing w:line="300" w:lineRule="exact"/>
              <w:ind w:left="118" w:leftChars="56" w:right="84" w:rightChars="40"/>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rPr>
              <w:t>）</w:t>
            </w:r>
          </w:p>
        </w:tc>
        <w:tc>
          <w:tcPr>
            <w:tcW w:w="7929" w:type="dxa"/>
            <w:gridSpan w:val="2"/>
            <w:vAlign w:val="center"/>
          </w:tcPr>
          <w:p w14:paraId="4CC04B35">
            <w:pPr>
              <w:rPr>
                <w:rFonts w:hint="eastAsia" w:ascii="黑体" w:hAnsi="黑体" w:eastAsia="黑体" w:cs="黑体"/>
                <w:color w:val="auto"/>
                <w:kern w:val="0"/>
                <w:szCs w:val="21"/>
                <w:highlight w:val="none"/>
              </w:rPr>
            </w:pPr>
          </w:p>
        </w:tc>
        <w:tc>
          <w:tcPr>
            <w:tcW w:w="1150" w:type="dxa"/>
          </w:tcPr>
          <w:p w14:paraId="08120A19">
            <w:pPr>
              <w:widowControl/>
              <w:spacing w:line="300" w:lineRule="exact"/>
              <w:ind w:left="118" w:leftChars="56" w:right="84" w:rightChars="40"/>
              <w:rPr>
                <w:rFonts w:hint="eastAsia" w:ascii="黑体" w:hAnsi="黑体" w:eastAsia="黑体" w:cs="黑体"/>
                <w:color w:val="auto"/>
                <w:szCs w:val="21"/>
                <w:highlight w:val="none"/>
              </w:rPr>
            </w:pPr>
          </w:p>
        </w:tc>
      </w:tr>
      <w:tr w14:paraId="09C8ED3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7D5A31B7">
            <w:pPr>
              <w:widowControl/>
              <w:spacing w:line="300" w:lineRule="exact"/>
              <w:ind w:left="118" w:leftChars="56" w:right="84" w:rightChars="40"/>
              <w:rPr>
                <w:rFonts w:hint="eastAsia" w:ascii="黑体" w:hAnsi="黑体" w:eastAsia="黑体" w:cs="黑体"/>
                <w:color w:val="auto"/>
                <w:szCs w:val="21"/>
                <w:highlight w:val="none"/>
              </w:rPr>
            </w:pPr>
          </w:p>
        </w:tc>
        <w:tc>
          <w:tcPr>
            <w:tcW w:w="7929" w:type="dxa"/>
            <w:gridSpan w:val="2"/>
            <w:vAlign w:val="center"/>
          </w:tcPr>
          <w:p w14:paraId="08322E13">
            <w:pPr>
              <w:rPr>
                <w:rFonts w:hint="eastAsia" w:ascii="黑体" w:hAnsi="黑体" w:eastAsia="黑体" w:cs="黑体"/>
                <w:color w:val="auto"/>
                <w:kern w:val="0"/>
                <w:szCs w:val="21"/>
                <w:highlight w:val="none"/>
              </w:rPr>
            </w:pPr>
          </w:p>
        </w:tc>
        <w:tc>
          <w:tcPr>
            <w:tcW w:w="1150" w:type="dxa"/>
          </w:tcPr>
          <w:p w14:paraId="081E344C">
            <w:pPr>
              <w:widowControl/>
              <w:spacing w:line="300" w:lineRule="exact"/>
              <w:ind w:left="118" w:leftChars="56" w:right="84" w:rightChars="40"/>
              <w:rPr>
                <w:rFonts w:hint="eastAsia" w:ascii="黑体" w:hAnsi="黑体" w:eastAsia="黑体" w:cs="黑体"/>
                <w:color w:val="auto"/>
                <w:szCs w:val="21"/>
                <w:highlight w:val="none"/>
              </w:rPr>
            </w:pPr>
          </w:p>
        </w:tc>
      </w:tr>
      <w:tr w14:paraId="2DF3827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7C418496">
            <w:pPr>
              <w:widowControl/>
              <w:spacing w:line="300" w:lineRule="exact"/>
              <w:ind w:left="118" w:leftChars="56" w:right="84" w:rightChars="40"/>
              <w:rPr>
                <w:rFonts w:hint="eastAsia" w:ascii="黑体" w:hAnsi="黑体" w:eastAsia="黑体" w:cs="黑体"/>
                <w:color w:val="auto"/>
                <w:szCs w:val="21"/>
                <w:highlight w:val="none"/>
              </w:rPr>
            </w:pPr>
          </w:p>
        </w:tc>
        <w:tc>
          <w:tcPr>
            <w:tcW w:w="7929" w:type="dxa"/>
            <w:gridSpan w:val="2"/>
            <w:vAlign w:val="center"/>
          </w:tcPr>
          <w:p w14:paraId="7888695F">
            <w:pPr>
              <w:rPr>
                <w:rFonts w:hint="eastAsia" w:ascii="黑体" w:hAnsi="黑体" w:eastAsia="黑体" w:cs="黑体"/>
                <w:color w:val="auto"/>
                <w:kern w:val="0"/>
                <w:szCs w:val="21"/>
                <w:highlight w:val="none"/>
              </w:rPr>
            </w:pPr>
          </w:p>
        </w:tc>
        <w:tc>
          <w:tcPr>
            <w:tcW w:w="1150" w:type="dxa"/>
          </w:tcPr>
          <w:p w14:paraId="243F5D85">
            <w:pPr>
              <w:widowControl/>
              <w:spacing w:line="300" w:lineRule="exact"/>
              <w:ind w:left="118" w:leftChars="56" w:right="84" w:rightChars="40"/>
              <w:rPr>
                <w:rFonts w:hint="eastAsia" w:ascii="黑体" w:hAnsi="黑体" w:eastAsia="黑体" w:cs="黑体"/>
                <w:color w:val="auto"/>
                <w:szCs w:val="21"/>
                <w:highlight w:val="none"/>
              </w:rPr>
            </w:pPr>
          </w:p>
        </w:tc>
      </w:tr>
      <w:tr w14:paraId="0972E3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71E1168C">
            <w:pPr>
              <w:widowControl/>
              <w:spacing w:line="300" w:lineRule="exact"/>
              <w:ind w:left="118" w:leftChars="56" w:right="84" w:rightChars="40"/>
              <w:rPr>
                <w:rFonts w:hint="eastAsia" w:ascii="黑体" w:hAnsi="黑体" w:eastAsia="黑体" w:cs="黑体"/>
                <w:color w:val="auto"/>
                <w:szCs w:val="21"/>
                <w:highlight w:val="none"/>
              </w:rPr>
            </w:pPr>
          </w:p>
        </w:tc>
        <w:tc>
          <w:tcPr>
            <w:tcW w:w="7929" w:type="dxa"/>
            <w:gridSpan w:val="2"/>
            <w:vAlign w:val="center"/>
          </w:tcPr>
          <w:p w14:paraId="632AFAB5">
            <w:pPr>
              <w:rPr>
                <w:rFonts w:hint="eastAsia" w:ascii="黑体" w:hAnsi="黑体" w:eastAsia="黑体" w:cs="黑体"/>
                <w:color w:val="auto"/>
                <w:szCs w:val="21"/>
                <w:highlight w:val="none"/>
              </w:rPr>
            </w:pPr>
          </w:p>
        </w:tc>
        <w:tc>
          <w:tcPr>
            <w:tcW w:w="1150" w:type="dxa"/>
          </w:tcPr>
          <w:p w14:paraId="02E0E9B8">
            <w:pPr>
              <w:widowControl/>
              <w:spacing w:line="300" w:lineRule="exact"/>
              <w:ind w:left="118" w:leftChars="56" w:right="84" w:rightChars="40"/>
              <w:rPr>
                <w:rFonts w:hint="eastAsia" w:ascii="黑体" w:hAnsi="黑体" w:eastAsia="黑体" w:cs="黑体"/>
                <w:color w:val="auto"/>
                <w:szCs w:val="21"/>
                <w:highlight w:val="none"/>
              </w:rPr>
            </w:pPr>
          </w:p>
        </w:tc>
      </w:tr>
      <w:tr w14:paraId="7789AC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179DE745">
            <w:pPr>
              <w:widowControl/>
              <w:spacing w:line="300" w:lineRule="exact"/>
              <w:ind w:left="118" w:leftChars="56" w:right="84" w:rightChars="40"/>
              <w:rPr>
                <w:rFonts w:hint="eastAsia" w:ascii="黑体" w:hAnsi="黑体" w:eastAsia="黑体" w:cs="黑体"/>
                <w:color w:val="auto"/>
                <w:szCs w:val="21"/>
                <w:highlight w:val="none"/>
              </w:rPr>
            </w:pPr>
          </w:p>
        </w:tc>
        <w:tc>
          <w:tcPr>
            <w:tcW w:w="7929" w:type="dxa"/>
            <w:gridSpan w:val="2"/>
            <w:vAlign w:val="center"/>
          </w:tcPr>
          <w:p w14:paraId="1FBDFE14">
            <w:pPr>
              <w:rPr>
                <w:rFonts w:hint="eastAsia" w:ascii="黑体" w:hAnsi="黑体" w:eastAsia="黑体" w:cs="黑体"/>
                <w:color w:val="auto"/>
                <w:kern w:val="0"/>
                <w:szCs w:val="21"/>
                <w:highlight w:val="none"/>
              </w:rPr>
            </w:pPr>
          </w:p>
        </w:tc>
        <w:tc>
          <w:tcPr>
            <w:tcW w:w="1150" w:type="dxa"/>
          </w:tcPr>
          <w:p w14:paraId="56C8FC73">
            <w:pPr>
              <w:widowControl/>
              <w:spacing w:line="300" w:lineRule="exact"/>
              <w:ind w:left="118" w:leftChars="56" w:right="84" w:rightChars="40"/>
              <w:rPr>
                <w:rFonts w:hint="eastAsia" w:ascii="黑体" w:hAnsi="黑体" w:eastAsia="黑体" w:cs="黑体"/>
                <w:color w:val="auto"/>
                <w:szCs w:val="21"/>
                <w:highlight w:val="none"/>
              </w:rPr>
            </w:pPr>
          </w:p>
        </w:tc>
      </w:tr>
      <w:tr w14:paraId="35E940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77A3999A">
            <w:pPr>
              <w:widowControl/>
              <w:spacing w:line="300" w:lineRule="exact"/>
              <w:ind w:left="118" w:leftChars="56" w:right="84" w:rightChars="40"/>
              <w:rPr>
                <w:rFonts w:hint="eastAsia" w:ascii="黑体" w:hAnsi="黑体" w:eastAsia="黑体" w:cs="黑体"/>
                <w:color w:val="auto"/>
                <w:szCs w:val="21"/>
                <w:highlight w:val="none"/>
              </w:rPr>
            </w:pPr>
          </w:p>
        </w:tc>
        <w:tc>
          <w:tcPr>
            <w:tcW w:w="7929" w:type="dxa"/>
            <w:gridSpan w:val="2"/>
            <w:vAlign w:val="center"/>
          </w:tcPr>
          <w:p w14:paraId="5A489990">
            <w:pPr>
              <w:rPr>
                <w:rFonts w:hint="eastAsia" w:ascii="黑体" w:hAnsi="黑体" w:eastAsia="黑体" w:cs="黑体"/>
                <w:color w:val="auto"/>
                <w:kern w:val="0"/>
                <w:szCs w:val="21"/>
                <w:highlight w:val="none"/>
              </w:rPr>
            </w:pPr>
          </w:p>
        </w:tc>
        <w:tc>
          <w:tcPr>
            <w:tcW w:w="1150" w:type="dxa"/>
          </w:tcPr>
          <w:p w14:paraId="2E380374">
            <w:pPr>
              <w:widowControl/>
              <w:spacing w:line="300" w:lineRule="exact"/>
              <w:ind w:left="118" w:leftChars="56" w:right="84" w:rightChars="40"/>
              <w:rPr>
                <w:rFonts w:hint="eastAsia" w:ascii="黑体" w:hAnsi="黑体" w:eastAsia="黑体" w:cs="黑体"/>
                <w:color w:val="auto"/>
                <w:szCs w:val="21"/>
                <w:highlight w:val="none"/>
              </w:rPr>
            </w:pPr>
          </w:p>
        </w:tc>
      </w:tr>
    </w:tbl>
    <w:p w14:paraId="5055790F">
      <w:pPr>
        <w:spacing w:line="360" w:lineRule="auto"/>
        <w:jc w:val="center"/>
        <w:rPr>
          <w:rFonts w:hint="eastAsia" w:ascii="黑体" w:hAnsi="黑体" w:eastAsia="黑体" w:cs="黑体"/>
          <w:color w:val="auto"/>
          <w:szCs w:val="21"/>
          <w:highlight w:val="none"/>
        </w:rPr>
      </w:pPr>
    </w:p>
    <w:p w14:paraId="7A12042B">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Cs w:val="21"/>
          <w:highlight w:val="none"/>
        </w:rPr>
        <w:t>备注：为方便专家评审，请各供应商将本表编入磋商响应文件，并置于磋商响应文件目录之前。</w:t>
      </w:r>
    </w:p>
    <w:p w14:paraId="2036F004">
      <w:pPr>
        <w:spacing w:line="360" w:lineRule="auto"/>
        <w:rPr>
          <w:rFonts w:hint="eastAsia" w:ascii="黑体" w:hAnsi="黑体" w:eastAsia="黑体" w:cs="黑体"/>
          <w:color w:val="auto"/>
          <w:highlight w:val="none"/>
          <w:lang w:val="en-GB"/>
        </w:rPr>
      </w:pPr>
    </w:p>
    <w:p w14:paraId="76A28FCF">
      <w:pPr>
        <w:spacing w:line="360" w:lineRule="auto"/>
        <w:rPr>
          <w:rFonts w:hint="eastAsia" w:ascii="黑体" w:hAnsi="黑体" w:eastAsia="黑体" w:cs="黑体"/>
          <w:color w:val="auto"/>
          <w:highlight w:val="none"/>
          <w:lang w:val="en-GB"/>
        </w:rPr>
      </w:pPr>
    </w:p>
    <w:p w14:paraId="00195D89">
      <w:pPr>
        <w:spacing w:line="360" w:lineRule="auto"/>
        <w:rPr>
          <w:rFonts w:hint="eastAsia" w:ascii="黑体" w:hAnsi="黑体" w:eastAsia="黑体" w:cs="黑体"/>
          <w:color w:val="auto"/>
          <w:highlight w:val="none"/>
          <w:lang w:val="en-GB"/>
        </w:rPr>
      </w:pP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7C3B">
    <w:pPr>
      <w:pStyle w:val="4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BBD53">
                          <w:pPr>
                            <w:pStyle w:val="41"/>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7Apf8MBAACQ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HsCl/wwEAAJADAAAOAAAAAAAAAAEAIAAAAB4BAABkcnMvZTJvRG9jLnhtbFBL&#10;BQYAAAAABgAGAFkBAABTBQAAAAA=&#10;">
              <v:fill on="f" focussize="0,0"/>
              <v:stroke on="f"/>
              <v:imagedata o:title=""/>
              <o:lock v:ext="edit" aspectratio="f"/>
              <v:textbox inset="0mm,0mm,0mm,0mm" style="mso-fit-shape-to-text:t;">
                <w:txbxContent>
                  <w:p w14:paraId="6C1BBD53">
                    <w:pPr>
                      <w:pStyle w:val="4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47C5">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512A0">
                          <w:pPr>
                            <w:pStyle w:val="4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lYg8QBAACQ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i+dZoT5AjYl3AVPT8MYPuDezH9CZiQ8q2vxFSgTjqO/5qq8cEhH50Xq1XlcYEhibL4jP7p+HCOmt&#10;9JZko6ERB1h05af3kMbUOSVXc/5WG1OGaNxfDsTMHpZ7H3vMVhr2w0Ro79sz8ulx9g11uOqUmHcO&#10;pc1rMhtxNvaTkWtAeH1MWLj0k1FHqKkYDqowmpYqb8Kf95J1/y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QlYg8QBAACQAwAADgAAAAAAAAABACAAAAAeAQAAZHJzL2Uyb0RvYy54bWxQ&#10;SwUGAAAAAAYABgBZAQAAVAUAAAAA&#10;">
              <v:fill on="f" focussize="0,0"/>
              <v:stroke on="f"/>
              <v:imagedata o:title=""/>
              <o:lock v:ext="edit" aspectratio="f"/>
              <v:textbox inset="0mm,0mm,0mm,0mm" style="mso-fit-shape-to-text:t;">
                <w:txbxContent>
                  <w:p w14:paraId="03B512A0">
                    <w:pPr>
                      <w:pStyle w:val="4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521C">
    <w:pPr>
      <w:pStyle w:val="42"/>
      <w:pBdr>
        <w:bottom w:val="single" w:color="auto" w:sz="4" w:space="1"/>
      </w:pBdr>
      <w:rPr>
        <w:rFonts w:hint="eastAsia" w:eastAsia="宋体"/>
        <w:b/>
        <w:bCs/>
        <w:lang w:eastAsia="zh-CN"/>
      </w:rPr>
    </w:pPr>
    <w:r>
      <w:rPr>
        <w:rFonts w:hint="eastAsia" w:ascii="黑体" w:hAnsi="黑体" w:eastAsia="黑体" w:cs="黑体"/>
        <w:lang w:eastAsia="zh-CN"/>
      </w:rPr>
      <w:t>乾元镇镇区绿化养护项目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CF9E">
    <w:pPr>
      <w:pStyle w:val="42"/>
      <w:pBdr>
        <w:bottom w:val="single" w:color="auto" w:sz="4" w:space="1"/>
      </w:pBdr>
      <w:rPr>
        <w:rFonts w:hint="eastAsia" w:ascii="黑体" w:hAnsi="黑体" w:eastAsia="黑体" w:cs="黑体"/>
        <w:lang w:eastAsia="zh-CN"/>
      </w:rPr>
    </w:pPr>
    <w:r>
      <w:rPr>
        <w:rFonts w:hint="eastAsia" w:ascii="黑体" w:hAnsi="黑体" w:eastAsia="黑体" w:cs="黑体"/>
        <w:lang w:eastAsia="zh-CN"/>
      </w:rPr>
      <w:t>乾元镇镇区绿化养护项目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D501"/>
    <w:multiLevelType w:val="singleLevel"/>
    <w:tmpl w:val="ADEDD501"/>
    <w:lvl w:ilvl="0" w:tentative="0">
      <w:start w:val="1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2">
    <w:nsid w:val="FFFFFFFB"/>
    <w:multiLevelType w:val="multilevel"/>
    <w:tmpl w:val="FFFFFFFB"/>
    <w:lvl w:ilvl="0" w:tentative="0">
      <w:start w:val="1"/>
      <w:numFmt w:val="chineseCountingThousand"/>
      <w:pStyle w:val="290"/>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17"/>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1"/>
      <w:suff w:val="nothing"/>
      <w:lvlText w:val=""/>
      <w:lvlJc w:val="left"/>
    </w:lvl>
    <w:lvl w:ilvl="7" w:tentative="0">
      <w:start w:val="1"/>
      <w:numFmt w:val="none"/>
      <w:pStyle w:val="12"/>
      <w:suff w:val="nothing"/>
      <w:lvlText w:val=""/>
      <w:lvlJc w:val="left"/>
    </w:lvl>
    <w:lvl w:ilvl="8" w:tentative="0">
      <w:start w:val="1"/>
      <w:numFmt w:val="none"/>
      <w:pStyle w:val="13"/>
      <w:suff w:val="nothing"/>
      <w:lvlText w:val=""/>
      <w:lvlJc w:val="left"/>
    </w:lvl>
  </w:abstractNum>
  <w:abstractNum w:abstractNumId="3">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1268450"/>
    <w:multiLevelType w:val="singleLevel"/>
    <w:tmpl w:val="11268450"/>
    <w:lvl w:ilvl="0" w:tentative="0">
      <w:start w:val="1"/>
      <w:numFmt w:val="decimal"/>
      <w:suff w:val="space"/>
      <w:lvlText w:val="%1."/>
      <w:lvlJc w:val="left"/>
    </w:lvl>
  </w:abstractNum>
  <w:abstractNum w:abstractNumId="5">
    <w:nsid w:val="13C98B99"/>
    <w:multiLevelType w:val="singleLevel"/>
    <w:tmpl w:val="13C98B99"/>
    <w:lvl w:ilvl="0" w:tentative="0">
      <w:start w:val="1"/>
      <w:numFmt w:val="chineseCounting"/>
      <w:suff w:val="space"/>
      <w:lvlText w:val="第%1章"/>
      <w:lvlJc w:val="left"/>
      <w:rPr>
        <w:rFonts w:hint="eastAsia"/>
      </w:rPr>
    </w:lvl>
  </w:abstractNum>
  <w:abstractNum w:abstractNumId="6">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75"/>
      <w:suff w:val="nothing"/>
      <w:lvlText w:val="%1.%2."/>
      <w:lvlJc w:val="left"/>
      <w:pPr>
        <w:ind w:left="380" w:hanging="380"/>
      </w:pPr>
      <w:rPr>
        <w:rFonts w:hint="eastAsia"/>
        <w:b/>
        <w:i w:val="0"/>
        <w:sz w:val="28"/>
        <w:szCs w:val="28"/>
      </w:rPr>
    </w:lvl>
    <w:lvl w:ilvl="2" w:tentative="0">
      <w:start w:val="1"/>
      <w:numFmt w:val="decimal"/>
      <w:pStyle w:val="174"/>
      <w:suff w:val="nothing"/>
      <w:lvlText w:val="%1.%2.%3."/>
      <w:lvlJc w:val="left"/>
      <w:pPr>
        <w:ind w:left="0" w:firstLine="0"/>
      </w:pPr>
      <w:rPr>
        <w:rFonts w:hint="eastAsia"/>
        <w:b/>
        <w:i w:val="0"/>
        <w:sz w:val="24"/>
        <w:szCs w:val="24"/>
      </w:rPr>
    </w:lvl>
    <w:lvl w:ilvl="3" w:tentative="0">
      <w:start w:val="1"/>
      <w:numFmt w:val="decimal"/>
      <w:pStyle w:val="202"/>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8">
    <w:nsid w:val="1B9D7C62"/>
    <w:multiLevelType w:val="multilevel"/>
    <w:tmpl w:val="1B9D7C62"/>
    <w:lvl w:ilvl="0" w:tentative="0">
      <w:start w:val="1"/>
      <w:numFmt w:val="decimal"/>
      <w:pStyle w:val="255"/>
      <w:lvlText w:val="（%1）"/>
      <w:lvlJc w:val="left"/>
      <w:pPr>
        <w:tabs>
          <w:tab w:val="left" w:pos="1140"/>
        </w:tabs>
        <w:ind w:left="1140" w:hanging="720"/>
      </w:pPr>
      <w:rPr>
        <w:rFonts w:hint="eastAsia"/>
      </w:rPr>
    </w:lvl>
    <w:lvl w:ilvl="1" w:tentative="0">
      <w:start w:val="1"/>
      <w:numFmt w:val="lowerLetter"/>
      <w:pStyle w:val="22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76"/>
      <w:lvlText w:val="%4."/>
      <w:lvlJc w:val="left"/>
      <w:pPr>
        <w:tabs>
          <w:tab w:val="left" w:pos="2100"/>
        </w:tabs>
        <w:ind w:left="2100" w:hanging="420"/>
      </w:pPr>
    </w:lvl>
    <w:lvl w:ilvl="4" w:tentative="0">
      <w:start w:val="1"/>
      <w:numFmt w:val="lowerLetter"/>
      <w:pStyle w:val="187"/>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1FE55DAC"/>
    <w:multiLevelType w:val="singleLevel"/>
    <w:tmpl w:val="1FE55DAC"/>
    <w:lvl w:ilvl="0" w:tentative="0">
      <w:start w:val="1"/>
      <w:numFmt w:val="bullet"/>
      <w:pStyle w:val="251"/>
      <w:lvlText w:val=""/>
      <w:lvlJc w:val="left"/>
      <w:pPr>
        <w:tabs>
          <w:tab w:val="left" w:pos="2126"/>
        </w:tabs>
        <w:ind w:left="2126" w:hanging="425"/>
      </w:pPr>
      <w:rPr>
        <w:rFonts w:hint="default" w:ascii="Wingdings" w:hAnsi="Wingdings"/>
        <w:sz w:val="13"/>
        <w:u w:val="none"/>
      </w:rPr>
    </w:lvl>
  </w:abstractNum>
  <w:abstractNum w:abstractNumId="10">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4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B247A2"/>
    <w:multiLevelType w:val="multilevel"/>
    <w:tmpl w:val="22B247A2"/>
    <w:lvl w:ilvl="0" w:tentative="0">
      <w:start w:val="1"/>
      <w:numFmt w:val="decimal"/>
      <w:pStyle w:val="275"/>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4D774CB"/>
    <w:multiLevelType w:val="multilevel"/>
    <w:tmpl w:val="24D774CB"/>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27757579"/>
    <w:multiLevelType w:val="singleLevel"/>
    <w:tmpl w:val="27757579"/>
    <w:lvl w:ilvl="0" w:tentative="0">
      <w:start w:val="1"/>
      <w:numFmt w:val="bullet"/>
      <w:pStyle w:val="90"/>
      <w:lvlText w:val=""/>
      <w:lvlJc w:val="left"/>
      <w:pPr>
        <w:tabs>
          <w:tab w:val="left" w:pos="425"/>
        </w:tabs>
        <w:ind w:left="425" w:hanging="425"/>
      </w:pPr>
      <w:rPr>
        <w:rFonts w:hint="default" w:ascii="Wingdings" w:hAnsi="Wingdings"/>
      </w:rPr>
    </w:lvl>
  </w:abstractNum>
  <w:abstractNum w:abstractNumId="14">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27"/>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5">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193"/>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248"/>
      <w:suff w:val="space"/>
      <w:lvlText w:val="表%1-%6"/>
      <w:lvlJc w:val="center"/>
      <w:pPr>
        <w:ind w:left="1701" w:firstLine="0"/>
      </w:pPr>
    </w:lvl>
    <w:lvl w:ilvl="6" w:tentative="0">
      <w:start w:val="1"/>
      <w:numFmt w:val="decimal"/>
      <w:pStyle w:val="224"/>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16">
    <w:nsid w:val="44F60376"/>
    <w:multiLevelType w:val="singleLevel"/>
    <w:tmpl w:val="44F60376"/>
    <w:lvl w:ilvl="0" w:tentative="0">
      <w:start w:val="3"/>
      <w:numFmt w:val="decimal"/>
      <w:suff w:val="nothing"/>
      <w:lvlText w:val="%1、"/>
      <w:lvlJc w:val="left"/>
    </w:lvl>
  </w:abstractNum>
  <w:abstractNum w:abstractNumId="17">
    <w:nsid w:val="4514406C"/>
    <w:multiLevelType w:val="multilevel"/>
    <w:tmpl w:val="4514406C"/>
    <w:lvl w:ilvl="0" w:tentative="0">
      <w:start w:val="1"/>
      <w:numFmt w:val="bullet"/>
      <w:pStyle w:val="263"/>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8">
    <w:nsid w:val="48ACFF70"/>
    <w:multiLevelType w:val="singleLevel"/>
    <w:tmpl w:val="48ACFF70"/>
    <w:lvl w:ilvl="0" w:tentative="0">
      <w:start w:val="3"/>
      <w:numFmt w:val="chineseCounting"/>
      <w:suff w:val="space"/>
      <w:lvlText w:val="第%1章"/>
      <w:lvlJc w:val="left"/>
      <w:rPr>
        <w:rFonts w:hint="eastAsia"/>
      </w:rPr>
    </w:lvl>
  </w:abstractNum>
  <w:abstractNum w:abstractNumId="19">
    <w:nsid w:val="4BDD3030"/>
    <w:multiLevelType w:val="multilevel"/>
    <w:tmpl w:val="4BDD3030"/>
    <w:lvl w:ilvl="0" w:tentative="0">
      <w:start w:val="1"/>
      <w:numFmt w:val="decimal"/>
      <w:pStyle w:val="53"/>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20">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b w:val="0"/>
      </w:rPr>
    </w:lvl>
    <w:lvl w:ilvl="2" w:tentative="0">
      <w:start w:val="1"/>
      <w:numFmt w:val="lowerLetter"/>
      <w:lvlText w:val="%3、"/>
      <w:lvlJc w:val="left"/>
      <w:pPr>
        <w:tabs>
          <w:tab w:val="left" w:pos="1200"/>
        </w:tabs>
        <w:ind w:left="1200" w:hanging="360"/>
      </w:pPr>
      <w:rPr>
        <w:rFonts w:hint="default"/>
      </w:rPr>
    </w:lvl>
    <w:lvl w:ilvl="3" w:tentative="0">
      <w:start w:val="1"/>
      <w:numFmt w:val="japaneseCounting"/>
      <w:lvlText w:val="%4、"/>
      <w:lvlJc w:val="left"/>
      <w:pPr>
        <w:ind w:left="1980" w:hanging="720"/>
      </w:pPr>
      <w:rPr>
        <w:rFonts w:hint="default"/>
      </w:rPr>
    </w:lvl>
    <w:lvl w:ilvl="4" w:tentative="0">
      <w:start w:val="1"/>
      <w:numFmt w:val="japaneseCounting"/>
      <w:lvlText w:val="%5．"/>
      <w:lvlJc w:val="left"/>
      <w:pPr>
        <w:ind w:left="2400" w:hanging="72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BD78D3"/>
    <w:multiLevelType w:val="multilevel"/>
    <w:tmpl w:val="59BD78D3"/>
    <w:lvl w:ilvl="0" w:tentative="0">
      <w:start w:val="1"/>
      <w:numFmt w:val="bullet"/>
      <w:pStyle w:val="26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2">
    <w:nsid w:val="5B6155A2"/>
    <w:multiLevelType w:val="multilevel"/>
    <w:tmpl w:val="5B6155A2"/>
    <w:lvl w:ilvl="0" w:tentative="0">
      <w:start w:val="1"/>
      <w:numFmt w:val="chineseCountingThousand"/>
      <w:lvlText w:val="(%1)"/>
      <w:lvlJc w:val="left"/>
      <w:pPr>
        <w:ind w:left="823"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CAC6F47"/>
    <w:multiLevelType w:val="multilevel"/>
    <w:tmpl w:val="5CAC6F47"/>
    <w:lvl w:ilvl="0" w:tentative="0">
      <w:start w:val="1"/>
      <w:numFmt w:val="decimal"/>
      <w:pStyle w:val="19"/>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64CE6E7C"/>
    <w:multiLevelType w:val="multilevel"/>
    <w:tmpl w:val="64CE6E7C"/>
    <w:lvl w:ilvl="0" w:tentative="0">
      <w:start w:val="1"/>
      <w:numFmt w:val="decimal"/>
      <w:pStyle w:val="274"/>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7403E98"/>
    <w:multiLevelType w:val="singleLevel"/>
    <w:tmpl w:val="67403E98"/>
    <w:lvl w:ilvl="0" w:tentative="0">
      <w:start w:val="1"/>
      <w:numFmt w:val="bullet"/>
      <w:pStyle w:val="83"/>
      <w:lvlText w:val=""/>
      <w:lvlJc w:val="left"/>
      <w:pPr>
        <w:tabs>
          <w:tab w:val="left" w:pos="360"/>
        </w:tabs>
        <w:ind w:left="360" w:hanging="360"/>
      </w:pPr>
      <w:rPr>
        <w:rFonts w:hint="default" w:ascii="Symbol" w:hAnsi="Symbol"/>
      </w:rPr>
    </w:lvl>
  </w:abstractNum>
  <w:abstractNum w:abstractNumId="26">
    <w:nsid w:val="68315CF3"/>
    <w:multiLevelType w:val="multilevel"/>
    <w:tmpl w:val="68315CF3"/>
    <w:lvl w:ilvl="0" w:tentative="0">
      <w:start w:val="1"/>
      <w:numFmt w:val="japaneseCounting"/>
      <w:pStyle w:val="207"/>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8426F4D"/>
    <w:multiLevelType w:val="multilevel"/>
    <w:tmpl w:val="68426F4D"/>
    <w:lvl w:ilvl="0" w:tentative="0">
      <w:start w:val="1"/>
      <w:numFmt w:val="chineseCountingThousand"/>
      <w:lvlText w:val="(%1)"/>
      <w:lvlJc w:val="left"/>
      <w:pPr>
        <w:ind w:left="832" w:hanging="420"/>
      </w:pPr>
      <w:rPr>
        <w:b w:val="0"/>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8">
    <w:nsid w:val="6C64119E"/>
    <w:multiLevelType w:val="multilevel"/>
    <w:tmpl w:val="6C64119E"/>
    <w:lvl w:ilvl="0" w:tentative="0">
      <w:start w:val="1"/>
      <w:numFmt w:val="chineseCountingThousand"/>
      <w:lvlText w:val="(%1)"/>
      <w:lvlJc w:val="left"/>
      <w:pPr>
        <w:ind w:left="823" w:hanging="420"/>
      </w:pPr>
      <w:rPr>
        <w:b w:val="0"/>
      </w:rPr>
    </w:lvl>
    <w:lvl w:ilvl="1" w:tentative="0">
      <w:start w:val="1"/>
      <w:numFmt w:val="lowerLetter"/>
      <w:lvlText w:val="%2)"/>
      <w:lvlJc w:val="left"/>
      <w:pPr>
        <w:ind w:left="1243" w:hanging="420"/>
      </w:p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29">
    <w:nsid w:val="6D9F4248"/>
    <w:multiLevelType w:val="singleLevel"/>
    <w:tmpl w:val="6D9F4248"/>
    <w:lvl w:ilvl="0" w:tentative="0">
      <w:start w:val="1"/>
      <w:numFmt w:val="decimal"/>
      <w:pStyle w:val="158"/>
      <w:lvlText w:val="%1）"/>
      <w:lvlJc w:val="left"/>
      <w:pPr>
        <w:tabs>
          <w:tab w:val="left" w:pos="1050"/>
        </w:tabs>
        <w:ind w:left="1050" w:hanging="450"/>
      </w:pPr>
      <w:rPr>
        <w:rFonts w:hint="eastAsia"/>
      </w:rPr>
    </w:lvl>
  </w:abstractNum>
  <w:abstractNum w:abstractNumId="30">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5"/>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2">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A0A2572"/>
    <w:multiLevelType w:val="multilevel"/>
    <w:tmpl w:val="7A0A2572"/>
    <w:lvl w:ilvl="0" w:tentative="0">
      <w:start w:val="1"/>
      <w:numFmt w:val="decimal"/>
      <w:pStyle w:val="252"/>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0"/>
  </w:num>
  <w:num w:numId="2">
    <w:abstractNumId w:val="2"/>
  </w:num>
  <w:num w:numId="3">
    <w:abstractNumId w:val="23"/>
  </w:num>
  <w:num w:numId="4">
    <w:abstractNumId w:val="19"/>
  </w:num>
  <w:num w:numId="5">
    <w:abstractNumId w:val="25"/>
  </w:num>
  <w:num w:numId="6">
    <w:abstractNumId w:val="13"/>
  </w:num>
  <w:num w:numId="7">
    <w:abstractNumId w:val="12"/>
    <w:lvlOverride w:ilvl="0">
      <w:lvl w:ilvl="0" w:tentative="1">
        <w:start w:val="1"/>
        <w:numFmt w:val="decimal"/>
        <w:pStyle w:val="153"/>
        <w:lvlText w:val="第%1章."/>
        <w:lvlJc w:val="left"/>
        <w:pPr>
          <w:tabs>
            <w:tab w:val="left" w:pos="425"/>
          </w:tabs>
          <w:ind w:left="425" w:hanging="425"/>
        </w:pPr>
        <w:rPr>
          <w:rFonts w:hint="eastAsia"/>
        </w:rPr>
      </w:lvl>
    </w:lvlOverride>
    <w:lvlOverride w:ilvl="1">
      <w:lvl w:ilvl="1" w:tentative="1">
        <w:start w:val="1"/>
        <w:numFmt w:val="decimal"/>
        <w:pStyle w:val="305"/>
        <w:lvlText w:val="%1.%2."/>
        <w:lvlJc w:val="left"/>
        <w:pPr>
          <w:tabs>
            <w:tab w:val="left" w:pos="567"/>
          </w:tabs>
          <w:ind w:left="567" w:hanging="567"/>
        </w:pPr>
        <w:rPr>
          <w:rFonts w:hint="eastAsia"/>
        </w:rPr>
      </w:lvl>
    </w:lvlOverride>
    <w:lvlOverride w:ilvl="2">
      <w:lvl w:ilvl="2" w:tentative="1">
        <w:start w:val="1"/>
        <w:numFmt w:val="decimal"/>
        <w:pStyle w:val="223"/>
        <w:lvlText w:val="%1.%2.%3."/>
        <w:lvlJc w:val="left"/>
        <w:pPr>
          <w:tabs>
            <w:tab w:val="left" w:pos="1249"/>
          </w:tabs>
          <w:ind w:left="1249" w:hanging="709"/>
        </w:pPr>
        <w:rPr>
          <w:rFonts w:hint="eastAsia"/>
        </w:rPr>
      </w:lvl>
    </w:lvlOverride>
    <w:lvlOverride w:ilvl="3">
      <w:lvl w:ilvl="3" w:tentative="1">
        <w:start w:val="1"/>
        <w:numFmt w:val="decimal"/>
        <w:pStyle w:val="173"/>
        <w:lvlText w:val="%1.%2.%3.%4."/>
        <w:lvlJc w:val="left"/>
        <w:pPr>
          <w:tabs>
            <w:tab w:val="left" w:pos="851"/>
          </w:tabs>
          <w:ind w:left="851" w:hanging="851"/>
        </w:pPr>
        <w:rPr>
          <w:rFonts w:hint="eastAsia"/>
        </w:rPr>
      </w:lvl>
    </w:lvlOverride>
    <w:lvlOverride w:ilvl="4">
      <w:lvl w:ilvl="4" w:tentative="1">
        <w:start w:val="1"/>
        <w:numFmt w:val="decimal"/>
        <w:pStyle w:val="293"/>
        <w:lvlText w:val="%1.%2.%3.%4.%5."/>
        <w:lvlJc w:val="left"/>
        <w:pPr>
          <w:tabs>
            <w:tab w:val="left" w:pos="992"/>
          </w:tabs>
          <w:ind w:left="992" w:hanging="992"/>
        </w:pPr>
        <w:rPr>
          <w:rFonts w:hint="eastAsia"/>
        </w:rPr>
      </w:lvl>
    </w:lvlOverride>
    <w:lvlOverride w:ilvl="5">
      <w:lvl w:ilvl="5" w:tentative="1">
        <w:start w:val="1"/>
        <w:numFmt w:val="decimal"/>
        <w:pStyle w:val="234"/>
        <w:lvlText w:val="%1.%2.%3.%4.%5.%6."/>
        <w:lvlJc w:val="left"/>
        <w:pPr>
          <w:tabs>
            <w:tab w:val="left" w:pos="1854"/>
          </w:tabs>
          <w:ind w:left="185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8">
    <w:abstractNumId w:val="29"/>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4"/>
  </w:num>
  <w:num w:numId="15">
    <w:abstractNumId w:val="10"/>
  </w:num>
  <w:num w:numId="16">
    <w:abstractNumId w:val="9"/>
  </w:num>
  <w:num w:numId="17">
    <w:abstractNumId w:val="33"/>
  </w:num>
  <w:num w:numId="18">
    <w:abstractNumId w:val="17"/>
  </w:num>
  <w:num w:numId="19">
    <w:abstractNumId w:val="21"/>
  </w:num>
  <w:num w:numId="20">
    <w:abstractNumId w:val="24"/>
  </w:num>
  <w:num w:numId="21">
    <w:abstractNumId w:val="11"/>
  </w:num>
  <w:num w:numId="22">
    <w:abstractNumId w:val="31"/>
  </w:num>
  <w:num w:numId="23">
    <w:abstractNumId w:val="5"/>
  </w:num>
  <w:num w:numId="24">
    <w:abstractNumId w:val="16"/>
  </w:num>
  <w:num w:numId="25">
    <w:abstractNumId w:val="2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6"/>
  </w:num>
  <w:num w:numId="29">
    <w:abstractNumId w:val="28"/>
  </w:num>
  <w:num w:numId="30">
    <w:abstractNumId w:val="22"/>
  </w:num>
  <w:num w:numId="31">
    <w:abstractNumId w:val="27"/>
  </w:num>
  <w:num w:numId="32">
    <w:abstractNumId w:val="3"/>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Dc1NmRkNTljNWY0MjNhNjI2ZTM3NmZhMjc2ZjkifQ=="/>
  </w:docVars>
  <w:rsids>
    <w:rsidRoot w:val="00D91FA6"/>
    <w:rsid w:val="00001473"/>
    <w:rsid w:val="00004205"/>
    <w:rsid w:val="000056ED"/>
    <w:rsid w:val="000067C8"/>
    <w:rsid w:val="00007692"/>
    <w:rsid w:val="000101AC"/>
    <w:rsid w:val="00016034"/>
    <w:rsid w:val="00016978"/>
    <w:rsid w:val="00016E02"/>
    <w:rsid w:val="00016EB5"/>
    <w:rsid w:val="00017618"/>
    <w:rsid w:val="00017697"/>
    <w:rsid w:val="00021DF3"/>
    <w:rsid w:val="00025607"/>
    <w:rsid w:val="00026E36"/>
    <w:rsid w:val="000275A4"/>
    <w:rsid w:val="0003353C"/>
    <w:rsid w:val="00033ACA"/>
    <w:rsid w:val="00041BC5"/>
    <w:rsid w:val="0004215A"/>
    <w:rsid w:val="00045438"/>
    <w:rsid w:val="000467AC"/>
    <w:rsid w:val="0004791B"/>
    <w:rsid w:val="000531B0"/>
    <w:rsid w:val="0005403E"/>
    <w:rsid w:val="00056490"/>
    <w:rsid w:val="0005688D"/>
    <w:rsid w:val="00057459"/>
    <w:rsid w:val="00057515"/>
    <w:rsid w:val="00061453"/>
    <w:rsid w:val="00063449"/>
    <w:rsid w:val="000637E5"/>
    <w:rsid w:val="00063A7B"/>
    <w:rsid w:val="00064BD9"/>
    <w:rsid w:val="00066547"/>
    <w:rsid w:val="00071613"/>
    <w:rsid w:val="00073A9F"/>
    <w:rsid w:val="0008294D"/>
    <w:rsid w:val="0008312F"/>
    <w:rsid w:val="00083EFF"/>
    <w:rsid w:val="000856B3"/>
    <w:rsid w:val="00086F9C"/>
    <w:rsid w:val="00087C1E"/>
    <w:rsid w:val="000903F9"/>
    <w:rsid w:val="00093942"/>
    <w:rsid w:val="000948FC"/>
    <w:rsid w:val="000A1C61"/>
    <w:rsid w:val="000A2940"/>
    <w:rsid w:val="000A3913"/>
    <w:rsid w:val="000A4CC9"/>
    <w:rsid w:val="000A694F"/>
    <w:rsid w:val="000B0D6A"/>
    <w:rsid w:val="000B1081"/>
    <w:rsid w:val="000B197C"/>
    <w:rsid w:val="000B6E52"/>
    <w:rsid w:val="000B708F"/>
    <w:rsid w:val="000B7F8D"/>
    <w:rsid w:val="000C7DC7"/>
    <w:rsid w:val="000D0B24"/>
    <w:rsid w:val="000D5F9C"/>
    <w:rsid w:val="000E17EE"/>
    <w:rsid w:val="000F0CB8"/>
    <w:rsid w:val="000F1105"/>
    <w:rsid w:val="000F796F"/>
    <w:rsid w:val="00102AF7"/>
    <w:rsid w:val="00103B27"/>
    <w:rsid w:val="0010562B"/>
    <w:rsid w:val="00111366"/>
    <w:rsid w:val="00112A9C"/>
    <w:rsid w:val="00113072"/>
    <w:rsid w:val="00116E10"/>
    <w:rsid w:val="00123832"/>
    <w:rsid w:val="0012682D"/>
    <w:rsid w:val="00131892"/>
    <w:rsid w:val="001319D8"/>
    <w:rsid w:val="001320FD"/>
    <w:rsid w:val="00136155"/>
    <w:rsid w:val="001370FC"/>
    <w:rsid w:val="0013792B"/>
    <w:rsid w:val="0014161F"/>
    <w:rsid w:val="00142F41"/>
    <w:rsid w:val="00143997"/>
    <w:rsid w:val="001439B8"/>
    <w:rsid w:val="00147041"/>
    <w:rsid w:val="00150B5E"/>
    <w:rsid w:val="0015530D"/>
    <w:rsid w:val="00156124"/>
    <w:rsid w:val="00162B3E"/>
    <w:rsid w:val="00165AC2"/>
    <w:rsid w:val="001705A7"/>
    <w:rsid w:val="00170774"/>
    <w:rsid w:val="001735D9"/>
    <w:rsid w:val="00174CDF"/>
    <w:rsid w:val="00177003"/>
    <w:rsid w:val="0018266A"/>
    <w:rsid w:val="00184535"/>
    <w:rsid w:val="00186462"/>
    <w:rsid w:val="0018658F"/>
    <w:rsid w:val="00190BE2"/>
    <w:rsid w:val="00192F38"/>
    <w:rsid w:val="0019377E"/>
    <w:rsid w:val="00194358"/>
    <w:rsid w:val="001A0B3F"/>
    <w:rsid w:val="001A1273"/>
    <w:rsid w:val="001A4D77"/>
    <w:rsid w:val="001A76DD"/>
    <w:rsid w:val="001B1AEB"/>
    <w:rsid w:val="001B2176"/>
    <w:rsid w:val="001B2651"/>
    <w:rsid w:val="001B3146"/>
    <w:rsid w:val="001B7D53"/>
    <w:rsid w:val="001C099B"/>
    <w:rsid w:val="001C59F4"/>
    <w:rsid w:val="001C6B85"/>
    <w:rsid w:val="001C7912"/>
    <w:rsid w:val="001D0B17"/>
    <w:rsid w:val="001D21B3"/>
    <w:rsid w:val="001D3DA5"/>
    <w:rsid w:val="001D5DD2"/>
    <w:rsid w:val="001E03AB"/>
    <w:rsid w:val="001E2627"/>
    <w:rsid w:val="001E2CC0"/>
    <w:rsid w:val="001E67A0"/>
    <w:rsid w:val="001F000D"/>
    <w:rsid w:val="001F06F0"/>
    <w:rsid w:val="001F1032"/>
    <w:rsid w:val="001F5B62"/>
    <w:rsid w:val="001F6383"/>
    <w:rsid w:val="001F706D"/>
    <w:rsid w:val="001F7F8F"/>
    <w:rsid w:val="002000D8"/>
    <w:rsid w:val="002057ED"/>
    <w:rsid w:val="00210AA8"/>
    <w:rsid w:val="00211463"/>
    <w:rsid w:val="00213E9B"/>
    <w:rsid w:val="00217AF3"/>
    <w:rsid w:val="00221AA9"/>
    <w:rsid w:val="00222BEC"/>
    <w:rsid w:val="002236D6"/>
    <w:rsid w:val="00223E63"/>
    <w:rsid w:val="00226360"/>
    <w:rsid w:val="002273DC"/>
    <w:rsid w:val="0023150E"/>
    <w:rsid w:val="00232A7A"/>
    <w:rsid w:val="00233BAC"/>
    <w:rsid w:val="0023404C"/>
    <w:rsid w:val="002359D1"/>
    <w:rsid w:val="00237CC0"/>
    <w:rsid w:val="002410B0"/>
    <w:rsid w:val="00241C23"/>
    <w:rsid w:val="0024275A"/>
    <w:rsid w:val="00242E79"/>
    <w:rsid w:val="00254F62"/>
    <w:rsid w:val="00254FA7"/>
    <w:rsid w:val="00255FAC"/>
    <w:rsid w:val="00260F2C"/>
    <w:rsid w:val="002615B0"/>
    <w:rsid w:val="00261D47"/>
    <w:rsid w:val="002623FA"/>
    <w:rsid w:val="00262B36"/>
    <w:rsid w:val="002648CD"/>
    <w:rsid w:val="00265911"/>
    <w:rsid w:val="00265B74"/>
    <w:rsid w:val="002713F9"/>
    <w:rsid w:val="0027209D"/>
    <w:rsid w:val="0027398A"/>
    <w:rsid w:val="00275AC3"/>
    <w:rsid w:val="002806DE"/>
    <w:rsid w:val="00280FA0"/>
    <w:rsid w:val="002821E0"/>
    <w:rsid w:val="002838EE"/>
    <w:rsid w:val="00283C59"/>
    <w:rsid w:val="002864D8"/>
    <w:rsid w:val="00290A81"/>
    <w:rsid w:val="00291977"/>
    <w:rsid w:val="00292F8D"/>
    <w:rsid w:val="002932F6"/>
    <w:rsid w:val="00293DA4"/>
    <w:rsid w:val="00295372"/>
    <w:rsid w:val="00295A1C"/>
    <w:rsid w:val="00296EFC"/>
    <w:rsid w:val="002A1785"/>
    <w:rsid w:val="002A3374"/>
    <w:rsid w:val="002A40EC"/>
    <w:rsid w:val="002A4282"/>
    <w:rsid w:val="002A4449"/>
    <w:rsid w:val="002A44D2"/>
    <w:rsid w:val="002A4B55"/>
    <w:rsid w:val="002B0D28"/>
    <w:rsid w:val="002B118C"/>
    <w:rsid w:val="002B2696"/>
    <w:rsid w:val="002B3C24"/>
    <w:rsid w:val="002B3E7B"/>
    <w:rsid w:val="002C0317"/>
    <w:rsid w:val="002C0B42"/>
    <w:rsid w:val="002C0DEB"/>
    <w:rsid w:val="002C2C69"/>
    <w:rsid w:val="002C3AB3"/>
    <w:rsid w:val="002C6323"/>
    <w:rsid w:val="002D5A10"/>
    <w:rsid w:val="002D60CA"/>
    <w:rsid w:val="002D6723"/>
    <w:rsid w:val="002E0E18"/>
    <w:rsid w:val="002E4CA6"/>
    <w:rsid w:val="002E5F4A"/>
    <w:rsid w:val="002E791B"/>
    <w:rsid w:val="002F0616"/>
    <w:rsid w:val="002F069E"/>
    <w:rsid w:val="002F0C15"/>
    <w:rsid w:val="002F309C"/>
    <w:rsid w:val="002F41DC"/>
    <w:rsid w:val="00301937"/>
    <w:rsid w:val="00305719"/>
    <w:rsid w:val="0031112A"/>
    <w:rsid w:val="00314867"/>
    <w:rsid w:val="0032043C"/>
    <w:rsid w:val="00321798"/>
    <w:rsid w:val="00321BC3"/>
    <w:rsid w:val="003221FB"/>
    <w:rsid w:val="00322E43"/>
    <w:rsid w:val="00323FBE"/>
    <w:rsid w:val="00326396"/>
    <w:rsid w:val="003265A4"/>
    <w:rsid w:val="00327032"/>
    <w:rsid w:val="00330EC8"/>
    <w:rsid w:val="00331B91"/>
    <w:rsid w:val="003334B9"/>
    <w:rsid w:val="00337E63"/>
    <w:rsid w:val="0034047C"/>
    <w:rsid w:val="003410E2"/>
    <w:rsid w:val="00353791"/>
    <w:rsid w:val="003544C4"/>
    <w:rsid w:val="003572FC"/>
    <w:rsid w:val="00361353"/>
    <w:rsid w:val="0036415F"/>
    <w:rsid w:val="00364771"/>
    <w:rsid w:val="00374F88"/>
    <w:rsid w:val="00375C27"/>
    <w:rsid w:val="00377088"/>
    <w:rsid w:val="003845E8"/>
    <w:rsid w:val="003A18C6"/>
    <w:rsid w:val="003A2467"/>
    <w:rsid w:val="003A2CEF"/>
    <w:rsid w:val="003A4592"/>
    <w:rsid w:val="003A7D46"/>
    <w:rsid w:val="003B28DC"/>
    <w:rsid w:val="003B3120"/>
    <w:rsid w:val="003B52D7"/>
    <w:rsid w:val="003B5489"/>
    <w:rsid w:val="003C5348"/>
    <w:rsid w:val="003C6A63"/>
    <w:rsid w:val="003D008D"/>
    <w:rsid w:val="003D0404"/>
    <w:rsid w:val="003D2FD0"/>
    <w:rsid w:val="003D52BF"/>
    <w:rsid w:val="003E1DA2"/>
    <w:rsid w:val="003E2D95"/>
    <w:rsid w:val="003E498C"/>
    <w:rsid w:val="003E7742"/>
    <w:rsid w:val="003E77AE"/>
    <w:rsid w:val="003F11A6"/>
    <w:rsid w:val="003F4869"/>
    <w:rsid w:val="003F52FA"/>
    <w:rsid w:val="003F5612"/>
    <w:rsid w:val="003F5AF6"/>
    <w:rsid w:val="004001C6"/>
    <w:rsid w:val="00400EE0"/>
    <w:rsid w:val="00403116"/>
    <w:rsid w:val="004034E7"/>
    <w:rsid w:val="0040356C"/>
    <w:rsid w:val="004039AD"/>
    <w:rsid w:val="00403A45"/>
    <w:rsid w:val="00406A49"/>
    <w:rsid w:val="004135A4"/>
    <w:rsid w:val="00413E98"/>
    <w:rsid w:val="00416872"/>
    <w:rsid w:val="004213D4"/>
    <w:rsid w:val="00421E6C"/>
    <w:rsid w:val="004244B9"/>
    <w:rsid w:val="00425D96"/>
    <w:rsid w:val="0042782A"/>
    <w:rsid w:val="00434CB4"/>
    <w:rsid w:val="004366BE"/>
    <w:rsid w:val="00444210"/>
    <w:rsid w:val="00446149"/>
    <w:rsid w:val="00446209"/>
    <w:rsid w:val="00447B5E"/>
    <w:rsid w:val="00451DCB"/>
    <w:rsid w:val="00453858"/>
    <w:rsid w:val="00453FC2"/>
    <w:rsid w:val="00455BE3"/>
    <w:rsid w:val="004568AB"/>
    <w:rsid w:val="0046249F"/>
    <w:rsid w:val="00464954"/>
    <w:rsid w:val="00464D26"/>
    <w:rsid w:val="00466615"/>
    <w:rsid w:val="0046753C"/>
    <w:rsid w:val="00467E74"/>
    <w:rsid w:val="00470B7C"/>
    <w:rsid w:val="004729A2"/>
    <w:rsid w:val="0048094C"/>
    <w:rsid w:val="0048097F"/>
    <w:rsid w:val="004824CA"/>
    <w:rsid w:val="00482ACC"/>
    <w:rsid w:val="00482BCE"/>
    <w:rsid w:val="0048476A"/>
    <w:rsid w:val="00485727"/>
    <w:rsid w:val="004862E1"/>
    <w:rsid w:val="0049064C"/>
    <w:rsid w:val="00492194"/>
    <w:rsid w:val="004957A6"/>
    <w:rsid w:val="00497117"/>
    <w:rsid w:val="00497173"/>
    <w:rsid w:val="004A298A"/>
    <w:rsid w:val="004A53C4"/>
    <w:rsid w:val="004A6A3D"/>
    <w:rsid w:val="004B2C96"/>
    <w:rsid w:val="004B4312"/>
    <w:rsid w:val="004B5B3C"/>
    <w:rsid w:val="004C1BBE"/>
    <w:rsid w:val="004C1EAE"/>
    <w:rsid w:val="004C5816"/>
    <w:rsid w:val="004C68D8"/>
    <w:rsid w:val="004D0776"/>
    <w:rsid w:val="004D44C1"/>
    <w:rsid w:val="004D7259"/>
    <w:rsid w:val="004D7BDB"/>
    <w:rsid w:val="004E508C"/>
    <w:rsid w:val="004E627E"/>
    <w:rsid w:val="004E67C8"/>
    <w:rsid w:val="004E7DF9"/>
    <w:rsid w:val="004F12A5"/>
    <w:rsid w:val="004F4534"/>
    <w:rsid w:val="004F5EF9"/>
    <w:rsid w:val="004F7820"/>
    <w:rsid w:val="005104AB"/>
    <w:rsid w:val="00510DF7"/>
    <w:rsid w:val="00512156"/>
    <w:rsid w:val="005134E3"/>
    <w:rsid w:val="00514EBC"/>
    <w:rsid w:val="00520120"/>
    <w:rsid w:val="00525027"/>
    <w:rsid w:val="005259C7"/>
    <w:rsid w:val="00531A2D"/>
    <w:rsid w:val="00532AB1"/>
    <w:rsid w:val="00535150"/>
    <w:rsid w:val="00535698"/>
    <w:rsid w:val="005366E7"/>
    <w:rsid w:val="00540DB5"/>
    <w:rsid w:val="005459EF"/>
    <w:rsid w:val="00551036"/>
    <w:rsid w:val="0055560C"/>
    <w:rsid w:val="0056165A"/>
    <w:rsid w:val="0056686D"/>
    <w:rsid w:val="00571AAA"/>
    <w:rsid w:val="00571CD9"/>
    <w:rsid w:val="00572461"/>
    <w:rsid w:val="0057425B"/>
    <w:rsid w:val="00576EA0"/>
    <w:rsid w:val="00576F14"/>
    <w:rsid w:val="005778A9"/>
    <w:rsid w:val="005829C3"/>
    <w:rsid w:val="005833B9"/>
    <w:rsid w:val="005858DA"/>
    <w:rsid w:val="00594A3C"/>
    <w:rsid w:val="005961F5"/>
    <w:rsid w:val="005A1D73"/>
    <w:rsid w:val="005A30A5"/>
    <w:rsid w:val="005A3F7F"/>
    <w:rsid w:val="005A4029"/>
    <w:rsid w:val="005A53A5"/>
    <w:rsid w:val="005A6473"/>
    <w:rsid w:val="005B34A6"/>
    <w:rsid w:val="005B5BD0"/>
    <w:rsid w:val="005B7186"/>
    <w:rsid w:val="005C0AF4"/>
    <w:rsid w:val="005C2BA8"/>
    <w:rsid w:val="005C3115"/>
    <w:rsid w:val="005D4BCA"/>
    <w:rsid w:val="005D4E56"/>
    <w:rsid w:val="005D5F6E"/>
    <w:rsid w:val="005D7C12"/>
    <w:rsid w:val="005E1CF0"/>
    <w:rsid w:val="005E4393"/>
    <w:rsid w:val="005E52A3"/>
    <w:rsid w:val="005E55CF"/>
    <w:rsid w:val="005E6DB4"/>
    <w:rsid w:val="005E7BFC"/>
    <w:rsid w:val="005F2E67"/>
    <w:rsid w:val="005F3D49"/>
    <w:rsid w:val="005F3F3F"/>
    <w:rsid w:val="005F498C"/>
    <w:rsid w:val="00600DF5"/>
    <w:rsid w:val="00601F36"/>
    <w:rsid w:val="00603EB9"/>
    <w:rsid w:val="006046EF"/>
    <w:rsid w:val="00605151"/>
    <w:rsid w:val="00611BE9"/>
    <w:rsid w:val="00617E49"/>
    <w:rsid w:val="006214A5"/>
    <w:rsid w:val="00622A0D"/>
    <w:rsid w:val="0063066C"/>
    <w:rsid w:val="0063591B"/>
    <w:rsid w:val="006371BC"/>
    <w:rsid w:val="00637A46"/>
    <w:rsid w:val="00640103"/>
    <w:rsid w:val="00640686"/>
    <w:rsid w:val="00642872"/>
    <w:rsid w:val="006458B1"/>
    <w:rsid w:val="00655B36"/>
    <w:rsid w:val="00655C55"/>
    <w:rsid w:val="006569E9"/>
    <w:rsid w:val="00660D5C"/>
    <w:rsid w:val="00663234"/>
    <w:rsid w:val="006659DA"/>
    <w:rsid w:val="006663D9"/>
    <w:rsid w:val="006721D8"/>
    <w:rsid w:val="00672B5D"/>
    <w:rsid w:val="00673D5E"/>
    <w:rsid w:val="0067593F"/>
    <w:rsid w:val="006772AE"/>
    <w:rsid w:val="00680A18"/>
    <w:rsid w:val="00681571"/>
    <w:rsid w:val="00682CC5"/>
    <w:rsid w:val="0068480E"/>
    <w:rsid w:val="00691FBB"/>
    <w:rsid w:val="00694FFA"/>
    <w:rsid w:val="00695332"/>
    <w:rsid w:val="006967E9"/>
    <w:rsid w:val="00696D11"/>
    <w:rsid w:val="006A0087"/>
    <w:rsid w:val="006A3C53"/>
    <w:rsid w:val="006A6A67"/>
    <w:rsid w:val="006A750A"/>
    <w:rsid w:val="006C13A3"/>
    <w:rsid w:val="006C1770"/>
    <w:rsid w:val="006C286D"/>
    <w:rsid w:val="006C32B7"/>
    <w:rsid w:val="006C38D5"/>
    <w:rsid w:val="006C4A16"/>
    <w:rsid w:val="006C5336"/>
    <w:rsid w:val="006C5BE8"/>
    <w:rsid w:val="006D0D05"/>
    <w:rsid w:val="006D1331"/>
    <w:rsid w:val="006D2AF4"/>
    <w:rsid w:val="006D795E"/>
    <w:rsid w:val="006D7C9D"/>
    <w:rsid w:val="006D7F95"/>
    <w:rsid w:val="006E4456"/>
    <w:rsid w:val="006E494F"/>
    <w:rsid w:val="006E5980"/>
    <w:rsid w:val="006E59E8"/>
    <w:rsid w:val="006E62D6"/>
    <w:rsid w:val="006F277D"/>
    <w:rsid w:val="006F3CB1"/>
    <w:rsid w:val="006F43B9"/>
    <w:rsid w:val="006F74B9"/>
    <w:rsid w:val="007063F8"/>
    <w:rsid w:val="00711A2E"/>
    <w:rsid w:val="0071254C"/>
    <w:rsid w:val="00712C19"/>
    <w:rsid w:val="00714D43"/>
    <w:rsid w:val="00717199"/>
    <w:rsid w:val="00721463"/>
    <w:rsid w:val="00722B0B"/>
    <w:rsid w:val="00722EDB"/>
    <w:rsid w:val="00726BBF"/>
    <w:rsid w:val="00726C9F"/>
    <w:rsid w:val="00727CA8"/>
    <w:rsid w:val="0073012A"/>
    <w:rsid w:val="0073284A"/>
    <w:rsid w:val="0073516B"/>
    <w:rsid w:val="007415AC"/>
    <w:rsid w:val="007422B5"/>
    <w:rsid w:val="00743852"/>
    <w:rsid w:val="00743D13"/>
    <w:rsid w:val="00744BFB"/>
    <w:rsid w:val="00744DF3"/>
    <w:rsid w:val="00745B0F"/>
    <w:rsid w:val="00746B6A"/>
    <w:rsid w:val="007553A8"/>
    <w:rsid w:val="00756DD2"/>
    <w:rsid w:val="00757056"/>
    <w:rsid w:val="00762CE3"/>
    <w:rsid w:val="007646DF"/>
    <w:rsid w:val="00767591"/>
    <w:rsid w:val="00774A74"/>
    <w:rsid w:val="00774C0B"/>
    <w:rsid w:val="0077516A"/>
    <w:rsid w:val="007756D3"/>
    <w:rsid w:val="00775B28"/>
    <w:rsid w:val="0078054C"/>
    <w:rsid w:val="007829DF"/>
    <w:rsid w:val="00782E4A"/>
    <w:rsid w:val="00783F17"/>
    <w:rsid w:val="007856F0"/>
    <w:rsid w:val="00787868"/>
    <w:rsid w:val="0079226D"/>
    <w:rsid w:val="00797CB6"/>
    <w:rsid w:val="007A0C97"/>
    <w:rsid w:val="007A3585"/>
    <w:rsid w:val="007A61D5"/>
    <w:rsid w:val="007A61FB"/>
    <w:rsid w:val="007A7991"/>
    <w:rsid w:val="007A7F20"/>
    <w:rsid w:val="007B07DF"/>
    <w:rsid w:val="007B2765"/>
    <w:rsid w:val="007B2B5A"/>
    <w:rsid w:val="007B785A"/>
    <w:rsid w:val="007C2A95"/>
    <w:rsid w:val="007C4347"/>
    <w:rsid w:val="007C7D8F"/>
    <w:rsid w:val="007D0256"/>
    <w:rsid w:val="007D282D"/>
    <w:rsid w:val="007E0699"/>
    <w:rsid w:val="007E0C22"/>
    <w:rsid w:val="007E228A"/>
    <w:rsid w:val="007E37D0"/>
    <w:rsid w:val="007E56AC"/>
    <w:rsid w:val="007E752B"/>
    <w:rsid w:val="007F4294"/>
    <w:rsid w:val="007F6A72"/>
    <w:rsid w:val="0080018D"/>
    <w:rsid w:val="00801ACB"/>
    <w:rsid w:val="0080288F"/>
    <w:rsid w:val="0080568E"/>
    <w:rsid w:val="008056E3"/>
    <w:rsid w:val="008065D2"/>
    <w:rsid w:val="00812E5E"/>
    <w:rsid w:val="00813A2B"/>
    <w:rsid w:val="00823AF0"/>
    <w:rsid w:val="00823E05"/>
    <w:rsid w:val="008272C6"/>
    <w:rsid w:val="00830899"/>
    <w:rsid w:val="0083459D"/>
    <w:rsid w:val="00836E6F"/>
    <w:rsid w:val="008430D9"/>
    <w:rsid w:val="00843D87"/>
    <w:rsid w:val="0084553D"/>
    <w:rsid w:val="008462EE"/>
    <w:rsid w:val="00847C46"/>
    <w:rsid w:val="008525D7"/>
    <w:rsid w:val="008608F5"/>
    <w:rsid w:val="008615E9"/>
    <w:rsid w:val="00863900"/>
    <w:rsid w:val="00865300"/>
    <w:rsid w:val="0087036C"/>
    <w:rsid w:val="0087127B"/>
    <w:rsid w:val="00874BB5"/>
    <w:rsid w:val="00877735"/>
    <w:rsid w:val="00884CDD"/>
    <w:rsid w:val="00884F08"/>
    <w:rsid w:val="008873AF"/>
    <w:rsid w:val="0089090F"/>
    <w:rsid w:val="00893C1E"/>
    <w:rsid w:val="00893C67"/>
    <w:rsid w:val="008942CA"/>
    <w:rsid w:val="0089744C"/>
    <w:rsid w:val="008A00C0"/>
    <w:rsid w:val="008A08D5"/>
    <w:rsid w:val="008A1352"/>
    <w:rsid w:val="008A1B00"/>
    <w:rsid w:val="008A385C"/>
    <w:rsid w:val="008A4DC3"/>
    <w:rsid w:val="008A68CE"/>
    <w:rsid w:val="008B09B5"/>
    <w:rsid w:val="008B1E89"/>
    <w:rsid w:val="008B23B2"/>
    <w:rsid w:val="008B4D8B"/>
    <w:rsid w:val="008C350B"/>
    <w:rsid w:val="008C3AA2"/>
    <w:rsid w:val="008C45A9"/>
    <w:rsid w:val="008C54A3"/>
    <w:rsid w:val="008C55F9"/>
    <w:rsid w:val="008D0A0E"/>
    <w:rsid w:val="008D1848"/>
    <w:rsid w:val="008D3636"/>
    <w:rsid w:val="008D5D28"/>
    <w:rsid w:val="008D68DC"/>
    <w:rsid w:val="008E3209"/>
    <w:rsid w:val="008E6387"/>
    <w:rsid w:val="008F0C75"/>
    <w:rsid w:val="008F34E2"/>
    <w:rsid w:val="008F3916"/>
    <w:rsid w:val="0090076F"/>
    <w:rsid w:val="00906229"/>
    <w:rsid w:val="00910D91"/>
    <w:rsid w:val="00911059"/>
    <w:rsid w:val="009145C2"/>
    <w:rsid w:val="00914F0F"/>
    <w:rsid w:val="0091607D"/>
    <w:rsid w:val="00920271"/>
    <w:rsid w:val="009217C7"/>
    <w:rsid w:val="00921806"/>
    <w:rsid w:val="00922433"/>
    <w:rsid w:val="00924DAD"/>
    <w:rsid w:val="00925519"/>
    <w:rsid w:val="00927401"/>
    <w:rsid w:val="00930782"/>
    <w:rsid w:val="009340AC"/>
    <w:rsid w:val="009348C3"/>
    <w:rsid w:val="00937842"/>
    <w:rsid w:val="009427A7"/>
    <w:rsid w:val="00942CD1"/>
    <w:rsid w:val="00942F8F"/>
    <w:rsid w:val="00944A8B"/>
    <w:rsid w:val="00945F1E"/>
    <w:rsid w:val="00952844"/>
    <w:rsid w:val="00953EC6"/>
    <w:rsid w:val="0095568F"/>
    <w:rsid w:val="00956290"/>
    <w:rsid w:val="00956B7F"/>
    <w:rsid w:val="00957421"/>
    <w:rsid w:val="009578B5"/>
    <w:rsid w:val="00961ACF"/>
    <w:rsid w:val="0096426F"/>
    <w:rsid w:val="00965F7D"/>
    <w:rsid w:val="00967C04"/>
    <w:rsid w:val="00970B2D"/>
    <w:rsid w:val="00975069"/>
    <w:rsid w:val="00977485"/>
    <w:rsid w:val="00977C30"/>
    <w:rsid w:val="00980A4D"/>
    <w:rsid w:val="00983231"/>
    <w:rsid w:val="0098586E"/>
    <w:rsid w:val="00991544"/>
    <w:rsid w:val="00992D9A"/>
    <w:rsid w:val="00994721"/>
    <w:rsid w:val="009A1947"/>
    <w:rsid w:val="009A46FD"/>
    <w:rsid w:val="009B3719"/>
    <w:rsid w:val="009B45DE"/>
    <w:rsid w:val="009B4C69"/>
    <w:rsid w:val="009C16F6"/>
    <w:rsid w:val="009C2BEF"/>
    <w:rsid w:val="009C3574"/>
    <w:rsid w:val="009C3847"/>
    <w:rsid w:val="009C5103"/>
    <w:rsid w:val="009C72B2"/>
    <w:rsid w:val="009D1266"/>
    <w:rsid w:val="009D1C90"/>
    <w:rsid w:val="009D247D"/>
    <w:rsid w:val="009D315A"/>
    <w:rsid w:val="009D39C5"/>
    <w:rsid w:val="009D5B6A"/>
    <w:rsid w:val="009D77D6"/>
    <w:rsid w:val="009E476E"/>
    <w:rsid w:val="009E4A44"/>
    <w:rsid w:val="009E4E7C"/>
    <w:rsid w:val="009E4E80"/>
    <w:rsid w:val="009E5B44"/>
    <w:rsid w:val="009F027D"/>
    <w:rsid w:val="009F0A6D"/>
    <w:rsid w:val="009F2CB6"/>
    <w:rsid w:val="009F52F8"/>
    <w:rsid w:val="009F6BCE"/>
    <w:rsid w:val="009F6F03"/>
    <w:rsid w:val="009F79AA"/>
    <w:rsid w:val="00A00E90"/>
    <w:rsid w:val="00A032A7"/>
    <w:rsid w:val="00A05ED7"/>
    <w:rsid w:val="00A108DE"/>
    <w:rsid w:val="00A124B5"/>
    <w:rsid w:val="00A140F7"/>
    <w:rsid w:val="00A14AFE"/>
    <w:rsid w:val="00A14DB7"/>
    <w:rsid w:val="00A153DA"/>
    <w:rsid w:val="00A16B84"/>
    <w:rsid w:val="00A17480"/>
    <w:rsid w:val="00A20782"/>
    <w:rsid w:val="00A23801"/>
    <w:rsid w:val="00A23B98"/>
    <w:rsid w:val="00A2532D"/>
    <w:rsid w:val="00A270D5"/>
    <w:rsid w:val="00A302AD"/>
    <w:rsid w:val="00A3386D"/>
    <w:rsid w:val="00A352B7"/>
    <w:rsid w:val="00A353BB"/>
    <w:rsid w:val="00A37E40"/>
    <w:rsid w:val="00A409D6"/>
    <w:rsid w:val="00A450E0"/>
    <w:rsid w:val="00A453E7"/>
    <w:rsid w:val="00A50616"/>
    <w:rsid w:val="00A559F0"/>
    <w:rsid w:val="00A572CB"/>
    <w:rsid w:val="00A60F4C"/>
    <w:rsid w:val="00A657F8"/>
    <w:rsid w:val="00A71E69"/>
    <w:rsid w:val="00A73A5A"/>
    <w:rsid w:val="00A74A96"/>
    <w:rsid w:val="00A85D38"/>
    <w:rsid w:val="00A877DF"/>
    <w:rsid w:val="00A906AE"/>
    <w:rsid w:val="00A90799"/>
    <w:rsid w:val="00A96942"/>
    <w:rsid w:val="00A978DB"/>
    <w:rsid w:val="00AA06F5"/>
    <w:rsid w:val="00AA1299"/>
    <w:rsid w:val="00AA18AC"/>
    <w:rsid w:val="00AA5161"/>
    <w:rsid w:val="00AA63C2"/>
    <w:rsid w:val="00AA677E"/>
    <w:rsid w:val="00AB16EA"/>
    <w:rsid w:val="00AB1D79"/>
    <w:rsid w:val="00AB411F"/>
    <w:rsid w:val="00AB7953"/>
    <w:rsid w:val="00AC0E70"/>
    <w:rsid w:val="00AD29AA"/>
    <w:rsid w:val="00AD4CF8"/>
    <w:rsid w:val="00AD636B"/>
    <w:rsid w:val="00AE0224"/>
    <w:rsid w:val="00AE4A27"/>
    <w:rsid w:val="00AE7D38"/>
    <w:rsid w:val="00AF0C63"/>
    <w:rsid w:val="00AF2824"/>
    <w:rsid w:val="00B0050F"/>
    <w:rsid w:val="00B00C49"/>
    <w:rsid w:val="00B042C8"/>
    <w:rsid w:val="00B043C1"/>
    <w:rsid w:val="00B073F8"/>
    <w:rsid w:val="00B10849"/>
    <w:rsid w:val="00B17C46"/>
    <w:rsid w:val="00B21087"/>
    <w:rsid w:val="00B22753"/>
    <w:rsid w:val="00B25547"/>
    <w:rsid w:val="00B25A50"/>
    <w:rsid w:val="00B341A3"/>
    <w:rsid w:val="00B34C6E"/>
    <w:rsid w:val="00B36085"/>
    <w:rsid w:val="00B400EC"/>
    <w:rsid w:val="00B44E1B"/>
    <w:rsid w:val="00B53FE1"/>
    <w:rsid w:val="00B61A27"/>
    <w:rsid w:val="00B63F0D"/>
    <w:rsid w:val="00B64BB7"/>
    <w:rsid w:val="00B65D6D"/>
    <w:rsid w:val="00B7689B"/>
    <w:rsid w:val="00B82391"/>
    <w:rsid w:val="00B82F76"/>
    <w:rsid w:val="00B86D02"/>
    <w:rsid w:val="00B93820"/>
    <w:rsid w:val="00B93A20"/>
    <w:rsid w:val="00B96D40"/>
    <w:rsid w:val="00B97184"/>
    <w:rsid w:val="00BA11DF"/>
    <w:rsid w:val="00BA1A18"/>
    <w:rsid w:val="00BA1D7B"/>
    <w:rsid w:val="00BA3234"/>
    <w:rsid w:val="00BA3BD0"/>
    <w:rsid w:val="00BA3E95"/>
    <w:rsid w:val="00BA5496"/>
    <w:rsid w:val="00BB6440"/>
    <w:rsid w:val="00BB6F21"/>
    <w:rsid w:val="00BC1619"/>
    <w:rsid w:val="00BC5A5D"/>
    <w:rsid w:val="00BD1662"/>
    <w:rsid w:val="00BD18DB"/>
    <w:rsid w:val="00BD29CB"/>
    <w:rsid w:val="00BE0B02"/>
    <w:rsid w:val="00BE3603"/>
    <w:rsid w:val="00BE507D"/>
    <w:rsid w:val="00BE50FC"/>
    <w:rsid w:val="00BE61BC"/>
    <w:rsid w:val="00BF0567"/>
    <w:rsid w:val="00BF05D4"/>
    <w:rsid w:val="00BF0AE7"/>
    <w:rsid w:val="00BF1D0B"/>
    <w:rsid w:val="00BF226B"/>
    <w:rsid w:val="00BF5613"/>
    <w:rsid w:val="00C000BD"/>
    <w:rsid w:val="00C00D1A"/>
    <w:rsid w:val="00C01094"/>
    <w:rsid w:val="00C044D8"/>
    <w:rsid w:val="00C057EF"/>
    <w:rsid w:val="00C1098E"/>
    <w:rsid w:val="00C16347"/>
    <w:rsid w:val="00C164CA"/>
    <w:rsid w:val="00C20745"/>
    <w:rsid w:val="00C21C01"/>
    <w:rsid w:val="00C227EF"/>
    <w:rsid w:val="00C23C2B"/>
    <w:rsid w:val="00C241C7"/>
    <w:rsid w:val="00C32992"/>
    <w:rsid w:val="00C34094"/>
    <w:rsid w:val="00C3666A"/>
    <w:rsid w:val="00C37A09"/>
    <w:rsid w:val="00C404D1"/>
    <w:rsid w:val="00C43915"/>
    <w:rsid w:val="00C442C0"/>
    <w:rsid w:val="00C472C3"/>
    <w:rsid w:val="00C47BAD"/>
    <w:rsid w:val="00C508F6"/>
    <w:rsid w:val="00C55766"/>
    <w:rsid w:val="00C5757D"/>
    <w:rsid w:val="00C57B2B"/>
    <w:rsid w:val="00C60510"/>
    <w:rsid w:val="00C61199"/>
    <w:rsid w:val="00C63E97"/>
    <w:rsid w:val="00C64335"/>
    <w:rsid w:val="00C70959"/>
    <w:rsid w:val="00C750FE"/>
    <w:rsid w:val="00C801B2"/>
    <w:rsid w:val="00C81E52"/>
    <w:rsid w:val="00C82D89"/>
    <w:rsid w:val="00C83677"/>
    <w:rsid w:val="00C841C1"/>
    <w:rsid w:val="00C85502"/>
    <w:rsid w:val="00C97D25"/>
    <w:rsid w:val="00CA0F7A"/>
    <w:rsid w:val="00CA11FA"/>
    <w:rsid w:val="00CA2488"/>
    <w:rsid w:val="00CA4476"/>
    <w:rsid w:val="00CA4AE8"/>
    <w:rsid w:val="00CA549A"/>
    <w:rsid w:val="00CB04CA"/>
    <w:rsid w:val="00CB21BF"/>
    <w:rsid w:val="00CB4526"/>
    <w:rsid w:val="00CC0328"/>
    <w:rsid w:val="00CC1292"/>
    <w:rsid w:val="00CC3AA6"/>
    <w:rsid w:val="00CC44E7"/>
    <w:rsid w:val="00CC468A"/>
    <w:rsid w:val="00CC46C8"/>
    <w:rsid w:val="00CD238A"/>
    <w:rsid w:val="00CD7FAC"/>
    <w:rsid w:val="00CE0E3F"/>
    <w:rsid w:val="00CF0E78"/>
    <w:rsid w:val="00CF1045"/>
    <w:rsid w:val="00CF5B86"/>
    <w:rsid w:val="00D00767"/>
    <w:rsid w:val="00D061D1"/>
    <w:rsid w:val="00D066AF"/>
    <w:rsid w:val="00D072CA"/>
    <w:rsid w:val="00D07AD4"/>
    <w:rsid w:val="00D07DC7"/>
    <w:rsid w:val="00D136F5"/>
    <w:rsid w:val="00D16032"/>
    <w:rsid w:val="00D23AC7"/>
    <w:rsid w:val="00D25A8B"/>
    <w:rsid w:val="00D305D2"/>
    <w:rsid w:val="00D3126B"/>
    <w:rsid w:val="00D32EF7"/>
    <w:rsid w:val="00D37AF7"/>
    <w:rsid w:val="00D407A9"/>
    <w:rsid w:val="00D42225"/>
    <w:rsid w:val="00D44331"/>
    <w:rsid w:val="00D46A53"/>
    <w:rsid w:val="00D476E6"/>
    <w:rsid w:val="00D47D16"/>
    <w:rsid w:val="00D5358E"/>
    <w:rsid w:val="00D53D92"/>
    <w:rsid w:val="00D55D67"/>
    <w:rsid w:val="00D569D5"/>
    <w:rsid w:val="00D5745F"/>
    <w:rsid w:val="00D60507"/>
    <w:rsid w:val="00D60FB9"/>
    <w:rsid w:val="00D6308E"/>
    <w:rsid w:val="00D637A9"/>
    <w:rsid w:val="00D66264"/>
    <w:rsid w:val="00D71D65"/>
    <w:rsid w:val="00D74111"/>
    <w:rsid w:val="00D74EF1"/>
    <w:rsid w:val="00D7640D"/>
    <w:rsid w:val="00D85EA1"/>
    <w:rsid w:val="00D91FA6"/>
    <w:rsid w:val="00D93B79"/>
    <w:rsid w:val="00D954A5"/>
    <w:rsid w:val="00D96587"/>
    <w:rsid w:val="00DA20EB"/>
    <w:rsid w:val="00DB1516"/>
    <w:rsid w:val="00DB2AB4"/>
    <w:rsid w:val="00DB2ABF"/>
    <w:rsid w:val="00DB6CCA"/>
    <w:rsid w:val="00DB6D79"/>
    <w:rsid w:val="00DB7014"/>
    <w:rsid w:val="00DC0BE0"/>
    <w:rsid w:val="00DC1487"/>
    <w:rsid w:val="00DC61D7"/>
    <w:rsid w:val="00DC7790"/>
    <w:rsid w:val="00DD11FD"/>
    <w:rsid w:val="00DD2FE6"/>
    <w:rsid w:val="00DD57A2"/>
    <w:rsid w:val="00DD68A8"/>
    <w:rsid w:val="00DE59FE"/>
    <w:rsid w:val="00DF3F28"/>
    <w:rsid w:val="00DF4367"/>
    <w:rsid w:val="00E02084"/>
    <w:rsid w:val="00E02203"/>
    <w:rsid w:val="00E02F63"/>
    <w:rsid w:val="00E034EC"/>
    <w:rsid w:val="00E03683"/>
    <w:rsid w:val="00E054D8"/>
    <w:rsid w:val="00E061AB"/>
    <w:rsid w:val="00E103BF"/>
    <w:rsid w:val="00E1339A"/>
    <w:rsid w:val="00E15B3B"/>
    <w:rsid w:val="00E220A4"/>
    <w:rsid w:val="00E22709"/>
    <w:rsid w:val="00E22948"/>
    <w:rsid w:val="00E249D3"/>
    <w:rsid w:val="00E26220"/>
    <w:rsid w:val="00E30B4C"/>
    <w:rsid w:val="00E368DA"/>
    <w:rsid w:val="00E372C7"/>
    <w:rsid w:val="00E37E31"/>
    <w:rsid w:val="00E37E8C"/>
    <w:rsid w:val="00E40D39"/>
    <w:rsid w:val="00E42041"/>
    <w:rsid w:val="00E425F0"/>
    <w:rsid w:val="00E52937"/>
    <w:rsid w:val="00E52A7C"/>
    <w:rsid w:val="00E53FDB"/>
    <w:rsid w:val="00E5712A"/>
    <w:rsid w:val="00E60821"/>
    <w:rsid w:val="00E6371E"/>
    <w:rsid w:val="00E66DD2"/>
    <w:rsid w:val="00E71CB6"/>
    <w:rsid w:val="00E72B91"/>
    <w:rsid w:val="00E771B9"/>
    <w:rsid w:val="00E86EA8"/>
    <w:rsid w:val="00E87133"/>
    <w:rsid w:val="00E87AD3"/>
    <w:rsid w:val="00E90C32"/>
    <w:rsid w:val="00E91AC3"/>
    <w:rsid w:val="00E92B98"/>
    <w:rsid w:val="00E934A3"/>
    <w:rsid w:val="00E9490A"/>
    <w:rsid w:val="00E958FA"/>
    <w:rsid w:val="00EA229C"/>
    <w:rsid w:val="00EA5842"/>
    <w:rsid w:val="00EA6662"/>
    <w:rsid w:val="00EA70FF"/>
    <w:rsid w:val="00EB186B"/>
    <w:rsid w:val="00EC1676"/>
    <w:rsid w:val="00EC354A"/>
    <w:rsid w:val="00EC37AF"/>
    <w:rsid w:val="00ED0994"/>
    <w:rsid w:val="00ED121A"/>
    <w:rsid w:val="00ED1443"/>
    <w:rsid w:val="00ED4942"/>
    <w:rsid w:val="00EE10DF"/>
    <w:rsid w:val="00EE76A6"/>
    <w:rsid w:val="00EF1CA2"/>
    <w:rsid w:val="00EF2238"/>
    <w:rsid w:val="00EF5822"/>
    <w:rsid w:val="00F0051E"/>
    <w:rsid w:val="00F04361"/>
    <w:rsid w:val="00F04B4F"/>
    <w:rsid w:val="00F04E68"/>
    <w:rsid w:val="00F11355"/>
    <w:rsid w:val="00F11415"/>
    <w:rsid w:val="00F1245C"/>
    <w:rsid w:val="00F140B5"/>
    <w:rsid w:val="00F169E8"/>
    <w:rsid w:val="00F173E8"/>
    <w:rsid w:val="00F20D46"/>
    <w:rsid w:val="00F23715"/>
    <w:rsid w:val="00F25517"/>
    <w:rsid w:val="00F26BAC"/>
    <w:rsid w:val="00F319C0"/>
    <w:rsid w:val="00F31D5B"/>
    <w:rsid w:val="00F3321B"/>
    <w:rsid w:val="00F34F83"/>
    <w:rsid w:val="00F35D25"/>
    <w:rsid w:val="00F36176"/>
    <w:rsid w:val="00F3682A"/>
    <w:rsid w:val="00F43CE4"/>
    <w:rsid w:val="00F43D60"/>
    <w:rsid w:val="00F461DE"/>
    <w:rsid w:val="00F46E28"/>
    <w:rsid w:val="00F51E31"/>
    <w:rsid w:val="00F535F0"/>
    <w:rsid w:val="00F60BDA"/>
    <w:rsid w:val="00F66DC4"/>
    <w:rsid w:val="00F752A5"/>
    <w:rsid w:val="00F80974"/>
    <w:rsid w:val="00F8294F"/>
    <w:rsid w:val="00F87D8D"/>
    <w:rsid w:val="00F90668"/>
    <w:rsid w:val="00F906DD"/>
    <w:rsid w:val="00F94180"/>
    <w:rsid w:val="00F97757"/>
    <w:rsid w:val="00FA0CA7"/>
    <w:rsid w:val="00FA27AE"/>
    <w:rsid w:val="00FA498F"/>
    <w:rsid w:val="00FA6421"/>
    <w:rsid w:val="00FA72F5"/>
    <w:rsid w:val="00FB3122"/>
    <w:rsid w:val="00FB3D72"/>
    <w:rsid w:val="00FC0476"/>
    <w:rsid w:val="00FC296F"/>
    <w:rsid w:val="00FC3173"/>
    <w:rsid w:val="00FC5A00"/>
    <w:rsid w:val="00FC7ACA"/>
    <w:rsid w:val="00FD0A35"/>
    <w:rsid w:val="00FD14A2"/>
    <w:rsid w:val="00FD5C3F"/>
    <w:rsid w:val="00FE2370"/>
    <w:rsid w:val="00FE41F0"/>
    <w:rsid w:val="00FE46B4"/>
    <w:rsid w:val="00FE6845"/>
    <w:rsid w:val="00FE71BB"/>
    <w:rsid w:val="00FE764A"/>
    <w:rsid w:val="00FF066A"/>
    <w:rsid w:val="00FF6B3C"/>
    <w:rsid w:val="01964BFF"/>
    <w:rsid w:val="019B49E1"/>
    <w:rsid w:val="01B71D19"/>
    <w:rsid w:val="01F74D8D"/>
    <w:rsid w:val="029305F4"/>
    <w:rsid w:val="02A623FA"/>
    <w:rsid w:val="02DD01B1"/>
    <w:rsid w:val="02FD713C"/>
    <w:rsid w:val="041C1ECA"/>
    <w:rsid w:val="043612FC"/>
    <w:rsid w:val="04711E8B"/>
    <w:rsid w:val="04B36C29"/>
    <w:rsid w:val="04CD2A7E"/>
    <w:rsid w:val="05260FE5"/>
    <w:rsid w:val="054C5472"/>
    <w:rsid w:val="05516A3D"/>
    <w:rsid w:val="055339D9"/>
    <w:rsid w:val="057124B6"/>
    <w:rsid w:val="057D5DD7"/>
    <w:rsid w:val="05905582"/>
    <w:rsid w:val="059B08F9"/>
    <w:rsid w:val="05AE3DF3"/>
    <w:rsid w:val="06705AC4"/>
    <w:rsid w:val="06C041DD"/>
    <w:rsid w:val="06DE26DA"/>
    <w:rsid w:val="07094452"/>
    <w:rsid w:val="0797747F"/>
    <w:rsid w:val="07AF0522"/>
    <w:rsid w:val="07C77FF8"/>
    <w:rsid w:val="07E8235E"/>
    <w:rsid w:val="07EE494A"/>
    <w:rsid w:val="07EF5C5A"/>
    <w:rsid w:val="080745BB"/>
    <w:rsid w:val="0867612A"/>
    <w:rsid w:val="0872540B"/>
    <w:rsid w:val="08A1628A"/>
    <w:rsid w:val="08C10AD4"/>
    <w:rsid w:val="08D226F8"/>
    <w:rsid w:val="09F97E63"/>
    <w:rsid w:val="0A026C0A"/>
    <w:rsid w:val="0A5D5ED3"/>
    <w:rsid w:val="0A60228D"/>
    <w:rsid w:val="0AA63647"/>
    <w:rsid w:val="0AB07796"/>
    <w:rsid w:val="0ABE55B6"/>
    <w:rsid w:val="0B0A3FB0"/>
    <w:rsid w:val="0B1966E0"/>
    <w:rsid w:val="0B50487E"/>
    <w:rsid w:val="0BA21E96"/>
    <w:rsid w:val="0BA36158"/>
    <w:rsid w:val="0BD50A14"/>
    <w:rsid w:val="0C822D61"/>
    <w:rsid w:val="0CAC421F"/>
    <w:rsid w:val="0CDE4D1C"/>
    <w:rsid w:val="0D37587D"/>
    <w:rsid w:val="0D3D0135"/>
    <w:rsid w:val="0D965212"/>
    <w:rsid w:val="0DB35132"/>
    <w:rsid w:val="0DB56F83"/>
    <w:rsid w:val="0DC92377"/>
    <w:rsid w:val="0DC96D67"/>
    <w:rsid w:val="0E30278B"/>
    <w:rsid w:val="0EF01B76"/>
    <w:rsid w:val="0F0D3E8D"/>
    <w:rsid w:val="101D43D8"/>
    <w:rsid w:val="103703B4"/>
    <w:rsid w:val="104617F9"/>
    <w:rsid w:val="104A4269"/>
    <w:rsid w:val="10556E90"/>
    <w:rsid w:val="107B5085"/>
    <w:rsid w:val="10B25ED0"/>
    <w:rsid w:val="10B83A71"/>
    <w:rsid w:val="112C271D"/>
    <w:rsid w:val="11816541"/>
    <w:rsid w:val="11B622F8"/>
    <w:rsid w:val="11EB3312"/>
    <w:rsid w:val="12562386"/>
    <w:rsid w:val="12772EFE"/>
    <w:rsid w:val="12A77AA5"/>
    <w:rsid w:val="12D171D0"/>
    <w:rsid w:val="12DD3EF2"/>
    <w:rsid w:val="12F06C0B"/>
    <w:rsid w:val="134C481D"/>
    <w:rsid w:val="13543B9B"/>
    <w:rsid w:val="13795F2E"/>
    <w:rsid w:val="138203DC"/>
    <w:rsid w:val="145535DF"/>
    <w:rsid w:val="145D185F"/>
    <w:rsid w:val="14660D2A"/>
    <w:rsid w:val="146830F3"/>
    <w:rsid w:val="148B0F9B"/>
    <w:rsid w:val="150F0019"/>
    <w:rsid w:val="152C0F87"/>
    <w:rsid w:val="15B72F98"/>
    <w:rsid w:val="15F725F0"/>
    <w:rsid w:val="1608145B"/>
    <w:rsid w:val="163229A2"/>
    <w:rsid w:val="163A2DE5"/>
    <w:rsid w:val="16492641"/>
    <w:rsid w:val="165C249F"/>
    <w:rsid w:val="167A5B2F"/>
    <w:rsid w:val="16834672"/>
    <w:rsid w:val="16984014"/>
    <w:rsid w:val="16BF44E1"/>
    <w:rsid w:val="16C2623C"/>
    <w:rsid w:val="16D16CC7"/>
    <w:rsid w:val="16D92B33"/>
    <w:rsid w:val="16FC4783"/>
    <w:rsid w:val="17052A20"/>
    <w:rsid w:val="171101A2"/>
    <w:rsid w:val="17190F7E"/>
    <w:rsid w:val="173057EE"/>
    <w:rsid w:val="173F08C2"/>
    <w:rsid w:val="177265DB"/>
    <w:rsid w:val="177A2236"/>
    <w:rsid w:val="178E5B9C"/>
    <w:rsid w:val="17980753"/>
    <w:rsid w:val="179E2D70"/>
    <w:rsid w:val="183D71A3"/>
    <w:rsid w:val="188F0022"/>
    <w:rsid w:val="18B76E60"/>
    <w:rsid w:val="18C33745"/>
    <w:rsid w:val="18E37E85"/>
    <w:rsid w:val="19341259"/>
    <w:rsid w:val="19384073"/>
    <w:rsid w:val="19DF1C21"/>
    <w:rsid w:val="19DF42FC"/>
    <w:rsid w:val="19EC7F69"/>
    <w:rsid w:val="19FB78D6"/>
    <w:rsid w:val="19FC28E7"/>
    <w:rsid w:val="1ACD3B8F"/>
    <w:rsid w:val="1B167D7C"/>
    <w:rsid w:val="1B171F87"/>
    <w:rsid w:val="1B397023"/>
    <w:rsid w:val="1BAC71DD"/>
    <w:rsid w:val="1BCD5783"/>
    <w:rsid w:val="1BDC5820"/>
    <w:rsid w:val="1BE51C24"/>
    <w:rsid w:val="1BF3388A"/>
    <w:rsid w:val="1C24026B"/>
    <w:rsid w:val="1C267F21"/>
    <w:rsid w:val="1C525B0F"/>
    <w:rsid w:val="1D6D1C3C"/>
    <w:rsid w:val="1DD43425"/>
    <w:rsid w:val="1DF86559"/>
    <w:rsid w:val="1E0D76B2"/>
    <w:rsid w:val="1E365395"/>
    <w:rsid w:val="1E611B6E"/>
    <w:rsid w:val="1E71378E"/>
    <w:rsid w:val="1E8D27AE"/>
    <w:rsid w:val="1E931AA8"/>
    <w:rsid w:val="1E9539F0"/>
    <w:rsid w:val="1EC550A0"/>
    <w:rsid w:val="1EDC15C4"/>
    <w:rsid w:val="1EE94F44"/>
    <w:rsid w:val="1F2C10D5"/>
    <w:rsid w:val="1F2C336D"/>
    <w:rsid w:val="1F6024FC"/>
    <w:rsid w:val="1F677E54"/>
    <w:rsid w:val="1F6B752D"/>
    <w:rsid w:val="1F8663CD"/>
    <w:rsid w:val="1F9D0B53"/>
    <w:rsid w:val="1FAC78E1"/>
    <w:rsid w:val="1FAF44FD"/>
    <w:rsid w:val="1FB8673F"/>
    <w:rsid w:val="1FC35093"/>
    <w:rsid w:val="1FD16E1D"/>
    <w:rsid w:val="1FD91AA0"/>
    <w:rsid w:val="20083BDC"/>
    <w:rsid w:val="200B3C7B"/>
    <w:rsid w:val="20295C86"/>
    <w:rsid w:val="2102257A"/>
    <w:rsid w:val="210A78A5"/>
    <w:rsid w:val="215473B7"/>
    <w:rsid w:val="21A92C5F"/>
    <w:rsid w:val="21DC0629"/>
    <w:rsid w:val="21ED48F3"/>
    <w:rsid w:val="22372806"/>
    <w:rsid w:val="224724A4"/>
    <w:rsid w:val="2276367E"/>
    <w:rsid w:val="2286366D"/>
    <w:rsid w:val="22B72AE2"/>
    <w:rsid w:val="22C33C48"/>
    <w:rsid w:val="22F510A3"/>
    <w:rsid w:val="22F567F6"/>
    <w:rsid w:val="2330521F"/>
    <w:rsid w:val="233B79E4"/>
    <w:rsid w:val="23B32F82"/>
    <w:rsid w:val="23DC4258"/>
    <w:rsid w:val="240D798A"/>
    <w:rsid w:val="24257D34"/>
    <w:rsid w:val="242946AB"/>
    <w:rsid w:val="24322AB7"/>
    <w:rsid w:val="247C27DE"/>
    <w:rsid w:val="248334D2"/>
    <w:rsid w:val="24A24B03"/>
    <w:rsid w:val="24EB0D58"/>
    <w:rsid w:val="25477AB3"/>
    <w:rsid w:val="254E4396"/>
    <w:rsid w:val="255F329B"/>
    <w:rsid w:val="256245D6"/>
    <w:rsid w:val="25830F12"/>
    <w:rsid w:val="258E711B"/>
    <w:rsid w:val="25943BFA"/>
    <w:rsid w:val="25B24A82"/>
    <w:rsid w:val="25BF0069"/>
    <w:rsid w:val="260966B2"/>
    <w:rsid w:val="260A6D3B"/>
    <w:rsid w:val="26374D34"/>
    <w:rsid w:val="263F73E7"/>
    <w:rsid w:val="26647F85"/>
    <w:rsid w:val="26934219"/>
    <w:rsid w:val="26B03DB0"/>
    <w:rsid w:val="26B237FC"/>
    <w:rsid w:val="26F66637"/>
    <w:rsid w:val="27047252"/>
    <w:rsid w:val="27190330"/>
    <w:rsid w:val="278A310D"/>
    <w:rsid w:val="27E17D24"/>
    <w:rsid w:val="27FD0EE7"/>
    <w:rsid w:val="284C5321"/>
    <w:rsid w:val="28575C58"/>
    <w:rsid w:val="28690CC1"/>
    <w:rsid w:val="28C038BC"/>
    <w:rsid w:val="28CA7C47"/>
    <w:rsid w:val="28F96B72"/>
    <w:rsid w:val="294C1DA4"/>
    <w:rsid w:val="295564A4"/>
    <w:rsid w:val="296C635C"/>
    <w:rsid w:val="299E5623"/>
    <w:rsid w:val="29E66502"/>
    <w:rsid w:val="2A006CE7"/>
    <w:rsid w:val="2A0402D1"/>
    <w:rsid w:val="2A162697"/>
    <w:rsid w:val="2A1D4F02"/>
    <w:rsid w:val="2A5E70E2"/>
    <w:rsid w:val="2A7A5128"/>
    <w:rsid w:val="2AD839F2"/>
    <w:rsid w:val="2ADF2B46"/>
    <w:rsid w:val="2AF501CB"/>
    <w:rsid w:val="2AFD613E"/>
    <w:rsid w:val="2B14312D"/>
    <w:rsid w:val="2B8743C4"/>
    <w:rsid w:val="2B8C64C6"/>
    <w:rsid w:val="2BAF5F4F"/>
    <w:rsid w:val="2BBA4E0D"/>
    <w:rsid w:val="2C193E03"/>
    <w:rsid w:val="2C417526"/>
    <w:rsid w:val="2C99261F"/>
    <w:rsid w:val="2D3847A5"/>
    <w:rsid w:val="2D416E43"/>
    <w:rsid w:val="2D6E1611"/>
    <w:rsid w:val="2D915408"/>
    <w:rsid w:val="2DAA2BE9"/>
    <w:rsid w:val="2E462C57"/>
    <w:rsid w:val="2E6B0726"/>
    <w:rsid w:val="2E7B222C"/>
    <w:rsid w:val="2E930991"/>
    <w:rsid w:val="2E9E07C7"/>
    <w:rsid w:val="2EA71D96"/>
    <w:rsid w:val="2EBD258D"/>
    <w:rsid w:val="2F085E10"/>
    <w:rsid w:val="2F226CF3"/>
    <w:rsid w:val="2F41123F"/>
    <w:rsid w:val="2F447BCF"/>
    <w:rsid w:val="2F501D89"/>
    <w:rsid w:val="2F883476"/>
    <w:rsid w:val="2FA91E58"/>
    <w:rsid w:val="2FC97C2D"/>
    <w:rsid w:val="2FD32F44"/>
    <w:rsid w:val="2FD37D5B"/>
    <w:rsid w:val="2FE13D2E"/>
    <w:rsid w:val="3083524A"/>
    <w:rsid w:val="30E34FB0"/>
    <w:rsid w:val="310A26F5"/>
    <w:rsid w:val="31D13F3A"/>
    <w:rsid w:val="31E01A35"/>
    <w:rsid w:val="31ED365E"/>
    <w:rsid w:val="3242176C"/>
    <w:rsid w:val="324D05E4"/>
    <w:rsid w:val="32617684"/>
    <w:rsid w:val="328C040B"/>
    <w:rsid w:val="32A16ECB"/>
    <w:rsid w:val="32C25B5F"/>
    <w:rsid w:val="32CB6B5A"/>
    <w:rsid w:val="33F13051"/>
    <w:rsid w:val="33F96A14"/>
    <w:rsid w:val="34146F3C"/>
    <w:rsid w:val="34BF1C04"/>
    <w:rsid w:val="34CF5674"/>
    <w:rsid w:val="350D7538"/>
    <w:rsid w:val="35455385"/>
    <w:rsid w:val="35DE1B02"/>
    <w:rsid w:val="363F5AC4"/>
    <w:rsid w:val="36436ACD"/>
    <w:rsid w:val="364F533D"/>
    <w:rsid w:val="36E06627"/>
    <w:rsid w:val="376E670C"/>
    <w:rsid w:val="3789503E"/>
    <w:rsid w:val="378B294A"/>
    <w:rsid w:val="37F0450E"/>
    <w:rsid w:val="38043B6B"/>
    <w:rsid w:val="380C21BE"/>
    <w:rsid w:val="38296387"/>
    <w:rsid w:val="38352679"/>
    <w:rsid w:val="38577147"/>
    <w:rsid w:val="39072A79"/>
    <w:rsid w:val="390804FD"/>
    <w:rsid w:val="39723F3B"/>
    <w:rsid w:val="398E4B03"/>
    <w:rsid w:val="39A57335"/>
    <w:rsid w:val="3A3D4013"/>
    <w:rsid w:val="3A9D0E45"/>
    <w:rsid w:val="3AA73679"/>
    <w:rsid w:val="3AD7436F"/>
    <w:rsid w:val="3B145AE7"/>
    <w:rsid w:val="3B3A13F8"/>
    <w:rsid w:val="3BDF3297"/>
    <w:rsid w:val="3C590119"/>
    <w:rsid w:val="3C727F3C"/>
    <w:rsid w:val="3C7C431A"/>
    <w:rsid w:val="3CA03F0B"/>
    <w:rsid w:val="3CBE68BC"/>
    <w:rsid w:val="3CC61714"/>
    <w:rsid w:val="3CC935E9"/>
    <w:rsid w:val="3D21417E"/>
    <w:rsid w:val="3D6218B1"/>
    <w:rsid w:val="3D815CA9"/>
    <w:rsid w:val="3D952C16"/>
    <w:rsid w:val="3DA14074"/>
    <w:rsid w:val="3E472A58"/>
    <w:rsid w:val="3E8A4BFE"/>
    <w:rsid w:val="3EC31B60"/>
    <w:rsid w:val="3EDE07A3"/>
    <w:rsid w:val="3EFF2C57"/>
    <w:rsid w:val="3F3B5A60"/>
    <w:rsid w:val="3F40543E"/>
    <w:rsid w:val="3F9E5928"/>
    <w:rsid w:val="40523658"/>
    <w:rsid w:val="40635514"/>
    <w:rsid w:val="40C307D1"/>
    <w:rsid w:val="41070CF4"/>
    <w:rsid w:val="416242AA"/>
    <w:rsid w:val="41FA19BD"/>
    <w:rsid w:val="4224601C"/>
    <w:rsid w:val="423A0708"/>
    <w:rsid w:val="42555D5C"/>
    <w:rsid w:val="42602FB7"/>
    <w:rsid w:val="42696874"/>
    <w:rsid w:val="429A0EFD"/>
    <w:rsid w:val="42A04349"/>
    <w:rsid w:val="42FB5A91"/>
    <w:rsid w:val="43002317"/>
    <w:rsid w:val="43371B74"/>
    <w:rsid w:val="43C56ACD"/>
    <w:rsid w:val="43DA407E"/>
    <w:rsid w:val="4401798E"/>
    <w:rsid w:val="440C4820"/>
    <w:rsid w:val="442E1C22"/>
    <w:rsid w:val="447C7F30"/>
    <w:rsid w:val="447F7B4D"/>
    <w:rsid w:val="448C1BBE"/>
    <w:rsid w:val="448E0C23"/>
    <w:rsid w:val="449B27F1"/>
    <w:rsid w:val="44E36FD9"/>
    <w:rsid w:val="453C654D"/>
    <w:rsid w:val="45454F92"/>
    <w:rsid w:val="456F687F"/>
    <w:rsid w:val="457D1025"/>
    <w:rsid w:val="45B4337E"/>
    <w:rsid w:val="45F01FED"/>
    <w:rsid w:val="45F66CD0"/>
    <w:rsid w:val="46042C6E"/>
    <w:rsid w:val="461A748D"/>
    <w:rsid w:val="461B1361"/>
    <w:rsid w:val="462A13AF"/>
    <w:rsid w:val="46DA06F1"/>
    <w:rsid w:val="46DE694F"/>
    <w:rsid w:val="470D67FC"/>
    <w:rsid w:val="489017C9"/>
    <w:rsid w:val="48C1144A"/>
    <w:rsid w:val="48C2348F"/>
    <w:rsid w:val="48D510FB"/>
    <w:rsid w:val="48F85951"/>
    <w:rsid w:val="49115C5A"/>
    <w:rsid w:val="497C55C1"/>
    <w:rsid w:val="49DC6EF0"/>
    <w:rsid w:val="49F156F3"/>
    <w:rsid w:val="4A347F56"/>
    <w:rsid w:val="4A9707B1"/>
    <w:rsid w:val="4AAA6914"/>
    <w:rsid w:val="4ABB01D0"/>
    <w:rsid w:val="4ACA1656"/>
    <w:rsid w:val="4B246752"/>
    <w:rsid w:val="4B921E76"/>
    <w:rsid w:val="4C4B035F"/>
    <w:rsid w:val="4C7F69CF"/>
    <w:rsid w:val="4CA461FD"/>
    <w:rsid w:val="4CA65CBB"/>
    <w:rsid w:val="4CF07DA2"/>
    <w:rsid w:val="4D3543CF"/>
    <w:rsid w:val="4D5E6917"/>
    <w:rsid w:val="4D7563EB"/>
    <w:rsid w:val="4E1C6613"/>
    <w:rsid w:val="4E412773"/>
    <w:rsid w:val="4E8E76FB"/>
    <w:rsid w:val="4EDC42A2"/>
    <w:rsid w:val="4F033172"/>
    <w:rsid w:val="4F192919"/>
    <w:rsid w:val="4F31266A"/>
    <w:rsid w:val="4F474D23"/>
    <w:rsid w:val="4F9377BD"/>
    <w:rsid w:val="4FAD042A"/>
    <w:rsid w:val="4FE16C13"/>
    <w:rsid w:val="4FE640B0"/>
    <w:rsid w:val="4FF82D10"/>
    <w:rsid w:val="4FF97651"/>
    <w:rsid w:val="5018364E"/>
    <w:rsid w:val="504878C9"/>
    <w:rsid w:val="509E6CE9"/>
    <w:rsid w:val="50D964C6"/>
    <w:rsid w:val="50FA2092"/>
    <w:rsid w:val="50FA4571"/>
    <w:rsid w:val="510C7A25"/>
    <w:rsid w:val="511E3720"/>
    <w:rsid w:val="512E4C70"/>
    <w:rsid w:val="5136738F"/>
    <w:rsid w:val="5179536B"/>
    <w:rsid w:val="51DE2039"/>
    <w:rsid w:val="51FD0C58"/>
    <w:rsid w:val="520870A9"/>
    <w:rsid w:val="52A9548D"/>
    <w:rsid w:val="52F942AB"/>
    <w:rsid w:val="53073C53"/>
    <w:rsid w:val="53377433"/>
    <w:rsid w:val="5348342E"/>
    <w:rsid w:val="535F2002"/>
    <w:rsid w:val="53A339A7"/>
    <w:rsid w:val="53D23CF4"/>
    <w:rsid w:val="54100745"/>
    <w:rsid w:val="54125C6E"/>
    <w:rsid w:val="54135DA4"/>
    <w:rsid w:val="542624E7"/>
    <w:rsid w:val="54266FC7"/>
    <w:rsid w:val="543B660C"/>
    <w:rsid w:val="545D316A"/>
    <w:rsid w:val="54F00747"/>
    <w:rsid w:val="5561711B"/>
    <w:rsid w:val="55877222"/>
    <w:rsid w:val="561834F7"/>
    <w:rsid w:val="56281CAD"/>
    <w:rsid w:val="56417DF2"/>
    <w:rsid w:val="56F758A4"/>
    <w:rsid w:val="571A1A45"/>
    <w:rsid w:val="572C2846"/>
    <w:rsid w:val="575E2215"/>
    <w:rsid w:val="579B34B7"/>
    <w:rsid w:val="57A03231"/>
    <w:rsid w:val="57D214B6"/>
    <w:rsid w:val="57DE2C77"/>
    <w:rsid w:val="584B5D73"/>
    <w:rsid w:val="584E0335"/>
    <w:rsid w:val="597B0A32"/>
    <w:rsid w:val="59F9033C"/>
    <w:rsid w:val="5A966FB1"/>
    <w:rsid w:val="5A9D31B0"/>
    <w:rsid w:val="5AAF4EB4"/>
    <w:rsid w:val="5B5F38EF"/>
    <w:rsid w:val="5BAE2333"/>
    <w:rsid w:val="5BCC14B5"/>
    <w:rsid w:val="5C0163C7"/>
    <w:rsid w:val="5C0E091C"/>
    <w:rsid w:val="5C171DCC"/>
    <w:rsid w:val="5CBA10E6"/>
    <w:rsid w:val="5CC44A44"/>
    <w:rsid w:val="5CF67872"/>
    <w:rsid w:val="5D010D8E"/>
    <w:rsid w:val="5D3E5A4C"/>
    <w:rsid w:val="5D4F0EBF"/>
    <w:rsid w:val="5DEA6610"/>
    <w:rsid w:val="5E28306B"/>
    <w:rsid w:val="5E374587"/>
    <w:rsid w:val="5F27769F"/>
    <w:rsid w:val="5F48337A"/>
    <w:rsid w:val="5F9D69FF"/>
    <w:rsid w:val="5FED4403"/>
    <w:rsid w:val="60475896"/>
    <w:rsid w:val="605976D2"/>
    <w:rsid w:val="6068388D"/>
    <w:rsid w:val="607A4148"/>
    <w:rsid w:val="609A08B1"/>
    <w:rsid w:val="609F0BB5"/>
    <w:rsid w:val="60CE4608"/>
    <w:rsid w:val="60D93521"/>
    <w:rsid w:val="6172312C"/>
    <w:rsid w:val="618812CC"/>
    <w:rsid w:val="618C413B"/>
    <w:rsid w:val="62471805"/>
    <w:rsid w:val="627B46D9"/>
    <w:rsid w:val="62B677E3"/>
    <w:rsid w:val="62FE311C"/>
    <w:rsid w:val="64041ADD"/>
    <w:rsid w:val="64C574C8"/>
    <w:rsid w:val="6517002A"/>
    <w:rsid w:val="657C6449"/>
    <w:rsid w:val="6587288C"/>
    <w:rsid w:val="65A05662"/>
    <w:rsid w:val="65B7563D"/>
    <w:rsid w:val="65BD1B07"/>
    <w:rsid w:val="660E4FB5"/>
    <w:rsid w:val="66521BB0"/>
    <w:rsid w:val="666B187C"/>
    <w:rsid w:val="667414C1"/>
    <w:rsid w:val="6679710B"/>
    <w:rsid w:val="66F37584"/>
    <w:rsid w:val="67A712CB"/>
    <w:rsid w:val="68343099"/>
    <w:rsid w:val="683A01CF"/>
    <w:rsid w:val="684D54A3"/>
    <w:rsid w:val="6872122E"/>
    <w:rsid w:val="689C39A5"/>
    <w:rsid w:val="68AE4048"/>
    <w:rsid w:val="68BE3C36"/>
    <w:rsid w:val="68D564B2"/>
    <w:rsid w:val="68E712C0"/>
    <w:rsid w:val="68E722B3"/>
    <w:rsid w:val="68ED23DE"/>
    <w:rsid w:val="694D316B"/>
    <w:rsid w:val="69DD4B6D"/>
    <w:rsid w:val="6A2E772B"/>
    <w:rsid w:val="6A4F0FBC"/>
    <w:rsid w:val="6A5E5D0F"/>
    <w:rsid w:val="6A625885"/>
    <w:rsid w:val="6A742BBA"/>
    <w:rsid w:val="6A835C14"/>
    <w:rsid w:val="6AA022A6"/>
    <w:rsid w:val="6AC20571"/>
    <w:rsid w:val="6AC3034E"/>
    <w:rsid w:val="6B065C24"/>
    <w:rsid w:val="6B094A26"/>
    <w:rsid w:val="6B0C15AA"/>
    <w:rsid w:val="6B4865EE"/>
    <w:rsid w:val="6B6059C4"/>
    <w:rsid w:val="6BB86794"/>
    <w:rsid w:val="6C2A63E5"/>
    <w:rsid w:val="6C4376C7"/>
    <w:rsid w:val="6C5D5A9B"/>
    <w:rsid w:val="6C72135E"/>
    <w:rsid w:val="6C7D7667"/>
    <w:rsid w:val="6C9F766F"/>
    <w:rsid w:val="6D067AE3"/>
    <w:rsid w:val="6D582EAC"/>
    <w:rsid w:val="6D8A054D"/>
    <w:rsid w:val="6DB10439"/>
    <w:rsid w:val="6DC93964"/>
    <w:rsid w:val="6E9903EF"/>
    <w:rsid w:val="6F065555"/>
    <w:rsid w:val="6F5749AF"/>
    <w:rsid w:val="6F580CC8"/>
    <w:rsid w:val="6F6D6533"/>
    <w:rsid w:val="6F952079"/>
    <w:rsid w:val="6FAD2DD2"/>
    <w:rsid w:val="7028089B"/>
    <w:rsid w:val="70785034"/>
    <w:rsid w:val="70A960A7"/>
    <w:rsid w:val="70DA1BBD"/>
    <w:rsid w:val="71430F73"/>
    <w:rsid w:val="714529ED"/>
    <w:rsid w:val="717768F4"/>
    <w:rsid w:val="717D1C47"/>
    <w:rsid w:val="718A7EF2"/>
    <w:rsid w:val="71960E9D"/>
    <w:rsid w:val="71E55175"/>
    <w:rsid w:val="72296899"/>
    <w:rsid w:val="72C60DA9"/>
    <w:rsid w:val="72FB7923"/>
    <w:rsid w:val="73045EB2"/>
    <w:rsid w:val="73277555"/>
    <w:rsid w:val="732E23B3"/>
    <w:rsid w:val="738E4F54"/>
    <w:rsid w:val="73B64E31"/>
    <w:rsid w:val="73C3468F"/>
    <w:rsid w:val="74132DCA"/>
    <w:rsid w:val="74430300"/>
    <w:rsid w:val="74D0751F"/>
    <w:rsid w:val="75AE76DA"/>
    <w:rsid w:val="75EC3B73"/>
    <w:rsid w:val="76007854"/>
    <w:rsid w:val="7614279C"/>
    <w:rsid w:val="76286E6F"/>
    <w:rsid w:val="763E70DC"/>
    <w:rsid w:val="769D7A92"/>
    <w:rsid w:val="76C45EFE"/>
    <w:rsid w:val="76CB2F07"/>
    <w:rsid w:val="76D5344E"/>
    <w:rsid w:val="76FD0444"/>
    <w:rsid w:val="77230A3F"/>
    <w:rsid w:val="772459AA"/>
    <w:rsid w:val="773D0EE8"/>
    <w:rsid w:val="775B462E"/>
    <w:rsid w:val="775D1369"/>
    <w:rsid w:val="77972EAF"/>
    <w:rsid w:val="779E542F"/>
    <w:rsid w:val="77D10C5E"/>
    <w:rsid w:val="780A63DF"/>
    <w:rsid w:val="78221F6E"/>
    <w:rsid w:val="78366A8F"/>
    <w:rsid w:val="783712B2"/>
    <w:rsid w:val="786B2E63"/>
    <w:rsid w:val="78817A09"/>
    <w:rsid w:val="789D1965"/>
    <w:rsid w:val="78A76207"/>
    <w:rsid w:val="79350A3D"/>
    <w:rsid w:val="79B453C1"/>
    <w:rsid w:val="7A214A74"/>
    <w:rsid w:val="7A2965D2"/>
    <w:rsid w:val="7AC17CC6"/>
    <w:rsid w:val="7AEE6D21"/>
    <w:rsid w:val="7B001978"/>
    <w:rsid w:val="7B2F3C84"/>
    <w:rsid w:val="7B5951B0"/>
    <w:rsid w:val="7B82477B"/>
    <w:rsid w:val="7B856009"/>
    <w:rsid w:val="7B946B1E"/>
    <w:rsid w:val="7B984B65"/>
    <w:rsid w:val="7BF059CC"/>
    <w:rsid w:val="7C100FCE"/>
    <w:rsid w:val="7C3B3CBA"/>
    <w:rsid w:val="7C6C7E2C"/>
    <w:rsid w:val="7C7062F5"/>
    <w:rsid w:val="7C850920"/>
    <w:rsid w:val="7CF00949"/>
    <w:rsid w:val="7D1B0F8E"/>
    <w:rsid w:val="7D5A7CC0"/>
    <w:rsid w:val="7D8531ED"/>
    <w:rsid w:val="7DD86245"/>
    <w:rsid w:val="7DFA08A0"/>
    <w:rsid w:val="7E164193"/>
    <w:rsid w:val="7E240220"/>
    <w:rsid w:val="7E5B1687"/>
    <w:rsid w:val="7EDF55BB"/>
    <w:rsid w:val="7F0634A3"/>
    <w:rsid w:val="7F271E21"/>
    <w:rsid w:val="7F2724F3"/>
    <w:rsid w:val="7F542BD4"/>
    <w:rsid w:val="7F547575"/>
    <w:rsid w:val="7F66424B"/>
    <w:rsid w:val="7F8D4C4F"/>
    <w:rsid w:val="7FFF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1"/>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1"/>
    <w:link w:val="12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7"/>
    <w:link w:val="81"/>
    <w:qFormat/>
    <w:uiPriority w:val="0"/>
    <w:pPr>
      <w:autoSpaceDE w:val="0"/>
      <w:autoSpaceDN w:val="0"/>
      <w:adjustRightInd w:val="0"/>
      <w:spacing w:line="300" w:lineRule="auto"/>
      <w:textAlignment w:val="baseline"/>
      <w:outlineLvl w:val="2"/>
    </w:pPr>
    <w:rPr>
      <w:rFonts w:ascii="黑体" w:hAnsi="Times New Roman" w:eastAsia="黑体"/>
      <w:b/>
      <w:color w:val="000000"/>
      <w:kern w:val="0"/>
      <w:sz w:val="28"/>
      <w:szCs w:val="20"/>
    </w:rPr>
  </w:style>
  <w:style w:type="paragraph" w:styleId="8">
    <w:name w:val="heading 4"/>
    <w:basedOn w:val="1"/>
    <w:next w:val="1"/>
    <w:link w:val="108"/>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145"/>
    <w:qFormat/>
    <w:uiPriority w:val="0"/>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link w:val="131"/>
    <w:qFormat/>
    <w:uiPriority w:val="0"/>
    <w:pPr>
      <w:keepNext/>
      <w:keepLines/>
      <w:spacing w:before="240" w:after="64" w:line="320" w:lineRule="auto"/>
      <w:outlineLvl w:val="5"/>
    </w:pPr>
    <w:rPr>
      <w:rFonts w:ascii="Arial" w:hAnsi="Arial" w:eastAsia="黑体"/>
      <w:b/>
      <w:bCs/>
      <w:kern w:val="0"/>
      <w:sz w:val="24"/>
      <w:szCs w:val="20"/>
    </w:rPr>
  </w:style>
  <w:style w:type="paragraph" w:styleId="11">
    <w:name w:val="heading 7"/>
    <w:basedOn w:val="1"/>
    <w:next w:val="1"/>
    <w:link w:val="137"/>
    <w:qFormat/>
    <w:uiPriority w:val="0"/>
    <w:pPr>
      <w:keepNext/>
      <w:keepLines/>
      <w:numPr>
        <w:ilvl w:val="6"/>
        <w:numId w:val="2"/>
      </w:numPr>
      <w:adjustRightInd w:val="0"/>
      <w:spacing w:before="240" w:after="64" w:line="320" w:lineRule="atLeast"/>
      <w:textAlignment w:val="baseline"/>
      <w:outlineLvl w:val="6"/>
    </w:pPr>
    <w:rPr>
      <w:rFonts w:ascii="宋体" w:hAnsi="Times New Roman" w:eastAsia="仿宋_GB2312"/>
      <w:b/>
      <w:kern w:val="0"/>
      <w:sz w:val="24"/>
      <w:szCs w:val="20"/>
    </w:rPr>
  </w:style>
  <w:style w:type="paragraph" w:styleId="12">
    <w:name w:val="heading 8"/>
    <w:basedOn w:val="1"/>
    <w:next w:val="1"/>
    <w:link w:val="120"/>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00"/>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5"/>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3">
    <w:name w:val="macro"/>
    <w:link w:val="10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7">
    <w:name w:val="Normal Indent"/>
    <w:basedOn w:val="1"/>
    <w:link w:val="77"/>
    <w:qFormat/>
    <w:uiPriority w:val="0"/>
    <w:pPr>
      <w:ind w:firstLine="420"/>
    </w:pPr>
    <w:rPr>
      <w:rFonts w:ascii="Times New Roman" w:hAnsi="Times New Roman"/>
      <w:kern w:val="0"/>
      <w:sz w:val="20"/>
      <w:szCs w:val="20"/>
    </w:rPr>
  </w:style>
  <w:style w:type="paragraph" w:styleId="14">
    <w:name w:val="toc 7"/>
    <w:basedOn w:val="1"/>
    <w:next w:val="1"/>
    <w:qFormat/>
    <w:uiPriority w:val="0"/>
    <w:pPr>
      <w:ind w:left="2520" w:leftChars="1200"/>
    </w:pPr>
    <w:rPr>
      <w:rFonts w:ascii="Times New Roman" w:hAnsi="Times New Roman"/>
      <w:szCs w:val="24"/>
    </w:rPr>
  </w:style>
  <w:style w:type="paragraph" w:styleId="15">
    <w:name w:val="table of authorities"/>
    <w:basedOn w:val="1"/>
    <w:next w:val="1"/>
    <w:qFormat/>
    <w:uiPriority w:val="0"/>
    <w:pPr>
      <w:ind w:left="420" w:leftChars="200"/>
    </w:pPr>
    <w:rPr>
      <w:rFonts w:ascii="Times New Roman" w:hAnsi="Times New Roman"/>
      <w:szCs w:val="24"/>
    </w:rPr>
  </w:style>
  <w:style w:type="paragraph" w:styleId="16">
    <w:name w:val="index 8"/>
    <w:basedOn w:val="1"/>
    <w:next w:val="1"/>
    <w:qFormat/>
    <w:uiPriority w:val="0"/>
    <w:pPr>
      <w:ind w:left="1400" w:leftChars="1400"/>
    </w:pPr>
    <w:rPr>
      <w:rFonts w:ascii="Times New Roman" w:hAnsi="Times New Roman"/>
      <w:szCs w:val="24"/>
    </w:rPr>
  </w:style>
  <w:style w:type="paragraph" w:styleId="17">
    <w:name w:val="caption"/>
    <w:basedOn w:val="1"/>
    <w:next w:val="1"/>
    <w:qFormat/>
    <w:uiPriority w:val="0"/>
    <w:rPr>
      <w:rFonts w:ascii="Arial" w:hAnsi="Arial" w:eastAsia="黑体" w:cs="Arial"/>
      <w:sz w:val="20"/>
      <w:szCs w:val="20"/>
    </w:rPr>
  </w:style>
  <w:style w:type="paragraph" w:styleId="18">
    <w:name w:val="index 5"/>
    <w:basedOn w:val="1"/>
    <w:next w:val="1"/>
    <w:qFormat/>
    <w:uiPriority w:val="0"/>
    <w:pPr>
      <w:ind w:left="800" w:leftChars="800"/>
    </w:pPr>
    <w:rPr>
      <w:rFonts w:ascii="Times New Roman" w:hAnsi="Times New Roman"/>
      <w:szCs w:val="24"/>
    </w:rPr>
  </w:style>
  <w:style w:type="paragraph" w:styleId="19">
    <w:name w:val="List Bullet"/>
    <w:basedOn w:val="1"/>
    <w:qFormat/>
    <w:uiPriority w:val="0"/>
    <w:pPr>
      <w:widowControl/>
      <w:numPr>
        <w:ilvl w:val="0"/>
        <w:numId w:val="3"/>
      </w:numPr>
      <w:spacing w:before="100" w:beforeAutospacing="1" w:afterLines="50" w:afterAutospacing="1"/>
      <w:jc w:val="left"/>
    </w:pPr>
    <w:rPr>
      <w:rFonts w:ascii="Times New Roman" w:hAnsi="Times New Roman"/>
      <w:kern w:val="0"/>
      <w:szCs w:val="20"/>
    </w:rPr>
  </w:style>
  <w:style w:type="paragraph" w:styleId="20">
    <w:name w:val="Document Map"/>
    <w:basedOn w:val="1"/>
    <w:link w:val="91"/>
    <w:qFormat/>
    <w:uiPriority w:val="0"/>
    <w:pPr>
      <w:shd w:val="clear" w:color="auto" w:fill="000080"/>
    </w:pPr>
    <w:rPr>
      <w:rFonts w:ascii="Times New Roman" w:hAnsi="Times New Roman"/>
      <w:kern w:val="0"/>
      <w:sz w:val="20"/>
      <w:szCs w:val="20"/>
    </w:rPr>
  </w:style>
  <w:style w:type="paragraph" w:styleId="21">
    <w:name w:val="toa heading"/>
    <w:basedOn w:val="1"/>
    <w:next w:val="1"/>
    <w:qFormat/>
    <w:uiPriority w:val="0"/>
    <w:pPr>
      <w:spacing w:before="120"/>
    </w:pPr>
    <w:rPr>
      <w:rFonts w:ascii="Arial" w:hAnsi="Arial" w:cs="Arial"/>
      <w:sz w:val="24"/>
      <w:szCs w:val="24"/>
    </w:rPr>
  </w:style>
  <w:style w:type="paragraph" w:styleId="22">
    <w:name w:val="annotation text"/>
    <w:basedOn w:val="1"/>
    <w:link w:val="86"/>
    <w:qFormat/>
    <w:uiPriority w:val="0"/>
    <w:pPr>
      <w:jc w:val="left"/>
    </w:pPr>
    <w:rPr>
      <w:rFonts w:ascii="Times New Roman" w:hAnsi="Times New Roman"/>
      <w:kern w:val="0"/>
      <w:sz w:val="20"/>
      <w:szCs w:val="24"/>
    </w:rPr>
  </w:style>
  <w:style w:type="paragraph" w:styleId="23">
    <w:name w:val="index 6"/>
    <w:basedOn w:val="1"/>
    <w:next w:val="1"/>
    <w:qFormat/>
    <w:uiPriority w:val="0"/>
    <w:pPr>
      <w:ind w:left="1000" w:leftChars="1000"/>
    </w:pPr>
    <w:rPr>
      <w:rFonts w:ascii="Times New Roman" w:hAnsi="Times New Roman"/>
      <w:szCs w:val="24"/>
    </w:rPr>
  </w:style>
  <w:style w:type="paragraph" w:styleId="24">
    <w:name w:val="Body Text 3"/>
    <w:basedOn w:val="1"/>
    <w:link w:val="142"/>
    <w:qFormat/>
    <w:uiPriority w:val="0"/>
    <w:rPr>
      <w:rFonts w:ascii="宋体" w:hAnsi="宋体"/>
      <w:kern w:val="0"/>
      <w:sz w:val="36"/>
      <w:szCs w:val="24"/>
    </w:rPr>
  </w:style>
  <w:style w:type="paragraph" w:styleId="25">
    <w:name w:val="Body Text"/>
    <w:basedOn w:val="1"/>
    <w:next w:val="26"/>
    <w:link w:val="143"/>
    <w:unhideWhenUsed/>
    <w:qFormat/>
    <w:uiPriority w:val="0"/>
    <w:pPr>
      <w:spacing w:after="120"/>
    </w:pPr>
  </w:style>
  <w:style w:type="paragraph" w:styleId="26">
    <w:name w:val="Body Text First Indent"/>
    <w:basedOn w:val="25"/>
    <w:next w:val="1"/>
    <w:qFormat/>
    <w:uiPriority w:val="0"/>
    <w:pPr>
      <w:spacing w:line="520" w:lineRule="exact"/>
      <w:ind w:firstLine="100" w:firstLineChars="100"/>
      <w:jc w:val="left"/>
    </w:pPr>
    <w:rPr>
      <w:sz w:val="28"/>
    </w:rPr>
  </w:style>
  <w:style w:type="paragraph" w:styleId="27">
    <w:name w:val="Body Text Indent"/>
    <w:basedOn w:val="1"/>
    <w:link w:val="148"/>
    <w:qFormat/>
    <w:uiPriority w:val="0"/>
    <w:pPr>
      <w:spacing w:line="480" w:lineRule="auto"/>
      <w:ind w:firstLine="600"/>
    </w:pPr>
    <w:rPr>
      <w:rFonts w:ascii="Times New Roman" w:hAnsi="Times New Roman"/>
      <w:kern w:val="0"/>
      <w:sz w:val="28"/>
      <w:szCs w:val="20"/>
    </w:rPr>
  </w:style>
  <w:style w:type="paragraph" w:styleId="28">
    <w:name w:val="List Number 3"/>
    <w:basedOn w:val="1"/>
    <w:qFormat/>
    <w:uiPriority w:val="0"/>
    <w:pPr>
      <w:widowControl/>
      <w:tabs>
        <w:tab w:val="left" w:pos="360"/>
        <w:tab w:val="left" w:pos="482"/>
      </w:tabs>
      <w:spacing w:afterLines="50"/>
      <w:ind w:left="482" w:hanging="340"/>
      <w:jc w:val="left"/>
    </w:pPr>
    <w:rPr>
      <w:rFonts w:ascii="Times New Roman" w:hAnsi="Times New Roman"/>
      <w:kern w:val="0"/>
      <w:sz w:val="24"/>
      <w:szCs w:val="20"/>
    </w:rPr>
  </w:style>
  <w:style w:type="paragraph" w:styleId="29">
    <w:name w:val="Block Text"/>
    <w:basedOn w:val="1"/>
    <w:qFormat/>
    <w:uiPriority w:val="0"/>
    <w:pPr>
      <w:ind w:left="1200" w:right="-72" w:hanging="30"/>
    </w:pPr>
    <w:rPr>
      <w:rFonts w:ascii="Arial" w:hAnsi="Arial" w:eastAsia="幼圆" w:cs="Arial"/>
      <w:sz w:val="22"/>
      <w:szCs w:val="20"/>
    </w:rPr>
  </w:style>
  <w:style w:type="paragraph" w:styleId="30">
    <w:name w:val="List Bullet 2"/>
    <w:basedOn w:val="1"/>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31">
    <w:name w:val="index 4"/>
    <w:basedOn w:val="1"/>
    <w:next w:val="1"/>
    <w:qFormat/>
    <w:uiPriority w:val="0"/>
    <w:pPr>
      <w:ind w:left="600" w:leftChars="6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tabs>
        <w:tab w:val="right" w:leader="dot" w:pos="8296"/>
      </w:tabs>
      <w:jc w:val="left"/>
    </w:pPr>
    <w:rPr>
      <w:rFonts w:ascii="Times New Roman" w:hAnsi="Times New Roman"/>
      <w:b/>
      <w:bCs/>
      <w:iCs/>
      <w:szCs w:val="24"/>
    </w:rPr>
  </w:style>
  <w:style w:type="paragraph" w:styleId="34">
    <w:name w:val="Plain Text"/>
    <w:basedOn w:val="1"/>
    <w:link w:val="96"/>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index 3"/>
    <w:basedOn w:val="1"/>
    <w:next w:val="1"/>
    <w:qFormat/>
    <w:uiPriority w:val="0"/>
    <w:pPr>
      <w:ind w:left="400" w:leftChars="400"/>
    </w:pPr>
    <w:rPr>
      <w:rFonts w:ascii="Times New Roman" w:hAnsi="Times New Roman"/>
      <w:szCs w:val="24"/>
    </w:rPr>
  </w:style>
  <w:style w:type="paragraph" w:styleId="37">
    <w:name w:val="Date"/>
    <w:basedOn w:val="1"/>
    <w:next w:val="1"/>
    <w:link w:val="109"/>
    <w:qFormat/>
    <w:uiPriority w:val="0"/>
    <w:pPr>
      <w:ind w:left="100"/>
    </w:pPr>
    <w:rPr>
      <w:rFonts w:ascii="Times New Roman" w:hAnsi="Times New Roman"/>
      <w:kern w:val="0"/>
      <w:sz w:val="28"/>
      <w:szCs w:val="20"/>
    </w:rPr>
  </w:style>
  <w:style w:type="paragraph" w:styleId="38">
    <w:name w:val="Body Text Indent 2"/>
    <w:basedOn w:val="1"/>
    <w:link w:val="121"/>
    <w:qFormat/>
    <w:uiPriority w:val="0"/>
    <w:pPr>
      <w:spacing w:after="120" w:line="480" w:lineRule="auto"/>
      <w:ind w:left="420" w:leftChars="200"/>
    </w:pPr>
    <w:rPr>
      <w:rFonts w:ascii="Times New Roman" w:hAnsi="Times New Roman"/>
      <w:kern w:val="0"/>
      <w:sz w:val="20"/>
      <w:szCs w:val="20"/>
    </w:rPr>
  </w:style>
  <w:style w:type="paragraph" w:styleId="39">
    <w:name w:val="endnote text"/>
    <w:basedOn w:val="1"/>
    <w:link w:val="147"/>
    <w:qFormat/>
    <w:uiPriority w:val="0"/>
    <w:pPr>
      <w:snapToGrid w:val="0"/>
      <w:spacing w:afterLines="50"/>
      <w:jc w:val="left"/>
    </w:pPr>
    <w:rPr>
      <w:rFonts w:ascii="宋体" w:hAnsi="Times New Roman"/>
      <w:snapToGrid w:val="0"/>
      <w:kern w:val="0"/>
      <w:sz w:val="20"/>
      <w:szCs w:val="20"/>
    </w:rPr>
  </w:style>
  <w:style w:type="paragraph" w:styleId="40">
    <w:name w:val="Balloon Text"/>
    <w:basedOn w:val="1"/>
    <w:link w:val="122"/>
    <w:qFormat/>
    <w:uiPriority w:val="0"/>
    <w:rPr>
      <w:rFonts w:ascii="Times New Roman" w:hAnsi="Times New Roman"/>
      <w:kern w:val="0"/>
      <w:sz w:val="18"/>
      <w:szCs w:val="18"/>
    </w:rPr>
  </w:style>
  <w:style w:type="paragraph" w:styleId="41">
    <w:name w:val="footer"/>
    <w:basedOn w:val="1"/>
    <w:link w:val="130"/>
    <w:unhideWhenUsed/>
    <w:qFormat/>
    <w:uiPriority w:val="0"/>
    <w:pPr>
      <w:tabs>
        <w:tab w:val="center" w:pos="4153"/>
        <w:tab w:val="right" w:pos="8306"/>
      </w:tabs>
      <w:snapToGrid w:val="0"/>
      <w:jc w:val="left"/>
    </w:pPr>
    <w:rPr>
      <w:kern w:val="0"/>
      <w:sz w:val="18"/>
      <w:szCs w:val="18"/>
    </w:rPr>
  </w:style>
  <w:style w:type="paragraph" w:styleId="42">
    <w:name w:val="header"/>
    <w:basedOn w:val="1"/>
    <w:link w:val="13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qFormat/>
    <w:uiPriority w:val="0"/>
    <w:pPr>
      <w:spacing w:before="120" w:after="120"/>
      <w:jc w:val="left"/>
    </w:pPr>
    <w:rPr>
      <w:rFonts w:ascii="Times New Roman" w:hAnsi="Times New Roman"/>
      <w:b/>
      <w:bCs/>
      <w:caps/>
      <w:szCs w:val="24"/>
    </w:rPr>
  </w:style>
  <w:style w:type="paragraph" w:styleId="44">
    <w:name w:val="toc 4"/>
    <w:basedOn w:val="1"/>
    <w:next w:val="1"/>
    <w:qFormat/>
    <w:uiPriority w:val="0"/>
    <w:pPr>
      <w:ind w:left="629"/>
      <w:jc w:val="left"/>
    </w:pPr>
    <w:rPr>
      <w:rFonts w:ascii="Times New Roman" w:hAnsi="Times New Roman"/>
      <w:snapToGrid w:val="0"/>
      <w:kern w:val="0"/>
      <w:szCs w:val="18"/>
    </w:rPr>
  </w:style>
  <w:style w:type="paragraph" w:styleId="45">
    <w:name w:val="index heading"/>
    <w:basedOn w:val="1"/>
    <w:next w:val="46"/>
    <w:qFormat/>
    <w:uiPriority w:val="0"/>
    <w:rPr>
      <w:rFonts w:ascii="Arial" w:hAnsi="Arial" w:cs="Arial"/>
      <w:b/>
      <w:bCs/>
      <w:szCs w:val="24"/>
    </w:rPr>
  </w:style>
  <w:style w:type="paragraph" w:styleId="46">
    <w:name w:val="index 1"/>
    <w:basedOn w:val="1"/>
    <w:next w:val="1"/>
    <w:qFormat/>
    <w:uiPriority w:val="0"/>
    <w:rPr>
      <w:rFonts w:ascii="Times New Roman" w:hAnsi="Times New Roman"/>
      <w:szCs w:val="20"/>
    </w:rPr>
  </w:style>
  <w:style w:type="paragraph" w:styleId="47">
    <w:name w:val="Subtitle"/>
    <w:basedOn w:val="1"/>
    <w:link w:val="133"/>
    <w:qFormat/>
    <w:uiPriority w:val="0"/>
    <w:pPr>
      <w:spacing w:afterLines="50"/>
      <w:jc w:val="center"/>
    </w:pPr>
    <w:rPr>
      <w:rFonts w:ascii="宋体" w:hAnsi="Times New Roman"/>
      <w:i/>
      <w:snapToGrid w:val="0"/>
      <w:kern w:val="0"/>
      <w:sz w:val="36"/>
      <w:szCs w:val="20"/>
      <w:lang w:val="en-AU"/>
    </w:rPr>
  </w:style>
  <w:style w:type="paragraph" w:styleId="48">
    <w:name w:val="footnote text"/>
    <w:basedOn w:val="1"/>
    <w:link w:val="113"/>
    <w:qFormat/>
    <w:uiPriority w:val="0"/>
    <w:pPr>
      <w:snapToGrid w:val="0"/>
      <w:jc w:val="left"/>
    </w:pPr>
    <w:rPr>
      <w:rFonts w:ascii="Times New Roman" w:hAnsi="Times New Roman"/>
      <w:kern w:val="0"/>
      <w:sz w:val="18"/>
      <w:szCs w:val="18"/>
    </w:rPr>
  </w:style>
  <w:style w:type="paragraph" w:styleId="49">
    <w:name w:val="toc 6"/>
    <w:basedOn w:val="1"/>
    <w:next w:val="1"/>
    <w:qFormat/>
    <w:uiPriority w:val="0"/>
    <w:pPr>
      <w:ind w:left="2100" w:leftChars="1000"/>
    </w:pPr>
    <w:rPr>
      <w:rFonts w:ascii="Times New Roman" w:hAnsi="Times New Roman"/>
      <w:szCs w:val="24"/>
    </w:rPr>
  </w:style>
  <w:style w:type="paragraph" w:styleId="50">
    <w:name w:val="Body Text Indent 3"/>
    <w:basedOn w:val="1"/>
    <w:link w:val="119"/>
    <w:qFormat/>
    <w:uiPriority w:val="0"/>
    <w:pPr>
      <w:spacing w:line="500" w:lineRule="atLeast"/>
      <w:ind w:firstLine="720" w:firstLineChars="300"/>
    </w:pPr>
    <w:rPr>
      <w:rFonts w:ascii="Times New Roman" w:hAnsi="Times New Roman"/>
      <w:kern w:val="0"/>
      <w:sz w:val="24"/>
      <w:szCs w:val="24"/>
    </w:rPr>
  </w:style>
  <w:style w:type="paragraph" w:styleId="51">
    <w:name w:val="index 7"/>
    <w:basedOn w:val="1"/>
    <w:next w:val="1"/>
    <w:qFormat/>
    <w:uiPriority w:val="0"/>
    <w:pPr>
      <w:ind w:left="1200" w:leftChars="1200"/>
    </w:pPr>
    <w:rPr>
      <w:rFonts w:ascii="Times New Roman" w:hAnsi="Times New Roman"/>
      <w:szCs w:val="24"/>
    </w:rPr>
  </w:style>
  <w:style w:type="paragraph" w:styleId="52">
    <w:name w:val="index 9"/>
    <w:basedOn w:val="1"/>
    <w:next w:val="1"/>
    <w:qFormat/>
    <w:uiPriority w:val="0"/>
    <w:pPr>
      <w:ind w:left="1600" w:leftChars="1600"/>
    </w:pPr>
    <w:rPr>
      <w:rFonts w:ascii="Times New Roman" w:hAnsi="Times New Roman"/>
      <w:szCs w:val="24"/>
    </w:rPr>
  </w:style>
  <w:style w:type="paragraph" w:styleId="53">
    <w:name w:val="table of figures"/>
    <w:basedOn w:val="1"/>
    <w:next w:val="1"/>
    <w:qFormat/>
    <w:uiPriority w:val="0"/>
    <w:pPr>
      <w:numPr>
        <w:ilvl w:val="0"/>
        <w:numId w:val="4"/>
      </w:numPr>
      <w:spacing w:line="360" w:lineRule="auto"/>
      <w:jc w:val="left"/>
    </w:pPr>
    <w:rPr>
      <w:rFonts w:ascii="Times New Roman" w:hAnsi="Times New Roman"/>
      <w:smallCaps/>
      <w:sz w:val="20"/>
      <w:szCs w:val="20"/>
    </w:rPr>
  </w:style>
  <w:style w:type="paragraph" w:styleId="54">
    <w:name w:val="toc 2"/>
    <w:basedOn w:val="1"/>
    <w:next w:val="1"/>
    <w:qFormat/>
    <w:uiPriority w:val="0"/>
    <w:pPr>
      <w:tabs>
        <w:tab w:val="right" w:leader="dot" w:pos="8296"/>
      </w:tabs>
      <w:ind w:left="210"/>
      <w:jc w:val="left"/>
    </w:pPr>
    <w:rPr>
      <w:rFonts w:ascii="Times New Roman" w:hAnsi="Times New Roman"/>
      <w:b/>
      <w:smallCaps/>
      <w:szCs w:val="24"/>
    </w:rPr>
  </w:style>
  <w:style w:type="paragraph" w:styleId="55">
    <w:name w:val="toc 9"/>
    <w:basedOn w:val="1"/>
    <w:next w:val="1"/>
    <w:qFormat/>
    <w:uiPriority w:val="0"/>
    <w:pPr>
      <w:ind w:left="3360" w:leftChars="1600"/>
    </w:pPr>
    <w:rPr>
      <w:rFonts w:ascii="Times New Roman" w:hAnsi="Times New Roman"/>
      <w:szCs w:val="24"/>
    </w:rPr>
  </w:style>
  <w:style w:type="paragraph" w:styleId="56">
    <w:name w:val="Body Text 2"/>
    <w:basedOn w:val="1"/>
    <w:link w:val="112"/>
    <w:qFormat/>
    <w:uiPriority w:val="0"/>
    <w:pPr>
      <w:autoSpaceDE w:val="0"/>
      <w:autoSpaceDN w:val="0"/>
      <w:adjustRightInd w:val="0"/>
    </w:pPr>
    <w:rPr>
      <w:rFonts w:ascii="Times New Roman" w:hAnsi="Times New Roman"/>
      <w:color w:val="000000"/>
      <w:kern w:val="0"/>
      <w:sz w:val="20"/>
      <w:szCs w:val="24"/>
    </w:rPr>
  </w:style>
  <w:style w:type="paragraph" w:styleId="57">
    <w:name w:val="HTML Preformatted"/>
    <w:basedOn w:val="1"/>
    <w:link w:val="136"/>
    <w:qFormat/>
    <w:uiPriority w:val="0"/>
    <w:rPr>
      <w:rFonts w:ascii="Courier New" w:hAnsi="Courier New"/>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59">
    <w:name w:val="index 2"/>
    <w:basedOn w:val="1"/>
    <w:next w:val="1"/>
    <w:qFormat/>
    <w:uiPriority w:val="0"/>
    <w:pPr>
      <w:ind w:left="200" w:leftChars="200"/>
    </w:pPr>
    <w:rPr>
      <w:rFonts w:ascii="Times New Roman" w:hAnsi="Times New Roman"/>
      <w:szCs w:val="24"/>
    </w:rPr>
  </w:style>
  <w:style w:type="paragraph" w:styleId="60">
    <w:name w:val="annotation subject"/>
    <w:basedOn w:val="22"/>
    <w:next w:val="22"/>
    <w:link w:val="123"/>
    <w:qFormat/>
    <w:uiPriority w:val="0"/>
    <w:rPr>
      <w:b/>
      <w:bCs/>
    </w:rPr>
  </w:style>
  <w:style w:type="paragraph" w:styleId="61">
    <w:name w:val="Body Text First Indent 2"/>
    <w:basedOn w:val="27"/>
    <w:unhideWhenUsed/>
    <w:qFormat/>
    <w:uiPriority w:val="0"/>
    <w:pPr>
      <w:autoSpaceDE w:val="0"/>
      <w:autoSpaceDN w:val="0"/>
      <w:adjustRightInd w:val="0"/>
      <w:ind w:firstLine="420" w:firstLineChars="200"/>
      <w:jc w:val="left"/>
    </w:pPr>
    <w:rPr>
      <w:sz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Grid 1"/>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Emphasis"/>
    <w:qFormat/>
    <w:uiPriority w:val="20"/>
    <w:rPr>
      <w:i/>
      <w:iCs/>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paragraph" w:customStyle="1" w:styleId="7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4">
    <w:name w:val="PlainText"/>
    <w:basedOn w:val="1"/>
    <w:qFormat/>
    <w:uiPriority w:val="0"/>
    <w:rPr>
      <w:rFonts w:ascii="宋体" w:hAnsi="Courier New"/>
    </w:rPr>
  </w:style>
  <w:style w:type="paragraph" w:customStyle="1" w:styleId="75">
    <w:name w:val="表格文字"/>
    <w:basedOn w:val="1"/>
    <w:next w:val="25"/>
    <w:qFormat/>
    <w:uiPriority w:val="0"/>
    <w:pPr>
      <w:spacing w:before="25" w:after="25"/>
      <w:jc w:val="left"/>
    </w:pPr>
    <w:rPr>
      <w:rFonts w:ascii="Times New Roman" w:hAnsi="Times New Roman"/>
      <w:bCs/>
      <w:spacing w:val="10"/>
      <w:kern w:val="0"/>
      <w:sz w:val="24"/>
      <w:szCs w:val="20"/>
    </w:rPr>
  </w:style>
  <w:style w:type="paragraph" w:customStyle="1" w:styleId="76">
    <w:name w:val="正文文本首行缩进 21"/>
    <w:basedOn w:val="27"/>
    <w:qFormat/>
    <w:uiPriority w:val="0"/>
    <w:pPr>
      <w:tabs>
        <w:tab w:val="left" w:pos="900"/>
      </w:tabs>
      <w:spacing w:after="120" w:line="240" w:lineRule="auto"/>
      <w:ind w:left="420" w:leftChars="200" w:firstLine="420"/>
    </w:pPr>
    <w:rPr>
      <w:rFonts w:cs="宋体"/>
      <w:sz w:val="21"/>
      <w:szCs w:val="21"/>
    </w:rPr>
  </w:style>
  <w:style w:type="character" w:customStyle="1" w:styleId="77">
    <w:name w:val="正文缩进 字符"/>
    <w:link w:val="7"/>
    <w:qFormat/>
    <w:uiPriority w:val="0"/>
    <w:rPr>
      <w:rFonts w:eastAsia="宋体"/>
      <w:lang w:bidi="ar-SA"/>
    </w:rPr>
  </w:style>
  <w:style w:type="character" w:customStyle="1" w:styleId="78">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7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80">
    <w:name w:val="tw4winMark"/>
    <w:qFormat/>
    <w:uiPriority w:val="0"/>
    <w:rPr>
      <w:rFonts w:ascii="Courier New" w:hAnsi="Courier New"/>
      <w:vanish/>
      <w:color w:val="800080"/>
      <w:vertAlign w:val="subscript"/>
    </w:rPr>
  </w:style>
  <w:style w:type="character" w:customStyle="1" w:styleId="81">
    <w:name w:val="标题 3 字符"/>
    <w:link w:val="6"/>
    <w:qFormat/>
    <w:uiPriority w:val="0"/>
    <w:rPr>
      <w:rFonts w:ascii="黑体" w:eastAsia="黑体"/>
      <w:b/>
      <w:color w:val="000000"/>
      <w:sz w:val="28"/>
      <w:lang w:bidi="ar-SA"/>
    </w:rPr>
  </w:style>
  <w:style w:type="character" w:customStyle="1" w:styleId="82">
    <w:name w:val="表格标题 Char"/>
    <w:link w:val="83"/>
    <w:qFormat/>
    <w:uiPriority w:val="0"/>
    <w:rPr>
      <w:rFonts w:eastAsia="宋体"/>
      <w:b/>
      <w:bCs/>
      <w:i/>
      <w:iCs/>
      <w:kern w:val="1"/>
      <w:sz w:val="21"/>
      <w:szCs w:val="24"/>
      <w:lang w:eastAsia="ar-SA" w:bidi="ar-SA"/>
    </w:rPr>
  </w:style>
  <w:style w:type="paragraph" w:customStyle="1" w:styleId="83">
    <w:name w:val="表格标题"/>
    <w:basedOn w:val="84"/>
    <w:link w:val="82"/>
    <w:qFormat/>
    <w:uiPriority w:val="0"/>
    <w:pPr>
      <w:numPr>
        <w:ilvl w:val="0"/>
        <w:numId w:val="5"/>
      </w:numPr>
      <w:jc w:val="center"/>
    </w:pPr>
    <w:rPr>
      <w:b/>
      <w:bCs/>
      <w:i/>
      <w:iCs/>
    </w:rPr>
  </w:style>
  <w:style w:type="paragraph" w:customStyle="1" w:styleId="84">
    <w:name w:val="表格内容"/>
    <w:basedOn w:val="25"/>
    <w:qFormat/>
    <w:uiPriority w:val="0"/>
    <w:pPr>
      <w:suppressLineNumbers/>
      <w:suppressAutoHyphens/>
    </w:pPr>
    <w:rPr>
      <w:rFonts w:ascii="Times New Roman" w:hAnsi="Times New Roman"/>
      <w:kern w:val="1"/>
      <w:szCs w:val="24"/>
      <w:lang w:eastAsia="ar-SA"/>
    </w:rPr>
  </w:style>
  <w:style w:type="character" w:customStyle="1" w:styleId="85">
    <w:name w:val="标题 字符"/>
    <w:link w:val="2"/>
    <w:qFormat/>
    <w:uiPriority w:val="0"/>
    <w:rPr>
      <w:rFonts w:eastAsia="宋体"/>
      <w:b/>
      <w:sz w:val="24"/>
      <w:lang w:val="en-GB" w:bidi="ar-SA"/>
    </w:rPr>
  </w:style>
  <w:style w:type="character" w:customStyle="1" w:styleId="86">
    <w:name w:val="批注文字 字符"/>
    <w:link w:val="22"/>
    <w:qFormat/>
    <w:uiPriority w:val="0"/>
    <w:rPr>
      <w:rFonts w:eastAsia="宋体"/>
      <w:szCs w:val="24"/>
      <w:lang w:bidi="ar-SA"/>
    </w:rPr>
  </w:style>
  <w:style w:type="character" w:customStyle="1" w:styleId="87">
    <w:name w:val="f11"/>
    <w:qFormat/>
    <w:uiPriority w:val="0"/>
    <w:rPr>
      <w:sz w:val="24"/>
      <w:szCs w:val="24"/>
    </w:rPr>
  </w:style>
  <w:style w:type="character" w:customStyle="1" w:styleId="88">
    <w:name w:val="访问过的超链接1"/>
    <w:qFormat/>
    <w:uiPriority w:val="0"/>
    <w:rPr>
      <w:color w:val="800080"/>
      <w:u w:val="single"/>
    </w:rPr>
  </w:style>
  <w:style w:type="character" w:customStyle="1" w:styleId="89">
    <w:name w:val="public 箭头 Char"/>
    <w:link w:val="90"/>
    <w:qFormat/>
    <w:uiPriority w:val="0"/>
    <w:rPr>
      <w:rFonts w:ascii="宋体" w:hAnsi="宋体" w:eastAsia="宋体"/>
      <w:kern w:val="2"/>
      <w:sz w:val="24"/>
      <w:szCs w:val="24"/>
      <w:lang w:bidi="ar-SA"/>
    </w:rPr>
  </w:style>
  <w:style w:type="paragraph" w:customStyle="1" w:styleId="90">
    <w:name w:val="public 箭头"/>
    <w:basedOn w:val="1"/>
    <w:link w:val="89"/>
    <w:qFormat/>
    <w:uiPriority w:val="0"/>
    <w:pPr>
      <w:numPr>
        <w:ilvl w:val="0"/>
        <w:numId w:val="6"/>
      </w:numPr>
      <w:spacing w:beforeLines="50" w:after="50" w:line="360" w:lineRule="auto"/>
    </w:pPr>
    <w:rPr>
      <w:rFonts w:ascii="宋体" w:hAnsi="宋体"/>
      <w:sz w:val="24"/>
      <w:szCs w:val="24"/>
    </w:rPr>
  </w:style>
  <w:style w:type="character" w:customStyle="1" w:styleId="91">
    <w:name w:val="文档结构图 字符"/>
    <w:link w:val="20"/>
    <w:qFormat/>
    <w:uiPriority w:val="0"/>
    <w:rPr>
      <w:rFonts w:eastAsia="宋体"/>
      <w:lang w:bidi="ar-SA"/>
    </w:rPr>
  </w:style>
  <w:style w:type="character" w:customStyle="1" w:styleId="92">
    <w:name w:val="line1"/>
    <w:qFormat/>
    <w:uiPriority w:val="0"/>
    <w:rPr>
      <w:u w:val="none"/>
    </w:rPr>
  </w:style>
  <w:style w:type="character" w:customStyle="1" w:styleId="93">
    <w:name w:val="tw4winInternal"/>
    <w:qFormat/>
    <w:uiPriority w:val="0"/>
    <w:rPr>
      <w:rFonts w:ascii="Courier New" w:hAnsi="Courier New"/>
      <w:color w:val="FF0000"/>
    </w:rPr>
  </w:style>
  <w:style w:type="character" w:customStyle="1" w:styleId="94">
    <w:name w:val="样式 小四"/>
    <w:qFormat/>
    <w:uiPriority w:val="0"/>
    <w:rPr>
      <w:sz w:val="21"/>
    </w:rPr>
  </w:style>
  <w:style w:type="character" w:customStyle="1" w:styleId="95">
    <w:name w:val="tw4winTerm"/>
    <w:qFormat/>
    <w:uiPriority w:val="0"/>
    <w:rPr>
      <w:color w:val="0000FF"/>
    </w:rPr>
  </w:style>
  <w:style w:type="character" w:customStyle="1" w:styleId="96">
    <w:name w:val="纯文本 字符"/>
    <w:link w:val="34"/>
    <w:qFormat/>
    <w:uiPriority w:val="0"/>
    <w:rPr>
      <w:rFonts w:ascii="宋体" w:hAnsi="Courier New" w:eastAsia="宋体"/>
      <w:lang w:val="en-US" w:eastAsia="zh-CN" w:bidi="ar-SA"/>
    </w:rPr>
  </w:style>
  <w:style w:type="character" w:customStyle="1" w:styleId="97">
    <w:name w:val="段落正文 Char"/>
    <w:link w:val="98"/>
    <w:qFormat/>
    <w:uiPriority w:val="0"/>
    <w:rPr>
      <w:rFonts w:eastAsia="宋体"/>
      <w:sz w:val="24"/>
      <w:szCs w:val="24"/>
      <w:lang w:bidi="ar-SA"/>
    </w:rPr>
  </w:style>
  <w:style w:type="paragraph" w:customStyle="1" w:styleId="98">
    <w:name w:val="段落正文"/>
    <w:basedOn w:val="1"/>
    <w:link w:val="97"/>
    <w:qFormat/>
    <w:uiPriority w:val="0"/>
    <w:pPr>
      <w:spacing w:line="360" w:lineRule="auto"/>
      <w:ind w:firstLine="200" w:firstLineChars="200"/>
    </w:pPr>
    <w:rPr>
      <w:rFonts w:ascii="Times New Roman" w:hAnsi="Times New Roman"/>
      <w:kern w:val="0"/>
      <w:sz w:val="24"/>
      <w:szCs w:val="24"/>
    </w:rPr>
  </w:style>
  <w:style w:type="character" w:customStyle="1" w:styleId="99">
    <w:name w:val="ca-2"/>
    <w:basedOn w:val="65"/>
    <w:qFormat/>
    <w:uiPriority w:val="0"/>
  </w:style>
  <w:style w:type="character" w:customStyle="1" w:styleId="100">
    <w:name w:val="标题 9 字符"/>
    <w:link w:val="13"/>
    <w:qFormat/>
    <w:uiPriority w:val="0"/>
    <w:rPr>
      <w:rFonts w:ascii="Arial" w:hAnsi="Arial" w:eastAsia="黑体"/>
      <w:sz w:val="28"/>
      <w:lang w:bidi="ar-SA"/>
    </w:rPr>
  </w:style>
  <w:style w:type="character" w:customStyle="1" w:styleId="101">
    <w:name w:val="ptb181"/>
    <w:qFormat/>
    <w:uiPriority w:val="0"/>
    <w:rPr>
      <w:rFonts w:hint="default" w:ascii="Verdana" w:hAnsi="Verdana"/>
      <w:b/>
      <w:bCs/>
      <w:color w:val="000000"/>
      <w:sz w:val="26"/>
      <w:szCs w:val="26"/>
    </w:rPr>
  </w:style>
  <w:style w:type="character" w:customStyle="1" w:styleId="102">
    <w:name w:val="正文文本首行缩进 字符"/>
    <w:link w:val="103"/>
    <w:qFormat/>
    <w:uiPriority w:val="0"/>
    <w:rPr>
      <w:rFonts w:eastAsia="宋体"/>
      <w:bCs/>
      <w:sz w:val="24"/>
      <w:szCs w:val="24"/>
      <w:lang w:bidi="ar-SA"/>
    </w:rPr>
  </w:style>
  <w:style w:type="paragraph" w:customStyle="1" w:styleId="103">
    <w:name w:val="正文文本首行缩进1"/>
    <w:basedOn w:val="25"/>
    <w:link w:val="102"/>
    <w:qFormat/>
    <w:uiPriority w:val="0"/>
    <w:pPr>
      <w:spacing w:line="360" w:lineRule="auto"/>
      <w:ind w:firstLine="200" w:firstLineChars="200"/>
      <w:jc w:val="left"/>
    </w:pPr>
    <w:rPr>
      <w:rFonts w:ascii="Times New Roman" w:hAnsi="Times New Roman"/>
      <w:bCs/>
      <w:kern w:val="0"/>
      <w:sz w:val="24"/>
      <w:szCs w:val="24"/>
    </w:rPr>
  </w:style>
  <w:style w:type="character" w:customStyle="1" w:styleId="104">
    <w:name w:val="huide001"/>
    <w:qFormat/>
    <w:uiPriority w:val="0"/>
    <w:rPr>
      <w:rFonts w:hint="default" w:ascii="Arial" w:hAnsi="Arial" w:cs="Arial"/>
      <w:color w:val="666666"/>
      <w:sz w:val="18"/>
      <w:szCs w:val="18"/>
    </w:rPr>
  </w:style>
  <w:style w:type="character" w:customStyle="1" w:styleId="105">
    <w:name w:val="宏文本 字符"/>
    <w:link w:val="3"/>
    <w:qFormat/>
    <w:uiPriority w:val="0"/>
    <w:rPr>
      <w:rFonts w:ascii="Courier New" w:hAnsi="Courier New"/>
      <w:sz w:val="24"/>
      <w:szCs w:val="24"/>
      <w:lang w:val="en-US" w:eastAsia="zh-CN" w:bidi="ar-SA"/>
    </w:rPr>
  </w:style>
  <w:style w:type="character" w:customStyle="1" w:styleId="106">
    <w:name w:val="paragraph1 Char"/>
    <w:link w:val="107"/>
    <w:qFormat/>
    <w:uiPriority w:val="0"/>
    <w:rPr>
      <w:rFonts w:eastAsia="楷体_GB2312"/>
      <w:sz w:val="24"/>
      <w:lang w:bidi="ar-SA"/>
    </w:rPr>
  </w:style>
  <w:style w:type="paragraph" w:customStyle="1" w:styleId="107">
    <w:name w:val="paragraph1"/>
    <w:basedOn w:val="1"/>
    <w:link w:val="106"/>
    <w:qFormat/>
    <w:uiPriority w:val="0"/>
    <w:pPr>
      <w:spacing w:afterLines="30" w:line="360" w:lineRule="auto"/>
      <w:ind w:firstLine="420" w:firstLineChars="200"/>
    </w:pPr>
    <w:rPr>
      <w:rFonts w:ascii="Times New Roman" w:hAnsi="Times New Roman" w:eastAsia="楷体_GB2312"/>
      <w:kern w:val="0"/>
      <w:sz w:val="24"/>
      <w:szCs w:val="20"/>
    </w:rPr>
  </w:style>
  <w:style w:type="character" w:customStyle="1" w:styleId="108">
    <w:name w:val="标题 4 字符"/>
    <w:link w:val="8"/>
    <w:qFormat/>
    <w:uiPriority w:val="0"/>
    <w:rPr>
      <w:rFonts w:ascii="Arial" w:hAnsi="Arial" w:eastAsia="黑体"/>
      <w:b/>
      <w:bCs/>
      <w:sz w:val="28"/>
      <w:szCs w:val="28"/>
      <w:lang w:bidi="ar-SA"/>
    </w:rPr>
  </w:style>
  <w:style w:type="character" w:customStyle="1" w:styleId="109">
    <w:name w:val="日期 字符"/>
    <w:link w:val="37"/>
    <w:qFormat/>
    <w:uiPriority w:val="0"/>
    <w:rPr>
      <w:rFonts w:eastAsia="宋体"/>
      <w:sz w:val="28"/>
      <w:lang w:bidi="ar-SA"/>
    </w:rPr>
  </w:style>
  <w:style w:type="character" w:customStyle="1" w:styleId="110">
    <w:name w:val="列表段落 字符"/>
    <w:link w:val="111"/>
    <w:qFormat/>
    <w:locked/>
    <w:uiPriority w:val="0"/>
    <w:rPr>
      <w:rFonts w:eastAsia="宋体"/>
      <w:lang w:bidi="ar-SA"/>
    </w:rPr>
  </w:style>
  <w:style w:type="paragraph" w:customStyle="1" w:styleId="111">
    <w:name w:val="列表段落1"/>
    <w:basedOn w:val="1"/>
    <w:link w:val="110"/>
    <w:qFormat/>
    <w:uiPriority w:val="0"/>
    <w:pPr>
      <w:ind w:firstLine="420" w:firstLineChars="200"/>
    </w:pPr>
    <w:rPr>
      <w:rFonts w:ascii="Times New Roman" w:hAnsi="Times New Roman"/>
      <w:kern w:val="0"/>
      <w:sz w:val="20"/>
      <w:szCs w:val="20"/>
    </w:rPr>
  </w:style>
  <w:style w:type="character" w:customStyle="1" w:styleId="112">
    <w:name w:val="正文文本 2 字符"/>
    <w:link w:val="56"/>
    <w:qFormat/>
    <w:uiPriority w:val="0"/>
    <w:rPr>
      <w:rFonts w:eastAsia="宋体"/>
      <w:color w:val="000000"/>
      <w:szCs w:val="24"/>
      <w:lang w:bidi="ar-SA"/>
    </w:rPr>
  </w:style>
  <w:style w:type="character" w:customStyle="1" w:styleId="113">
    <w:name w:val="脚注文本 字符"/>
    <w:link w:val="48"/>
    <w:qFormat/>
    <w:uiPriority w:val="0"/>
    <w:rPr>
      <w:rFonts w:eastAsia="宋体"/>
      <w:sz w:val="18"/>
      <w:szCs w:val="18"/>
      <w:lang w:bidi="ar-SA"/>
    </w:rPr>
  </w:style>
  <w:style w:type="character" w:customStyle="1" w:styleId="114">
    <w:name w:val="public 箭头加粗 Char"/>
    <w:link w:val="115"/>
    <w:qFormat/>
    <w:uiPriority w:val="0"/>
    <w:rPr>
      <w:rFonts w:ascii="宋体" w:hAnsi="宋体" w:eastAsia="宋体"/>
      <w:b/>
      <w:bCs/>
      <w:sz w:val="24"/>
      <w:szCs w:val="24"/>
      <w:lang w:bidi="ar-SA"/>
    </w:rPr>
  </w:style>
  <w:style w:type="paragraph" w:customStyle="1" w:styleId="115">
    <w:name w:val="public 箭头加粗"/>
    <w:basedOn w:val="1"/>
    <w:link w:val="114"/>
    <w:qFormat/>
    <w:uiPriority w:val="0"/>
    <w:pPr>
      <w:spacing w:beforeLines="50" w:after="50" w:line="360" w:lineRule="auto"/>
    </w:pPr>
    <w:rPr>
      <w:rFonts w:ascii="宋体" w:hAnsi="宋体"/>
      <w:b/>
      <w:bCs/>
      <w:kern w:val="0"/>
      <w:sz w:val="24"/>
      <w:szCs w:val="24"/>
    </w:rPr>
  </w:style>
  <w:style w:type="character" w:customStyle="1" w:styleId="116">
    <w:name w:val="纯文本 Char"/>
    <w:qFormat/>
    <w:uiPriority w:val="0"/>
    <w:rPr>
      <w:rFonts w:ascii="宋体" w:hAnsi="Courier New" w:eastAsia="宋体" w:cs="Courier New"/>
      <w:szCs w:val="21"/>
    </w:rPr>
  </w:style>
  <w:style w:type="character" w:customStyle="1" w:styleId="117">
    <w:name w:val="tw4winPopup"/>
    <w:qFormat/>
    <w:uiPriority w:val="0"/>
    <w:rPr>
      <w:rFonts w:ascii="Courier New" w:hAnsi="Courier New"/>
      <w:color w:val="008000"/>
    </w:rPr>
  </w:style>
  <w:style w:type="character" w:customStyle="1" w:styleId="118">
    <w:name w:val="表正文 Char"/>
    <w:qFormat/>
    <w:uiPriority w:val="0"/>
    <w:rPr>
      <w:rFonts w:eastAsia="宋体"/>
      <w:kern w:val="2"/>
      <w:sz w:val="21"/>
      <w:lang w:val="en-US" w:eastAsia="zh-CN" w:bidi="ar-SA"/>
    </w:rPr>
  </w:style>
  <w:style w:type="character" w:customStyle="1" w:styleId="119">
    <w:name w:val="正文文本缩进 3 字符"/>
    <w:link w:val="50"/>
    <w:qFormat/>
    <w:uiPriority w:val="0"/>
    <w:rPr>
      <w:rFonts w:eastAsia="宋体"/>
      <w:sz w:val="24"/>
      <w:szCs w:val="24"/>
      <w:lang w:bidi="ar-SA"/>
    </w:rPr>
  </w:style>
  <w:style w:type="character" w:customStyle="1" w:styleId="120">
    <w:name w:val="标题 8 字符"/>
    <w:link w:val="12"/>
    <w:qFormat/>
    <w:uiPriority w:val="0"/>
    <w:rPr>
      <w:rFonts w:ascii="Arial" w:hAnsi="Arial" w:eastAsia="黑体"/>
      <w:sz w:val="24"/>
      <w:lang w:bidi="ar-SA"/>
    </w:rPr>
  </w:style>
  <w:style w:type="character" w:customStyle="1" w:styleId="121">
    <w:name w:val="正文文本缩进 2 字符"/>
    <w:link w:val="38"/>
    <w:qFormat/>
    <w:uiPriority w:val="0"/>
    <w:rPr>
      <w:rFonts w:eastAsia="宋体"/>
      <w:lang w:bidi="ar-SA"/>
    </w:rPr>
  </w:style>
  <w:style w:type="character" w:customStyle="1" w:styleId="122">
    <w:name w:val="批注框文本 字符"/>
    <w:link w:val="40"/>
    <w:qFormat/>
    <w:uiPriority w:val="0"/>
    <w:rPr>
      <w:rFonts w:eastAsia="宋体"/>
      <w:sz w:val="18"/>
      <w:szCs w:val="18"/>
      <w:lang w:bidi="ar-SA"/>
    </w:rPr>
  </w:style>
  <w:style w:type="character" w:customStyle="1" w:styleId="123">
    <w:name w:val="批注主题 字符"/>
    <w:link w:val="60"/>
    <w:qFormat/>
    <w:uiPriority w:val="0"/>
    <w:rPr>
      <w:rFonts w:eastAsia="宋体"/>
      <w:b/>
      <w:bCs/>
      <w:szCs w:val="24"/>
      <w:lang w:bidi="ar-SA"/>
    </w:rPr>
  </w:style>
  <w:style w:type="character" w:customStyle="1" w:styleId="124">
    <w:name w:val="tw4winError"/>
    <w:qFormat/>
    <w:uiPriority w:val="0"/>
    <w:rPr>
      <w:rFonts w:ascii="Courier New" w:hAnsi="Courier New"/>
      <w:color w:val="00FF00"/>
      <w:sz w:val="40"/>
    </w:rPr>
  </w:style>
  <w:style w:type="character" w:customStyle="1" w:styleId="125">
    <w:name w:val="标题 2 字符"/>
    <w:link w:val="5"/>
    <w:qFormat/>
    <w:uiPriority w:val="0"/>
    <w:rPr>
      <w:rFonts w:ascii="Arial" w:hAnsi="Arial" w:eastAsia="黑体"/>
      <w:b/>
      <w:bCs/>
      <w:kern w:val="2"/>
      <w:sz w:val="32"/>
      <w:szCs w:val="32"/>
      <w:lang w:bidi="ar-SA"/>
    </w:rPr>
  </w:style>
  <w:style w:type="character" w:customStyle="1" w:styleId="126">
    <w:name w:val="para"/>
    <w:qFormat/>
    <w:uiPriority w:val="0"/>
  </w:style>
  <w:style w:type="character" w:customStyle="1" w:styleId="127">
    <w:name w:val="public正文段落 Char"/>
    <w:link w:val="128"/>
    <w:qFormat/>
    <w:uiPriority w:val="0"/>
    <w:rPr>
      <w:rFonts w:eastAsia="宋体"/>
      <w:sz w:val="24"/>
      <w:szCs w:val="28"/>
      <w:lang w:bidi="ar-SA"/>
    </w:rPr>
  </w:style>
  <w:style w:type="paragraph" w:customStyle="1" w:styleId="128">
    <w:name w:val="public正文段落"/>
    <w:basedOn w:val="1"/>
    <w:link w:val="127"/>
    <w:qFormat/>
    <w:uiPriority w:val="0"/>
    <w:pPr>
      <w:spacing w:line="360" w:lineRule="auto"/>
      <w:ind w:firstLine="480" w:firstLineChars="200"/>
    </w:pPr>
    <w:rPr>
      <w:rFonts w:ascii="Times New Roman" w:hAnsi="Times New Roman"/>
      <w:kern w:val="0"/>
      <w:sz w:val="24"/>
      <w:szCs w:val="28"/>
    </w:rPr>
  </w:style>
  <w:style w:type="character" w:customStyle="1" w:styleId="129">
    <w:name w:val="unnamed11"/>
    <w:qFormat/>
    <w:uiPriority w:val="0"/>
    <w:rPr>
      <w:sz w:val="20"/>
      <w:szCs w:val="20"/>
    </w:rPr>
  </w:style>
  <w:style w:type="character" w:customStyle="1" w:styleId="130">
    <w:name w:val="页脚 字符"/>
    <w:link w:val="41"/>
    <w:qFormat/>
    <w:uiPriority w:val="0"/>
    <w:rPr>
      <w:rFonts w:ascii="Calibri" w:hAnsi="Calibri" w:eastAsia="宋体"/>
      <w:sz w:val="18"/>
      <w:szCs w:val="18"/>
      <w:lang w:bidi="ar-SA"/>
    </w:rPr>
  </w:style>
  <w:style w:type="character" w:customStyle="1" w:styleId="131">
    <w:name w:val="标题 6 字符"/>
    <w:link w:val="10"/>
    <w:qFormat/>
    <w:uiPriority w:val="0"/>
    <w:rPr>
      <w:rFonts w:ascii="Arial" w:hAnsi="Arial" w:eastAsia="黑体"/>
      <w:b/>
      <w:bCs/>
      <w:sz w:val="24"/>
      <w:lang w:bidi="ar-SA"/>
    </w:rPr>
  </w:style>
  <w:style w:type="character" w:customStyle="1" w:styleId="132">
    <w:name w:val="A C"/>
    <w:qFormat/>
    <w:uiPriority w:val="0"/>
    <w:rPr>
      <w:rFonts w:ascii="仿宋_GB2312"/>
      <w:bCs/>
      <w:iCs/>
      <w:sz w:val="24"/>
    </w:rPr>
  </w:style>
  <w:style w:type="character" w:customStyle="1" w:styleId="133">
    <w:name w:val="副标题 字符"/>
    <w:link w:val="47"/>
    <w:qFormat/>
    <w:uiPriority w:val="0"/>
    <w:rPr>
      <w:rFonts w:ascii="宋体" w:eastAsia="宋体"/>
      <w:i/>
      <w:snapToGrid w:val="0"/>
      <w:sz w:val="36"/>
      <w:lang w:val="en-AU" w:bidi="ar-SA"/>
    </w:rPr>
  </w:style>
  <w:style w:type="character" w:customStyle="1" w:styleId="134">
    <w:name w:val="ss9"/>
    <w:qFormat/>
    <w:uiPriority w:val="0"/>
  </w:style>
  <w:style w:type="character" w:customStyle="1" w:styleId="135">
    <w:name w:val="标题 1 Char Char"/>
    <w:qFormat/>
    <w:uiPriority w:val="0"/>
    <w:rPr>
      <w:rFonts w:eastAsia="宋体"/>
      <w:b/>
      <w:spacing w:val="-2"/>
      <w:sz w:val="24"/>
      <w:lang w:val="en-US" w:eastAsia="zh-CN" w:bidi="ar-SA"/>
    </w:rPr>
  </w:style>
  <w:style w:type="character" w:customStyle="1" w:styleId="136">
    <w:name w:val="HTML 预设格式 字符"/>
    <w:link w:val="57"/>
    <w:qFormat/>
    <w:uiPriority w:val="0"/>
    <w:rPr>
      <w:rFonts w:ascii="Courier New" w:hAnsi="Courier New" w:eastAsia="宋体"/>
      <w:lang w:bidi="ar-SA"/>
    </w:rPr>
  </w:style>
  <w:style w:type="character" w:customStyle="1" w:styleId="137">
    <w:name w:val="标题 7 字符"/>
    <w:link w:val="11"/>
    <w:qFormat/>
    <w:uiPriority w:val="0"/>
    <w:rPr>
      <w:rFonts w:ascii="宋体" w:eastAsia="仿宋_GB2312"/>
      <w:b/>
      <w:sz w:val="24"/>
      <w:lang w:bidi="ar-SA"/>
    </w:rPr>
  </w:style>
  <w:style w:type="character" w:customStyle="1" w:styleId="138">
    <w:name w:val="页眉 字符"/>
    <w:link w:val="42"/>
    <w:qFormat/>
    <w:uiPriority w:val="0"/>
    <w:rPr>
      <w:rFonts w:ascii="Calibri" w:hAnsi="Calibri" w:eastAsia="宋体"/>
      <w:sz w:val="18"/>
      <w:szCs w:val="18"/>
      <w:lang w:bidi="ar-SA"/>
    </w:rPr>
  </w:style>
  <w:style w:type="character" w:customStyle="1" w:styleId="139">
    <w:name w:val="tw4winExternal"/>
    <w:qFormat/>
    <w:uiPriority w:val="0"/>
    <w:rPr>
      <w:rFonts w:ascii="Courier New" w:hAnsi="Courier New"/>
      <w:color w:val="808080"/>
    </w:rPr>
  </w:style>
  <w:style w:type="character" w:customStyle="1" w:styleId="140">
    <w:name w:val="point_normal1"/>
    <w:qFormat/>
    <w:uiPriority w:val="0"/>
    <w:rPr>
      <w:rFonts w:hint="default" w:ascii="Arial" w:hAnsi="Arial" w:cs="Arial"/>
      <w:sz w:val="18"/>
      <w:szCs w:val="18"/>
    </w:rPr>
  </w:style>
  <w:style w:type="character" w:customStyle="1" w:styleId="141">
    <w:name w:val="标题 1 字符"/>
    <w:link w:val="4"/>
    <w:qFormat/>
    <w:uiPriority w:val="0"/>
    <w:rPr>
      <w:rFonts w:ascii="宋体" w:hAnsi="Arial" w:eastAsia="黑体"/>
      <w:b/>
      <w:color w:val="000000"/>
      <w:kern w:val="44"/>
      <w:sz w:val="36"/>
      <w:lang w:bidi="ar-SA"/>
    </w:rPr>
  </w:style>
  <w:style w:type="character" w:customStyle="1" w:styleId="142">
    <w:name w:val="正文文本 3 字符"/>
    <w:link w:val="24"/>
    <w:qFormat/>
    <w:uiPriority w:val="0"/>
    <w:rPr>
      <w:rFonts w:ascii="宋体" w:hAnsi="宋体" w:eastAsia="宋体"/>
      <w:sz w:val="36"/>
      <w:szCs w:val="24"/>
      <w:lang w:bidi="ar-SA"/>
    </w:rPr>
  </w:style>
  <w:style w:type="character" w:customStyle="1" w:styleId="143">
    <w:name w:val="正文文本 字符"/>
    <w:link w:val="25"/>
    <w:semiHidden/>
    <w:qFormat/>
    <w:uiPriority w:val="0"/>
    <w:rPr>
      <w:rFonts w:ascii="Calibri" w:hAnsi="Calibri" w:eastAsia="宋体"/>
      <w:kern w:val="2"/>
      <w:sz w:val="21"/>
      <w:szCs w:val="22"/>
      <w:lang w:val="en-US" w:eastAsia="zh-CN" w:bidi="ar-SA"/>
    </w:rPr>
  </w:style>
  <w:style w:type="character" w:customStyle="1" w:styleId="144">
    <w:name w:val="tw4winJump"/>
    <w:qFormat/>
    <w:uiPriority w:val="0"/>
    <w:rPr>
      <w:rFonts w:ascii="Courier New" w:hAnsi="Courier New"/>
      <w:color w:val="008080"/>
    </w:rPr>
  </w:style>
  <w:style w:type="character" w:customStyle="1" w:styleId="145">
    <w:name w:val="标题 5 字符"/>
    <w:link w:val="9"/>
    <w:qFormat/>
    <w:uiPriority w:val="0"/>
    <w:rPr>
      <w:rFonts w:eastAsia="宋体"/>
      <w:b/>
      <w:bCs/>
      <w:sz w:val="28"/>
      <w:szCs w:val="28"/>
      <w:lang w:bidi="ar-SA"/>
    </w:rPr>
  </w:style>
  <w:style w:type="character" w:customStyle="1" w:styleId="146">
    <w:name w:val="spelle"/>
    <w:qFormat/>
    <w:uiPriority w:val="0"/>
  </w:style>
  <w:style w:type="character" w:customStyle="1" w:styleId="147">
    <w:name w:val="尾注文本 字符"/>
    <w:link w:val="39"/>
    <w:qFormat/>
    <w:uiPriority w:val="0"/>
    <w:rPr>
      <w:rFonts w:ascii="宋体" w:eastAsia="宋体"/>
      <w:snapToGrid w:val="0"/>
      <w:lang w:bidi="ar-SA"/>
    </w:rPr>
  </w:style>
  <w:style w:type="character" w:customStyle="1" w:styleId="148">
    <w:name w:val="正文文本缩进 字符"/>
    <w:link w:val="27"/>
    <w:qFormat/>
    <w:uiPriority w:val="0"/>
    <w:rPr>
      <w:rFonts w:eastAsia="宋体"/>
      <w:sz w:val="28"/>
      <w:lang w:bidi="ar-SA"/>
    </w:rPr>
  </w:style>
  <w:style w:type="character" w:customStyle="1" w:styleId="149">
    <w:name w:val="bulletintext1"/>
    <w:qFormat/>
    <w:uiPriority w:val="0"/>
    <w:rPr>
      <w:color w:val="000000"/>
      <w:sz w:val="18"/>
      <w:szCs w:val="18"/>
    </w:rPr>
  </w:style>
  <w:style w:type="character" w:customStyle="1" w:styleId="150">
    <w:name w:val="large1"/>
    <w:qFormat/>
    <w:uiPriority w:val="0"/>
    <w:rPr>
      <w:rFonts w:hint="eastAsia" w:ascii="宋体" w:hAnsi="宋体" w:eastAsia="宋体"/>
      <w:sz w:val="21"/>
      <w:szCs w:val="21"/>
    </w:rPr>
  </w:style>
  <w:style w:type="paragraph" w:customStyle="1" w:styleId="151">
    <w:name w:val="public 4级"/>
    <w:basedOn w:val="8"/>
    <w:qFormat/>
    <w:uiPriority w:val="0"/>
    <w:pPr>
      <w:tabs>
        <w:tab w:val="left" w:pos="2100"/>
      </w:tabs>
      <w:ind w:left="2100" w:hanging="420"/>
    </w:pPr>
    <w:rPr>
      <w:sz w:val="24"/>
      <w:szCs w:val="24"/>
    </w:rPr>
  </w:style>
  <w:style w:type="paragraph" w:customStyle="1" w:styleId="152">
    <w:name w:val="ÕýÎÄ 1"/>
    <w:basedOn w:val="1"/>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153">
    <w:name w:val="!标题1 Ctrl+1"/>
    <w:basedOn w:val="4"/>
    <w:next w:val="1"/>
    <w:qFormat/>
    <w:uiPriority w:val="0"/>
    <w:pPr>
      <w:keepNext w:val="0"/>
      <w:keepLines w:val="0"/>
      <w:pageBreakBefore/>
      <w:numPr>
        <w:ilvl w:val="0"/>
        <w:numId w:val="7"/>
      </w:numPr>
      <w:tabs>
        <w:tab w:val="left" w:pos="360"/>
        <w:tab w:val="left" w:pos="1800"/>
        <w:tab w:val="clear" w:pos="425"/>
      </w:tabs>
      <w:autoSpaceDE/>
      <w:autoSpaceDN/>
      <w:snapToGrid w:val="0"/>
      <w:spacing w:beforeLines="100" w:afterLines="100" w:line="240" w:lineRule="auto"/>
      <w:ind w:left="0" w:firstLine="0"/>
      <w:jc w:val="center"/>
      <w:textAlignment w:val="auto"/>
    </w:pPr>
    <w:rPr>
      <w:rFonts w:ascii="Arial"/>
      <w:bCs/>
      <w:color w:val="auto"/>
      <w:kern w:val="2"/>
      <w:sz w:val="44"/>
      <w:szCs w:val="44"/>
    </w:rPr>
  </w:style>
  <w:style w:type="paragraph" w:customStyle="1" w:styleId="154">
    <w:name w:val="样式 标题 3Chapter X.X.X"/>
    <w:basedOn w:val="155"/>
    <w:qFormat/>
    <w:uiPriority w:val="0"/>
    <w:pPr>
      <w:spacing w:after="120"/>
    </w:pPr>
  </w:style>
  <w:style w:type="paragraph" w:customStyle="1" w:styleId="155">
    <w:name w:val="标题 3Chapter X.X.X. + 段后: 0.5 行 + 段后: 0.5 行 + 段后: 0.5 行1"/>
    <w:basedOn w:val="156"/>
    <w:qFormat/>
    <w:uiPriority w:val="0"/>
  </w:style>
  <w:style w:type="paragraph" w:customStyle="1" w:styleId="156">
    <w:name w:val="样式 样式 标题 3Chapter X.X.X. + 段后: 0.5 行 + 段后: 0.5 行"/>
    <w:basedOn w:val="157"/>
    <w:qFormat/>
    <w:uiPriority w:val="0"/>
  </w:style>
  <w:style w:type="paragraph" w:customStyle="1" w:styleId="157">
    <w:name w:val="样式 标题 3Chapter X.X.X. + 段后: 0.5 行"/>
    <w:basedOn w:val="6"/>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58">
    <w:name w:val="标准标题3"/>
    <w:basedOn w:val="6"/>
    <w:qFormat/>
    <w:uiPriority w:val="0"/>
    <w:pPr>
      <w:keepNext/>
      <w:keepLines/>
      <w:numPr>
        <w:ilvl w:val="0"/>
        <w:numId w:val="8"/>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6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6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6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64">
    <w:name w:val="金保文档标准正文 Char"/>
    <w:basedOn w:val="1"/>
    <w:qFormat/>
    <w:uiPriority w:val="0"/>
    <w:pPr>
      <w:spacing w:before="120" w:after="120" w:line="360" w:lineRule="auto"/>
    </w:pPr>
    <w:rPr>
      <w:rFonts w:ascii="仿宋_GB2312" w:hAnsi="宋体" w:eastAsia="仿宋_GB2312"/>
      <w:bCs/>
      <w:color w:val="000000"/>
      <w:kern w:val="0"/>
      <w:sz w:val="28"/>
      <w:szCs w:val="28"/>
    </w:rPr>
  </w:style>
  <w:style w:type="paragraph" w:customStyle="1" w:styleId="165">
    <w:name w:val="p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S4-I-L15-U"/>
    <w:basedOn w:val="1"/>
    <w:qFormat/>
    <w:uiPriority w:val="0"/>
    <w:pPr>
      <w:spacing w:line="360" w:lineRule="auto"/>
    </w:pPr>
    <w:rPr>
      <w:rFonts w:ascii="Times New Roman" w:hAnsi="Times New Roman"/>
      <w:b/>
      <w:i/>
      <w:sz w:val="24"/>
      <w:szCs w:val="24"/>
      <w:u w:val="single"/>
    </w:rPr>
  </w:style>
  <w:style w:type="paragraph" w:customStyle="1" w:styleId="167">
    <w:name w:val="样式 标题 1 + 五号"/>
    <w:basedOn w:val="4"/>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Tabletext"/>
    <w:basedOn w:val="1"/>
    <w:qFormat/>
    <w:uiPriority w:val="0"/>
    <w:pPr>
      <w:keepLines/>
      <w:spacing w:afterLines="50"/>
      <w:jc w:val="left"/>
    </w:pPr>
    <w:rPr>
      <w:rFonts w:ascii="宋体" w:hAnsi="Times New Roman"/>
      <w:snapToGrid w:val="0"/>
      <w:kern w:val="0"/>
      <w:szCs w:val="20"/>
    </w:rPr>
  </w:style>
  <w:style w:type="paragraph" w:customStyle="1" w:styleId="171">
    <w:name w:val="Table - Col. Head"/>
    <w:basedOn w:val="1"/>
    <w:qFormat/>
    <w:uiPriority w:val="0"/>
    <w:pPr>
      <w:keepNext/>
      <w:widowControl/>
      <w:numPr>
        <w:ilvl w:val="0"/>
        <w:numId w:val="9"/>
      </w:numPr>
      <w:tabs>
        <w:tab w:val="clear" w:pos="360"/>
      </w:tabs>
      <w:spacing w:before="60" w:afterLines="50"/>
      <w:ind w:left="0" w:firstLine="0"/>
      <w:jc w:val="left"/>
    </w:pPr>
    <w:rPr>
      <w:rFonts w:ascii="Arial" w:hAnsi="Arial"/>
      <w:b/>
      <w:kern w:val="0"/>
      <w:sz w:val="18"/>
      <w:szCs w:val="20"/>
      <w:lang w:eastAsia="en-US"/>
    </w:rPr>
  </w:style>
  <w:style w:type="paragraph" w:customStyle="1" w:styleId="172">
    <w:name w:val="表格正文"/>
    <w:basedOn w:val="1"/>
    <w:qFormat/>
    <w:uiPriority w:val="0"/>
    <w:pPr>
      <w:spacing w:line="360" w:lineRule="auto"/>
      <w:jc w:val="center"/>
    </w:pPr>
    <w:rPr>
      <w:rFonts w:ascii="仿宋_GB2312" w:hAnsi="宋体" w:eastAsia="仿宋_GB2312" w:cs="宋体"/>
      <w:color w:val="000000"/>
      <w:kern w:val="0"/>
      <w:sz w:val="24"/>
      <w:szCs w:val="20"/>
    </w:rPr>
  </w:style>
  <w:style w:type="paragraph" w:customStyle="1" w:styleId="173">
    <w:name w:val="!标题4 Ctrl+4"/>
    <w:basedOn w:val="1"/>
    <w:next w:val="1"/>
    <w:qFormat/>
    <w:uiPriority w:val="0"/>
    <w:pPr>
      <w:numPr>
        <w:ilvl w:val="3"/>
        <w:numId w:val="7"/>
      </w:numPr>
      <w:adjustRightInd w:val="0"/>
      <w:snapToGrid w:val="0"/>
      <w:spacing w:beforeLines="50" w:afterLines="50"/>
      <w:outlineLvl w:val="3"/>
    </w:pPr>
    <w:rPr>
      <w:rFonts w:ascii="Arial" w:hAnsi="Arial" w:eastAsia="黑体"/>
      <w:b/>
      <w:sz w:val="30"/>
      <w:szCs w:val="30"/>
    </w:rPr>
  </w:style>
  <w:style w:type="paragraph" w:customStyle="1" w:styleId="174">
    <w:name w:val="样式 标题 3"/>
    <w:basedOn w:val="6"/>
    <w:next w:val="175"/>
    <w:qFormat/>
    <w:uiPriority w:val="0"/>
    <w:pPr>
      <w:keepNext/>
      <w:numPr>
        <w:ilvl w:val="2"/>
        <w:numId w:val="10"/>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5">
    <w:name w:val="最新标题4"/>
    <w:basedOn w:val="176"/>
    <w:next w:val="1"/>
    <w:qFormat/>
    <w:uiPriority w:val="0"/>
    <w:pPr>
      <w:numPr>
        <w:ilvl w:val="1"/>
        <w:numId w:val="10"/>
      </w:numPr>
      <w:tabs>
        <w:tab w:val="left" w:pos="2100"/>
      </w:tabs>
      <w:spacing w:after="120"/>
      <w:ind w:left="0" w:firstLine="0"/>
    </w:pPr>
  </w:style>
  <w:style w:type="paragraph" w:customStyle="1" w:styleId="176">
    <w:name w:val="样式 标题 4"/>
    <w:basedOn w:val="177"/>
    <w:next w:val="179"/>
    <w:qFormat/>
    <w:uiPriority w:val="0"/>
    <w:pPr>
      <w:numPr>
        <w:ilvl w:val="3"/>
        <w:numId w:val="11"/>
      </w:numPr>
      <w:spacing w:after="50"/>
    </w:pPr>
  </w:style>
  <w:style w:type="paragraph" w:customStyle="1" w:styleId="177">
    <w:name w:val="样式 标题 4Chapter X.X.X.X. + 段后: 0.5 行1"/>
    <w:basedOn w:val="178"/>
    <w:qFormat/>
    <w:uiPriority w:val="0"/>
    <w:pPr>
      <w:spacing w:after="120"/>
    </w:pPr>
  </w:style>
  <w:style w:type="paragraph" w:customStyle="1" w:styleId="178">
    <w:name w:val="样式 标题 4 + 段后: 0.5 行"/>
    <w:basedOn w:val="8"/>
    <w:qFormat/>
    <w:uiPriority w:val="0"/>
    <w:pPr>
      <w:keepLines w:val="0"/>
      <w:spacing w:before="120" w:afterLines="50" w:line="240" w:lineRule="auto"/>
      <w:jc w:val="left"/>
    </w:pPr>
    <w:rPr>
      <w:rFonts w:ascii="宋体" w:hAnsi="Times New Roman" w:eastAsia="宋体" w:cs="宋体"/>
      <w:snapToGrid w:val="0"/>
      <w:sz w:val="21"/>
      <w:szCs w:val="20"/>
    </w:rPr>
  </w:style>
  <w:style w:type="paragraph" w:customStyle="1" w:styleId="179">
    <w:name w:val="样式 正文"/>
    <w:basedOn w:val="1"/>
    <w:next w:val="1"/>
    <w:qFormat/>
    <w:uiPriority w:val="0"/>
    <w:pPr>
      <w:spacing w:afterLines="50"/>
      <w:jc w:val="left"/>
    </w:pPr>
    <w:rPr>
      <w:rFonts w:ascii="宋体" w:hAnsi="Times New Roman" w:cs="宋体"/>
      <w:snapToGrid w:val="0"/>
      <w:kern w:val="0"/>
      <w:szCs w:val="20"/>
    </w:rPr>
  </w:style>
  <w:style w:type="paragraph" w:customStyle="1" w:styleId="180">
    <w:name w:val="Paragraph4"/>
    <w:basedOn w:val="1"/>
    <w:qFormat/>
    <w:uiPriority w:val="0"/>
    <w:pPr>
      <w:spacing w:before="80" w:afterLines="50"/>
      <w:ind w:left="2250"/>
    </w:pPr>
    <w:rPr>
      <w:rFonts w:ascii="宋体" w:hAnsi="Times New Roman"/>
      <w:snapToGrid w:val="0"/>
      <w:kern w:val="0"/>
      <w:szCs w:val="20"/>
    </w:rPr>
  </w:style>
  <w:style w:type="paragraph" w:customStyle="1" w:styleId="181">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183">
    <w:name w:val="标准标题1"/>
    <w:basedOn w:val="4"/>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84">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185">
    <w:name w:val="样式 标题 1 + 五号1 Char Char Char Char Char Char Char Char Char Char Char Char Char Char Char Char Char"/>
    <w:basedOn w:val="4"/>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86">
    <w:name w:val="public 5级斜体"/>
    <w:basedOn w:val="187"/>
    <w:qFormat/>
    <w:uiPriority w:val="0"/>
    <w:pPr>
      <w:numPr>
        <w:ilvl w:val="0"/>
        <w:numId w:val="0"/>
      </w:numPr>
      <w:tabs>
        <w:tab w:val="left" w:pos="2520"/>
      </w:tabs>
    </w:pPr>
    <w:rPr>
      <w:i/>
    </w:rPr>
  </w:style>
  <w:style w:type="paragraph" w:customStyle="1" w:styleId="187">
    <w:name w:val="public 5级"/>
    <w:basedOn w:val="9"/>
    <w:qFormat/>
    <w:uiPriority w:val="0"/>
    <w:pPr>
      <w:numPr>
        <w:ilvl w:val="4"/>
        <w:numId w:val="11"/>
      </w:numPr>
    </w:pPr>
    <w:rPr>
      <w:rFonts w:ascii="黑体" w:hAnsi="黑体" w:eastAsia="黑体"/>
      <w:sz w:val="24"/>
      <w:szCs w:val="24"/>
    </w:rPr>
  </w:style>
  <w:style w:type="paragraph" w:customStyle="1" w:styleId="188">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9">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90">
    <w:name w:val="正文1"/>
    <w:basedOn w:val="1"/>
    <w:qFormat/>
    <w:uiPriority w:val="0"/>
    <w:rPr>
      <w:rFonts w:ascii="Times New Roman" w:hAnsi="Times New Roman"/>
      <w:sz w:val="24"/>
      <w:szCs w:val="20"/>
    </w:rPr>
  </w:style>
  <w:style w:type="paragraph" w:customStyle="1" w:styleId="191">
    <w:name w:val="样式 标题 3(A-3)sect1.2.3h3H3level_3PIM 3Level 3 HeadHeading..."/>
    <w:basedOn w:val="6"/>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192">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3">
    <w:name w:val="Figure Description"/>
    <w:next w:val="1"/>
    <w:qFormat/>
    <w:uiPriority w:val="0"/>
    <w:pPr>
      <w:numPr>
        <w:ilvl w:val="4"/>
        <w:numId w:val="12"/>
      </w:numPr>
      <w:snapToGrid w:val="0"/>
      <w:spacing w:before="80" w:after="320"/>
      <w:jc w:val="center"/>
    </w:pPr>
    <w:rPr>
      <w:rFonts w:ascii="Arial" w:hAnsi="Arial" w:eastAsia="黑体" w:cs="Times New Roman"/>
      <w:sz w:val="18"/>
      <w:lang w:val="en-US" w:eastAsia="en-US" w:bidi="ar-SA"/>
    </w:rPr>
  </w:style>
  <w:style w:type="paragraph" w:customStyle="1" w:styleId="194">
    <w:name w:val="样式 样式 正文文本缩进 + 仿宋_GB2312 小四 首行缩进:  0 厘米 行距: 1.5 倍行距 + (中文) 仿宋_GB... Char Char"/>
    <w:basedOn w:val="195"/>
    <w:qFormat/>
    <w:uiPriority w:val="0"/>
    <w:pPr>
      <w:ind w:firstLine="480" w:firstLineChars="200"/>
    </w:pPr>
  </w:style>
  <w:style w:type="paragraph" w:customStyle="1" w:styleId="195">
    <w:name w:val="样式 正文文本缩进 + 仿宋_GB2312 小四 首行缩进:  0 厘米 行距: 1.5 倍行距"/>
    <w:basedOn w:val="27"/>
    <w:qFormat/>
    <w:uiPriority w:val="0"/>
    <w:pPr>
      <w:spacing w:line="360" w:lineRule="auto"/>
      <w:ind w:firstLine="0"/>
    </w:pPr>
    <w:rPr>
      <w:rFonts w:ascii="仿宋_GB2312" w:eastAsia="新宋体"/>
      <w:sz w:val="24"/>
    </w:rPr>
  </w:style>
  <w:style w:type="paragraph" w:customStyle="1" w:styleId="19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7">
    <w:name w:val="Char Char Char Char"/>
    <w:basedOn w:val="1"/>
    <w:qFormat/>
    <w:uiPriority w:val="0"/>
    <w:pPr>
      <w:tabs>
        <w:tab w:val="left" w:pos="851"/>
      </w:tabs>
      <w:ind w:left="851" w:hanging="851"/>
    </w:pPr>
    <w:rPr>
      <w:rFonts w:ascii="Times New Roman" w:hAnsi="Times New Roman"/>
      <w:sz w:val="24"/>
      <w:szCs w:val="24"/>
    </w:rPr>
  </w:style>
  <w:style w:type="paragraph" w:customStyle="1" w:styleId="198">
    <w:name w:val="此正文"/>
    <w:basedOn w:val="1"/>
    <w:qFormat/>
    <w:uiPriority w:val="0"/>
    <w:pPr>
      <w:spacing w:line="360" w:lineRule="auto"/>
      <w:ind w:firstLine="200" w:firstLineChars="200"/>
    </w:pPr>
    <w:rPr>
      <w:rFonts w:ascii="Times New Roman" w:hAnsi="Times New Roman"/>
      <w:sz w:val="24"/>
      <w:szCs w:val="20"/>
    </w:rPr>
  </w:style>
  <w:style w:type="paragraph" w:customStyle="1" w:styleId="199">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200">
    <w:name w:val="最新标题3"/>
    <w:basedOn w:val="174"/>
    <w:next w:val="175"/>
    <w:qFormat/>
    <w:uiPriority w:val="0"/>
    <w:pPr>
      <w:spacing w:after="120"/>
    </w:pPr>
  </w:style>
  <w:style w:type="paragraph" w:customStyle="1" w:styleId="201">
    <w:name w:val="样式10"/>
    <w:basedOn w:val="6"/>
    <w:qFormat/>
    <w:uiPriority w:val="0"/>
    <w:pPr>
      <w:keepNext/>
      <w:keepLines/>
      <w:widowControl/>
      <w:autoSpaceDE/>
      <w:autoSpaceDN/>
      <w:adjustRightInd/>
      <w:spacing w:beforeLines="50" w:afterLines="50" w:line="360" w:lineRule="auto"/>
      <w:jc w:val="left"/>
      <w:textAlignment w:val="auto"/>
    </w:pPr>
    <w:rPr>
      <w:rFonts w:ascii="Times New Roman" w:eastAsia="仿宋_GB2312"/>
      <w:bCs/>
      <w:color w:val="auto"/>
      <w:kern w:val="2"/>
      <w:sz w:val="32"/>
      <w:szCs w:val="36"/>
    </w:rPr>
  </w:style>
  <w:style w:type="paragraph" w:customStyle="1" w:styleId="202">
    <w:name w:val="样式 标题 2"/>
    <w:basedOn w:val="5"/>
    <w:next w:val="200"/>
    <w:qFormat/>
    <w:uiPriority w:val="0"/>
    <w:pPr>
      <w:keepLines w:val="0"/>
      <w:numPr>
        <w:ilvl w:val="3"/>
        <w:numId w:val="10"/>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03">
    <w:name w:val="样式 样式 标题 4 + 段后: 0.5 行1"/>
    <w:basedOn w:val="178"/>
    <w:next w:val="39"/>
    <w:qFormat/>
    <w:uiPriority w:val="0"/>
    <w:pPr>
      <w:spacing w:after="120"/>
    </w:pPr>
  </w:style>
  <w:style w:type="paragraph" w:customStyle="1" w:styleId="20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5">
    <w:name w:val="列出段落1"/>
    <w:basedOn w:val="1"/>
    <w:qFormat/>
    <w:uiPriority w:val="0"/>
    <w:pPr>
      <w:ind w:firstLine="420" w:firstLineChars="200"/>
    </w:pPr>
    <w:rPr>
      <w:rFonts w:ascii="Times New Roman" w:hAnsi="Times New Roman"/>
      <w:szCs w:val="21"/>
    </w:rPr>
  </w:style>
  <w:style w:type="paragraph" w:customStyle="1" w:styleId="206">
    <w:name w:val="InfoBlue"/>
    <w:basedOn w:val="1"/>
    <w:next w:val="25"/>
    <w:qFormat/>
    <w:uiPriority w:val="0"/>
    <w:pPr>
      <w:spacing w:afterLines="50"/>
      <w:ind w:left="720"/>
      <w:jc w:val="left"/>
    </w:pPr>
    <w:rPr>
      <w:rFonts w:ascii="宋体" w:hAnsi="Times New Roman"/>
      <w:i/>
      <w:snapToGrid w:val="0"/>
      <w:color w:val="0000FF"/>
      <w:kern w:val="0"/>
      <w:szCs w:val="20"/>
    </w:rPr>
  </w:style>
  <w:style w:type="paragraph" w:customStyle="1" w:styleId="207">
    <w:name w:val="S4-L15-No"/>
    <w:basedOn w:val="208"/>
    <w:qFormat/>
    <w:uiPriority w:val="0"/>
    <w:pPr>
      <w:numPr>
        <w:ilvl w:val="0"/>
        <w:numId w:val="13"/>
      </w:numPr>
    </w:pPr>
  </w:style>
  <w:style w:type="paragraph" w:customStyle="1" w:styleId="208">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209">
    <w:name w:val="Style-正文"/>
    <w:basedOn w:val="1"/>
    <w:qFormat/>
    <w:uiPriority w:val="0"/>
    <w:pPr>
      <w:spacing w:line="360" w:lineRule="auto"/>
      <w:ind w:firstLine="420"/>
    </w:pPr>
    <w:rPr>
      <w:rFonts w:ascii="宋体" w:hAnsi="宋体"/>
      <w:sz w:val="24"/>
      <w:szCs w:val="24"/>
    </w:rPr>
  </w:style>
  <w:style w:type="paragraph" w:customStyle="1" w:styleId="210">
    <w:name w:val="样式3"/>
    <w:basedOn w:val="12"/>
    <w:next w:val="1"/>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11">
    <w:name w:val="样式 标题 2Chapter X.X. Statementh22Header 2l2Level 2 Headhea...1"/>
    <w:basedOn w:val="6"/>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12">
    <w:name w:val="Body"/>
    <w:basedOn w:val="1"/>
    <w:qFormat/>
    <w:uiPriority w:val="0"/>
    <w:pPr>
      <w:widowControl/>
      <w:spacing w:before="120" w:afterLines="50"/>
    </w:pPr>
    <w:rPr>
      <w:rFonts w:ascii="宋体" w:hAnsi="Times New Roman"/>
      <w:snapToGrid w:val="0"/>
      <w:kern w:val="0"/>
      <w:szCs w:val="20"/>
    </w:rPr>
  </w:style>
  <w:style w:type="paragraph" w:customStyle="1" w:styleId="213">
    <w:name w:val="方案正文样式"/>
    <w:basedOn w:val="7"/>
    <w:qFormat/>
    <w:uiPriority w:val="0"/>
    <w:pPr>
      <w:adjustRightInd w:val="0"/>
      <w:spacing w:before="120" w:after="120"/>
      <w:ind w:left="600" w:firstLine="200"/>
      <w:textAlignment w:val="baseline"/>
    </w:pPr>
    <w:rPr>
      <w:rFonts w:ascii="宋体" w:hAnsi="宋体"/>
      <w:color w:val="000000"/>
      <w:spacing w:val="4"/>
    </w:rPr>
  </w:style>
  <w:style w:type="paragraph" w:customStyle="1" w:styleId="214">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15">
    <w:name w:val="表内文字"/>
    <w:basedOn w:val="1"/>
    <w:qFormat/>
    <w:uiPriority w:val="0"/>
    <w:pPr>
      <w:tabs>
        <w:tab w:val="left" w:pos="1418"/>
      </w:tabs>
      <w:spacing w:beforeLines="50" w:afterLines="50" w:line="400" w:lineRule="exact"/>
      <w:jc w:val="center"/>
    </w:pPr>
    <w:rPr>
      <w:rFonts w:ascii="宋体" w:hAnsi="宋体"/>
      <w:spacing w:val="-20"/>
      <w:kern w:val="0"/>
      <w:szCs w:val="21"/>
    </w:rPr>
  </w:style>
  <w:style w:type="paragraph" w:customStyle="1" w:styleId="216">
    <w:name w:val="TOC 标题1"/>
    <w:basedOn w:val="4"/>
    <w:next w:val="1"/>
    <w:qFormat/>
    <w:uiPriority w:val="0"/>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17">
    <w:name w:val="样式　标题4"/>
    <w:basedOn w:val="218"/>
    <w:next w:val="1"/>
    <w:qFormat/>
    <w:uiPriority w:val="0"/>
    <w:pPr>
      <w:numPr>
        <w:ilvl w:val="3"/>
        <w:numId w:val="2"/>
      </w:numPr>
    </w:pPr>
  </w:style>
  <w:style w:type="paragraph" w:customStyle="1" w:styleId="218">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sz w:val="21"/>
      <w:szCs w:val="20"/>
    </w:rPr>
  </w:style>
  <w:style w:type="paragraph" w:customStyle="1" w:styleId="219">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20">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2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222">
    <w:name w:val="public 2级"/>
    <w:basedOn w:val="5"/>
    <w:qFormat/>
    <w:uiPriority w:val="0"/>
    <w:pPr>
      <w:numPr>
        <w:numId w:val="11"/>
      </w:numPr>
      <w:tabs>
        <w:tab w:val="left" w:pos="1140"/>
        <w:tab w:val="left" w:pos="1260"/>
      </w:tabs>
      <w:jc w:val="center"/>
    </w:pPr>
    <w:rPr>
      <w:rFonts w:ascii="黑体" w:hAnsi="黑体"/>
    </w:rPr>
  </w:style>
  <w:style w:type="paragraph" w:customStyle="1" w:styleId="223">
    <w:name w:val="!标题3 Ctrl+3"/>
    <w:basedOn w:val="6"/>
    <w:next w:val="1"/>
    <w:qFormat/>
    <w:uiPriority w:val="0"/>
    <w:pPr>
      <w:numPr>
        <w:ilvl w:val="2"/>
        <w:numId w:val="7"/>
      </w:numPr>
      <w:tabs>
        <w:tab w:val="left" w:pos="0"/>
        <w:tab w:val="left" w:pos="360"/>
        <w:tab w:val="left" w:pos="425"/>
        <w:tab w:val="clear" w:pos="709"/>
        <w:tab w:val="clear" w:pos="1249"/>
      </w:tabs>
      <w:autoSpaceDE/>
      <w:autoSpaceDN/>
      <w:snapToGrid w:val="0"/>
      <w:spacing w:beforeLines="75" w:afterLines="25" w:line="360" w:lineRule="auto"/>
      <w:ind w:left="0" w:firstLine="0"/>
      <w:textAlignment w:val="auto"/>
    </w:pPr>
    <w:rPr>
      <w:rFonts w:ascii="Arial" w:hAnsi="Arial"/>
      <w:color w:val="auto"/>
      <w:kern w:val="2"/>
      <w:sz w:val="32"/>
      <w:szCs w:val="32"/>
    </w:rPr>
  </w:style>
  <w:style w:type="paragraph" w:customStyle="1" w:styleId="224">
    <w:name w:val="首行缩进"/>
    <w:basedOn w:val="1"/>
    <w:qFormat/>
    <w:uiPriority w:val="0"/>
    <w:pPr>
      <w:widowControl/>
      <w:numPr>
        <w:ilvl w:val="6"/>
        <w:numId w:val="12"/>
      </w:numPr>
      <w:tabs>
        <w:tab w:val="left" w:pos="822"/>
      </w:tabs>
      <w:snapToGrid w:val="0"/>
      <w:spacing w:before="40" w:after="40" w:line="300" w:lineRule="atLeast"/>
    </w:pPr>
    <w:rPr>
      <w:rFonts w:ascii="Arial" w:hAnsi="Arial"/>
      <w:kern w:val="0"/>
      <w:szCs w:val="20"/>
    </w:rPr>
  </w:style>
  <w:style w:type="paragraph" w:customStyle="1" w:styleId="225">
    <w:name w:val="样式 标题 2 + 五号"/>
    <w:basedOn w:val="5"/>
    <w:qFormat/>
    <w:uiPriority w:val="0"/>
    <w:pPr>
      <w:numPr>
        <w:ilvl w:val="0"/>
        <w:numId w:val="0"/>
      </w:numPr>
      <w:spacing w:before="0" w:after="0" w:line="240" w:lineRule="auto"/>
    </w:pPr>
    <w:rPr>
      <w:rFonts w:ascii="宋体" w:hAnsi="宋体" w:eastAsia="宋体"/>
      <w:sz w:val="21"/>
    </w:rPr>
  </w:style>
  <w:style w:type="paragraph" w:customStyle="1" w:styleId="226">
    <w:name w:val="Char2"/>
    <w:basedOn w:val="1"/>
    <w:qFormat/>
    <w:uiPriority w:val="0"/>
    <w:rPr>
      <w:rFonts w:ascii="仿宋_GB2312" w:hAnsi="Times New Roman" w:eastAsia="仿宋_GB2312"/>
      <w:b/>
      <w:sz w:val="32"/>
      <w:szCs w:val="32"/>
    </w:rPr>
  </w:style>
  <w:style w:type="paragraph" w:customStyle="1" w:styleId="227">
    <w:name w:val="S4-I-U-L15-No-dot"/>
    <w:basedOn w:val="1"/>
    <w:qFormat/>
    <w:uiPriority w:val="0"/>
    <w:pPr>
      <w:numPr>
        <w:ilvl w:val="1"/>
        <w:numId w:val="14"/>
      </w:numPr>
      <w:tabs>
        <w:tab w:val="left" w:pos="1112"/>
      </w:tabs>
      <w:spacing w:after="120" w:line="360" w:lineRule="auto"/>
      <w:ind w:left="1112" w:hanging="420"/>
    </w:pPr>
    <w:rPr>
      <w:rFonts w:ascii="Times New Roman" w:hAnsi="Times New Roman"/>
      <w:i/>
      <w:sz w:val="24"/>
      <w:szCs w:val="24"/>
      <w:u w:val="single"/>
    </w:rPr>
  </w:style>
  <w:style w:type="paragraph" w:customStyle="1" w:styleId="228">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229">
    <w:name w:val="图片标题"/>
    <w:basedOn w:val="1"/>
    <w:qFormat/>
    <w:uiPriority w:val="0"/>
    <w:pPr>
      <w:spacing w:line="360" w:lineRule="auto"/>
      <w:jc w:val="center"/>
    </w:pPr>
    <w:rPr>
      <w:rFonts w:ascii="Times New Roman" w:hAnsi="Times New Roman" w:eastAsia="仿宋_GB2312"/>
      <w:b/>
      <w:sz w:val="24"/>
      <w:szCs w:val="24"/>
    </w:rPr>
  </w:style>
  <w:style w:type="paragraph" w:customStyle="1" w:styleId="230">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2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2">
    <w:name w:val="文本框内文字"/>
    <w:basedOn w:val="1"/>
    <w:qFormat/>
    <w:uiPriority w:val="0"/>
    <w:pPr>
      <w:spacing w:line="0" w:lineRule="atLeast"/>
    </w:pPr>
    <w:rPr>
      <w:rFonts w:ascii="Times New Roman" w:hAnsi="Times New Roman" w:eastAsia="仿宋_GB2312"/>
      <w:sz w:val="22"/>
      <w:szCs w:val="24"/>
    </w:rPr>
  </w:style>
  <w:style w:type="paragraph" w:customStyle="1" w:styleId="2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4">
    <w:name w:val="!标题6 Ctrl+6"/>
    <w:basedOn w:val="1"/>
    <w:next w:val="1"/>
    <w:qFormat/>
    <w:uiPriority w:val="0"/>
    <w:pPr>
      <w:numPr>
        <w:ilvl w:val="5"/>
        <w:numId w:val="7"/>
      </w:numPr>
      <w:tabs>
        <w:tab w:val="left" w:pos="1440"/>
        <w:tab w:val="clear" w:pos="1134"/>
      </w:tabs>
      <w:adjustRightInd w:val="0"/>
      <w:snapToGrid w:val="0"/>
      <w:spacing w:beforeLines="75" w:afterLines="50"/>
      <w:ind w:left="1440" w:hanging="1440"/>
      <w:outlineLvl w:val="5"/>
    </w:pPr>
    <w:rPr>
      <w:rFonts w:ascii="Arial" w:hAnsi="Arial" w:eastAsia="黑体"/>
      <w:b/>
      <w:sz w:val="24"/>
      <w:szCs w:val="24"/>
    </w:rPr>
  </w:style>
  <w:style w:type="paragraph" w:customStyle="1" w:styleId="235">
    <w:name w:val="标题1"/>
    <w:basedOn w:val="34"/>
    <w:qFormat/>
    <w:uiPriority w:val="0"/>
    <w:pPr>
      <w:widowControl w:val="0"/>
      <w:overflowPunct/>
      <w:autoSpaceDE/>
      <w:autoSpaceDN/>
      <w:adjustRightInd/>
      <w:spacing w:line="360" w:lineRule="auto"/>
      <w:jc w:val="both"/>
      <w:textAlignment w:val="auto"/>
    </w:pPr>
    <w:rPr>
      <w:b/>
      <w:kern w:val="2"/>
      <w:sz w:val="30"/>
    </w:rPr>
  </w:style>
  <w:style w:type="paragraph" w:customStyle="1" w:styleId="236">
    <w:name w:val="标准标题2"/>
    <w:basedOn w:val="5"/>
    <w:qFormat/>
    <w:uiPriority w:val="0"/>
    <w:pPr>
      <w:numPr>
        <w:ilvl w:val="0"/>
        <w:numId w:val="0"/>
      </w:numPr>
      <w:spacing w:line="360" w:lineRule="auto"/>
    </w:pPr>
    <w:rPr>
      <w:rFonts w:eastAsia="仿宋_GB2312"/>
      <w:bCs w:val="0"/>
      <w:sz w:val="28"/>
    </w:rPr>
  </w:style>
  <w:style w:type="paragraph" w:customStyle="1" w:styleId="237">
    <w:name w:val="样式 样式 样式 标题 3Chapter X.X.X. + 段后: 0.5 行 + 段后: 0.5 行 + 段后: 0.5 行"/>
    <w:basedOn w:val="156"/>
    <w:qFormat/>
    <w:uiPriority w:val="0"/>
    <w:pPr>
      <w:spacing w:after="120"/>
    </w:pPr>
  </w:style>
  <w:style w:type="paragraph" w:customStyle="1" w:styleId="238">
    <w:name w:val="Char"/>
    <w:basedOn w:val="1"/>
    <w:qFormat/>
    <w:uiPriority w:val="0"/>
    <w:rPr>
      <w:rFonts w:ascii="仿宋_GB2312" w:hAnsi="Times New Roman" w:eastAsia="仿宋_GB2312"/>
      <w:b/>
      <w:sz w:val="32"/>
      <w:szCs w:val="32"/>
    </w:rPr>
  </w:style>
  <w:style w:type="paragraph" w:customStyle="1" w:styleId="239">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24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1">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42">
    <w:name w:val="最新标题2"/>
    <w:basedOn w:val="202"/>
    <w:next w:val="200"/>
    <w:qFormat/>
    <w:uiPriority w:val="0"/>
    <w:pPr>
      <w:spacing w:after="120"/>
    </w:pPr>
  </w:style>
  <w:style w:type="paragraph" w:customStyle="1" w:styleId="243">
    <w:name w:val="IBM 正文"/>
    <w:basedOn w:val="1"/>
    <w:qFormat/>
    <w:uiPriority w:val="0"/>
    <w:pPr>
      <w:spacing w:line="360" w:lineRule="atLeast"/>
    </w:pPr>
    <w:rPr>
      <w:rFonts w:ascii="Times New Roman" w:hAnsi="Times New Roman"/>
      <w:sz w:val="24"/>
      <w:szCs w:val="20"/>
    </w:rPr>
  </w:style>
  <w:style w:type="paragraph" w:customStyle="1" w:styleId="244">
    <w:name w:val="正文段"/>
    <w:basedOn w:val="1"/>
    <w:qFormat/>
    <w:uiPriority w:val="0"/>
    <w:pPr>
      <w:snapToGrid w:val="0"/>
      <w:spacing w:after="240" w:line="240" w:lineRule="atLeast"/>
      <w:ind w:firstLine="425"/>
    </w:pPr>
    <w:rPr>
      <w:rFonts w:ascii="宋体" w:hAnsi="Times New Roman"/>
      <w:sz w:val="24"/>
      <w:szCs w:val="20"/>
    </w:rPr>
  </w:style>
  <w:style w:type="paragraph" w:customStyle="1" w:styleId="245">
    <w:name w:val="样式 标题 3Chapter X.X.X. + 段后: 0.5 行1"/>
    <w:basedOn w:val="6"/>
    <w:next w:val="1"/>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46">
    <w:name w:val="Char Char"/>
    <w:basedOn w:val="1"/>
    <w:qFormat/>
    <w:uiPriority w:val="0"/>
    <w:rPr>
      <w:rFonts w:ascii="Tahoma" w:hAnsi="Tahoma"/>
      <w:sz w:val="24"/>
      <w:szCs w:val="20"/>
    </w:rPr>
  </w:style>
  <w:style w:type="paragraph" w:customStyle="1" w:styleId="247">
    <w:name w:val="标准有序列表（L1）"/>
    <w:basedOn w:val="7"/>
    <w:qFormat/>
    <w:uiPriority w:val="0"/>
    <w:pPr>
      <w:numPr>
        <w:ilvl w:val="4"/>
        <w:numId w:val="15"/>
      </w:numPr>
      <w:tabs>
        <w:tab w:val="left" w:pos="0"/>
        <w:tab w:val="clear" w:pos="2040"/>
      </w:tabs>
      <w:spacing w:line="360" w:lineRule="auto"/>
      <w:ind w:left="0" w:firstLine="0"/>
    </w:pPr>
    <w:rPr>
      <w:rFonts w:ascii="黑体" w:eastAsia="黑体"/>
      <w:color w:val="000000"/>
      <w:sz w:val="24"/>
    </w:rPr>
  </w:style>
  <w:style w:type="paragraph" w:customStyle="1" w:styleId="248">
    <w:name w:val="Table Description"/>
    <w:next w:val="1"/>
    <w:qFormat/>
    <w:uiPriority w:val="0"/>
    <w:pPr>
      <w:keepNext/>
      <w:numPr>
        <w:ilvl w:val="5"/>
        <w:numId w:val="12"/>
      </w:numPr>
      <w:snapToGrid w:val="0"/>
      <w:spacing w:before="160" w:after="80"/>
      <w:jc w:val="center"/>
    </w:pPr>
    <w:rPr>
      <w:rFonts w:ascii="Arial" w:hAnsi="Arial" w:eastAsia="黑体" w:cs="Times New Roman"/>
      <w:sz w:val="18"/>
      <w:lang w:val="en-US" w:eastAsia="en-US" w:bidi="ar-SA"/>
    </w:rPr>
  </w:style>
  <w:style w:type="paragraph" w:customStyle="1" w:styleId="249">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50">
    <w:name w:val="public 1级"/>
    <w:basedOn w:val="4"/>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51">
    <w:name w:val="Item List"/>
    <w:qFormat/>
    <w:uiPriority w:val="0"/>
    <w:pPr>
      <w:numPr>
        <w:ilvl w:val="0"/>
        <w:numId w:val="16"/>
      </w:numPr>
      <w:spacing w:line="300" w:lineRule="auto"/>
      <w:jc w:val="both"/>
    </w:pPr>
    <w:rPr>
      <w:rFonts w:ascii="Arial" w:hAnsi="Arial" w:eastAsia="宋体" w:cs="Times New Roman"/>
      <w:sz w:val="21"/>
      <w:lang w:val="en-US" w:eastAsia="en-US" w:bidi="ar-SA"/>
    </w:rPr>
  </w:style>
  <w:style w:type="paragraph" w:customStyle="1" w:styleId="252">
    <w:name w:val="public 括号序号"/>
    <w:basedOn w:val="1"/>
    <w:qFormat/>
    <w:uiPriority w:val="0"/>
    <w:pPr>
      <w:numPr>
        <w:ilvl w:val="0"/>
        <w:numId w:val="17"/>
      </w:numPr>
      <w:spacing w:line="360" w:lineRule="auto"/>
    </w:pPr>
    <w:rPr>
      <w:rFonts w:ascii="宋体" w:hAnsi="宋体"/>
      <w:sz w:val="24"/>
      <w:szCs w:val="24"/>
    </w:rPr>
  </w:style>
  <w:style w:type="paragraph" w:customStyle="1" w:styleId="253">
    <w:name w:val="图片居中"/>
    <w:basedOn w:val="83"/>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2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样式 标题1"/>
    <w:basedOn w:val="256"/>
    <w:next w:val="242"/>
    <w:qFormat/>
    <w:uiPriority w:val="0"/>
    <w:pPr>
      <w:numPr>
        <w:ilvl w:val="0"/>
        <w:numId w:val="11"/>
      </w:numPr>
      <w:spacing w:after="50"/>
    </w:pPr>
    <w:rPr>
      <w:bCs w:val="0"/>
      <w:sz w:val="32"/>
    </w:rPr>
  </w:style>
  <w:style w:type="paragraph" w:customStyle="1" w:styleId="256">
    <w:name w:val="样式 标题 1 + 段后: 0.5 行"/>
    <w:basedOn w:val="4"/>
    <w:qFormat/>
    <w:uiPriority w:val="0"/>
    <w:pPr>
      <w:keepLines w:val="0"/>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2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8">
    <w:name w:val="S4-L15-C"/>
    <w:basedOn w:val="1"/>
    <w:qFormat/>
    <w:uiPriority w:val="0"/>
    <w:pPr>
      <w:spacing w:after="120" w:line="360" w:lineRule="auto"/>
      <w:jc w:val="center"/>
    </w:pPr>
    <w:rPr>
      <w:rFonts w:ascii="Times New Roman" w:hAnsi="Times New Roman"/>
      <w:szCs w:val="21"/>
    </w:rPr>
  </w:style>
  <w:style w:type="paragraph" w:customStyle="1" w:styleId="259">
    <w:name w:val="样式 样式 正文文本缩进 + 仿宋_GB2312 小四 首行缩进:  0 厘米 行距: 1.5 倍行距 + (中文) 仿宋_GB..."/>
    <w:basedOn w:val="195"/>
    <w:qFormat/>
    <w:uiPriority w:val="0"/>
    <w:pPr>
      <w:ind w:firstLine="480" w:firstLineChars="200"/>
    </w:pPr>
  </w:style>
  <w:style w:type="paragraph" w:customStyle="1" w:styleId="260">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1">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26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3">
    <w:name w:val="二级项目符号"/>
    <w:basedOn w:val="1"/>
    <w:qFormat/>
    <w:uiPriority w:val="0"/>
    <w:pPr>
      <w:widowControl/>
      <w:numPr>
        <w:ilvl w:val="0"/>
        <w:numId w:val="18"/>
      </w:numPr>
      <w:spacing w:line="360" w:lineRule="auto"/>
    </w:pPr>
    <w:rPr>
      <w:rFonts w:ascii="Times New Roman" w:hAnsi="Times New Roman"/>
      <w:kern w:val="0"/>
      <w:sz w:val="24"/>
      <w:szCs w:val="20"/>
    </w:rPr>
  </w:style>
  <w:style w:type="paragraph" w:customStyle="1" w:styleId="264">
    <w:name w:val="样式 标题 2Chapter X.X. Statementh22Header 2l2Level 2 Headhea..."/>
    <w:basedOn w:val="5"/>
    <w:qFormat/>
    <w:uiPriority w:val="0"/>
    <w:pPr>
      <w:keepLines w:val="0"/>
      <w:numPr>
        <w:ilvl w:val="0"/>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2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267">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68">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269">
    <w:name w:val="public 圆点"/>
    <w:basedOn w:val="1"/>
    <w:qFormat/>
    <w:uiPriority w:val="0"/>
    <w:pPr>
      <w:numPr>
        <w:ilvl w:val="0"/>
        <w:numId w:val="19"/>
      </w:numPr>
      <w:spacing w:line="360" w:lineRule="auto"/>
    </w:pPr>
    <w:rPr>
      <w:rFonts w:ascii="宋体" w:hAnsi="宋体"/>
      <w:color w:val="000000"/>
      <w:sz w:val="24"/>
      <w:szCs w:val="24"/>
    </w:rPr>
  </w:style>
  <w:style w:type="paragraph" w:customStyle="1" w:styleId="270">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271">
    <w:name w:val="public 小圆序号"/>
    <w:basedOn w:val="1"/>
    <w:qFormat/>
    <w:uiPriority w:val="0"/>
    <w:pPr>
      <w:spacing w:line="360" w:lineRule="auto"/>
    </w:pPr>
    <w:rPr>
      <w:rFonts w:ascii="宋体" w:hAnsi="宋体"/>
      <w:sz w:val="24"/>
      <w:szCs w:val="24"/>
    </w:rPr>
  </w:style>
  <w:style w:type="paragraph" w:customStyle="1" w:styleId="272">
    <w:name w:val="样式2"/>
    <w:basedOn w:val="5"/>
    <w:qFormat/>
    <w:uiPriority w:val="0"/>
    <w:pPr>
      <w:numPr>
        <w:ilvl w:val="0"/>
        <w:numId w:val="0"/>
      </w:numPr>
      <w:tabs>
        <w:tab w:val="left" w:pos="600"/>
      </w:tabs>
      <w:ind w:left="600" w:hanging="600"/>
    </w:pPr>
    <w:rPr>
      <w:rFonts w:eastAsia="宋体"/>
    </w:rPr>
  </w:style>
  <w:style w:type="paragraph" w:customStyle="1" w:styleId="273">
    <w:name w:val="S4-B-L15"/>
    <w:basedOn w:val="1"/>
    <w:qFormat/>
    <w:uiPriority w:val="0"/>
    <w:pPr>
      <w:spacing w:line="360" w:lineRule="auto"/>
    </w:pPr>
    <w:rPr>
      <w:rFonts w:ascii="Times New Roman" w:hAnsi="Times New Roman"/>
      <w:b/>
      <w:bCs/>
      <w:sz w:val="24"/>
      <w:szCs w:val="24"/>
    </w:rPr>
  </w:style>
  <w:style w:type="paragraph" w:customStyle="1" w:styleId="274">
    <w:name w:val="public 小圆序号2"/>
    <w:basedOn w:val="271"/>
    <w:qFormat/>
    <w:uiPriority w:val="0"/>
    <w:pPr>
      <w:numPr>
        <w:ilvl w:val="0"/>
        <w:numId w:val="20"/>
      </w:numPr>
    </w:pPr>
  </w:style>
  <w:style w:type="paragraph" w:customStyle="1" w:styleId="275">
    <w:name w:val="public 小序号"/>
    <w:basedOn w:val="1"/>
    <w:qFormat/>
    <w:uiPriority w:val="0"/>
    <w:pPr>
      <w:numPr>
        <w:ilvl w:val="0"/>
        <w:numId w:val="21"/>
      </w:numPr>
      <w:spacing w:beforeLines="50" w:after="50" w:line="360" w:lineRule="auto"/>
    </w:pPr>
    <w:rPr>
      <w:rFonts w:ascii="宋体" w:hAnsi="宋体"/>
      <w:sz w:val="24"/>
      <w:szCs w:val="24"/>
    </w:rPr>
  </w:style>
  <w:style w:type="paragraph" w:customStyle="1" w:styleId="276">
    <w:name w:val="样式 标题 4Chapter X.X.X. + 段后: 0.5 行1 + 段后: 0.5 行"/>
    <w:basedOn w:val="218"/>
    <w:qFormat/>
    <w:uiPriority w:val="0"/>
    <w:rPr>
      <w:szCs w:val="21"/>
    </w:rPr>
  </w:style>
  <w:style w:type="paragraph" w:customStyle="1" w:styleId="27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278">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279">
    <w:name w:val="Char Char1 Char Char Char Char Char Char Char Char"/>
    <w:basedOn w:val="1"/>
    <w:qFormat/>
    <w:uiPriority w:val="0"/>
    <w:pPr>
      <w:widowControl/>
      <w:spacing w:after="160" w:line="240" w:lineRule="exact"/>
      <w:jc w:val="left"/>
    </w:pPr>
    <w:rPr>
      <w:rFonts w:ascii="Times New Roman" w:hAnsi="Times New Roman"/>
      <w:szCs w:val="24"/>
    </w:rPr>
  </w:style>
  <w:style w:type="paragraph" w:customStyle="1" w:styleId="28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8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82">
    <w:name w:val="p0"/>
    <w:basedOn w:val="1"/>
    <w:qFormat/>
    <w:uiPriority w:val="0"/>
    <w:pPr>
      <w:widowControl/>
      <w:spacing w:line="360" w:lineRule="atLeast"/>
    </w:pPr>
    <w:rPr>
      <w:rFonts w:ascii="Times New Roman" w:hAnsi="Times New Roman"/>
      <w:kern w:val="0"/>
      <w:szCs w:val="21"/>
    </w:rPr>
  </w:style>
  <w:style w:type="paragraph" w:customStyle="1" w:styleId="28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284">
    <w:name w:val="最新标题1"/>
    <w:basedOn w:val="255"/>
    <w:next w:val="242"/>
    <w:qFormat/>
    <w:uiPriority w:val="0"/>
    <w:pPr>
      <w:spacing w:after="120"/>
    </w:pPr>
    <w:rPr>
      <w:bCs/>
    </w:rPr>
  </w:style>
  <w:style w:type="paragraph" w:customStyle="1" w:styleId="285">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86">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287">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8">
    <w:name w:val="样式 模板描述"/>
    <w:basedOn w:val="1"/>
    <w:next w:val="179"/>
    <w:qFormat/>
    <w:uiPriority w:val="0"/>
    <w:pPr>
      <w:spacing w:afterLines="50"/>
      <w:jc w:val="left"/>
    </w:pPr>
    <w:rPr>
      <w:rFonts w:ascii="宋体" w:hAnsi="Times New Roman" w:cs="宋体"/>
      <w:i/>
      <w:iCs/>
      <w:snapToGrid w:val="0"/>
      <w:color w:val="0000FF"/>
      <w:kern w:val="0"/>
      <w:szCs w:val="21"/>
    </w:rPr>
  </w:style>
  <w:style w:type="paragraph" w:customStyle="1" w:styleId="289">
    <w:name w:val="Char1 Char Char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90">
    <w:name w:val="Char Char Char"/>
    <w:basedOn w:val="1"/>
    <w:qFormat/>
    <w:uiPriority w:val="0"/>
    <w:pPr>
      <w:numPr>
        <w:ilvl w:val="0"/>
        <w:numId w:val="2"/>
      </w:numPr>
    </w:pPr>
    <w:rPr>
      <w:rFonts w:ascii="Tahoma" w:hAnsi="Tahoma"/>
      <w:sz w:val="24"/>
      <w:szCs w:val="20"/>
    </w:rPr>
  </w:style>
  <w:style w:type="paragraph" w:customStyle="1" w:styleId="291">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292">
    <w:name w:val="样式1"/>
    <w:basedOn w:val="2"/>
    <w:qFormat/>
    <w:uiPriority w:val="0"/>
    <w:pPr>
      <w:spacing w:line="480" w:lineRule="auto"/>
      <w:ind w:left="600"/>
    </w:pPr>
    <w:rPr>
      <w:rFonts w:ascii="宋体" w:hAnsi="宋体"/>
      <w:b w:val="0"/>
      <w:sz w:val="36"/>
      <w:szCs w:val="36"/>
    </w:rPr>
  </w:style>
  <w:style w:type="paragraph" w:customStyle="1" w:styleId="293">
    <w:name w:val="!标题5 Ctrl+5"/>
    <w:basedOn w:val="1"/>
    <w:next w:val="1"/>
    <w:qFormat/>
    <w:uiPriority w:val="0"/>
    <w:pPr>
      <w:numPr>
        <w:ilvl w:val="4"/>
        <w:numId w:val="7"/>
      </w:numPr>
      <w:tabs>
        <w:tab w:val="left" w:pos="1440"/>
        <w:tab w:val="clear" w:pos="992"/>
      </w:tabs>
      <w:adjustRightInd w:val="0"/>
      <w:snapToGrid w:val="0"/>
      <w:spacing w:beforeLines="75" w:afterLines="50"/>
      <w:ind w:left="1440" w:hanging="1440"/>
      <w:outlineLvl w:val="4"/>
    </w:pPr>
    <w:rPr>
      <w:rFonts w:ascii="Arial" w:hAnsi="Arial" w:eastAsia="黑体"/>
      <w:b/>
      <w:sz w:val="28"/>
      <w:szCs w:val="28"/>
    </w:rPr>
  </w:style>
  <w:style w:type="paragraph" w:customStyle="1" w:styleId="294">
    <w:name w:val="Paragraph1"/>
    <w:basedOn w:val="1"/>
    <w:qFormat/>
    <w:uiPriority w:val="0"/>
    <w:pPr>
      <w:spacing w:before="80" w:afterLines="50"/>
    </w:pPr>
    <w:rPr>
      <w:rFonts w:ascii="宋体" w:hAnsi="Times New Roman"/>
      <w:snapToGrid w:val="0"/>
      <w:kern w:val="0"/>
      <w:szCs w:val="20"/>
    </w:rPr>
  </w:style>
  <w:style w:type="paragraph" w:customStyle="1" w:styleId="295">
    <w:name w:val="样式 样式 标题 4 + 段后: 0.5 行 + 段后: 0.5 行"/>
    <w:basedOn w:val="178"/>
    <w:qFormat/>
    <w:uiPriority w:val="0"/>
  </w:style>
  <w:style w:type="paragraph" w:customStyle="1" w:styleId="2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7">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98">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9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00">
    <w:name w:val="正文文字表格居中"/>
    <w:basedOn w:val="1"/>
    <w:next w:val="56"/>
    <w:qFormat/>
    <w:uiPriority w:val="0"/>
    <w:pPr>
      <w:snapToGrid w:val="0"/>
      <w:spacing w:afterLines="50" w:line="360" w:lineRule="auto"/>
    </w:pPr>
    <w:rPr>
      <w:rFonts w:ascii="宋体" w:hAnsi="宋体"/>
      <w:b/>
      <w:bCs/>
      <w:szCs w:val="21"/>
    </w:rPr>
  </w:style>
  <w:style w:type="paragraph" w:customStyle="1" w:styleId="301">
    <w:name w:val="样式 标题 3Chapter X.X.X. + 五号 段后: 0.5 行"/>
    <w:basedOn w:val="6"/>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302">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30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304">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05">
    <w:name w:val="!标题2 Ctrl+2"/>
    <w:basedOn w:val="5"/>
    <w:next w:val="1"/>
    <w:qFormat/>
    <w:uiPriority w:val="0"/>
    <w:pPr>
      <w:keepNext w:val="0"/>
      <w:keepLines w:val="0"/>
      <w:numPr>
        <w:numId w:val="7"/>
      </w:numPr>
      <w:tabs>
        <w:tab w:val="left" w:pos="360"/>
        <w:tab w:val="left" w:pos="425"/>
        <w:tab w:val="left" w:pos="567"/>
      </w:tabs>
      <w:adjustRightInd w:val="0"/>
      <w:snapToGrid w:val="0"/>
      <w:spacing w:beforeLines="200" w:afterLines="50" w:line="360" w:lineRule="auto"/>
    </w:pPr>
    <w:rPr>
      <w:bCs w:val="0"/>
      <w:sz w:val="36"/>
      <w:szCs w:val="36"/>
    </w:rPr>
  </w:style>
  <w:style w:type="paragraph" w:customStyle="1" w:styleId="306">
    <w:name w:val="public 3级"/>
    <w:basedOn w:val="6"/>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307">
    <w:name w:val="Paragraph3"/>
    <w:basedOn w:val="1"/>
    <w:qFormat/>
    <w:uiPriority w:val="0"/>
    <w:pPr>
      <w:spacing w:before="80" w:afterLines="50"/>
      <w:ind w:left="1530"/>
    </w:pPr>
    <w:rPr>
      <w:rFonts w:ascii="宋体" w:hAnsi="Times New Roman"/>
      <w:snapToGrid w:val="0"/>
      <w:kern w:val="0"/>
      <w:szCs w:val="20"/>
    </w:rPr>
  </w:style>
  <w:style w:type="paragraph" w:customStyle="1" w:styleId="308">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09">
    <w:name w:val="Bullet2"/>
    <w:basedOn w:val="1"/>
    <w:qFormat/>
    <w:uiPriority w:val="0"/>
    <w:pPr>
      <w:spacing w:afterLines="50"/>
      <w:ind w:left="1440" w:hanging="360"/>
      <w:jc w:val="left"/>
    </w:pPr>
    <w:rPr>
      <w:rFonts w:ascii="宋体" w:hAnsi="Times New Roman"/>
      <w:snapToGrid w:val="0"/>
      <w:color w:val="000080"/>
      <w:kern w:val="0"/>
      <w:szCs w:val="20"/>
    </w:rPr>
  </w:style>
  <w:style w:type="table" w:customStyle="1" w:styleId="310">
    <w:name w:val="清单表 41"/>
    <w:basedOn w:val="62"/>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1">
    <w:name w:val="无格式表格 11"/>
    <w:basedOn w:val="62"/>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2">
    <w:name w:val="清单表 4 - 着色 31"/>
    <w:basedOn w:val="62"/>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13">
    <w:name w:val="网格表 21"/>
    <w:basedOn w:val="62"/>
    <w:qFormat/>
    <w:uiPriority w:val="0"/>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4">
    <w:name w:val="清单表 6 彩色1"/>
    <w:basedOn w:val="62"/>
    <w:qFormat/>
    <w:uiPriority w:val="0"/>
    <w:rPr>
      <w:color w:val="000000"/>
    </w:rPr>
    <w:tblPr>
      <w:tblBorders>
        <w:top w:val="single" w:color="000000" w:sz="4" w:space="0"/>
        <w:bottom w:val="single" w:color="000000" w:sz="4" w:space="0"/>
      </w:tblBorders>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15">
    <w:name w:val="标题 91"/>
    <w:basedOn w:val="1"/>
    <w:qFormat/>
    <w:uiPriority w:val="1"/>
    <w:pPr>
      <w:ind w:left="931"/>
    </w:pPr>
    <w:rPr>
      <w:b/>
      <w:bCs/>
      <w:sz w:val="24"/>
      <w:szCs w:val="24"/>
    </w:rPr>
  </w:style>
  <w:style w:type="paragraph" w:customStyle="1" w:styleId="316">
    <w:name w:val="标题 81"/>
    <w:basedOn w:val="1"/>
    <w:qFormat/>
    <w:uiPriority w:val="1"/>
    <w:pPr>
      <w:ind w:left="461" w:right="313"/>
      <w:jc w:val="center"/>
      <w:outlineLvl w:val="8"/>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29946</Words>
  <Characters>31491</Characters>
  <Lines>200</Lines>
  <Paragraphs>56</Paragraphs>
  <TotalTime>14</TotalTime>
  <ScaleCrop>false</ScaleCrop>
  <LinksUpToDate>false</LinksUpToDate>
  <CharactersWithSpaces>32712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2020-11-11T08:19:00Z</dcterms:created>
  <dc:creator>Van Helsing</dc:creator>
  <cp:lastModifiedBy>張 政</cp:lastModifiedBy>
  <cp:lastPrinted>2025-01-07T06:48:00Z</cp:lastPrinted>
  <dcterms:modified xsi:type="dcterms:W3CDTF">2025-01-10T09:05:52Z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6CAF1014C829452BB94A559343CB243D_13</vt:lpwstr>
  </property>
  <property fmtid="{D5CDD505-2E9C-101B-9397-08002B2CF9AE}" pid="4" name="KSOTemplateDocerSaveRecord">
    <vt:lpwstr>eyJoZGlkIjoiZjliNDQzY2JkMWRhYzIzNzc4NWY4NzNmZjg3YjRmN2EiLCJ1c2VySWQiOiIyMTQ0MTg4MzUifQ==</vt:lpwstr>
  </property>
</Properties>
</file>