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3B6F64BF">
      <w:pPr>
        <w:spacing w:line="360" w:lineRule="auto"/>
        <w:jc w:val="center"/>
        <w:rPr>
          <w:rFonts w:hint="eastAsia" w:ascii="仿宋" w:hAnsi="仿宋" w:eastAsia="仿宋" w:cs="仿宋_GB2312"/>
          <w:b/>
          <w:color w:val="auto"/>
          <w:sz w:val="24"/>
          <w:highlight w:val="none"/>
        </w:rPr>
      </w:pPr>
    </w:p>
    <w:p w14:paraId="1F22D7AE">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嘉善县区域急诊医学中心医疗组合家具采购项目</w:t>
      </w:r>
    </w:p>
    <w:p w14:paraId="4EC14AA7">
      <w:pPr>
        <w:spacing w:before="120" w:beforeLines="50"/>
        <w:rPr>
          <w:rFonts w:ascii="宋体" w:hAnsi="宋体"/>
          <w:color w:val="auto"/>
          <w:sz w:val="72"/>
          <w:szCs w:val="72"/>
          <w:highlight w:val="none"/>
        </w:rPr>
      </w:pPr>
    </w:p>
    <w:p w14:paraId="6B26D72B">
      <w:pPr>
        <w:pStyle w:val="26"/>
        <w:rPr>
          <w:rFonts w:ascii="宋体" w:hAnsi="宋体"/>
          <w:color w:val="auto"/>
          <w:sz w:val="72"/>
          <w:szCs w:val="72"/>
          <w:highlight w:val="none"/>
        </w:rPr>
      </w:pPr>
    </w:p>
    <w:p w14:paraId="646C10F1">
      <w:pPr>
        <w:pStyle w:val="27"/>
        <w:rPr>
          <w:color w:val="auto"/>
          <w:highlight w:val="none"/>
        </w:rPr>
      </w:pPr>
    </w:p>
    <w:p w14:paraId="7DEEE9CE">
      <w:pPr>
        <w:pStyle w:val="60"/>
        <w:rPr>
          <w:color w:val="auto"/>
          <w:highlight w:val="none"/>
        </w:rPr>
      </w:pPr>
    </w:p>
    <w:p w14:paraId="5BA2857C">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09976E3D">
      <w:pPr>
        <w:pStyle w:val="27"/>
        <w:rPr>
          <w:color w:val="auto"/>
          <w:highlight w:val="none"/>
        </w:rPr>
      </w:pPr>
    </w:p>
    <w:p w14:paraId="60DF1971">
      <w:pPr>
        <w:snapToGrid w:val="0"/>
        <w:spacing w:before="120" w:beforeLines="50" w:line="360" w:lineRule="auto"/>
        <w:jc w:val="center"/>
        <w:rPr>
          <w:rFonts w:ascii="宋体" w:hAnsi="宋体"/>
          <w:color w:val="auto"/>
          <w:sz w:val="30"/>
          <w:szCs w:val="72"/>
          <w:highlight w:val="none"/>
        </w:rPr>
      </w:pPr>
    </w:p>
    <w:p w14:paraId="704241FA">
      <w:pPr>
        <w:snapToGrid w:val="0"/>
        <w:spacing w:before="120" w:beforeLines="50" w:line="360" w:lineRule="auto"/>
        <w:rPr>
          <w:rFonts w:ascii="宋体" w:hAnsi="宋体"/>
          <w:color w:val="auto"/>
          <w:sz w:val="30"/>
          <w:szCs w:val="72"/>
          <w:highlight w:val="none"/>
        </w:rPr>
      </w:pPr>
    </w:p>
    <w:p w14:paraId="6004DC55">
      <w:pPr>
        <w:pStyle w:val="2"/>
        <w:ind w:left="0" w:leftChars="0" w:firstLine="0" w:firstLineChars="0"/>
        <w:rPr>
          <w:color w:val="auto"/>
          <w:highlight w:val="none"/>
        </w:rPr>
      </w:pPr>
    </w:p>
    <w:p w14:paraId="331A0A2D">
      <w:pPr>
        <w:pStyle w:val="36"/>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JXYJ2024030</w:t>
      </w:r>
      <w:r>
        <w:rPr>
          <w:rFonts w:hint="eastAsia" w:hAnsi="宋体"/>
          <w:b/>
          <w:color w:val="auto"/>
          <w:sz w:val="30"/>
          <w:szCs w:val="48"/>
          <w:highlight w:val="none"/>
        </w:rPr>
        <w:t>(G)</w:t>
      </w:r>
    </w:p>
    <w:p w14:paraId="2E1F4D14">
      <w:pPr>
        <w:pStyle w:val="36"/>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嘉善县区域急诊医学中心医疗组合家具采购项目</w:t>
      </w:r>
    </w:p>
    <w:p w14:paraId="5ACA0C93">
      <w:pPr>
        <w:pStyle w:val="36"/>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浙江省嘉善县第一人民医院</w:t>
      </w:r>
    </w:p>
    <w:p w14:paraId="6022CE65">
      <w:pPr>
        <w:pStyle w:val="36"/>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50EC90DB">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8</w:t>
      </w:r>
      <w:r>
        <w:rPr>
          <w:rFonts w:hint="eastAsia" w:ascii="宋体" w:hAnsi="宋体"/>
          <w:b/>
          <w:bCs/>
          <w:color w:val="auto"/>
          <w:w w:val="95"/>
          <w:sz w:val="30"/>
          <w:szCs w:val="30"/>
          <w:highlight w:val="none"/>
        </w:rPr>
        <w:t>月</w:t>
      </w:r>
    </w:p>
    <w:p w14:paraId="2CED8F1E">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399C34E">
      <w:pPr>
        <w:pStyle w:val="36"/>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3A81B2D4">
      <w:pPr>
        <w:pStyle w:val="36"/>
        <w:spacing w:before="120" w:after="120" w:line="600" w:lineRule="exact"/>
        <w:jc w:val="center"/>
        <w:rPr>
          <w:rFonts w:hint="eastAsia" w:hAnsi="宋体" w:cs="宋体"/>
          <w:b/>
          <w:color w:val="auto"/>
          <w:sz w:val="44"/>
          <w:szCs w:val="44"/>
          <w:highlight w:val="none"/>
        </w:rPr>
      </w:pPr>
    </w:p>
    <w:p w14:paraId="5B7F9A26">
      <w:pPr>
        <w:pStyle w:val="36"/>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73224F3B">
      <w:pPr>
        <w:pStyle w:val="36"/>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6219E913">
      <w:pPr>
        <w:pStyle w:val="47"/>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80"/>
          <w:rFonts w:hint="eastAsia"/>
          <w:b/>
          <w:color w:val="auto"/>
          <w:sz w:val="32"/>
          <w:szCs w:val="32"/>
          <w:highlight w:val="none"/>
        </w:rPr>
        <w:t>第一章</w:t>
      </w:r>
      <w:r>
        <w:rPr>
          <w:rStyle w:val="80"/>
          <w:b/>
          <w:color w:val="auto"/>
          <w:sz w:val="32"/>
          <w:szCs w:val="32"/>
          <w:highlight w:val="none"/>
        </w:rPr>
        <w:t xml:space="preserve">  </w:t>
      </w:r>
      <w:r>
        <w:rPr>
          <w:rStyle w:val="80"/>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4D783E61">
      <w:pPr>
        <w:pStyle w:val="47"/>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80"/>
          <w:rFonts w:hint="eastAsia"/>
          <w:b/>
          <w:color w:val="auto"/>
          <w:sz w:val="32"/>
          <w:szCs w:val="32"/>
          <w:highlight w:val="none"/>
        </w:rPr>
        <w:t>第二章</w:t>
      </w:r>
      <w:r>
        <w:rPr>
          <w:rStyle w:val="80"/>
          <w:b/>
          <w:color w:val="auto"/>
          <w:sz w:val="32"/>
          <w:szCs w:val="32"/>
          <w:highlight w:val="none"/>
        </w:rPr>
        <w:t xml:space="preserve">  </w:t>
      </w:r>
      <w:r>
        <w:rPr>
          <w:rStyle w:val="80"/>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4B0D3F7A">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80"/>
          <w:rFonts w:hint="eastAsia"/>
          <w:b/>
          <w:color w:val="auto"/>
          <w:sz w:val="32"/>
          <w:szCs w:val="32"/>
          <w:highlight w:val="none"/>
        </w:rPr>
        <w:t>第三章</w:t>
      </w:r>
      <w:r>
        <w:rPr>
          <w:rStyle w:val="80"/>
          <w:b/>
          <w:color w:val="auto"/>
          <w:sz w:val="32"/>
          <w:szCs w:val="32"/>
          <w:highlight w:val="none"/>
        </w:rPr>
        <w:t xml:space="preserve">  </w:t>
      </w:r>
      <w:r>
        <w:rPr>
          <w:rStyle w:val="80"/>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0C99559C">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80"/>
          <w:rFonts w:hint="eastAsia"/>
          <w:b/>
          <w:color w:val="auto"/>
          <w:sz w:val="32"/>
          <w:szCs w:val="32"/>
          <w:highlight w:val="none"/>
        </w:rPr>
        <w:t xml:space="preserve">第四章 </w:t>
      </w:r>
      <w:r>
        <w:rPr>
          <w:rStyle w:val="80"/>
          <w:b/>
          <w:color w:val="auto"/>
          <w:sz w:val="32"/>
          <w:szCs w:val="32"/>
          <w:highlight w:val="none"/>
        </w:rPr>
        <w:t xml:space="preserve"> </w:t>
      </w:r>
      <w:r>
        <w:rPr>
          <w:rStyle w:val="80"/>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45E1AC2B">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80"/>
          <w:rFonts w:hint="eastAsia"/>
          <w:b/>
          <w:color w:val="auto"/>
          <w:sz w:val="32"/>
          <w:szCs w:val="32"/>
          <w:highlight w:val="none"/>
        </w:rPr>
        <w:t>第五章</w:t>
      </w:r>
      <w:r>
        <w:rPr>
          <w:rStyle w:val="80"/>
          <w:b/>
          <w:color w:val="auto"/>
          <w:sz w:val="32"/>
          <w:szCs w:val="32"/>
          <w:highlight w:val="none"/>
        </w:rPr>
        <w:t xml:space="preserve">  </w:t>
      </w:r>
      <w:r>
        <w:rPr>
          <w:rStyle w:val="80"/>
          <w:rFonts w:hint="eastAsia"/>
          <w:b/>
          <w:color w:val="auto"/>
          <w:sz w:val="32"/>
          <w:szCs w:val="32"/>
          <w:highlight w:val="none"/>
        </w:rPr>
        <w:t>嘉善县政府采购合同（</w:t>
      </w:r>
      <w:bookmarkStart w:id="3" w:name="_Hlt497308216"/>
      <w:r>
        <w:rPr>
          <w:rStyle w:val="80"/>
          <w:rFonts w:hint="eastAsia"/>
          <w:b/>
          <w:color w:val="auto"/>
          <w:sz w:val="32"/>
          <w:szCs w:val="32"/>
          <w:highlight w:val="none"/>
        </w:rPr>
        <w:t>指</w:t>
      </w:r>
      <w:bookmarkEnd w:id="3"/>
      <w:bookmarkStart w:id="4" w:name="_Hlt497308220"/>
      <w:r>
        <w:rPr>
          <w:rStyle w:val="80"/>
          <w:rFonts w:hint="eastAsia"/>
          <w:b/>
          <w:color w:val="auto"/>
          <w:sz w:val="32"/>
          <w:szCs w:val="32"/>
          <w:highlight w:val="none"/>
        </w:rPr>
        <w:t>引</w:t>
      </w:r>
      <w:bookmarkEnd w:id="4"/>
      <w:r>
        <w:rPr>
          <w:rStyle w:val="80"/>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79B19137">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80"/>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14:paraId="22AC3328">
      <w:pPr>
        <w:pStyle w:val="47"/>
        <w:tabs>
          <w:tab w:val="right" w:leader="dot" w:pos="8834"/>
        </w:tabs>
        <w:spacing w:line="480" w:lineRule="auto"/>
        <w:rPr>
          <w:b/>
          <w:color w:val="auto"/>
          <w:sz w:val="32"/>
          <w:szCs w:val="32"/>
          <w:highlight w:val="none"/>
        </w:rPr>
      </w:pPr>
    </w:p>
    <w:p w14:paraId="06C7DFE6">
      <w:pPr>
        <w:pStyle w:val="47"/>
        <w:tabs>
          <w:tab w:val="right" w:leader="dot" w:pos="8834"/>
        </w:tabs>
        <w:spacing w:line="480" w:lineRule="auto"/>
        <w:rPr>
          <w:b/>
          <w:color w:val="auto"/>
          <w:sz w:val="32"/>
          <w:szCs w:val="32"/>
          <w:highlight w:val="none"/>
        </w:rPr>
      </w:pPr>
    </w:p>
    <w:p w14:paraId="6EEB8863">
      <w:pPr>
        <w:pStyle w:val="47"/>
        <w:tabs>
          <w:tab w:val="right" w:leader="dot" w:pos="8834"/>
        </w:tabs>
        <w:spacing w:line="480" w:lineRule="auto"/>
        <w:rPr>
          <w:b/>
          <w:color w:val="auto"/>
          <w:sz w:val="32"/>
          <w:szCs w:val="32"/>
          <w:highlight w:val="none"/>
        </w:rPr>
      </w:pPr>
    </w:p>
    <w:p w14:paraId="56D4EEE6">
      <w:pPr>
        <w:pStyle w:val="47"/>
        <w:tabs>
          <w:tab w:val="right" w:leader="dot" w:pos="8834"/>
        </w:tabs>
        <w:spacing w:line="480" w:lineRule="auto"/>
        <w:rPr>
          <w:b/>
          <w:color w:val="auto"/>
          <w:sz w:val="32"/>
          <w:szCs w:val="32"/>
          <w:highlight w:val="none"/>
        </w:rPr>
      </w:pPr>
    </w:p>
    <w:p w14:paraId="2AFE1D71">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19B9FCCE">
      <w:pPr>
        <w:spacing w:line="360" w:lineRule="auto"/>
        <w:ind w:firstLine="549" w:firstLineChars="229"/>
        <w:rPr>
          <w:rFonts w:ascii="仿宋" w:hAnsi="仿宋" w:eastAsia="仿宋" w:cs="仿宋_GB2312"/>
          <w:color w:val="auto"/>
          <w:sz w:val="24"/>
          <w:highlight w:val="none"/>
        </w:rPr>
      </w:pPr>
    </w:p>
    <w:p w14:paraId="2E08298D">
      <w:pPr>
        <w:spacing w:line="360" w:lineRule="auto"/>
        <w:ind w:firstLine="549" w:firstLineChars="229"/>
        <w:rPr>
          <w:rFonts w:ascii="仿宋" w:hAnsi="仿宋" w:eastAsia="仿宋" w:cs="仿宋_GB2312"/>
          <w:color w:val="auto"/>
          <w:sz w:val="24"/>
          <w:highlight w:val="none"/>
        </w:rPr>
      </w:pPr>
    </w:p>
    <w:p w14:paraId="20FF8FEB">
      <w:pPr>
        <w:spacing w:line="360" w:lineRule="auto"/>
        <w:ind w:firstLine="549" w:firstLineChars="229"/>
        <w:rPr>
          <w:rFonts w:ascii="仿宋" w:hAnsi="仿宋" w:eastAsia="仿宋" w:cs="仿宋_GB2312"/>
          <w:color w:val="auto"/>
          <w:sz w:val="24"/>
          <w:highlight w:val="none"/>
        </w:rPr>
      </w:pPr>
    </w:p>
    <w:p w14:paraId="664ED75A">
      <w:pPr>
        <w:spacing w:line="360" w:lineRule="auto"/>
        <w:ind w:firstLine="549" w:firstLineChars="229"/>
        <w:rPr>
          <w:rFonts w:ascii="仿宋" w:hAnsi="仿宋" w:eastAsia="仿宋" w:cs="仿宋_GB2312"/>
          <w:color w:val="auto"/>
          <w:sz w:val="24"/>
          <w:highlight w:val="none"/>
        </w:rPr>
      </w:pPr>
    </w:p>
    <w:p w14:paraId="514505B8">
      <w:pPr>
        <w:spacing w:line="360" w:lineRule="auto"/>
        <w:ind w:firstLine="549" w:firstLineChars="229"/>
        <w:rPr>
          <w:rFonts w:ascii="仿宋" w:hAnsi="仿宋" w:eastAsia="仿宋" w:cs="仿宋_GB2312"/>
          <w:color w:val="auto"/>
          <w:sz w:val="24"/>
          <w:highlight w:val="none"/>
        </w:rPr>
      </w:pPr>
    </w:p>
    <w:p w14:paraId="26C65E70">
      <w:pPr>
        <w:spacing w:line="360" w:lineRule="auto"/>
        <w:rPr>
          <w:rFonts w:ascii="仿宋" w:hAnsi="仿宋" w:eastAsia="仿宋" w:cs="仿宋_GB2312"/>
          <w:color w:val="auto"/>
          <w:sz w:val="24"/>
          <w:highlight w:val="none"/>
        </w:rPr>
      </w:pPr>
    </w:p>
    <w:bookmarkEnd w:id="2"/>
    <w:p w14:paraId="576CABC8">
      <w:pPr>
        <w:adjustRightInd/>
        <w:spacing w:line="360" w:lineRule="auto"/>
        <w:jc w:val="center"/>
        <w:outlineLvl w:val="0"/>
        <w:rPr>
          <w:rFonts w:hint="eastAsia" w:ascii="仿宋" w:hAnsi="仿宋" w:eastAsia="仿宋" w:cs="仿宋_GB2312"/>
          <w:b/>
          <w:color w:val="auto"/>
          <w:sz w:val="36"/>
          <w:szCs w:val="20"/>
          <w:highlight w:val="none"/>
        </w:rPr>
      </w:pPr>
      <w:bookmarkStart w:id="7" w:name="_Hlt74729822"/>
      <w:bookmarkEnd w:id="7"/>
      <w:bookmarkStart w:id="8" w:name="_Hlt74649545"/>
      <w:bookmarkEnd w:id="8"/>
      <w:bookmarkStart w:id="9" w:name="_Hlt74707423"/>
      <w:bookmarkEnd w:id="9"/>
      <w:bookmarkStart w:id="10" w:name="_Hlt74728647"/>
      <w:bookmarkEnd w:id="10"/>
      <w:bookmarkStart w:id="11" w:name="第二部分"/>
      <w:bookmarkStart w:id="12" w:name="_Toc91899870"/>
      <w:bookmarkStart w:id="13" w:name="_Toc91899871"/>
    </w:p>
    <w:p w14:paraId="60595445">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26F2157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595A7B7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嘉善县区域急诊医学中心医疗组合家具采购项目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0"/>
          <w:rFonts w:ascii="仿宋_GB2312" w:hAnsi="仿宋" w:eastAsia="仿宋_GB2312"/>
          <w:color w:val="auto"/>
          <w:sz w:val="24"/>
          <w:highlight w:val="none"/>
        </w:rPr>
        <w:t>https://www.zcygov.cn/）获取（下载）招标文件，并于</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727BD5C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7EDDC62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JXYJ2024030</w:t>
      </w:r>
      <w:r>
        <w:rPr>
          <w:rFonts w:hint="eastAsia" w:ascii="仿宋_GB2312" w:hAnsi="仿宋" w:eastAsia="仿宋_GB2312"/>
          <w:b/>
          <w:color w:val="auto"/>
          <w:sz w:val="24"/>
          <w:highlight w:val="none"/>
        </w:rPr>
        <w:t>(G)</w:t>
      </w:r>
    </w:p>
    <w:p w14:paraId="069AE892">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嘉善县区域急诊医学中心医疗组合家具采购项目</w:t>
      </w:r>
    </w:p>
    <w:p w14:paraId="4780581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eastAsia="zh-CN"/>
        </w:rPr>
        <w:t>4200000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2948D31F">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eastAsia="zh-CN"/>
        </w:rPr>
        <w:t>4200000</w:t>
      </w:r>
      <w:r>
        <w:rPr>
          <w:rFonts w:hint="eastAsia" w:ascii="仿宋_GB2312" w:hAnsi="仿宋" w:eastAsia="仿宋_GB2312"/>
          <w:color w:val="auto"/>
          <w:sz w:val="24"/>
          <w:highlight w:val="none"/>
        </w:rPr>
        <w:t xml:space="preserve"> </w:t>
      </w:r>
    </w:p>
    <w:p w14:paraId="38729FE3">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14:paraId="00990441">
      <w:pPr>
        <w:pStyle w:val="1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lang w:eastAsia="zh-CN"/>
        </w:rPr>
        <w:t>合同签订后待采购人发出供货通知单起60日历天内送货到采购人指定地点并完成安装调试工作且经采购人或采购人委托的第三方验收单位验收合格</w:t>
      </w:r>
      <w:r>
        <w:rPr>
          <w:rFonts w:hint="eastAsia" w:ascii="仿宋_GB2312" w:hAnsi="仿宋" w:eastAsia="仿宋_GB2312"/>
          <w:bCs/>
          <w:snapToGrid/>
          <w:color w:val="auto"/>
          <w:kern w:val="2"/>
          <w:sz w:val="22"/>
          <w:szCs w:val="22"/>
          <w:highlight w:val="none"/>
        </w:rPr>
        <w:t>。</w:t>
      </w:r>
    </w:p>
    <w:p w14:paraId="004FA504">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22EEDF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1813145A">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396F64B">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0D856B6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4238EA1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7C626BE8">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2D9AF6A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3A4A6E16">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785444E3">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10A5F037">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50596C4D">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14201BBA">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14:paraId="64CDCB67">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8B252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4E6DB658">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3DAD057B">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752F04E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7D6F36E6">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03C5B89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66AA588F">
      <w:pPr>
        <w:spacing w:line="360" w:lineRule="auto"/>
        <w:ind w:firstLine="482" w:firstLineChars="200"/>
        <w:rPr>
          <w:rFonts w:ascii="仿宋_GB2312" w:hAnsi="仿宋" w:eastAsia="仿宋_GB2312"/>
          <w:color w:val="0000FF"/>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r>
        <w:rPr>
          <w:rFonts w:hint="eastAsia" w:ascii="仿宋_GB2312" w:hAnsi="仿宋" w:eastAsia="仿宋_GB2312"/>
          <w:color w:val="0000FF"/>
          <w:sz w:val="24"/>
          <w:highlight w:val="none"/>
        </w:rPr>
        <w:t>（北京时间）</w:t>
      </w:r>
    </w:p>
    <w:p w14:paraId="404179A5">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30B0EF">
      <w:pPr>
        <w:spacing w:line="360" w:lineRule="auto"/>
        <w:ind w:firstLine="482" w:firstLineChars="200"/>
        <w:rPr>
          <w:rFonts w:ascii="仿宋_GB2312" w:hAnsi="仿宋" w:eastAsia="仿宋_GB2312"/>
          <w:bCs/>
          <w:color w:val="0000FF"/>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28ABBBF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4E0AD1FC">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544D462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4EABCFF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6B402F4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52740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77F59F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8D312">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0F33AE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521B46B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368954D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浙江省嘉善县第一人民医院</w:t>
      </w:r>
      <w:r>
        <w:rPr>
          <w:rFonts w:ascii="仿宋_GB2312" w:hAnsi="仿宋" w:eastAsia="仿宋_GB2312"/>
          <w:color w:val="auto"/>
          <w:sz w:val="24"/>
          <w:highlight w:val="none"/>
        </w:rPr>
        <w:t xml:space="preserve"> </w:t>
      </w:r>
    </w:p>
    <w:p w14:paraId="7768CCB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嘉善县罗星街道体育南路1218号</w:t>
      </w:r>
      <w:r>
        <w:rPr>
          <w:rFonts w:ascii="仿宋_GB2312" w:hAnsi="仿宋" w:eastAsia="仿宋_GB2312"/>
          <w:color w:val="auto"/>
          <w:sz w:val="24"/>
          <w:highlight w:val="none"/>
        </w:rPr>
        <w:t xml:space="preserve">      </w:t>
      </w:r>
    </w:p>
    <w:p w14:paraId="7ED0124D">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项目联系人（询问）：朱女士</w:t>
      </w:r>
    </w:p>
    <w:p w14:paraId="32F1DB27">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项目联系方式（询问）：0573-84289899</w:t>
      </w:r>
    </w:p>
    <w:p w14:paraId="62DE5CAC">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质疑联系人：严先生</w:t>
      </w:r>
    </w:p>
    <w:p w14:paraId="28436B7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质疑联系方式：0573-84039637 </w:t>
      </w:r>
    </w:p>
    <w:p w14:paraId="5685CCD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7AC16E05">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4F76A97">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14:paraId="210A8E8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14:paraId="33CEC49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742DD87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36346B6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0DDB70A">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0763E11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04C74A0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34E69DA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5B2252E2">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14:paraId="2FB99B4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14569D5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422D0CC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75CD3904">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6F715FC3">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14:paraId="061F8DA7">
      <w:pPr>
        <w:pStyle w:val="26"/>
        <w:numPr>
          <w:ilvl w:val="0"/>
          <w:numId w:val="2"/>
        </w:numPr>
        <w:spacing w:line="240" w:lineRule="auto"/>
        <w:rPr>
          <w:rFonts w:hint="eastAsia"/>
          <w:b/>
          <w:bCs/>
          <w:color w:val="auto"/>
          <w:highlight w:val="none"/>
          <w:lang w:val="en-US" w:eastAsia="zh-CN"/>
        </w:rPr>
      </w:pPr>
      <w:r>
        <w:rPr>
          <w:rFonts w:hint="eastAsia"/>
          <w:b/>
          <w:bCs/>
          <w:color w:val="auto"/>
          <w:highlight w:val="none"/>
          <w:lang w:val="en-US" w:eastAsia="zh-CN"/>
        </w:rPr>
        <w:t>采购清单</w:t>
      </w:r>
    </w:p>
    <w:p w14:paraId="08D3A5F5">
      <w:pPr>
        <w:pStyle w:val="26"/>
        <w:numPr>
          <w:ilvl w:val="0"/>
          <w:numId w:val="0"/>
        </w:numPr>
        <w:spacing w:line="240" w:lineRule="auto"/>
        <w:rPr>
          <w:rFonts w:hint="eastAsia"/>
          <w:color w:val="auto"/>
          <w:highlight w:val="none"/>
          <w:lang w:val="en-US" w:eastAsia="zh-CN"/>
        </w:rPr>
      </w:pPr>
    </w:p>
    <w:p w14:paraId="1F6F5600">
      <w:pPr>
        <w:pStyle w:val="26"/>
        <w:numPr>
          <w:ilvl w:val="0"/>
          <w:numId w:val="0"/>
        </w:numPr>
        <w:spacing w:line="240" w:lineRule="auto"/>
        <w:jc w:val="left"/>
        <w:rPr>
          <w:rFonts w:hint="eastAsia"/>
          <w:color w:val="auto"/>
          <w:highlight w:val="none"/>
          <w:lang w:val="en-US" w:eastAsia="zh-CN"/>
        </w:rPr>
      </w:pPr>
      <w:r>
        <w:rPr>
          <w:rFonts w:hint="eastAsia"/>
          <w:color w:val="auto"/>
          <w:highlight w:val="none"/>
          <w:lang w:val="en-US" w:eastAsia="zh-CN"/>
        </w:rPr>
        <w:t>（具体采购清单内容详见附件嘉善县区域急诊医学中心医疗组合家具采购项目-采购清单）</w:t>
      </w:r>
    </w:p>
    <w:p w14:paraId="141E72B6">
      <w:pPr>
        <w:pStyle w:val="6"/>
        <w:ind w:left="0" w:firstLine="0"/>
        <w:jc w:val="both"/>
        <w:rPr>
          <w:rStyle w:val="975"/>
          <w:rFonts w:ascii="宋体" w:hAnsi="宋体" w:cs="宋体"/>
          <w:color w:val="auto"/>
          <w:sz w:val="24"/>
          <w:szCs w:val="24"/>
          <w:highlight w:val="none"/>
        </w:rPr>
      </w:pPr>
      <w:r>
        <w:rPr>
          <w:rStyle w:val="975"/>
          <w:rFonts w:hint="eastAsia" w:ascii="宋体" w:hAnsi="宋体" w:cs="宋体"/>
          <w:color w:val="auto"/>
          <w:sz w:val="24"/>
          <w:szCs w:val="24"/>
          <w:highlight w:val="none"/>
          <w:lang w:eastAsia="zh-CN"/>
        </w:rPr>
        <w:t>二</w:t>
      </w:r>
      <w:r>
        <w:rPr>
          <w:rStyle w:val="975"/>
          <w:rFonts w:hint="eastAsia" w:ascii="宋体" w:hAnsi="宋体" w:cs="宋体"/>
          <w:color w:val="auto"/>
          <w:sz w:val="24"/>
          <w:szCs w:val="24"/>
          <w:highlight w:val="none"/>
        </w:rPr>
        <w:t>、主要原材料技术参数要求</w:t>
      </w:r>
    </w:p>
    <w:p w14:paraId="00A82080">
      <w:pPr>
        <w:pStyle w:val="6"/>
        <w:ind w:left="0" w:firstLine="0"/>
        <w:jc w:val="both"/>
        <w:rPr>
          <w:rStyle w:val="975"/>
          <w:rFonts w:ascii="宋体" w:hAnsi="宋体" w:cs="宋体"/>
          <w:color w:val="auto"/>
          <w:sz w:val="21"/>
          <w:szCs w:val="21"/>
          <w:highlight w:val="none"/>
        </w:rPr>
      </w:pPr>
      <w:r>
        <w:rPr>
          <w:rStyle w:val="975"/>
          <w:rFonts w:hint="eastAsia" w:ascii="宋体" w:hAnsi="宋体" w:cs="宋体"/>
          <w:color w:val="auto"/>
          <w:sz w:val="21"/>
          <w:szCs w:val="21"/>
          <w:highlight w:val="none"/>
        </w:rPr>
        <w:t>1、医用人造石（医用亚克力人造石）</w:t>
      </w:r>
    </w:p>
    <w:tbl>
      <w:tblPr>
        <w:tblStyle w:val="66"/>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1215"/>
        <w:gridCol w:w="6896"/>
      </w:tblGrid>
      <w:tr w14:paraId="7DE0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5225DD52">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2A62A7">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630BD4E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5E266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2FFCB05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E1400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人造石材质要求</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27772B8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台面采用材质为医用复合亚克力人造石，材料厚度≥1.2cm。</w:t>
            </w:r>
          </w:p>
        </w:tc>
      </w:tr>
      <w:tr w14:paraId="6F168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699B92F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AF472B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6F765FF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一、落球冲击：450g钢球，冲击高度3000mm,样品不破损。</w:t>
            </w:r>
          </w:p>
          <w:p w14:paraId="0A0A230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二、耐污染性：</w:t>
            </w:r>
          </w:p>
          <w:p w14:paraId="6D7ADBB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1、耐污值总和：≤64。2、最大污迹深度：≤0.12mm。</w:t>
            </w:r>
          </w:p>
          <w:p w14:paraId="7F2F067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三、耐燃烧性能：</w:t>
            </w:r>
          </w:p>
          <w:p w14:paraId="164AD5E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1、阻燃性能（氧指数，%）：≥40%。</w:t>
            </w:r>
          </w:p>
          <w:p w14:paraId="36C369C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四、巴氏硬度（A级）：≥65。</w:t>
            </w:r>
          </w:p>
          <w:p w14:paraId="677B51C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五、冲击韧性：≥4.0kJ/m²。</w:t>
            </w:r>
          </w:p>
          <w:p w14:paraId="4508B9E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六、弯曲性能：</w:t>
            </w:r>
          </w:p>
          <w:p w14:paraId="3E45689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1、弯曲强度：≥40MPa。2、弯曲弹性模量：≥6.5GPa。</w:t>
            </w:r>
          </w:p>
          <w:p w14:paraId="69E7C98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七、耐磨性：≤0.6g。</w:t>
            </w:r>
          </w:p>
          <w:p w14:paraId="3E92CA5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八、放射性防护分类控制（放射性核素限量）：</w:t>
            </w:r>
          </w:p>
          <w:p w14:paraId="3FDCE31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1、外照射指数：≤1.3。2、内照射指数：≤1.0。</w:t>
            </w:r>
          </w:p>
          <w:p w14:paraId="4A96DCD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九、线性热膨胀系数：≤5.0×10</w:t>
            </w:r>
            <w:r>
              <w:rPr>
                <w:rStyle w:val="975"/>
                <w:rFonts w:hint="eastAsia" w:asciiTheme="minorEastAsia" w:hAnsiTheme="minorEastAsia" w:eastAsiaTheme="minorEastAsia" w:cstheme="minorEastAsia"/>
                <w:color w:val="auto"/>
                <w:sz w:val="21"/>
                <w:szCs w:val="21"/>
                <w:highlight w:val="none"/>
                <w:vertAlign w:val="superscript"/>
                <w:lang w:bidi="ar-SA"/>
              </w:rPr>
              <w:t>-5</w:t>
            </w:r>
            <w:r>
              <w:rPr>
                <w:rStyle w:val="975"/>
                <w:rFonts w:hint="eastAsia" w:asciiTheme="minorEastAsia" w:hAnsiTheme="minorEastAsia" w:eastAsiaTheme="minorEastAsia" w:cstheme="minorEastAsia"/>
                <w:color w:val="auto"/>
                <w:sz w:val="21"/>
                <w:szCs w:val="21"/>
                <w:highlight w:val="none"/>
                <w:lang w:bidi="ar-SA"/>
              </w:rPr>
              <w:t xml:space="preserve"> ℃</w:t>
            </w:r>
            <w:r>
              <w:rPr>
                <w:rStyle w:val="975"/>
                <w:rFonts w:hint="eastAsia" w:asciiTheme="minorEastAsia" w:hAnsiTheme="minorEastAsia" w:eastAsiaTheme="minorEastAsia" w:cstheme="minorEastAsia"/>
                <w:color w:val="auto"/>
                <w:sz w:val="21"/>
                <w:szCs w:val="21"/>
                <w:highlight w:val="none"/>
                <w:vertAlign w:val="superscript"/>
                <w:lang w:bidi="ar-SA"/>
              </w:rPr>
              <w:t>-1</w:t>
            </w:r>
            <w:r>
              <w:rPr>
                <w:rStyle w:val="975"/>
                <w:rFonts w:hint="eastAsia" w:asciiTheme="minorEastAsia" w:hAnsiTheme="minorEastAsia" w:eastAsiaTheme="minorEastAsia" w:cstheme="minorEastAsia"/>
                <w:color w:val="auto"/>
                <w:sz w:val="21"/>
                <w:szCs w:val="21"/>
                <w:highlight w:val="none"/>
                <w:lang w:bidi="ar-SA"/>
              </w:rPr>
              <w:t>。</w:t>
            </w:r>
          </w:p>
          <w:p w14:paraId="5D18FC2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十、铅(Pb)：≤3mg/kg。镉(Cd)：≤3mg/kg。汞(Hg)：≤3mg/kg。六价铬(Cr/VI)：≤12mg/kg。</w:t>
            </w:r>
          </w:p>
          <w:p w14:paraId="5319AD7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十一、1、对一溴联苯、二溴联苯、三溴联苯、四溴联苯、五溴联苯、六溴联苯、七溴联苯、八溴联苯、九溴联苯、十溴联苯：&lt;5mg/kg。</w:t>
            </w:r>
          </w:p>
          <w:p w14:paraId="35BF769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2、上述多溴联苯总和≤1000mg/kg。</w:t>
            </w:r>
          </w:p>
          <w:p w14:paraId="2F8E237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十二、1、对一溴二苯醚、二溴二苯醚、三溴二苯醚、四溴二苯醚、五溴二苯醚、六溴二苯醚、七溴二苯醚、八溴二苯醚、九溴二苯醚、十溴二苯醚：&lt;5mg/kg。</w:t>
            </w:r>
          </w:p>
          <w:p w14:paraId="4456287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2、上述多溴二苯醚总和≤1000mg/kg。</w:t>
            </w:r>
          </w:p>
          <w:p w14:paraId="7D8D52E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十三、抗病毒活性：</w:t>
            </w:r>
          </w:p>
          <w:p w14:paraId="4D5EEEA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54FC0E8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四、抗菌性能：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18167B8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十五、防霉测试：按照GB/T 24128-2018《塑料塑料防霉剂的防霉效果评估》：</w:t>
            </w:r>
          </w:p>
          <w:p w14:paraId="49DB1938">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E47F975">
      <w:pPr>
        <w:bidi w:val="0"/>
        <w:rPr>
          <w:rStyle w:val="975"/>
          <w:rFonts w:hint="eastAsia" w:asciiTheme="minorEastAsia" w:hAnsiTheme="minorEastAsia" w:eastAsiaTheme="minorEastAsia" w:cstheme="minorEastAsia"/>
          <w:color w:val="auto"/>
          <w:sz w:val="21"/>
          <w:szCs w:val="21"/>
          <w:highlight w:val="none"/>
        </w:rPr>
      </w:pPr>
    </w:p>
    <w:p w14:paraId="5151AD1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2、环氧聚酯粉末（热固性粉末）</w:t>
      </w:r>
    </w:p>
    <w:tbl>
      <w:tblPr>
        <w:tblStyle w:val="66"/>
        <w:tblW w:w="9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235"/>
        <w:gridCol w:w="6771"/>
      </w:tblGrid>
      <w:tr w14:paraId="20EB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5C209E79">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288C04A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14A8858D">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30F5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77CCF90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4C5B7E7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705EAFE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表面采用环保型环氧聚酯粉末静电喷涂，喷涂采用流水线喷涂，涂层膜厚度均匀，颜色可根据院方要求定制。</w:t>
            </w:r>
          </w:p>
        </w:tc>
      </w:tr>
      <w:tr w14:paraId="04DE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1E9628D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3616B05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喷涂流程</w:t>
            </w:r>
          </w:p>
          <w:p w14:paraId="072E153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47E8A98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金属产品喷涂前必须前处理，包括除油，除尘，清洗，纳米陶化或者硅烷镀膜等保障产品喷涂质量的前处理工艺</w:t>
            </w:r>
          </w:p>
        </w:tc>
      </w:tr>
      <w:tr w14:paraId="0F4A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2FF08A1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4FE28E4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68C009D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按照检验依据：HG/T2006-2006/HG/T2006-2022</w:t>
            </w:r>
          </w:p>
          <w:p w14:paraId="57AE2F7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一、容器中状态：色泽均匀，无异物，呈松散粉末状。</w:t>
            </w:r>
          </w:p>
          <w:p w14:paraId="737DB6F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二、筛余物(125μm)：全部通过。</w:t>
            </w:r>
          </w:p>
          <w:p w14:paraId="7BFABB2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三、硬度(擦伤)：≥H。</w:t>
            </w:r>
          </w:p>
          <w:p w14:paraId="35E1670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四、附着力：≤1级。</w:t>
            </w:r>
          </w:p>
          <w:p w14:paraId="4FC7F65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五、耐冲击性：50cm冲击试验，漆膜无异常。</w:t>
            </w:r>
          </w:p>
          <w:p w14:paraId="55BC17C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六、弯曲试验：2mm。</w:t>
            </w:r>
          </w:p>
          <w:p w14:paraId="7B843D1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七、杯突[光泽(60°)≤60]：≥6mm。</w:t>
            </w:r>
          </w:p>
          <w:p w14:paraId="10EA518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八、耐碱性(5%NaOH)：≥400H无异常。</w:t>
            </w:r>
          </w:p>
          <w:p w14:paraId="15300F4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九、耐酸性(3%HC1)：≥240h无异常。</w:t>
            </w:r>
          </w:p>
          <w:p w14:paraId="09CC813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十、耐沸水性：≥400H无异常。</w:t>
            </w:r>
          </w:p>
          <w:p w14:paraId="3C2222A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十一、耐湿热性：≥400H无异常。</w:t>
            </w:r>
          </w:p>
          <w:p w14:paraId="7BBE63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十二、耐盐雾性：≥400H划痕处单向锈蚀≤2mm,未划痕区无起泡、生锈、开裂、剥落等异常现象。</w:t>
            </w:r>
          </w:p>
        </w:tc>
      </w:tr>
    </w:tbl>
    <w:p w14:paraId="04F67914">
      <w:pPr>
        <w:rPr>
          <w:rFonts w:hint="eastAsia" w:asciiTheme="minorEastAsia" w:hAnsiTheme="minorEastAsia" w:eastAsiaTheme="minorEastAsia" w:cstheme="minorEastAsia"/>
          <w:color w:val="auto"/>
          <w:sz w:val="21"/>
          <w:szCs w:val="21"/>
          <w:highlight w:val="none"/>
        </w:rPr>
      </w:pPr>
    </w:p>
    <w:p w14:paraId="3888956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3、电解钢板喷涂样块</w:t>
      </w:r>
    </w:p>
    <w:tbl>
      <w:tblPr>
        <w:tblStyle w:val="66"/>
        <w:tblW w:w="9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1244"/>
        <w:gridCol w:w="6705"/>
      </w:tblGrid>
      <w:tr w14:paraId="60BD6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00DECDD0">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7AEF044">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0D7A216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624F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7B0AF1D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B77A86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67AEBD9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采用电解钢板制作，表面采用环保型环氧聚酯粉末静电喷涂，喷涂采用流水线喷涂，涂层膜厚度均匀，颜色可根据院方要求定制。</w:t>
            </w:r>
          </w:p>
        </w:tc>
      </w:tr>
      <w:tr w14:paraId="59FA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3604DF3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B5CDDD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喷涂流程</w:t>
            </w:r>
          </w:p>
          <w:p w14:paraId="3B20F95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74D9FC9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金属产品喷涂前必须前处理，包括除油，除尘，清洗，纳米陶化或者硅烷镀膜等保障产品喷涂质量的前处理工艺</w:t>
            </w:r>
          </w:p>
        </w:tc>
      </w:tr>
      <w:tr w14:paraId="23FE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35E5CB1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384DBA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2E05D24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一、金属喷漆 (塑)涂层：</w:t>
            </w:r>
          </w:p>
          <w:p w14:paraId="4E6BFB8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1、硬度≥H。2、冲击强度：冲击高度400mm,应无剥落、裂纹、 皱纹。</w:t>
            </w:r>
          </w:p>
          <w:p w14:paraId="1768C2B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3、附着力：应不低于2级。</w:t>
            </w:r>
          </w:p>
          <w:p w14:paraId="36879A2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二、耐腐蚀性能：</w:t>
            </w:r>
          </w:p>
          <w:p w14:paraId="451A317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r>
              <w:rPr>
                <w:rFonts w:hint="eastAsia" w:asciiTheme="minorEastAsia" w:hAnsiTheme="minorEastAsia" w:eastAsiaTheme="minorEastAsia" w:cstheme="minorEastAsia"/>
                <w:color w:val="auto"/>
                <w:spacing w:val="-41"/>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3E5F73A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三、耐湿热性能(≥400h)：</w:t>
            </w:r>
          </w:p>
          <w:p w14:paraId="0EFCDBA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1、无裂缝、开裂、起皱、鼓泡等现象。2、综合评级1级。</w:t>
            </w:r>
          </w:p>
          <w:p w14:paraId="2C0BFDC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 xml:space="preserve">四、光泽度：≥80。 </w:t>
            </w:r>
          </w:p>
          <w:p w14:paraId="5D017C5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五、产品有害物质：（家具涂层可迁移元素）</w:t>
            </w:r>
          </w:p>
          <w:p w14:paraId="4B700AF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铅Pb：≤90mg/kg、镉Cd≤50mg/kg、铬Cr≤25mg/kg、汞Hg≤25mg/kg、锑Sb≤60mg/kg、钡Ba≤1000mg/kg、硒Se≤500mg/kg、砷As≤25mg/kg。</w:t>
            </w:r>
          </w:p>
          <w:p w14:paraId="4AFF878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六、维氏硬度：≥80。</w:t>
            </w:r>
          </w:p>
          <w:p w14:paraId="0A3A440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七、化学成分(%)：</w:t>
            </w:r>
          </w:p>
          <w:p w14:paraId="7733FEB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碳(C)：≤0.12、锰(Mn)：≤0.60、磷(P)：≤0.030、硫(S)：≤0.030、总铝(Alt)：≥0.020。</w:t>
            </w:r>
          </w:p>
          <w:p w14:paraId="283AE3F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八、力学性能(室温拉伸)：</w:t>
            </w:r>
          </w:p>
          <w:p w14:paraId="7396B9C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1、断后伸长率：≥28%、抗拉强度： 270～410MPa、规定塑性延伸强度</w:t>
            </w:r>
            <w:r>
              <w:rPr>
                <w:rStyle w:val="975"/>
                <w:rFonts w:hint="eastAsia" w:asciiTheme="minorEastAsia" w:hAnsiTheme="minorEastAsia" w:eastAsiaTheme="minorEastAsia" w:cstheme="minorEastAsia"/>
                <w:color w:val="auto"/>
                <w:sz w:val="21"/>
                <w:szCs w:val="21"/>
                <w:highlight w:val="none"/>
                <w:vertAlign w:val="subscript"/>
                <w:lang w:bidi="ar-SA"/>
              </w:rPr>
              <w:t>：</w:t>
            </w:r>
            <w:r>
              <w:rPr>
                <w:rStyle w:val="975"/>
                <w:rFonts w:hint="eastAsia" w:asciiTheme="minorEastAsia" w:hAnsiTheme="minorEastAsia" w:eastAsiaTheme="minorEastAsia" w:cstheme="minorEastAsia"/>
                <w:color w:val="auto"/>
                <w:sz w:val="21"/>
                <w:szCs w:val="21"/>
                <w:highlight w:val="none"/>
                <w:lang w:bidi="ar-SA"/>
              </w:rPr>
              <w:t>≤280MPa。</w:t>
            </w:r>
          </w:p>
          <w:p w14:paraId="1B0440F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九、金相组织（晶粒度）：≥6级。</w:t>
            </w:r>
          </w:p>
          <w:p w14:paraId="1FB7EFA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十、涂层厚度：≥60μm。</w:t>
            </w:r>
          </w:p>
          <w:p w14:paraId="38DBF82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十一、抗病毒活性：至少对任意2种病毒抗病毒活性率≥99%。</w:t>
            </w:r>
          </w:p>
          <w:p w14:paraId="7727B04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十二、抗菌性能：按照GB/T21866-2008《抗菌 涂料(漆膜)抗菌性测定法和抗菌效果》：</w:t>
            </w:r>
          </w:p>
          <w:p w14:paraId="24A1824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6C742A3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十三、耐霉菌性：按照GB/T 1741-2020《漆膜耐霉菌性测定法》：</w:t>
            </w:r>
          </w:p>
          <w:p w14:paraId="03710182">
            <w:pPr>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34381071">
      <w:pPr>
        <w:bidi w:val="0"/>
        <w:rPr>
          <w:rStyle w:val="975"/>
          <w:rFonts w:hint="eastAsia" w:asciiTheme="minorEastAsia" w:hAnsiTheme="minorEastAsia" w:eastAsiaTheme="minorEastAsia" w:cstheme="minorEastAsia"/>
          <w:color w:val="auto"/>
          <w:sz w:val="21"/>
          <w:szCs w:val="21"/>
          <w:highlight w:val="none"/>
        </w:rPr>
      </w:pPr>
    </w:p>
    <w:p w14:paraId="594E396C">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4、导轨</w:t>
      </w:r>
    </w:p>
    <w:tbl>
      <w:tblPr>
        <w:tblStyle w:val="66"/>
        <w:tblW w:w="9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1"/>
        <w:gridCol w:w="1244"/>
        <w:gridCol w:w="6743"/>
      </w:tblGrid>
      <w:tr w14:paraId="5E37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1B037211">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AF20F5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686F9164">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443E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0C98962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202CBC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713AAE4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1、治疗柜采用走珠滑轨，抽拉自如，抽屉内能放置30kg负载重量，导轨需在高温+50℃，低温-30℃能正常使用且不渗油，开关顺滑，双叠全拉带定位结构，防止滑出，静音效果好，使用寿命长。</w:t>
            </w:r>
          </w:p>
          <w:p w14:paraId="7B5BDED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2、处置柜采用托底三节走珠滑轨，抽拉自如，抽屉内能放置50kg负载重量，导轨需在高温+50℃，低温-30℃能正常使用且不渗油，开关顺滑，双叠全拉带定位结构，防止滑出，静音效果好，使用寿命长。</w:t>
            </w:r>
          </w:p>
          <w:p w14:paraId="20890D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大输液柜采用承重金属走珠滑轨，抽拉自如，抽屉内能放置60kg负载重量，导轨配置与金属导轨模块配套的专用卡槽结构，导轨需在高温+50℃，低温-30℃能正常使用且不渗油，开关顺滑，双叠全拉带定位结构，防止滑出，静音效果好，使用寿命长。</w:t>
            </w:r>
          </w:p>
        </w:tc>
      </w:tr>
      <w:tr w14:paraId="7274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39D32D3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30E5E2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3D53927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一、过载:</w:t>
            </w:r>
          </w:p>
          <w:p w14:paraId="36FBD1E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垂直向下静载荷(300N）、水平侧向静载荷(150N) 、猛关(10kg 、猛开(10kg)</w:t>
            </w:r>
          </w:p>
          <w:p w14:paraId="3CAC43D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二、功能：</w:t>
            </w:r>
          </w:p>
          <w:p w14:paraId="3DFC0ED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1、操作力：①拉力（耐久性试验前）:当M&lt;40Kg时，拉力≤50N②拉力(耐久性试验后):当M&lt;40Kg时，拉力≤50N③推力）耐久性试验前):当M&lt;40Kg时，推力≤50N④推力(耐久性试验后):当M&lt;40Kg时，推力≤50N。</w:t>
            </w:r>
          </w:p>
          <w:p w14:paraId="01AB52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2、抽屉导轨组件底部变形：变形量不应超过内部尺寸(宽度和深度)最窄部分的1/75。</w:t>
            </w:r>
          </w:p>
          <w:p w14:paraId="2859743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3、抽屉导轨组件结构强度(200N)、耐久性(80000次)、垂直向下静载荷(320N)、水平侧向静载荷(200N)、拉出安全性</w:t>
            </w:r>
          </w:p>
          <w:p w14:paraId="782CAFE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4、下沉量：下沉量不应超过抽屉导轨拉出长度的4%。</w:t>
            </w:r>
          </w:p>
          <w:p w14:paraId="050C1B0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三、耐腐蚀性能：</w:t>
            </w:r>
          </w:p>
          <w:p w14:paraId="297D94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7040DC6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四、耐湿热性能(≥400h)：</w:t>
            </w:r>
          </w:p>
          <w:p w14:paraId="12FD160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1、无裂缝、开裂、起皱、鼓泡等现象。2、综合评级1级。</w:t>
            </w:r>
          </w:p>
        </w:tc>
      </w:tr>
    </w:tbl>
    <w:p w14:paraId="191B285A">
      <w:pPr>
        <w:bidi w:val="0"/>
        <w:rPr>
          <w:rStyle w:val="975"/>
          <w:rFonts w:hint="eastAsia" w:asciiTheme="minorEastAsia" w:hAnsiTheme="minorEastAsia" w:eastAsiaTheme="minorEastAsia" w:cstheme="minorEastAsia"/>
          <w:color w:val="auto"/>
          <w:sz w:val="21"/>
          <w:szCs w:val="21"/>
          <w:highlight w:val="none"/>
        </w:rPr>
      </w:pPr>
    </w:p>
    <w:p w14:paraId="53CB8A1C">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5、多层板</w:t>
      </w:r>
    </w:p>
    <w:tbl>
      <w:tblPr>
        <w:tblStyle w:val="66"/>
        <w:tblW w:w="9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504"/>
      </w:tblGrid>
      <w:tr w14:paraId="1603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988B3E7">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7760DF6">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4F0DF04E">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7EF9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36B9A12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F801A1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0E8AAA3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优质环保实木多层板，颜色可选。</w:t>
            </w:r>
          </w:p>
        </w:tc>
      </w:tr>
      <w:tr w14:paraId="59F0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3D16A79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67A7752">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49C8F2AA">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按照GB 18580-2017《室内装饰装修材料人造板及其制品中甲醛释放限量》、GB/T 29899-2013《人造板及其制品中挥发性有机化合物释放量试验方法 小型释放舱法》、GB/T 20284-2006《建筑材料或制品的单体燃烧试验》、GB/T 8626-2007《建筑材料可燃性试验方法》：</w:t>
            </w:r>
          </w:p>
          <w:p w14:paraId="35228FB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1</w:t>
            </w:r>
            <w:r>
              <w:rPr>
                <w:rStyle w:val="975"/>
                <w:rFonts w:hint="eastAsia" w:asciiTheme="minorEastAsia" w:hAnsiTheme="minorEastAsia" w:eastAsiaTheme="minorEastAsia" w:cstheme="minorEastAsia"/>
                <w:color w:val="auto"/>
                <w:sz w:val="21"/>
                <w:szCs w:val="21"/>
                <w:highlight w:val="none"/>
              </w:rPr>
              <w:t>、甲醛释放量：≤0.05mg/m³。</w:t>
            </w:r>
          </w:p>
          <w:p w14:paraId="598EE32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二、挥发性有机化合物(72h)：</w:t>
            </w:r>
          </w:p>
          <w:p w14:paraId="3D688903">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苯：≤10ug/m³、甲苯：≤20ug/m³、二甲苯：≤20ug/m³、总挥发性有机化合物(TVOC)：≤100ug/m³。</w:t>
            </w:r>
          </w:p>
          <w:p w14:paraId="2E9535E3">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2D82CC5">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平板状建筑材料：①火焰横向蔓延LFS未达到试样长翼边缘。②600s内无燃烧滴落物/微粒。③60s内焰尖高度Fs≤150mm。④60s内无燃烧滴落物引燃滤纸现象。</w:t>
            </w:r>
          </w:p>
        </w:tc>
      </w:tr>
    </w:tbl>
    <w:p w14:paraId="55DA387F">
      <w:pPr>
        <w:pStyle w:val="808"/>
        <w:rPr>
          <w:rStyle w:val="975"/>
          <w:rFonts w:hint="eastAsia" w:asciiTheme="minorEastAsia" w:hAnsiTheme="minorEastAsia" w:eastAsiaTheme="minorEastAsia" w:cstheme="minorEastAsia"/>
          <w:color w:val="auto"/>
          <w:sz w:val="21"/>
          <w:szCs w:val="21"/>
          <w:highlight w:val="none"/>
        </w:rPr>
      </w:pPr>
    </w:p>
    <w:p w14:paraId="41244FC7">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6、304不锈钢：</w:t>
      </w:r>
    </w:p>
    <w:tbl>
      <w:tblPr>
        <w:tblStyle w:val="66"/>
        <w:tblW w:w="9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297"/>
        <w:gridCol w:w="7404"/>
      </w:tblGrid>
      <w:tr w14:paraId="1389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FAFDB3E">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4E9E240B">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67D75633">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0D76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5966FB8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6AD8B28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04631DC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不锈钢产品统一采用SUS304不锈钢，具有耐蚀、耐高温等性能，可在苛酷的条件下使用。</w:t>
            </w:r>
          </w:p>
        </w:tc>
      </w:tr>
      <w:tr w14:paraId="3806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32E256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11F9FEE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0995EB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一、耐腐蚀性能：</w:t>
            </w:r>
          </w:p>
          <w:p w14:paraId="7987312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)：①试验后，无气泡产生、无锈迹、剥落、起皱、变色和失光等现象。②涂镀层本身的耐腐蚀等级（外观评级）达到10级。③涂镀层对基体的保护评级达到10级。</w:t>
            </w:r>
          </w:p>
          <w:p w14:paraId="368C797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二、耐湿热：</w:t>
            </w:r>
          </w:p>
          <w:p w14:paraId="4A0996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1、温度：70℃,湿度：50%RH,时间：</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。试验后无裂缝，开裂，起皱，鼓泡现象。</w:t>
            </w:r>
          </w:p>
          <w:p w14:paraId="5772FB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2、综合评级1级。</w:t>
            </w:r>
          </w:p>
          <w:p w14:paraId="2F5C4D2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三、维氏硬度：≤210。</w:t>
            </w:r>
          </w:p>
          <w:p w14:paraId="20A24AB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四、弯曲性能：弯心直径：5mm,弯曲角度：180°, 试验后样品无裂纹。</w:t>
            </w:r>
          </w:p>
          <w:p w14:paraId="0EA49B9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五、力学性能(室温拉伸)：</w:t>
            </w:r>
          </w:p>
          <w:p w14:paraId="556C772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抗拉强度：≥700MPa、规定塑性延伸强度：≥310MPa、断后伸长率：≥45%。</w:t>
            </w:r>
          </w:p>
          <w:p w14:paraId="49737A8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六、化学成分(%):</w:t>
            </w:r>
          </w:p>
          <w:p w14:paraId="1192AD1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碳(C)≤0.05、硅(Si)≤0.50、锰(Mn)≤1.20、磷(P)≤0.040、硫(S)≤0.010、铬(Cr)17.50～19.50、镍(Ni)8.00～10.00、铜(Cu)0.30～0.50、氮(N)≤0.03。</w:t>
            </w:r>
          </w:p>
          <w:p w14:paraId="714BAD5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七、理化指标(不锈钢的迁移物指标)：</w:t>
            </w:r>
          </w:p>
          <w:p w14:paraId="6F20F96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砷(As)≤0.04mg/kg、镉(Cd)≤0.02mg/kg、铅(Pb)≤0.05mg/kg、铬(Cr)≤2.0mg/kg、镍(Ni)≤0.5mg/kg。</w:t>
            </w:r>
          </w:p>
          <w:p w14:paraId="4A8E8D37">
            <w:pPr>
              <w:pStyle w:val="977"/>
              <w:numPr>
                <w:ilvl w:val="0"/>
                <w:numId w:val="3"/>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抗菌性能：按照GB/T21866-2008《抗菌 涂料(漆膜)抗菌性测定法和抗菌效果》：</w:t>
            </w:r>
          </w:p>
          <w:p w14:paraId="25EDA9D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1FC2E7FD">
            <w:pPr>
              <w:pStyle w:val="977"/>
              <w:numPr>
                <w:ilvl w:val="0"/>
                <w:numId w:val="3"/>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04DBA49E">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5242EE7">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7、锁具</w:t>
      </w:r>
    </w:p>
    <w:tbl>
      <w:tblPr>
        <w:tblStyle w:val="66"/>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1306"/>
        <w:gridCol w:w="7569"/>
      </w:tblGrid>
      <w:tr w14:paraId="178F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21FDC112">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61B8E1CB">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3D8DEEA6">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5140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7B2FD0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D7ABCD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1A0E282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高危药品柜或毒麻药品柜等采用需采用防盗密码锁双锁控制。</w:t>
            </w:r>
          </w:p>
        </w:tc>
      </w:tr>
      <w:tr w14:paraId="5E16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0605F5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5E39C97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3D90DB1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按照QB/T 1621-2015家具锁、GA 374-2019电子防盗锁、GB/T 10125-2021人造气氛腐蚀试验盐雾试验、GB/T 6461-2002金属基体上金属和其他无机覆盖层经腐蚀试验后的试样和试件的评级：</w:t>
            </w:r>
          </w:p>
          <w:p w14:paraId="0DE6CF6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一、电镀件：电镀件外露表面应色泽均匀，不应有起泡、起层、露底等明显瑕疵。</w:t>
            </w:r>
          </w:p>
          <w:p w14:paraId="663100A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二、电镀件耐腐蚀：电镀件外露表面经12h的中性盐雾试验后，应达到外观评级R</w:t>
            </w:r>
            <w:r>
              <w:rPr>
                <w:rStyle w:val="975"/>
                <w:rFonts w:hint="eastAsia" w:asciiTheme="minorEastAsia" w:hAnsiTheme="minorEastAsia" w:eastAsiaTheme="minorEastAsia" w:cstheme="minorEastAsia"/>
                <w:color w:val="auto"/>
                <w:sz w:val="21"/>
                <w:szCs w:val="21"/>
                <w:highlight w:val="none"/>
                <w:vertAlign w:val="subscript"/>
              </w:rPr>
              <w:t>A</w:t>
            </w:r>
            <w:r>
              <w:rPr>
                <w:rStyle w:val="975"/>
                <w:rFonts w:hint="eastAsia" w:asciiTheme="minorEastAsia" w:hAnsiTheme="minorEastAsia" w:eastAsiaTheme="minorEastAsia" w:cstheme="minorEastAsia"/>
                <w:color w:val="auto"/>
                <w:sz w:val="21"/>
                <w:szCs w:val="21"/>
                <w:highlight w:val="none"/>
              </w:rPr>
              <w:t xml:space="preserve"> 6级的规定。</w:t>
            </w:r>
          </w:p>
          <w:p w14:paraId="490BA54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三、信息保存：</w:t>
            </w:r>
          </w:p>
          <w:p w14:paraId="31BBA6C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A级电子防盗锁在断电24h后锁内保存的信息不应丢失，电源恢复正常后，电子防盗锁应能正常进行启闭。</w:t>
            </w:r>
          </w:p>
          <w:p w14:paraId="6CE1995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四、使用权限管理：</w:t>
            </w:r>
          </w:p>
          <w:p w14:paraId="44B4326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应具有用户使用权限管理功能，在添加或删除用户的过程中，应具有相应的授权机制。</w:t>
            </w:r>
          </w:p>
          <w:p w14:paraId="33C67E6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五、输入错误报警：</w:t>
            </w:r>
          </w:p>
          <w:p w14:paraId="275F4D5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1、采用未授权的数字钥匙和/或PIN 钥匙和/或生物钥匙在5min内连续错误输入次数达到制造商文件中规定的次数时(次数范围：1~5),电子防盗锁应能给出报警提示和/或发出报警信息。2、同时电子防盗锁应能自动进入无效输入状态，且无效输入状态应至少持续90s。</w:t>
            </w:r>
          </w:p>
          <w:p w14:paraId="6D5F986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六、防拆报警：</w:t>
            </w:r>
          </w:p>
          <w:p w14:paraId="56BD9FD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当拆除电子防盗锁的防护面时，应能给出报警提示和/或发出报警信息。</w:t>
            </w:r>
          </w:p>
          <w:p w14:paraId="0B37464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七、识读装置强度：</w:t>
            </w:r>
          </w:p>
          <w:p w14:paraId="35A3D1E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具有键盘盒和/或人体生物特征识别装置和/或读卡器等识读装置的电子防盗锁，在识读装置上施加110N的静压力，作用60s后不应产生永久性变形和损坏。</w:t>
            </w:r>
          </w:p>
          <w:p w14:paraId="6E72A0C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八、防强电场技术开启：</w:t>
            </w:r>
          </w:p>
          <w:p w14:paraId="413DD8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正常工作的电子防盗锁在50V/m 的强电场的作用下，不应出现开启现象。</w:t>
            </w:r>
          </w:p>
          <w:p w14:paraId="260BE8F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九、防强磁场技术开启：</w:t>
            </w:r>
          </w:p>
          <w:p w14:paraId="4D925EA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正常工作的电子防盗锁在0.5T的强磁场的作用下，不应出现开启现象。</w:t>
            </w:r>
          </w:p>
          <w:p w14:paraId="5451019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十、电源：</w:t>
            </w:r>
          </w:p>
          <w:p w14:paraId="4E4963A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1、供电方式：电子防盗锁应采用低电压直流电源(电池)或交流电网电源转直流低电压进行供电。</w:t>
            </w:r>
          </w:p>
          <w:p w14:paraId="13DD701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2、电池容量：使用电池供电时，电池容量应能保证电子防盗锁连续正常启、闭3000次以上。</w:t>
            </w:r>
          </w:p>
          <w:p w14:paraId="40FFDAC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欠压指示：使用电池供电时，当电子防盗锁的供电电压低于标称电压值80%时，应能给出欠压指示，给出欠压指示后的电子防盗锁应还能正常启、闭不少于50次。联网型电子防盗锁应能将电池欠压信息上传至远程终端。</w:t>
            </w:r>
          </w:p>
          <w:p w14:paraId="66FC735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4、电源电压适应范围：电源电压在额定值的85%～100%的范围内变化时，电子防盗锁不需要作任何调整能正常工作。</w:t>
            </w:r>
          </w:p>
          <w:p w14:paraId="370E1C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十一、稳定性：</w:t>
            </w:r>
          </w:p>
          <w:p w14:paraId="4B60798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电子防盗锁连续通电168h,每天进行不少于30次的启、闭操作，不应出现误动作、电气故障或机械故障。</w:t>
            </w:r>
          </w:p>
          <w:p w14:paraId="4C697B1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十二、金属表面耐腐蚀：</w:t>
            </w:r>
          </w:p>
          <w:p w14:paraId="31C5244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乙酸盐雾试验(连续喷雾≥400小时)，R</w:t>
            </w:r>
            <w:r>
              <w:rPr>
                <w:rStyle w:val="975"/>
                <w:rFonts w:hint="eastAsia" w:asciiTheme="minorEastAsia" w:hAnsiTheme="minorEastAsia" w:eastAsiaTheme="minorEastAsia" w:cstheme="minorEastAsia"/>
                <w:color w:val="auto"/>
                <w:sz w:val="21"/>
                <w:szCs w:val="21"/>
                <w:highlight w:val="none"/>
                <w:vertAlign w:val="subscript"/>
              </w:rPr>
              <w:t>A</w:t>
            </w:r>
            <w:r>
              <w:rPr>
                <w:rStyle w:val="975"/>
                <w:rFonts w:hint="eastAsia" w:asciiTheme="minorEastAsia" w:hAnsiTheme="minorEastAsia" w:eastAsiaTheme="minorEastAsia" w:cstheme="minorEastAsia"/>
                <w:color w:val="auto"/>
                <w:sz w:val="21"/>
                <w:szCs w:val="21"/>
                <w:highlight w:val="none"/>
              </w:rPr>
              <w:t>10级，R</w:t>
            </w:r>
            <w:r>
              <w:rPr>
                <w:rStyle w:val="975"/>
                <w:rFonts w:hint="eastAsia" w:asciiTheme="minorEastAsia" w:hAnsiTheme="minorEastAsia" w:eastAsiaTheme="minorEastAsia" w:cstheme="minorEastAsia"/>
                <w:color w:val="auto"/>
                <w:sz w:val="21"/>
                <w:szCs w:val="21"/>
                <w:highlight w:val="none"/>
                <w:vertAlign w:val="subscript"/>
              </w:rPr>
              <w:t>p</w:t>
            </w:r>
            <w:r>
              <w:rPr>
                <w:rStyle w:val="975"/>
                <w:rFonts w:hint="eastAsia" w:asciiTheme="minorEastAsia" w:hAnsiTheme="minorEastAsia" w:eastAsiaTheme="minorEastAsia" w:cstheme="minorEastAsia"/>
                <w:color w:val="auto"/>
                <w:sz w:val="21"/>
                <w:szCs w:val="21"/>
                <w:highlight w:val="none"/>
              </w:rPr>
              <w:t>10级。</w:t>
            </w:r>
          </w:p>
        </w:tc>
      </w:tr>
    </w:tbl>
    <w:p w14:paraId="19361ACF">
      <w:pPr>
        <w:pStyle w:val="6"/>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eastAsia="zh-CN"/>
        </w:rPr>
        <w:t>8</w:t>
      </w:r>
      <w:r>
        <w:rPr>
          <w:rStyle w:val="975"/>
          <w:rFonts w:hint="eastAsia" w:asciiTheme="minorEastAsia" w:hAnsiTheme="minorEastAsia" w:eastAsiaTheme="minorEastAsia" w:cstheme="minorEastAsia"/>
          <w:color w:val="auto"/>
          <w:sz w:val="21"/>
          <w:szCs w:val="21"/>
          <w:highlight w:val="none"/>
        </w:rPr>
        <w:t>、理化板</w:t>
      </w:r>
    </w:p>
    <w:tbl>
      <w:tblPr>
        <w:tblStyle w:val="66"/>
        <w:tblW w:w="10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7"/>
        <w:gridCol w:w="8338"/>
      </w:tblGrid>
      <w:tr w14:paraId="291D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0853F3F">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F30251D">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7B1AD973">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2259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8EE7E7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8AF72CA">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4D0FB96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实芯理化板，颜色可选。</w:t>
            </w:r>
          </w:p>
        </w:tc>
      </w:tr>
      <w:tr w14:paraId="2696C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16638677">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07D9A7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4D0961E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按照GB/T 26696-2011《家具用高分子材料台面板》、GB/T 20284-2006《建筑材料或制品的单体燃烧试验》、GB/T 8626-2007《建筑材料可燃性试验方法》、GB/T 5478-2008《塑料滚动磨损试验方法》、GB/T 1041-2008《塑料压缩性能的测定》、QB/T4371-2012《家具抗菌性能的评价》、GB/T1741-2020《漆膜耐霉菌性测定法》：</w:t>
            </w:r>
          </w:p>
          <w:p w14:paraId="2608608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一、理化性能：1、耐酸碱：≥1级。2、耐高温：≥1级。3、表面耐干热：≥1级。</w:t>
            </w:r>
          </w:p>
          <w:p w14:paraId="7693907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4、吸水率：≤0.5%。5、耐污染：≥1级。6、洛氏硬度：≥80。</w:t>
            </w:r>
          </w:p>
          <w:p w14:paraId="3733B176">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二、氙灯老化(≥400h)：外观颜色变色等级≥3级。</w:t>
            </w:r>
          </w:p>
          <w:p w14:paraId="4CA9A2FE">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92A4AEB">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平板状建筑材料：①火焰横向蔓延LFS未达到试样长翼边缘。②600s内无燃烧滴落物/微粒。③60s内焰尖高度Fs≤150mm。④60s内无燃烧滴落物引燃滤纸现象。</w:t>
            </w:r>
          </w:p>
          <w:p w14:paraId="79E6AF5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四、耐磨性（500g/1000转）、压缩强度：</w:t>
            </w:r>
          </w:p>
          <w:p w14:paraId="69388E26">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1、耐磨性(500g/1000转)：≤0.14g。2、压缩强度≥32MPa。</w:t>
            </w:r>
          </w:p>
          <w:p w14:paraId="71FA0A47">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五、抗菌性能：按照QB/T4371-2012《家具抗菌性能的评价》：</w:t>
            </w:r>
          </w:p>
          <w:p w14:paraId="4137758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27189BD8">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六、耐霉菌性：按照GB/T1741-2020《漆膜耐霉菌性测定法》</w:t>
            </w:r>
          </w:p>
          <w:p w14:paraId="7AA8E7C5">
            <w:pPr>
              <w:pStyle w:val="977"/>
              <w:spacing w:after="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5B74B426">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、主要成品技术参数要求</w:t>
      </w:r>
    </w:p>
    <w:p w14:paraId="491D76CF">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1、治疗柜类产品：</w:t>
      </w:r>
    </w:p>
    <w:tbl>
      <w:tblPr>
        <w:tblStyle w:val="66"/>
        <w:tblW w:w="10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297"/>
        <w:gridCol w:w="8296"/>
      </w:tblGrid>
      <w:tr w14:paraId="5C70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5201AF8">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089C3526">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4148F4F1">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5C208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FC289A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70DCA67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21C62E1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279703A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49CDDE2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下柜台面采用医用复合亚克力人造石台面，抽屉面板处配置透明亚克力标签框，方便插入说明卡片，抽屉面板、门板采用双层防尘工艺设计，避免细菌滋生，安装使用无螺丝装配技术。装饰件、支撑件、连接件、紧固件、挂钩等采用优质电镀件。</w:t>
            </w:r>
          </w:p>
          <w:p w14:paraId="19E8533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47B507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14:paraId="1806519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5、治疗柜抽屉根据护理部需求可选配ABS抗菌药品盒，尺寸为405*405*100mm( 长度*宽度*高度，尺寸±5%偏离），药品盒移动方便，内部可以自由分隔，方便各种药品分类存储。</w:t>
            </w:r>
          </w:p>
        </w:tc>
      </w:tr>
      <w:tr w14:paraId="6E98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12AB692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3EFB28F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外观造型</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773FCA8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1、上中下柜按照人体工学原理，将产品分体成三部分，抽屉及开门的比例，按照日常的使用产品数量进行划分，玻璃与门框之间的大小比例，根据可观察视角进行面积大小分布。</w:t>
            </w:r>
          </w:p>
          <w:p w14:paraId="293432A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2、所有下柜底部都是离地150~200mm的高度，根据国家院感基本要求，内部有上下调节的层板，下柜304不锈钢踢脚线。</w:t>
            </w:r>
          </w:p>
          <w:p w14:paraId="2164BFF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3、中柜及上下柜内都有可调节层板，无菌物品的存放空间随意调节，悬挂式小型挂钩，轻巧方便，操作灵活。</w:t>
            </w:r>
          </w:p>
          <w:p w14:paraId="6BCC009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4、水槽处设有机玻璃挡水装置，方便实用，清洁方便，整体美观。水槽与台面采用台下结合方式。</w:t>
            </w:r>
          </w:p>
        </w:tc>
      </w:tr>
      <w:tr w14:paraId="1FD0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02903D2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20999D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026540D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1、治疗柜根据护理部需要可选配可升降储物拉篮，方便取拿药品，降低护±劳动强度，配备交流电感应或触碰式照明系统，确保配液的光感要求。</w:t>
            </w:r>
          </w:p>
          <w:p w14:paraId="341501A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2、治疗柜钢制抽屉根据护理部需求可选配ABS抗菌药品盒，尺寸为405*405*100mm( 长度*宽度*高度），药品盒移动方便，内部可以自由分隔，方便各种药品分类存储。</w:t>
            </w:r>
          </w:p>
          <w:p w14:paraId="0FBC212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3、可根据需求安装照明灯、装饰灯、强弱电插座。</w:t>
            </w:r>
          </w:p>
          <w:p w14:paraId="5645FE8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4、可根据需求安装密码、指纹、刷卡或者人脸识别锁具。</w:t>
            </w:r>
          </w:p>
          <w:p w14:paraId="270387D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5、可根据需求安装安装显示屏、显示器、电动升降显示器等。</w:t>
            </w:r>
          </w:p>
        </w:tc>
      </w:tr>
      <w:tr w14:paraId="0668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4334CED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4EB8C66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2B98419C">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6BE5F77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507CF6B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0123D30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3083E18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2892102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2897A94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16B1AFD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361D648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694F85C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0022B79A">
            <w:pPr>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1、柜类强度和耐久性：</w:t>
            </w:r>
          </w:p>
          <w:p w14:paraId="146A547B">
            <w:pPr>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u w:val="single"/>
              </w:rPr>
              <w:t>顶板的持续加载：</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p>
          <w:p w14:paraId="34F787EB">
            <w:pPr>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u w:val="single"/>
              </w:rPr>
              <w:t>底板的持续加载：</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p>
          <w:p w14:paraId="1F88DAD7">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u w:val="singl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w:t>
            </w:r>
            <w:r>
              <w:rPr>
                <w:rStyle w:val="975"/>
                <w:rFonts w:hint="eastAsia" w:asciiTheme="minorEastAsia" w:hAnsiTheme="minorEastAsia" w:eastAsiaTheme="minorEastAsia" w:cstheme="minorEastAsia"/>
                <w:color w:val="auto"/>
                <w:sz w:val="21"/>
                <w:szCs w:val="21"/>
                <w:highlight w:val="none"/>
              </w:rPr>
              <w:t>固件应无松动；4)五金连件应无松动；5)活动部件(门、抽屉等)开关应灵活）。</w:t>
            </w:r>
          </w:p>
          <w:p w14:paraId="509F084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502544B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5AEA580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72046B3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7174BEA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4AFEBB4D">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38E07BA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92D84F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274F6D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14DF96C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350EE37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五.产品寿命：（柜类：拉门耐久性 (80000次)：</w:t>
            </w:r>
          </w:p>
          <w:p w14:paraId="52531BA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6945371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4310EEA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7218B49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419541C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6B161F0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4F765E7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500FD7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14A73D17">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00492A8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22F756B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3DD1D55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78EC2DD1">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1291E6A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546572E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575C9D6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2CA430F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02F51B7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358A0CB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15463A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4、人工气候老化试验(氙灯老化）：经≥400h氙灯老化试验，变色等级应  ≤2级，失光等级应≤2级，粉化等级应≤1级，开裂等级应≤1级(S1),起泡等级应≤1级(S1)。</w:t>
            </w:r>
          </w:p>
          <w:p w14:paraId="0F72E7D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6F8DD91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4E9E02E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7471FA2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3、镀镍层维氏硬度≥350 ；</w:t>
            </w:r>
          </w:p>
          <w:p w14:paraId="64AF1961">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6EEEFE8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0F9198F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179F68A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817CDC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DA04FA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0C7E4C3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十三、抗病毒活性：</w:t>
            </w: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5070600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十四、抗菌性能：按照QB/T 4371-2012《家具抗菌性能的评价》：</w:t>
            </w:r>
          </w:p>
          <w:p w14:paraId="4DE58C7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269A46B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十五、耐霉菌性：按照GB/T 1741-2020《漆膜耐霉菌性测定法》：</w:t>
            </w: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428CBE1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2、处置柜类产品：</w:t>
      </w:r>
    </w:p>
    <w:tbl>
      <w:tblPr>
        <w:tblStyle w:val="66"/>
        <w:tblW w:w="104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306"/>
        <w:gridCol w:w="8383"/>
      </w:tblGrid>
      <w:tr w14:paraId="47F7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0E70079">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52E54A9">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35D23F6A">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2287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24FBC69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73B7752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0532967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5450371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3F1B42B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下柜台面采用医用复合亚克力人造石台面，抽屉面板处配置透明亚克力标签框，方便插入说明卡片，抽屉面板、门板采用双层防尘工艺设计，避免细菌滋生，安装使用无螺丝装配技术。装饰件、支撑件、连接件、紧固件、挂钩等采用优质电镀件。</w:t>
            </w:r>
          </w:p>
          <w:p w14:paraId="2324614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559547E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p w14:paraId="72E5F56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5、处置柜互通投递口采用脚踏开启方式，</w:t>
            </w:r>
          </w:p>
          <w:p w14:paraId="60BAED8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6、置柜翻盖板及台面限位围挡采用ABS材料一体成型（严禁无限位围挡，翻盖直接与台面接触），翻盖采用不同颜色来区分医疗垃圾、生活垃圾、感染垃圾等；翻盖内嵌入限位围挡，限位围挡开口尺寸≥300*350mm，与台面高度差≤5mm。</w:t>
            </w:r>
          </w:p>
        </w:tc>
      </w:tr>
      <w:tr w14:paraId="796E7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6A935E5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557301A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外观造型</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11418A9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1、上中下柜按照人体工学原理，将产品分体成三部分，抽屉及开门的比例，按照日常的使用产品数量进行划分，玻璃与门框之间的大小比例，根据可观察视角进行面积大小分布。</w:t>
            </w:r>
          </w:p>
          <w:p w14:paraId="0791C77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2、所有下柜底部都是离地150~200mm的高度，根据国家院感基本要求，内部有上下调节的层板，下柜304不锈钢踢脚线。</w:t>
            </w:r>
          </w:p>
          <w:p w14:paraId="674E1F0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3、中柜及上下柜内都有可调节层板，无菌物品的存放空间随意调节，悬挂式小型挂钩，轻巧方便，操作灵活。</w:t>
            </w:r>
          </w:p>
        </w:tc>
      </w:tr>
      <w:tr w14:paraId="4185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74E9A6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217680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39CE530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1、处置垃圾柜配置脚踏带液压缓降功能的垃圾收纳装置;</w:t>
            </w:r>
          </w:p>
          <w:p w14:paraId="398CF91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处置柜翻盖板及台面限位围挡采用ABS材料一体成型（严禁无限位围挡，翻盖直接与台面接触），翻盖采用不同颜色来区分医疗垃圾、生活垃圾、感染垃圾等；翻盖内嵌入限位围挡，限位围挡开口尺寸≥300*350mm，与台面高度差≤5mm。</w:t>
            </w:r>
          </w:p>
          <w:p w14:paraId="2D169FF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3、所有的垃圾桶可以选用ABS抗菌桶或电解钢板静电喷涂定制垃圾桶，垃圾桶配备垃圾袋固定卡扣装置。</w:t>
            </w:r>
          </w:p>
          <w:p w14:paraId="2EDFE17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4、垃圾收纳系统根据需要可以选配感应垃圾收纳、互通式垃圾收纳装置、推板垃圾收纳、掀盖垃圾收纳、翻盖式收纳、平移式收纳。</w:t>
            </w:r>
          </w:p>
          <w:p w14:paraId="1052F8B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5、可根据需求安装照明灯、装饰灯、强弱电插座。</w:t>
            </w:r>
          </w:p>
          <w:p w14:paraId="1D4FF5B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6、可根据需求安装密码、指纹、刷卡或者人脸识别锁具。</w:t>
            </w:r>
          </w:p>
          <w:p w14:paraId="4DE1619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7、可根据需求安装安装显示屏、显示器、电动升降显示器等。</w:t>
            </w:r>
          </w:p>
        </w:tc>
      </w:tr>
      <w:tr w14:paraId="12CD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23B2C4E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8220AE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00BA88F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2D21940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6165476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2413B43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4890C8F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03E929C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67A004B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72D4B9C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49199B2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392A1E30">
            <w:pPr>
              <w:pStyle w:val="583"/>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三.力学性能：</w:t>
            </w:r>
          </w:p>
          <w:p w14:paraId="0CAAAE5D">
            <w:pPr>
              <w:pStyle w:val="583"/>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1、柜类强度和耐久性：顶板的持续加载：1)所有部件、连接件应无断裂损坏；2)无严重影响使用功能的磨损或变形；3)用手揿压证实，紧固件应无松动；4)五金连件应无松动； 5)活动部件(门、抽屉等)开关应灵活；6)顶板最大挠度≤0.5%；底板的持续加载：1)所有部件、连接件应无断裂损坏；2)无严重影响使用功能的磨损或变形；3)用手揿压证实，紧固件应无松动；4)五金连件应无松动； 5)活动部件(门、抽屉等)开关应灵活；6)底板最大挠度≤0.5%；顶板静载荷、结构和底架强度、跌落、拉门垂直加载、拉门水平加载、拉门猛关、推拉构件强度、推拉构件结构强度、推拉构件猛开：1)所有部件、连接件应无断裂损坏；2)无严重影响使用功能的磨损或变形；3)用手揿压证实，紧固件应无松动；4)五金连件应无松动；5)活动部件(门、抽屉等)开关应灵活）。</w:t>
            </w:r>
          </w:p>
          <w:p w14:paraId="139A5999">
            <w:pPr>
              <w:pStyle w:val="583"/>
              <w:spacing w:line="240" w:lineRule="auto"/>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2、柜类稳定性：</w:t>
            </w:r>
          </w:p>
          <w:p w14:paraId="057B59B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3A58720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02BC575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154818E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20858F5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129F75E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3F8231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00F1CF9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4583191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44B3EE9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59A59AF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1923EE4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4CE3239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6AE71CF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0F4FC56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5051502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6F192F2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57FF64B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29D1744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4FD0A6A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162627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6308EBD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5EB6FC7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3316227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097560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14F2FD4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7BB53ED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75D20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0DE04F2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9C65DE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  ≤2级，失光等级应≤2级，粉化等级应≤1级，开裂等级应≤1级(S1),起泡等级应≤1级(S1)。</w:t>
            </w:r>
          </w:p>
          <w:p w14:paraId="5227FC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3845FA7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DDAAF5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473CABC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7092E7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2756668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5FE74F8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798FFE0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459106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648653B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42E9E0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十三、抗病毒活性：</w:t>
            </w:r>
          </w:p>
          <w:p w14:paraId="39C7E2A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94CC6B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十四、抗菌性能：按照QB/T 4371-2012《家具抗菌性能的评价》：</w:t>
            </w:r>
          </w:p>
          <w:p w14:paraId="7AA1090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B7318E1">
            <w:pPr>
              <w:pStyle w:val="583"/>
              <w:numPr>
                <w:ilvl w:val="0"/>
                <w:numId w:val="0"/>
              </w:numPr>
              <w:spacing w:line="240" w:lineRule="auto"/>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十五、</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2D2075E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p w14:paraId="4176C5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十六、环境适应性(电机部分)：</w:t>
            </w:r>
          </w:p>
          <w:p w14:paraId="1B06CFA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1、高温：温度：50±2℃、时间：≥400h、试验后外观、结构无明显变化，应能正常工作。</w:t>
            </w:r>
          </w:p>
          <w:p w14:paraId="772070E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2、低温：温度：-10±2℃、时间：≥400h、试验后外观、结构无明显变化，应能正常工作。</w:t>
            </w:r>
          </w:p>
          <w:p w14:paraId="5FF5701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3、恒定湿热：温度：40±2℃、相对湿度：90%±2%、时间：≥400h、常温恢复：2h、试验后外观、结构无明显变化，应能正常工作。</w:t>
            </w:r>
          </w:p>
        </w:tc>
      </w:tr>
    </w:tbl>
    <w:p w14:paraId="1B718F04">
      <w:pPr>
        <w:pStyle w:val="6"/>
        <w:spacing w:line="360" w:lineRule="auto"/>
        <w:ind w:left="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3、高危药品柜类产品</w:t>
      </w:r>
    </w:p>
    <w:tbl>
      <w:tblPr>
        <w:tblStyle w:val="66"/>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117"/>
        <w:gridCol w:w="8405"/>
      </w:tblGrid>
      <w:tr w14:paraId="6450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5AB2A3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FDE7C2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49EAAD2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63B1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54269D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DF750E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3D5FA2A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44DFB3F3">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采购人要求定制；金属产品喷涂前必须前处理，包括除油，除尘，清洗，纳米陶化或者硅烷镀膜等保障产品喷涂质量的前处理工艺。</w:t>
            </w:r>
          </w:p>
          <w:p w14:paraId="033C4D0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2、下柜台面采用</w:t>
            </w:r>
            <w:r>
              <w:rPr>
                <w:rStyle w:val="975"/>
                <w:rFonts w:hint="eastAsia" w:asciiTheme="minorEastAsia" w:hAnsiTheme="minorEastAsia" w:eastAsiaTheme="minorEastAsia" w:cstheme="minorEastAsia"/>
                <w:color w:val="auto"/>
                <w:sz w:val="21"/>
                <w:szCs w:val="21"/>
                <w:highlight w:val="none"/>
                <w:lang w:bidi="ar-SA"/>
              </w:rPr>
              <w:t>医用复合亚克力人造石</w:t>
            </w:r>
            <w:r>
              <w:rPr>
                <w:rStyle w:val="975"/>
                <w:rFonts w:hint="eastAsia" w:asciiTheme="minorEastAsia" w:hAnsiTheme="minorEastAsia" w:eastAsiaTheme="minorEastAsia" w:cstheme="minorEastAsia"/>
                <w:color w:val="auto"/>
                <w:sz w:val="21"/>
                <w:szCs w:val="21"/>
                <w:highlight w:val="none"/>
              </w:rPr>
              <w:t>台面，抽屉面板处配置透明亚克力标签框，方便插入说明卡片，抽屉面板、门板采用双层防尘工艺设计，避免细菌滋生，安装使用无螺丝装配技术。装饰件、支撑件、连接件、紧固件、挂钩等采用优质电镀件。</w:t>
            </w:r>
          </w:p>
          <w:p w14:paraId="667070B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3、门与柜体的连接采用优质缓冲不锈钢铰链或不锈钢插销式门轴结构，门框与柜体之间的吸合，利用磁性纽扣磁铁互相吸附。</w:t>
            </w:r>
          </w:p>
          <w:p w14:paraId="5FA9B1E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14:paraId="38190C1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5、高危药品柜采用双锁管理（一把电子防盗锁、一把钥匙锁）。</w:t>
            </w:r>
          </w:p>
        </w:tc>
      </w:tr>
      <w:tr w14:paraId="1139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7BAD8DD">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DE0413B">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32CEBF5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1、高危药品柜采用双锁管理，内部抽屉式结构，用不同颜色区分内抽性质；抽屉内可配备ABS抗菌药品盒，药盒正面必须有标识框，尺寸为405*405*100mm( 长度*宽度*高度），药品盒移动方便，内部可以自由分隔，方便各种药品分类存储。</w:t>
            </w:r>
          </w:p>
          <w:p w14:paraId="630AA3E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2、可根据需求安装照明灯、装饰灯、强弱电插座。</w:t>
            </w:r>
          </w:p>
          <w:p w14:paraId="778E154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3、可根据需求安装密码、指纹、刷卡或者人脸识别锁具。</w:t>
            </w:r>
          </w:p>
          <w:p w14:paraId="2BD7F017">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4、可根据需求安装安装显示屏、显示器、电动升降显示器等</w:t>
            </w:r>
          </w:p>
        </w:tc>
      </w:tr>
      <w:tr w14:paraId="534E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74C8F1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5DA86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60F0EA8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3C8F7F5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3C2159C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316599A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2D37CEF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568049A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2315C42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45F78FE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8371DB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5FDB07A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34008B8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1、柜类强度和耐久性：</w:t>
            </w:r>
          </w:p>
          <w:p w14:paraId="5D8235B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顶板的持续加载：1)所有部件、连接件应无断裂损坏；2)无严重影响使用功能的磨损或变形；3)用手揿压证实，紧固件应无松动；4)五金连件应无松动； 5)活动部件(门、抽屉等)开关应灵活；6)顶板最大挠度≤0.5%；底板的持续加载：1)所有部件、连接件应无断裂损坏；2)无严重影响使用功能的磨损或变形；3)用手揿压证实，紧固件应无松动；4)五金连件应无松动； 5)活动部件(门、抽屉等)开关应灵活；6)底板最大挠度≤0.5%；</w:t>
            </w:r>
          </w:p>
          <w:p w14:paraId="6E5F91E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顶板静载荷、结构和底架强度、跌落、拉门垂直加载、拉门水平加载、拉门猛关、推拉构件强度、推拉构件结构强度、推拉构件猛开：1)所有部件、连接件应无断裂损坏；2)无严重影响使用功能的磨损或变形；3)用手揿压证实，紧固件应无松动；4)五金连件应无松动；5)活动部件(门、抽屉等)开关应灵活）。</w:t>
            </w:r>
          </w:p>
          <w:p w14:paraId="0EB606B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604511F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0CCC079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1F5A198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61C2BFD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016CC3DC">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1E4E95A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0A69264">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3E19E8E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19022B5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25D47B4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3283B02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0BCA6837">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5762C8B4">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1EBC9B3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5E7961E1">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06E7FB38">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1E7FEBD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31394B4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w:t>
            </w:r>
          </w:p>
          <w:p w14:paraId="2ABCAD5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锑Sb≤60mg/kg；钡Ba≤1000mg/kg；硒Se≤500mg/kg；砷As≤25mg/kg。</w:t>
            </w:r>
          </w:p>
          <w:p w14:paraId="0739487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38F55BDE">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0F24A0A3">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30EB6CFF">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55AAB1D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变色和失光等现象。②涂镀层对基体的保护评级达到10级。③涂镀层本身的耐腐蚀等级（外观评级）达到10级。</w:t>
            </w:r>
          </w:p>
          <w:p w14:paraId="25414BA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497C45E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02F5199F">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034BDB9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463601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55ED8F4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01CD531A">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 ≤2级，失光等级应≤2级，粉化等级应≤1级，开裂等级应≤1级(S1),起泡等级应≤1级(S1)。</w:t>
            </w:r>
          </w:p>
          <w:p w14:paraId="3B89F02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57D59A8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E6F32A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061733C8">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07E39DD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17A48AD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433BDAD5">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67D351F4">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0C103A3">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十二.燃烧性能B1级:</w:t>
            </w:r>
          </w:p>
          <w:p w14:paraId="7B8F5305">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3BDE619E">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5369C07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339206E2">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10B5F1D2">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至少对出芽短梗霉、腊叶芽枝霉、桔青霉、链格孢、短柄帚霉、产黄青霉、赭绿青霉、绿粘帚霉、大毛霉、变幻青霉、土曲霉、宛氏拟青霉、绳状青霉 、长枝木霉、绿色木霉、等霉种中任意10种长霉等级0级</w:t>
            </w:r>
          </w:p>
        </w:tc>
      </w:tr>
    </w:tbl>
    <w:p w14:paraId="2D38962E">
      <w:pPr>
        <w:rPr>
          <w:rStyle w:val="975"/>
          <w:rFonts w:hint="eastAsia" w:asciiTheme="minorEastAsia" w:hAnsiTheme="minorEastAsia" w:eastAsiaTheme="minorEastAsia" w:cstheme="minorEastAsia"/>
          <w:color w:val="auto"/>
          <w:sz w:val="21"/>
          <w:szCs w:val="21"/>
          <w:highlight w:val="none"/>
        </w:rPr>
      </w:pPr>
    </w:p>
    <w:p w14:paraId="756FDFC5">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4、大输液柜类产品</w:t>
      </w:r>
    </w:p>
    <w:tbl>
      <w:tblPr>
        <w:tblStyle w:val="66"/>
        <w:tblW w:w="10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422"/>
      </w:tblGrid>
      <w:tr w14:paraId="1928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2D672FE1">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039DB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0D1ED67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2B5EF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E92399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05985E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5995779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7E2CA6B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6C0582B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2、抽屉面板处配置透明亚克力标签框，方便插入说明卡片，抽屉面板、门板采用双层防尘工艺设计，避免细菌滋生，安装使用无螺丝装配技术。装饰件、支撑件、连接件、紧固件、挂钩等采用优质电镀件。</w:t>
            </w:r>
          </w:p>
          <w:p w14:paraId="63F8504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7B821F5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32CA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0031637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4DB48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207AB01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1、大输液存取柜上部安装ABS导轨模块，配备两个50mm高度、两个100mm 高度的PC透明药品盒，药品盒内部可以自由分隔，每个分隔空间单独配备标示框；药品盒可以在ABS导轨模块上自由调节高度，可180°平移或者倾斜移动；药品盒移动方便，无论平移还是斜移，全部抽出时可以45度倾斜，便于药品先进先出管理，减少药品过期风险；</w:t>
            </w:r>
          </w:p>
          <w:p w14:paraId="6A56F4D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大输液柜下部安装金属导轨集成模块，配备三个200mm高度的PC透明药品盒，药品盒内部可以自由分隔，每个分隔空间单独配备标识框，金属导轨直接卡在集成模块上，高度调节及其方便，200mm高度的药品盒直接卡在金属导轨上，移动方便，存储量大，导轨承重性能好，可以全部抽出。</w:t>
            </w:r>
          </w:p>
          <w:p w14:paraId="44EEAB3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3、大输液柜同时也兼容了各类药品柜及发药车上的药篮功能，模块化的设计让整个护理流程更加简便快捷。</w:t>
            </w:r>
          </w:p>
          <w:p w14:paraId="6FCFA68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4、可根据需求安装照明灯、装饰灯、强弱电插座。</w:t>
            </w:r>
          </w:p>
          <w:p w14:paraId="7375B8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5、可根据需求安装密码、指纹、刷卡或者人脸识别锁具。</w:t>
            </w:r>
          </w:p>
          <w:p w14:paraId="20A4D02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6、可根据需求安装安装显示屏、显示器、电动升降显示器等</w:t>
            </w:r>
          </w:p>
        </w:tc>
      </w:tr>
      <w:tr w14:paraId="7716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E62199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DB72B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73042EE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334A962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6965BDC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35A07C0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7FB7C19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63227DA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37EE4F0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09B0BB0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CF9D66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4D23CEBA">
            <w:pPr>
              <w:pStyle w:val="583"/>
              <w:spacing w:line="240" w:lineRule="auto"/>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3DA7259D">
            <w:pPr>
              <w:pStyle w:val="583"/>
              <w:spacing w:line="240" w:lineRule="auto"/>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1、柜类强度和耐久性：顶板的持续加载：1)所有部件、连接件应无断裂损坏；2)无严重影响使用功能的磨损或变形；3)用手揿压证实，紧固件应无松动；4)五金连件应无松动； 5)活动部件(门、抽屉等)开关应灵活；6)顶板最大挠度≤0.5%；底板的持续加载：1)所有部件、连接件应无断裂损坏；2)无严重影响使用功能的磨损或变形；3)用手揿压证实，紧固件应无松动；4)五金连件应无松动； 5)活动部件(门、抽屉等)开关应灵活；6)底板最大挠度≤0.5%；顶板静载荷、结构和底架强度、跌落、拉门垂直加载、拉门水平加载、拉门猛关、推拉构件强度、推拉构件结构强度、推拉构件猛开：1)所有部件、连接件应无断裂损坏；2)无严重影响使用功能的磨损或变形；3)用手揿压证实，紧固件应无松动；4)五金连件应无松动；5)活动部件(门、抽屉等)开关应灵活）。</w:t>
            </w:r>
          </w:p>
          <w:p w14:paraId="616B6B2B">
            <w:pPr>
              <w:pStyle w:val="583"/>
              <w:spacing w:line="240" w:lineRule="auto"/>
              <w:ind w:left="0" w:leftChars="0" w:firstLine="0" w:firstLineChars="0"/>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rPr>
              <w:t>2、柜类稳定性：</w:t>
            </w:r>
          </w:p>
          <w:p w14:paraId="105DFC0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3F399F7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58F36D5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5F22AD5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7FBCFFC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6C8290B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513C507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9619B0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5D927AE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6BAD78A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2D34822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49AAE9D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3CEF18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010A8FB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31E35E8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3913622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1BC7686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5DD2C9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650726B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3769602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0C2FA66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1980411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4FFF685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606242B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70A0A9E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67A2E63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253E64C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4C74D0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29FA964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0CCED18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验(氙灯老化）：经≥400h氙灯老化试验，变色等级应≤2级，失光等级应≤2级，粉化等级应≤1级，开裂等级应≤1级(S1),起泡等级应≤1级(S1)。</w:t>
            </w:r>
          </w:p>
          <w:p w14:paraId="63ABE41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3EA4781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560EC50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2095606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392FF8F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5F3B9E0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3FC0CC1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216531A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44CB21FD">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79BC977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4030F7D9">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5A99F87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7D550EF0">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73164F5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368778F8">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5、被服柜类产品</w:t>
      </w:r>
    </w:p>
    <w:tbl>
      <w:tblPr>
        <w:tblStyle w:val="66"/>
        <w:tblW w:w="10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8335"/>
      </w:tblGrid>
      <w:tr w14:paraId="2715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2ABB9A95">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002EB8F">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3FC9EF39">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3CF1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0FE0734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608C6DE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5A8C740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660BEAA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整体采用≥0.8mm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1A2A949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2、抽屉面板处配置透明亚克力标签框，方便插入说明卡片，抽屉面板、门板采用双层防尘工艺设计，避免细菌滋生，安装使用无螺丝装配技术。装饰件、支撑件、连接件、紧固件、挂钩等采用优质电镀件。</w:t>
            </w:r>
          </w:p>
          <w:p w14:paraId="210F6BA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3、门与柜体的连接采用优质缓冲不锈钢铰链或不锈钢插销式门轴结构，门框与柜体之间的吸合，利用磁性纽扣磁铁互相吸附。</w:t>
            </w:r>
          </w:p>
          <w:p w14:paraId="544538B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1BDB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61C58EE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93564B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外观造型</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5C98CF9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1、按照人体工学原理，柜体四周加装密封封板，既方便护理人员的打理，同时防止灰尘的堆积。做到比例协调结构合理整体美观。</w:t>
            </w:r>
          </w:p>
          <w:p w14:paraId="3ED1EC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2、底部都是离地50~200mm的高度，可根据需求配置1.0mm 厚度304不锈钢踢脚线或者不锈钢底座，符合国家院感基本要求。</w:t>
            </w:r>
          </w:p>
        </w:tc>
      </w:tr>
      <w:tr w14:paraId="0CDC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3C47F3B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5EE857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1155B2E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1、根据使用者需要配备不锈钢挂衣杆. 衣冠镜，嵌入式标签卡槽，方便区分，排气孔，保证内部通风换气需要，可选择配备交流电感应或触碰式照明系统，确保使用的光感要求。</w:t>
            </w:r>
          </w:p>
          <w:p w14:paraId="64268E2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2、可根据需求安装照明灯、紫外线消毒灯、装饰灯、强弱电插座。</w:t>
            </w:r>
          </w:p>
          <w:p w14:paraId="4C6ECE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3、可根据需求安装密码、指纹、刷卡或者人脸识别锁具。</w:t>
            </w:r>
          </w:p>
          <w:p w14:paraId="220183B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4、可根据需求安装安装显示屏、显示器等。</w:t>
            </w:r>
          </w:p>
        </w:tc>
      </w:tr>
      <w:tr w14:paraId="54F0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10BD784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3F0D3F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73A480A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6D2EA47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7E39B2C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5DC1BD4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0AEC1D3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7B107DE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47CB7A1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7DE7489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95A2B4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3764572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29C89A62">
            <w:pPr>
              <w:pStyle w:val="977"/>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b w:val="0"/>
                <w:bCs w:val="0"/>
                <w:color w:val="auto"/>
                <w:sz w:val="21"/>
                <w:szCs w:val="21"/>
                <w:highlight w:val="none"/>
              </w:rPr>
              <w:t>、柜类强度和耐久性：</w:t>
            </w:r>
          </w:p>
          <w:p w14:paraId="479E23D3">
            <w:pPr>
              <w:pStyle w:val="977"/>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u w:val="single"/>
              </w:rPr>
              <w:t>顶板的持续加载：</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r>
              <w:rPr>
                <w:rStyle w:val="975"/>
                <w:rFonts w:hint="eastAsia" w:asciiTheme="minorEastAsia" w:hAnsiTheme="minorEastAsia" w:eastAsiaTheme="minorEastAsia" w:cstheme="minorEastAsia"/>
                <w:b w:val="0"/>
                <w:bCs w:val="0"/>
                <w:color w:val="auto"/>
                <w:sz w:val="21"/>
                <w:szCs w:val="21"/>
                <w:highlight w:val="none"/>
                <w:u w:val="single"/>
              </w:rPr>
              <w:t>底板的持续加载：</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p>
          <w:p w14:paraId="60E65B31">
            <w:pPr>
              <w:pStyle w:val="977"/>
              <w:rPr>
                <w:rStyle w:val="975"/>
                <w:rFonts w:hint="eastAsia" w:asciiTheme="minorEastAsia" w:hAnsiTheme="minorEastAsia" w:eastAsiaTheme="minorEastAsia" w:cstheme="minorEastAsia"/>
                <w:b w:val="0"/>
                <w:bCs w:val="0"/>
                <w:color w:val="auto"/>
                <w:sz w:val="21"/>
                <w:szCs w:val="21"/>
                <w:highlight w:val="none"/>
              </w:rPr>
            </w:pPr>
            <w:r>
              <w:rPr>
                <w:rStyle w:val="975"/>
                <w:rFonts w:hint="eastAsia" w:asciiTheme="minorEastAsia" w:hAnsiTheme="minorEastAsia" w:eastAsiaTheme="minorEastAsia" w:cstheme="minorEastAsia"/>
                <w:b w:val="0"/>
                <w:bCs w:val="0"/>
                <w:color w:val="auto"/>
                <w:sz w:val="21"/>
                <w:szCs w:val="21"/>
                <w:highlight w:val="none"/>
                <w:u w:val="singl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b w:val="0"/>
                <w:bCs w:val="0"/>
                <w:color w:val="auto"/>
                <w:sz w:val="21"/>
                <w:szCs w:val="21"/>
                <w:highlight w:val="none"/>
              </w:rPr>
              <w:t>1)所有部件、连接件应无断裂损坏；2)无严重影响使用功能的磨损或变形；3)用手揿压证实，紧固件应无松动；4)五金连件应无松动；5)活动部件(门、抽屉等)开关应灵活）。</w:t>
            </w:r>
          </w:p>
          <w:p w14:paraId="23DFC3D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3282F0E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6FE256D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6B1BC8C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3A63A1A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460FF45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063678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6AF24F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2A36D8D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044B36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3D5FD9D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4E72836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5BCB6C9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7DABAC3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33F95A8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74014F7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5E9F5D6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2A7B506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24BC8D9C">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417E29C3">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6E1B2352">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40F2159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298DBAF4">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2FE058A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)：①无气泡产生、无锈迹、剥落、起皱、变色和失光等现象。②涂镀层对基体的保护评级达到10级。③涂镀层本身的耐腐蚀等级（外观评级）达到10级。</w:t>
            </w:r>
          </w:p>
          <w:p w14:paraId="7736540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w:t>
            </w:r>
          </w:p>
          <w:p w14:paraId="66E7F735">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16ECDF1E">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745DFDE1">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18268FA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7F72CF03">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4FAEBCEE">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氙灯老化试验，变色等级应  ≤2级，失光等级应≤2级，粉化等级应≤1级，开裂等级应≤1级(S1),起泡等级应≤1级(S1)。</w:t>
            </w:r>
          </w:p>
          <w:p w14:paraId="02070F6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45663D4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76FD424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5BA7253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3D2A7CD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358E2C5C">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40FB73B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0448350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454927D">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2A3133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75294A6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3A635E2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900E84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7BB7EEA3">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3405C258">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6、货架类产品</w:t>
      </w:r>
    </w:p>
    <w:tbl>
      <w:tblPr>
        <w:tblStyle w:val="66"/>
        <w:tblW w:w="10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164"/>
        <w:gridCol w:w="8214"/>
      </w:tblGrid>
      <w:tr w14:paraId="7A54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35BFA509">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4F36445A">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74A37437">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05CE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779FC5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1588195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67A4E37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000C9E38">
            <w:pPr>
              <w:pStyle w:val="977"/>
              <w:ind w:left="360" w:hanging="36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rPr>
              <w:t>采用电阻焊接工艺，无外露焊点，钢板采用激光切割及数控折边成型，保证产品表面不会出现凹凸不平的焊疤。</w:t>
            </w:r>
          </w:p>
          <w:p w14:paraId="488296C6">
            <w:pPr>
              <w:pStyle w:val="977"/>
              <w:ind w:left="360" w:hanging="36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Style w:val="975"/>
                <w:rFonts w:hint="eastAsia" w:asciiTheme="minorEastAsia" w:hAnsiTheme="minorEastAsia" w:eastAsiaTheme="minorEastAsia" w:cstheme="minorEastAsia"/>
                <w:color w:val="auto"/>
                <w:sz w:val="21"/>
                <w:szCs w:val="21"/>
                <w:highlight w:val="none"/>
              </w:rPr>
              <w:t>装饰件、支撑件、连接件、紧固件、挂钩等采用优质电镀件。</w:t>
            </w:r>
          </w:p>
        </w:tc>
      </w:tr>
      <w:tr w14:paraId="28FE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0289239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6BA916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0EAD1EF0">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全拼装式结构。</w:t>
            </w:r>
          </w:p>
          <w:p w14:paraId="2C2FFD7F">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层板高度可以自由调节。</w:t>
            </w:r>
          </w:p>
          <w:p w14:paraId="20F4F309">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每组长度可以自由调节。</w:t>
            </w:r>
          </w:p>
          <w:p w14:paraId="30172266">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可与地面固定。</w:t>
            </w:r>
          </w:p>
        </w:tc>
      </w:tr>
      <w:tr w14:paraId="5F44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E5E84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7C7198E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37EA900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金属喷漆(塑)涂层：</w:t>
            </w:r>
          </w:p>
          <w:p w14:paraId="446F705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（1）硬度≥H；</w:t>
            </w:r>
          </w:p>
          <w:p w14:paraId="50ECD695">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（2）冲击强度：冲击高度400mm,应无剥落、裂纹、皱纹；</w:t>
            </w:r>
          </w:p>
          <w:p w14:paraId="27568A8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（3）附着力：应不低于2级。</w:t>
            </w:r>
          </w:p>
          <w:p w14:paraId="0B97C28D">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稳定性：</w:t>
            </w:r>
          </w:p>
          <w:p w14:paraId="163953B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（1）试验时架体不应倾倒。</w:t>
            </w:r>
          </w:p>
          <w:p w14:paraId="7E335F3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三.搁板支承件强度：</w:t>
            </w:r>
          </w:p>
          <w:p w14:paraId="2B18CA0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（1）试验后搁板支承件应无塑性变形和其他异常现象。</w:t>
            </w:r>
          </w:p>
          <w:p w14:paraId="22CB8C3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四.搁板弯曲：</w:t>
            </w:r>
          </w:p>
          <w:p w14:paraId="1364F776">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（1）最大挠度应不大于4.00mm；</w:t>
            </w:r>
          </w:p>
          <w:p w14:paraId="7CF4D0D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（2）残余变形量应不大于0.30 mm。</w:t>
            </w:r>
          </w:p>
          <w:p w14:paraId="04CA290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五.全静载荷：</w:t>
            </w:r>
          </w:p>
          <w:p w14:paraId="48BCF33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（1）经24h连续试验卸载后，书架的挂板、搁板、立柱及其结合部位应无塑性变形。</w:t>
            </w:r>
          </w:p>
          <w:p w14:paraId="0AD9CBD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六.耐腐蚀性能：</w:t>
            </w:r>
          </w:p>
          <w:p w14:paraId="14754B3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)：①无气泡产生、无锈迹、剥落、起皱、失色和失光等现象。②涂镀层对基体的保护评级达到10级。③涂镀层本身的耐腐蚀等级（外观评级）达到10级。</w:t>
            </w:r>
          </w:p>
          <w:p w14:paraId="035013A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七.耐湿热性能(</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w:t>
            </w:r>
          </w:p>
          <w:p w14:paraId="694E1D9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05C24DC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有害物质限量（产品涂层和覆面层中可溶性重金属）</w:t>
            </w:r>
          </w:p>
          <w:p w14:paraId="60DA6D0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可溶性铅≤90mg/kg 、可溶性镉≤75mg/kg 、可溶性铬≤60mg/kg 、可溶性汞≤60mg/kg九.产品有害物质：</w:t>
            </w:r>
          </w:p>
          <w:p w14:paraId="7F31D6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7822C4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203E1E4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十.维氏硬度≥80</w:t>
            </w:r>
          </w:p>
          <w:p w14:paraId="2C4577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十一、化学成分(%)：</w:t>
            </w:r>
          </w:p>
          <w:p w14:paraId="173BF66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（碳(C)≤0.2、硅（Si）≤0.35、锰(Mn)≤1.4、磷(P)≤0.045、硫(S)≤0.045。</w:t>
            </w:r>
          </w:p>
          <w:p w14:paraId="03D097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十二、力学性能(室温拉伸)：</w:t>
            </w:r>
          </w:p>
          <w:p w14:paraId="4B0516F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（1）上屈服强度≥235MPa；</w:t>
            </w:r>
          </w:p>
          <w:p w14:paraId="6CE1FF3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（2）抗拉强度：370～500MPa；</w:t>
            </w:r>
          </w:p>
          <w:p w14:paraId="18BD60B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（3）断后伸长率≥26%。</w:t>
            </w:r>
          </w:p>
          <w:p w14:paraId="46C699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十三、涂层试板：</w:t>
            </w:r>
          </w:p>
          <w:p w14:paraId="28BD0C8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（1）附着力(拉拔法)≥1.5MPa；</w:t>
            </w:r>
          </w:p>
          <w:p w14:paraId="42CB64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w:t>
            </w:r>
          </w:p>
          <w:p w14:paraId="74F4266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（3）耐沾污性：1 级；</w:t>
            </w:r>
          </w:p>
          <w:p w14:paraId="419213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（4）人工气候老化试验(氙灯老化)：经≥400h氙灯老化试验，变色等级应≤2级，失光等级应≤2级，粉化等级应≤1级，开裂等级应≤1级(S1),起泡等级应≤1级(S1)。</w:t>
            </w:r>
          </w:p>
          <w:p w14:paraId="1C8D91D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十四、电镀试板： </w:t>
            </w:r>
          </w:p>
          <w:p w14:paraId="47303B8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5E42BD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（2）镀镍层厚度：电解法≥6μm；扫描电镜法≥6μm。</w:t>
            </w:r>
          </w:p>
          <w:p w14:paraId="7166346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w:t>
            </w:r>
          </w:p>
          <w:p w14:paraId="7260F41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 )：将试样放入试验箱中加热至300℃,保温0.5h,然后在冷水中骤冷，镀层无起皮、无开裂。</w:t>
            </w:r>
          </w:p>
          <w:p w14:paraId="0FD37E0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310356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627EB59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1F11D2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十五、燃烧性能B1级:</w:t>
            </w:r>
          </w:p>
          <w:p w14:paraId="4D7DC19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1、热释放速率峰值≤200kW；2、5min内总热释放量≤30MJ；3、最大烟密度≤75%。 </w:t>
            </w:r>
          </w:p>
          <w:p w14:paraId="7A15AE8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十六、抗菌性能：按照QB/T 4371-2012《家具抗菌性能的评价》：</w:t>
            </w:r>
          </w:p>
          <w:p w14:paraId="3A09FBE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5769FC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十七、</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253AFB61">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05B1E2E">
      <w:pPr>
        <w:rPr>
          <w:rFonts w:hint="eastAsia" w:asciiTheme="minorEastAsia" w:hAnsiTheme="minorEastAsia" w:eastAsiaTheme="minorEastAsia" w:cstheme="minorEastAsia"/>
          <w:color w:val="auto"/>
          <w:sz w:val="21"/>
          <w:szCs w:val="21"/>
          <w:highlight w:val="none"/>
        </w:rPr>
      </w:pPr>
    </w:p>
    <w:p w14:paraId="74822C03">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7、护士站类产品：</w:t>
      </w:r>
    </w:p>
    <w:tbl>
      <w:tblPr>
        <w:tblStyle w:val="66"/>
        <w:tblW w:w="10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8696"/>
      </w:tblGrid>
      <w:tr w14:paraId="1A81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4CB281E3">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0B17B90">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41BBACA0">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63DA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10F2BB37">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139440F6">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40D49243">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6847B2F9">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1、龙骨部分采用承重力强的纯钢方管龙骨，框架采用≥2.0mm电解钢板，其余钢制部件采用≥1.0mm电解钢板制作；钢板与方管龙骨之间采用激光焊接，激光切割及数控折边成型技术。</w:t>
            </w:r>
          </w:p>
          <w:p w14:paraId="7835154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7280CE93">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3、外包医用复合亚克力人造石龙骨框架处，运用石材干挂技术，让石材能与产品进行无缝的融合。</w:t>
            </w:r>
          </w:p>
          <w:p w14:paraId="678FE6E4">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4、产品采用激光切割机对原材料进行工艺切割、由数控折弯机将其折弯成型，保证工艺结构的完整性。</w:t>
            </w:r>
          </w:p>
          <w:p w14:paraId="5DE002B0">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5、装饰件、支撑件、连接件、紧固件、挂钩等采用优质电镀件。</w:t>
            </w:r>
          </w:p>
        </w:tc>
      </w:tr>
      <w:tr w14:paraId="7BA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0DD92EEB">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A9D30A5">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外观造型</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17CF104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1、根据人体工学原理合理分段上下台面的高度，高低台的无障碍流线设计，使得前来就诊问询的人员都能够畅快的进行良好沟通。</w:t>
            </w:r>
          </w:p>
          <w:p w14:paraId="646D014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2、护±站站体配合各种造型的半包、全包医用级复合人造石，弧度的拐角避免磕碰到过往人员。内陷的不锈钢踢脚线，防止前来问询的人员不小心会碰伤脚部，所有拐角对接处经过打磨处理，保持弧面。</w:t>
            </w:r>
          </w:p>
          <w:p w14:paraId="56D0DD5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3、内部充足的电脑高度保证工作区域的电脑不会裸露在外面，阻挡内外视线，内部无支撑站体让所有储存配柜任意组合使用。</w:t>
            </w:r>
          </w:p>
        </w:tc>
      </w:tr>
      <w:tr w14:paraId="4F38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31A82420">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2F9CC3C">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59E2CB5F">
            <w:pPr>
              <w:pStyle w:val="977"/>
              <w:numPr>
                <w:ilvl w:val="0"/>
                <w:numId w:val="5"/>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护±站内预留的强弱电走线槽位。护±站内的内饰板全部为可拆卸式。</w:t>
            </w:r>
          </w:p>
          <w:p w14:paraId="370AE2B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2、护±站内的配柜采用电解钢板制作，厚度1.0mm。配柜可选装脚轮。</w:t>
            </w:r>
          </w:p>
          <w:p w14:paraId="7CEC54C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3、护±站底部为不锈钢底座，成段的引线孔位预留，让现场的出线点位能够准确引入。</w:t>
            </w:r>
          </w:p>
          <w:p w14:paraId="581819A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4、可根据需求安装照明灯、装饰灯、强弱电插座。</w:t>
            </w:r>
          </w:p>
          <w:p w14:paraId="4FFCC94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5、可根据需求安装密码、指纹、刷卡或者人脸识别锁具。</w:t>
            </w:r>
          </w:p>
          <w:p w14:paraId="1077E5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6、可根据需求安装安装显示屏、显示器、电动升降显示器等。</w:t>
            </w:r>
          </w:p>
        </w:tc>
      </w:tr>
      <w:tr w14:paraId="616F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637A3802">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7D37F81A">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6EA7B74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一</w:t>
            </w:r>
            <w:r>
              <w:rPr>
                <w:rStyle w:val="975"/>
                <w:rFonts w:hint="eastAsia" w:asciiTheme="minorEastAsia" w:hAnsiTheme="minorEastAsia" w:eastAsiaTheme="minorEastAsia" w:cstheme="minorEastAsia"/>
                <w:color w:val="auto"/>
                <w:sz w:val="21"/>
                <w:szCs w:val="21"/>
                <w:highlight w:val="none"/>
              </w:rPr>
              <w:t>.安全性能要求：结构安全：</w:t>
            </w:r>
          </w:p>
          <w:p w14:paraId="4DBCF0A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0FE3A15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449B75BD">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（3）人体接触或收藏物品的部位应无毛刺、刃口、棱角；</w:t>
            </w:r>
          </w:p>
          <w:p w14:paraId="15EF9927">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1BE20D4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二</w:t>
            </w:r>
            <w:r>
              <w:rPr>
                <w:rStyle w:val="975"/>
                <w:rFonts w:hint="eastAsia" w:asciiTheme="minorEastAsia" w:hAnsiTheme="minorEastAsia" w:eastAsiaTheme="minorEastAsia" w:cstheme="minorEastAsia"/>
                <w:color w:val="auto"/>
                <w:sz w:val="21"/>
                <w:szCs w:val="21"/>
                <w:highlight w:val="none"/>
              </w:rPr>
              <w:t>.产品表面涂饰层/覆面材料理化性能：</w:t>
            </w:r>
          </w:p>
          <w:p w14:paraId="1E88B1A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74542A5A">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三</w:t>
            </w:r>
            <w:r>
              <w:rPr>
                <w:rStyle w:val="975"/>
                <w:rFonts w:hint="eastAsia" w:asciiTheme="minorEastAsia" w:hAnsiTheme="minorEastAsia" w:eastAsiaTheme="minorEastAsia" w:cstheme="minorEastAsia"/>
                <w:color w:val="auto"/>
                <w:sz w:val="21"/>
                <w:szCs w:val="21"/>
                <w:highlight w:val="none"/>
              </w:rPr>
              <w:t>.力学性能：</w:t>
            </w:r>
          </w:p>
          <w:p w14:paraId="6385FAD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1、桌类强度和耐久性：主桌面垂直静载荷、桌面持续垂直静载荷、水平静荷载、桌面垂直冲击、桌腿跌落、桌面水平耐久性：</w:t>
            </w:r>
          </w:p>
          <w:p w14:paraId="1A25136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1)所有零部件无断裂或豁裂2)用手揿压某些应为牢固的部件，应无永久性松动3)所有零部件应无影响使 用功能的磨损或变形4)五金连接件应无松动5)活动部件(门、抽屉等)开关应灵便6)零部件无明显位移变化；</w:t>
            </w:r>
          </w:p>
          <w:p w14:paraId="632EF49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2、桌类稳定性：</w:t>
            </w:r>
          </w:p>
          <w:p w14:paraId="3718181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（1）垂直加载稳定性：试验后应无倾翻现象；</w:t>
            </w:r>
          </w:p>
          <w:p w14:paraId="0860CA89">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（2）垂直和水平加载稳定性：试验后应无倾翻现象。</w:t>
            </w:r>
          </w:p>
          <w:p w14:paraId="6667690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四</w:t>
            </w:r>
            <w:r>
              <w:rPr>
                <w:rStyle w:val="975"/>
                <w:rFonts w:hint="eastAsia" w:asciiTheme="minorEastAsia" w:hAnsiTheme="minorEastAsia" w:eastAsiaTheme="minorEastAsia" w:cstheme="minorEastAsia"/>
                <w:color w:val="auto"/>
                <w:sz w:val="21"/>
                <w:szCs w:val="21"/>
                <w:highlight w:val="none"/>
              </w:rPr>
              <w:t>.推拉构件耐久性(80000次)：</w:t>
            </w:r>
          </w:p>
          <w:p w14:paraId="0101AFC9">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 或变形；3)用手揿压证实，紧固件 应无松动；4)五金连件应无松动；5)活动部件(门、抽屉等)开关应 灵活。</w:t>
            </w:r>
          </w:p>
          <w:p w14:paraId="50FBB76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五</w:t>
            </w:r>
            <w:r>
              <w:rPr>
                <w:rStyle w:val="975"/>
                <w:rFonts w:hint="eastAsia" w:asciiTheme="minorEastAsia" w:hAnsiTheme="minorEastAsia" w:eastAsiaTheme="minorEastAsia" w:cstheme="minorEastAsia"/>
                <w:color w:val="auto"/>
                <w:sz w:val="21"/>
                <w:szCs w:val="21"/>
                <w:highlight w:val="none"/>
              </w:rPr>
              <w:t>.产品寿命：（柜类：拉门耐久性 (80000次)：</w:t>
            </w:r>
          </w:p>
          <w:p w14:paraId="14E2C51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 或变形；3)用手揿压证实，紧固件 应无松动；4)五金连件应无松动；5)活动部件(门、抽屉等)开应灵活。</w:t>
            </w:r>
          </w:p>
          <w:p w14:paraId="0C0F3EA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六</w:t>
            </w:r>
            <w:r>
              <w:rPr>
                <w:rStyle w:val="975"/>
                <w:rFonts w:hint="eastAsia" w:asciiTheme="minorEastAsia" w:hAnsiTheme="minorEastAsia" w:eastAsiaTheme="minorEastAsia" w:cstheme="minorEastAsia"/>
                <w:color w:val="auto"/>
                <w:sz w:val="21"/>
                <w:szCs w:val="21"/>
                <w:highlight w:val="none"/>
              </w:rPr>
              <w:t>.产品有害物质：</w:t>
            </w:r>
          </w:p>
          <w:p w14:paraId="356F856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7C44512A">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w:t>
            </w:r>
          </w:p>
          <w:p w14:paraId="645499A8">
            <w:pPr>
              <w:pStyle w:val="583"/>
              <w:spacing w:line="240" w:lineRule="auto"/>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锑Sb≤60mg/kg；钡Ba≤1000mg/kg；硒Se≤500mg/kg；砷As≤25mg/kg。</w:t>
            </w:r>
          </w:p>
          <w:p w14:paraId="0A87919B">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七</w:t>
            </w:r>
            <w:r>
              <w:rPr>
                <w:rStyle w:val="975"/>
                <w:rFonts w:hint="eastAsia" w:asciiTheme="minorEastAsia" w:hAnsiTheme="minorEastAsia" w:eastAsiaTheme="minorEastAsia" w:cstheme="minorEastAsia"/>
                <w:color w:val="auto"/>
                <w:sz w:val="21"/>
                <w:szCs w:val="21"/>
                <w:highlight w:val="none"/>
              </w:rPr>
              <w:t>.耐腐蚀性能：</w:t>
            </w:r>
          </w:p>
          <w:p w14:paraId="67D826C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41"/>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rPr>
              <w:t>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027F797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八</w:t>
            </w:r>
            <w:r>
              <w:rPr>
                <w:rStyle w:val="975"/>
                <w:rFonts w:hint="eastAsia" w:asciiTheme="minorEastAsia" w:hAnsiTheme="minorEastAsia" w:eastAsiaTheme="minorEastAsia" w:cstheme="minorEastAsia"/>
                <w:color w:val="auto"/>
                <w:sz w:val="21"/>
                <w:szCs w:val="21"/>
                <w:highlight w:val="none"/>
              </w:rPr>
              <w:t>.耐湿热性能(≥400h)：</w:t>
            </w:r>
          </w:p>
          <w:p w14:paraId="23CFC06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6642D39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九</w:t>
            </w:r>
            <w:r>
              <w:rPr>
                <w:rStyle w:val="975"/>
                <w:rFonts w:hint="eastAsia" w:asciiTheme="minorEastAsia" w:hAnsiTheme="minorEastAsia" w:eastAsiaTheme="minorEastAsia" w:cstheme="minorEastAsia"/>
                <w:color w:val="auto"/>
                <w:sz w:val="21"/>
                <w:szCs w:val="21"/>
                <w:highlight w:val="none"/>
              </w:rPr>
              <w:t>.涂层试板：</w:t>
            </w:r>
          </w:p>
          <w:p w14:paraId="192F3602">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1F9B30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3B39ED8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1E2CCD8">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w:t>
            </w:r>
            <w:r>
              <w:rPr>
                <w:rStyle w:val="975"/>
                <w:rFonts w:hint="eastAsia" w:asciiTheme="minorEastAsia" w:hAnsiTheme="minorEastAsia" w:eastAsiaTheme="minorEastAsia" w:cstheme="minorEastAsia"/>
                <w:color w:val="auto"/>
                <w:sz w:val="21"/>
                <w:szCs w:val="21"/>
                <w:highlight w:val="none"/>
                <w:lang w:val="en-US"/>
              </w:rPr>
              <w:t>400</w:t>
            </w:r>
            <w:r>
              <w:rPr>
                <w:rStyle w:val="975"/>
                <w:rFonts w:hint="eastAsia" w:asciiTheme="minorEastAsia" w:hAnsiTheme="minorEastAsia" w:eastAsiaTheme="minorEastAsia" w:cstheme="minorEastAsia"/>
                <w:color w:val="auto"/>
                <w:sz w:val="21"/>
                <w:szCs w:val="21"/>
                <w:highlight w:val="none"/>
              </w:rPr>
              <w:t>h氙灯老化试验，变色等级应  ≤2级，失光等级应≤2级，粉化等级应≤1级，开裂等级应≤1级(S1),起泡等级应≤1级(S1)。</w:t>
            </w:r>
          </w:p>
          <w:p w14:paraId="01BD66B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十.电镀试板：</w:t>
            </w:r>
          </w:p>
          <w:p w14:paraId="7115D1B8">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C6EFFA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09700D6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032623E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21402BA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598CEE1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32FED98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5A5AA93E">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一</w:t>
            </w:r>
            <w:r>
              <w:rPr>
                <w:rStyle w:val="975"/>
                <w:rFonts w:hint="eastAsia" w:asciiTheme="minorEastAsia" w:hAnsiTheme="minorEastAsia" w:eastAsiaTheme="minorEastAsia" w:cstheme="minorEastAsia"/>
                <w:color w:val="auto"/>
                <w:sz w:val="21"/>
                <w:szCs w:val="21"/>
                <w:highlight w:val="none"/>
              </w:rPr>
              <w:t>.燃烧性能B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级:1、热释放速率峰值≤200kW；2、5min内总热释放量≤30MJ；</w:t>
            </w:r>
          </w:p>
          <w:p w14:paraId="31D4B8FB">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3、最大烟密度≤75%。</w:t>
            </w:r>
          </w:p>
          <w:p w14:paraId="0E9B572F">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二</w:t>
            </w:r>
            <w:r>
              <w:rPr>
                <w:rStyle w:val="975"/>
                <w:rFonts w:hint="eastAsia" w:asciiTheme="minorEastAsia" w:hAnsiTheme="minorEastAsia" w:eastAsiaTheme="minorEastAsia" w:cstheme="minorEastAsia"/>
                <w:color w:val="auto"/>
                <w:sz w:val="21"/>
                <w:szCs w:val="21"/>
                <w:highlight w:val="none"/>
              </w:rPr>
              <w:t>、抗病毒活性：</w:t>
            </w:r>
          </w:p>
          <w:p w14:paraId="34C5AAFB">
            <w:pPr>
              <w:pStyle w:val="977"/>
              <w:jc w:val="both"/>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2457F83">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三</w:t>
            </w:r>
            <w:r>
              <w:rPr>
                <w:rStyle w:val="975"/>
                <w:rFonts w:hint="eastAsia" w:asciiTheme="minorEastAsia" w:hAnsiTheme="minorEastAsia" w:eastAsiaTheme="minorEastAsia" w:cstheme="minorEastAsia"/>
                <w:color w:val="auto"/>
                <w:sz w:val="21"/>
                <w:szCs w:val="21"/>
                <w:highlight w:val="none"/>
              </w:rPr>
              <w:t>、抗菌性能：按照QB/T 4371-2012《家具抗菌性能的评价》：</w:t>
            </w:r>
          </w:p>
          <w:p w14:paraId="3D6954E7">
            <w:pPr>
              <w:pStyle w:val="977"/>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99749FD">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四</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7FF422B7">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kern w:val="2"/>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4FE5E09B">
      <w:pPr>
        <w:rPr>
          <w:rFonts w:hint="eastAsia" w:asciiTheme="minorEastAsia" w:hAnsiTheme="minorEastAsia" w:eastAsiaTheme="minorEastAsia" w:cstheme="minorEastAsia"/>
          <w:color w:val="auto"/>
          <w:sz w:val="21"/>
          <w:szCs w:val="21"/>
          <w:highlight w:val="none"/>
        </w:rPr>
      </w:pPr>
    </w:p>
    <w:p w14:paraId="26DC7651">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8、诊疗桌类产品</w:t>
      </w:r>
    </w:p>
    <w:tbl>
      <w:tblPr>
        <w:tblStyle w:val="66"/>
        <w:tblW w:w="10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226"/>
        <w:gridCol w:w="8194"/>
      </w:tblGrid>
      <w:tr w14:paraId="48057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02DAC6FE">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F71D787">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194" w:type="dxa"/>
            <w:tcBorders>
              <w:top w:val="single" w:color="000000" w:sz="4" w:space="0"/>
              <w:left w:val="single" w:color="000000" w:sz="4" w:space="0"/>
              <w:bottom w:val="single" w:color="000000" w:sz="4" w:space="0"/>
              <w:right w:val="single" w:color="000000" w:sz="4" w:space="0"/>
            </w:tcBorders>
            <w:noWrap/>
            <w:vAlign w:val="center"/>
          </w:tcPr>
          <w:p w14:paraId="169AAFA5">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462E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4EE11C8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626EE190">
            <w:pPr>
              <w:pStyle w:val="977"/>
              <w:spacing w:after="0"/>
              <w:rPr>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194" w:type="dxa"/>
            <w:tcBorders>
              <w:top w:val="single" w:color="000000" w:sz="4" w:space="0"/>
              <w:left w:val="single" w:color="000000" w:sz="4" w:space="0"/>
              <w:bottom w:val="single" w:color="000000" w:sz="4" w:space="0"/>
              <w:right w:val="single" w:color="000000" w:sz="4" w:space="0"/>
            </w:tcBorders>
            <w:noWrap/>
            <w:vAlign w:val="center"/>
          </w:tcPr>
          <w:p w14:paraId="427CB49A">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一</w:t>
            </w:r>
            <w:r>
              <w:rPr>
                <w:rStyle w:val="975"/>
                <w:rFonts w:hint="eastAsia" w:asciiTheme="minorEastAsia" w:hAnsiTheme="minorEastAsia" w:eastAsiaTheme="minorEastAsia" w:cstheme="minorEastAsia"/>
                <w:color w:val="auto"/>
                <w:sz w:val="21"/>
                <w:szCs w:val="21"/>
                <w:highlight w:val="none"/>
                <w:lang w:bidi="ar-SA"/>
              </w:rPr>
              <w:t>、表面理化性能要求：（漆膜）</w:t>
            </w:r>
          </w:p>
          <w:p w14:paraId="6B1DB9E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（1）耐液性：应不低于3级。</w:t>
            </w:r>
          </w:p>
          <w:p w14:paraId="5330CAF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（2）耐湿热：应不低于3级</w:t>
            </w:r>
          </w:p>
          <w:p w14:paraId="7062CD59">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（3）耐干热：应不低于3级</w:t>
            </w:r>
          </w:p>
          <w:p w14:paraId="7BCFD02C">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（4）附着力：涂层交叉切割法，应不低于3级</w:t>
            </w:r>
          </w:p>
          <w:p w14:paraId="5C35037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（5）耐冷热温差：3周期，应无鼓泡、裂缝和明显失光</w:t>
            </w:r>
          </w:p>
          <w:p w14:paraId="280AE9C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（6）耐磨性：≥1000转，应不低于3级</w:t>
            </w:r>
          </w:p>
          <w:p w14:paraId="323E9F2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（7）抗冲击：应不低于3级</w:t>
            </w:r>
          </w:p>
          <w:p w14:paraId="79558F73">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二</w:t>
            </w:r>
            <w:r>
              <w:rPr>
                <w:rStyle w:val="975"/>
                <w:rFonts w:hint="eastAsia" w:asciiTheme="minorEastAsia" w:hAnsiTheme="minorEastAsia" w:eastAsiaTheme="minorEastAsia" w:cstheme="minorEastAsia"/>
                <w:color w:val="auto"/>
                <w:sz w:val="21"/>
                <w:szCs w:val="21"/>
                <w:highlight w:val="none"/>
                <w:lang w:bidi="ar-SA"/>
              </w:rPr>
              <w:t>、金属拉手耐腐蚀性：经盐雾试验18h，直径1.5mm以下的锈点≤20/dm</w:t>
            </w:r>
            <w:r>
              <w:rPr>
                <w:rStyle w:val="975"/>
                <w:rFonts w:hint="eastAsia" w:asciiTheme="minorEastAsia" w:hAnsiTheme="minorEastAsia" w:eastAsiaTheme="minorEastAsia" w:cstheme="minorEastAsia"/>
                <w:color w:val="auto"/>
                <w:sz w:val="21"/>
                <w:szCs w:val="21"/>
                <w:highlight w:val="none"/>
                <w:vertAlign w:val="superscript"/>
                <w:lang w:bidi="ar-SA"/>
              </w:rPr>
              <w:t>2</w:t>
            </w:r>
            <w:r>
              <w:rPr>
                <w:rStyle w:val="975"/>
                <w:rFonts w:hint="eastAsia" w:asciiTheme="minorEastAsia" w:hAnsiTheme="minorEastAsia" w:eastAsiaTheme="minorEastAsia" w:cstheme="minorEastAsia"/>
                <w:color w:val="auto"/>
                <w:sz w:val="21"/>
                <w:szCs w:val="21"/>
                <w:highlight w:val="none"/>
                <w:lang w:bidi="ar-SA"/>
              </w:rPr>
              <w:t>，其中直径1.0mm以上的锈点不超过5点（离边缘2mm以内不计）</w:t>
            </w:r>
          </w:p>
          <w:p w14:paraId="1C863E58">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三</w:t>
            </w:r>
            <w:r>
              <w:rPr>
                <w:rStyle w:val="975"/>
                <w:rFonts w:hint="eastAsia" w:asciiTheme="minorEastAsia" w:hAnsiTheme="minorEastAsia" w:eastAsiaTheme="minorEastAsia" w:cstheme="minorEastAsia"/>
                <w:color w:val="auto"/>
                <w:sz w:val="21"/>
                <w:szCs w:val="21"/>
                <w:highlight w:val="none"/>
                <w:lang w:bidi="ar-SA"/>
              </w:rPr>
              <w:t>、力学性能</w:t>
            </w:r>
          </w:p>
          <w:p w14:paraId="0994BABA">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1、桌类强度和耐久性：主桌面垂直静载荷、桌面持续垂直静载荷、水平静载荷、桌面垂直冲击、桌腿跌落、桌面水平耐久性：1）所有零部件无断裂或豁裂 2）用手揿压某些应为牢固的部件，应无永久性松动 3）所有零部件应无影响使用功能的磨损或变形 4）五金连接件应无松动 5）活动部件（门、抽屉等）开关应灵便 6）零部件无明显位移变化</w:t>
            </w:r>
          </w:p>
          <w:p w14:paraId="4DAA224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2、桌类稳定性：垂直加载稳定性、垂直和水平加载稳定性：试验后应无倾翻现象</w:t>
            </w:r>
          </w:p>
          <w:p w14:paraId="10A0CF39">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四</w:t>
            </w:r>
            <w:r>
              <w:rPr>
                <w:rStyle w:val="975"/>
                <w:rFonts w:hint="eastAsia" w:asciiTheme="minorEastAsia" w:hAnsiTheme="minorEastAsia" w:eastAsiaTheme="minorEastAsia" w:cstheme="minorEastAsia"/>
                <w:color w:val="auto"/>
                <w:sz w:val="21"/>
                <w:szCs w:val="21"/>
                <w:highlight w:val="none"/>
                <w:lang w:bidi="ar-SA"/>
              </w:rPr>
              <w:t>、安全性能要求：结构安全性：①抽屉、键盘、拉篮等推拉构件应有防脱落装置。②活动部件间距离≤5 mm或≥25mm。(设计要求除外)</w:t>
            </w:r>
          </w:p>
          <w:p w14:paraId="229EA4A2">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五</w:t>
            </w:r>
            <w:r>
              <w:rPr>
                <w:rStyle w:val="975"/>
                <w:rFonts w:hint="eastAsia" w:asciiTheme="minorEastAsia" w:hAnsiTheme="minorEastAsia" w:eastAsiaTheme="minorEastAsia" w:cstheme="minorEastAsia"/>
                <w:color w:val="auto"/>
                <w:sz w:val="21"/>
                <w:szCs w:val="21"/>
                <w:highlight w:val="none"/>
                <w:lang w:bidi="ar-SA"/>
              </w:rPr>
              <w:t>、产品寿命：桌类：桌面水平耐久性（6万次）</w:t>
            </w:r>
          </w:p>
          <w:p w14:paraId="1D060A1E">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1）零、部件无断裂或豁裂</w:t>
            </w:r>
          </w:p>
          <w:p w14:paraId="50FFA601">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2）用手揿压某些应为牢固的部件未出现永久性松动</w:t>
            </w:r>
          </w:p>
          <w:p w14:paraId="262B3EB8">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3）零、部件未出现严重影响使用功能的磨损或变形</w:t>
            </w:r>
          </w:p>
          <w:p w14:paraId="4F79890E">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4）五金连接件未出现松动</w:t>
            </w:r>
          </w:p>
          <w:p w14:paraId="4FCCA1BD">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5）活动部件（包括门夹装置）的开关应灵便</w:t>
            </w:r>
          </w:p>
          <w:p w14:paraId="2053F75B">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六</w:t>
            </w:r>
            <w:r>
              <w:rPr>
                <w:rStyle w:val="975"/>
                <w:rFonts w:hint="eastAsia" w:asciiTheme="minorEastAsia" w:hAnsiTheme="minorEastAsia" w:eastAsiaTheme="minorEastAsia" w:cstheme="minorEastAsia"/>
                <w:color w:val="auto"/>
                <w:sz w:val="21"/>
                <w:szCs w:val="21"/>
                <w:highlight w:val="none"/>
                <w:lang w:bidi="ar-SA"/>
              </w:rPr>
              <w:t>、燃烧性能（B</w:t>
            </w:r>
            <w:r>
              <w:rPr>
                <w:rStyle w:val="975"/>
                <w:rFonts w:hint="eastAsia" w:asciiTheme="minorEastAsia" w:hAnsiTheme="minorEastAsia" w:eastAsiaTheme="minorEastAsia" w:cstheme="minorEastAsia"/>
                <w:color w:val="auto"/>
                <w:sz w:val="21"/>
                <w:szCs w:val="21"/>
                <w:highlight w:val="none"/>
                <w:vertAlign w:val="subscript"/>
                <w:lang w:bidi="ar-SA"/>
              </w:rPr>
              <w:t>1</w:t>
            </w:r>
            <w:r>
              <w:rPr>
                <w:rStyle w:val="975"/>
                <w:rFonts w:hint="eastAsia" w:asciiTheme="minorEastAsia" w:hAnsiTheme="minorEastAsia" w:eastAsiaTheme="minorEastAsia" w:cstheme="minorEastAsia"/>
                <w:color w:val="auto"/>
                <w:sz w:val="21"/>
                <w:szCs w:val="21"/>
                <w:highlight w:val="none"/>
                <w:lang w:bidi="ar-SA"/>
              </w:rPr>
              <w:t>）</w:t>
            </w:r>
          </w:p>
          <w:p w14:paraId="20BAE86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361953F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bidi="ar-SA"/>
              </w:rPr>
              <w:t>七</w:t>
            </w:r>
            <w:r>
              <w:rPr>
                <w:rStyle w:val="975"/>
                <w:rFonts w:hint="eastAsia" w:asciiTheme="minorEastAsia" w:hAnsiTheme="minorEastAsia" w:eastAsiaTheme="minorEastAsia" w:cstheme="minorEastAsia"/>
                <w:color w:val="auto"/>
                <w:sz w:val="21"/>
                <w:szCs w:val="21"/>
                <w:highlight w:val="none"/>
                <w:lang w:bidi="ar-SA"/>
              </w:rPr>
              <w:t>、相对磁导率：</w:t>
            </w:r>
            <w:r>
              <w:rPr>
                <w:rStyle w:val="975"/>
                <w:rFonts w:hint="eastAsia" w:asciiTheme="minorEastAsia" w:hAnsiTheme="minorEastAsia" w:eastAsiaTheme="minorEastAsia" w:cstheme="minorEastAsia"/>
                <w:color w:val="auto"/>
                <w:sz w:val="21"/>
                <w:szCs w:val="21"/>
                <w:highlight w:val="none"/>
              </w:rPr>
              <w:t>施加磁场强度符合GB/T 35690-2017《弱磁材料相对磁导率的测量方法》。</w:t>
            </w:r>
          </w:p>
          <w:p w14:paraId="29A60EE6">
            <w:pPr>
              <w:pStyle w:val="26"/>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磁通密度：磁场强度</w:t>
            </w:r>
            <w:r>
              <w:rPr>
                <w:rFonts w:hint="eastAsia" w:asciiTheme="minorEastAsia" w:hAnsiTheme="minorEastAsia" w:eastAsiaTheme="minorEastAsia" w:cstheme="minorEastAsia"/>
                <w:color w:val="auto"/>
                <w:sz w:val="21"/>
                <w:szCs w:val="21"/>
                <w:highlight w:val="none"/>
                <w:lang w:val="en-US"/>
              </w:rPr>
              <w:t>符合</w:t>
            </w:r>
            <w:r>
              <w:rPr>
                <w:rFonts w:hint="eastAsia" w:asciiTheme="minorEastAsia" w:hAnsiTheme="minorEastAsia" w:eastAsiaTheme="minorEastAsia" w:cstheme="minorEastAsia"/>
                <w:color w:val="auto"/>
                <w:sz w:val="21"/>
                <w:szCs w:val="21"/>
                <w:highlight w:val="none"/>
              </w:rPr>
              <w:t>GB/T 13012-2008《软磁材料直流磁性能的测量方法》。</w:t>
            </w:r>
          </w:p>
          <w:p w14:paraId="44582A0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九</w:t>
            </w:r>
            <w:r>
              <w:rPr>
                <w:rStyle w:val="975"/>
                <w:rFonts w:hint="eastAsia" w:asciiTheme="minorEastAsia" w:hAnsiTheme="minorEastAsia" w:eastAsiaTheme="minorEastAsia" w:cstheme="minorEastAsia"/>
                <w:color w:val="auto"/>
                <w:sz w:val="21"/>
                <w:szCs w:val="21"/>
                <w:highlight w:val="none"/>
                <w:lang w:bidi="ar-SA"/>
              </w:rPr>
              <w:t>、甲醛去除率（24h）：符合QB/T 2761-2006《室内空气净化产品净化效果测定方法》。</w:t>
            </w:r>
          </w:p>
          <w:p w14:paraId="598B8D6C">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十、挥发性有机化合物释放率（72h）：≤0.50mg/m</w:t>
            </w:r>
            <w:r>
              <w:rPr>
                <w:rStyle w:val="975"/>
                <w:rFonts w:hint="eastAsia" w:asciiTheme="minorEastAsia" w:hAnsiTheme="minorEastAsia" w:eastAsiaTheme="minorEastAsia" w:cstheme="minorEastAsia"/>
                <w:color w:val="auto"/>
                <w:sz w:val="21"/>
                <w:szCs w:val="21"/>
                <w:highlight w:val="none"/>
                <w:vertAlign w:val="superscript"/>
                <w:lang w:bidi="ar-SA"/>
              </w:rPr>
              <w:t>2</w:t>
            </w:r>
            <w:r>
              <w:rPr>
                <w:rStyle w:val="975"/>
                <w:rFonts w:hint="eastAsia" w:asciiTheme="minorEastAsia" w:hAnsiTheme="minorEastAsia" w:eastAsiaTheme="minorEastAsia" w:cstheme="minorEastAsia"/>
                <w:color w:val="auto"/>
                <w:sz w:val="21"/>
                <w:szCs w:val="21"/>
                <w:highlight w:val="none"/>
                <w:lang w:bidi="ar-SA"/>
              </w:rPr>
              <w:t>h</w:t>
            </w:r>
          </w:p>
          <w:p w14:paraId="117F3E3D">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w:t>
            </w:r>
            <w:r>
              <w:rPr>
                <w:rStyle w:val="975"/>
                <w:rFonts w:hint="eastAsia" w:asciiTheme="minorEastAsia" w:hAnsiTheme="minorEastAsia" w:eastAsiaTheme="minorEastAsia" w:cstheme="minorEastAsia"/>
                <w:color w:val="auto"/>
                <w:sz w:val="21"/>
                <w:szCs w:val="21"/>
                <w:highlight w:val="none"/>
                <w:lang w:val="en-US" w:bidi="ar-SA"/>
              </w:rPr>
              <w:t>一</w:t>
            </w:r>
            <w:r>
              <w:rPr>
                <w:rStyle w:val="975"/>
                <w:rFonts w:hint="eastAsia" w:asciiTheme="minorEastAsia" w:hAnsiTheme="minorEastAsia" w:eastAsiaTheme="minorEastAsia" w:cstheme="minorEastAsia"/>
                <w:color w:val="auto"/>
                <w:sz w:val="21"/>
                <w:szCs w:val="21"/>
                <w:highlight w:val="none"/>
                <w:lang w:bidi="ar-SA"/>
              </w:rPr>
              <w:t>、耐黄变：≥4级</w:t>
            </w:r>
          </w:p>
          <w:p w14:paraId="6454FCAC">
            <w:pPr>
              <w:pStyle w:val="26"/>
              <w:spacing w:line="240" w:lineRule="auto"/>
              <w:rPr>
                <w:rStyle w:val="975"/>
                <w:rFonts w:hint="eastAsia" w:asciiTheme="minorEastAsia" w:hAnsiTheme="minorEastAsia" w:eastAsiaTheme="minorEastAsia" w:cstheme="minorEastAsia"/>
                <w:color w:val="auto"/>
                <w:sz w:val="21"/>
                <w:szCs w:val="21"/>
                <w:highlight w:val="none"/>
                <w:lang w:val="en-US"/>
              </w:rPr>
            </w:pPr>
            <w:r>
              <w:rPr>
                <w:rStyle w:val="975"/>
                <w:rFonts w:hint="eastAsia" w:asciiTheme="minorEastAsia" w:hAnsiTheme="minorEastAsia" w:eastAsiaTheme="minorEastAsia" w:cstheme="minorEastAsia"/>
                <w:color w:val="auto"/>
                <w:sz w:val="21"/>
                <w:szCs w:val="21"/>
                <w:highlight w:val="none"/>
                <w:lang w:val="en-US"/>
              </w:rPr>
              <w:t>十二、抗病毒活性率：</w:t>
            </w:r>
          </w:p>
          <w:p w14:paraId="7ECDA071">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FB4F97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w:t>
            </w:r>
            <w:r>
              <w:rPr>
                <w:rStyle w:val="975"/>
                <w:rFonts w:hint="eastAsia" w:asciiTheme="minorEastAsia" w:hAnsiTheme="minorEastAsia" w:eastAsiaTheme="minorEastAsia" w:cstheme="minorEastAsia"/>
                <w:color w:val="auto"/>
                <w:sz w:val="21"/>
                <w:szCs w:val="21"/>
                <w:highlight w:val="none"/>
                <w:lang w:val="en-US" w:bidi="ar-SA"/>
              </w:rPr>
              <w:t>三</w:t>
            </w:r>
            <w:r>
              <w:rPr>
                <w:rStyle w:val="975"/>
                <w:rFonts w:hint="eastAsia" w:asciiTheme="minorEastAsia" w:hAnsiTheme="minorEastAsia" w:eastAsiaTheme="minorEastAsia" w:cstheme="minorEastAsia"/>
                <w:color w:val="auto"/>
                <w:sz w:val="21"/>
                <w:szCs w:val="21"/>
                <w:highlight w:val="none"/>
                <w:lang w:bidi="ar-SA"/>
              </w:rPr>
              <w:t>、抗菌性能：QB/T 4371-2012《家具抗菌性能的评价》</w:t>
            </w:r>
          </w:p>
          <w:p w14:paraId="03EA4772">
            <w:pPr>
              <w:pStyle w:val="977"/>
              <w:spacing w:line="240" w:lineRule="auto"/>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对金黄色葡萄球菌、白色念珠菌、单增李斯特氏菌、大肠杆菌、类白喉杆菌（无枝菌酸棒杆菌）、</w:t>
            </w:r>
            <w:r>
              <w:rPr>
                <w:rStyle w:val="975"/>
                <w:rFonts w:hint="eastAsia" w:asciiTheme="minorEastAsia" w:hAnsiTheme="minorEastAsia" w:eastAsiaTheme="minorEastAsia" w:cstheme="minorEastAsia"/>
                <w:color w:val="auto"/>
                <w:sz w:val="21"/>
                <w:szCs w:val="21"/>
                <w:highlight w:val="none"/>
                <w:lang w:bidi="ar-SA"/>
              </w:rPr>
              <w:t>藤黄微球菌、变异库克菌</w:t>
            </w:r>
            <w:r>
              <w:rPr>
                <w:rStyle w:val="975"/>
                <w:rFonts w:hint="eastAsia" w:asciiTheme="minorEastAsia" w:hAnsiTheme="minorEastAsia" w:eastAsiaTheme="minorEastAsia" w:cstheme="minorEastAsia"/>
                <w:color w:val="auto"/>
                <w:sz w:val="21"/>
                <w:szCs w:val="21"/>
                <w:highlight w:val="none"/>
              </w:rPr>
              <w:t>等菌种中的</w:t>
            </w:r>
            <w:r>
              <w:rPr>
                <w:rStyle w:val="975"/>
                <w:rFonts w:hint="eastAsia" w:asciiTheme="minorEastAsia" w:hAnsiTheme="minorEastAsia" w:eastAsiaTheme="minorEastAsia" w:cstheme="minorEastAsia"/>
                <w:color w:val="auto"/>
                <w:sz w:val="21"/>
                <w:szCs w:val="21"/>
                <w:highlight w:val="none"/>
                <w:lang w:bidi="ar-SA"/>
              </w:rPr>
              <w:t>任意5种</w:t>
            </w:r>
            <w:r>
              <w:rPr>
                <w:rStyle w:val="975"/>
                <w:rFonts w:hint="eastAsia" w:asciiTheme="minorEastAsia" w:hAnsiTheme="minorEastAsia" w:eastAsiaTheme="minorEastAsia" w:cstheme="minorEastAsia"/>
                <w:color w:val="auto"/>
                <w:sz w:val="21"/>
                <w:szCs w:val="21"/>
                <w:highlight w:val="none"/>
              </w:rPr>
              <w:t>抑菌率≥99%</w:t>
            </w:r>
          </w:p>
          <w:p w14:paraId="71805472">
            <w:pPr>
              <w:rPr>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kern w:val="2"/>
                <w:sz w:val="21"/>
                <w:szCs w:val="21"/>
                <w:highlight w:val="none"/>
                <w:lang w:val="en-US"/>
              </w:rPr>
              <w:t>四</w:t>
            </w:r>
            <w:r>
              <w:rPr>
                <w:rStyle w:val="975"/>
                <w:rFonts w:hint="eastAsia" w:asciiTheme="minorEastAsia" w:hAnsiTheme="minorEastAsia" w:eastAsiaTheme="minorEastAsia" w:cstheme="minorEastAsia"/>
                <w:color w:val="auto"/>
                <w:kern w:val="2"/>
                <w:sz w:val="21"/>
                <w:szCs w:val="21"/>
                <w:highlight w:val="none"/>
              </w:rPr>
              <w:t>、防霉性能：JC/T 2039-2010</w:t>
            </w:r>
            <w:r>
              <w:rPr>
                <w:rStyle w:val="975"/>
                <w:rFonts w:hint="eastAsia" w:asciiTheme="minorEastAsia" w:hAnsiTheme="minorEastAsia" w:eastAsiaTheme="minorEastAsia" w:cstheme="minorEastAsia"/>
                <w:color w:val="auto"/>
                <w:sz w:val="21"/>
                <w:szCs w:val="21"/>
                <w:highlight w:val="none"/>
              </w:rPr>
              <w:t>《抗菌防霉木质装饰板》</w:t>
            </w:r>
          </w:p>
          <w:p w14:paraId="0BB8BA2E">
            <w:pPr>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黑曲霉、绳状青霉、球毛壳霉、腊叶芽枝霉、桔青霉、短柄帚霉、</w:t>
            </w:r>
            <w:r>
              <w:rPr>
                <w:rFonts w:hint="eastAsia" w:ascii="宋体" w:hAnsi="宋体" w:eastAsia="宋体" w:cs="宋体"/>
                <w:b w:val="0"/>
                <w:bCs w:val="0"/>
                <w:color w:val="auto"/>
                <w:sz w:val="21"/>
                <w:szCs w:val="21"/>
                <w:highlight w:val="none"/>
              </w:rPr>
              <w:t>绿粘帚霉</w:t>
            </w:r>
            <w:r>
              <w:rPr>
                <w:rStyle w:val="975"/>
                <w:rFonts w:hint="eastAsia" w:asciiTheme="minorEastAsia" w:hAnsiTheme="minorEastAsia" w:eastAsiaTheme="minorEastAsia" w:cstheme="minorEastAsia"/>
                <w:color w:val="auto"/>
                <w:sz w:val="21"/>
                <w:szCs w:val="21"/>
                <w:highlight w:val="none"/>
              </w:rPr>
              <w:t>等霉种中任意5种防霉性等级0级。</w:t>
            </w:r>
          </w:p>
        </w:tc>
      </w:tr>
    </w:tbl>
    <w:p w14:paraId="14EF24CA">
      <w:pPr>
        <w:pStyle w:val="26"/>
        <w:numPr>
          <w:ilvl w:val="0"/>
          <w:numId w:val="0"/>
        </w:numPr>
        <w:spacing w:line="240" w:lineRule="auto"/>
        <w:rPr>
          <w:rFonts w:hint="eastAsia"/>
          <w:color w:val="auto"/>
          <w:highlight w:val="none"/>
          <w:lang w:val="en-US" w:eastAsia="zh-CN"/>
        </w:rPr>
      </w:pPr>
    </w:p>
    <w:p w14:paraId="3725239D">
      <w:pPr>
        <w:pStyle w:val="27"/>
        <w:rPr>
          <w:rFonts w:hint="eastAsia"/>
          <w:color w:val="auto"/>
          <w:highlight w:val="none"/>
          <w:lang w:val="en-US" w:eastAsia="zh-CN"/>
        </w:rPr>
      </w:pPr>
    </w:p>
    <w:p w14:paraId="3C3210C6">
      <w:pPr>
        <w:pStyle w:val="28"/>
        <w:rPr>
          <w:rFonts w:hint="eastAsia"/>
          <w:color w:val="auto"/>
          <w:highlight w:val="none"/>
          <w:lang w:val="en-US" w:eastAsia="zh-CN"/>
        </w:rPr>
      </w:pPr>
    </w:p>
    <w:p w14:paraId="0CDDE438">
      <w:pPr>
        <w:rPr>
          <w:rFonts w:hint="eastAsia"/>
          <w:color w:val="auto"/>
          <w:highlight w:val="none"/>
          <w:lang w:val="en-US" w:eastAsia="zh-CN"/>
        </w:rPr>
      </w:pPr>
    </w:p>
    <w:p w14:paraId="388ADA55">
      <w:pPr>
        <w:pStyle w:val="26"/>
        <w:rPr>
          <w:rFonts w:hint="eastAsia"/>
          <w:color w:val="auto"/>
          <w:highlight w:val="none"/>
          <w:lang w:val="en-US" w:eastAsia="zh-CN"/>
        </w:rPr>
      </w:pPr>
    </w:p>
    <w:p w14:paraId="70A07714">
      <w:pPr>
        <w:pStyle w:val="27"/>
        <w:rPr>
          <w:rFonts w:hint="eastAsia"/>
          <w:color w:val="auto"/>
          <w:highlight w:val="none"/>
          <w:lang w:val="en-US" w:eastAsia="zh-CN"/>
        </w:rPr>
      </w:pPr>
    </w:p>
    <w:p w14:paraId="6B7833A7">
      <w:pPr>
        <w:rPr>
          <w:rFonts w:hint="eastAsia"/>
          <w:color w:val="auto"/>
          <w:highlight w:val="none"/>
          <w:lang w:val="en-US" w:eastAsia="zh-CN"/>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0B1065F2">
      <w:pPr>
        <w:pStyle w:val="26"/>
        <w:numPr>
          <w:ilvl w:val="0"/>
          <w:numId w:val="0"/>
        </w:numPr>
        <w:spacing w:line="240" w:lineRule="auto"/>
        <w:rPr>
          <w:rFonts w:hint="eastAsia"/>
          <w:color w:val="auto"/>
          <w:highlight w:val="none"/>
          <w:lang w:val="en-US" w:eastAsia="zh-CN"/>
        </w:rPr>
      </w:pPr>
    </w:p>
    <w:p w14:paraId="5128B36C">
      <w:pPr>
        <w:pStyle w:val="26"/>
        <w:numPr>
          <w:ilvl w:val="0"/>
          <w:numId w:val="0"/>
        </w:numPr>
        <w:spacing w:line="240" w:lineRule="auto"/>
        <w:rPr>
          <w:rFonts w:hint="eastAsia"/>
          <w:color w:val="auto"/>
          <w:highlight w:val="none"/>
          <w:lang w:val="en-US" w:eastAsia="zh-CN"/>
        </w:rPr>
      </w:pPr>
      <w:r>
        <w:rPr>
          <w:rFonts w:hint="eastAsia"/>
          <w:color w:val="auto"/>
          <w:highlight w:val="none"/>
          <w:lang w:val="en-US" w:eastAsia="zh-CN"/>
        </w:rPr>
        <w:t>四、成品样品清单及要求：</w:t>
      </w:r>
    </w:p>
    <w:p w14:paraId="6EF02220">
      <w:pPr>
        <w:pStyle w:val="27"/>
        <w:rPr>
          <w:rFonts w:hint="eastAsia"/>
          <w:color w:val="auto"/>
          <w:highlight w:val="none"/>
          <w:lang w:val="en-US" w:eastAsia="zh-CN"/>
        </w:rPr>
      </w:pPr>
    </w:p>
    <w:tbl>
      <w:tblPr>
        <w:tblStyle w:val="66"/>
        <w:tblW w:w="14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8585"/>
        <w:gridCol w:w="1300"/>
        <w:gridCol w:w="800"/>
        <w:gridCol w:w="788"/>
        <w:gridCol w:w="2623"/>
      </w:tblGrid>
      <w:tr w14:paraId="4FE3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出样示意图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2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样品制作要求</w:t>
            </w:r>
          </w:p>
        </w:tc>
      </w:tr>
      <w:tr w14:paraId="0FD0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drawing>
                <wp:inline distT="0" distB="0" distL="114300" distR="114300">
                  <wp:extent cx="5024755" cy="4333875"/>
                  <wp:effectExtent l="0" t="0" r="4445"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3"/>
                          <a:stretch>
                            <a:fillRect/>
                          </a:stretch>
                        </pic:blipFill>
                        <pic:spPr>
                          <a:xfrm>
                            <a:off x="0" y="0"/>
                            <a:ext cx="5024755" cy="4333875"/>
                          </a:xfrm>
                          <a:prstGeom prst="rect">
                            <a:avLst/>
                          </a:prstGeom>
                        </pic:spPr>
                      </pic:pic>
                    </a:graphicData>
                  </a:graphic>
                </wp:inline>
              </w:drawing>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4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综合治疗柜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7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5D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尺寸允许±5%误差</w:t>
            </w:r>
            <w:r>
              <w:rPr>
                <w:rFonts w:hint="eastAsia" w:ascii="宋体" w:hAnsi="宋体" w:cs="宋体"/>
                <w:i w:val="0"/>
                <w:iCs w:val="0"/>
                <w:color w:val="auto"/>
                <w:sz w:val="24"/>
                <w:szCs w:val="24"/>
                <w:highlight w:val="none"/>
                <w:u w:val="none"/>
                <w:lang w:val="en-US" w:eastAsia="zh-CN"/>
              </w:rPr>
              <w:t>,</w:t>
            </w:r>
            <w:r>
              <w:rPr>
                <w:rFonts w:hint="eastAsia" w:ascii="宋体" w:hAnsi="宋体" w:cs="宋体"/>
                <w:i w:val="0"/>
                <w:iCs w:val="0"/>
                <w:color w:val="auto"/>
                <w:kern w:val="0"/>
                <w:sz w:val="24"/>
                <w:szCs w:val="24"/>
                <w:highlight w:val="none"/>
                <w:u w:val="none"/>
                <w:lang w:val="en-US" w:eastAsia="zh-CN" w:bidi="ar"/>
              </w:rPr>
              <w:t>具体要求详见采购清单治疗柜、处置柜</w:t>
            </w:r>
          </w:p>
        </w:tc>
      </w:tr>
    </w:tbl>
    <w:p w14:paraId="217AA262">
      <w:pPr>
        <w:pStyle w:val="26"/>
        <w:numPr>
          <w:ilvl w:val="0"/>
          <w:numId w:val="0"/>
        </w:numPr>
        <w:spacing w:line="240" w:lineRule="auto"/>
        <w:rPr>
          <w:rFonts w:hint="eastAsia"/>
          <w:color w:val="auto"/>
          <w:highlight w:val="none"/>
          <w:lang w:val="en-US" w:eastAsia="zh-CN"/>
        </w:rPr>
        <w:sectPr>
          <w:pgSz w:w="16838" w:h="11906" w:orient="landscape"/>
          <w:pgMar w:top="1418" w:right="680" w:bottom="1418" w:left="468" w:header="851" w:footer="992" w:gutter="0"/>
          <w:pgBorders>
            <w:top w:val="none" w:sz="0" w:space="0"/>
            <w:left w:val="none" w:sz="0" w:space="0"/>
            <w:bottom w:val="none" w:sz="0" w:space="0"/>
            <w:right w:val="none" w:sz="0" w:space="0"/>
          </w:pgBorders>
          <w:cols w:space="720" w:num="1"/>
          <w:titlePg/>
          <w:docGrid w:linePitch="312" w:charSpace="0"/>
        </w:sectPr>
      </w:pPr>
    </w:p>
    <w:p w14:paraId="4DBE3303">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color w:val="auto"/>
          <w:sz w:val="23"/>
          <w:szCs w:val="23"/>
          <w:highlight w:val="none"/>
          <w:lang w:val="en-US" w:eastAsia="zh-CN"/>
        </w:rPr>
        <w:t>1、以上样品必须在投标截止时间前送达至嘉兴市银建工程咨询评估有限公司招标代理部（嘉善县阳光东路185号善商大厦1号（东）楼21层），接收人：王佳浩，联系电话：18768312621</w:t>
      </w:r>
      <w:r>
        <w:rPr>
          <w:rFonts w:hint="eastAsia" w:ascii="宋体" w:hAnsi="宋体"/>
          <w:color w:val="auto"/>
          <w:highlight w:val="none"/>
          <w:lang w:val="zh-TW"/>
        </w:rPr>
        <w:t>（双休日及法定节假日</w:t>
      </w:r>
      <w:r>
        <w:rPr>
          <w:rFonts w:hint="eastAsia" w:ascii="宋体" w:hAnsi="宋体"/>
          <w:color w:val="auto"/>
          <w:highlight w:val="none"/>
        </w:rPr>
        <w:t>不接受样品，请合理安排时间</w:t>
      </w:r>
      <w:r>
        <w:rPr>
          <w:rFonts w:hint="eastAsia" w:hAnsi="宋体"/>
          <w:color w:val="auto"/>
          <w:highlight w:val="none"/>
          <w:lang w:eastAsia="zh-CN"/>
        </w:rPr>
        <w:t>）</w:t>
      </w:r>
      <w:r>
        <w:rPr>
          <w:rFonts w:hint="eastAsia"/>
          <w:color w:val="auto"/>
          <w:sz w:val="23"/>
          <w:szCs w:val="23"/>
          <w:highlight w:val="none"/>
          <w:lang w:val="en-US" w:eastAsia="zh-CN"/>
        </w:rPr>
        <w:t>。采购活动结束后，采购人将对本项目中标人的所有样品进行封存，作为验收的参考。</w:t>
      </w:r>
      <w:r>
        <w:rPr>
          <w:rFonts w:hint="eastAsia"/>
          <w:b/>
          <w:bCs/>
          <w:color w:val="auto"/>
          <w:sz w:val="23"/>
          <w:szCs w:val="23"/>
          <w:highlight w:val="none"/>
          <w:lang w:val="en-US" w:eastAsia="zh-CN"/>
        </w:rPr>
        <w:t>其他投标人的样品在采购活动结束后1-3个工作日内自行取回。逾期未取回的样品由采购人自行处理</w:t>
      </w:r>
      <w:r>
        <w:rPr>
          <w:rFonts w:hint="eastAsia"/>
          <w:color w:val="auto"/>
          <w:sz w:val="23"/>
          <w:szCs w:val="23"/>
          <w:highlight w:val="none"/>
          <w:lang w:val="en-US" w:eastAsia="zh-CN"/>
        </w:rPr>
        <w:t>。</w:t>
      </w:r>
      <w:r>
        <w:rPr>
          <w:rFonts w:hint="eastAsia"/>
          <w:b/>
          <w:bCs/>
          <w:color w:val="auto"/>
          <w:sz w:val="23"/>
          <w:szCs w:val="23"/>
          <w:highlight w:val="none"/>
          <w:lang w:val="en-US" w:eastAsia="zh-CN"/>
        </w:rPr>
        <w:t>样品不得显示生产厂家名称、地址、商标（品牌）、供应商名称等供应商特有的标识。未提供样品或样品提供不全的，作无效标处理。</w:t>
      </w:r>
    </w:p>
    <w:p w14:paraId="09ED9F4C">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b/>
          <w:bCs/>
          <w:color w:val="auto"/>
          <w:sz w:val="23"/>
          <w:szCs w:val="23"/>
          <w:highlight w:val="none"/>
          <w:lang w:val="en-US" w:eastAsia="zh-CN"/>
        </w:rPr>
        <w:t>五、商务要求</w:t>
      </w:r>
    </w:p>
    <w:p w14:paraId="579CC40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eastAsia="宋体" w:cs="Arial"/>
          <w:b/>
          <w:bCs/>
          <w:snapToGrid w:val="0"/>
          <w:color w:val="auto"/>
          <w:kern w:val="2"/>
          <w:sz w:val="23"/>
          <w:szCs w:val="23"/>
          <w:highlight w:val="none"/>
          <w:lang w:val="en-US" w:eastAsia="zh-CN" w:bidi="ar-SA"/>
        </w:rPr>
        <w:t>1、供货要求</w:t>
      </w:r>
    </w:p>
    <w:p w14:paraId="46523C1F">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eastAsia="宋体" w:cs="Arial"/>
          <w:snapToGrid w:val="0"/>
          <w:color w:val="auto"/>
          <w:kern w:val="2"/>
          <w:sz w:val="23"/>
          <w:szCs w:val="23"/>
          <w:highlight w:val="none"/>
          <w:lang w:val="en-US" w:eastAsia="zh-CN" w:bidi="ar-SA"/>
        </w:rPr>
        <w:t>1.1投标人所供货物须符合国家的相关规定，且负责将所供货物送至采购人指定地点，并负责货物的安装、调试等。</w:t>
      </w:r>
    </w:p>
    <w:p w14:paraId="284B4F8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eastAsia="宋体" w:cs="Arial"/>
          <w:snapToGrid w:val="0"/>
          <w:color w:val="auto"/>
          <w:kern w:val="2"/>
          <w:sz w:val="23"/>
          <w:szCs w:val="23"/>
          <w:highlight w:val="none"/>
          <w:lang w:val="en-US" w:eastAsia="zh-CN" w:bidi="ar-SA"/>
        </w:rPr>
        <w:t>1.2产品安装所涉及的有关零配件均由投标人提供。</w:t>
      </w:r>
    </w:p>
    <w:p w14:paraId="1AC5FE52">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2</w:t>
      </w:r>
      <w:r>
        <w:rPr>
          <w:rFonts w:hint="eastAsia" w:ascii="宋体" w:hAnsi="Arial" w:eastAsia="宋体" w:cs="Arial"/>
          <w:b/>
          <w:bCs/>
          <w:snapToGrid w:val="0"/>
          <w:color w:val="auto"/>
          <w:kern w:val="2"/>
          <w:sz w:val="23"/>
          <w:szCs w:val="23"/>
          <w:highlight w:val="none"/>
          <w:lang w:val="en-US" w:eastAsia="zh-CN" w:bidi="ar-SA"/>
        </w:rPr>
        <w:t>、交货与安装</w:t>
      </w:r>
    </w:p>
    <w:p w14:paraId="5357F7FB">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.1交货</w:t>
      </w:r>
      <w:r>
        <w:rPr>
          <w:rFonts w:hint="eastAsia" w:ascii="宋体" w:hAnsi="Arial" w:cs="Arial"/>
          <w:snapToGrid w:val="0"/>
          <w:color w:val="auto"/>
          <w:kern w:val="2"/>
          <w:sz w:val="23"/>
          <w:szCs w:val="23"/>
          <w:highlight w:val="none"/>
          <w:lang w:val="en-US" w:eastAsia="zh-CN" w:bidi="ar-SA"/>
        </w:rPr>
        <w:t>期限</w:t>
      </w:r>
      <w:r>
        <w:rPr>
          <w:rFonts w:hint="eastAsia" w:ascii="宋体" w:hAnsi="Arial" w:eastAsia="宋体" w:cs="Arial"/>
          <w:snapToGrid w:val="0"/>
          <w:color w:val="auto"/>
          <w:kern w:val="2"/>
          <w:sz w:val="23"/>
          <w:szCs w:val="23"/>
          <w:highlight w:val="none"/>
          <w:lang w:val="en-US" w:eastAsia="zh-CN" w:bidi="ar-SA"/>
        </w:rPr>
        <w:t>：</w:t>
      </w:r>
      <w:r>
        <w:rPr>
          <w:rFonts w:hint="eastAsia" w:ascii="宋体" w:hAnsi="Arial" w:cs="Arial"/>
          <w:snapToGrid w:val="0"/>
          <w:color w:val="auto"/>
          <w:kern w:val="2"/>
          <w:sz w:val="23"/>
          <w:szCs w:val="23"/>
          <w:highlight w:val="none"/>
          <w:lang w:val="en-US" w:eastAsia="zh-CN" w:bidi="ar-SA"/>
        </w:rPr>
        <w:t>合同签订后待采购人发出供货通知单起60日历天内送货到采购人指定地点并完成安装调试工作且经采购人或采购人委托的第三方验收单位验收合格</w:t>
      </w:r>
      <w:r>
        <w:rPr>
          <w:rFonts w:hint="eastAsia" w:ascii="宋体" w:hAnsi="Arial" w:eastAsia="宋体" w:cs="Arial"/>
          <w:snapToGrid w:val="0"/>
          <w:color w:val="auto"/>
          <w:kern w:val="2"/>
          <w:sz w:val="23"/>
          <w:szCs w:val="23"/>
          <w:highlight w:val="none"/>
          <w:lang w:val="en-US" w:eastAsia="zh-CN" w:bidi="ar-SA"/>
        </w:rPr>
        <w:t>。</w:t>
      </w:r>
    </w:p>
    <w:p w14:paraId="330E7314">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.2中标供应商必须严格按照项目技术要求进行安装，并接受采购人的监督管理。</w:t>
      </w:r>
    </w:p>
    <w:p w14:paraId="05C1E880">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.3所有货物必须在检验合格经采购人同意后，方可用于本项目。</w:t>
      </w:r>
    </w:p>
    <w:p w14:paraId="7F612DB6">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.4采购人有权监督、检查、检验中标人的货物质量及安装质量进度，整改方案须经采购人认可后方能实施，中标供应商应把货物质量放在首位，加强技术管理和质量保证，严格认真地执行技术标准和规范。</w:t>
      </w:r>
    </w:p>
    <w:p w14:paraId="032074B3">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.5中标人在供货安装中如发生质量事故（责任由中标人全部承担），应及时报告采购人。做到及时查清事故原因，分清事故责任，并采取有效的补救措施；重大质量事故的处理按国家相关条例执行。</w:t>
      </w:r>
    </w:p>
    <w:p w14:paraId="324931C9">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3</w:t>
      </w:r>
      <w:r>
        <w:rPr>
          <w:rFonts w:hint="eastAsia" w:ascii="宋体" w:hAnsi="Arial" w:eastAsia="宋体" w:cs="Arial"/>
          <w:b/>
          <w:bCs/>
          <w:snapToGrid w:val="0"/>
          <w:color w:val="auto"/>
          <w:kern w:val="2"/>
          <w:sz w:val="23"/>
          <w:szCs w:val="23"/>
          <w:highlight w:val="none"/>
          <w:lang w:val="en-US" w:eastAsia="zh-CN" w:bidi="ar-SA"/>
        </w:rPr>
        <w:t>、验收要求</w:t>
      </w:r>
    </w:p>
    <w:p w14:paraId="4FB64BD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.1验收以招标文件和技术文件、投标文件、合同及安装技术要求为依据。</w:t>
      </w:r>
    </w:p>
    <w:p w14:paraId="2AD0AFE7">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2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14:paraId="1C0538FC">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.3验收必须符合国家、地方有关规范、标准及设计要求。</w:t>
      </w:r>
    </w:p>
    <w:p w14:paraId="37E17650">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.4符合验收条件的，由采购人组织有关部门按照国家、地方有关规范、标准及设计要求进行验收。验收后中标供应商应按照验收中提出的意见整改。</w:t>
      </w:r>
    </w:p>
    <w:p w14:paraId="4184EF0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.5整改完毕且复验合格后将本项目货物交给采购人使用，完成日期以通过复验日期为准。</w:t>
      </w:r>
    </w:p>
    <w:p w14:paraId="40643213">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6采购人在中标供应商送货、安装、调试后对货物服务进行检查验收，如果发现数量不足或有质量、技术等问题，中标供应商应负责根据合同及采购人的要求采取补足或更换等处理措施，并承担由此发生的一切损失和费用。</w:t>
      </w:r>
    </w:p>
    <w:p w14:paraId="451FB409">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4</w:t>
      </w:r>
      <w:r>
        <w:rPr>
          <w:rFonts w:hint="eastAsia" w:ascii="宋体" w:hAnsi="Arial" w:eastAsia="宋体" w:cs="Arial"/>
          <w:b/>
          <w:bCs/>
          <w:snapToGrid w:val="0"/>
          <w:color w:val="auto"/>
          <w:kern w:val="2"/>
          <w:sz w:val="23"/>
          <w:szCs w:val="23"/>
          <w:highlight w:val="none"/>
          <w:lang w:val="en-US" w:eastAsia="zh-CN" w:bidi="ar-SA"/>
        </w:rPr>
        <w:t>、售后服务</w:t>
      </w:r>
    </w:p>
    <w:p w14:paraId="502348E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4</w:t>
      </w:r>
      <w:r>
        <w:rPr>
          <w:rFonts w:hint="eastAsia" w:ascii="宋体" w:hAnsi="Arial" w:eastAsia="宋体" w:cs="Arial"/>
          <w:snapToGrid w:val="0"/>
          <w:color w:val="auto"/>
          <w:kern w:val="2"/>
          <w:sz w:val="23"/>
          <w:szCs w:val="23"/>
          <w:highlight w:val="none"/>
          <w:lang w:val="en-US" w:eastAsia="zh-CN" w:bidi="ar-SA"/>
        </w:rPr>
        <w:t>.1投标人须提供</w:t>
      </w:r>
      <w:r>
        <w:rPr>
          <w:rFonts w:hint="eastAsia" w:ascii="宋体" w:hAnsi="Arial" w:cs="Arial"/>
          <w:snapToGrid w:val="0"/>
          <w:color w:val="auto"/>
          <w:kern w:val="2"/>
          <w:sz w:val="23"/>
          <w:szCs w:val="23"/>
          <w:highlight w:val="none"/>
          <w:lang w:val="en-US" w:eastAsia="zh-CN" w:bidi="ar-SA"/>
        </w:rPr>
        <w:t>所有货物</w:t>
      </w:r>
      <w:r>
        <w:rPr>
          <w:rFonts w:hint="eastAsia" w:ascii="宋体" w:hAnsi="Arial" w:eastAsia="宋体" w:cs="Arial"/>
          <w:snapToGrid w:val="0"/>
          <w:color w:val="auto"/>
          <w:kern w:val="2"/>
          <w:sz w:val="23"/>
          <w:szCs w:val="23"/>
          <w:highlight w:val="none"/>
          <w:lang w:val="en-US" w:eastAsia="zh-CN" w:bidi="ar-SA"/>
        </w:rPr>
        <w:t>经</w:t>
      </w:r>
      <w:r>
        <w:rPr>
          <w:rFonts w:hint="eastAsia" w:ascii="宋体" w:hAnsi="Arial" w:cs="Arial"/>
          <w:snapToGrid w:val="0"/>
          <w:color w:val="auto"/>
          <w:kern w:val="2"/>
          <w:sz w:val="23"/>
          <w:szCs w:val="23"/>
          <w:highlight w:val="none"/>
          <w:lang w:val="en-US" w:eastAsia="zh-CN" w:bidi="ar-SA"/>
        </w:rPr>
        <w:t>安装</w:t>
      </w:r>
      <w:r>
        <w:rPr>
          <w:rFonts w:hint="eastAsia" w:ascii="宋体" w:hAnsi="Arial" w:eastAsia="宋体" w:cs="Arial"/>
          <w:snapToGrid w:val="0"/>
          <w:color w:val="auto"/>
          <w:kern w:val="2"/>
          <w:sz w:val="23"/>
          <w:szCs w:val="23"/>
          <w:highlight w:val="none"/>
          <w:lang w:val="en-US" w:eastAsia="zh-CN" w:bidi="ar-SA"/>
        </w:rPr>
        <w:t>调试、验收合格后至少</w:t>
      </w: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年的质保期(投标人可根据自身实力作出更长时间的质保承诺)。在此期间，投标人应免费处理因质量发生的故障，并进行正常保养。</w:t>
      </w:r>
    </w:p>
    <w:p w14:paraId="682BD39F">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4</w:t>
      </w:r>
      <w:r>
        <w:rPr>
          <w:rFonts w:hint="eastAsia" w:ascii="宋体" w:hAnsi="Arial" w:eastAsia="宋体" w:cs="Arial"/>
          <w:snapToGrid w:val="0"/>
          <w:color w:val="auto"/>
          <w:kern w:val="2"/>
          <w:sz w:val="23"/>
          <w:szCs w:val="23"/>
          <w:highlight w:val="none"/>
          <w:lang w:val="en-US" w:eastAsia="zh-CN" w:bidi="ar-SA"/>
        </w:rPr>
        <w:t>.2中标人必须有可靠的售后服务保障，能提供正常的技术、备品备件服务。中标人在接到招标人通知后，6小时内派人赴现场解决质量问题。24小时内不能修复的，则无偿提供备件或备用零件供采购人使用。</w:t>
      </w:r>
    </w:p>
    <w:p w14:paraId="10F8C934">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5</w:t>
      </w:r>
      <w:r>
        <w:rPr>
          <w:rFonts w:hint="eastAsia" w:ascii="宋体" w:hAnsi="Arial" w:eastAsia="宋体" w:cs="Arial"/>
          <w:b/>
          <w:bCs/>
          <w:snapToGrid w:val="0"/>
          <w:color w:val="auto"/>
          <w:kern w:val="2"/>
          <w:sz w:val="23"/>
          <w:szCs w:val="23"/>
          <w:highlight w:val="none"/>
          <w:lang w:val="en-US" w:eastAsia="zh-CN" w:bidi="ar-SA"/>
        </w:rPr>
        <w:t>、其他要求</w:t>
      </w:r>
    </w:p>
    <w:p w14:paraId="5257DF71">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.1质保期内，如出现故障，中标人在接到电话6小时内到达采购人指定地点，</w:t>
      </w:r>
    </w:p>
    <w:p w14:paraId="220536FB">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.2中标人提供的货物，必须符合招标文件及其投标文件规定的要求，如有不符，采购人可以无条件退货，造成的损失由中标人承担。</w:t>
      </w:r>
    </w:p>
    <w:p w14:paraId="00BB13A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.3中标人、供货人名称必须一致，否则作违约处理。</w:t>
      </w:r>
    </w:p>
    <w:p w14:paraId="27B3F3CC">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.4中标人必须按照招标文件及其投标文件规定的时间要求完成供货和施工，如未按期完成，由中标单位按照中标总价的10%进行赔偿，因此造成的任何损失和损伤，一切责任由中标单位负责。</w:t>
      </w:r>
    </w:p>
    <w:p w14:paraId="5AD60622">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.5项目实施人员费用由中标人应自行承担选派专业人员的住宿、就餐和交通等费用。</w:t>
      </w:r>
    </w:p>
    <w:p w14:paraId="286111A6">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6</w:t>
      </w:r>
      <w:r>
        <w:rPr>
          <w:rFonts w:hint="eastAsia" w:ascii="宋体" w:hAnsi="Arial" w:eastAsia="宋体" w:cs="Arial"/>
          <w:b/>
          <w:bCs/>
          <w:snapToGrid w:val="0"/>
          <w:color w:val="auto"/>
          <w:kern w:val="2"/>
          <w:sz w:val="23"/>
          <w:szCs w:val="23"/>
          <w:highlight w:val="none"/>
          <w:lang w:val="en-US" w:eastAsia="zh-CN" w:bidi="ar-SA"/>
        </w:rPr>
        <w:t>、付款方式</w:t>
      </w:r>
    </w:p>
    <w:p w14:paraId="1EF9394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5F211A2A">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仿宋" w:hAnsi="仿宋" w:eastAsia="仿宋" w:cs="仿宋_GB2312"/>
          <w:b/>
          <w:color w:val="auto"/>
          <w:sz w:val="23"/>
          <w:szCs w:val="23"/>
          <w:highlight w:val="none"/>
        </w:rPr>
      </w:pPr>
      <w:r>
        <w:rPr>
          <w:rFonts w:hint="eastAsia" w:ascii="宋体" w:hAnsi="Arial" w:cs="Arial"/>
          <w:snapToGrid w:val="0"/>
          <w:color w:val="auto"/>
          <w:kern w:val="2"/>
          <w:sz w:val="23"/>
          <w:szCs w:val="23"/>
          <w:highlight w:val="none"/>
          <w:lang w:val="en-US" w:eastAsia="zh-CN" w:bidi="ar-SA"/>
        </w:rPr>
        <w:t>注：付款前中标单位应按规定向采购人开具正规发票。在签订合同时，供应商明确表示无需预付款或者主动要求降低预付款比例的（预付款保函同步调整），采购单位可不适用前述规定。</w:t>
      </w:r>
    </w:p>
    <w:p w14:paraId="4A054D41">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b/>
          <w:bCs/>
          <w:color w:val="auto"/>
          <w:sz w:val="23"/>
          <w:szCs w:val="23"/>
          <w:highlight w:val="none"/>
          <w:lang w:val="en-US" w:eastAsia="zh-CN"/>
        </w:rPr>
        <w:t>五、特别说明</w:t>
      </w:r>
    </w:p>
    <w:p w14:paraId="5522DD1C">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color w:val="auto"/>
          <w:sz w:val="23"/>
          <w:szCs w:val="23"/>
          <w:highlight w:val="none"/>
          <w:lang w:val="en-US" w:eastAsia="zh-CN"/>
        </w:rPr>
      </w:pPr>
      <w:r>
        <w:rPr>
          <w:rFonts w:hint="eastAsia"/>
          <w:color w:val="auto"/>
          <w:sz w:val="23"/>
          <w:szCs w:val="23"/>
          <w:highlight w:val="none"/>
          <w:lang w:val="en-US" w:eastAsia="zh-CN"/>
        </w:rPr>
        <w:t>1.采购人保留对采购数量调整的权利，如遇实际情况采购人需对所采购货物的数量进行适当调整，中标单位须按实供货。</w:t>
      </w:r>
    </w:p>
    <w:p w14:paraId="71883EDA">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default"/>
          <w:color w:val="auto"/>
          <w:sz w:val="23"/>
          <w:szCs w:val="23"/>
          <w:highlight w:val="none"/>
          <w:lang w:val="en-US" w:eastAsia="zh-CN"/>
        </w:rPr>
      </w:pPr>
      <w:r>
        <w:rPr>
          <w:rFonts w:hint="eastAsia"/>
          <w:color w:val="auto"/>
          <w:sz w:val="23"/>
          <w:szCs w:val="23"/>
          <w:highlight w:val="none"/>
          <w:lang w:val="en-US" w:eastAsia="zh-CN"/>
        </w:rPr>
        <w:t>2.采购清单中所有产品已逐一标注具体规格尺寸要求，投标人应当严格按照采购人提出的规格尺寸进行投标响应，产品尺寸合理误差范围为±5㎜</w:t>
      </w:r>
    </w:p>
    <w:p w14:paraId="4AF4F861">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color w:val="auto"/>
          <w:sz w:val="23"/>
          <w:szCs w:val="23"/>
          <w:highlight w:val="none"/>
          <w:lang w:val="en-US" w:eastAsia="zh-CN"/>
        </w:rPr>
      </w:pPr>
      <w:r>
        <w:rPr>
          <w:rFonts w:hint="eastAsia"/>
          <w:color w:val="auto"/>
          <w:sz w:val="23"/>
          <w:szCs w:val="23"/>
          <w:highlight w:val="none"/>
          <w:lang w:val="en-US" w:eastAsia="zh-CN"/>
        </w:rPr>
        <w:t>2.本项目实施过程中如遇清单尺寸与实际尺寸在±5%范围内，中标价格不作调整，采购人按照实际用量采购和结算。</w:t>
      </w:r>
    </w:p>
    <w:p w14:paraId="2BBA2940">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default"/>
          <w:color w:val="auto"/>
          <w:sz w:val="23"/>
          <w:szCs w:val="23"/>
          <w:highlight w:val="none"/>
          <w:lang w:val="en-US" w:eastAsia="zh-CN"/>
        </w:rPr>
      </w:pPr>
      <w:r>
        <w:rPr>
          <w:rFonts w:hint="eastAsia"/>
          <w:color w:val="auto"/>
          <w:sz w:val="23"/>
          <w:szCs w:val="23"/>
          <w:highlight w:val="none"/>
          <w:lang w:val="en-US" w:eastAsia="zh-CN"/>
        </w:rPr>
        <w:t>3.货物的颜色在供货时由采购人确认，相关费用考虑在报价中。</w:t>
      </w:r>
    </w:p>
    <w:p w14:paraId="0E4281AF">
      <w:pPr>
        <w:pStyle w:val="27"/>
        <w:rPr>
          <w:rFonts w:hint="eastAsia" w:ascii="仿宋" w:hAnsi="仿宋" w:eastAsia="仿宋" w:cs="仿宋_GB2312"/>
          <w:b/>
          <w:color w:val="auto"/>
          <w:sz w:val="36"/>
          <w:szCs w:val="2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5B6CBF77">
      <w:pPr>
        <w:rPr>
          <w:rFonts w:hint="eastAsia"/>
          <w:color w:val="auto"/>
          <w:highlight w:val="none"/>
        </w:rPr>
      </w:pPr>
    </w:p>
    <w:p w14:paraId="296FDAFD">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627CF280">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59AAA92D">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7B43F480">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53CCFB58">
      <w:pPr>
        <w:pStyle w:val="62"/>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712FDEAD">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13F9F33">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2B34C06C">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736DD74C">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42A43E2F">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7DA1BFA4">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7325394D">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A8F61EE">
      <w:pPr>
        <w:pStyle w:val="27"/>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4B6B1BEE">
      <w:pPr>
        <w:rPr>
          <w:color w:val="auto"/>
          <w:highlight w:val="none"/>
        </w:rPr>
      </w:pPr>
    </w:p>
    <w:p w14:paraId="68B15C9A">
      <w:pPr>
        <w:pStyle w:val="27"/>
        <w:wordWrap w:val="0"/>
        <w:overflowPunct w:val="0"/>
        <w:adjustRightInd/>
        <w:spacing w:before="24" w:beforeLines="10"/>
        <w:ind w:firstLine="487"/>
        <w:rPr>
          <w:rFonts w:hAnsi="宋体" w:cs="宋体"/>
          <w:color w:val="auto"/>
          <w:kern w:val="0"/>
          <w:highlight w:val="none"/>
          <w:shd w:val="clear" w:color="auto" w:fill="FFFFFF"/>
        </w:rPr>
      </w:pPr>
    </w:p>
    <w:p w14:paraId="49ECFA6E">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6"/>
        <w:tblW w:w="0" w:type="auto"/>
        <w:tblInd w:w="142" w:type="dxa"/>
        <w:tblLayout w:type="fixed"/>
        <w:tblCellMar>
          <w:top w:w="0" w:type="dxa"/>
          <w:left w:w="108" w:type="dxa"/>
          <w:bottom w:w="0" w:type="dxa"/>
          <w:right w:w="108" w:type="dxa"/>
        </w:tblCellMar>
      </w:tblPr>
      <w:tblGrid>
        <w:gridCol w:w="744"/>
        <w:gridCol w:w="8399"/>
      </w:tblGrid>
      <w:tr w14:paraId="4E88F42F">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268CA650">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58BD1872">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654F2D6D">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14:paraId="58E8DACD">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A50E8E3">
            <w:pPr>
              <w:pStyle w:val="36"/>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嘉善县区域急诊医学中心医疗组合家具采购项目</w:t>
            </w:r>
          </w:p>
        </w:tc>
      </w:tr>
      <w:tr w14:paraId="0FCB0D5C">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4B19648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419BFB25">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477957F9">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6C1E1E26">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7F1F5230">
            <w:pPr>
              <w:pStyle w:val="62"/>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420.00</w:t>
            </w:r>
            <w:r>
              <w:rPr>
                <w:rFonts w:hint="eastAsia" w:cs="宋体"/>
                <w:color w:val="auto"/>
                <w:highlight w:val="none"/>
                <w:u w:val="single"/>
              </w:rPr>
              <w:t>万元</w:t>
            </w:r>
            <w:r>
              <w:rPr>
                <w:rFonts w:hint="eastAsia" w:cs="宋体"/>
                <w:color w:val="auto"/>
                <w:highlight w:val="none"/>
              </w:rPr>
              <w:t>。</w:t>
            </w:r>
          </w:p>
          <w:p w14:paraId="3664E35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420.00万元</w:t>
            </w:r>
            <w:r>
              <w:rPr>
                <w:rFonts w:hint="eastAsia" w:ascii="宋体" w:hAnsi="宋体" w:cs="宋体"/>
                <w:color w:val="auto"/>
                <w:sz w:val="24"/>
                <w:highlight w:val="none"/>
              </w:rPr>
              <w:t>，超最高限价的投标文件无效。</w:t>
            </w:r>
          </w:p>
        </w:tc>
      </w:tr>
      <w:tr w14:paraId="586C4E10">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5F199C16">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61FBAEB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7BC47BA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37336EE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2C69403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49A2F866">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4C631053">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5229519A">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0A5BDB6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E7FADCE">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0C0F2820">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7C9044D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0187B0E5">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09B7210D">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7AC1937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624FA84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5E4CB686">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13D4324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66F177D0">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6BA211C6">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6CBF8D23">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556663D5">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2F0158D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1E5420AB">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0A5D521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65098767">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F5A2A4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73285B4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94F19D0">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05648AD9">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2BD42EF7">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0000FF"/>
                <w:sz w:val="24"/>
                <w:highlight w:val="none"/>
                <w:u w:val="single"/>
                <w:lang w:eastAsia="zh-CN"/>
              </w:rPr>
              <w:t>2024年9月23日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2EC49E05">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32C28306">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7E22B15A">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58224F6A">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4883CE7B">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11CBF27B">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A1F1F1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3D82F93F">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r>
              <w:rPr>
                <w:rFonts w:hint="eastAsia" w:ascii="宋体" w:hAnsi="宋体" w:cs="宋体"/>
                <w:color w:val="auto"/>
                <w:sz w:val="24"/>
                <w:highlight w:val="none"/>
                <w:lang w:eastAsia="zh-CN"/>
              </w:rPr>
              <w:t>。</w:t>
            </w:r>
          </w:p>
        </w:tc>
      </w:tr>
      <w:tr w14:paraId="6E1D29B5">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3C799C4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75C4554E">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1E321692">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382D402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BAC6B0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14:paraId="73A5D6C7">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540072E">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459FBE93">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14:paraId="3F3C1135">
            <w:pPr>
              <w:wordWrap w:val="0"/>
              <w:overflowPunct w:val="0"/>
              <w:autoSpaceDE w:val="0"/>
              <w:autoSpaceDN w:val="0"/>
              <w:snapToGrid w:val="0"/>
              <w:spacing w:before="24" w:beforeLines="10" w:after="24" w:afterLines="1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03A2213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注：付款前中标单位应按规定向采购人开具正规发票。在签订合同时，供应商明确表示无需预付款或者主动要求降低预付款比例的（预付款保函同步调整），采购单位可不适用前述规定</w:t>
            </w:r>
          </w:p>
        </w:tc>
      </w:tr>
      <w:tr w14:paraId="37D3EF9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719BE11">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14:paraId="0E28DFAC">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本项目核心产品：治疗柜</w:t>
            </w:r>
          </w:p>
        </w:tc>
      </w:tr>
      <w:tr w14:paraId="60234860">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DF39CD0">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399" w:type="dxa"/>
            <w:tcBorders>
              <w:top w:val="single" w:color="auto" w:sz="4" w:space="0"/>
              <w:left w:val="nil"/>
              <w:bottom w:val="single" w:color="auto" w:sz="4" w:space="0"/>
              <w:right w:val="single" w:color="auto" w:sz="4" w:space="0"/>
            </w:tcBorders>
            <w:vAlign w:val="center"/>
          </w:tcPr>
          <w:p w14:paraId="0CA723F3">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14:paraId="0EB23955">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4E525370">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399" w:type="dxa"/>
            <w:tcBorders>
              <w:top w:val="single" w:color="auto" w:sz="4" w:space="0"/>
              <w:left w:val="nil"/>
              <w:bottom w:val="single" w:color="auto" w:sz="4" w:space="0"/>
              <w:right w:val="single" w:color="auto" w:sz="4" w:space="0"/>
            </w:tcBorders>
            <w:vAlign w:val="center"/>
          </w:tcPr>
          <w:p w14:paraId="52BEB498">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4E98AFE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68ABD244">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14:paraId="030FD7A7">
            <w:pPr>
              <w:pStyle w:val="36"/>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4A48D7EA">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3749E31">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399" w:type="dxa"/>
            <w:tcBorders>
              <w:top w:val="single" w:color="auto" w:sz="4" w:space="0"/>
              <w:left w:val="nil"/>
              <w:bottom w:val="single" w:color="auto" w:sz="4" w:space="0"/>
              <w:right w:val="single" w:color="auto" w:sz="4" w:space="0"/>
            </w:tcBorders>
            <w:vAlign w:val="center"/>
          </w:tcPr>
          <w:p w14:paraId="341680F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37317481">
      <w:pPr>
        <w:pStyle w:val="36"/>
        <w:wordWrap w:val="0"/>
        <w:overflowPunct w:val="0"/>
        <w:autoSpaceDE w:val="0"/>
        <w:autoSpaceDN w:val="0"/>
        <w:snapToGrid w:val="0"/>
        <w:spacing w:line="400" w:lineRule="exact"/>
        <w:outlineLvl w:val="0"/>
        <w:rPr>
          <w:rFonts w:hAnsi="宋体" w:cs="宋体"/>
          <w:b/>
          <w:color w:val="auto"/>
          <w:sz w:val="24"/>
          <w:szCs w:val="24"/>
          <w:highlight w:val="none"/>
        </w:rPr>
      </w:pPr>
    </w:p>
    <w:p w14:paraId="564F3880">
      <w:pPr>
        <w:pStyle w:val="36"/>
        <w:numPr>
          <w:ilvl w:val="0"/>
          <w:numId w:val="6"/>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197346D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400C1BA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12A0DCD6">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41D5728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3572A61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0AC8C45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5D6B38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0A4714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5EA4F9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41BBB6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50633BF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w:t>
      </w:r>
      <w:r>
        <w:rPr>
          <w:rFonts w:hint="eastAsia" w:ascii="宋体" w:hAnsi="宋体" w:cs="宋体"/>
          <w:color w:val="auto"/>
          <w:sz w:val="24"/>
          <w:highlight w:val="none"/>
          <w:lang w:eastAsia="zh-CN"/>
        </w:rPr>
        <w:t>技术参数</w:t>
      </w:r>
      <w:r>
        <w:rPr>
          <w:rFonts w:hint="eastAsia" w:ascii="宋体" w:hAnsi="宋体" w:cs="宋体"/>
          <w:color w:val="auto"/>
          <w:sz w:val="24"/>
          <w:highlight w:val="none"/>
        </w:rPr>
        <w:t>。</w:t>
      </w:r>
    </w:p>
    <w:p w14:paraId="00BAA4C7">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6B12F5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3DDF18D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077DDD20">
      <w:pPr>
        <w:pStyle w:val="29"/>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66EE66D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2838D6D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5554AF40">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3764AE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068CF6C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40692208">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0E90E73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4DBDA38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2CC171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3525438D">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2894342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A793D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6922A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0383650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6F6FB68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20929AF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368E7B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5A22C26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6EC4A73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96B23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A234BB4">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6388287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7A01911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4526643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6168C4C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673951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57DA7175">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6173FDF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09D75C3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6FCC1A8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7C72AEA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4110222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229CEAD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36C3878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5D6F51C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4A4A5A9C">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589CFB54">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589E52C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5C8CEDD6">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77B4A8AE">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04F3639E">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1D2325C2">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1782A286">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6757A7D4">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39B49AE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512BB0D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EE232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2A24DEC7">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1C365A87">
      <w:pPr>
        <w:pStyle w:val="36"/>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4F16219B">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7323A743">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3A2D37A9">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1D2769DF">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310518AB">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BE973A3">
      <w:pPr>
        <w:pStyle w:val="62"/>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45857D8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41C3FD38">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5E56CD15">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069B7792">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67E1A3E1">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10AA0BF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374497D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第六章技术响应（偏离）表（格式见第六章）</w:t>
      </w:r>
    </w:p>
    <w:p w14:paraId="0605A6E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14:paraId="2117293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14:paraId="6FC2B46D">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环境标志产品认证</w:t>
      </w:r>
    </w:p>
    <w:p w14:paraId="07D15B3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原材料检测报告</w:t>
      </w:r>
    </w:p>
    <w:p w14:paraId="4F8166E6">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成品检测报告</w:t>
      </w:r>
    </w:p>
    <w:p w14:paraId="01EEC96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投标样品</w:t>
      </w:r>
    </w:p>
    <w:p w14:paraId="3C329342">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生产设备</w:t>
      </w:r>
    </w:p>
    <w:p w14:paraId="67DF9C8D">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14:paraId="3343FBD5">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生产实施方案</w:t>
      </w:r>
    </w:p>
    <w:p w14:paraId="7BA93EDE">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品质管理管控方案</w:t>
      </w:r>
    </w:p>
    <w:p w14:paraId="09F4D018">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安装服务实施方案</w:t>
      </w:r>
    </w:p>
    <w:p w14:paraId="0E41C09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p w14:paraId="1DB9FFF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030FFA82">
      <w:pPr>
        <w:pStyle w:val="36"/>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034BBDE7">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65C8B294">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04A3A53">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14:paraId="66F641AF">
      <w:pPr>
        <w:numPr>
          <w:ilvl w:val="0"/>
          <w:numId w:val="9"/>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14:paraId="09D52C7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14:paraId="5F37CD83">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23D1D28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14:paraId="0C356A9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1F07C7A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7BEA8740">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55285E6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300B9C9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1EFA5D65">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3C4FAD08">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40B8AE9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97340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499D8032">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19C374D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395C1D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实际采购货物</w:t>
      </w:r>
      <w:r>
        <w:rPr>
          <w:rFonts w:hint="eastAsia" w:ascii="宋体" w:hAnsi="宋体"/>
          <w:color w:val="auto"/>
          <w:sz w:val="24"/>
          <w:highlight w:val="none"/>
        </w:rPr>
        <w:t>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报价包括设计、生产、供货、运输、装卸、安装调试、税金、保险、备品备件、配件、附件、培训、验收、辅助工作及售后服务等完成本项目的所有费用。</w:t>
      </w:r>
    </w:p>
    <w:p w14:paraId="0673467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812DC1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2DB10B52">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55262D7B">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139D8864">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1FF02CA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69D63995">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6D714199">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80"/>
          <w:rFonts w:hint="eastAsia" w:ascii="宋体" w:hAnsi="宋体" w:cs="宋体"/>
          <w:bCs/>
          <w:color w:val="auto"/>
          <w:sz w:val="24"/>
          <w:highlight w:val="none"/>
        </w:rPr>
        <w:t>）及本招标文件规定的格式和顺序编制电子投标文件并进行关联定位。</w:t>
      </w:r>
      <w:r>
        <w:rPr>
          <w:rStyle w:val="80"/>
          <w:rFonts w:hint="eastAsia" w:ascii="宋体" w:hAnsi="宋体" w:cs="宋体"/>
          <w:bCs/>
          <w:color w:val="auto"/>
          <w:sz w:val="24"/>
          <w:highlight w:val="none"/>
        </w:rPr>
        <w:fldChar w:fldCharType="end"/>
      </w:r>
    </w:p>
    <w:p w14:paraId="52B64578">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4241C6E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78DDDB0B">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186AC89">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1E87618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49E69E3F">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58B661FC">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72626E47">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4E7F95B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57D51D7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593A19E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3B33B62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042E3C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1E5EE74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53E528B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4DFAC6B3">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372B645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5103A26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08F81C5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1808C7E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05889A3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14521BD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194BE92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1D07645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07AA16C">
      <w:pPr>
        <w:numPr>
          <w:ilvl w:val="0"/>
          <w:numId w:val="10"/>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4044CCFB">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2.资格证明文件不全的，或者不符合招标文件标明的资格要求的，投标文件将被视为无效。</w:t>
      </w:r>
    </w:p>
    <w:p w14:paraId="725DC5FE">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1A71A8D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22169B2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6991D69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1E5316E9">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14:paraId="0FC82D5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14:paraId="38646A1B">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4023605E">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投标有效期、交货期限、质保期等商务条款不能满足招标文件要求的；</w:t>
      </w:r>
    </w:p>
    <w:p w14:paraId="624DFF9D">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8</w:t>
      </w:r>
      <w:r>
        <w:rPr>
          <w:rFonts w:hint="eastAsia" w:cs="宋体"/>
          <w:snapToGrid w:val="0"/>
          <w:color w:val="auto"/>
          <w:highlight w:val="none"/>
        </w:rPr>
        <w:t>）</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14:paraId="37EF64AE">
      <w:pPr>
        <w:pStyle w:val="29"/>
        <w:wordWrap w:val="0"/>
        <w:overflowPunct w:val="0"/>
        <w:autoSpaceDE w:val="0"/>
        <w:autoSpaceDN w:val="0"/>
        <w:snapToGrid w:val="0"/>
        <w:spacing w:line="360" w:lineRule="auto"/>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9</w:t>
      </w:r>
      <w:r>
        <w:rPr>
          <w:rFonts w:hint="eastAsia" w:cs="宋体"/>
          <w:color w:val="auto"/>
          <w:highlight w:val="none"/>
          <w:lang w:eastAsia="zh-CN"/>
        </w:rPr>
        <w:t>）</w:t>
      </w:r>
      <w:r>
        <w:rPr>
          <w:rFonts w:hint="eastAsia" w:ascii="宋体" w:hAnsi="宋体" w:cs="宋体"/>
          <w:b/>
          <w:color w:val="auto"/>
          <w:kern w:val="0"/>
          <w:highlight w:val="none"/>
        </w:rPr>
        <w:t>未提供样品或样品提供不全</w:t>
      </w:r>
      <w:r>
        <w:rPr>
          <w:rFonts w:hint="eastAsia" w:ascii="宋体" w:hAnsi="宋体" w:cs="宋体"/>
          <w:b/>
          <w:color w:val="auto"/>
          <w:kern w:val="0"/>
          <w:highlight w:val="none"/>
          <w:lang w:eastAsia="zh-CN"/>
        </w:rPr>
        <w:t>的</w:t>
      </w:r>
      <w:r>
        <w:rPr>
          <w:rFonts w:hint="eastAsia" w:cs="宋体"/>
          <w:b/>
          <w:color w:val="auto"/>
          <w:kern w:val="0"/>
          <w:highlight w:val="none"/>
          <w:lang w:eastAsia="zh-CN"/>
        </w:rPr>
        <w:t>；</w:t>
      </w:r>
    </w:p>
    <w:p w14:paraId="6C0F61C9">
      <w:pPr>
        <w:pStyle w:val="29"/>
        <w:wordWrap w:val="0"/>
        <w:overflowPunct w:val="0"/>
        <w:autoSpaceDE w:val="0"/>
        <w:autoSpaceDN w:val="0"/>
        <w:snapToGrid w:val="0"/>
        <w:spacing w:line="360" w:lineRule="auto"/>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10</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14:paraId="5EC7B8C5">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6E69E6AE">
      <w:pPr>
        <w:pStyle w:val="29"/>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027397D2">
      <w:pPr>
        <w:pStyle w:val="29"/>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1A2E151D">
      <w:pPr>
        <w:pStyle w:val="29"/>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39385101">
      <w:pPr>
        <w:pStyle w:val="29"/>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54C525D3">
      <w:pPr>
        <w:pStyle w:val="29"/>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32F54AFA">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32EDA575">
      <w:pPr>
        <w:pStyle w:val="29"/>
        <w:snapToGrid w:val="0"/>
        <w:spacing w:line="360" w:lineRule="auto"/>
        <w:rPr>
          <w:color w:val="auto"/>
          <w:highlight w:val="none"/>
        </w:rPr>
      </w:pPr>
      <w:r>
        <w:rPr>
          <w:rFonts w:hint="eastAsia"/>
          <w:color w:val="auto"/>
          <w:highlight w:val="none"/>
        </w:rPr>
        <w:t>（1）未采用人民币报价或者未按照采购文件标明的币种报价的；</w:t>
      </w:r>
    </w:p>
    <w:p w14:paraId="31264D62">
      <w:pPr>
        <w:pStyle w:val="29"/>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2FCC712D">
      <w:pPr>
        <w:pStyle w:val="29"/>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661B9C6">
      <w:pPr>
        <w:pStyle w:val="29"/>
        <w:snapToGrid w:val="0"/>
        <w:spacing w:line="360" w:lineRule="auto"/>
        <w:rPr>
          <w:color w:val="auto"/>
          <w:highlight w:val="none"/>
        </w:rPr>
      </w:pPr>
      <w:r>
        <w:rPr>
          <w:rFonts w:hint="eastAsia"/>
          <w:color w:val="auto"/>
          <w:highlight w:val="none"/>
        </w:rPr>
        <w:t>（4）评标委员会认定属投标人自身原因有重大漏项的。</w:t>
      </w:r>
    </w:p>
    <w:p w14:paraId="645DBA07">
      <w:pPr>
        <w:pStyle w:val="29"/>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39403443">
      <w:pPr>
        <w:pStyle w:val="29"/>
        <w:snapToGrid w:val="0"/>
        <w:spacing w:line="360" w:lineRule="auto"/>
        <w:rPr>
          <w:color w:val="auto"/>
          <w:highlight w:val="none"/>
        </w:rPr>
      </w:pPr>
      <w:r>
        <w:rPr>
          <w:rFonts w:hint="eastAsia"/>
          <w:color w:val="auto"/>
          <w:highlight w:val="none"/>
        </w:rPr>
        <w:t>（6）报价超过采购文件中规定的预算金额或者最高限价的。</w:t>
      </w:r>
    </w:p>
    <w:p w14:paraId="2902CE72">
      <w:pPr>
        <w:pStyle w:val="29"/>
        <w:snapToGrid w:val="0"/>
        <w:spacing w:line="360" w:lineRule="auto"/>
        <w:rPr>
          <w:color w:val="auto"/>
          <w:highlight w:val="none"/>
        </w:rPr>
      </w:pPr>
      <w:r>
        <w:rPr>
          <w:rFonts w:hint="eastAsia"/>
          <w:color w:val="auto"/>
          <w:highlight w:val="none"/>
        </w:rPr>
        <w:t>（7）报价文件无法定代表人或授权代表签字（或盖章）的；</w:t>
      </w:r>
    </w:p>
    <w:p w14:paraId="11294292">
      <w:pPr>
        <w:pStyle w:val="29"/>
        <w:snapToGrid w:val="0"/>
        <w:spacing w:line="360" w:lineRule="auto"/>
        <w:rPr>
          <w:color w:val="auto"/>
          <w:highlight w:val="none"/>
        </w:rPr>
      </w:pPr>
      <w:r>
        <w:rPr>
          <w:rFonts w:hint="eastAsia"/>
          <w:color w:val="auto"/>
          <w:highlight w:val="none"/>
        </w:rPr>
        <w:t>（8）报价文件格式不规范、项目不齐全或者内容虚假的；</w:t>
      </w:r>
    </w:p>
    <w:p w14:paraId="5ACBD617">
      <w:pPr>
        <w:pStyle w:val="29"/>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69DE19A4">
      <w:pPr>
        <w:pStyle w:val="29"/>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14:paraId="664E4057">
      <w:pPr>
        <w:pStyle w:val="29"/>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14:paraId="71D6D2B1">
      <w:pPr>
        <w:pStyle w:val="29"/>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7AEACA5A">
      <w:pPr>
        <w:pStyle w:val="29"/>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29EAB038">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28107D43">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45F06C22">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16406F9A">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00FA4DD5">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260F5E44">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3DF79DC9">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2ABE895E">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089529FF">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E370C31">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471BCE6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5412BD71">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28791228">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1AE7821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4D13530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64F0561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7F57E33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75440B4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2071065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C7A4BF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240B295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7FE6935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6974042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117EBD1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0642728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6F7EE4F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5E3851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4BAC4FB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3AF71F6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5576888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5F34235F">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5F38534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6AE18E30">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0752EED5">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0C3A04E5">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2A87D0C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10052F6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187939D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1E69BA5F">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0295E72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0330944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209B105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47FF528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38AE692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0253338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58AFDC49">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3A126753">
      <w:pPr>
        <w:pStyle w:val="36"/>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700D5831">
      <w:pPr>
        <w:pStyle w:val="36"/>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2FA0B27D">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3AD5092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5295F0AC">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5CBF33CA">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538ED643">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086310A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A285CF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7C20174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0B6F344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701BA4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675FC5F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7EFED63F">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3EF65CE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383404C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D2073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313B86B7">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69CB24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429AD9F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ABD691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B8E81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C9B3A4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386236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0F14BA12">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2166253A">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195C686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B8613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7CF390B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44B670A7">
      <w:pPr>
        <w:pStyle w:val="36"/>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3D49D08">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2CA0A809">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0F366685">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41800389">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4F1F4A0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57E3C85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69288E08">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1B2D0C5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5E2FEE0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6FC90B90">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69544735">
      <w:pPr>
        <w:pStyle w:val="36"/>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1D121DF8">
      <w:pPr>
        <w:pStyle w:val="36"/>
        <w:snapToGrid w:val="0"/>
        <w:spacing w:line="360" w:lineRule="auto"/>
        <w:rPr>
          <w:rFonts w:hAnsi="宋体" w:cs="宋体"/>
          <w:b/>
          <w:color w:val="auto"/>
          <w:sz w:val="24"/>
          <w:szCs w:val="24"/>
          <w:highlight w:val="none"/>
        </w:rPr>
      </w:pPr>
      <w:bookmarkStart w:id="21" w:name="_Hlt68072998"/>
      <w:bookmarkEnd w:id="21"/>
      <w:bookmarkStart w:id="22" w:name="_Hlt74714665"/>
      <w:bookmarkEnd w:id="22"/>
      <w:bookmarkStart w:id="23" w:name="_Hlt74729768"/>
      <w:bookmarkEnd w:id="23"/>
      <w:bookmarkStart w:id="24" w:name="_Hlt68403820"/>
      <w:bookmarkEnd w:id="24"/>
      <w:bookmarkStart w:id="25" w:name="_Hlt68057669"/>
      <w:bookmarkEnd w:id="25"/>
      <w:bookmarkStart w:id="26" w:name="_Hlt74707468"/>
      <w:bookmarkEnd w:id="26"/>
      <w:bookmarkStart w:id="27" w:name="_Hlt75236101"/>
      <w:bookmarkEnd w:id="27"/>
      <w:bookmarkStart w:id="28" w:name="_Hlt74730295"/>
      <w:bookmarkEnd w:id="28"/>
      <w:bookmarkStart w:id="29" w:name="_Hlt75236290"/>
      <w:bookmarkEnd w:id="29"/>
      <w:bookmarkStart w:id="30" w:name="_Hlt68072990"/>
      <w:bookmarkEnd w:id="30"/>
      <w:bookmarkStart w:id="31" w:name="_Hlt75236011"/>
      <w:bookmarkEnd w:id="31"/>
      <w:bookmarkStart w:id="32" w:name="_Hlt68073093"/>
      <w:bookmarkEnd w:id="32"/>
      <w:r>
        <w:rPr>
          <w:rFonts w:hint="eastAsia" w:hAnsi="宋体" w:cs="宋体"/>
          <w:b/>
          <w:color w:val="auto"/>
          <w:sz w:val="24"/>
          <w:szCs w:val="24"/>
          <w:highlight w:val="none"/>
        </w:rPr>
        <w:t>九、招标代理费</w:t>
      </w:r>
    </w:p>
    <w:p w14:paraId="5F16014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14:paraId="604C898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49211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686695F1">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53EBBFBD">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14:paraId="64A73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06A0BCE7">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4B6F1406">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r w14:paraId="40567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2228E30F">
            <w:pPr>
              <w:snapToGrid w:val="0"/>
              <w:spacing w:line="360" w:lineRule="auto"/>
              <w:jc w:val="center"/>
              <w:textAlignment w:val="baseline"/>
              <w:rPr>
                <w:rFonts w:hint="eastAsia" w:ascii="宋体" w:hAnsi="宋体"/>
                <w:b/>
                <w:color w:val="auto"/>
                <w:sz w:val="24"/>
                <w:highlight w:val="none"/>
              </w:rPr>
            </w:pPr>
            <w:r>
              <w:rPr>
                <w:rStyle w:val="976"/>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36EFF2E5">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1.10%</w:t>
            </w:r>
          </w:p>
        </w:tc>
      </w:tr>
    </w:tbl>
    <w:p w14:paraId="535A4659">
      <w:pPr>
        <w:keepNext w:val="0"/>
        <w:keepLines w:val="0"/>
        <w:pageBreakBefore w:val="0"/>
        <w:widowControl w:val="0"/>
        <w:kinsoku/>
        <w:wordWrap/>
        <w:overflowPunct/>
        <w:topLinePunct w:val="0"/>
        <w:autoSpaceDE/>
        <w:autoSpaceDN/>
        <w:bidi w:val="0"/>
        <w:adjustRightInd w:val="0"/>
        <w:snapToGrid w:val="0"/>
        <w:spacing w:line="360" w:lineRule="auto"/>
        <w:ind w:left="480" w:hanging="480" w:hanging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例如：某项目</w:t>
      </w:r>
      <w:r>
        <w:rPr>
          <w:rFonts w:hint="eastAsia" w:ascii="宋体" w:hAnsi="宋体"/>
          <w:color w:val="auto"/>
          <w:sz w:val="24"/>
          <w:highlight w:val="none"/>
          <w:lang w:eastAsia="zh-CN"/>
        </w:rPr>
        <w:t>货物</w:t>
      </w:r>
      <w:r>
        <w:rPr>
          <w:rFonts w:hint="eastAsia" w:ascii="宋体" w:hAnsi="宋体"/>
          <w:color w:val="auto"/>
          <w:sz w:val="24"/>
          <w:highlight w:val="none"/>
        </w:rPr>
        <w:t>类招标代理业务中标金额为</w:t>
      </w:r>
      <w:r>
        <w:rPr>
          <w:rFonts w:hint="eastAsia" w:ascii="宋体" w:hAnsi="宋体"/>
          <w:color w:val="auto"/>
          <w:sz w:val="24"/>
          <w:highlight w:val="none"/>
          <w:lang w:val="en-US" w:eastAsia="zh-CN"/>
        </w:rPr>
        <w:t>450</w:t>
      </w:r>
      <w:r>
        <w:rPr>
          <w:rFonts w:hint="eastAsia" w:ascii="宋体" w:hAnsi="宋体"/>
          <w:color w:val="auto"/>
          <w:sz w:val="24"/>
          <w:highlight w:val="none"/>
        </w:rPr>
        <w:t>万元，计算中标服务费收费额如下：</w:t>
      </w:r>
      <w:r>
        <w:rPr>
          <w:rFonts w:hint="eastAsia" w:ascii="宋体" w:hAnsi="宋体"/>
          <w:color w:val="auto"/>
          <w:sz w:val="24"/>
          <w:highlight w:val="none"/>
          <w:lang w:val="en-US" w:eastAsia="zh-CN"/>
        </w:rPr>
        <w:t xml:space="preserve">  </w:t>
      </w:r>
    </w:p>
    <w:p w14:paraId="0214E64C">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720" w:firstLineChars="300"/>
        <w:jc w:val="left"/>
        <w:textAlignment w:val="auto"/>
        <w:rPr>
          <w:rStyle w:val="976"/>
          <w:rFonts w:ascii="宋体" w:hAnsi="宋体" w:eastAsia="宋体"/>
          <w:b w:val="0"/>
          <w:i w:val="0"/>
          <w:caps w:val="0"/>
          <w:color w:val="auto"/>
          <w:spacing w:val="0"/>
          <w:w w:val="100"/>
          <w:kern w:val="2"/>
          <w:sz w:val="24"/>
          <w:szCs w:val="24"/>
          <w:highlight w:val="none"/>
          <w:lang w:val="en-US" w:eastAsia="zh-CN" w:bidi="ar-SA"/>
        </w:rPr>
      </w:pPr>
      <w:r>
        <w:rPr>
          <w:rFonts w:hint="eastAsia" w:ascii="宋体" w:hAnsi="宋体"/>
          <w:color w:val="auto"/>
          <w:sz w:val="24"/>
          <w:highlight w:val="none"/>
        </w:rPr>
        <w:t>100万元×1.5%</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350</w:t>
      </w:r>
      <w:r>
        <w:rPr>
          <w:rFonts w:hint="eastAsia" w:ascii="宋体" w:hAnsi="宋体"/>
          <w:color w:val="auto"/>
          <w:sz w:val="24"/>
          <w:highlight w:val="none"/>
        </w:rPr>
        <w:t>万元×</w:t>
      </w:r>
      <w:r>
        <w:rPr>
          <w:rFonts w:hint="eastAsia" w:ascii="宋体" w:hAnsi="宋体"/>
          <w:color w:val="auto"/>
          <w:sz w:val="24"/>
          <w:highlight w:val="none"/>
          <w:lang w:val="en-US" w:eastAsia="zh-CN"/>
        </w:rPr>
        <w:t>1.1</w:t>
      </w:r>
      <w:r>
        <w:rPr>
          <w:rFonts w:hint="eastAsia" w:ascii="宋体" w:hAnsi="宋体"/>
          <w:color w:val="auto"/>
          <w:sz w:val="24"/>
          <w:highlight w:val="none"/>
        </w:rPr>
        <w:t>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53500</w:t>
      </w:r>
      <w:r>
        <w:rPr>
          <w:rFonts w:hint="eastAsia" w:ascii="宋体" w:hAnsi="宋体"/>
          <w:color w:val="auto"/>
          <w:sz w:val="24"/>
          <w:highlight w:val="none"/>
        </w:rPr>
        <w:t>元</w:t>
      </w:r>
    </w:p>
    <w:p w14:paraId="74DE84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hint="eastAsia" w:ascii="宋体" w:hAnsi="宋体"/>
          <w:bCs/>
          <w:color w:val="auto"/>
          <w:sz w:val="24"/>
          <w:highlight w:val="none"/>
          <w:lang w:val="zh-CN"/>
        </w:rPr>
      </w:pPr>
      <w:r>
        <w:rPr>
          <w:rFonts w:hint="eastAsia" w:ascii="宋体" w:hAnsi="宋体"/>
          <w:color w:val="auto"/>
          <w:sz w:val="24"/>
          <w:highlight w:val="none"/>
        </w:rPr>
        <w:t>3、本项目以</w:t>
      </w:r>
      <w:r>
        <w:rPr>
          <w:rFonts w:hint="eastAsia" w:ascii="宋体" w:hAnsi="宋体"/>
          <w:color w:val="auto"/>
          <w:sz w:val="24"/>
          <w:highlight w:val="none"/>
          <w:lang w:eastAsia="zh-CN"/>
        </w:rPr>
        <w:t>货物</w:t>
      </w:r>
      <w:r>
        <w:rPr>
          <w:rFonts w:hint="eastAsia" w:ascii="宋体" w:hAnsi="宋体"/>
          <w:color w:val="auto"/>
          <w:sz w:val="24"/>
          <w:highlight w:val="none"/>
        </w:rPr>
        <w:t>招标收费标准的80%收取中标服务费</w:t>
      </w:r>
      <w:r>
        <w:rPr>
          <w:rFonts w:hint="eastAsia" w:ascii="宋体" w:hAnsi="宋体"/>
          <w:bCs/>
          <w:color w:val="auto"/>
          <w:sz w:val="24"/>
          <w:highlight w:val="none"/>
          <w:lang w:val="zh-CN"/>
        </w:rPr>
        <w:t>。</w:t>
      </w:r>
    </w:p>
    <w:p w14:paraId="58D7786B">
      <w:pPr>
        <w:keepNext w:val="0"/>
        <w:keepLines w:val="0"/>
        <w:pageBreakBefore w:val="0"/>
        <w:widowControl w:val="0"/>
        <w:tabs>
          <w:tab w:val="left" w:pos="1862"/>
        </w:tabs>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 xml:space="preserve">计收费 = </w:t>
      </w:r>
      <w:r>
        <w:rPr>
          <w:rFonts w:hint="eastAsia" w:ascii="宋体" w:hAnsi="宋体"/>
          <w:color w:val="auto"/>
          <w:sz w:val="24"/>
          <w:highlight w:val="none"/>
          <w:lang w:val="en-US" w:eastAsia="zh-CN"/>
        </w:rPr>
        <w:t>53500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42800</w:t>
      </w:r>
      <w:r>
        <w:rPr>
          <w:rFonts w:hint="eastAsia" w:ascii="宋体" w:hAnsi="宋体"/>
          <w:color w:val="auto"/>
          <w:sz w:val="24"/>
          <w:highlight w:val="none"/>
        </w:rPr>
        <w:t>元</w:t>
      </w:r>
    </w:p>
    <w:p w14:paraId="3343D11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4、服务费的货币为人民币。</w:t>
      </w:r>
    </w:p>
    <w:p w14:paraId="088F6A6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08D2EF0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6、服务费以银行划账方式按下列要求提交：</w:t>
      </w:r>
    </w:p>
    <w:p w14:paraId="3BB0DB13">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户名：嘉兴市银建工程咨询评估有限公司嘉善大云分公司</w:t>
      </w:r>
    </w:p>
    <w:p w14:paraId="13EEE5D8">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开户行：嘉兴银行股份有限公司长三角一体化示范区（浙江嘉善）支行</w:t>
      </w:r>
    </w:p>
    <w:p w14:paraId="3F597B15">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账号：8010000013852</w:t>
      </w:r>
    </w:p>
    <w:p w14:paraId="601E9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14:paraId="29ECBF2F">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b/>
          <w:bCs/>
          <w:color w:val="auto"/>
          <w:sz w:val="24"/>
          <w:highlight w:val="none"/>
          <w:lang w:eastAsia="zh-CN"/>
        </w:rPr>
      </w:pPr>
      <w:r>
        <w:rPr>
          <w:rFonts w:hint="eastAsia" w:ascii="宋体" w:hAnsi="宋体" w:eastAsia="宋体" w:cs="Times New Roman"/>
          <w:color w:val="auto"/>
          <w:sz w:val="24"/>
          <w:highlight w:val="none"/>
        </w:rPr>
        <w:t>8、</w:t>
      </w:r>
      <w:r>
        <w:rPr>
          <w:rFonts w:hint="eastAsia" w:ascii="宋体" w:hAnsi="宋体" w:eastAsia="宋体" w:cs="Times New Roman"/>
          <w:b/>
          <w:bCs/>
          <w:color w:val="auto"/>
          <w:sz w:val="24"/>
          <w:highlight w:val="none"/>
        </w:rPr>
        <w:t>服务费不在投标报价中单列，由各投标人自行考虑在投标报价中</w:t>
      </w:r>
      <w:r>
        <w:rPr>
          <w:rFonts w:hint="eastAsia" w:ascii="宋体" w:hAnsi="宋体" w:cs="Times New Roman"/>
          <w:b/>
          <w:bCs/>
          <w:color w:val="auto"/>
          <w:sz w:val="24"/>
          <w:highlight w:val="none"/>
          <w:lang w:eastAsia="zh-CN"/>
        </w:rPr>
        <w:t>，请注明款项用途及项目名称，以便收款人确认。</w:t>
      </w:r>
    </w:p>
    <w:p w14:paraId="584FCA2C">
      <w:pPr>
        <w:pStyle w:val="16"/>
        <w:rPr>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5"/>
    <w:bookmarkEnd w:id="16"/>
    <w:p w14:paraId="6F401AE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5B099E72">
      <w:pPr>
        <w:keepNext w:val="0"/>
        <w:keepLines w:val="0"/>
        <w:pageBreakBefore w:val="0"/>
        <w:widowControl w:val="0"/>
        <w:kinsoku/>
        <w:wordWrap/>
        <w:overflowPunct/>
        <w:topLinePunct w:val="0"/>
        <w:autoSpaceDE/>
        <w:autoSpaceDN/>
        <w:bidi w:val="0"/>
        <w:adjustRightInd w:val="0"/>
        <w:spacing w:line="336" w:lineRule="auto"/>
        <w:ind w:firstLine="420"/>
        <w:textAlignment w:val="auto"/>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005E20F">
      <w:pPr>
        <w:pStyle w:val="58"/>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嘉善县区域急诊医学中心医疗组合家具采购项目</w:t>
      </w:r>
      <w:r>
        <w:rPr>
          <w:rFonts w:hint="eastAsia" w:ascii="宋体" w:hAnsi="宋体" w:cs="宋体"/>
          <w:color w:val="auto"/>
          <w:sz w:val="24"/>
          <w:highlight w:val="none"/>
        </w:rPr>
        <w:t>的评标。</w:t>
      </w:r>
    </w:p>
    <w:p w14:paraId="4B387C07">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 、总则</w:t>
      </w:r>
    </w:p>
    <w:p w14:paraId="56045C5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w:t>
      </w:r>
      <w:r>
        <w:rPr>
          <w:rFonts w:hint="eastAsia" w:ascii="宋体" w:hAnsi="宋体"/>
          <w:color w:val="auto"/>
          <w:sz w:val="24"/>
          <w:highlight w:val="none"/>
          <w:lang w:val="en-US" w:eastAsia="zh-CN"/>
        </w:rPr>
        <w:t>4</w:t>
      </w:r>
      <w:r>
        <w:rPr>
          <w:rFonts w:hint="eastAsia" w:ascii="宋体" w:hAnsi="宋体"/>
          <w:color w:val="auto"/>
          <w:sz w:val="24"/>
          <w:highlight w:val="none"/>
        </w:rPr>
        <w:t>分，技术分</w:t>
      </w:r>
      <w:r>
        <w:rPr>
          <w:rFonts w:hint="eastAsia" w:ascii="宋体" w:hAnsi="宋体"/>
          <w:color w:val="auto"/>
          <w:sz w:val="24"/>
          <w:highlight w:val="none"/>
          <w:lang w:val="en-US" w:eastAsia="zh-CN"/>
        </w:rPr>
        <w:t>66</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37361EFA">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22EA497">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5C92BF7D">
      <w:pPr>
        <w:pStyle w:val="29"/>
        <w:keepNext w:val="0"/>
        <w:keepLines w:val="0"/>
        <w:pageBreakBefore w:val="0"/>
        <w:widowControl w:val="0"/>
        <w:kinsoku/>
        <w:wordWrap/>
        <w:overflowPunct/>
        <w:topLinePunct w:val="0"/>
        <w:autoSpaceDE/>
        <w:autoSpaceDN/>
        <w:bidi w:val="0"/>
        <w:adjustRightInd w:val="0"/>
        <w:spacing w:line="336" w:lineRule="auto"/>
        <w:ind w:firstLine="482"/>
        <w:textAlignment w:val="auto"/>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14:paraId="093ABDDB">
      <w:pPr>
        <w:pStyle w:val="29"/>
        <w:keepNext w:val="0"/>
        <w:keepLines w:val="0"/>
        <w:pageBreakBefore w:val="0"/>
        <w:widowControl w:val="0"/>
        <w:kinsoku/>
        <w:wordWrap/>
        <w:overflowPunct/>
        <w:topLinePunct w:val="0"/>
        <w:autoSpaceDE/>
        <w:autoSpaceDN/>
        <w:bidi w:val="0"/>
        <w:adjustRightInd w:val="0"/>
        <w:spacing w:line="336" w:lineRule="auto"/>
        <w:textAlignment w:val="auto"/>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655F7EE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ascii="宋体" w:hAnsi="宋体"/>
          <w:color w:val="auto"/>
          <w:sz w:val="24"/>
          <w:highlight w:val="none"/>
        </w:rPr>
        <w:t>价格分=（评标基准价/投标报价）×30%×100</w:t>
      </w:r>
    </w:p>
    <w:p w14:paraId="2C71DE0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388E3A">
      <w:pPr>
        <w:pStyle w:val="29"/>
        <w:spacing w:before="120" w:beforeLines="50" w:after="120" w:afterLines="50" w:line="360" w:lineRule="auto"/>
        <w:ind w:firstLine="482"/>
        <w:rPr>
          <w:color w:val="auto"/>
          <w:highlight w:val="none"/>
        </w:rPr>
      </w:pPr>
      <w:r>
        <w:rPr>
          <w:rFonts w:hint="eastAsia" w:cs="宋体"/>
          <w:b/>
          <w:color w:val="auto"/>
          <w:highlight w:val="none"/>
        </w:rPr>
        <w:t>（二）商务资信分（</w:t>
      </w:r>
      <w:r>
        <w:rPr>
          <w:rFonts w:hint="eastAsia" w:cs="宋体"/>
          <w:b/>
          <w:color w:val="auto"/>
          <w:highlight w:val="none"/>
          <w:lang w:val="en-US" w:eastAsia="zh-CN"/>
        </w:rPr>
        <w:t>4</w:t>
      </w:r>
      <w:r>
        <w:rPr>
          <w:rFonts w:hint="eastAsia" w:cs="宋体"/>
          <w:b/>
          <w:color w:val="auto"/>
          <w:highlight w:val="none"/>
        </w:rPr>
        <w:t>分）</w:t>
      </w:r>
    </w:p>
    <w:tbl>
      <w:tblPr>
        <w:tblStyle w:val="66"/>
        <w:tblW w:w="8487" w:type="dxa"/>
        <w:jc w:val="center"/>
        <w:tblLayout w:type="fixed"/>
        <w:tblCellMar>
          <w:top w:w="0" w:type="dxa"/>
          <w:left w:w="108" w:type="dxa"/>
          <w:bottom w:w="0" w:type="dxa"/>
          <w:right w:w="108" w:type="dxa"/>
        </w:tblCellMar>
      </w:tblPr>
      <w:tblGrid>
        <w:gridCol w:w="520"/>
        <w:gridCol w:w="978"/>
        <w:gridCol w:w="6068"/>
        <w:gridCol w:w="921"/>
      </w:tblGrid>
      <w:tr w14:paraId="025FA51D">
        <w:tblPrEx>
          <w:tblCellMar>
            <w:top w:w="0" w:type="dxa"/>
            <w:left w:w="108" w:type="dxa"/>
            <w:bottom w:w="0" w:type="dxa"/>
            <w:right w:w="108" w:type="dxa"/>
          </w:tblCellMar>
        </w:tblPrEx>
        <w:trPr>
          <w:trHeight w:val="2045" w:hRule="exact"/>
          <w:jc w:val="center"/>
        </w:trPr>
        <w:tc>
          <w:tcPr>
            <w:tcW w:w="520" w:type="dxa"/>
            <w:vMerge w:val="restart"/>
            <w:tcBorders>
              <w:top w:val="single" w:color="auto" w:sz="4" w:space="0"/>
              <w:left w:val="single" w:color="auto" w:sz="4" w:space="0"/>
              <w:bottom w:val="single" w:color="auto" w:sz="4" w:space="0"/>
              <w:right w:val="single" w:color="auto" w:sz="4" w:space="0"/>
            </w:tcBorders>
            <w:vAlign w:val="top"/>
          </w:tcPr>
          <w:p w14:paraId="03003F39">
            <w:pPr>
              <w:pStyle w:val="86"/>
              <w:keepNext w:val="0"/>
              <w:keepLines w:val="0"/>
              <w:pageBreakBefore w:val="0"/>
              <w:widowControl/>
              <w:tabs>
                <w:tab w:val="left" w:pos="0"/>
                <w:tab w:val="clear" w:pos="8268"/>
              </w:tabs>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商务资信4</w:t>
            </w:r>
            <w:r>
              <w:rPr>
                <w:rFonts w:hint="eastAsia" w:asciiTheme="minorEastAsia" w:hAnsiTheme="minorEastAsia" w:eastAsiaTheme="minorEastAsia" w:cstheme="minorEastAsia"/>
                <w:color w:val="auto"/>
                <w:kern w:val="0"/>
                <w:sz w:val="24"/>
                <w:szCs w:val="24"/>
                <w:highlight w:val="none"/>
              </w:rPr>
              <w:t>分</w:t>
            </w:r>
          </w:p>
          <w:p w14:paraId="7B443F44">
            <w:pPr>
              <w:pStyle w:val="86"/>
              <w:keepNext w:val="0"/>
              <w:keepLines w:val="0"/>
              <w:pageBreakBefore w:val="0"/>
              <w:tabs>
                <w:tab w:val="left" w:pos="0"/>
                <w:tab w:val="clear" w:pos="8268"/>
              </w:tabs>
              <w:kinsoku/>
              <w:wordWrap/>
              <w:overflowPunct/>
              <w:topLinePunct w:val="0"/>
              <w:bidi w:val="0"/>
              <w:adjustRightInd w:val="0"/>
              <w:snapToGrid w:val="0"/>
              <w:spacing w:line="240" w:lineRule="auto"/>
              <w:ind w:firstLine="420"/>
              <w:jc w:val="center"/>
              <w:textAlignment w:val="auto"/>
              <w:rPr>
                <w:rFonts w:hint="eastAsia" w:asciiTheme="minorEastAsia" w:hAnsiTheme="minorEastAsia" w:eastAsiaTheme="minorEastAsia" w:cstheme="minorEastAsia"/>
                <w:color w:val="auto"/>
                <w:kern w:val="0"/>
                <w:sz w:val="24"/>
                <w:szCs w:val="24"/>
                <w:highlight w:val="none"/>
              </w:rPr>
            </w:pPr>
          </w:p>
          <w:p w14:paraId="708C713B">
            <w:pPr>
              <w:pStyle w:val="86"/>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14:paraId="11BB3030">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同类项目业绩</w:t>
            </w:r>
          </w:p>
          <w:p w14:paraId="4901FEFF">
            <w:pPr>
              <w:keepNext w:val="0"/>
              <w:keepLines w:val="0"/>
              <w:pageBreakBefore w:val="0"/>
              <w:kinsoku/>
              <w:wordWrap/>
              <w:overflowPunct/>
              <w:topLinePunct w:val="0"/>
              <w:bidi w:val="0"/>
              <w:adjustRightInd w:val="0"/>
              <w:snapToGrid w:val="0"/>
              <w:spacing w:line="240" w:lineRule="auto"/>
              <w:ind w:left="105" w:leftChars="50"/>
              <w:jc w:val="center"/>
              <w:textAlignment w:val="auto"/>
              <w:rPr>
                <w:rFonts w:hint="eastAsia" w:asciiTheme="minorEastAsia" w:hAnsiTheme="minorEastAsia" w:eastAsiaTheme="minorEastAsia" w:cstheme="minorEastAsia"/>
                <w:color w:val="auto"/>
                <w:sz w:val="22"/>
                <w:szCs w:val="22"/>
                <w:highlight w:val="none"/>
              </w:rPr>
            </w:pPr>
          </w:p>
        </w:tc>
        <w:tc>
          <w:tcPr>
            <w:tcW w:w="6068" w:type="dxa"/>
            <w:tcBorders>
              <w:top w:val="single" w:color="auto" w:sz="4" w:space="0"/>
              <w:left w:val="single" w:color="auto" w:sz="4" w:space="0"/>
              <w:bottom w:val="single" w:color="auto" w:sz="4" w:space="0"/>
              <w:right w:val="single" w:color="auto" w:sz="4" w:space="0"/>
            </w:tcBorders>
            <w:vAlign w:val="center"/>
          </w:tcPr>
          <w:p w14:paraId="3EF8EC2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投标人近三年（自投标截止日起往前追溯</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年，以合同签订时间为准）以来具有所独立承担同类项目业绩的，每提供一份得1分，最高得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w:t>
            </w:r>
            <w:r>
              <w:rPr>
                <w:rFonts w:hint="eastAsia" w:asciiTheme="minorEastAsia" w:hAnsiTheme="minorEastAsia" w:eastAsiaTheme="minorEastAsia" w:cstheme="minorEastAsia"/>
                <w:color w:val="auto"/>
                <w:kern w:val="0"/>
                <w:sz w:val="22"/>
                <w:szCs w:val="22"/>
                <w:highlight w:val="none"/>
                <w:lang w:eastAsia="zh-CN" w:bidi="ar"/>
              </w:rPr>
              <w:t>提供</w:t>
            </w:r>
            <w:r>
              <w:rPr>
                <w:rFonts w:hint="eastAsia" w:asciiTheme="minorEastAsia" w:hAnsiTheme="minorEastAsia" w:eastAsiaTheme="minorEastAsia" w:cstheme="minorEastAsia"/>
                <w:color w:val="auto"/>
                <w:kern w:val="0"/>
                <w:sz w:val="22"/>
                <w:szCs w:val="22"/>
                <w:highlight w:val="none"/>
                <w:lang w:bidi="ar"/>
              </w:rPr>
              <w:t>合同</w:t>
            </w:r>
            <w:r>
              <w:rPr>
                <w:rFonts w:hint="eastAsia" w:asciiTheme="minorEastAsia" w:hAnsiTheme="minorEastAsia" w:eastAsiaTheme="minorEastAsia" w:cstheme="minorEastAsia"/>
                <w:bCs/>
                <w:color w:val="auto"/>
                <w:kern w:val="0"/>
                <w:sz w:val="22"/>
                <w:szCs w:val="22"/>
                <w:highlight w:val="none"/>
                <w:lang w:bidi="ar"/>
              </w:rPr>
              <w:t>复印件</w:t>
            </w:r>
            <w:r>
              <w:rPr>
                <w:rFonts w:hint="eastAsia" w:asciiTheme="minorEastAsia" w:hAnsiTheme="minorEastAsia" w:eastAsiaTheme="minorEastAsia" w:cstheme="minorEastAsia"/>
                <w:bCs/>
                <w:color w:val="auto"/>
                <w:kern w:val="0"/>
                <w:sz w:val="22"/>
                <w:szCs w:val="22"/>
                <w:highlight w:val="none"/>
                <w:lang w:eastAsia="zh-CN" w:bidi="ar"/>
              </w:rPr>
              <w:t>或扫描件并</w:t>
            </w:r>
            <w:r>
              <w:rPr>
                <w:rFonts w:hint="eastAsia" w:asciiTheme="minorEastAsia" w:hAnsiTheme="minorEastAsia" w:eastAsiaTheme="minorEastAsia" w:cstheme="minorEastAsia"/>
                <w:bCs/>
                <w:color w:val="auto"/>
                <w:kern w:val="0"/>
                <w:sz w:val="22"/>
                <w:szCs w:val="22"/>
                <w:highlight w:val="none"/>
                <w:lang w:bidi="ar"/>
              </w:rPr>
              <w:t>加盖</w:t>
            </w:r>
            <w:r>
              <w:rPr>
                <w:rFonts w:hint="eastAsia" w:asciiTheme="minorEastAsia" w:hAnsiTheme="minorEastAsia" w:eastAsiaTheme="minorEastAsia" w:cstheme="minorEastAsia"/>
                <w:bCs/>
                <w:color w:val="auto"/>
                <w:kern w:val="0"/>
                <w:sz w:val="22"/>
                <w:szCs w:val="22"/>
                <w:highlight w:val="none"/>
                <w:lang w:eastAsia="zh-CN" w:bidi="ar"/>
              </w:rPr>
              <w:t>投标人</w:t>
            </w:r>
            <w:r>
              <w:rPr>
                <w:rFonts w:hint="eastAsia" w:asciiTheme="minorEastAsia" w:hAnsiTheme="minorEastAsia" w:eastAsiaTheme="minorEastAsia" w:cstheme="minorEastAsia"/>
                <w:bCs/>
                <w:color w:val="auto"/>
                <w:kern w:val="0"/>
                <w:sz w:val="22"/>
                <w:szCs w:val="22"/>
                <w:highlight w:val="none"/>
                <w:lang w:bidi="ar"/>
              </w:rPr>
              <w:t>公章，要求清晰可辨，否则不得分</w:t>
            </w:r>
            <w:r>
              <w:rPr>
                <w:rFonts w:hint="eastAsia" w:asciiTheme="minorEastAsia" w:hAnsiTheme="minorEastAsia" w:eastAsiaTheme="minorEastAsia" w:cstheme="minorEastAsia"/>
                <w:color w:val="auto"/>
                <w:kern w:val="0"/>
                <w:sz w:val="22"/>
                <w:szCs w:val="22"/>
                <w:highlight w:val="none"/>
                <w:lang w:bidi="ar"/>
              </w:rPr>
              <w:t>）（注：对省级以上主管部门认定的首台套产品，自纳入《省推广应用指导目录》起三年内参加政府采购活动，视同已具备相应销售业绩，业绩分为满分。投标时提供相关证明材料）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vAlign w:val="center"/>
          </w:tcPr>
          <w:p w14:paraId="36EB4EE6">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SA"/>
              </w:rPr>
              <w:t>3分</w:t>
            </w:r>
          </w:p>
        </w:tc>
      </w:tr>
      <w:tr w14:paraId="38D3931E">
        <w:tblPrEx>
          <w:tblCellMar>
            <w:top w:w="0" w:type="dxa"/>
            <w:left w:w="108" w:type="dxa"/>
            <w:bottom w:w="0" w:type="dxa"/>
            <w:right w:w="108" w:type="dxa"/>
          </w:tblCellMar>
        </w:tblPrEx>
        <w:trPr>
          <w:trHeight w:val="1657" w:hRule="exac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12A4B3C0">
            <w:pPr>
              <w:pStyle w:val="86"/>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14:paraId="681AC85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环境标志产品认证</w:t>
            </w:r>
          </w:p>
        </w:tc>
        <w:tc>
          <w:tcPr>
            <w:tcW w:w="6068" w:type="dxa"/>
            <w:tcBorders>
              <w:top w:val="single" w:color="auto" w:sz="4" w:space="0"/>
              <w:left w:val="single" w:color="auto" w:sz="4" w:space="0"/>
              <w:bottom w:val="single" w:color="auto" w:sz="4" w:space="0"/>
              <w:right w:val="single" w:color="auto" w:sz="4" w:space="0"/>
            </w:tcBorders>
            <w:vAlign w:val="center"/>
          </w:tcPr>
          <w:p w14:paraId="64B85FAA">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投标产品有列入财政部、生态环境部发布的环境标志产品品目清单的，提供国家市场监督管理总局公布的《参与实施政府采购环境标志产品认证机构名录》内的认证机构出具的、处于有效期之内的环境标志产品认证证书，每项产品得0.5分，最高得1分</w:t>
            </w:r>
          </w:p>
        </w:tc>
        <w:tc>
          <w:tcPr>
            <w:tcW w:w="921" w:type="dxa"/>
            <w:tcBorders>
              <w:top w:val="single" w:color="auto" w:sz="4" w:space="0"/>
              <w:left w:val="single" w:color="auto" w:sz="4" w:space="0"/>
              <w:bottom w:val="single" w:color="auto" w:sz="4" w:space="0"/>
              <w:right w:val="single" w:color="auto" w:sz="4" w:space="0"/>
            </w:tcBorders>
            <w:vAlign w:val="center"/>
          </w:tcPr>
          <w:p w14:paraId="56F5EB4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1分</w:t>
            </w:r>
          </w:p>
        </w:tc>
      </w:tr>
    </w:tbl>
    <w:p w14:paraId="2B566E13">
      <w:pPr>
        <w:snapToGrid w:val="0"/>
        <w:spacing w:before="72" w:beforeLines="30" w:line="400" w:lineRule="exact"/>
        <w:jc w:val="left"/>
        <w:outlineLvl w:val="1"/>
        <w:rPr>
          <w:rFonts w:ascii="宋体" w:hAnsi="宋体"/>
          <w:b/>
          <w:color w:val="auto"/>
          <w:sz w:val="24"/>
          <w:highlight w:val="none"/>
        </w:rPr>
      </w:pPr>
    </w:p>
    <w:p w14:paraId="64484E94">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66</w:t>
      </w:r>
      <w:r>
        <w:rPr>
          <w:rFonts w:hint="eastAsia" w:ascii="宋体" w:hAnsi="宋体" w:cs="宋体"/>
          <w:b/>
          <w:color w:val="auto"/>
          <w:sz w:val="24"/>
          <w:highlight w:val="none"/>
        </w:rPr>
        <w:t>分）</w:t>
      </w:r>
    </w:p>
    <w:tbl>
      <w:tblPr>
        <w:tblStyle w:val="66"/>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14:paraId="505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17" w:type="dxa"/>
            <w:vMerge w:val="restart"/>
            <w:tcBorders>
              <w:tl2br w:val="nil"/>
              <w:tr2bl w:val="nil"/>
            </w:tcBorders>
            <w:vAlign w:val="center"/>
          </w:tcPr>
          <w:p w14:paraId="3C04EB6A">
            <w:pPr>
              <w:pStyle w:val="86"/>
              <w:widowControl/>
              <w:tabs>
                <w:tab w:val="left" w:pos="0"/>
                <w:tab w:val="clear" w:pos="8268"/>
              </w:tabs>
              <w:spacing w:line="400" w:lineRule="atLeast"/>
              <w:ind w:firstLine="0" w:firstLineChars="0"/>
              <w:rPr>
                <w:rStyle w:val="975"/>
                <w:rFonts w:hint="eastAsia" w:asciiTheme="minorEastAsia" w:hAnsiTheme="minorEastAsia" w:eastAsiaTheme="minorEastAsia" w:cstheme="minorEastAsia"/>
                <w:color w:val="auto"/>
                <w:sz w:val="24"/>
                <w:szCs w:val="24"/>
                <w:highlight w:val="none"/>
              </w:rPr>
            </w:pPr>
            <w:r>
              <w:rPr>
                <w:rStyle w:val="975"/>
                <w:rFonts w:hint="eastAsia" w:asciiTheme="minorEastAsia" w:hAnsiTheme="minorEastAsia" w:eastAsiaTheme="minorEastAsia" w:cstheme="minorEastAsia"/>
                <w:color w:val="auto"/>
                <w:sz w:val="24"/>
                <w:szCs w:val="24"/>
                <w:highlight w:val="none"/>
              </w:rPr>
              <w:t>技术分</w:t>
            </w:r>
            <w:r>
              <w:rPr>
                <w:rStyle w:val="975"/>
                <w:rFonts w:hint="eastAsia" w:asciiTheme="minorEastAsia" w:hAnsiTheme="minorEastAsia" w:eastAsiaTheme="minorEastAsia" w:cstheme="minorEastAsia"/>
                <w:color w:val="auto"/>
                <w:sz w:val="24"/>
                <w:szCs w:val="24"/>
                <w:highlight w:val="none"/>
                <w:lang w:val="en-US"/>
              </w:rPr>
              <w:t>66</w:t>
            </w:r>
            <w:r>
              <w:rPr>
                <w:rStyle w:val="975"/>
                <w:rFonts w:hint="eastAsia" w:asciiTheme="minorEastAsia" w:hAnsiTheme="minorEastAsia" w:eastAsiaTheme="minorEastAsia" w:cstheme="minorEastAsia"/>
                <w:color w:val="auto"/>
                <w:sz w:val="24"/>
                <w:szCs w:val="24"/>
                <w:highlight w:val="none"/>
              </w:rPr>
              <w:t>分</w:t>
            </w:r>
          </w:p>
          <w:p w14:paraId="57A7E9CA">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46713E26">
            <w:pPr>
              <w:widowControl/>
              <w:jc w:val="center"/>
              <w:rPr>
                <w:rFonts w:hint="eastAsia"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原材料检测报告</w:t>
            </w:r>
          </w:p>
        </w:tc>
        <w:tc>
          <w:tcPr>
            <w:tcW w:w="6069" w:type="dxa"/>
            <w:tcBorders>
              <w:tl2br w:val="nil"/>
              <w:tr2bl w:val="nil"/>
            </w:tcBorders>
            <w:vAlign w:val="center"/>
          </w:tcPr>
          <w:p w14:paraId="39449CD0">
            <w:pPr>
              <w:widowControl/>
              <w:jc w:val="left"/>
              <w:rPr>
                <w:rFonts w:hint="eastAsia"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提供以下符合技术参数中“质量要求”的原材料检测报告，每提供一份（类）符合要求的检测报告或承诺书的得2分，此项最高得16分：（1）医用人造石（医用亚克力人造石）、（2）环氧聚酯粉末（热固性粉末）、（3）电解钢板喷涂样块、（4）导轨、（5）多层板、（6）304不锈钢、（7）锁具、（8）理化板；（投标人或所投产品制造商提供具有CMA资质的检测机构出具的完整的检测报告或投标人提供承诺书（承诺书中须明确：投标人中标后7日内向采购人提供符合技术参数中“质量要求”的具有CMA资质的检测机构出具的完整的检测报告，若未在规定时间内提供的，取消中标资格并上报当地财政，承诺书格式自拟），检测内容不全或检测结果不符合要求或未提供承诺书或承诺书未按要求明确的不得分）</w:t>
            </w:r>
          </w:p>
        </w:tc>
        <w:tc>
          <w:tcPr>
            <w:tcW w:w="924" w:type="dxa"/>
            <w:tcBorders>
              <w:tl2br w:val="nil"/>
              <w:tr2bl w:val="nil"/>
            </w:tcBorders>
            <w:vAlign w:val="center"/>
          </w:tcPr>
          <w:p w14:paraId="5278904A">
            <w:pPr>
              <w:widowControl/>
              <w:jc w:val="center"/>
              <w:rPr>
                <w:rFonts w:hint="default"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16分</w:t>
            </w:r>
          </w:p>
        </w:tc>
      </w:tr>
      <w:tr w14:paraId="3B40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517" w:type="dxa"/>
            <w:vMerge w:val="continue"/>
            <w:tcBorders>
              <w:tl2br w:val="nil"/>
              <w:tr2bl w:val="nil"/>
            </w:tcBorders>
            <w:vAlign w:val="center"/>
          </w:tcPr>
          <w:p w14:paraId="5B18A023">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383A0A1E">
            <w:pPr>
              <w:widowControl/>
              <w:jc w:val="center"/>
              <w:rPr>
                <w:rFonts w:hint="eastAsia"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成品检测报告</w:t>
            </w:r>
          </w:p>
        </w:tc>
        <w:tc>
          <w:tcPr>
            <w:tcW w:w="6069" w:type="dxa"/>
            <w:tcBorders>
              <w:tl2br w:val="nil"/>
              <w:tr2bl w:val="nil"/>
            </w:tcBorders>
            <w:vAlign w:val="center"/>
          </w:tcPr>
          <w:p w14:paraId="5DD75C5D">
            <w:pPr>
              <w:widowControl/>
              <w:jc w:val="left"/>
              <w:rPr>
                <w:rFonts w:hint="eastAsia"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提供以下符合技术参数中“质量要求”的成品检测报告，每提供一份（类）符合要求的检测报告或承诺书的得2分，此项最高得16分：（1）治疗柜类产品、（2）处置柜类产品、（3）高危药品柜类产品、（4）大输液柜类产品、（5）被服柜类产品、（6）货架类产品、（7）护士站类产品、（8）诊疗桌类产品；（投标人或所投产品制造商提供具有CMA资质的检测机构出具的完整的检测报告或投标人提供承诺书（承诺书</w:t>
            </w:r>
            <w:bookmarkStart w:id="36" w:name="_GoBack"/>
            <w:bookmarkEnd w:id="36"/>
            <w:r>
              <w:rPr>
                <w:rFonts w:hint="eastAsia" w:asciiTheme="minorEastAsia" w:hAnsiTheme="minorEastAsia" w:eastAsiaTheme="minorEastAsia" w:cstheme="minorEastAsia"/>
                <w:color w:val="0000FF"/>
                <w:sz w:val="22"/>
                <w:szCs w:val="22"/>
                <w:highlight w:val="none"/>
                <w:lang w:val="en-US" w:eastAsia="zh-CN"/>
              </w:rPr>
              <w:t>中须明确：投标人中标后7日内向采购人提供符合技术参数中“质量要求”的具有CMA资质的检测机构出具的完整的检测报告，若未在规定时间内提供的，取消中标资格并上报当地财政，承诺书格式自拟），检测内容不全或检测结果不符合要求或未提供承诺书或承诺书未按要求明确的不得分）</w:t>
            </w:r>
          </w:p>
        </w:tc>
        <w:tc>
          <w:tcPr>
            <w:tcW w:w="924" w:type="dxa"/>
            <w:tcBorders>
              <w:tl2br w:val="nil"/>
              <w:tr2bl w:val="nil"/>
            </w:tcBorders>
            <w:vAlign w:val="center"/>
          </w:tcPr>
          <w:p w14:paraId="3CF1E394">
            <w:pPr>
              <w:widowControl/>
              <w:jc w:val="center"/>
              <w:rPr>
                <w:rFonts w:hint="default" w:asciiTheme="minorEastAsia" w:hAnsiTheme="minorEastAsia" w:eastAsiaTheme="minorEastAsia" w:cstheme="minorEastAsia"/>
                <w:color w:val="0000FF"/>
                <w:sz w:val="22"/>
                <w:szCs w:val="22"/>
                <w:highlight w:val="none"/>
                <w:lang w:val="en-US" w:eastAsia="zh-CN"/>
              </w:rPr>
            </w:pPr>
            <w:r>
              <w:rPr>
                <w:rFonts w:hint="eastAsia" w:asciiTheme="minorEastAsia" w:hAnsiTheme="minorEastAsia" w:eastAsiaTheme="minorEastAsia" w:cstheme="minorEastAsia"/>
                <w:color w:val="0000FF"/>
                <w:sz w:val="22"/>
                <w:szCs w:val="22"/>
                <w:highlight w:val="none"/>
                <w:lang w:val="en-US" w:eastAsia="zh-CN"/>
              </w:rPr>
              <w:t>16分</w:t>
            </w:r>
          </w:p>
        </w:tc>
      </w:tr>
      <w:tr w14:paraId="1DD9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17" w:type="dxa"/>
            <w:vMerge w:val="continue"/>
            <w:tcBorders>
              <w:tl2br w:val="nil"/>
              <w:tr2bl w:val="nil"/>
            </w:tcBorders>
            <w:vAlign w:val="center"/>
          </w:tcPr>
          <w:p w14:paraId="37B8DF5E">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00E6DFF7">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投标样品</w:t>
            </w:r>
          </w:p>
        </w:tc>
        <w:tc>
          <w:tcPr>
            <w:tcW w:w="6069" w:type="dxa"/>
            <w:tcBorders>
              <w:tl2br w:val="nil"/>
              <w:tr2bl w:val="nil"/>
            </w:tcBorders>
            <w:vAlign w:val="center"/>
          </w:tcPr>
          <w:p w14:paraId="47B28D23">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color w:val="auto"/>
                <w:kern w:val="2"/>
                <w:sz w:val="22"/>
                <w:szCs w:val="22"/>
                <w:highlight w:val="none"/>
                <w:lang w:val="en-US" w:eastAsia="zh-CN" w:bidi="ar-SA"/>
              </w:rPr>
              <w:t>产品的尺寸，形状，公差：主要尺寸符合采购文件要求，款式设计充分体现采购需求得3分；主要尺寸符合采购文件要求，款式设计能体现采购需求得2分；主要尺寸与采购人需求略有偏差，但不影响实际使用的1分；主要尺寸与采购人需求偏差大，对实际使用大的得0.5分；主要尺寸与采购人需求偏差大，严重影响实际使用的得0分；</w:t>
            </w:r>
          </w:p>
          <w:p w14:paraId="4FF3A2D7">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color w:val="auto"/>
                <w:kern w:val="2"/>
                <w:sz w:val="22"/>
                <w:szCs w:val="22"/>
                <w:highlight w:val="none"/>
                <w:lang w:val="en-US" w:eastAsia="zh-CN" w:bidi="ar-SA"/>
              </w:rPr>
              <w:t>功能性要求：设计美观实用，满足采购人的实用需求，功能设计合理得3分；设计较美观实用，满足采购人的实用需求，功能设计较合理得2分；设计感一般，基本符合采购人的实用需求得1分；设计感较差、仅能部分实现采购人的实用需求得0.5分；设计感差，不符合采购人的实用需求得0分；</w:t>
            </w:r>
          </w:p>
          <w:p w14:paraId="14FA62D7">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美观度、色彩搭配：美观度、色彩搭配协调，颜色丰满度好得3分；美观度、色彩搭配较协调，颜色丰满度较好得2分；美观度、色彩搭配协调性一般，无明显色差得1分；美观度、色彩搭配协调性有差异，颜色丰满度弱，有明显色差得0.5分；美观度、色彩搭配协调性差，颜色丰满度差，有明显色差得0分。</w:t>
            </w:r>
          </w:p>
          <w:p w14:paraId="5D209EA0">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制作工艺：工艺技术先进、整体结构牢固稳定、部件拼接严密平整、喷涂平整、光滑、纹理清晰、层次感分明、质感好、无划痕、无异味得3分；工艺技术合理、整体结构较牢固稳定、部件拼接较严密平整、喷涂平整、光滑、纹理清晰、层次感分明、质感好、无划痕、无异味得2分；工艺技术符合使用要求、整体结构、部件拼接紧密整、喷涂平整、无异味得1分；工艺普通，整体结构、部件拼接制作略显粗糙，喷涂欠光滑，有异味得0.5分；工艺落后，整体结构、部件拼接松垮，存在划痕、有异味的得0分；</w:t>
            </w:r>
          </w:p>
        </w:tc>
        <w:tc>
          <w:tcPr>
            <w:tcW w:w="924" w:type="dxa"/>
            <w:tcBorders>
              <w:tl2br w:val="nil"/>
              <w:tr2bl w:val="nil"/>
            </w:tcBorders>
            <w:vAlign w:val="center"/>
          </w:tcPr>
          <w:p w14:paraId="215B4F47">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12分</w:t>
            </w:r>
          </w:p>
        </w:tc>
      </w:tr>
      <w:tr w14:paraId="5BB6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51CB4970">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605CD73F">
            <w:pPr>
              <w:spacing w:line="300" w:lineRule="auto"/>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生产设备</w:t>
            </w:r>
          </w:p>
        </w:tc>
        <w:tc>
          <w:tcPr>
            <w:tcW w:w="6069" w:type="dxa"/>
            <w:tcBorders>
              <w:tl2br w:val="nil"/>
              <w:tr2bl w:val="nil"/>
            </w:tcBorders>
            <w:vAlign w:val="center"/>
          </w:tcPr>
          <w:p w14:paraId="6E63FF4A">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1、具有封边机、数控多功能加工中心、数控点对点钻孔加工中心、生产线流水线（含开料、校平、激光成型、自动分拣系统）、焊接加工中心、折弯工作平台；上述设备每具有一项得0.5分，本项最高得3分。</w:t>
            </w:r>
          </w:p>
          <w:p w14:paraId="6E216DAC">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2、具有喷涂生产线设备及对应的废气处理设备、污水处理设备得1分。</w:t>
            </w:r>
          </w:p>
          <w:p w14:paraId="01757274">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3、具有喷涂前处理设备（喷淋脱脂清洗流水线）得1分、（喷淋镀膜流水线）得1分，本项最高得2分。</w:t>
            </w:r>
          </w:p>
          <w:p w14:paraId="3B39DFD6">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4、具有立柱成型流水线设备得1分；具有层板或门板流水线设备得1分，本项最高得2分。</w:t>
            </w:r>
          </w:p>
          <w:p w14:paraId="7C551398">
            <w:pPr>
              <w:spacing w:line="300" w:lineRule="auto"/>
              <w:ind w:firstLine="0" w:firstLineChars="0"/>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lang w:eastAsia="zh-CN"/>
              </w:rPr>
              <w:t>①</w:t>
            </w:r>
            <w:r>
              <w:rPr>
                <w:rFonts w:hint="eastAsia" w:ascii="宋体" w:hAnsi="宋体" w:cs="宋体"/>
                <w:color w:val="auto"/>
                <w:kern w:val="0"/>
                <w:sz w:val="22"/>
                <w:szCs w:val="22"/>
                <w:highlight w:val="none"/>
              </w:rPr>
              <w:t>设备名称类似，提供的设备名称叫法不一致，实则为同种设备，则由投标人或所投产品制造商做出说明，评委评判后认为功能相同均可得分。</w:t>
            </w:r>
            <w:r>
              <w:rPr>
                <w:rFonts w:hint="eastAsia" w:ascii="宋体" w:hAnsi="宋体" w:cs="宋体"/>
                <w:color w:val="auto"/>
                <w:kern w:val="0"/>
                <w:sz w:val="22"/>
                <w:szCs w:val="22"/>
                <w:highlight w:val="none"/>
                <w:lang w:eastAsia="zh-CN"/>
              </w:rPr>
              <w:t>②</w:t>
            </w:r>
            <w:r>
              <w:rPr>
                <w:rFonts w:hint="eastAsia" w:ascii="宋体" w:hAnsi="宋体" w:cs="宋体"/>
                <w:color w:val="auto"/>
                <w:kern w:val="0"/>
                <w:sz w:val="22"/>
                <w:szCs w:val="22"/>
                <w:highlight w:val="none"/>
              </w:rPr>
              <w:t>投标人或所投产品制造商提供车间生产设备（使用中）实拍图、设备购买合同及购买发票，或租赁合同、租赁发票及设备持有者的购买发票等证明材料复印件</w:t>
            </w:r>
            <w:r>
              <w:rPr>
                <w:rFonts w:hint="eastAsia" w:ascii="宋体" w:hAnsi="宋体" w:cs="宋体"/>
                <w:color w:val="auto"/>
                <w:kern w:val="0"/>
                <w:sz w:val="22"/>
                <w:szCs w:val="22"/>
                <w:highlight w:val="none"/>
                <w:lang w:eastAsia="zh-CN"/>
              </w:rPr>
              <w:t>，</w:t>
            </w:r>
            <w:r>
              <w:rPr>
                <w:rFonts w:hint="eastAsia" w:asciiTheme="minorEastAsia" w:hAnsiTheme="minorEastAsia" w:eastAsiaTheme="minorEastAsia" w:cstheme="minorEastAsia"/>
                <w:bCs/>
                <w:color w:val="auto"/>
                <w:kern w:val="0"/>
                <w:sz w:val="22"/>
                <w:szCs w:val="22"/>
                <w:highlight w:val="none"/>
                <w:lang w:bidi="ar"/>
              </w:rPr>
              <w:t>要求清晰可辨，否则不得分</w:t>
            </w:r>
            <w:r>
              <w:rPr>
                <w:rFonts w:hint="eastAsia" w:asciiTheme="minorEastAsia" w:hAnsiTheme="minorEastAsia" w:eastAsiaTheme="minorEastAsia" w:cstheme="minorEastAsia"/>
                <w:bCs/>
                <w:color w:val="auto"/>
                <w:kern w:val="0"/>
                <w:sz w:val="22"/>
                <w:szCs w:val="22"/>
                <w:highlight w:val="none"/>
                <w:lang w:eastAsia="zh-CN" w:bidi="ar"/>
              </w:rPr>
              <w:t>。</w:t>
            </w:r>
          </w:p>
        </w:tc>
        <w:tc>
          <w:tcPr>
            <w:tcW w:w="924" w:type="dxa"/>
            <w:tcBorders>
              <w:tl2br w:val="nil"/>
              <w:tr2bl w:val="nil"/>
            </w:tcBorders>
            <w:vAlign w:val="center"/>
          </w:tcPr>
          <w:p w14:paraId="6C3B8FE0">
            <w:pPr>
              <w:widowControl/>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6AD8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4D35CC14">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1AC91F26">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sz w:val="21"/>
                <w:szCs w:val="21"/>
                <w:highlight w:val="none"/>
              </w:rPr>
              <w:t>项目实施方案</w:t>
            </w:r>
          </w:p>
        </w:tc>
        <w:tc>
          <w:tcPr>
            <w:tcW w:w="6069" w:type="dxa"/>
            <w:tcBorders>
              <w:tl2br w:val="nil"/>
              <w:tr2bl w:val="nil"/>
            </w:tcBorders>
            <w:vAlign w:val="center"/>
          </w:tcPr>
          <w:p w14:paraId="04E0FD31">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项目实施规划方案，提出合理的项目整体实施方案，能按照项目分解节点，并可跟踪实施的措施。方案考虑充分措施有效得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分，方案合理措施一般得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1DBDD17E">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29A8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16E3F29A">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51B71056">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生产实施方案</w:t>
            </w:r>
          </w:p>
        </w:tc>
        <w:tc>
          <w:tcPr>
            <w:tcW w:w="6069" w:type="dxa"/>
            <w:tcBorders>
              <w:tl2br w:val="nil"/>
              <w:tr2bl w:val="nil"/>
            </w:tcBorders>
            <w:vAlign w:val="center"/>
          </w:tcPr>
          <w:p w14:paraId="495775AF">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生产实施方案，要具备生产能力，在规定的时间内有计划的完成项目需求产品的生产装配。方案考虑充分</w:t>
            </w:r>
            <w:r>
              <w:rPr>
                <w:rFonts w:hint="eastAsia" w:ascii="宋体" w:hAnsi="宋体" w:cs="宋体"/>
                <w:color w:val="auto"/>
                <w:kern w:val="0"/>
                <w:sz w:val="21"/>
                <w:szCs w:val="21"/>
                <w:highlight w:val="none"/>
                <w:lang w:val="en-US" w:eastAsia="zh-CN" w:bidi="ar"/>
              </w:rPr>
              <w:t>安排</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分，方案合理安排一般得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5F8D0E4B">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312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7" w:type="dxa"/>
            <w:vMerge w:val="continue"/>
            <w:tcBorders>
              <w:tl2br w:val="nil"/>
              <w:tr2bl w:val="nil"/>
            </w:tcBorders>
            <w:vAlign w:val="center"/>
          </w:tcPr>
          <w:p w14:paraId="0B783F13">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016FEC6E">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品质管理管控方案</w:t>
            </w:r>
          </w:p>
        </w:tc>
        <w:tc>
          <w:tcPr>
            <w:tcW w:w="6069" w:type="dxa"/>
            <w:tcBorders>
              <w:tl2br w:val="nil"/>
              <w:tr2bl w:val="nil"/>
            </w:tcBorders>
            <w:vAlign w:val="center"/>
          </w:tcPr>
          <w:p w14:paraId="44398283">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品质管理管控过程，是否有独立品管部门和专门品管人员，确保产品生产过程中的质量控制完善。方案考虑充分</w:t>
            </w:r>
            <w:r>
              <w:rPr>
                <w:rFonts w:hint="eastAsia" w:ascii="宋体" w:hAnsi="宋体" w:cs="宋体"/>
                <w:color w:val="auto"/>
                <w:kern w:val="0"/>
                <w:sz w:val="21"/>
                <w:szCs w:val="21"/>
                <w:highlight w:val="none"/>
                <w:lang w:val="en-US" w:eastAsia="zh-CN" w:bidi="ar"/>
              </w:rPr>
              <w:t>质量控制完善</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w:t>
            </w:r>
            <w:r>
              <w:rPr>
                <w:rFonts w:hint="eastAsia" w:ascii="宋体" w:hAnsi="宋体" w:cs="宋体"/>
                <w:color w:val="auto"/>
                <w:kern w:val="0"/>
                <w:sz w:val="21"/>
                <w:szCs w:val="21"/>
                <w:highlight w:val="none"/>
                <w:lang w:val="en-US" w:eastAsia="zh-CN" w:bidi="ar"/>
              </w:rPr>
              <w:t>质量控制</w:t>
            </w:r>
            <w:r>
              <w:rPr>
                <w:rFonts w:hint="eastAsia" w:ascii="宋体" w:hAnsi="宋体" w:cs="宋体"/>
                <w:color w:val="auto"/>
                <w:kern w:val="0"/>
                <w:sz w:val="21"/>
                <w:szCs w:val="21"/>
                <w:highlight w:val="none"/>
                <w:lang w:bidi="ar"/>
              </w:rPr>
              <w:t>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2468B263">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7526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7" w:type="dxa"/>
            <w:vMerge w:val="continue"/>
            <w:tcBorders>
              <w:tl2br w:val="nil"/>
              <w:tr2bl w:val="nil"/>
            </w:tcBorders>
            <w:vAlign w:val="center"/>
          </w:tcPr>
          <w:p w14:paraId="3E257176">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73DFC2F9">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安装服务实施方案</w:t>
            </w:r>
          </w:p>
        </w:tc>
        <w:tc>
          <w:tcPr>
            <w:tcW w:w="6069" w:type="dxa"/>
            <w:tcBorders>
              <w:tl2br w:val="nil"/>
              <w:tr2bl w:val="nil"/>
            </w:tcBorders>
            <w:vAlign w:val="center"/>
          </w:tcPr>
          <w:p w14:paraId="6633A8DB">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安装服务实施方案，安装方案的制定，根据货物交付时间节点，落实送货安装时间和人员安排，确保按期交付使用。方案考虑充分</w:t>
            </w:r>
            <w:r>
              <w:rPr>
                <w:rFonts w:hint="eastAsia" w:ascii="宋体" w:hAnsi="宋体" w:cs="宋体"/>
                <w:color w:val="auto"/>
                <w:kern w:val="0"/>
                <w:sz w:val="21"/>
                <w:szCs w:val="21"/>
                <w:highlight w:val="none"/>
                <w:lang w:val="en-US" w:eastAsia="zh-CN" w:bidi="ar"/>
              </w:rPr>
              <w:t>安排</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分，方案合理安排一般得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1944ACDC">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366F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7" w:type="dxa"/>
            <w:vMerge w:val="continue"/>
            <w:tcBorders>
              <w:tl2br w:val="nil"/>
              <w:tr2bl w:val="nil"/>
            </w:tcBorders>
            <w:vAlign w:val="center"/>
          </w:tcPr>
          <w:p w14:paraId="030E4BC1">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67D75EE0">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售后服务承诺</w:t>
            </w:r>
          </w:p>
        </w:tc>
        <w:tc>
          <w:tcPr>
            <w:tcW w:w="6069" w:type="dxa"/>
            <w:tcBorders>
              <w:tl2br w:val="nil"/>
              <w:tr2bl w:val="nil"/>
            </w:tcBorders>
            <w:vAlign w:val="center"/>
          </w:tcPr>
          <w:p w14:paraId="4361769F">
            <w:pPr>
              <w:spacing w:before="120" w:beforeLines="50" w:line="300" w:lineRule="auto"/>
              <w:ind w:firstLine="0" w:firstLineChars="0"/>
              <w:contextualSpacing/>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Cs w:val="24"/>
                <w:highlight w:val="none"/>
              </w:rPr>
              <w:t>提供详细完整的“三包”措施及售后服务措施和方案（包括服务措施、产品质量保证、回访、技术培训等</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。方案考虑充分措施有效得</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分，方案合理措施一般得</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分，方案考虑不够充分得</w:t>
            </w:r>
            <w:r>
              <w:rPr>
                <w:rFonts w:hint="eastAsia" w:ascii="宋体" w:hAnsi="宋体" w:cs="宋体"/>
                <w:color w:val="auto"/>
                <w:kern w:val="0"/>
                <w:szCs w:val="24"/>
                <w:highlight w:val="none"/>
                <w:lang w:val="en-US" w:eastAsia="zh-CN"/>
              </w:rPr>
              <w:t>0.5</w:t>
            </w:r>
            <w:r>
              <w:rPr>
                <w:rFonts w:hint="eastAsia" w:ascii="宋体" w:hAnsi="宋体" w:cs="宋体"/>
                <w:color w:val="auto"/>
                <w:kern w:val="0"/>
                <w:szCs w:val="24"/>
                <w:highlight w:val="none"/>
              </w:rPr>
              <w:t>分，无方案得0分</w:t>
            </w:r>
          </w:p>
        </w:tc>
        <w:tc>
          <w:tcPr>
            <w:tcW w:w="924" w:type="dxa"/>
            <w:tcBorders>
              <w:tl2br w:val="nil"/>
              <w:tr2bl w:val="nil"/>
            </w:tcBorders>
            <w:vAlign w:val="center"/>
          </w:tcPr>
          <w:p w14:paraId="3F7E4224">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p>
        </w:tc>
      </w:tr>
    </w:tbl>
    <w:p w14:paraId="3688C7E1">
      <w:pPr>
        <w:pStyle w:val="3"/>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48E99FB6">
      <w:pPr>
        <w:rPr>
          <w:rFonts w:hint="eastAsia"/>
          <w:color w:val="auto"/>
          <w:highlight w:val="none"/>
        </w:rPr>
      </w:pPr>
    </w:p>
    <w:p w14:paraId="7683D8DE">
      <w:pPr>
        <w:pStyle w:val="65"/>
        <w:ind w:left="0" w:leftChars="0" w:firstLine="0" w:firstLineChars="0"/>
        <w:rPr>
          <w:rFonts w:hint="eastAsia"/>
          <w:color w:val="auto"/>
          <w:highlight w:val="none"/>
        </w:rPr>
      </w:pPr>
    </w:p>
    <w:p w14:paraId="2D998C5F">
      <w:pPr>
        <w:spacing w:before="120" w:beforeLines="50" w:line="360" w:lineRule="auto"/>
        <w:jc w:val="both"/>
        <w:rPr>
          <w:rFonts w:hint="eastAsia" w:ascii="仿宋" w:hAnsi="仿宋" w:eastAsia="仿宋" w:cs="仿宋_GB2312"/>
          <w:b/>
          <w:color w:val="auto"/>
          <w:sz w:val="36"/>
          <w:szCs w:val="36"/>
          <w:highlight w:val="none"/>
        </w:rPr>
      </w:pPr>
    </w:p>
    <w:p w14:paraId="0C4DCDEE">
      <w:pPr>
        <w:spacing w:before="120" w:beforeLines="50" w:line="360" w:lineRule="auto"/>
        <w:jc w:val="center"/>
        <w:rPr>
          <w:rFonts w:hint="eastAsia" w:ascii="仿宋" w:hAnsi="仿宋" w:eastAsia="仿宋" w:cs="仿宋_GB2312"/>
          <w:b/>
          <w:color w:val="auto"/>
          <w:sz w:val="36"/>
          <w:szCs w:val="36"/>
          <w:highlight w:val="none"/>
        </w:rPr>
      </w:pPr>
    </w:p>
    <w:p w14:paraId="508C4C11">
      <w:pPr>
        <w:spacing w:before="120" w:beforeLines="50" w:line="360" w:lineRule="auto"/>
        <w:jc w:val="center"/>
        <w:rPr>
          <w:rFonts w:hint="eastAsia" w:ascii="仿宋" w:hAnsi="仿宋" w:eastAsia="仿宋" w:cs="仿宋_GB2312"/>
          <w:b/>
          <w:color w:val="auto"/>
          <w:sz w:val="36"/>
          <w:szCs w:val="36"/>
          <w:highlight w:val="none"/>
        </w:rPr>
      </w:pPr>
    </w:p>
    <w:p w14:paraId="560F5DC7">
      <w:pPr>
        <w:spacing w:before="120" w:beforeLines="50" w:line="360" w:lineRule="auto"/>
        <w:jc w:val="center"/>
        <w:rPr>
          <w:rFonts w:hint="eastAsia" w:ascii="仿宋" w:hAnsi="仿宋" w:eastAsia="仿宋" w:cs="仿宋_GB2312"/>
          <w:b/>
          <w:color w:val="auto"/>
          <w:sz w:val="36"/>
          <w:szCs w:val="36"/>
          <w:highlight w:val="none"/>
        </w:rPr>
      </w:pPr>
    </w:p>
    <w:p w14:paraId="7C61CC61">
      <w:pPr>
        <w:spacing w:before="120" w:beforeLines="50" w:line="360" w:lineRule="auto"/>
        <w:jc w:val="center"/>
        <w:rPr>
          <w:rFonts w:hint="eastAsia" w:ascii="仿宋" w:hAnsi="仿宋" w:eastAsia="仿宋" w:cs="仿宋_GB2312"/>
          <w:b/>
          <w:color w:val="auto"/>
          <w:sz w:val="36"/>
          <w:szCs w:val="36"/>
          <w:highlight w:val="none"/>
        </w:rPr>
      </w:pPr>
    </w:p>
    <w:p w14:paraId="3CAD76DA">
      <w:pPr>
        <w:spacing w:before="120" w:beforeLines="50" w:line="360" w:lineRule="auto"/>
        <w:jc w:val="center"/>
        <w:rPr>
          <w:rFonts w:hint="eastAsia" w:ascii="仿宋" w:hAnsi="仿宋" w:eastAsia="仿宋" w:cs="仿宋_GB2312"/>
          <w:b/>
          <w:color w:val="auto"/>
          <w:sz w:val="36"/>
          <w:szCs w:val="36"/>
          <w:highlight w:val="none"/>
        </w:rPr>
      </w:pPr>
    </w:p>
    <w:p w14:paraId="15D5A073">
      <w:pPr>
        <w:spacing w:before="120" w:beforeLines="50" w:line="360" w:lineRule="auto"/>
        <w:jc w:val="center"/>
        <w:rPr>
          <w:rFonts w:hint="eastAsia" w:ascii="仿宋" w:hAnsi="仿宋" w:eastAsia="仿宋" w:cs="仿宋_GB2312"/>
          <w:b/>
          <w:color w:val="auto"/>
          <w:sz w:val="36"/>
          <w:szCs w:val="36"/>
          <w:highlight w:val="none"/>
        </w:rPr>
      </w:pPr>
    </w:p>
    <w:p w14:paraId="0580073D">
      <w:pPr>
        <w:spacing w:before="120" w:beforeLines="50" w:line="360" w:lineRule="auto"/>
        <w:jc w:val="center"/>
        <w:rPr>
          <w:rFonts w:hint="eastAsia" w:ascii="仿宋" w:hAnsi="仿宋" w:eastAsia="仿宋" w:cs="仿宋_GB2312"/>
          <w:b/>
          <w:color w:val="auto"/>
          <w:sz w:val="36"/>
          <w:szCs w:val="36"/>
          <w:highlight w:val="none"/>
        </w:rPr>
      </w:pPr>
    </w:p>
    <w:p w14:paraId="58EB815C">
      <w:pPr>
        <w:spacing w:before="120" w:beforeLines="50" w:line="360" w:lineRule="auto"/>
        <w:jc w:val="center"/>
        <w:rPr>
          <w:rFonts w:hint="eastAsia" w:ascii="仿宋" w:hAnsi="仿宋" w:eastAsia="仿宋" w:cs="仿宋_GB2312"/>
          <w:b/>
          <w:color w:val="auto"/>
          <w:sz w:val="36"/>
          <w:szCs w:val="36"/>
          <w:highlight w:val="none"/>
        </w:rPr>
      </w:pPr>
    </w:p>
    <w:p w14:paraId="69A5D3E3">
      <w:pPr>
        <w:spacing w:before="120" w:beforeLines="50" w:line="360" w:lineRule="auto"/>
        <w:jc w:val="both"/>
        <w:rPr>
          <w:rFonts w:hint="eastAsia" w:ascii="仿宋" w:hAnsi="仿宋" w:eastAsia="仿宋" w:cs="仿宋_GB2312"/>
          <w:b/>
          <w:color w:val="auto"/>
          <w:sz w:val="36"/>
          <w:szCs w:val="36"/>
          <w:highlight w:val="none"/>
        </w:rPr>
      </w:pPr>
    </w:p>
    <w:p w14:paraId="02E4086D">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14:paraId="38161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41BFE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66F5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]1985号</w:t>
      </w:r>
    </w:p>
    <w:p w14:paraId="0DF6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420.00</w:t>
      </w:r>
      <w:r>
        <w:rPr>
          <w:rFonts w:hint="eastAsia" w:ascii="宋体" w:hAnsi="宋体" w:cs="Arial"/>
          <w:color w:val="auto"/>
          <w:kern w:val="0"/>
          <w:sz w:val="24"/>
          <w:highlight w:val="none"/>
        </w:rPr>
        <w:t>万元</w:t>
      </w:r>
    </w:p>
    <w:p w14:paraId="4CFA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浙江省嘉善县第一人民医院</w:t>
      </w:r>
    </w:p>
    <w:p w14:paraId="13C59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5F1D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2300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0456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JXYJ2024030</w:t>
      </w:r>
      <w:r>
        <w:rPr>
          <w:rFonts w:hint="eastAsia" w:ascii="宋体" w:hAnsi="宋体" w:cs="宋体"/>
          <w:color w:val="auto"/>
          <w:kern w:val="0"/>
          <w:sz w:val="24"/>
          <w:highlight w:val="none"/>
        </w:rPr>
        <w:t>（G）</w:t>
      </w:r>
    </w:p>
    <w:p w14:paraId="37E7F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嘉善县区域急诊医学中心医疗组合家具采购项目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6ED78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440F8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180EF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1786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4FFC8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39871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0E9DD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626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嘉善县区域急诊医学中心医疗组合家具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AE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14:paraId="7AA4D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0508D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32C99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04D4D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2、本合同总价款含所有税费（包括设计、生产、供货、运输、装卸、安装调试、税金、保险、备品备件、配件、附件、培训、验收、辅助工作及售后服务等完成本项目的所有费用</w:t>
      </w:r>
      <w:r>
        <w:rPr>
          <w:rFonts w:hint="eastAsia" w:ascii="宋体" w:hAnsi="宋体" w:cs="宋体"/>
          <w:color w:val="auto"/>
          <w:sz w:val="24"/>
          <w:highlight w:val="none"/>
        </w:rPr>
        <w:t>）</w:t>
      </w:r>
    </w:p>
    <w:p w14:paraId="29AAE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3454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预算管理资金</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单位资金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14:paraId="5F83A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6F3BA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758FF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E78F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4CEEA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4B0A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3392A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1EAD3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7541C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注：付款前中标单位应按规定向采购人开具正规发票。在签订合同时，供应商明确表示无需预付款或者主动要求降低预付款比例的（预付款保函同步调整），采购单位可不适用前述规定。</w:t>
      </w:r>
    </w:p>
    <w:p w14:paraId="5828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63219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531C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p w14:paraId="2A84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14:paraId="005CE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14:paraId="3DD6D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2E08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14:paraId="31029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75B9F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14:paraId="326C8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1B07C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2C8AB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6642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14:paraId="48F2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四</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w:t>
      </w:r>
    </w:p>
    <w:p w14:paraId="2D1AF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2FD67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186E2FAA">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第一条 违约责任</w:t>
      </w:r>
    </w:p>
    <w:p w14:paraId="17CA0C12">
      <w:pPr>
        <w:spacing w:line="30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安装完成经验收，不能达到招标文件规定的“质量要求”，无偿返工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作违约论处。</w:t>
      </w:r>
    </w:p>
    <w:p w14:paraId="08F2AF8F">
      <w:pPr>
        <w:spacing w:line="30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不能在规定时间内完成货物供应及安装的，每逾期一天扣合同金额的0.1%。（非中标供应商原因除外）。</w:t>
      </w:r>
    </w:p>
    <w:p w14:paraId="2531DEAE">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因中标供应商违约造成终止合同的，作违约论处。</w:t>
      </w:r>
    </w:p>
    <w:p w14:paraId="4ADAAF21">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第二条 不可抗力事件处理</w:t>
      </w:r>
    </w:p>
    <w:p w14:paraId="4B459DA3">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1.在合同有效期内，任何一方因不可抗力事件导致不能履行合同的，合同履行期可延长，其延长期与不可抗力影响期相同。</w:t>
      </w:r>
    </w:p>
    <w:p w14:paraId="6612FACE">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14:paraId="3637C258">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3.不可抗力事件延续120天以上，双方应通过友好协商，确定是否继续履行合同。</w:t>
      </w:r>
    </w:p>
    <w:p w14:paraId="41497112">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第三条 合同有效期</w:t>
      </w:r>
    </w:p>
    <w:p w14:paraId="0508A3AC">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自合同签订之日起至本项目合同履行完毕（承诺的质保期满）之日止</w:t>
      </w:r>
    </w:p>
    <w:p w14:paraId="2D6C0D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14:paraId="1F248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14:paraId="3BC6624B">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0F85F354">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2A3D7837">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61EA5C4E">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67C0A06F">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F876649">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4AAF3E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14:paraId="1BEAF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6"/>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0B65AB9C">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120ED4C4">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7812B081">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3EA3E1E1">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2100A2E6">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69AA8901">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397B4C8">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236F7A6C">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475B6574">
            <w:pPr>
              <w:widowControl/>
              <w:jc w:val="left"/>
              <w:rPr>
                <w:rFonts w:ascii="宋体" w:hAnsi="宋体" w:cs="宋体"/>
                <w:color w:val="auto"/>
                <w:kern w:val="0"/>
                <w:sz w:val="24"/>
                <w:highlight w:val="none"/>
              </w:rPr>
            </w:pPr>
          </w:p>
        </w:tc>
      </w:tr>
      <w:tr w14:paraId="4AA28F76">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05F1E43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7A009D5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2A7A25C2">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639742A">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B02C85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1FF365E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5E3AB740">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17012D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0CB7E7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2ED551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8F906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013C27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57F01E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73083A">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36973B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5B6F59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E1EF4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70787D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14BFC8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23EDA6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BBB373">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EBE37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684663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37A462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292331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0F0405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2BD93B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316D9E1C">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5E8E10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4FFEB2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18DF31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5E8310F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694E04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99B13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8F24079">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46C86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402F6B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97541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3628B0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1BC9F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229788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F5063A">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42E6B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0B4C4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66956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CF751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5F946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5A58EB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A8B06B">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2022902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79AD3AF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32DE4C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76EFA62E">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763A275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59198B0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14F64649">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30E771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7AA4E22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1504D4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504B6F7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57C918FA">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064E0C2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140FDA4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6059B67D">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3B9F8D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49FF6F3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6963E73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78B56C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C5B15A">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15EF94E2">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DD6F4C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0115B00E">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1AF550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02018D3E">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0B808B7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600F8278">
      <w:pPr>
        <w:pStyle w:val="36"/>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14:paraId="17C5B329">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嘉善县区域急诊医学中心医疗组合家具采购项目</w:t>
      </w:r>
      <w:r>
        <w:rPr>
          <w:rFonts w:hint="eastAsia" w:ascii="宋体" w:hAnsi="宋体" w:cs="宋体"/>
          <w:color w:val="auto"/>
          <w:sz w:val="28"/>
          <w:szCs w:val="28"/>
          <w:highlight w:val="none"/>
        </w:rPr>
        <w:t xml:space="preserve"> 验收报告</w:t>
      </w:r>
    </w:p>
    <w:p w14:paraId="2896E681">
      <w:pPr>
        <w:jc w:val="center"/>
        <w:rPr>
          <w:rFonts w:ascii="宋体" w:hAnsi="宋体" w:cs="宋体"/>
          <w:color w:val="auto"/>
          <w:sz w:val="28"/>
          <w:szCs w:val="28"/>
          <w:highlight w:val="none"/>
        </w:rPr>
      </w:pPr>
    </w:p>
    <w:p w14:paraId="3E0ECC04">
      <w:pPr>
        <w:jc w:val="left"/>
        <w:rPr>
          <w:rFonts w:ascii="宋体" w:hAnsi="宋体" w:cs="宋体"/>
          <w:color w:val="auto"/>
          <w:sz w:val="28"/>
          <w:szCs w:val="28"/>
          <w:highlight w:val="none"/>
        </w:rPr>
      </w:pPr>
    </w:p>
    <w:p w14:paraId="24B678A5">
      <w:pPr>
        <w:jc w:val="left"/>
        <w:rPr>
          <w:rFonts w:ascii="宋体" w:hAnsi="宋体" w:cs="宋体"/>
          <w:color w:val="auto"/>
          <w:sz w:val="28"/>
          <w:szCs w:val="28"/>
          <w:highlight w:val="none"/>
        </w:rPr>
      </w:pPr>
    </w:p>
    <w:p w14:paraId="4AA0AECA">
      <w:pPr>
        <w:jc w:val="left"/>
        <w:rPr>
          <w:rFonts w:ascii="宋体" w:hAnsi="宋体" w:cs="宋体"/>
          <w:color w:val="auto"/>
          <w:sz w:val="28"/>
          <w:szCs w:val="28"/>
          <w:highlight w:val="none"/>
        </w:rPr>
      </w:pPr>
    </w:p>
    <w:p w14:paraId="6FF327E4">
      <w:pPr>
        <w:jc w:val="left"/>
        <w:rPr>
          <w:rFonts w:ascii="宋体" w:hAnsi="宋体" w:cs="宋体"/>
          <w:color w:val="auto"/>
          <w:sz w:val="28"/>
          <w:szCs w:val="28"/>
          <w:highlight w:val="none"/>
        </w:rPr>
      </w:pPr>
    </w:p>
    <w:p w14:paraId="5BEB3C41">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342772B8">
      <w:pPr>
        <w:jc w:val="left"/>
        <w:rPr>
          <w:rFonts w:ascii="宋体" w:hAnsi="宋体" w:cs="宋体"/>
          <w:color w:val="auto"/>
          <w:sz w:val="28"/>
          <w:szCs w:val="28"/>
          <w:highlight w:val="none"/>
        </w:rPr>
      </w:pPr>
    </w:p>
    <w:p w14:paraId="63094FBC">
      <w:pPr>
        <w:jc w:val="left"/>
        <w:rPr>
          <w:rFonts w:ascii="宋体" w:hAnsi="宋体" w:cs="宋体"/>
          <w:color w:val="auto"/>
          <w:sz w:val="28"/>
          <w:szCs w:val="28"/>
          <w:highlight w:val="none"/>
        </w:rPr>
      </w:pPr>
    </w:p>
    <w:p w14:paraId="176297A5">
      <w:pPr>
        <w:jc w:val="left"/>
        <w:rPr>
          <w:rFonts w:ascii="宋体" w:hAnsi="宋体" w:cs="宋体"/>
          <w:color w:val="auto"/>
          <w:sz w:val="28"/>
          <w:szCs w:val="28"/>
          <w:highlight w:val="none"/>
        </w:rPr>
      </w:pPr>
    </w:p>
    <w:p w14:paraId="68040B67">
      <w:pPr>
        <w:jc w:val="left"/>
        <w:rPr>
          <w:rFonts w:ascii="宋体" w:hAnsi="宋体" w:cs="宋体"/>
          <w:color w:val="auto"/>
          <w:sz w:val="28"/>
          <w:szCs w:val="28"/>
          <w:highlight w:val="none"/>
        </w:rPr>
      </w:pPr>
    </w:p>
    <w:p w14:paraId="559D80DA">
      <w:pPr>
        <w:jc w:val="left"/>
        <w:rPr>
          <w:rFonts w:ascii="宋体" w:hAnsi="宋体" w:cs="宋体"/>
          <w:color w:val="auto"/>
          <w:sz w:val="28"/>
          <w:szCs w:val="28"/>
          <w:highlight w:val="none"/>
        </w:rPr>
      </w:pPr>
    </w:p>
    <w:p w14:paraId="0407ACDF">
      <w:pPr>
        <w:jc w:val="left"/>
        <w:rPr>
          <w:rFonts w:ascii="宋体" w:hAnsi="宋体" w:cs="宋体"/>
          <w:color w:val="auto"/>
          <w:sz w:val="28"/>
          <w:szCs w:val="28"/>
          <w:highlight w:val="none"/>
        </w:rPr>
      </w:pPr>
    </w:p>
    <w:p w14:paraId="7D0647EC">
      <w:pPr>
        <w:jc w:val="left"/>
        <w:rPr>
          <w:rFonts w:ascii="宋体" w:hAnsi="宋体" w:cs="宋体"/>
          <w:color w:val="auto"/>
          <w:sz w:val="28"/>
          <w:szCs w:val="28"/>
          <w:highlight w:val="none"/>
        </w:rPr>
      </w:pPr>
    </w:p>
    <w:p w14:paraId="38BCA77C">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75E8C257">
      <w:pPr>
        <w:pStyle w:val="2"/>
        <w:numPr>
          <w:ilvl w:val="0"/>
          <w:numId w:val="12"/>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1564C1EC">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6A7E8D93">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66B9C31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1085066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14:paraId="083A76FF">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1D47B3F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4F841E0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B84922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501EE85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499486D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30EB3F57">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1C19E2D7">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9379EE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5E7BC82A">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C7F4C0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43957EF6">
      <w:pPr>
        <w:snapToGrid w:val="0"/>
        <w:spacing w:line="360" w:lineRule="auto"/>
        <w:rPr>
          <w:rFonts w:ascii="仿宋_GB2312" w:hAnsi="仿宋" w:eastAsia="仿宋_GB2312" w:cs="仿宋_GB2312"/>
          <w:color w:val="auto"/>
          <w:kern w:val="0"/>
          <w:sz w:val="24"/>
          <w:highlight w:val="none"/>
          <w:lang w:val="zh-CN"/>
        </w:rPr>
      </w:pPr>
    </w:p>
    <w:p w14:paraId="3730FF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567EAF9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8CDADBB">
      <w:pPr>
        <w:spacing w:line="360" w:lineRule="auto"/>
        <w:ind w:firstLine="275" w:firstLineChars="98"/>
        <w:jc w:val="center"/>
        <w:rPr>
          <w:rFonts w:ascii="宋体" w:hAnsi="宋体" w:cs="宋体"/>
          <w:b/>
          <w:bCs/>
          <w:color w:val="auto"/>
          <w:sz w:val="28"/>
          <w:szCs w:val="28"/>
          <w:highlight w:val="none"/>
        </w:rPr>
      </w:pPr>
    </w:p>
    <w:p w14:paraId="25722069">
      <w:pPr>
        <w:spacing w:line="360" w:lineRule="auto"/>
        <w:ind w:firstLine="275" w:firstLineChars="98"/>
        <w:jc w:val="center"/>
        <w:rPr>
          <w:rFonts w:ascii="宋体" w:hAnsi="宋体" w:cs="宋体"/>
          <w:b/>
          <w:bCs/>
          <w:color w:val="auto"/>
          <w:sz w:val="28"/>
          <w:szCs w:val="28"/>
          <w:highlight w:val="none"/>
        </w:rPr>
      </w:pPr>
    </w:p>
    <w:p w14:paraId="2FACF953">
      <w:pPr>
        <w:spacing w:line="360" w:lineRule="auto"/>
        <w:ind w:firstLine="275" w:firstLineChars="98"/>
        <w:jc w:val="center"/>
        <w:rPr>
          <w:rFonts w:ascii="宋体" w:hAnsi="宋体" w:cs="宋体"/>
          <w:b/>
          <w:bCs/>
          <w:color w:val="auto"/>
          <w:sz w:val="28"/>
          <w:szCs w:val="28"/>
          <w:highlight w:val="none"/>
        </w:rPr>
      </w:pPr>
    </w:p>
    <w:p w14:paraId="5261BB2B">
      <w:pPr>
        <w:spacing w:line="360" w:lineRule="auto"/>
        <w:ind w:firstLine="275" w:firstLineChars="98"/>
        <w:jc w:val="center"/>
        <w:rPr>
          <w:rFonts w:ascii="宋体" w:hAnsi="宋体" w:cs="宋体"/>
          <w:b/>
          <w:bCs/>
          <w:color w:val="auto"/>
          <w:sz w:val="28"/>
          <w:szCs w:val="28"/>
          <w:highlight w:val="none"/>
        </w:rPr>
      </w:pPr>
    </w:p>
    <w:p w14:paraId="6394CBF0">
      <w:pPr>
        <w:spacing w:line="360" w:lineRule="auto"/>
        <w:ind w:firstLine="275" w:firstLineChars="98"/>
        <w:jc w:val="center"/>
        <w:rPr>
          <w:rFonts w:ascii="宋体" w:hAnsi="宋体" w:cs="宋体"/>
          <w:b/>
          <w:bCs/>
          <w:color w:val="auto"/>
          <w:sz w:val="28"/>
          <w:szCs w:val="28"/>
          <w:highlight w:val="none"/>
        </w:rPr>
      </w:pPr>
    </w:p>
    <w:p w14:paraId="091FE924">
      <w:pPr>
        <w:snapToGrid w:val="0"/>
        <w:spacing w:before="120" w:beforeLines="50" w:after="50"/>
        <w:rPr>
          <w:b/>
          <w:color w:val="auto"/>
          <w:sz w:val="24"/>
          <w:highlight w:val="none"/>
        </w:rPr>
      </w:pPr>
    </w:p>
    <w:p w14:paraId="142D2215">
      <w:pPr>
        <w:snapToGrid w:val="0"/>
        <w:jc w:val="center"/>
        <w:rPr>
          <w:rFonts w:hint="eastAsia" w:ascii="宋体" w:hAnsi="宋体"/>
          <w:b/>
          <w:color w:val="auto"/>
          <w:sz w:val="32"/>
          <w:szCs w:val="32"/>
          <w:highlight w:val="none"/>
        </w:rPr>
      </w:pPr>
    </w:p>
    <w:p w14:paraId="4B714D7B">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14:paraId="63F14766">
      <w:pPr>
        <w:pStyle w:val="972"/>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14:paraId="2F1DEB8E">
      <w:pPr>
        <w:pStyle w:val="972"/>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14:paraId="5726BB7F">
      <w:pPr>
        <w:pStyle w:val="972"/>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14:paraId="651D5B0E">
      <w:pPr>
        <w:pStyle w:val="972"/>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14:paraId="76653370">
      <w:pPr>
        <w:pStyle w:val="972"/>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611019F1">
      <w:pPr>
        <w:pStyle w:val="972"/>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496ACD0">
      <w:pPr>
        <w:pStyle w:val="972"/>
        <w:snapToGrid w:val="0"/>
        <w:ind w:firstLine="494"/>
        <w:rPr>
          <w:rFonts w:ascii="宋体" w:eastAsia="宋体"/>
          <w:bCs/>
          <w:color w:val="auto"/>
          <w:sz w:val="24"/>
          <w:szCs w:val="24"/>
          <w:highlight w:val="none"/>
        </w:rPr>
      </w:pPr>
    </w:p>
    <w:p w14:paraId="6448AFF7">
      <w:pPr>
        <w:pStyle w:val="972"/>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2A63DBE3">
      <w:pPr>
        <w:pStyle w:val="972"/>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111D0718">
      <w:pPr>
        <w:pStyle w:val="972"/>
        <w:snapToGrid w:val="0"/>
        <w:spacing w:line="240" w:lineRule="auto"/>
        <w:ind w:firstLine="0" w:firstLineChars="0"/>
        <w:rPr>
          <w:rFonts w:ascii="宋体" w:eastAsia="宋体"/>
          <w:bCs/>
          <w:color w:val="auto"/>
          <w:sz w:val="24"/>
          <w:szCs w:val="24"/>
          <w:highlight w:val="none"/>
        </w:rPr>
      </w:pPr>
    </w:p>
    <w:p w14:paraId="5E16CE2D">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19AEB0DC">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34DE84B4">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14:paraId="346B34B1">
      <w:pPr>
        <w:pStyle w:val="972"/>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14:paraId="5AE17287">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5EF788C4">
      <w:pPr>
        <w:pStyle w:val="972"/>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3AE070BF">
      <w:pPr>
        <w:pStyle w:val="972"/>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5.填写要求：“标的名称”依据采购文件第二章招标需求中采购清单逐一填写，不得缺漏；</w:t>
      </w:r>
    </w:p>
    <w:p w14:paraId="49779CB1">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14:paraId="075E9937">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1AEAB0A4">
      <w:pPr>
        <w:snapToGrid w:val="0"/>
        <w:jc w:val="center"/>
        <w:rPr>
          <w:rFonts w:ascii="宋体" w:hAnsi="宋体"/>
          <w:b/>
          <w:bCs/>
          <w:color w:val="auto"/>
          <w:sz w:val="24"/>
          <w:highlight w:val="none"/>
        </w:rPr>
      </w:pPr>
    </w:p>
    <w:p w14:paraId="0B59C616">
      <w:pPr>
        <w:snapToGrid w:val="0"/>
        <w:jc w:val="center"/>
        <w:rPr>
          <w:rFonts w:ascii="宋体" w:hAnsi="宋体"/>
          <w:b/>
          <w:bCs/>
          <w:color w:val="auto"/>
          <w:sz w:val="24"/>
          <w:highlight w:val="none"/>
        </w:rPr>
      </w:pPr>
    </w:p>
    <w:p w14:paraId="4A22249B">
      <w:pPr>
        <w:snapToGrid w:val="0"/>
        <w:jc w:val="center"/>
        <w:rPr>
          <w:rFonts w:ascii="宋体" w:hAnsi="宋体"/>
          <w:b/>
          <w:bCs/>
          <w:color w:val="auto"/>
          <w:sz w:val="24"/>
          <w:highlight w:val="none"/>
        </w:rPr>
      </w:pPr>
    </w:p>
    <w:p w14:paraId="356A3380">
      <w:pPr>
        <w:snapToGrid w:val="0"/>
        <w:jc w:val="center"/>
        <w:rPr>
          <w:rFonts w:ascii="宋体" w:hAnsi="宋体"/>
          <w:b/>
          <w:bCs/>
          <w:color w:val="auto"/>
          <w:sz w:val="24"/>
          <w:highlight w:val="none"/>
        </w:rPr>
      </w:pPr>
    </w:p>
    <w:p w14:paraId="7FF559E0">
      <w:pPr>
        <w:snapToGrid w:val="0"/>
        <w:jc w:val="both"/>
        <w:rPr>
          <w:rFonts w:ascii="宋体" w:hAnsi="宋体"/>
          <w:b/>
          <w:bCs/>
          <w:color w:val="auto"/>
          <w:sz w:val="24"/>
          <w:highlight w:val="none"/>
        </w:rPr>
      </w:pPr>
    </w:p>
    <w:p w14:paraId="279E1126">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2FDC0E27">
      <w:pPr>
        <w:pStyle w:val="973"/>
        <w:snapToGrid w:val="0"/>
        <w:jc w:val="center"/>
        <w:rPr>
          <w:rFonts w:ascii="宋体" w:hAnsi="宋体"/>
          <w:b/>
          <w:color w:val="auto"/>
          <w:sz w:val="24"/>
          <w:highlight w:val="none"/>
          <w:lang w:val="en-GB"/>
        </w:rPr>
      </w:pPr>
    </w:p>
    <w:p w14:paraId="47F88268">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738BA30A">
      <w:pPr>
        <w:snapToGrid w:val="0"/>
        <w:spacing w:line="480" w:lineRule="exact"/>
        <w:ind w:firstLine="480" w:firstLineChars="200"/>
        <w:rPr>
          <w:rFonts w:ascii="宋体" w:hAnsi="宋体"/>
          <w:color w:val="auto"/>
          <w:sz w:val="24"/>
          <w:highlight w:val="none"/>
        </w:rPr>
      </w:pPr>
    </w:p>
    <w:p w14:paraId="3D808EB7">
      <w:pPr>
        <w:snapToGrid w:val="0"/>
        <w:ind w:firstLine="480" w:firstLineChars="200"/>
        <w:rPr>
          <w:rFonts w:ascii="宋体" w:hAnsi="宋体"/>
          <w:color w:val="auto"/>
          <w:sz w:val="24"/>
          <w:highlight w:val="none"/>
        </w:rPr>
      </w:pPr>
    </w:p>
    <w:p w14:paraId="32E624B9">
      <w:pPr>
        <w:snapToGrid w:val="0"/>
        <w:ind w:firstLine="480" w:firstLineChars="200"/>
        <w:rPr>
          <w:rFonts w:ascii="宋体" w:hAnsi="宋体"/>
          <w:color w:val="auto"/>
          <w:sz w:val="24"/>
          <w:highlight w:val="none"/>
        </w:rPr>
      </w:pPr>
    </w:p>
    <w:p w14:paraId="0CED5569">
      <w:pPr>
        <w:snapToGrid w:val="0"/>
        <w:ind w:firstLine="480" w:firstLineChars="200"/>
        <w:rPr>
          <w:rFonts w:ascii="宋体" w:hAnsi="宋体"/>
          <w:color w:val="auto"/>
          <w:sz w:val="24"/>
          <w:highlight w:val="none"/>
        </w:rPr>
      </w:pPr>
    </w:p>
    <w:p w14:paraId="3C699585">
      <w:pPr>
        <w:snapToGrid w:val="0"/>
        <w:ind w:firstLine="480" w:firstLineChars="200"/>
        <w:rPr>
          <w:rFonts w:ascii="宋体" w:hAnsi="宋体"/>
          <w:color w:val="auto"/>
          <w:sz w:val="24"/>
          <w:highlight w:val="none"/>
        </w:rPr>
      </w:pPr>
    </w:p>
    <w:p w14:paraId="6C2D5D99">
      <w:pPr>
        <w:snapToGrid w:val="0"/>
        <w:ind w:firstLine="480" w:firstLineChars="200"/>
        <w:rPr>
          <w:rFonts w:ascii="宋体" w:hAnsi="宋体"/>
          <w:color w:val="auto"/>
          <w:sz w:val="24"/>
          <w:highlight w:val="none"/>
        </w:rPr>
      </w:pPr>
    </w:p>
    <w:p w14:paraId="793440D7">
      <w:pPr>
        <w:snapToGrid w:val="0"/>
        <w:ind w:firstLine="480" w:firstLineChars="200"/>
        <w:rPr>
          <w:rFonts w:ascii="宋体" w:hAnsi="宋体"/>
          <w:color w:val="auto"/>
          <w:sz w:val="24"/>
          <w:highlight w:val="none"/>
        </w:rPr>
      </w:pPr>
    </w:p>
    <w:p w14:paraId="6EDEE49C">
      <w:pPr>
        <w:snapToGrid w:val="0"/>
        <w:ind w:firstLine="480" w:firstLineChars="200"/>
        <w:rPr>
          <w:rFonts w:ascii="宋体" w:hAnsi="宋体"/>
          <w:color w:val="auto"/>
          <w:sz w:val="24"/>
          <w:highlight w:val="none"/>
        </w:rPr>
      </w:pPr>
    </w:p>
    <w:p w14:paraId="2E36BC78">
      <w:pPr>
        <w:snapToGrid w:val="0"/>
        <w:ind w:firstLine="480" w:firstLineChars="200"/>
        <w:rPr>
          <w:rFonts w:ascii="宋体" w:hAnsi="宋体"/>
          <w:color w:val="auto"/>
          <w:sz w:val="24"/>
          <w:highlight w:val="none"/>
        </w:rPr>
      </w:pPr>
    </w:p>
    <w:p w14:paraId="4B56A6B4">
      <w:pPr>
        <w:snapToGrid w:val="0"/>
        <w:ind w:firstLine="480" w:firstLineChars="200"/>
        <w:rPr>
          <w:rFonts w:ascii="宋体" w:hAnsi="宋体"/>
          <w:color w:val="auto"/>
          <w:sz w:val="24"/>
          <w:highlight w:val="none"/>
        </w:rPr>
      </w:pPr>
    </w:p>
    <w:p w14:paraId="25828E83">
      <w:pPr>
        <w:snapToGrid w:val="0"/>
        <w:jc w:val="center"/>
        <w:rPr>
          <w:rFonts w:ascii="宋体" w:hAnsi="宋体"/>
          <w:b/>
          <w:color w:val="auto"/>
          <w:spacing w:val="6"/>
          <w:sz w:val="24"/>
          <w:highlight w:val="none"/>
        </w:rPr>
      </w:pPr>
    </w:p>
    <w:p w14:paraId="3A74C61E">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3E9E2C02">
      <w:pPr>
        <w:snapToGrid w:val="0"/>
        <w:rPr>
          <w:rFonts w:ascii="宋体" w:hAnsi="宋体"/>
          <w:b/>
          <w:color w:val="auto"/>
          <w:spacing w:val="6"/>
          <w:sz w:val="24"/>
          <w:highlight w:val="none"/>
        </w:rPr>
      </w:pPr>
    </w:p>
    <w:p w14:paraId="0069E06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F4621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0AF3059E">
      <w:pPr>
        <w:snapToGrid w:val="0"/>
        <w:spacing w:line="480" w:lineRule="exact"/>
        <w:rPr>
          <w:rFonts w:ascii="宋体" w:hAnsi="宋体"/>
          <w:color w:val="auto"/>
          <w:sz w:val="24"/>
          <w:highlight w:val="none"/>
        </w:rPr>
      </w:pPr>
    </w:p>
    <w:p w14:paraId="0D1E55BD">
      <w:pPr>
        <w:snapToGrid w:val="0"/>
        <w:rPr>
          <w:rFonts w:ascii="宋体" w:hAnsi="宋体"/>
          <w:color w:val="auto"/>
          <w:sz w:val="24"/>
          <w:highlight w:val="none"/>
        </w:rPr>
      </w:pPr>
    </w:p>
    <w:p w14:paraId="6612A3F3">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5B434B38">
      <w:pPr>
        <w:snapToGrid w:val="0"/>
        <w:rPr>
          <w:rFonts w:ascii="宋体" w:hAnsi="宋体"/>
          <w:color w:val="auto"/>
          <w:sz w:val="24"/>
          <w:highlight w:val="none"/>
        </w:rPr>
      </w:pPr>
      <w:r>
        <w:rPr>
          <w:rFonts w:hint="eastAsia" w:ascii="宋体" w:hAnsi="宋体"/>
          <w:color w:val="auto"/>
          <w:sz w:val="24"/>
          <w:highlight w:val="none"/>
        </w:rPr>
        <w:t xml:space="preserve">   </w:t>
      </w:r>
    </w:p>
    <w:p w14:paraId="6ACDBC78">
      <w:pPr>
        <w:snapToGrid w:val="0"/>
        <w:rPr>
          <w:rFonts w:ascii="宋体" w:hAnsi="宋体"/>
          <w:color w:val="auto"/>
          <w:sz w:val="24"/>
          <w:highlight w:val="none"/>
        </w:rPr>
      </w:pPr>
    </w:p>
    <w:p w14:paraId="429DCE73">
      <w:pPr>
        <w:jc w:val="center"/>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38E923D">
      <w:pPr>
        <w:pStyle w:val="16"/>
        <w:rPr>
          <w:color w:val="auto"/>
          <w:highlight w:val="none"/>
        </w:rPr>
      </w:pPr>
    </w:p>
    <w:p w14:paraId="5695C00E">
      <w:pPr>
        <w:snapToGrid w:val="0"/>
        <w:spacing w:before="120" w:beforeLines="50" w:after="50"/>
        <w:rPr>
          <w:rFonts w:hint="eastAsia"/>
          <w:b/>
          <w:color w:val="auto"/>
          <w:sz w:val="24"/>
          <w:highlight w:val="none"/>
        </w:rPr>
      </w:pPr>
    </w:p>
    <w:p w14:paraId="19596698">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792C1C2E">
      <w:pPr>
        <w:snapToGrid w:val="0"/>
        <w:spacing w:before="120" w:beforeLines="50" w:after="50"/>
        <w:jc w:val="center"/>
        <w:rPr>
          <w:b/>
          <w:bCs/>
          <w:color w:val="auto"/>
          <w:sz w:val="32"/>
          <w:szCs w:val="32"/>
          <w:highlight w:val="none"/>
        </w:rPr>
      </w:pPr>
    </w:p>
    <w:p w14:paraId="5450327F">
      <w:pPr>
        <w:snapToGrid w:val="0"/>
        <w:spacing w:before="120" w:beforeLines="50" w:after="50"/>
        <w:jc w:val="center"/>
        <w:rPr>
          <w:b/>
          <w:bCs/>
          <w:color w:val="auto"/>
          <w:sz w:val="32"/>
          <w:szCs w:val="32"/>
          <w:highlight w:val="none"/>
        </w:rPr>
      </w:pPr>
    </w:p>
    <w:p w14:paraId="11D451D5">
      <w:pPr>
        <w:snapToGrid w:val="0"/>
        <w:spacing w:before="120" w:beforeLines="50" w:after="50"/>
        <w:jc w:val="center"/>
        <w:rPr>
          <w:b/>
          <w:bCs/>
          <w:color w:val="auto"/>
          <w:sz w:val="32"/>
          <w:szCs w:val="32"/>
          <w:highlight w:val="none"/>
        </w:rPr>
      </w:pPr>
    </w:p>
    <w:p w14:paraId="16E5D200">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61F4AD7F">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FA29FB7">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61C1072A">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6FB53D95">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60011AF">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964C48A">
      <w:pPr>
        <w:snapToGrid w:val="0"/>
        <w:spacing w:before="120" w:beforeLines="50" w:after="50"/>
        <w:jc w:val="center"/>
        <w:rPr>
          <w:rFonts w:ascii="宋体" w:hAnsi="宋体" w:cs="宋体"/>
          <w:b/>
          <w:color w:val="auto"/>
          <w:sz w:val="32"/>
          <w:szCs w:val="32"/>
          <w:highlight w:val="none"/>
        </w:rPr>
      </w:pPr>
    </w:p>
    <w:p w14:paraId="7AFB7654">
      <w:pPr>
        <w:pStyle w:val="2"/>
        <w:rPr>
          <w:rFonts w:ascii="宋体" w:hAnsi="宋体" w:cs="宋体"/>
          <w:b w:val="0"/>
          <w:color w:val="auto"/>
          <w:szCs w:val="32"/>
          <w:highlight w:val="none"/>
        </w:rPr>
      </w:pPr>
    </w:p>
    <w:p w14:paraId="24E899A2">
      <w:pPr>
        <w:rPr>
          <w:color w:val="auto"/>
          <w:highlight w:val="none"/>
        </w:rPr>
      </w:pPr>
    </w:p>
    <w:p w14:paraId="7917E894">
      <w:pPr>
        <w:rPr>
          <w:color w:val="auto"/>
          <w:highlight w:val="none"/>
        </w:rPr>
      </w:pPr>
    </w:p>
    <w:p w14:paraId="3567DC87">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012CFFE">
      <w:pPr>
        <w:snapToGrid w:val="0"/>
        <w:spacing w:before="120" w:beforeLines="50" w:after="50"/>
        <w:rPr>
          <w:b/>
          <w:bCs/>
          <w:color w:val="auto"/>
          <w:sz w:val="32"/>
          <w:szCs w:val="20"/>
          <w:highlight w:val="none"/>
        </w:rPr>
      </w:pPr>
      <w:r>
        <w:rPr>
          <w:color w:val="auto"/>
          <w:sz w:val="24"/>
          <w:highlight w:val="none"/>
        </w:rPr>
        <w:t xml:space="preserve">                                                    </w:t>
      </w:r>
    </w:p>
    <w:p w14:paraId="0111C513">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524D59B5">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5598BAF4">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7E508094">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6EA8AE42">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38A86FBC">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C5CCA7C">
      <w:pPr>
        <w:spacing w:line="360" w:lineRule="auto"/>
        <w:rPr>
          <w:rFonts w:ascii="仿宋" w:hAnsi="仿宋" w:eastAsia="仿宋"/>
          <w:bCs/>
          <w:color w:val="auto"/>
          <w:sz w:val="24"/>
          <w:highlight w:val="none"/>
        </w:rPr>
      </w:pPr>
    </w:p>
    <w:p w14:paraId="45C58C76">
      <w:pPr>
        <w:spacing w:line="360" w:lineRule="auto"/>
        <w:jc w:val="center"/>
        <w:rPr>
          <w:rFonts w:ascii="宋体" w:hAnsi="宋体" w:cs="宋体"/>
          <w:b/>
          <w:color w:val="auto"/>
          <w:sz w:val="24"/>
          <w:highlight w:val="none"/>
        </w:rPr>
      </w:pPr>
      <w:bookmarkStart w:id="35" w:name="_Toc219619166"/>
    </w:p>
    <w:p w14:paraId="38641435">
      <w:pPr>
        <w:spacing w:line="360" w:lineRule="auto"/>
        <w:jc w:val="center"/>
        <w:rPr>
          <w:rFonts w:ascii="宋体" w:hAnsi="宋体" w:cs="宋体"/>
          <w:b/>
          <w:color w:val="auto"/>
          <w:sz w:val="24"/>
          <w:highlight w:val="none"/>
        </w:rPr>
      </w:pPr>
    </w:p>
    <w:p w14:paraId="58D52213">
      <w:pPr>
        <w:spacing w:line="360" w:lineRule="auto"/>
        <w:jc w:val="center"/>
        <w:rPr>
          <w:rFonts w:ascii="宋体" w:hAnsi="宋体" w:cs="宋体"/>
          <w:b/>
          <w:color w:val="auto"/>
          <w:sz w:val="24"/>
          <w:highlight w:val="none"/>
        </w:rPr>
      </w:pPr>
    </w:p>
    <w:p w14:paraId="7B871C8A">
      <w:pPr>
        <w:spacing w:line="360" w:lineRule="auto"/>
        <w:jc w:val="center"/>
        <w:rPr>
          <w:rFonts w:ascii="宋体" w:hAnsi="宋体" w:cs="宋体"/>
          <w:b/>
          <w:color w:val="auto"/>
          <w:sz w:val="24"/>
          <w:highlight w:val="none"/>
        </w:rPr>
      </w:pPr>
    </w:p>
    <w:p w14:paraId="7F4811CE">
      <w:pPr>
        <w:spacing w:line="360" w:lineRule="auto"/>
        <w:rPr>
          <w:rFonts w:ascii="宋体" w:hAnsi="宋体" w:cs="宋体"/>
          <w:b/>
          <w:color w:val="auto"/>
          <w:sz w:val="24"/>
          <w:highlight w:val="none"/>
        </w:rPr>
      </w:pPr>
    </w:p>
    <w:p w14:paraId="179FF316">
      <w:pPr>
        <w:spacing w:line="360" w:lineRule="auto"/>
        <w:jc w:val="center"/>
        <w:rPr>
          <w:rFonts w:hint="eastAsia" w:ascii="宋体" w:hAnsi="宋体" w:cs="宋体"/>
          <w:b/>
          <w:color w:val="auto"/>
          <w:sz w:val="24"/>
          <w:highlight w:val="none"/>
        </w:rPr>
      </w:pPr>
    </w:p>
    <w:p w14:paraId="03436DB9">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36B6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355327B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42B2B47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41D2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1B550691">
            <w:pPr>
              <w:spacing w:line="360" w:lineRule="auto"/>
              <w:jc w:val="center"/>
              <w:rPr>
                <w:rFonts w:ascii="宋体" w:hAnsi="宋体" w:cs="宋体"/>
                <w:b/>
                <w:bCs/>
                <w:color w:val="auto"/>
                <w:sz w:val="24"/>
                <w:highlight w:val="none"/>
              </w:rPr>
            </w:pPr>
          </w:p>
        </w:tc>
        <w:tc>
          <w:tcPr>
            <w:tcW w:w="2145" w:type="dxa"/>
            <w:vAlign w:val="center"/>
          </w:tcPr>
          <w:p w14:paraId="4F27280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6781E0D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3097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21A0FCC9">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43BAB6E7">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643DA1BF">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655224F">
            <w:pPr>
              <w:spacing w:line="360" w:lineRule="auto"/>
              <w:jc w:val="center"/>
              <w:rPr>
                <w:rFonts w:ascii="宋体" w:hAnsi="宋体" w:cs="宋体"/>
                <w:b/>
                <w:bCs/>
                <w:color w:val="auto"/>
                <w:szCs w:val="21"/>
                <w:highlight w:val="none"/>
              </w:rPr>
            </w:pPr>
          </w:p>
        </w:tc>
      </w:tr>
      <w:tr w14:paraId="3896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6A3C424A">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4EBFD3B4">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61188D2">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5E0C871">
            <w:pPr>
              <w:spacing w:line="360" w:lineRule="auto"/>
              <w:jc w:val="center"/>
              <w:rPr>
                <w:rFonts w:ascii="宋体" w:hAnsi="宋体" w:cs="宋体"/>
                <w:b/>
                <w:bCs/>
                <w:color w:val="auto"/>
                <w:szCs w:val="21"/>
                <w:highlight w:val="none"/>
              </w:rPr>
            </w:pPr>
          </w:p>
        </w:tc>
      </w:tr>
      <w:tr w14:paraId="730E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704652F">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233495F">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F2970C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E010C2F">
            <w:pPr>
              <w:spacing w:line="360" w:lineRule="auto"/>
              <w:jc w:val="center"/>
              <w:rPr>
                <w:rFonts w:ascii="宋体" w:hAnsi="宋体" w:cs="宋体"/>
                <w:b/>
                <w:bCs/>
                <w:color w:val="auto"/>
                <w:szCs w:val="21"/>
                <w:highlight w:val="none"/>
              </w:rPr>
            </w:pPr>
          </w:p>
        </w:tc>
      </w:tr>
      <w:tr w14:paraId="4CFD6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4814B0E">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38FF9581">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5EB84D5">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5AA74C8A">
            <w:pPr>
              <w:spacing w:line="360" w:lineRule="auto"/>
              <w:jc w:val="center"/>
              <w:rPr>
                <w:rFonts w:ascii="宋体" w:hAnsi="宋体" w:cs="宋体"/>
                <w:b/>
                <w:bCs/>
                <w:color w:val="auto"/>
                <w:szCs w:val="21"/>
                <w:highlight w:val="none"/>
              </w:rPr>
            </w:pPr>
          </w:p>
        </w:tc>
      </w:tr>
      <w:tr w14:paraId="1AB3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5834B2F">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B278020">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4ECE22E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0055966">
            <w:pPr>
              <w:spacing w:line="360" w:lineRule="auto"/>
              <w:jc w:val="center"/>
              <w:rPr>
                <w:rFonts w:ascii="宋体" w:hAnsi="宋体" w:cs="宋体"/>
                <w:b/>
                <w:bCs/>
                <w:color w:val="auto"/>
                <w:szCs w:val="21"/>
                <w:highlight w:val="none"/>
              </w:rPr>
            </w:pPr>
          </w:p>
        </w:tc>
      </w:tr>
      <w:tr w14:paraId="2D0C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052EFDCD">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1367E3E1">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54B6C48">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3F132873">
            <w:pPr>
              <w:spacing w:line="360" w:lineRule="auto"/>
              <w:jc w:val="center"/>
              <w:rPr>
                <w:rFonts w:ascii="宋体" w:hAnsi="宋体" w:cs="宋体"/>
                <w:b/>
                <w:bCs/>
                <w:color w:val="auto"/>
                <w:szCs w:val="21"/>
                <w:highlight w:val="none"/>
              </w:rPr>
            </w:pPr>
          </w:p>
        </w:tc>
      </w:tr>
      <w:tr w14:paraId="0C687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30E18524">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62A2EC1C">
            <w:pPr>
              <w:widowControl/>
              <w:spacing w:line="360" w:lineRule="auto"/>
              <w:jc w:val="center"/>
              <w:rPr>
                <w:rFonts w:ascii="宋体" w:hAnsi="宋体" w:cs="宋体"/>
                <w:color w:val="auto"/>
                <w:kern w:val="0"/>
                <w:szCs w:val="21"/>
                <w:highlight w:val="none"/>
              </w:rPr>
            </w:pPr>
          </w:p>
        </w:tc>
        <w:tc>
          <w:tcPr>
            <w:tcW w:w="2145" w:type="dxa"/>
            <w:vAlign w:val="center"/>
          </w:tcPr>
          <w:p w14:paraId="529C92B4">
            <w:pPr>
              <w:spacing w:line="360" w:lineRule="auto"/>
              <w:jc w:val="left"/>
              <w:rPr>
                <w:rFonts w:ascii="宋体" w:hAnsi="宋体" w:cs="宋体"/>
                <w:color w:val="auto"/>
                <w:szCs w:val="21"/>
                <w:highlight w:val="none"/>
              </w:rPr>
            </w:pPr>
          </w:p>
        </w:tc>
        <w:tc>
          <w:tcPr>
            <w:tcW w:w="2109" w:type="dxa"/>
            <w:vAlign w:val="center"/>
          </w:tcPr>
          <w:p w14:paraId="512DCBEA">
            <w:pPr>
              <w:spacing w:line="360" w:lineRule="auto"/>
              <w:jc w:val="center"/>
              <w:rPr>
                <w:rFonts w:ascii="宋体" w:hAnsi="宋体" w:cs="宋体"/>
                <w:b/>
                <w:bCs/>
                <w:color w:val="auto"/>
                <w:szCs w:val="21"/>
                <w:highlight w:val="none"/>
              </w:rPr>
            </w:pPr>
          </w:p>
        </w:tc>
      </w:tr>
      <w:tr w14:paraId="3C84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CE3400D">
            <w:pPr>
              <w:spacing w:line="360" w:lineRule="auto"/>
              <w:rPr>
                <w:rFonts w:ascii="宋体" w:hAnsi="宋体" w:cs="宋体"/>
                <w:color w:val="auto"/>
                <w:szCs w:val="21"/>
                <w:highlight w:val="none"/>
              </w:rPr>
            </w:pPr>
          </w:p>
        </w:tc>
        <w:tc>
          <w:tcPr>
            <w:tcW w:w="3300" w:type="dxa"/>
            <w:vAlign w:val="center"/>
          </w:tcPr>
          <w:p w14:paraId="2D834CB6">
            <w:pPr>
              <w:widowControl/>
              <w:spacing w:line="360" w:lineRule="auto"/>
              <w:jc w:val="center"/>
              <w:rPr>
                <w:rFonts w:ascii="宋体" w:hAnsi="宋体" w:cs="宋体"/>
                <w:color w:val="auto"/>
                <w:kern w:val="0"/>
                <w:szCs w:val="21"/>
                <w:highlight w:val="none"/>
              </w:rPr>
            </w:pPr>
          </w:p>
        </w:tc>
        <w:tc>
          <w:tcPr>
            <w:tcW w:w="2145" w:type="dxa"/>
            <w:vAlign w:val="center"/>
          </w:tcPr>
          <w:p w14:paraId="14E4D4C5">
            <w:pPr>
              <w:spacing w:line="360" w:lineRule="auto"/>
              <w:jc w:val="left"/>
              <w:rPr>
                <w:rFonts w:ascii="宋体" w:hAnsi="宋体" w:cs="宋体"/>
                <w:color w:val="auto"/>
                <w:szCs w:val="21"/>
                <w:highlight w:val="none"/>
              </w:rPr>
            </w:pPr>
          </w:p>
        </w:tc>
        <w:tc>
          <w:tcPr>
            <w:tcW w:w="2109" w:type="dxa"/>
            <w:vAlign w:val="center"/>
          </w:tcPr>
          <w:p w14:paraId="6D5CD7AC">
            <w:pPr>
              <w:spacing w:line="360" w:lineRule="auto"/>
              <w:jc w:val="center"/>
              <w:rPr>
                <w:rFonts w:ascii="宋体" w:hAnsi="宋体" w:cs="宋体"/>
                <w:b/>
                <w:bCs/>
                <w:color w:val="auto"/>
                <w:szCs w:val="21"/>
                <w:highlight w:val="none"/>
              </w:rPr>
            </w:pPr>
          </w:p>
        </w:tc>
      </w:tr>
      <w:tr w14:paraId="2B81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1FA8155">
            <w:pPr>
              <w:spacing w:line="360" w:lineRule="auto"/>
              <w:rPr>
                <w:rFonts w:ascii="宋体" w:hAnsi="宋体" w:cs="宋体"/>
                <w:color w:val="auto"/>
                <w:szCs w:val="21"/>
                <w:highlight w:val="none"/>
              </w:rPr>
            </w:pPr>
          </w:p>
        </w:tc>
        <w:tc>
          <w:tcPr>
            <w:tcW w:w="3300" w:type="dxa"/>
            <w:vAlign w:val="center"/>
          </w:tcPr>
          <w:p w14:paraId="13326315">
            <w:pPr>
              <w:widowControl/>
              <w:spacing w:line="360" w:lineRule="auto"/>
              <w:jc w:val="center"/>
              <w:rPr>
                <w:rFonts w:ascii="宋体" w:hAnsi="宋体" w:cs="宋体"/>
                <w:color w:val="auto"/>
                <w:kern w:val="0"/>
                <w:szCs w:val="21"/>
                <w:highlight w:val="none"/>
              </w:rPr>
            </w:pPr>
          </w:p>
        </w:tc>
        <w:tc>
          <w:tcPr>
            <w:tcW w:w="2145" w:type="dxa"/>
            <w:vAlign w:val="center"/>
          </w:tcPr>
          <w:p w14:paraId="2DC98776">
            <w:pPr>
              <w:spacing w:line="360" w:lineRule="auto"/>
              <w:jc w:val="left"/>
              <w:rPr>
                <w:rFonts w:ascii="宋体" w:hAnsi="宋体" w:cs="宋体"/>
                <w:color w:val="auto"/>
                <w:szCs w:val="21"/>
                <w:highlight w:val="none"/>
              </w:rPr>
            </w:pPr>
          </w:p>
        </w:tc>
        <w:tc>
          <w:tcPr>
            <w:tcW w:w="2109" w:type="dxa"/>
            <w:vAlign w:val="center"/>
          </w:tcPr>
          <w:p w14:paraId="00A84EA5">
            <w:pPr>
              <w:spacing w:line="360" w:lineRule="auto"/>
              <w:jc w:val="center"/>
              <w:rPr>
                <w:rFonts w:ascii="宋体" w:hAnsi="宋体" w:cs="宋体"/>
                <w:b/>
                <w:bCs/>
                <w:color w:val="auto"/>
                <w:szCs w:val="21"/>
                <w:highlight w:val="none"/>
              </w:rPr>
            </w:pPr>
          </w:p>
        </w:tc>
      </w:tr>
      <w:tr w14:paraId="3D9A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DA08618">
            <w:pPr>
              <w:spacing w:line="360" w:lineRule="auto"/>
              <w:rPr>
                <w:rFonts w:ascii="宋体" w:hAnsi="宋体" w:cs="宋体"/>
                <w:color w:val="auto"/>
                <w:szCs w:val="21"/>
                <w:highlight w:val="none"/>
              </w:rPr>
            </w:pPr>
          </w:p>
        </w:tc>
        <w:tc>
          <w:tcPr>
            <w:tcW w:w="3300" w:type="dxa"/>
            <w:vAlign w:val="center"/>
          </w:tcPr>
          <w:p w14:paraId="1DA7B761">
            <w:pPr>
              <w:widowControl/>
              <w:spacing w:line="360" w:lineRule="auto"/>
              <w:jc w:val="center"/>
              <w:rPr>
                <w:rFonts w:ascii="宋体" w:hAnsi="宋体" w:cs="宋体"/>
                <w:color w:val="auto"/>
                <w:kern w:val="0"/>
                <w:szCs w:val="21"/>
                <w:highlight w:val="none"/>
              </w:rPr>
            </w:pPr>
          </w:p>
        </w:tc>
        <w:tc>
          <w:tcPr>
            <w:tcW w:w="2145" w:type="dxa"/>
            <w:vAlign w:val="center"/>
          </w:tcPr>
          <w:p w14:paraId="28FDC45E">
            <w:pPr>
              <w:spacing w:line="360" w:lineRule="auto"/>
              <w:jc w:val="left"/>
              <w:rPr>
                <w:rFonts w:ascii="宋体" w:hAnsi="宋体" w:cs="宋体"/>
                <w:color w:val="auto"/>
                <w:szCs w:val="21"/>
                <w:highlight w:val="none"/>
              </w:rPr>
            </w:pPr>
          </w:p>
        </w:tc>
        <w:tc>
          <w:tcPr>
            <w:tcW w:w="2109" w:type="dxa"/>
            <w:vAlign w:val="center"/>
          </w:tcPr>
          <w:p w14:paraId="0E395B44">
            <w:pPr>
              <w:spacing w:line="360" w:lineRule="auto"/>
              <w:jc w:val="center"/>
              <w:rPr>
                <w:rFonts w:ascii="宋体" w:hAnsi="宋体" w:cs="宋体"/>
                <w:b/>
                <w:bCs/>
                <w:color w:val="auto"/>
                <w:szCs w:val="21"/>
                <w:highlight w:val="none"/>
              </w:rPr>
            </w:pPr>
          </w:p>
        </w:tc>
      </w:tr>
      <w:tr w14:paraId="66E1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23B2D14">
            <w:pPr>
              <w:spacing w:line="360" w:lineRule="auto"/>
              <w:rPr>
                <w:rFonts w:ascii="宋体" w:hAnsi="宋体" w:cs="宋体"/>
                <w:color w:val="auto"/>
                <w:szCs w:val="21"/>
                <w:highlight w:val="none"/>
              </w:rPr>
            </w:pPr>
          </w:p>
        </w:tc>
        <w:tc>
          <w:tcPr>
            <w:tcW w:w="3300" w:type="dxa"/>
            <w:vAlign w:val="center"/>
          </w:tcPr>
          <w:p w14:paraId="198CC12B">
            <w:pPr>
              <w:widowControl/>
              <w:spacing w:line="360" w:lineRule="auto"/>
              <w:jc w:val="center"/>
              <w:rPr>
                <w:rFonts w:ascii="宋体" w:hAnsi="宋体" w:cs="宋体"/>
                <w:color w:val="auto"/>
                <w:kern w:val="0"/>
                <w:szCs w:val="21"/>
                <w:highlight w:val="none"/>
              </w:rPr>
            </w:pPr>
          </w:p>
        </w:tc>
        <w:tc>
          <w:tcPr>
            <w:tcW w:w="2145" w:type="dxa"/>
            <w:vAlign w:val="center"/>
          </w:tcPr>
          <w:p w14:paraId="3BA58AB9">
            <w:pPr>
              <w:spacing w:line="360" w:lineRule="auto"/>
              <w:jc w:val="left"/>
              <w:rPr>
                <w:rFonts w:ascii="宋体" w:hAnsi="宋体" w:cs="宋体"/>
                <w:color w:val="auto"/>
                <w:szCs w:val="21"/>
                <w:highlight w:val="none"/>
              </w:rPr>
            </w:pPr>
          </w:p>
        </w:tc>
        <w:tc>
          <w:tcPr>
            <w:tcW w:w="2109" w:type="dxa"/>
            <w:vAlign w:val="center"/>
          </w:tcPr>
          <w:p w14:paraId="354A4EF9">
            <w:pPr>
              <w:spacing w:line="360" w:lineRule="auto"/>
              <w:jc w:val="center"/>
              <w:rPr>
                <w:rFonts w:ascii="宋体" w:hAnsi="宋体" w:cs="宋体"/>
                <w:b/>
                <w:bCs/>
                <w:color w:val="auto"/>
                <w:szCs w:val="21"/>
                <w:highlight w:val="none"/>
              </w:rPr>
            </w:pPr>
          </w:p>
        </w:tc>
      </w:tr>
      <w:tr w14:paraId="2B81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7D716F1">
            <w:pPr>
              <w:spacing w:line="360" w:lineRule="auto"/>
              <w:rPr>
                <w:rFonts w:ascii="宋体" w:hAnsi="宋体" w:cs="宋体"/>
                <w:color w:val="auto"/>
                <w:szCs w:val="21"/>
                <w:highlight w:val="none"/>
              </w:rPr>
            </w:pPr>
          </w:p>
        </w:tc>
        <w:tc>
          <w:tcPr>
            <w:tcW w:w="3300" w:type="dxa"/>
            <w:vAlign w:val="center"/>
          </w:tcPr>
          <w:p w14:paraId="3A053C88">
            <w:pPr>
              <w:widowControl/>
              <w:spacing w:line="360" w:lineRule="auto"/>
              <w:jc w:val="center"/>
              <w:rPr>
                <w:rFonts w:ascii="宋体" w:hAnsi="宋体" w:cs="宋体"/>
                <w:color w:val="auto"/>
                <w:kern w:val="0"/>
                <w:szCs w:val="21"/>
                <w:highlight w:val="none"/>
              </w:rPr>
            </w:pPr>
          </w:p>
        </w:tc>
        <w:tc>
          <w:tcPr>
            <w:tcW w:w="2145" w:type="dxa"/>
            <w:vAlign w:val="center"/>
          </w:tcPr>
          <w:p w14:paraId="66A274BC">
            <w:pPr>
              <w:spacing w:line="360" w:lineRule="auto"/>
              <w:jc w:val="left"/>
              <w:rPr>
                <w:rFonts w:ascii="宋体" w:hAnsi="宋体" w:cs="宋体"/>
                <w:color w:val="auto"/>
                <w:szCs w:val="21"/>
                <w:highlight w:val="none"/>
              </w:rPr>
            </w:pPr>
          </w:p>
        </w:tc>
        <w:tc>
          <w:tcPr>
            <w:tcW w:w="2109" w:type="dxa"/>
            <w:vAlign w:val="center"/>
          </w:tcPr>
          <w:p w14:paraId="25978AF1">
            <w:pPr>
              <w:spacing w:line="360" w:lineRule="auto"/>
              <w:jc w:val="center"/>
              <w:rPr>
                <w:rFonts w:ascii="宋体" w:hAnsi="宋体" w:cs="宋体"/>
                <w:b/>
                <w:bCs/>
                <w:color w:val="auto"/>
                <w:szCs w:val="21"/>
                <w:highlight w:val="none"/>
              </w:rPr>
            </w:pPr>
          </w:p>
        </w:tc>
      </w:tr>
      <w:tr w14:paraId="69E2E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01AAC86B">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7A5C7728">
            <w:pPr>
              <w:spacing w:line="360" w:lineRule="auto"/>
              <w:jc w:val="center"/>
              <w:rPr>
                <w:rFonts w:ascii="宋体" w:hAnsi="宋体" w:cs="宋体"/>
                <w:b/>
                <w:bCs/>
                <w:color w:val="auto"/>
                <w:sz w:val="24"/>
                <w:highlight w:val="none"/>
              </w:rPr>
            </w:pPr>
          </w:p>
        </w:tc>
      </w:tr>
    </w:tbl>
    <w:p w14:paraId="7BB2F43B">
      <w:pPr>
        <w:snapToGrid w:val="0"/>
        <w:spacing w:before="120" w:beforeLines="50" w:after="50"/>
        <w:rPr>
          <w:rFonts w:ascii="宋体" w:hAnsi="宋体" w:cs="宋体"/>
          <w:b/>
          <w:color w:val="auto"/>
          <w:sz w:val="32"/>
          <w:szCs w:val="32"/>
          <w:highlight w:val="none"/>
        </w:rPr>
      </w:pPr>
    </w:p>
    <w:p w14:paraId="2F997C8D">
      <w:pPr>
        <w:snapToGrid w:val="0"/>
        <w:spacing w:before="120" w:beforeLines="50" w:after="50"/>
        <w:jc w:val="center"/>
        <w:rPr>
          <w:rFonts w:ascii="宋体" w:hAnsi="宋体" w:cs="宋体"/>
          <w:b/>
          <w:color w:val="auto"/>
          <w:sz w:val="32"/>
          <w:szCs w:val="32"/>
          <w:highlight w:val="none"/>
        </w:rPr>
      </w:pPr>
    </w:p>
    <w:p w14:paraId="7614625D">
      <w:pPr>
        <w:snapToGrid w:val="0"/>
        <w:spacing w:before="120" w:beforeLines="50" w:after="50"/>
        <w:jc w:val="center"/>
        <w:rPr>
          <w:rFonts w:ascii="宋体" w:hAnsi="宋体" w:cs="宋体"/>
          <w:b/>
          <w:color w:val="auto"/>
          <w:sz w:val="32"/>
          <w:szCs w:val="32"/>
          <w:highlight w:val="none"/>
        </w:rPr>
      </w:pPr>
    </w:p>
    <w:p w14:paraId="74B6F1ED">
      <w:pPr>
        <w:snapToGrid w:val="0"/>
        <w:spacing w:before="120" w:beforeLines="50" w:after="50"/>
        <w:jc w:val="center"/>
        <w:rPr>
          <w:rFonts w:ascii="宋体" w:hAnsi="宋体" w:cs="宋体"/>
          <w:b/>
          <w:color w:val="auto"/>
          <w:sz w:val="32"/>
          <w:szCs w:val="32"/>
          <w:highlight w:val="none"/>
        </w:rPr>
      </w:pPr>
    </w:p>
    <w:p w14:paraId="23EECF72">
      <w:pPr>
        <w:snapToGrid w:val="0"/>
        <w:spacing w:before="120" w:beforeLines="50" w:after="50"/>
        <w:jc w:val="center"/>
        <w:rPr>
          <w:rFonts w:ascii="宋体" w:hAnsi="宋体" w:cs="宋体"/>
          <w:b/>
          <w:color w:val="auto"/>
          <w:sz w:val="32"/>
          <w:szCs w:val="32"/>
          <w:highlight w:val="none"/>
        </w:rPr>
      </w:pPr>
    </w:p>
    <w:p w14:paraId="0A45C05F">
      <w:pPr>
        <w:snapToGrid w:val="0"/>
        <w:spacing w:before="120" w:beforeLines="50" w:after="50"/>
        <w:jc w:val="center"/>
        <w:rPr>
          <w:rFonts w:ascii="宋体" w:hAnsi="宋体" w:cs="宋体"/>
          <w:b/>
          <w:color w:val="auto"/>
          <w:sz w:val="32"/>
          <w:szCs w:val="32"/>
          <w:highlight w:val="none"/>
        </w:rPr>
      </w:pPr>
    </w:p>
    <w:p w14:paraId="670C6BE6">
      <w:pPr>
        <w:snapToGrid w:val="0"/>
        <w:spacing w:before="120" w:beforeLines="50" w:after="50"/>
        <w:jc w:val="center"/>
        <w:rPr>
          <w:rFonts w:ascii="宋体" w:hAnsi="宋体" w:cs="宋体"/>
          <w:b/>
          <w:color w:val="auto"/>
          <w:sz w:val="32"/>
          <w:szCs w:val="32"/>
          <w:highlight w:val="none"/>
        </w:rPr>
      </w:pPr>
    </w:p>
    <w:p w14:paraId="39C06FCB">
      <w:pPr>
        <w:snapToGrid w:val="0"/>
        <w:spacing w:before="120" w:beforeLines="50" w:after="50"/>
        <w:jc w:val="center"/>
        <w:rPr>
          <w:rFonts w:ascii="宋体" w:hAnsi="宋体" w:cs="宋体"/>
          <w:b/>
          <w:color w:val="auto"/>
          <w:sz w:val="32"/>
          <w:szCs w:val="32"/>
          <w:highlight w:val="none"/>
        </w:rPr>
      </w:pPr>
    </w:p>
    <w:p w14:paraId="6933C991">
      <w:pPr>
        <w:snapToGrid w:val="0"/>
        <w:spacing w:before="120" w:beforeLines="50" w:after="50"/>
        <w:jc w:val="center"/>
        <w:rPr>
          <w:rFonts w:ascii="宋体" w:hAnsi="宋体" w:cs="宋体"/>
          <w:b/>
          <w:color w:val="auto"/>
          <w:sz w:val="32"/>
          <w:szCs w:val="32"/>
          <w:highlight w:val="none"/>
        </w:rPr>
      </w:pPr>
    </w:p>
    <w:p w14:paraId="1BCAED60">
      <w:pPr>
        <w:snapToGrid w:val="0"/>
        <w:spacing w:before="120" w:beforeLines="50" w:after="50"/>
        <w:rPr>
          <w:rFonts w:ascii="宋体" w:hAnsi="宋体" w:cs="宋体"/>
          <w:b/>
          <w:color w:val="auto"/>
          <w:sz w:val="32"/>
          <w:szCs w:val="32"/>
          <w:highlight w:val="none"/>
        </w:rPr>
      </w:pPr>
    </w:p>
    <w:p w14:paraId="23BCDF59">
      <w:pPr>
        <w:snapToGrid w:val="0"/>
        <w:spacing w:before="120" w:beforeLines="50" w:after="50"/>
        <w:jc w:val="both"/>
        <w:rPr>
          <w:rFonts w:hint="eastAsia" w:ascii="宋体" w:hAnsi="宋体" w:cs="宋体"/>
          <w:b/>
          <w:color w:val="auto"/>
          <w:sz w:val="32"/>
          <w:szCs w:val="32"/>
          <w:highlight w:val="none"/>
        </w:rPr>
      </w:pPr>
    </w:p>
    <w:p w14:paraId="3962144F">
      <w:pPr>
        <w:snapToGrid w:val="0"/>
        <w:spacing w:before="120" w:beforeLines="50" w:after="50"/>
        <w:jc w:val="center"/>
        <w:rPr>
          <w:rFonts w:hint="eastAsia" w:ascii="宋体" w:hAnsi="宋体" w:cs="宋体"/>
          <w:b/>
          <w:color w:val="auto"/>
          <w:sz w:val="32"/>
          <w:szCs w:val="32"/>
          <w:highlight w:val="none"/>
        </w:rPr>
      </w:pPr>
    </w:p>
    <w:p w14:paraId="19D4A075">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254620FA">
      <w:pPr>
        <w:snapToGrid w:val="0"/>
        <w:spacing w:before="120" w:beforeLines="50" w:after="50" w:line="360" w:lineRule="auto"/>
        <w:rPr>
          <w:rFonts w:ascii="宋体" w:hAnsi="宋体" w:cs="宋体"/>
          <w:color w:val="auto"/>
          <w:sz w:val="24"/>
          <w:highlight w:val="none"/>
        </w:rPr>
      </w:pPr>
    </w:p>
    <w:p w14:paraId="13FB269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6D2F7F34">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1B135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4164CC4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6A38E52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3B344C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4FBC66">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2492E562">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4224A13">
      <w:pPr>
        <w:pStyle w:val="29"/>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7CD7E4A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039315D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64007E44">
      <w:pPr>
        <w:pStyle w:val="31"/>
        <w:tabs>
          <w:tab w:val="left" w:pos="939"/>
        </w:tabs>
        <w:snapToGrid w:val="0"/>
        <w:spacing w:line="400" w:lineRule="exact"/>
        <w:ind w:left="773" w:leftChars="150" w:hanging="458" w:hangingChars="191"/>
        <w:rPr>
          <w:rFonts w:ascii="宋体" w:hAnsi="宋体" w:cs="宋体"/>
          <w:color w:val="auto"/>
          <w:sz w:val="24"/>
          <w:highlight w:val="none"/>
        </w:rPr>
      </w:pPr>
    </w:p>
    <w:p w14:paraId="0097A0F1">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49D084C">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BC85E70">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08B51D94">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97AB53F">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B81676F">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61B579FE">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56961E26">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5BCBD310">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8F659F3">
      <w:pPr>
        <w:snapToGrid w:val="0"/>
        <w:spacing w:before="120" w:beforeLines="50" w:after="50" w:line="360" w:lineRule="auto"/>
        <w:rPr>
          <w:rFonts w:ascii="宋体" w:hAnsi="宋体" w:cs="宋体"/>
          <w:color w:val="auto"/>
          <w:sz w:val="24"/>
          <w:szCs w:val="20"/>
          <w:highlight w:val="none"/>
        </w:rPr>
      </w:pPr>
    </w:p>
    <w:p w14:paraId="4BC092D8">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2DE991A7">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DF192E3">
      <w:pPr>
        <w:snapToGrid w:val="0"/>
        <w:spacing w:before="120" w:beforeLines="50" w:after="50" w:line="360" w:lineRule="auto"/>
        <w:rPr>
          <w:rFonts w:ascii="宋体" w:hAnsi="宋体" w:cs="宋体"/>
          <w:color w:val="auto"/>
          <w:sz w:val="24"/>
          <w:szCs w:val="20"/>
          <w:highlight w:val="none"/>
        </w:rPr>
      </w:pPr>
    </w:p>
    <w:p w14:paraId="4F5E549E">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5F098019">
      <w:pPr>
        <w:snapToGrid w:val="0"/>
        <w:spacing w:before="120" w:beforeLines="50" w:after="50" w:line="360" w:lineRule="auto"/>
        <w:rPr>
          <w:rFonts w:ascii="宋体" w:hAnsi="宋体" w:cs="宋体"/>
          <w:color w:val="auto"/>
          <w:sz w:val="24"/>
          <w:highlight w:val="none"/>
        </w:rPr>
      </w:pPr>
    </w:p>
    <w:p w14:paraId="38E96F81">
      <w:pPr>
        <w:snapToGrid w:val="0"/>
        <w:spacing w:before="120" w:beforeLines="50" w:after="50" w:line="360" w:lineRule="auto"/>
        <w:rPr>
          <w:rFonts w:ascii="宋体" w:hAnsi="宋体" w:cs="宋体"/>
          <w:color w:val="auto"/>
          <w:sz w:val="24"/>
          <w:highlight w:val="none"/>
        </w:rPr>
      </w:pPr>
    </w:p>
    <w:p w14:paraId="3B2188E3">
      <w:pPr>
        <w:snapToGrid w:val="0"/>
        <w:spacing w:before="120" w:beforeLines="50" w:after="50" w:line="360" w:lineRule="auto"/>
        <w:rPr>
          <w:rFonts w:ascii="宋体" w:hAnsi="宋体" w:cs="宋体"/>
          <w:color w:val="auto"/>
          <w:sz w:val="24"/>
          <w:highlight w:val="none"/>
        </w:rPr>
      </w:pPr>
    </w:p>
    <w:p w14:paraId="5F68D8AD">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14588FB2">
      <w:pPr>
        <w:snapToGrid w:val="0"/>
        <w:spacing w:before="120" w:beforeLines="50" w:after="50" w:line="360" w:lineRule="auto"/>
        <w:rPr>
          <w:rFonts w:ascii="宋体" w:hAnsi="宋体" w:cs="宋体"/>
          <w:color w:val="auto"/>
          <w:sz w:val="24"/>
          <w:szCs w:val="20"/>
          <w:highlight w:val="none"/>
        </w:rPr>
      </w:pPr>
    </w:p>
    <w:p w14:paraId="1BB0597E">
      <w:pPr>
        <w:snapToGrid w:val="0"/>
        <w:spacing w:before="120" w:beforeLines="50" w:after="50" w:line="360" w:lineRule="auto"/>
        <w:rPr>
          <w:rFonts w:ascii="宋体" w:hAnsi="宋体" w:cs="宋体"/>
          <w:color w:val="auto"/>
          <w:sz w:val="24"/>
          <w:szCs w:val="20"/>
          <w:highlight w:val="none"/>
        </w:rPr>
      </w:pPr>
    </w:p>
    <w:p w14:paraId="53C30458">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0A8EDB04">
      <w:pPr>
        <w:pStyle w:val="971"/>
        <w:spacing w:line="360" w:lineRule="auto"/>
        <w:rPr>
          <w:rFonts w:hAnsi="宋体" w:eastAsia="宋体" w:cs="宋体"/>
          <w:color w:val="auto"/>
          <w:sz w:val="24"/>
          <w:highlight w:val="none"/>
        </w:rPr>
      </w:pPr>
    </w:p>
    <w:p w14:paraId="6C7AE8A6">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56BED669">
      <w:pPr>
        <w:spacing w:line="360" w:lineRule="auto"/>
        <w:jc w:val="left"/>
        <w:rPr>
          <w:rFonts w:ascii="宋体" w:hAnsi="宋体" w:cs="宋体"/>
          <w:b/>
          <w:color w:val="auto"/>
          <w:sz w:val="24"/>
          <w:highlight w:val="none"/>
        </w:rPr>
      </w:pPr>
    </w:p>
    <w:p w14:paraId="424F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685301B3">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06C99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1168B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255DE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11B316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4DADF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7E6507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2E1897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1BBF4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78CA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BE83AEC">
      <w:pPr>
        <w:spacing w:line="360" w:lineRule="auto"/>
        <w:ind w:firstLine="480" w:firstLineChars="200"/>
        <w:rPr>
          <w:rFonts w:ascii="宋体" w:hAnsi="宋体" w:cs="宋体"/>
          <w:color w:val="auto"/>
          <w:sz w:val="24"/>
          <w:highlight w:val="none"/>
        </w:rPr>
      </w:pPr>
    </w:p>
    <w:p w14:paraId="12502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0AE4335B">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0C2D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4199838">
      <w:pPr>
        <w:pStyle w:val="971"/>
        <w:spacing w:line="360" w:lineRule="auto"/>
        <w:rPr>
          <w:rFonts w:hAnsi="宋体" w:eastAsia="宋体" w:cs="宋体"/>
          <w:color w:val="auto"/>
          <w:sz w:val="24"/>
          <w:highlight w:val="none"/>
        </w:rPr>
      </w:pPr>
    </w:p>
    <w:p w14:paraId="29F42AD1">
      <w:pPr>
        <w:pStyle w:val="971"/>
        <w:spacing w:line="360" w:lineRule="auto"/>
        <w:rPr>
          <w:rFonts w:hAnsi="宋体" w:eastAsia="宋体" w:cs="宋体"/>
          <w:color w:val="auto"/>
          <w:sz w:val="24"/>
          <w:highlight w:val="none"/>
        </w:rPr>
      </w:pPr>
    </w:p>
    <w:p w14:paraId="07545825">
      <w:pPr>
        <w:pStyle w:val="971"/>
        <w:spacing w:line="360" w:lineRule="auto"/>
        <w:rPr>
          <w:rFonts w:hAnsi="宋体" w:eastAsia="宋体" w:cs="宋体"/>
          <w:color w:val="auto"/>
          <w:sz w:val="24"/>
          <w:highlight w:val="none"/>
        </w:rPr>
      </w:pPr>
    </w:p>
    <w:p w14:paraId="5E012236">
      <w:pPr>
        <w:pStyle w:val="971"/>
        <w:spacing w:line="360" w:lineRule="auto"/>
        <w:rPr>
          <w:rFonts w:hAnsi="宋体" w:eastAsia="宋体" w:cs="宋体"/>
          <w:color w:val="auto"/>
          <w:sz w:val="24"/>
          <w:highlight w:val="none"/>
        </w:rPr>
      </w:pPr>
    </w:p>
    <w:p w14:paraId="5A1BEDE3">
      <w:pPr>
        <w:pStyle w:val="971"/>
        <w:spacing w:line="360" w:lineRule="auto"/>
        <w:rPr>
          <w:rFonts w:hAnsi="宋体" w:eastAsia="宋体" w:cs="宋体"/>
          <w:color w:val="auto"/>
          <w:sz w:val="24"/>
          <w:highlight w:val="none"/>
        </w:rPr>
      </w:pPr>
    </w:p>
    <w:p w14:paraId="55D1C675">
      <w:pPr>
        <w:pStyle w:val="971"/>
        <w:spacing w:line="360" w:lineRule="auto"/>
        <w:rPr>
          <w:rFonts w:hAnsi="宋体" w:eastAsia="宋体" w:cs="宋体"/>
          <w:color w:val="auto"/>
          <w:sz w:val="24"/>
          <w:highlight w:val="none"/>
        </w:rPr>
      </w:pPr>
    </w:p>
    <w:p w14:paraId="509B265B">
      <w:pPr>
        <w:pStyle w:val="971"/>
        <w:spacing w:line="360" w:lineRule="auto"/>
        <w:rPr>
          <w:rFonts w:hAnsi="宋体" w:eastAsia="宋体" w:cs="宋体"/>
          <w:color w:val="auto"/>
          <w:sz w:val="24"/>
          <w:highlight w:val="none"/>
        </w:rPr>
      </w:pPr>
    </w:p>
    <w:p w14:paraId="3DA96DDA">
      <w:pPr>
        <w:pStyle w:val="971"/>
        <w:spacing w:line="360" w:lineRule="auto"/>
        <w:rPr>
          <w:rFonts w:hAnsi="宋体" w:eastAsia="宋体" w:cs="宋体"/>
          <w:color w:val="auto"/>
          <w:sz w:val="24"/>
          <w:highlight w:val="none"/>
        </w:rPr>
      </w:pPr>
    </w:p>
    <w:p w14:paraId="30341EAA">
      <w:pPr>
        <w:pStyle w:val="971"/>
        <w:spacing w:line="360" w:lineRule="auto"/>
        <w:rPr>
          <w:rFonts w:hAnsi="宋体" w:eastAsia="宋体" w:cs="宋体"/>
          <w:color w:val="auto"/>
          <w:sz w:val="24"/>
          <w:highlight w:val="none"/>
        </w:rPr>
      </w:pPr>
    </w:p>
    <w:p w14:paraId="67115A7D">
      <w:pPr>
        <w:pStyle w:val="971"/>
        <w:spacing w:line="360" w:lineRule="auto"/>
        <w:rPr>
          <w:rFonts w:hAnsi="宋体" w:eastAsia="宋体" w:cs="宋体"/>
          <w:b/>
          <w:color w:val="auto"/>
          <w:sz w:val="24"/>
          <w:szCs w:val="24"/>
          <w:highlight w:val="none"/>
        </w:rPr>
      </w:pPr>
    </w:p>
    <w:p w14:paraId="7DA125A8">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3F18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593BFB5">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18C6AE35">
            <w:pPr>
              <w:ind w:firstLine="480"/>
              <w:rPr>
                <w:rFonts w:ascii="宋体" w:hAnsi="宋体" w:cs="宋体"/>
                <w:color w:val="auto"/>
                <w:sz w:val="22"/>
                <w:szCs w:val="28"/>
                <w:highlight w:val="none"/>
              </w:rPr>
            </w:pPr>
          </w:p>
        </w:tc>
      </w:tr>
      <w:tr w14:paraId="72DD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D8CD89">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63D86528">
            <w:pPr>
              <w:ind w:firstLine="480"/>
              <w:rPr>
                <w:rFonts w:ascii="宋体" w:hAnsi="宋体" w:cs="宋体"/>
                <w:color w:val="auto"/>
                <w:sz w:val="22"/>
                <w:szCs w:val="28"/>
                <w:highlight w:val="none"/>
              </w:rPr>
            </w:pPr>
          </w:p>
        </w:tc>
      </w:tr>
      <w:tr w14:paraId="388D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55638559">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5C310520">
            <w:pPr>
              <w:rPr>
                <w:rFonts w:ascii="宋体" w:hAnsi="宋体" w:cs="宋体"/>
                <w:color w:val="auto"/>
                <w:sz w:val="22"/>
                <w:szCs w:val="28"/>
                <w:highlight w:val="none"/>
              </w:rPr>
            </w:pPr>
          </w:p>
        </w:tc>
        <w:tc>
          <w:tcPr>
            <w:tcW w:w="1980" w:type="dxa"/>
            <w:vAlign w:val="center"/>
          </w:tcPr>
          <w:p w14:paraId="59C6BC9B">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58F3C157">
            <w:pPr>
              <w:rPr>
                <w:rFonts w:ascii="宋体" w:hAnsi="宋体" w:cs="宋体"/>
                <w:color w:val="auto"/>
                <w:sz w:val="22"/>
                <w:szCs w:val="28"/>
                <w:highlight w:val="none"/>
              </w:rPr>
            </w:pPr>
          </w:p>
        </w:tc>
      </w:tr>
      <w:tr w14:paraId="0AC7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DC21210">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949F3BD">
            <w:pPr>
              <w:rPr>
                <w:rFonts w:ascii="宋体" w:hAnsi="宋体" w:cs="宋体"/>
                <w:color w:val="auto"/>
                <w:sz w:val="22"/>
                <w:szCs w:val="28"/>
                <w:highlight w:val="none"/>
              </w:rPr>
            </w:pPr>
          </w:p>
        </w:tc>
        <w:tc>
          <w:tcPr>
            <w:tcW w:w="1980" w:type="dxa"/>
            <w:vAlign w:val="center"/>
          </w:tcPr>
          <w:p w14:paraId="41FF2862">
            <w:pPr>
              <w:rPr>
                <w:rFonts w:ascii="宋体" w:hAnsi="宋体" w:cs="宋体"/>
                <w:color w:val="auto"/>
                <w:sz w:val="22"/>
                <w:szCs w:val="28"/>
                <w:highlight w:val="none"/>
              </w:rPr>
            </w:pPr>
          </w:p>
        </w:tc>
        <w:tc>
          <w:tcPr>
            <w:tcW w:w="2241" w:type="dxa"/>
            <w:vAlign w:val="center"/>
          </w:tcPr>
          <w:p w14:paraId="29937663">
            <w:pPr>
              <w:rPr>
                <w:rFonts w:ascii="宋体" w:hAnsi="宋体" w:cs="宋体"/>
                <w:color w:val="auto"/>
                <w:sz w:val="22"/>
                <w:szCs w:val="28"/>
                <w:highlight w:val="none"/>
              </w:rPr>
            </w:pPr>
          </w:p>
        </w:tc>
      </w:tr>
      <w:tr w14:paraId="431C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2ED5519">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339FEB04">
            <w:pPr>
              <w:rPr>
                <w:rFonts w:ascii="宋体" w:hAnsi="宋体" w:cs="宋体"/>
                <w:color w:val="auto"/>
                <w:sz w:val="22"/>
                <w:szCs w:val="28"/>
                <w:highlight w:val="none"/>
              </w:rPr>
            </w:pPr>
          </w:p>
        </w:tc>
        <w:tc>
          <w:tcPr>
            <w:tcW w:w="1980" w:type="dxa"/>
            <w:vAlign w:val="center"/>
          </w:tcPr>
          <w:p w14:paraId="5EAA5113">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618E7D24">
            <w:pPr>
              <w:rPr>
                <w:rFonts w:ascii="宋体" w:hAnsi="宋体" w:cs="宋体"/>
                <w:color w:val="auto"/>
                <w:sz w:val="22"/>
                <w:szCs w:val="28"/>
                <w:highlight w:val="none"/>
              </w:rPr>
            </w:pPr>
          </w:p>
        </w:tc>
      </w:tr>
      <w:tr w14:paraId="4BD8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245EDA98">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3137A9E8">
            <w:pPr>
              <w:rPr>
                <w:rFonts w:ascii="宋体" w:hAnsi="宋体" w:cs="宋体"/>
                <w:color w:val="auto"/>
                <w:sz w:val="22"/>
                <w:szCs w:val="28"/>
                <w:highlight w:val="none"/>
              </w:rPr>
            </w:pPr>
          </w:p>
        </w:tc>
        <w:tc>
          <w:tcPr>
            <w:tcW w:w="1980" w:type="dxa"/>
            <w:vAlign w:val="center"/>
          </w:tcPr>
          <w:p w14:paraId="7D875BD8">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08FE9A5D">
            <w:pPr>
              <w:rPr>
                <w:rFonts w:ascii="宋体" w:hAnsi="宋体" w:cs="宋体"/>
                <w:color w:val="auto"/>
                <w:sz w:val="22"/>
                <w:szCs w:val="28"/>
                <w:highlight w:val="none"/>
              </w:rPr>
            </w:pPr>
          </w:p>
        </w:tc>
      </w:tr>
      <w:tr w14:paraId="2FAF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9C0F7E">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B58F132">
            <w:pPr>
              <w:rPr>
                <w:rFonts w:ascii="宋体" w:hAnsi="宋体" w:cs="宋体"/>
                <w:color w:val="auto"/>
                <w:sz w:val="22"/>
                <w:szCs w:val="28"/>
                <w:highlight w:val="none"/>
              </w:rPr>
            </w:pPr>
          </w:p>
        </w:tc>
        <w:tc>
          <w:tcPr>
            <w:tcW w:w="1980" w:type="dxa"/>
            <w:vAlign w:val="center"/>
          </w:tcPr>
          <w:p w14:paraId="0A01546A">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73A26FCC">
            <w:pPr>
              <w:rPr>
                <w:rFonts w:ascii="宋体" w:hAnsi="宋体" w:cs="宋体"/>
                <w:color w:val="auto"/>
                <w:sz w:val="22"/>
                <w:szCs w:val="28"/>
                <w:highlight w:val="none"/>
              </w:rPr>
            </w:pPr>
          </w:p>
        </w:tc>
      </w:tr>
      <w:tr w14:paraId="3CBE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4DF2F426">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77D5353B">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10E6A36D">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67FB449D">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7A9A9BC7">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274320B4">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669A4A84">
      <w:pPr>
        <w:wordWrap w:val="0"/>
        <w:spacing w:before="120" w:beforeLines="50"/>
        <w:rPr>
          <w:rFonts w:ascii="宋体" w:hAnsi="宋体" w:cs="宋体"/>
          <w:b/>
          <w:bCs/>
          <w:color w:val="auto"/>
          <w:sz w:val="24"/>
          <w:highlight w:val="none"/>
          <w:lang w:bidi="ar"/>
        </w:rPr>
      </w:pPr>
    </w:p>
    <w:p w14:paraId="6C5886D0">
      <w:pPr>
        <w:wordWrap w:val="0"/>
        <w:spacing w:line="360" w:lineRule="auto"/>
        <w:ind w:firstLine="480"/>
        <w:jc w:val="right"/>
        <w:rPr>
          <w:rFonts w:ascii="宋体" w:hAnsi="宋体" w:cs="宋体"/>
          <w:color w:val="auto"/>
          <w:sz w:val="24"/>
          <w:highlight w:val="none"/>
          <w:lang w:bidi="ar"/>
        </w:rPr>
      </w:pPr>
    </w:p>
    <w:p w14:paraId="5DA5BFE2">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3FD674B9">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B0A58C">
      <w:pPr>
        <w:pStyle w:val="971"/>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169D87BD">
      <w:pPr>
        <w:pStyle w:val="971"/>
        <w:spacing w:line="360" w:lineRule="auto"/>
        <w:jc w:val="center"/>
        <w:rPr>
          <w:rFonts w:hAnsi="宋体" w:eastAsia="宋体" w:cs="宋体"/>
          <w:b/>
          <w:color w:val="auto"/>
          <w:sz w:val="24"/>
          <w:szCs w:val="24"/>
          <w:highlight w:val="none"/>
        </w:rPr>
      </w:pPr>
    </w:p>
    <w:p w14:paraId="3ADAEA3C">
      <w:pPr>
        <w:pStyle w:val="971"/>
        <w:spacing w:line="360" w:lineRule="auto"/>
        <w:jc w:val="center"/>
        <w:rPr>
          <w:rFonts w:hAnsi="宋体" w:eastAsia="宋体" w:cs="宋体"/>
          <w:b/>
          <w:color w:val="auto"/>
          <w:sz w:val="24"/>
          <w:szCs w:val="24"/>
          <w:highlight w:val="none"/>
        </w:rPr>
      </w:pPr>
    </w:p>
    <w:p w14:paraId="600B8B38">
      <w:pPr>
        <w:pStyle w:val="971"/>
        <w:spacing w:line="360" w:lineRule="auto"/>
        <w:jc w:val="center"/>
        <w:rPr>
          <w:rFonts w:hAnsi="宋体" w:eastAsia="宋体" w:cs="宋体"/>
          <w:b/>
          <w:color w:val="auto"/>
          <w:sz w:val="24"/>
          <w:szCs w:val="24"/>
          <w:highlight w:val="none"/>
        </w:rPr>
      </w:pPr>
    </w:p>
    <w:p w14:paraId="22604CE3">
      <w:pPr>
        <w:pStyle w:val="971"/>
        <w:spacing w:line="360" w:lineRule="auto"/>
        <w:jc w:val="center"/>
        <w:rPr>
          <w:rFonts w:hAnsi="宋体" w:eastAsia="宋体" w:cs="宋体"/>
          <w:b/>
          <w:color w:val="auto"/>
          <w:sz w:val="24"/>
          <w:szCs w:val="24"/>
          <w:highlight w:val="none"/>
        </w:rPr>
      </w:pPr>
    </w:p>
    <w:p w14:paraId="529C78A4">
      <w:pPr>
        <w:pStyle w:val="971"/>
        <w:spacing w:line="360" w:lineRule="auto"/>
        <w:jc w:val="center"/>
        <w:rPr>
          <w:rFonts w:hAnsi="宋体" w:eastAsia="宋体" w:cs="宋体"/>
          <w:b/>
          <w:color w:val="auto"/>
          <w:sz w:val="24"/>
          <w:szCs w:val="24"/>
          <w:highlight w:val="none"/>
        </w:rPr>
      </w:pPr>
    </w:p>
    <w:p w14:paraId="3065B43A">
      <w:pPr>
        <w:pStyle w:val="971"/>
        <w:spacing w:line="360" w:lineRule="auto"/>
        <w:jc w:val="center"/>
        <w:rPr>
          <w:rFonts w:hAnsi="宋体" w:eastAsia="宋体" w:cs="宋体"/>
          <w:b/>
          <w:color w:val="auto"/>
          <w:sz w:val="24"/>
          <w:szCs w:val="24"/>
          <w:highlight w:val="none"/>
        </w:rPr>
      </w:pPr>
    </w:p>
    <w:p w14:paraId="7E2F3CEE">
      <w:pPr>
        <w:pStyle w:val="971"/>
        <w:spacing w:line="360" w:lineRule="auto"/>
        <w:rPr>
          <w:rFonts w:hAnsi="宋体" w:eastAsia="宋体" w:cs="宋体"/>
          <w:b/>
          <w:color w:val="auto"/>
          <w:sz w:val="24"/>
          <w:szCs w:val="24"/>
          <w:highlight w:val="none"/>
        </w:rPr>
      </w:pPr>
    </w:p>
    <w:p w14:paraId="64DFECE6">
      <w:pPr>
        <w:pStyle w:val="971"/>
        <w:spacing w:line="360" w:lineRule="auto"/>
        <w:jc w:val="both"/>
        <w:rPr>
          <w:rFonts w:hint="eastAsia" w:hAnsi="宋体" w:eastAsia="宋体"/>
          <w:b/>
          <w:color w:val="auto"/>
          <w:sz w:val="21"/>
          <w:szCs w:val="21"/>
          <w:highlight w:val="none"/>
        </w:rPr>
      </w:pPr>
    </w:p>
    <w:p w14:paraId="66FF71B7">
      <w:pPr>
        <w:pStyle w:val="971"/>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同类项目业绩一览表</w:t>
      </w:r>
    </w:p>
    <w:tbl>
      <w:tblPr>
        <w:tblStyle w:val="66"/>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16CA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7144A6E0">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76DA047C">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71EA1599">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4F5066F9">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074EB4EC">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4E1CC449">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784A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6D5F0648">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6AF7851F">
            <w:pPr>
              <w:jc w:val="center"/>
              <w:rPr>
                <w:rFonts w:ascii="宋体" w:hAnsi="宋体"/>
                <w:bCs/>
                <w:color w:val="auto"/>
                <w:szCs w:val="21"/>
                <w:highlight w:val="none"/>
              </w:rPr>
            </w:pPr>
          </w:p>
        </w:tc>
        <w:tc>
          <w:tcPr>
            <w:tcW w:w="2565" w:type="dxa"/>
          </w:tcPr>
          <w:p w14:paraId="42136730">
            <w:pPr>
              <w:jc w:val="center"/>
              <w:rPr>
                <w:rFonts w:ascii="宋体" w:hAnsi="宋体"/>
                <w:bCs/>
                <w:color w:val="auto"/>
                <w:szCs w:val="21"/>
                <w:highlight w:val="none"/>
              </w:rPr>
            </w:pPr>
          </w:p>
        </w:tc>
        <w:tc>
          <w:tcPr>
            <w:tcW w:w="1311" w:type="dxa"/>
          </w:tcPr>
          <w:p w14:paraId="3B8D7014">
            <w:pPr>
              <w:jc w:val="center"/>
              <w:rPr>
                <w:rFonts w:ascii="宋体" w:hAnsi="宋体"/>
                <w:bCs/>
                <w:color w:val="auto"/>
                <w:szCs w:val="21"/>
                <w:highlight w:val="none"/>
              </w:rPr>
            </w:pPr>
          </w:p>
        </w:tc>
        <w:tc>
          <w:tcPr>
            <w:tcW w:w="1311" w:type="dxa"/>
            <w:vAlign w:val="center"/>
          </w:tcPr>
          <w:p w14:paraId="705CD272">
            <w:pPr>
              <w:jc w:val="center"/>
              <w:rPr>
                <w:rFonts w:ascii="宋体" w:hAnsi="宋体"/>
                <w:bCs/>
                <w:color w:val="auto"/>
                <w:szCs w:val="21"/>
                <w:highlight w:val="none"/>
              </w:rPr>
            </w:pPr>
          </w:p>
        </w:tc>
        <w:tc>
          <w:tcPr>
            <w:tcW w:w="1298" w:type="dxa"/>
            <w:vAlign w:val="center"/>
          </w:tcPr>
          <w:p w14:paraId="680AA3AB">
            <w:pPr>
              <w:jc w:val="center"/>
              <w:rPr>
                <w:rFonts w:ascii="宋体" w:hAnsi="宋体"/>
                <w:bCs/>
                <w:color w:val="auto"/>
                <w:szCs w:val="21"/>
                <w:highlight w:val="none"/>
              </w:rPr>
            </w:pPr>
          </w:p>
        </w:tc>
      </w:tr>
      <w:tr w14:paraId="0B9B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5C1C95E6">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059CEED9">
            <w:pPr>
              <w:jc w:val="center"/>
              <w:rPr>
                <w:rFonts w:ascii="宋体" w:hAnsi="宋体"/>
                <w:bCs/>
                <w:color w:val="auto"/>
                <w:szCs w:val="21"/>
                <w:highlight w:val="none"/>
              </w:rPr>
            </w:pPr>
          </w:p>
        </w:tc>
        <w:tc>
          <w:tcPr>
            <w:tcW w:w="2565" w:type="dxa"/>
          </w:tcPr>
          <w:p w14:paraId="38B2047D">
            <w:pPr>
              <w:jc w:val="center"/>
              <w:rPr>
                <w:rFonts w:ascii="宋体" w:hAnsi="宋体"/>
                <w:bCs/>
                <w:color w:val="auto"/>
                <w:szCs w:val="21"/>
                <w:highlight w:val="none"/>
              </w:rPr>
            </w:pPr>
          </w:p>
        </w:tc>
        <w:tc>
          <w:tcPr>
            <w:tcW w:w="1311" w:type="dxa"/>
          </w:tcPr>
          <w:p w14:paraId="24E38821">
            <w:pPr>
              <w:jc w:val="center"/>
              <w:rPr>
                <w:rFonts w:ascii="宋体" w:hAnsi="宋体"/>
                <w:bCs/>
                <w:color w:val="auto"/>
                <w:szCs w:val="21"/>
                <w:highlight w:val="none"/>
              </w:rPr>
            </w:pPr>
          </w:p>
        </w:tc>
        <w:tc>
          <w:tcPr>
            <w:tcW w:w="1311" w:type="dxa"/>
            <w:vAlign w:val="center"/>
          </w:tcPr>
          <w:p w14:paraId="44711E09">
            <w:pPr>
              <w:jc w:val="center"/>
              <w:rPr>
                <w:rFonts w:ascii="宋体" w:hAnsi="宋体"/>
                <w:bCs/>
                <w:color w:val="auto"/>
                <w:szCs w:val="21"/>
                <w:highlight w:val="none"/>
              </w:rPr>
            </w:pPr>
          </w:p>
        </w:tc>
        <w:tc>
          <w:tcPr>
            <w:tcW w:w="1298" w:type="dxa"/>
            <w:vAlign w:val="center"/>
          </w:tcPr>
          <w:p w14:paraId="50729750">
            <w:pPr>
              <w:jc w:val="center"/>
              <w:rPr>
                <w:rFonts w:ascii="宋体" w:hAnsi="宋体"/>
                <w:bCs/>
                <w:color w:val="auto"/>
                <w:szCs w:val="21"/>
                <w:highlight w:val="none"/>
              </w:rPr>
            </w:pPr>
          </w:p>
        </w:tc>
      </w:tr>
      <w:tr w14:paraId="07C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F6CE452">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7914C278">
            <w:pPr>
              <w:jc w:val="center"/>
              <w:rPr>
                <w:rFonts w:ascii="宋体" w:hAnsi="宋体"/>
                <w:bCs/>
                <w:color w:val="auto"/>
                <w:szCs w:val="21"/>
                <w:highlight w:val="none"/>
              </w:rPr>
            </w:pPr>
          </w:p>
        </w:tc>
        <w:tc>
          <w:tcPr>
            <w:tcW w:w="2565" w:type="dxa"/>
          </w:tcPr>
          <w:p w14:paraId="16473160">
            <w:pPr>
              <w:jc w:val="center"/>
              <w:rPr>
                <w:rFonts w:ascii="宋体" w:hAnsi="宋体"/>
                <w:bCs/>
                <w:color w:val="auto"/>
                <w:szCs w:val="21"/>
                <w:highlight w:val="none"/>
              </w:rPr>
            </w:pPr>
          </w:p>
        </w:tc>
        <w:tc>
          <w:tcPr>
            <w:tcW w:w="1311" w:type="dxa"/>
          </w:tcPr>
          <w:p w14:paraId="1C578BA8">
            <w:pPr>
              <w:jc w:val="center"/>
              <w:rPr>
                <w:rFonts w:ascii="宋体" w:hAnsi="宋体"/>
                <w:bCs/>
                <w:color w:val="auto"/>
                <w:szCs w:val="21"/>
                <w:highlight w:val="none"/>
              </w:rPr>
            </w:pPr>
          </w:p>
        </w:tc>
        <w:tc>
          <w:tcPr>
            <w:tcW w:w="1311" w:type="dxa"/>
            <w:vAlign w:val="center"/>
          </w:tcPr>
          <w:p w14:paraId="7E6C451A">
            <w:pPr>
              <w:jc w:val="center"/>
              <w:rPr>
                <w:rFonts w:ascii="宋体" w:hAnsi="宋体"/>
                <w:bCs/>
                <w:color w:val="auto"/>
                <w:szCs w:val="21"/>
                <w:highlight w:val="none"/>
              </w:rPr>
            </w:pPr>
          </w:p>
        </w:tc>
        <w:tc>
          <w:tcPr>
            <w:tcW w:w="1298" w:type="dxa"/>
            <w:vAlign w:val="center"/>
          </w:tcPr>
          <w:p w14:paraId="572943EC">
            <w:pPr>
              <w:jc w:val="center"/>
              <w:rPr>
                <w:rFonts w:ascii="宋体" w:hAnsi="宋体"/>
                <w:bCs/>
                <w:color w:val="auto"/>
                <w:szCs w:val="21"/>
                <w:highlight w:val="none"/>
              </w:rPr>
            </w:pPr>
          </w:p>
        </w:tc>
      </w:tr>
      <w:tr w14:paraId="49F0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8ED391B">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43644389">
            <w:pPr>
              <w:jc w:val="center"/>
              <w:rPr>
                <w:rFonts w:ascii="宋体" w:hAnsi="宋体"/>
                <w:bCs/>
                <w:color w:val="auto"/>
                <w:szCs w:val="21"/>
                <w:highlight w:val="none"/>
              </w:rPr>
            </w:pPr>
          </w:p>
        </w:tc>
        <w:tc>
          <w:tcPr>
            <w:tcW w:w="2565" w:type="dxa"/>
          </w:tcPr>
          <w:p w14:paraId="48FB76FD">
            <w:pPr>
              <w:jc w:val="center"/>
              <w:rPr>
                <w:rFonts w:ascii="宋体" w:hAnsi="宋体"/>
                <w:bCs/>
                <w:color w:val="auto"/>
                <w:szCs w:val="21"/>
                <w:highlight w:val="none"/>
              </w:rPr>
            </w:pPr>
          </w:p>
        </w:tc>
        <w:tc>
          <w:tcPr>
            <w:tcW w:w="1311" w:type="dxa"/>
          </w:tcPr>
          <w:p w14:paraId="08F530F1">
            <w:pPr>
              <w:jc w:val="center"/>
              <w:rPr>
                <w:rFonts w:ascii="宋体" w:hAnsi="宋体"/>
                <w:bCs/>
                <w:color w:val="auto"/>
                <w:szCs w:val="21"/>
                <w:highlight w:val="none"/>
              </w:rPr>
            </w:pPr>
          </w:p>
        </w:tc>
        <w:tc>
          <w:tcPr>
            <w:tcW w:w="1311" w:type="dxa"/>
            <w:vAlign w:val="center"/>
          </w:tcPr>
          <w:p w14:paraId="67AD9F83">
            <w:pPr>
              <w:jc w:val="center"/>
              <w:rPr>
                <w:rFonts w:ascii="宋体" w:hAnsi="宋体"/>
                <w:bCs/>
                <w:color w:val="auto"/>
                <w:szCs w:val="21"/>
                <w:highlight w:val="none"/>
              </w:rPr>
            </w:pPr>
          </w:p>
        </w:tc>
        <w:tc>
          <w:tcPr>
            <w:tcW w:w="1298" w:type="dxa"/>
            <w:vAlign w:val="center"/>
          </w:tcPr>
          <w:p w14:paraId="2E1325E9">
            <w:pPr>
              <w:jc w:val="center"/>
              <w:rPr>
                <w:rFonts w:ascii="宋体" w:hAnsi="宋体"/>
                <w:bCs/>
                <w:color w:val="auto"/>
                <w:szCs w:val="21"/>
                <w:highlight w:val="none"/>
              </w:rPr>
            </w:pPr>
          </w:p>
        </w:tc>
      </w:tr>
      <w:tr w14:paraId="09A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34EC28FD">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2ED2C7A3">
            <w:pPr>
              <w:jc w:val="center"/>
              <w:rPr>
                <w:rFonts w:ascii="宋体" w:hAnsi="宋体"/>
                <w:bCs/>
                <w:color w:val="auto"/>
                <w:szCs w:val="21"/>
                <w:highlight w:val="none"/>
              </w:rPr>
            </w:pPr>
          </w:p>
        </w:tc>
        <w:tc>
          <w:tcPr>
            <w:tcW w:w="2565" w:type="dxa"/>
          </w:tcPr>
          <w:p w14:paraId="727B2F21">
            <w:pPr>
              <w:jc w:val="center"/>
              <w:rPr>
                <w:rFonts w:ascii="宋体" w:hAnsi="宋体"/>
                <w:bCs/>
                <w:color w:val="auto"/>
                <w:szCs w:val="21"/>
                <w:highlight w:val="none"/>
              </w:rPr>
            </w:pPr>
          </w:p>
        </w:tc>
        <w:tc>
          <w:tcPr>
            <w:tcW w:w="1311" w:type="dxa"/>
          </w:tcPr>
          <w:p w14:paraId="1CBF9C8B">
            <w:pPr>
              <w:jc w:val="center"/>
              <w:rPr>
                <w:rFonts w:ascii="宋体" w:hAnsi="宋体"/>
                <w:bCs/>
                <w:color w:val="auto"/>
                <w:szCs w:val="21"/>
                <w:highlight w:val="none"/>
              </w:rPr>
            </w:pPr>
          </w:p>
        </w:tc>
        <w:tc>
          <w:tcPr>
            <w:tcW w:w="1311" w:type="dxa"/>
            <w:vAlign w:val="center"/>
          </w:tcPr>
          <w:p w14:paraId="1D33CE01">
            <w:pPr>
              <w:jc w:val="center"/>
              <w:rPr>
                <w:rFonts w:ascii="宋体" w:hAnsi="宋体"/>
                <w:bCs/>
                <w:color w:val="auto"/>
                <w:szCs w:val="21"/>
                <w:highlight w:val="none"/>
              </w:rPr>
            </w:pPr>
          </w:p>
        </w:tc>
        <w:tc>
          <w:tcPr>
            <w:tcW w:w="1298" w:type="dxa"/>
            <w:vAlign w:val="center"/>
          </w:tcPr>
          <w:p w14:paraId="73ED3F6C">
            <w:pPr>
              <w:jc w:val="center"/>
              <w:rPr>
                <w:rFonts w:ascii="宋体" w:hAnsi="宋体"/>
                <w:bCs/>
                <w:color w:val="auto"/>
                <w:szCs w:val="21"/>
                <w:highlight w:val="none"/>
              </w:rPr>
            </w:pPr>
          </w:p>
        </w:tc>
      </w:tr>
      <w:tr w14:paraId="77FF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537C4A1">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38EC0899">
            <w:pPr>
              <w:jc w:val="center"/>
              <w:rPr>
                <w:rFonts w:ascii="宋体" w:hAnsi="宋体"/>
                <w:color w:val="auto"/>
                <w:szCs w:val="21"/>
                <w:highlight w:val="none"/>
              </w:rPr>
            </w:pPr>
          </w:p>
        </w:tc>
        <w:tc>
          <w:tcPr>
            <w:tcW w:w="2565" w:type="dxa"/>
          </w:tcPr>
          <w:p w14:paraId="697E6548">
            <w:pPr>
              <w:jc w:val="center"/>
              <w:rPr>
                <w:rFonts w:ascii="宋体" w:hAnsi="宋体"/>
                <w:color w:val="auto"/>
                <w:szCs w:val="21"/>
                <w:highlight w:val="none"/>
              </w:rPr>
            </w:pPr>
          </w:p>
        </w:tc>
        <w:tc>
          <w:tcPr>
            <w:tcW w:w="1311" w:type="dxa"/>
          </w:tcPr>
          <w:p w14:paraId="53584834">
            <w:pPr>
              <w:jc w:val="center"/>
              <w:rPr>
                <w:rFonts w:ascii="宋体" w:hAnsi="宋体"/>
                <w:color w:val="auto"/>
                <w:szCs w:val="21"/>
                <w:highlight w:val="none"/>
              </w:rPr>
            </w:pPr>
          </w:p>
        </w:tc>
        <w:tc>
          <w:tcPr>
            <w:tcW w:w="1311" w:type="dxa"/>
            <w:vAlign w:val="center"/>
          </w:tcPr>
          <w:p w14:paraId="3EF8345A">
            <w:pPr>
              <w:jc w:val="center"/>
              <w:rPr>
                <w:rFonts w:ascii="宋体" w:hAnsi="宋体"/>
                <w:color w:val="auto"/>
                <w:szCs w:val="21"/>
                <w:highlight w:val="none"/>
              </w:rPr>
            </w:pPr>
          </w:p>
        </w:tc>
        <w:tc>
          <w:tcPr>
            <w:tcW w:w="1298" w:type="dxa"/>
            <w:vAlign w:val="center"/>
          </w:tcPr>
          <w:p w14:paraId="640717AD">
            <w:pPr>
              <w:jc w:val="center"/>
              <w:rPr>
                <w:rFonts w:ascii="宋体" w:hAnsi="宋体"/>
                <w:color w:val="auto"/>
                <w:szCs w:val="21"/>
                <w:highlight w:val="none"/>
              </w:rPr>
            </w:pPr>
          </w:p>
        </w:tc>
      </w:tr>
      <w:tr w14:paraId="2757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CFDD015">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42F0C37D">
            <w:pPr>
              <w:jc w:val="center"/>
              <w:rPr>
                <w:rFonts w:ascii="宋体" w:hAnsi="宋体"/>
                <w:color w:val="auto"/>
                <w:szCs w:val="21"/>
                <w:highlight w:val="none"/>
              </w:rPr>
            </w:pPr>
          </w:p>
        </w:tc>
        <w:tc>
          <w:tcPr>
            <w:tcW w:w="2565" w:type="dxa"/>
          </w:tcPr>
          <w:p w14:paraId="6B5DAE19">
            <w:pPr>
              <w:jc w:val="center"/>
              <w:rPr>
                <w:rFonts w:ascii="宋体" w:hAnsi="宋体"/>
                <w:color w:val="auto"/>
                <w:szCs w:val="21"/>
                <w:highlight w:val="none"/>
              </w:rPr>
            </w:pPr>
          </w:p>
        </w:tc>
        <w:tc>
          <w:tcPr>
            <w:tcW w:w="1311" w:type="dxa"/>
          </w:tcPr>
          <w:p w14:paraId="3F948682">
            <w:pPr>
              <w:jc w:val="center"/>
              <w:rPr>
                <w:rFonts w:ascii="宋体" w:hAnsi="宋体"/>
                <w:color w:val="auto"/>
                <w:szCs w:val="21"/>
                <w:highlight w:val="none"/>
              </w:rPr>
            </w:pPr>
          </w:p>
        </w:tc>
        <w:tc>
          <w:tcPr>
            <w:tcW w:w="1311" w:type="dxa"/>
            <w:vAlign w:val="center"/>
          </w:tcPr>
          <w:p w14:paraId="530B77F0">
            <w:pPr>
              <w:jc w:val="center"/>
              <w:rPr>
                <w:rFonts w:ascii="宋体" w:hAnsi="宋体"/>
                <w:color w:val="auto"/>
                <w:szCs w:val="21"/>
                <w:highlight w:val="none"/>
              </w:rPr>
            </w:pPr>
          </w:p>
        </w:tc>
        <w:tc>
          <w:tcPr>
            <w:tcW w:w="1298" w:type="dxa"/>
            <w:vAlign w:val="center"/>
          </w:tcPr>
          <w:p w14:paraId="072A2967">
            <w:pPr>
              <w:jc w:val="center"/>
              <w:rPr>
                <w:rFonts w:ascii="宋体" w:hAnsi="宋体"/>
                <w:color w:val="auto"/>
                <w:szCs w:val="21"/>
                <w:highlight w:val="none"/>
              </w:rPr>
            </w:pPr>
          </w:p>
        </w:tc>
      </w:tr>
    </w:tbl>
    <w:p w14:paraId="096C8E68">
      <w:pPr>
        <w:pStyle w:val="971"/>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注：投标人同类项目业绩得分以本表为准，后附相关证明材料，所需的证明材料要求详见评标办法。</w:t>
      </w:r>
    </w:p>
    <w:p w14:paraId="4D74CA37">
      <w:pPr>
        <w:pStyle w:val="971"/>
        <w:spacing w:line="360" w:lineRule="auto"/>
        <w:rPr>
          <w:rFonts w:hAnsi="宋体" w:eastAsia="宋体"/>
          <w:b/>
          <w:color w:val="auto"/>
          <w:sz w:val="24"/>
          <w:szCs w:val="24"/>
          <w:highlight w:val="none"/>
        </w:rPr>
      </w:pPr>
    </w:p>
    <w:p w14:paraId="0AF1CC63">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53BDEB4C">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AF5078">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BEB344B">
      <w:pPr>
        <w:spacing w:line="360" w:lineRule="auto"/>
        <w:rPr>
          <w:rFonts w:ascii="宋体" w:hAnsi="宋体" w:cs="宋体"/>
          <w:color w:val="auto"/>
          <w:sz w:val="24"/>
          <w:highlight w:val="none"/>
        </w:rPr>
      </w:pPr>
    </w:p>
    <w:p w14:paraId="124C1702">
      <w:pPr>
        <w:pStyle w:val="3"/>
        <w:rPr>
          <w:rFonts w:ascii="宋体" w:hAnsi="宋体" w:cs="宋体"/>
          <w:color w:val="auto"/>
          <w:sz w:val="24"/>
          <w:highlight w:val="none"/>
        </w:rPr>
      </w:pPr>
    </w:p>
    <w:p w14:paraId="4A6BE54A">
      <w:pPr>
        <w:rPr>
          <w:color w:val="auto"/>
          <w:highlight w:val="none"/>
        </w:rPr>
      </w:pPr>
    </w:p>
    <w:p w14:paraId="0D14F95A">
      <w:pPr>
        <w:pStyle w:val="89"/>
        <w:ind w:left="420" w:firstLine="480"/>
        <w:rPr>
          <w:color w:val="auto"/>
          <w:highlight w:val="none"/>
        </w:rPr>
      </w:pPr>
    </w:p>
    <w:p w14:paraId="4CFDFBC0">
      <w:pPr>
        <w:pStyle w:val="971"/>
        <w:spacing w:line="360" w:lineRule="auto"/>
        <w:jc w:val="center"/>
        <w:rPr>
          <w:rFonts w:hAnsi="宋体" w:eastAsia="宋体"/>
          <w:b/>
          <w:color w:val="auto"/>
          <w:sz w:val="28"/>
          <w:szCs w:val="28"/>
          <w:highlight w:val="none"/>
        </w:rPr>
      </w:pPr>
    </w:p>
    <w:p w14:paraId="79D021B8">
      <w:pPr>
        <w:pStyle w:val="36"/>
        <w:spacing w:before="120" w:after="120" w:line="360" w:lineRule="auto"/>
        <w:jc w:val="center"/>
        <w:textAlignment w:val="baseline"/>
        <w:rPr>
          <w:rFonts w:hAnsi="宋体"/>
          <w:b/>
          <w:color w:val="auto"/>
          <w:sz w:val="28"/>
          <w:szCs w:val="28"/>
          <w:highlight w:val="none"/>
        </w:rPr>
      </w:pPr>
    </w:p>
    <w:p w14:paraId="19EF94D5">
      <w:pPr>
        <w:pStyle w:val="36"/>
        <w:spacing w:before="120" w:after="120" w:line="360" w:lineRule="auto"/>
        <w:jc w:val="both"/>
        <w:textAlignment w:val="baseline"/>
        <w:rPr>
          <w:rFonts w:hint="eastAsia" w:hAnsi="宋体"/>
          <w:b/>
          <w:color w:val="auto"/>
          <w:sz w:val="28"/>
          <w:szCs w:val="28"/>
          <w:highlight w:val="none"/>
        </w:rPr>
      </w:pPr>
    </w:p>
    <w:p w14:paraId="6DB819A1">
      <w:pPr>
        <w:pStyle w:val="36"/>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14:paraId="5C48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78CF1B48">
            <w:pPr>
              <w:pStyle w:val="4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4833E950">
            <w:pPr>
              <w:pStyle w:val="42"/>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5968F4BF">
            <w:pPr>
              <w:pStyle w:val="42"/>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06D11D14">
            <w:pPr>
              <w:pStyle w:val="42"/>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14:paraId="075A1577">
            <w:pPr>
              <w:pStyle w:val="42"/>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14:paraId="48E5A95B">
            <w:pPr>
              <w:pStyle w:val="42"/>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10250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18FA861">
            <w:pPr>
              <w:pStyle w:val="4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288716A5">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9FD89E4">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4914DFA">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5146F791">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1D627AE">
            <w:pPr>
              <w:pStyle w:val="42"/>
              <w:jc w:val="center"/>
              <w:rPr>
                <w:rFonts w:ascii="宋体" w:hAnsi="宋体"/>
                <w:color w:val="auto"/>
                <w:sz w:val="21"/>
                <w:szCs w:val="21"/>
                <w:highlight w:val="none"/>
              </w:rPr>
            </w:pPr>
          </w:p>
        </w:tc>
      </w:tr>
      <w:tr w14:paraId="3556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AE82964">
            <w:pPr>
              <w:pStyle w:val="4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381A2BAA">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269C3FC">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AA0CD39">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4D962B4B">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1E8C3C2C">
            <w:pPr>
              <w:pStyle w:val="42"/>
              <w:jc w:val="center"/>
              <w:rPr>
                <w:rFonts w:ascii="宋体" w:hAnsi="宋体"/>
                <w:color w:val="auto"/>
                <w:sz w:val="21"/>
                <w:szCs w:val="21"/>
                <w:highlight w:val="none"/>
              </w:rPr>
            </w:pPr>
          </w:p>
        </w:tc>
      </w:tr>
      <w:tr w14:paraId="253D3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40CDD06">
            <w:pPr>
              <w:pStyle w:val="4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77F12540">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29A5453">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48B784B">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01AA110F">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E30759E">
            <w:pPr>
              <w:pStyle w:val="42"/>
              <w:jc w:val="center"/>
              <w:rPr>
                <w:rFonts w:ascii="宋体" w:hAnsi="宋体"/>
                <w:color w:val="auto"/>
                <w:sz w:val="21"/>
                <w:szCs w:val="21"/>
                <w:highlight w:val="none"/>
              </w:rPr>
            </w:pPr>
          </w:p>
        </w:tc>
      </w:tr>
      <w:tr w14:paraId="0E00D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75DBB25">
            <w:pPr>
              <w:pStyle w:val="42"/>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5CF18EEF">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EAE36CD">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4C60A41">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8C62F02">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05E3993">
            <w:pPr>
              <w:pStyle w:val="42"/>
              <w:jc w:val="center"/>
              <w:rPr>
                <w:rFonts w:ascii="宋体" w:hAnsi="宋体"/>
                <w:color w:val="auto"/>
                <w:sz w:val="21"/>
                <w:szCs w:val="21"/>
                <w:highlight w:val="none"/>
              </w:rPr>
            </w:pPr>
          </w:p>
        </w:tc>
      </w:tr>
      <w:tr w14:paraId="4487E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82A22E5">
            <w:pPr>
              <w:pStyle w:val="42"/>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62482E4D">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1B056C8">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EFB8606">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0C28F795">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0E2ADDE">
            <w:pPr>
              <w:pStyle w:val="42"/>
              <w:jc w:val="center"/>
              <w:rPr>
                <w:rFonts w:ascii="宋体" w:hAnsi="宋体"/>
                <w:color w:val="auto"/>
                <w:sz w:val="21"/>
                <w:szCs w:val="21"/>
                <w:highlight w:val="none"/>
              </w:rPr>
            </w:pPr>
          </w:p>
        </w:tc>
      </w:tr>
      <w:tr w14:paraId="7704C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0C8A56E">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716F47C7">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89DA9D8">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C057CF8">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3069FE1">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66349C20">
            <w:pPr>
              <w:rPr>
                <w:rFonts w:ascii="宋体" w:hAnsi="宋体"/>
                <w:color w:val="auto"/>
                <w:szCs w:val="21"/>
                <w:highlight w:val="none"/>
              </w:rPr>
            </w:pPr>
          </w:p>
        </w:tc>
      </w:tr>
    </w:tbl>
    <w:p w14:paraId="067430C1">
      <w:pPr>
        <w:spacing w:line="360" w:lineRule="auto"/>
        <w:ind w:firstLine="422" w:firstLineChars="200"/>
        <w:rPr>
          <w:rFonts w:ascii="宋体" w:hAnsi="宋体"/>
          <w:b/>
          <w:color w:val="auto"/>
          <w:szCs w:val="21"/>
          <w:highlight w:val="none"/>
        </w:rPr>
      </w:pPr>
    </w:p>
    <w:p w14:paraId="011CD194">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14:paraId="1C44F8AB">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2、表格不够填写可添加</w:t>
      </w:r>
      <w:r>
        <w:rPr>
          <w:rFonts w:hint="eastAsia" w:ascii="宋体" w:hAnsi="宋体"/>
          <w:b/>
          <w:color w:val="auto"/>
          <w:szCs w:val="21"/>
          <w:highlight w:val="none"/>
          <w:lang w:eastAsia="zh-CN"/>
        </w:rPr>
        <w:t>。</w:t>
      </w:r>
    </w:p>
    <w:p w14:paraId="16937C5F">
      <w:pPr>
        <w:snapToGrid w:val="0"/>
        <w:spacing w:before="50" w:after="50" w:line="360" w:lineRule="auto"/>
        <w:rPr>
          <w:rFonts w:ascii="宋体" w:hAnsi="宋体"/>
          <w:color w:val="auto"/>
          <w:sz w:val="24"/>
          <w:highlight w:val="none"/>
        </w:rPr>
      </w:pPr>
    </w:p>
    <w:p w14:paraId="19472E0B">
      <w:pPr>
        <w:snapToGrid w:val="0"/>
        <w:spacing w:before="50" w:after="50" w:line="360" w:lineRule="auto"/>
        <w:rPr>
          <w:rFonts w:ascii="宋体" w:hAnsi="宋体"/>
          <w:color w:val="auto"/>
          <w:sz w:val="24"/>
          <w:highlight w:val="none"/>
        </w:rPr>
      </w:pPr>
    </w:p>
    <w:p w14:paraId="650C0FC9">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A03B8F9">
      <w:pPr>
        <w:pStyle w:val="89"/>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5FE4A65D">
      <w:pPr>
        <w:pStyle w:val="89"/>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073EDAB9">
      <w:pPr>
        <w:pStyle w:val="89"/>
        <w:ind w:left="420" w:firstLine="0" w:firstLineChars="0"/>
        <w:rPr>
          <w:rFonts w:ascii="宋体" w:hAnsi="宋体"/>
          <w:b/>
          <w:color w:val="auto"/>
          <w:sz w:val="28"/>
          <w:szCs w:val="28"/>
          <w:highlight w:val="none"/>
        </w:rPr>
      </w:pPr>
    </w:p>
    <w:p w14:paraId="29F5E9FF">
      <w:pPr>
        <w:widowControl/>
        <w:jc w:val="center"/>
        <w:rPr>
          <w:rFonts w:ascii="宋体" w:hAnsi="宋体" w:cs="宋体"/>
          <w:b/>
          <w:color w:val="auto"/>
          <w:kern w:val="0"/>
          <w:sz w:val="24"/>
          <w:highlight w:val="none"/>
          <w:lang w:bidi="ar"/>
        </w:rPr>
      </w:pPr>
    </w:p>
    <w:p w14:paraId="3F668D1C">
      <w:pPr>
        <w:widowControl/>
        <w:jc w:val="center"/>
        <w:rPr>
          <w:rFonts w:ascii="宋体" w:hAnsi="宋体" w:cs="宋体"/>
          <w:b/>
          <w:color w:val="auto"/>
          <w:kern w:val="0"/>
          <w:sz w:val="24"/>
          <w:highlight w:val="none"/>
          <w:lang w:bidi="ar"/>
        </w:rPr>
      </w:pPr>
    </w:p>
    <w:p w14:paraId="484C9AF6">
      <w:pPr>
        <w:widowControl/>
        <w:jc w:val="center"/>
        <w:rPr>
          <w:rFonts w:ascii="宋体" w:hAnsi="宋体" w:cs="宋体"/>
          <w:b/>
          <w:color w:val="auto"/>
          <w:kern w:val="0"/>
          <w:sz w:val="24"/>
          <w:highlight w:val="none"/>
          <w:lang w:bidi="ar"/>
        </w:rPr>
      </w:pPr>
    </w:p>
    <w:p w14:paraId="6D376E93">
      <w:pPr>
        <w:widowControl/>
        <w:jc w:val="center"/>
        <w:rPr>
          <w:rFonts w:ascii="宋体" w:hAnsi="宋体" w:cs="宋体"/>
          <w:b/>
          <w:color w:val="auto"/>
          <w:kern w:val="0"/>
          <w:sz w:val="24"/>
          <w:highlight w:val="none"/>
          <w:lang w:bidi="ar"/>
        </w:rPr>
      </w:pPr>
    </w:p>
    <w:p w14:paraId="3DFCC9D4">
      <w:pPr>
        <w:widowControl/>
        <w:jc w:val="center"/>
        <w:rPr>
          <w:rFonts w:ascii="宋体" w:hAnsi="宋体" w:cs="宋体"/>
          <w:b/>
          <w:color w:val="auto"/>
          <w:kern w:val="0"/>
          <w:sz w:val="24"/>
          <w:highlight w:val="none"/>
          <w:lang w:bidi="ar"/>
        </w:rPr>
      </w:pPr>
    </w:p>
    <w:p w14:paraId="0B58D3E4">
      <w:pPr>
        <w:widowControl/>
        <w:jc w:val="center"/>
        <w:rPr>
          <w:rFonts w:ascii="宋体" w:hAnsi="宋体" w:cs="宋体"/>
          <w:b/>
          <w:color w:val="auto"/>
          <w:kern w:val="0"/>
          <w:sz w:val="24"/>
          <w:highlight w:val="none"/>
          <w:lang w:bidi="ar"/>
        </w:rPr>
      </w:pPr>
    </w:p>
    <w:p w14:paraId="34089479">
      <w:pPr>
        <w:widowControl/>
        <w:jc w:val="center"/>
        <w:rPr>
          <w:rFonts w:ascii="宋体" w:hAnsi="宋体" w:cs="宋体"/>
          <w:b/>
          <w:color w:val="auto"/>
          <w:kern w:val="0"/>
          <w:sz w:val="24"/>
          <w:highlight w:val="none"/>
          <w:lang w:bidi="ar"/>
        </w:rPr>
      </w:pPr>
    </w:p>
    <w:p w14:paraId="64894CA7">
      <w:pPr>
        <w:widowControl/>
        <w:jc w:val="center"/>
        <w:rPr>
          <w:rFonts w:ascii="宋体" w:hAnsi="宋体" w:cs="宋体"/>
          <w:b/>
          <w:color w:val="auto"/>
          <w:kern w:val="0"/>
          <w:sz w:val="24"/>
          <w:highlight w:val="none"/>
          <w:lang w:bidi="ar"/>
        </w:rPr>
      </w:pPr>
    </w:p>
    <w:p w14:paraId="48B97855">
      <w:pPr>
        <w:widowControl/>
        <w:jc w:val="center"/>
        <w:rPr>
          <w:rFonts w:ascii="宋体" w:hAnsi="宋体" w:cs="宋体"/>
          <w:b/>
          <w:color w:val="auto"/>
          <w:kern w:val="0"/>
          <w:sz w:val="24"/>
          <w:highlight w:val="none"/>
          <w:lang w:bidi="ar"/>
        </w:rPr>
      </w:pPr>
    </w:p>
    <w:p w14:paraId="1715F968">
      <w:pPr>
        <w:widowControl/>
        <w:jc w:val="center"/>
        <w:rPr>
          <w:rFonts w:ascii="宋体" w:hAnsi="宋体" w:cs="宋体"/>
          <w:b/>
          <w:color w:val="auto"/>
          <w:kern w:val="0"/>
          <w:sz w:val="24"/>
          <w:highlight w:val="none"/>
          <w:lang w:bidi="ar"/>
        </w:rPr>
      </w:pPr>
    </w:p>
    <w:p w14:paraId="71C729D6">
      <w:pPr>
        <w:widowControl/>
        <w:jc w:val="center"/>
        <w:rPr>
          <w:rFonts w:ascii="宋体" w:hAnsi="宋体" w:cs="宋体"/>
          <w:b/>
          <w:color w:val="auto"/>
          <w:kern w:val="0"/>
          <w:sz w:val="24"/>
          <w:highlight w:val="none"/>
          <w:lang w:bidi="ar"/>
        </w:rPr>
      </w:pPr>
    </w:p>
    <w:p w14:paraId="7BA283CB">
      <w:pPr>
        <w:widowControl/>
        <w:jc w:val="center"/>
        <w:rPr>
          <w:rFonts w:ascii="宋体" w:hAnsi="宋体" w:cs="宋体"/>
          <w:b/>
          <w:color w:val="auto"/>
          <w:kern w:val="0"/>
          <w:sz w:val="24"/>
          <w:highlight w:val="none"/>
          <w:lang w:bidi="ar"/>
        </w:rPr>
      </w:pPr>
    </w:p>
    <w:p w14:paraId="7F151089">
      <w:pPr>
        <w:widowControl/>
        <w:jc w:val="both"/>
        <w:rPr>
          <w:rFonts w:ascii="宋体" w:hAnsi="宋体" w:cs="宋体"/>
          <w:b/>
          <w:color w:val="auto"/>
          <w:kern w:val="0"/>
          <w:sz w:val="24"/>
          <w:highlight w:val="none"/>
          <w:lang w:bidi="ar"/>
        </w:rPr>
      </w:pPr>
    </w:p>
    <w:p w14:paraId="59E7A634">
      <w:pPr>
        <w:spacing w:line="360" w:lineRule="auto"/>
        <w:rPr>
          <w:b/>
          <w:color w:val="auto"/>
          <w:sz w:val="24"/>
          <w:highlight w:val="none"/>
        </w:rPr>
      </w:pPr>
    </w:p>
    <w:p w14:paraId="140720B7">
      <w:pPr>
        <w:spacing w:line="480" w:lineRule="exact"/>
        <w:jc w:val="center"/>
        <w:rPr>
          <w:rFonts w:hint="eastAsia"/>
          <w:b/>
          <w:color w:val="auto"/>
          <w:sz w:val="28"/>
          <w:highlight w:val="none"/>
        </w:rPr>
      </w:pPr>
    </w:p>
    <w:p w14:paraId="467CE96B">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6"/>
        <w:tblpPr w:leftFromText="180" w:rightFromText="180" w:vertAnchor="text" w:horzAnchor="page" w:tblpX="705" w:tblpY="208"/>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1893"/>
        <w:gridCol w:w="1153"/>
        <w:gridCol w:w="993"/>
      </w:tblGrid>
      <w:tr w14:paraId="4394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262FD3C1">
            <w:pPr>
              <w:pStyle w:val="36"/>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44177A39">
            <w:pPr>
              <w:pStyle w:val="36"/>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4315"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12B3A1C9">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1D8B1089">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A74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289E1">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14:paraId="61D180E5">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14:paraId="3776C09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14:paraId="3348FC10">
            <w:pPr>
              <w:pStyle w:val="36"/>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14:paraId="79F2AA9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14:paraId="0089211F">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14:paraId="58CA3F43">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49DB9FF">
            <w:pPr>
              <w:wordWrap w:val="0"/>
              <w:spacing w:line="440" w:lineRule="exact"/>
              <w:ind w:firstLine="480"/>
              <w:jc w:val="center"/>
              <w:rPr>
                <w:rFonts w:ascii="宋体" w:hAnsi="宋体" w:cs="宋体"/>
                <w:color w:val="auto"/>
                <w:sz w:val="24"/>
                <w:highlight w:val="none"/>
              </w:rPr>
            </w:pPr>
          </w:p>
        </w:tc>
      </w:tr>
      <w:tr w14:paraId="2DB88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0CE30B6D">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C0CC74B">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661C7685">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6965BF75">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CFDBBAC">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6809B5F9">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896BFAA">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7A3A9C4">
            <w:pPr>
              <w:pStyle w:val="36"/>
              <w:wordWrap w:val="0"/>
              <w:spacing w:before="120" w:after="120" w:line="440" w:lineRule="exact"/>
              <w:ind w:firstLine="520"/>
              <w:jc w:val="center"/>
              <w:rPr>
                <w:rFonts w:hAnsi="宋体" w:cs="宋体"/>
                <w:color w:val="auto"/>
                <w:highlight w:val="none"/>
              </w:rPr>
            </w:pPr>
          </w:p>
        </w:tc>
      </w:tr>
      <w:tr w14:paraId="7DC8E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555A9EEE">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CFC5DB0">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47691836">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FBE21AD">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3CCCEBD8">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7B092E46">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3325CC7">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96B2182">
            <w:pPr>
              <w:pStyle w:val="36"/>
              <w:wordWrap w:val="0"/>
              <w:spacing w:before="120" w:after="120" w:line="440" w:lineRule="exact"/>
              <w:ind w:firstLine="520"/>
              <w:jc w:val="center"/>
              <w:rPr>
                <w:rFonts w:hAnsi="宋体" w:cs="宋体"/>
                <w:color w:val="auto"/>
                <w:highlight w:val="none"/>
              </w:rPr>
            </w:pPr>
          </w:p>
        </w:tc>
      </w:tr>
      <w:tr w14:paraId="2AEC8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1FD04535">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AE64BFC">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7C1D751D">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D50A875">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20AC5C38">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658D4F34">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9939402">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B52DB9">
            <w:pPr>
              <w:pStyle w:val="36"/>
              <w:wordWrap w:val="0"/>
              <w:spacing w:before="120" w:after="120" w:line="440" w:lineRule="exact"/>
              <w:ind w:firstLine="520"/>
              <w:jc w:val="center"/>
              <w:rPr>
                <w:rFonts w:hAnsi="宋体" w:cs="宋体"/>
                <w:color w:val="auto"/>
                <w:highlight w:val="none"/>
              </w:rPr>
            </w:pPr>
          </w:p>
        </w:tc>
      </w:tr>
      <w:tr w14:paraId="7C9C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7D055A5C">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43AA2B6E">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5CB92CC7">
            <w:pPr>
              <w:pStyle w:val="27"/>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89E8294">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0B13DA8A">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1B96077D">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C02DFEF">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ADA02AB">
            <w:pPr>
              <w:pStyle w:val="36"/>
              <w:wordWrap w:val="0"/>
              <w:spacing w:before="120" w:after="120" w:line="440" w:lineRule="exact"/>
              <w:ind w:firstLine="520"/>
              <w:jc w:val="center"/>
              <w:rPr>
                <w:rFonts w:hAnsi="宋体" w:cs="宋体"/>
                <w:color w:val="auto"/>
                <w:highlight w:val="none"/>
              </w:rPr>
            </w:pPr>
          </w:p>
        </w:tc>
      </w:tr>
      <w:tr w14:paraId="221AF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6C3C9FE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14:paraId="4520F77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14:paraId="0A772F8A">
            <w:pPr>
              <w:pStyle w:val="27"/>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69DD4B9C">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1430AFEE">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B2C560B">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55AC3A4">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B64E4E8">
            <w:pPr>
              <w:pStyle w:val="36"/>
              <w:wordWrap w:val="0"/>
              <w:spacing w:before="120" w:after="120" w:line="440" w:lineRule="exact"/>
              <w:ind w:firstLine="520"/>
              <w:jc w:val="center"/>
              <w:rPr>
                <w:rFonts w:hAnsi="宋体" w:cs="宋体"/>
                <w:color w:val="auto"/>
                <w:highlight w:val="none"/>
              </w:rPr>
            </w:pPr>
          </w:p>
        </w:tc>
      </w:tr>
    </w:tbl>
    <w:p w14:paraId="745D3B5C">
      <w:pPr>
        <w:spacing w:line="360" w:lineRule="auto"/>
        <w:rPr>
          <w:rFonts w:ascii="宋体" w:hAnsi="宋体"/>
          <w:color w:val="auto"/>
          <w:szCs w:val="21"/>
          <w:highlight w:val="none"/>
        </w:rPr>
      </w:pPr>
    </w:p>
    <w:p w14:paraId="52F24F6F">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注：1、投标人应根据投标产品的</w:t>
      </w:r>
      <w:r>
        <w:rPr>
          <w:rFonts w:hint="eastAsia" w:ascii="宋体" w:hAnsi="宋体"/>
          <w:color w:val="auto"/>
          <w:szCs w:val="21"/>
          <w:highlight w:val="none"/>
          <w:lang w:eastAsia="zh-CN"/>
        </w:rPr>
        <w:t>技术参数</w:t>
      </w:r>
      <w:r>
        <w:rPr>
          <w:rFonts w:hint="eastAsia" w:ascii="宋体" w:hAnsi="宋体"/>
          <w:color w:val="auto"/>
          <w:szCs w:val="21"/>
          <w:highlight w:val="none"/>
        </w:rPr>
        <w:t>、对照招标文件要求一一对应如实填写技术响应表，在“偏离情况”栏注明“正偏离”、“负偏离”或“无偏离”。未按要求填写的，有可能作负偏离处理</w:t>
      </w:r>
      <w:r>
        <w:rPr>
          <w:rFonts w:hint="eastAsia" w:ascii="宋体" w:hAnsi="宋体"/>
          <w:color w:val="auto"/>
          <w:szCs w:val="21"/>
          <w:highlight w:val="none"/>
          <w:lang w:eastAsia="zh-CN"/>
        </w:rPr>
        <w:t>；</w:t>
      </w:r>
    </w:p>
    <w:p w14:paraId="38649911">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14:paraId="78FA19A7">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14:paraId="65F297D0">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4、“★”系指重要技术参数</w:t>
      </w:r>
    </w:p>
    <w:p w14:paraId="1E399296">
      <w:pPr>
        <w:spacing w:line="400" w:lineRule="exac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14:paraId="49A3EFDB">
      <w:pPr>
        <w:adjustRightInd/>
        <w:spacing w:line="360" w:lineRule="auto"/>
        <w:rPr>
          <w:rFonts w:ascii="宋体" w:hAnsi="宋体"/>
          <w:color w:val="auto"/>
          <w:highlight w:val="none"/>
        </w:rPr>
      </w:pPr>
    </w:p>
    <w:p w14:paraId="4748EFD3">
      <w:pPr>
        <w:rPr>
          <w:rFonts w:ascii="宋体" w:hAnsi="宋体"/>
          <w:color w:val="auto"/>
          <w:highlight w:val="none"/>
          <w:lang w:val="zh-CN"/>
        </w:rPr>
      </w:pPr>
    </w:p>
    <w:p w14:paraId="195DA97E">
      <w:pPr>
        <w:rPr>
          <w:rFonts w:ascii="宋体" w:hAnsi="宋体"/>
          <w:color w:val="auto"/>
          <w:highlight w:val="none"/>
          <w:lang w:val="zh-CN"/>
        </w:rPr>
      </w:pPr>
    </w:p>
    <w:p w14:paraId="3022906D">
      <w:pPr>
        <w:rPr>
          <w:rFonts w:ascii="宋体" w:hAnsi="宋体"/>
          <w:color w:val="auto"/>
          <w:highlight w:val="none"/>
          <w:lang w:val="zh-CN"/>
        </w:rPr>
      </w:pPr>
    </w:p>
    <w:p w14:paraId="3441B00C">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249ED1">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BCA6B5A">
      <w:pPr>
        <w:pStyle w:val="979"/>
        <w:spacing w:line="276" w:lineRule="auto"/>
        <w:jc w:val="both"/>
        <w:rPr>
          <w:rFonts w:hint="eastAsia" w:hAnsi="宋体" w:eastAsia="宋体" w:cs="宋体"/>
          <w:b/>
          <w:color w:val="auto"/>
          <w:sz w:val="28"/>
          <w:szCs w:val="28"/>
          <w:highlight w:val="none"/>
        </w:rPr>
      </w:pPr>
      <w:r>
        <w:rPr>
          <w:rFonts w:hint="eastAsia" w:hAnsi="宋体" w:eastAsia="宋体" w:cs="宋体"/>
          <w:color w:val="auto"/>
          <w:sz w:val="24"/>
          <w:szCs w:val="24"/>
          <w:highlight w:val="none"/>
        </w:rPr>
        <w:t>日期：_____年____月____日</w:t>
      </w:r>
    </w:p>
    <w:p w14:paraId="0B770AE3">
      <w:pPr>
        <w:pStyle w:val="979"/>
        <w:spacing w:line="276" w:lineRule="auto"/>
        <w:jc w:val="center"/>
        <w:rPr>
          <w:rFonts w:hint="eastAsia" w:hAnsi="宋体" w:eastAsia="宋体" w:cs="宋体"/>
          <w:b/>
          <w:color w:val="auto"/>
          <w:sz w:val="28"/>
          <w:szCs w:val="28"/>
          <w:highlight w:val="none"/>
        </w:rPr>
      </w:pPr>
    </w:p>
    <w:p w14:paraId="1ABF4A7C">
      <w:pPr>
        <w:pStyle w:val="979"/>
        <w:spacing w:line="276" w:lineRule="auto"/>
        <w:jc w:val="center"/>
        <w:rPr>
          <w:rFonts w:hint="eastAsia" w:hAnsi="宋体" w:eastAsia="宋体" w:cs="宋体"/>
          <w:b/>
          <w:color w:val="auto"/>
          <w:sz w:val="28"/>
          <w:szCs w:val="28"/>
          <w:highlight w:val="none"/>
        </w:rPr>
      </w:pPr>
    </w:p>
    <w:p w14:paraId="51C2D9B2">
      <w:pPr>
        <w:pStyle w:val="979"/>
        <w:spacing w:line="276" w:lineRule="auto"/>
        <w:jc w:val="center"/>
        <w:rPr>
          <w:rFonts w:hint="eastAsia" w:hAnsi="宋体" w:eastAsia="宋体" w:cs="宋体"/>
          <w:b/>
          <w:color w:val="auto"/>
          <w:sz w:val="28"/>
          <w:szCs w:val="28"/>
          <w:highlight w:val="none"/>
        </w:rPr>
      </w:pPr>
    </w:p>
    <w:p w14:paraId="54783E24">
      <w:pPr>
        <w:pStyle w:val="979"/>
        <w:spacing w:line="276" w:lineRule="auto"/>
        <w:jc w:val="center"/>
        <w:rPr>
          <w:rFonts w:hint="eastAsia" w:hAnsi="宋体" w:eastAsia="宋体" w:cs="宋体"/>
          <w:b/>
          <w:color w:val="auto"/>
          <w:sz w:val="28"/>
          <w:szCs w:val="28"/>
          <w:highlight w:val="none"/>
        </w:rPr>
      </w:pPr>
    </w:p>
    <w:p w14:paraId="7B83B998">
      <w:pPr>
        <w:pStyle w:val="979"/>
        <w:spacing w:line="276" w:lineRule="auto"/>
        <w:jc w:val="center"/>
        <w:rPr>
          <w:rFonts w:hint="eastAsia" w:hAnsi="宋体" w:eastAsia="宋体" w:cs="宋体"/>
          <w:b/>
          <w:color w:val="auto"/>
          <w:sz w:val="28"/>
          <w:szCs w:val="28"/>
          <w:highlight w:val="none"/>
        </w:rPr>
      </w:pPr>
    </w:p>
    <w:p w14:paraId="23317677">
      <w:pPr>
        <w:pStyle w:val="979"/>
        <w:spacing w:line="276" w:lineRule="auto"/>
        <w:jc w:val="center"/>
        <w:rPr>
          <w:rFonts w:hint="eastAsia" w:hAnsi="宋体" w:eastAsia="宋体" w:cs="宋体"/>
          <w:b/>
          <w:color w:val="auto"/>
          <w:sz w:val="28"/>
          <w:szCs w:val="28"/>
          <w:highlight w:val="none"/>
        </w:rPr>
      </w:pPr>
    </w:p>
    <w:p w14:paraId="71CCD091">
      <w:pPr>
        <w:pStyle w:val="979"/>
        <w:spacing w:line="276" w:lineRule="auto"/>
        <w:jc w:val="center"/>
        <w:rPr>
          <w:rFonts w:hint="eastAsia" w:hAnsi="宋体" w:eastAsia="宋体" w:cs="宋体"/>
          <w:b/>
          <w:color w:val="auto"/>
          <w:sz w:val="28"/>
          <w:szCs w:val="28"/>
          <w:highlight w:val="none"/>
        </w:rPr>
      </w:pPr>
    </w:p>
    <w:p w14:paraId="6086ACB5">
      <w:pPr>
        <w:pStyle w:val="979"/>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6"/>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62BA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474A3085">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14:paraId="10DFE8BE">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14:paraId="44F35EF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14:paraId="3F975C2E">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5B0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69DAEAEE">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14:paraId="734B8ED3">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190B33C4">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5EAAFB81">
            <w:pPr>
              <w:spacing w:before="120" w:beforeLines="50" w:after="120" w:afterLines="50" w:line="276" w:lineRule="auto"/>
              <w:ind w:firstLine="480"/>
              <w:rPr>
                <w:rFonts w:ascii="宋体" w:hAnsi="宋体" w:cs="宋体"/>
                <w:color w:val="auto"/>
                <w:sz w:val="24"/>
                <w:highlight w:val="none"/>
              </w:rPr>
            </w:pPr>
          </w:p>
        </w:tc>
      </w:tr>
      <w:tr w14:paraId="25BC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1A3B395B">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14:paraId="318D41A0">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05249D50">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78FBA6E3">
            <w:pPr>
              <w:spacing w:before="120" w:beforeLines="50" w:after="120" w:afterLines="50" w:line="276" w:lineRule="auto"/>
              <w:ind w:firstLine="480"/>
              <w:rPr>
                <w:rFonts w:ascii="宋体" w:hAnsi="宋体" w:cs="宋体"/>
                <w:color w:val="auto"/>
                <w:sz w:val="24"/>
                <w:highlight w:val="none"/>
              </w:rPr>
            </w:pPr>
          </w:p>
        </w:tc>
      </w:tr>
      <w:tr w14:paraId="36FA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484577ED">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13DD812B">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045B00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2688C7FE">
            <w:pPr>
              <w:spacing w:before="120" w:beforeLines="50" w:after="120" w:afterLines="50" w:line="276" w:lineRule="auto"/>
              <w:ind w:firstLine="480"/>
              <w:rPr>
                <w:rFonts w:ascii="宋体" w:hAnsi="宋体" w:cs="宋体"/>
                <w:color w:val="auto"/>
                <w:sz w:val="24"/>
                <w:highlight w:val="none"/>
              </w:rPr>
            </w:pPr>
          </w:p>
        </w:tc>
      </w:tr>
      <w:tr w14:paraId="7C79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5114C0E7">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7DAB8AF3">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5F4CEE7C">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14:paraId="15926F8A">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F8BC28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14:paraId="50430B45">
      <w:pPr>
        <w:numPr>
          <w:ilvl w:val="0"/>
          <w:numId w:val="13"/>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14:paraId="7BA5B238">
      <w:pPr>
        <w:snapToGrid w:val="0"/>
        <w:spacing w:before="50" w:after="50" w:line="360" w:lineRule="auto"/>
        <w:rPr>
          <w:rFonts w:ascii="宋体" w:hAnsi="宋体"/>
          <w:color w:val="auto"/>
          <w:sz w:val="24"/>
          <w:highlight w:val="none"/>
        </w:rPr>
      </w:pPr>
    </w:p>
    <w:p w14:paraId="40D199F6">
      <w:pPr>
        <w:snapToGrid w:val="0"/>
        <w:spacing w:before="50" w:after="50" w:line="360" w:lineRule="auto"/>
        <w:rPr>
          <w:rFonts w:ascii="宋体" w:hAnsi="宋体"/>
          <w:color w:val="auto"/>
          <w:sz w:val="24"/>
          <w:highlight w:val="none"/>
        </w:rPr>
      </w:pPr>
    </w:p>
    <w:p w14:paraId="65F78272">
      <w:pPr>
        <w:snapToGrid w:val="0"/>
        <w:spacing w:before="50" w:after="50" w:line="360" w:lineRule="auto"/>
        <w:rPr>
          <w:rFonts w:ascii="宋体" w:hAnsi="宋体"/>
          <w:color w:val="auto"/>
          <w:sz w:val="24"/>
          <w:highlight w:val="none"/>
        </w:rPr>
      </w:pPr>
    </w:p>
    <w:p w14:paraId="6F00789F">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D057BDA">
      <w:pPr>
        <w:pStyle w:val="979"/>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56F61D35">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14:paraId="6D7136C0">
      <w:pPr>
        <w:pStyle w:val="971"/>
        <w:spacing w:line="360" w:lineRule="auto"/>
        <w:ind w:right="480"/>
        <w:rPr>
          <w:rFonts w:hAnsi="宋体" w:eastAsia="宋体" w:cs="宋体"/>
          <w:color w:val="auto"/>
          <w:sz w:val="24"/>
          <w:szCs w:val="24"/>
          <w:highlight w:val="none"/>
        </w:rPr>
      </w:pPr>
    </w:p>
    <w:p w14:paraId="30582EBE">
      <w:pPr>
        <w:pStyle w:val="971"/>
        <w:spacing w:line="360" w:lineRule="auto"/>
        <w:ind w:right="480"/>
        <w:rPr>
          <w:rFonts w:hAnsi="宋体" w:eastAsia="宋体" w:cs="宋体"/>
          <w:color w:val="auto"/>
          <w:sz w:val="24"/>
          <w:szCs w:val="24"/>
          <w:highlight w:val="none"/>
        </w:rPr>
      </w:pPr>
    </w:p>
    <w:p w14:paraId="1771910E">
      <w:pPr>
        <w:pStyle w:val="971"/>
        <w:spacing w:line="360" w:lineRule="auto"/>
        <w:ind w:right="480"/>
        <w:rPr>
          <w:rFonts w:hAnsi="宋体" w:eastAsia="宋体" w:cs="宋体"/>
          <w:color w:val="auto"/>
          <w:sz w:val="24"/>
          <w:szCs w:val="24"/>
          <w:highlight w:val="none"/>
        </w:rPr>
      </w:pPr>
    </w:p>
    <w:p w14:paraId="488D1E36">
      <w:pPr>
        <w:snapToGrid w:val="0"/>
        <w:spacing w:before="120" w:beforeLines="50" w:after="50"/>
        <w:jc w:val="center"/>
        <w:rPr>
          <w:rFonts w:ascii="宋体" w:hAnsi="宋体" w:cs="宋体"/>
          <w:b/>
          <w:color w:val="auto"/>
          <w:sz w:val="32"/>
          <w:szCs w:val="32"/>
          <w:highlight w:val="none"/>
        </w:rPr>
      </w:pPr>
    </w:p>
    <w:p w14:paraId="369CBFDE">
      <w:pPr>
        <w:snapToGrid w:val="0"/>
        <w:spacing w:before="120" w:beforeLines="50" w:after="50"/>
        <w:jc w:val="center"/>
        <w:rPr>
          <w:rFonts w:ascii="宋体" w:hAnsi="宋体" w:cs="宋体"/>
          <w:b/>
          <w:color w:val="auto"/>
          <w:sz w:val="32"/>
          <w:szCs w:val="32"/>
          <w:highlight w:val="none"/>
        </w:rPr>
      </w:pPr>
    </w:p>
    <w:p w14:paraId="5BF00D66">
      <w:pPr>
        <w:snapToGrid w:val="0"/>
        <w:spacing w:before="120" w:beforeLines="50" w:after="50"/>
        <w:jc w:val="center"/>
        <w:rPr>
          <w:rFonts w:ascii="宋体" w:hAnsi="宋体" w:cs="宋体"/>
          <w:b/>
          <w:color w:val="auto"/>
          <w:sz w:val="32"/>
          <w:szCs w:val="32"/>
          <w:highlight w:val="none"/>
        </w:rPr>
      </w:pPr>
    </w:p>
    <w:p w14:paraId="717AF646">
      <w:pPr>
        <w:snapToGrid w:val="0"/>
        <w:spacing w:before="120" w:beforeLines="50" w:after="50"/>
        <w:jc w:val="center"/>
        <w:rPr>
          <w:rFonts w:ascii="宋体" w:hAnsi="宋体" w:cs="宋体"/>
          <w:b/>
          <w:color w:val="auto"/>
          <w:sz w:val="32"/>
          <w:szCs w:val="32"/>
          <w:highlight w:val="none"/>
        </w:rPr>
      </w:pPr>
    </w:p>
    <w:p w14:paraId="75174833">
      <w:pPr>
        <w:pStyle w:val="26"/>
        <w:rPr>
          <w:rFonts w:hint="eastAsia"/>
          <w:color w:val="auto"/>
          <w:highlight w:val="none"/>
        </w:rPr>
      </w:pPr>
    </w:p>
    <w:p w14:paraId="05C44C25">
      <w:pPr>
        <w:snapToGrid w:val="0"/>
        <w:spacing w:before="120" w:beforeLines="50" w:after="50"/>
        <w:jc w:val="center"/>
        <w:rPr>
          <w:rFonts w:hint="eastAsia" w:ascii="宋体" w:hAnsi="宋体" w:cs="宋体"/>
          <w:b/>
          <w:color w:val="auto"/>
          <w:sz w:val="32"/>
          <w:szCs w:val="32"/>
          <w:highlight w:val="none"/>
        </w:rPr>
      </w:pPr>
    </w:p>
    <w:p w14:paraId="45578B76">
      <w:pPr>
        <w:snapToGrid w:val="0"/>
        <w:spacing w:before="120" w:beforeLines="50" w:after="50"/>
        <w:jc w:val="center"/>
        <w:rPr>
          <w:rFonts w:hint="eastAsia" w:ascii="宋体" w:hAnsi="宋体" w:cs="宋体"/>
          <w:b/>
          <w:color w:val="auto"/>
          <w:sz w:val="32"/>
          <w:szCs w:val="32"/>
          <w:highlight w:val="none"/>
        </w:rPr>
      </w:pPr>
    </w:p>
    <w:p w14:paraId="6F7C38E2">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0839FD7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7FD634F4">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763BB3E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2054250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E82D4D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5C0B940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1BE9850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A6A2D8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691735C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711A89DB">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4B5F013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3B6A09C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1D01688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2E6C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079E7EF4">
      <w:pPr>
        <w:snapToGrid w:val="0"/>
        <w:spacing w:line="360" w:lineRule="auto"/>
        <w:ind w:firstLine="5040" w:firstLineChars="2100"/>
        <w:rPr>
          <w:rFonts w:ascii="宋体" w:hAnsi="宋体" w:cs="宋体"/>
          <w:color w:val="auto"/>
          <w:sz w:val="24"/>
          <w:highlight w:val="none"/>
        </w:rPr>
      </w:pPr>
    </w:p>
    <w:p w14:paraId="4AD5E214">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780168F9">
      <w:pPr>
        <w:snapToGrid w:val="0"/>
        <w:spacing w:before="50" w:after="50"/>
        <w:rPr>
          <w:rFonts w:ascii="宋体" w:hAnsi="宋体" w:cs="宋体"/>
          <w:color w:val="auto"/>
          <w:highlight w:val="none"/>
        </w:rPr>
      </w:pPr>
    </w:p>
    <w:p w14:paraId="29640267">
      <w:pPr>
        <w:snapToGrid w:val="0"/>
        <w:spacing w:before="50" w:after="50"/>
        <w:rPr>
          <w:rFonts w:ascii="宋体" w:hAnsi="宋体" w:cs="宋体"/>
          <w:color w:val="auto"/>
          <w:highlight w:val="none"/>
        </w:rPr>
      </w:pPr>
    </w:p>
    <w:p w14:paraId="24AD82B2">
      <w:pPr>
        <w:snapToGrid w:val="0"/>
        <w:spacing w:before="50" w:after="50"/>
        <w:rPr>
          <w:rFonts w:ascii="宋体" w:hAnsi="宋体" w:cs="宋体"/>
          <w:color w:val="auto"/>
          <w:highlight w:val="none"/>
        </w:rPr>
      </w:pPr>
    </w:p>
    <w:p w14:paraId="30AF1AEB">
      <w:pPr>
        <w:snapToGrid w:val="0"/>
        <w:spacing w:before="50" w:after="50"/>
        <w:rPr>
          <w:rFonts w:ascii="宋体" w:hAnsi="宋体" w:cs="宋体"/>
          <w:color w:val="auto"/>
          <w:highlight w:val="none"/>
        </w:rPr>
      </w:pPr>
    </w:p>
    <w:p w14:paraId="33C626F9">
      <w:pPr>
        <w:snapToGrid w:val="0"/>
        <w:spacing w:before="50" w:after="50"/>
        <w:rPr>
          <w:rFonts w:ascii="宋体" w:hAnsi="宋体" w:cs="宋体"/>
          <w:color w:val="auto"/>
          <w:highlight w:val="none"/>
        </w:rPr>
      </w:pPr>
    </w:p>
    <w:p w14:paraId="6B748BD8">
      <w:pPr>
        <w:pStyle w:val="26"/>
        <w:rPr>
          <w:rFonts w:hAnsi="宋体" w:cs="宋体"/>
          <w:color w:val="auto"/>
          <w:highlight w:val="none"/>
        </w:rPr>
      </w:pPr>
    </w:p>
    <w:bookmarkEnd w:id="35"/>
    <w:p w14:paraId="26748014">
      <w:pPr>
        <w:snapToGrid w:val="0"/>
        <w:spacing w:before="50" w:after="50"/>
        <w:jc w:val="both"/>
        <w:rPr>
          <w:rFonts w:ascii="宋体" w:hAnsi="宋体" w:cs="宋体"/>
          <w:b/>
          <w:color w:val="auto"/>
          <w:sz w:val="24"/>
          <w:highlight w:val="none"/>
        </w:rPr>
      </w:pPr>
    </w:p>
    <w:p w14:paraId="0353FD65">
      <w:pPr>
        <w:snapToGrid w:val="0"/>
        <w:spacing w:before="50" w:after="50"/>
        <w:jc w:val="center"/>
        <w:rPr>
          <w:rFonts w:ascii="宋体" w:hAnsi="宋体" w:cs="宋体"/>
          <w:b/>
          <w:color w:val="auto"/>
          <w:sz w:val="24"/>
          <w:highlight w:val="none"/>
        </w:rPr>
      </w:pPr>
    </w:p>
    <w:p w14:paraId="351D1450">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24C3CCBA">
      <w:pPr>
        <w:snapToGrid w:val="0"/>
        <w:spacing w:before="50" w:after="50"/>
        <w:jc w:val="center"/>
        <w:rPr>
          <w:rFonts w:ascii="宋体" w:hAnsi="宋体" w:cs="宋体"/>
          <w:b/>
          <w:color w:val="auto"/>
          <w:sz w:val="24"/>
          <w:szCs w:val="20"/>
          <w:highlight w:val="none"/>
        </w:rPr>
      </w:pPr>
    </w:p>
    <w:p w14:paraId="3EE9708C">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0987FB41">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0524D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429170AC">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7631261E">
            <w:pPr>
              <w:snapToGrid w:val="0"/>
              <w:spacing w:before="100" w:beforeAutospacing="1" w:after="100" w:afterAutospacing="1" w:line="276" w:lineRule="auto"/>
              <w:rPr>
                <w:rFonts w:eastAsia="仿宋_GB2312"/>
                <w:b/>
                <w:color w:val="auto"/>
                <w:szCs w:val="21"/>
                <w:highlight w:val="none"/>
              </w:rPr>
            </w:pPr>
          </w:p>
        </w:tc>
      </w:tr>
      <w:tr w14:paraId="72B0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5F1EEE3A">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1AD18AB6">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409D0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61EC0ED3">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5CFB9A5F">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6432B60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750ED462">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5BA7411">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2834F15F">
      <w:pPr>
        <w:snapToGrid w:val="0"/>
        <w:spacing w:line="480" w:lineRule="exact"/>
        <w:ind w:firstLine="440" w:firstLineChars="200"/>
        <w:jc w:val="left"/>
        <w:rPr>
          <w:rFonts w:ascii="宋体" w:hAnsi="宋体" w:cs="宋体"/>
          <w:color w:val="auto"/>
          <w:sz w:val="22"/>
          <w:szCs w:val="22"/>
          <w:highlight w:val="none"/>
        </w:rPr>
      </w:pPr>
    </w:p>
    <w:p w14:paraId="1AAA8F4D">
      <w:pPr>
        <w:pStyle w:val="26"/>
        <w:rPr>
          <w:color w:val="auto"/>
          <w:highlight w:val="none"/>
        </w:rPr>
      </w:pPr>
    </w:p>
    <w:p w14:paraId="7148126F">
      <w:pPr>
        <w:snapToGrid w:val="0"/>
        <w:spacing w:line="480" w:lineRule="exact"/>
        <w:ind w:left="-3" w:leftChars="-72" w:right="-817" w:rightChars="-389" w:hanging="148" w:hangingChars="62"/>
        <w:rPr>
          <w:rFonts w:ascii="宋体" w:hAnsi="宋体" w:cs="宋体"/>
          <w:color w:val="auto"/>
          <w:sz w:val="24"/>
          <w:highlight w:val="none"/>
        </w:rPr>
      </w:pPr>
    </w:p>
    <w:p w14:paraId="20E257F9">
      <w:pPr>
        <w:snapToGrid w:val="0"/>
        <w:spacing w:before="50" w:after="50" w:line="360" w:lineRule="auto"/>
        <w:rPr>
          <w:rFonts w:ascii="宋体" w:hAnsi="宋体"/>
          <w:color w:val="auto"/>
          <w:sz w:val="24"/>
          <w:highlight w:val="none"/>
        </w:rPr>
      </w:pPr>
    </w:p>
    <w:p w14:paraId="72F9A5E6">
      <w:pPr>
        <w:snapToGrid w:val="0"/>
        <w:spacing w:before="50" w:after="50" w:line="360" w:lineRule="auto"/>
        <w:rPr>
          <w:rFonts w:ascii="宋体" w:hAnsi="宋体"/>
          <w:color w:val="auto"/>
          <w:sz w:val="24"/>
          <w:highlight w:val="none"/>
        </w:rPr>
      </w:pPr>
    </w:p>
    <w:p w14:paraId="5AD794E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776CC79">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61441887">
      <w:pPr>
        <w:rPr>
          <w:rFonts w:hAnsi="宋体" w:cs="宋体"/>
          <w:color w:val="auto"/>
          <w:sz w:val="24"/>
          <w:highlight w:val="none"/>
        </w:rPr>
      </w:pPr>
      <w:r>
        <w:rPr>
          <w:rFonts w:hint="eastAsia" w:hAnsi="宋体" w:cs="宋体"/>
          <w:color w:val="auto"/>
          <w:sz w:val="24"/>
          <w:highlight w:val="none"/>
        </w:rPr>
        <w:t>日期：_____年____月____日</w:t>
      </w:r>
    </w:p>
    <w:p w14:paraId="0358E3BC">
      <w:pPr>
        <w:pStyle w:val="2"/>
        <w:rPr>
          <w:rFonts w:hAnsi="宋体" w:cs="宋体"/>
          <w:color w:val="auto"/>
          <w:sz w:val="24"/>
          <w:szCs w:val="24"/>
          <w:highlight w:val="none"/>
        </w:rPr>
      </w:pPr>
    </w:p>
    <w:p w14:paraId="02D1607C">
      <w:pPr>
        <w:rPr>
          <w:rFonts w:hAnsi="宋体" w:cs="宋体"/>
          <w:color w:val="auto"/>
          <w:sz w:val="24"/>
          <w:highlight w:val="none"/>
        </w:rPr>
      </w:pPr>
    </w:p>
    <w:p w14:paraId="2A0E15F6">
      <w:pPr>
        <w:widowControl/>
        <w:spacing w:line="360" w:lineRule="auto"/>
        <w:rPr>
          <w:rFonts w:ascii="宋体" w:hAnsi="宋体"/>
          <w:b/>
          <w:color w:val="auto"/>
          <w:sz w:val="28"/>
          <w:szCs w:val="28"/>
          <w:highlight w:val="none"/>
        </w:rPr>
      </w:pPr>
    </w:p>
    <w:p w14:paraId="28EDF4F4">
      <w:pPr>
        <w:widowControl/>
        <w:spacing w:line="360" w:lineRule="auto"/>
        <w:jc w:val="both"/>
        <w:rPr>
          <w:rFonts w:hint="eastAsia" w:ascii="宋体" w:hAnsi="宋体"/>
          <w:b/>
          <w:color w:val="auto"/>
          <w:sz w:val="28"/>
          <w:szCs w:val="28"/>
          <w:highlight w:val="none"/>
        </w:rPr>
      </w:pPr>
    </w:p>
    <w:p w14:paraId="225D3965">
      <w:pPr>
        <w:widowControl/>
        <w:spacing w:line="360" w:lineRule="auto"/>
        <w:jc w:val="center"/>
        <w:rPr>
          <w:rFonts w:hint="eastAsia" w:ascii="宋体" w:hAnsi="宋体"/>
          <w:b/>
          <w:color w:val="auto"/>
          <w:sz w:val="28"/>
          <w:szCs w:val="28"/>
          <w:highlight w:val="none"/>
        </w:rPr>
      </w:pPr>
    </w:p>
    <w:p w14:paraId="0BF1AF9E">
      <w:pPr>
        <w:widowControl/>
        <w:spacing w:line="360" w:lineRule="auto"/>
        <w:jc w:val="center"/>
        <w:rPr>
          <w:rFonts w:hint="eastAsia" w:ascii="宋体" w:hAnsi="宋体"/>
          <w:b/>
          <w:color w:val="auto"/>
          <w:sz w:val="28"/>
          <w:szCs w:val="28"/>
          <w:highlight w:val="none"/>
        </w:rPr>
      </w:pPr>
    </w:p>
    <w:p w14:paraId="6A08F8DB">
      <w:pPr>
        <w:pStyle w:val="26"/>
        <w:rPr>
          <w:rFonts w:hint="eastAsia" w:ascii="宋体" w:hAnsi="宋体"/>
          <w:b/>
          <w:color w:val="auto"/>
          <w:sz w:val="28"/>
          <w:szCs w:val="28"/>
          <w:highlight w:val="none"/>
        </w:rPr>
      </w:pPr>
    </w:p>
    <w:p w14:paraId="28C43E4A">
      <w:pPr>
        <w:pStyle w:val="27"/>
        <w:rPr>
          <w:rFonts w:hint="eastAsia"/>
          <w:color w:val="auto"/>
          <w:highlight w:val="none"/>
        </w:rPr>
      </w:pPr>
    </w:p>
    <w:p w14:paraId="1B90CDC0">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14:paraId="262C6531">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p w14:paraId="79CF2554">
      <w:pPr>
        <w:pStyle w:val="3"/>
        <w:spacing w:line="240" w:lineRule="auto"/>
        <w:ind w:left="0" w:firstLine="0"/>
        <w:rPr>
          <w:color w:val="auto"/>
          <w:sz w:val="24"/>
          <w:szCs w:val="24"/>
          <w:highlight w:val="none"/>
          <w:lang w:val="en-US"/>
        </w:rPr>
      </w:pPr>
    </w:p>
    <w:tbl>
      <w:tblPr>
        <w:tblStyle w:val="66"/>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14:paraId="7EAD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4FA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56D4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C3E3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9DF8F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0988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27E5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C1D8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8E85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14:paraId="0885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5E37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27B48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CD9737">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67323DB">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58BB6A5">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79B1677">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28605021">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32E21C8">
            <w:pPr>
              <w:rPr>
                <w:rFonts w:hint="eastAsia" w:ascii="宋体" w:hAnsi="宋体" w:eastAsia="宋体" w:cs="宋体"/>
                <w:i w:val="0"/>
                <w:iCs w:val="0"/>
                <w:color w:val="auto"/>
                <w:sz w:val="22"/>
                <w:szCs w:val="22"/>
                <w:highlight w:val="none"/>
                <w:u w:val="none"/>
              </w:rPr>
            </w:pPr>
          </w:p>
        </w:tc>
      </w:tr>
      <w:tr w14:paraId="2F59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0DE4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459F6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0BF66A">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1587D9">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3EAD64F">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052EA86">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064769E">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655C03">
            <w:pPr>
              <w:rPr>
                <w:rFonts w:hint="eastAsia" w:ascii="宋体" w:hAnsi="宋体" w:eastAsia="宋体" w:cs="宋体"/>
                <w:i w:val="0"/>
                <w:iCs w:val="0"/>
                <w:color w:val="auto"/>
                <w:sz w:val="22"/>
                <w:szCs w:val="22"/>
                <w:highlight w:val="none"/>
                <w:u w:val="none"/>
              </w:rPr>
            </w:pPr>
          </w:p>
        </w:tc>
      </w:tr>
      <w:tr w14:paraId="3408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761A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6411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CAC5701">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1B8BA08">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711FDF08">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011855C">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637D1248">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9F1B05E">
            <w:pPr>
              <w:rPr>
                <w:rFonts w:hint="eastAsia" w:ascii="宋体" w:hAnsi="宋体" w:eastAsia="宋体" w:cs="宋体"/>
                <w:i w:val="0"/>
                <w:iCs w:val="0"/>
                <w:color w:val="auto"/>
                <w:sz w:val="22"/>
                <w:szCs w:val="22"/>
                <w:highlight w:val="none"/>
                <w:u w:val="none"/>
              </w:rPr>
            </w:pPr>
          </w:p>
        </w:tc>
      </w:tr>
      <w:tr w14:paraId="3AAC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2E705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7EEB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C7DF82D">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3CA6D7D">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616E0AAF">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9D6FC50">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9015296">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93D39B">
            <w:pPr>
              <w:rPr>
                <w:rFonts w:hint="eastAsia" w:ascii="宋体" w:hAnsi="宋体" w:eastAsia="宋体" w:cs="宋体"/>
                <w:i w:val="0"/>
                <w:iCs w:val="0"/>
                <w:color w:val="auto"/>
                <w:sz w:val="22"/>
                <w:szCs w:val="22"/>
                <w:highlight w:val="none"/>
                <w:u w:val="none"/>
              </w:rPr>
            </w:pPr>
          </w:p>
        </w:tc>
      </w:tr>
      <w:tr w14:paraId="0FF4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0762A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77003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B871AD4">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9602339">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154242E2">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2E9C4EB">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9101FD3">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42AEB9">
            <w:pPr>
              <w:rPr>
                <w:rFonts w:hint="eastAsia" w:ascii="宋体" w:hAnsi="宋体" w:eastAsia="宋体" w:cs="宋体"/>
                <w:i w:val="0"/>
                <w:iCs w:val="0"/>
                <w:color w:val="auto"/>
                <w:sz w:val="22"/>
                <w:szCs w:val="22"/>
                <w:highlight w:val="none"/>
                <w:u w:val="none"/>
              </w:rPr>
            </w:pPr>
          </w:p>
        </w:tc>
      </w:tr>
      <w:tr w14:paraId="114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noWrap/>
            <w:vAlign w:val="center"/>
          </w:tcPr>
          <w:p w14:paraId="5C39F695">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14:paraId="7FE8E078">
      <w:pPr>
        <w:rPr>
          <w:rFonts w:hint="eastAsia" w:ascii="宋体" w:hAnsi="宋体" w:cs="宋体"/>
          <w:color w:val="auto"/>
          <w:kern w:val="0"/>
          <w:sz w:val="24"/>
          <w:highlight w:val="none"/>
        </w:rPr>
      </w:pPr>
    </w:p>
    <w:p w14:paraId="2EC632B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14:paraId="3CEB9002">
      <w:pPr>
        <w:pStyle w:val="86"/>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根据采购文件第二章招标需求进行编制，漏报的视同已包含在投标总价内。有重大缺项的将作无效标处理</w:t>
      </w:r>
      <w:r>
        <w:rPr>
          <w:rFonts w:hint="eastAsia" w:ascii="宋体" w:hAnsi="宋体" w:eastAsia="宋体" w:cs="宋体"/>
          <w:color w:val="auto"/>
          <w:kern w:val="0"/>
          <w:sz w:val="24"/>
          <w:szCs w:val="24"/>
          <w:highlight w:val="none"/>
          <w:lang w:val="en-US" w:eastAsia="zh-CN" w:bidi="ar-SA"/>
        </w:rPr>
        <w:t>。</w:t>
      </w:r>
    </w:p>
    <w:p w14:paraId="1420593E">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14:paraId="32F73375">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4.硬件（货物）类产品“型号”填写“产品制造商出厂定型型号”,定制类产品无定型型号的可填写“定制”或自行编制</w:t>
      </w:r>
      <w:r>
        <w:rPr>
          <w:rFonts w:hint="eastAsia" w:ascii="宋体" w:hAnsi="宋体"/>
          <w:color w:val="auto"/>
          <w:sz w:val="24"/>
          <w:highlight w:val="none"/>
        </w:rPr>
        <w:t>。</w:t>
      </w:r>
    </w:p>
    <w:p w14:paraId="53CB4840">
      <w:pPr>
        <w:snapToGrid w:val="0"/>
        <w:spacing w:before="50" w:after="50" w:line="360" w:lineRule="auto"/>
        <w:rPr>
          <w:rFonts w:hint="eastAsia" w:ascii="宋体" w:hAnsi="宋体"/>
          <w:color w:val="auto"/>
          <w:sz w:val="24"/>
          <w:highlight w:val="none"/>
        </w:rPr>
      </w:pPr>
    </w:p>
    <w:p w14:paraId="4188F063">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6144373">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3625CA64">
      <w:pPr>
        <w:rPr>
          <w:rFonts w:ascii="宋体" w:hAnsi="宋体" w:cs="宋体"/>
          <w:b/>
          <w:bCs/>
          <w:color w:val="auto"/>
          <w:sz w:val="28"/>
          <w:szCs w:val="28"/>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29B9">
    <w:pPr>
      <w:pStyle w:val="43"/>
      <w:framePr w:wrap="around" w:vAnchor="text" w:hAnchor="margin" w:xAlign="right" w:y="1"/>
      <w:rPr>
        <w:rStyle w:val="76"/>
      </w:rPr>
    </w:pPr>
    <w:r>
      <w:fldChar w:fldCharType="begin"/>
    </w:r>
    <w:r>
      <w:rPr>
        <w:rStyle w:val="76"/>
      </w:rPr>
      <w:instrText xml:space="preserve">PAGE  </w:instrText>
    </w:r>
    <w:r>
      <w:fldChar w:fldCharType="end"/>
    </w:r>
  </w:p>
  <w:p w14:paraId="51D75BAB">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4F27">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173D">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4C7173D">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F447">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3B5BC">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933B5BC">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816D">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4BD7">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9B4BD7">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357245F6">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6AD4">
    <w:pPr>
      <w:pStyle w:val="43"/>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795A">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ACA795A">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51E9">
    <w:pPr>
      <w:pStyle w:val="43"/>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7EDB1">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0D7EDB1">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1515">
    <w:pPr>
      <w:pStyle w:val="63"/>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875A">
    <w:pPr>
      <w:pStyle w:val="45"/>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6F21">
    <w:pPr>
      <w:pStyle w:val="45"/>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B5D16"/>
    <w:multiLevelType w:val="multilevel"/>
    <w:tmpl w:val="AF4B5D1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C792504"/>
    <w:multiLevelType w:val="singleLevel"/>
    <w:tmpl w:val="BC792504"/>
    <w:lvl w:ilvl="0" w:tentative="0">
      <w:start w:val="2"/>
      <w:numFmt w:val="chineseCounting"/>
      <w:suff w:val="space"/>
      <w:lvlText w:val="第%1章"/>
      <w:lvlJc w:val="left"/>
      <w:rPr>
        <w:rFonts w:hint="eastAsia"/>
      </w:rPr>
    </w:lvl>
  </w:abstractNum>
  <w:abstractNum w:abstractNumId="3">
    <w:nsid w:val="BDD34817"/>
    <w:multiLevelType w:val="singleLevel"/>
    <w:tmpl w:val="BDD34817"/>
    <w:lvl w:ilvl="0" w:tentative="0">
      <w:start w:val="1"/>
      <w:numFmt w:val="chineseCounting"/>
      <w:suff w:val="nothing"/>
      <w:lvlText w:val="%1、"/>
      <w:lvlJc w:val="left"/>
      <w:rPr>
        <w:rFonts w:hint="eastAsia"/>
      </w:rPr>
    </w:lvl>
  </w:abstractNum>
  <w:abstractNum w:abstractNumId="4">
    <w:nsid w:val="D09ECA7D"/>
    <w:multiLevelType w:val="singleLevel"/>
    <w:tmpl w:val="D09ECA7D"/>
    <w:lvl w:ilvl="0" w:tentative="0">
      <w:start w:val="2"/>
      <w:numFmt w:val="decimal"/>
      <w:suff w:val="nothing"/>
      <w:lvlText w:val="%1、"/>
      <w:lvlJc w:val="left"/>
    </w:lvl>
  </w:abstractNum>
  <w:abstractNum w:abstractNumId="5">
    <w:nsid w:val="08D369EF"/>
    <w:multiLevelType w:val="singleLevel"/>
    <w:tmpl w:val="08D369EF"/>
    <w:lvl w:ilvl="0" w:tentative="0">
      <w:start w:val="1"/>
      <w:numFmt w:val="decimal"/>
      <w:lvlText w:val="%1."/>
      <w:lvlJc w:val="left"/>
      <w:pPr>
        <w:tabs>
          <w:tab w:val="left" w:pos="312"/>
        </w:tabs>
      </w:pPr>
    </w:lvl>
  </w:abstractNum>
  <w:abstractNum w:abstractNumId="6">
    <w:nsid w:val="28516842"/>
    <w:multiLevelType w:val="singleLevel"/>
    <w:tmpl w:val="28516842"/>
    <w:lvl w:ilvl="0" w:tentative="0">
      <w:start w:val="8"/>
      <w:numFmt w:val="chineseCounting"/>
      <w:suff w:val="nothing"/>
      <w:lvlText w:val="%1、"/>
      <w:lvlJc w:val="left"/>
      <w:rPr>
        <w:rFonts w:hint="eastAsia"/>
      </w:rPr>
    </w:lvl>
  </w:abstractNum>
  <w:abstractNum w:abstractNumId="7">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8">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01C02F3"/>
    <w:multiLevelType w:val="multilevel"/>
    <w:tmpl w:val="501C02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804704"/>
    <w:multiLevelType w:val="singleLevel"/>
    <w:tmpl w:val="5D804704"/>
    <w:lvl w:ilvl="0" w:tentative="0">
      <w:start w:val="1"/>
      <w:numFmt w:val="chineseCounting"/>
      <w:suff w:val="nothing"/>
      <w:lvlText w:val="%1、"/>
      <w:lvlJc w:val="left"/>
    </w:lvl>
  </w:abstractNum>
  <w:abstractNum w:abstractNumId="12">
    <w:nsid w:val="5D804826"/>
    <w:multiLevelType w:val="singleLevel"/>
    <w:tmpl w:val="5D804826"/>
    <w:lvl w:ilvl="0" w:tentative="0">
      <w:start w:val="1"/>
      <w:numFmt w:val="decimal"/>
      <w:suff w:val="nothing"/>
      <w:lvlText w:val="%1."/>
      <w:lvlJc w:val="left"/>
    </w:lvl>
  </w:abstractNum>
  <w:num w:numId="1">
    <w:abstractNumId w:val="2"/>
  </w:num>
  <w:num w:numId="2">
    <w:abstractNumId w:val="3"/>
  </w:num>
  <w:num w:numId="3">
    <w:abstractNumId w:val="6"/>
  </w:num>
  <w:num w:numId="4">
    <w:abstractNumId w:val="10"/>
  </w:num>
  <w:num w:numId="5">
    <w:abstractNumId w:val="0"/>
  </w:num>
  <w:num w:numId="6">
    <w:abstractNumId w:val="11"/>
  </w:num>
  <w:num w:numId="7">
    <w:abstractNumId w:val="9"/>
  </w:num>
  <w:num w:numId="8">
    <w:abstractNumId w:val="7"/>
  </w:num>
  <w:num w:numId="9">
    <w:abstractNumId w:val="8"/>
  </w:num>
  <w:num w:numId="10">
    <w:abstractNumId w:val="12"/>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4F0F"/>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60"/>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55173E"/>
    <w:rsid w:val="01560E48"/>
    <w:rsid w:val="01904477"/>
    <w:rsid w:val="019F7441"/>
    <w:rsid w:val="01A319FB"/>
    <w:rsid w:val="01B37585"/>
    <w:rsid w:val="01D55165"/>
    <w:rsid w:val="01DF6BF8"/>
    <w:rsid w:val="01EC2C57"/>
    <w:rsid w:val="02151639"/>
    <w:rsid w:val="022315D5"/>
    <w:rsid w:val="026B2E25"/>
    <w:rsid w:val="02734700"/>
    <w:rsid w:val="02824D4D"/>
    <w:rsid w:val="028E5F70"/>
    <w:rsid w:val="02A246C2"/>
    <w:rsid w:val="02C46BBB"/>
    <w:rsid w:val="02DC4B10"/>
    <w:rsid w:val="02DD76CE"/>
    <w:rsid w:val="02F36323"/>
    <w:rsid w:val="02F5619C"/>
    <w:rsid w:val="03056EBF"/>
    <w:rsid w:val="0326446A"/>
    <w:rsid w:val="032D5555"/>
    <w:rsid w:val="036634D2"/>
    <w:rsid w:val="03773C2D"/>
    <w:rsid w:val="037B371D"/>
    <w:rsid w:val="038947B4"/>
    <w:rsid w:val="03B77F2C"/>
    <w:rsid w:val="03DD35E4"/>
    <w:rsid w:val="04076900"/>
    <w:rsid w:val="04140113"/>
    <w:rsid w:val="041A5A3B"/>
    <w:rsid w:val="04207EEE"/>
    <w:rsid w:val="042311BA"/>
    <w:rsid w:val="042806F6"/>
    <w:rsid w:val="042A08CF"/>
    <w:rsid w:val="042B157A"/>
    <w:rsid w:val="04352F11"/>
    <w:rsid w:val="045E0D7F"/>
    <w:rsid w:val="048F763B"/>
    <w:rsid w:val="049F330E"/>
    <w:rsid w:val="04A53787"/>
    <w:rsid w:val="04AA775C"/>
    <w:rsid w:val="04AF1889"/>
    <w:rsid w:val="04BB5A3F"/>
    <w:rsid w:val="04CA06D2"/>
    <w:rsid w:val="04F51571"/>
    <w:rsid w:val="04F66F48"/>
    <w:rsid w:val="04F81695"/>
    <w:rsid w:val="05222163"/>
    <w:rsid w:val="05251E14"/>
    <w:rsid w:val="0533087A"/>
    <w:rsid w:val="054B2EBB"/>
    <w:rsid w:val="05541A7D"/>
    <w:rsid w:val="056145E3"/>
    <w:rsid w:val="05687221"/>
    <w:rsid w:val="05777F14"/>
    <w:rsid w:val="058E28BE"/>
    <w:rsid w:val="05A16594"/>
    <w:rsid w:val="05A7762D"/>
    <w:rsid w:val="05C231EC"/>
    <w:rsid w:val="05C63DA3"/>
    <w:rsid w:val="06011897"/>
    <w:rsid w:val="060E5941"/>
    <w:rsid w:val="060F2738"/>
    <w:rsid w:val="06110FAF"/>
    <w:rsid w:val="061C715B"/>
    <w:rsid w:val="06493CA7"/>
    <w:rsid w:val="065A6178"/>
    <w:rsid w:val="066F1CF3"/>
    <w:rsid w:val="06930BB8"/>
    <w:rsid w:val="06DC1F3F"/>
    <w:rsid w:val="070A4EC7"/>
    <w:rsid w:val="071371A5"/>
    <w:rsid w:val="07245D42"/>
    <w:rsid w:val="07264C62"/>
    <w:rsid w:val="07480C4F"/>
    <w:rsid w:val="074C4306"/>
    <w:rsid w:val="075D5951"/>
    <w:rsid w:val="077855B9"/>
    <w:rsid w:val="0779354C"/>
    <w:rsid w:val="0792448C"/>
    <w:rsid w:val="079F6195"/>
    <w:rsid w:val="07C17D1A"/>
    <w:rsid w:val="07D15156"/>
    <w:rsid w:val="07F264B1"/>
    <w:rsid w:val="08061376"/>
    <w:rsid w:val="080D354F"/>
    <w:rsid w:val="0817778D"/>
    <w:rsid w:val="082A6473"/>
    <w:rsid w:val="08452D77"/>
    <w:rsid w:val="086401F8"/>
    <w:rsid w:val="08751CAA"/>
    <w:rsid w:val="087E4C40"/>
    <w:rsid w:val="08AA4CC9"/>
    <w:rsid w:val="08D66AD6"/>
    <w:rsid w:val="08DA33A3"/>
    <w:rsid w:val="08E80F13"/>
    <w:rsid w:val="090441B5"/>
    <w:rsid w:val="09294D84"/>
    <w:rsid w:val="092B34F0"/>
    <w:rsid w:val="09335624"/>
    <w:rsid w:val="093D097C"/>
    <w:rsid w:val="0944690F"/>
    <w:rsid w:val="09535675"/>
    <w:rsid w:val="095F057D"/>
    <w:rsid w:val="09622E4B"/>
    <w:rsid w:val="09642282"/>
    <w:rsid w:val="09733572"/>
    <w:rsid w:val="09772C16"/>
    <w:rsid w:val="098353B5"/>
    <w:rsid w:val="099B21B7"/>
    <w:rsid w:val="099E1F14"/>
    <w:rsid w:val="09A92330"/>
    <w:rsid w:val="09B06B87"/>
    <w:rsid w:val="09C13146"/>
    <w:rsid w:val="09E04166"/>
    <w:rsid w:val="09ED6DB7"/>
    <w:rsid w:val="0A0A0F1B"/>
    <w:rsid w:val="0A175316"/>
    <w:rsid w:val="0A1C0718"/>
    <w:rsid w:val="0A2E2D1E"/>
    <w:rsid w:val="0A3E7710"/>
    <w:rsid w:val="0A5B7E63"/>
    <w:rsid w:val="0A5C3149"/>
    <w:rsid w:val="0A620DEF"/>
    <w:rsid w:val="0A826F07"/>
    <w:rsid w:val="0A8A7C8B"/>
    <w:rsid w:val="0AA374A5"/>
    <w:rsid w:val="0AA51080"/>
    <w:rsid w:val="0AAB7649"/>
    <w:rsid w:val="0ABC5606"/>
    <w:rsid w:val="0AC97464"/>
    <w:rsid w:val="0AE012BD"/>
    <w:rsid w:val="0B012ED1"/>
    <w:rsid w:val="0B2E376B"/>
    <w:rsid w:val="0B30404E"/>
    <w:rsid w:val="0B4C6C14"/>
    <w:rsid w:val="0B5034AD"/>
    <w:rsid w:val="0B631A88"/>
    <w:rsid w:val="0B683D45"/>
    <w:rsid w:val="0B7F3F11"/>
    <w:rsid w:val="0B7F3FC7"/>
    <w:rsid w:val="0B884417"/>
    <w:rsid w:val="0B973B9D"/>
    <w:rsid w:val="0BD54FA3"/>
    <w:rsid w:val="0BDC19C4"/>
    <w:rsid w:val="0BDE0321"/>
    <w:rsid w:val="0BF6188C"/>
    <w:rsid w:val="0BF64210"/>
    <w:rsid w:val="0BF73C91"/>
    <w:rsid w:val="0C020E7E"/>
    <w:rsid w:val="0C0B1E49"/>
    <w:rsid w:val="0C0E5D5C"/>
    <w:rsid w:val="0C170175"/>
    <w:rsid w:val="0C480CD6"/>
    <w:rsid w:val="0C571A41"/>
    <w:rsid w:val="0C5C1171"/>
    <w:rsid w:val="0C5E1CBC"/>
    <w:rsid w:val="0C615B50"/>
    <w:rsid w:val="0C8445DA"/>
    <w:rsid w:val="0C87121B"/>
    <w:rsid w:val="0C8F1FE8"/>
    <w:rsid w:val="0CA05FA3"/>
    <w:rsid w:val="0CAE4DB1"/>
    <w:rsid w:val="0CBA4FBD"/>
    <w:rsid w:val="0CC007F7"/>
    <w:rsid w:val="0CD12600"/>
    <w:rsid w:val="0CD53F16"/>
    <w:rsid w:val="0CD60B29"/>
    <w:rsid w:val="0CDB1229"/>
    <w:rsid w:val="0CED3A11"/>
    <w:rsid w:val="0CFE707A"/>
    <w:rsid w:val="0D056BBF"/>
    <w:rsid w:val="0D063BDA"/>
    <w:rsid w:val="0D08375F"/>
    <w:rsid w:val="0D184CFB"/>
    <w:rsid w:val="0D1E7791"/>
    <w:rsid w:val="0D4A7419"/>
    <w:rsid w:val="0D817B82"/>
    <w:rsid w:val="0D827401"/>
    <w:rsid w:val="0D84094E"/>
    <w:rsid w:val="0D8A00E9"/>
    <w:rsid w:val="0D8D589E"/>
    <w:rsid w:val="0DA01C73"/>
    <w:rsid w:val="0DD63300"/>
    <w:rsid w:val="0DF50604"/>
    <w:rsid w:val="0DF702FE"/>
    <w:rsid w:val="0E060E51"/>
    <w:rsid w:val="0E072787"/>
    <w:rsid w:val="0E29305E"/>
    <w:rsid w:val="0E3C1A75"/>
    <w:rsid w:val="0E550E35"/>
    <w:rsid w:val="0E5604B2"/>
    <w:rsid w:val="0E5E6115"/>
    <w:rsid w:val="0E6D5D79"/>
    <w:rsid w:val="0E9D0089"/>
    <w:rsid w:val="0EB803EE"/>
    <w:rsid w:val="0EC6203C"/>
    <w:rsid w:val="0EC74C14"/>
    <w:rsid w:val="0ECC63BA"/>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226D6"/>
    <w:rsid w:val="0FBF3FD2"/>
    <w:rsid w:val="0FBF7FF3"/>
    <w:rsid w:val="0FD60610"/>
    <w:rsid w:val="0FE73EE9"/>
    <w:rsid w:val="10043AE6"/>
    <w:rsid w:val="10293BAE"/>
    <w:rsid w:val="10505D41"/>
    <w:rsid w:val="10646583"/>
    <w:rsid w:val="107D4B15"/>
    <w:rsid w:val="107D65A4"/>
    <w:rsid w:val="108A3C80"/>
    <w:rsid w:val="10AA73F0"/>
    <w:rsid w:val="10AB26E7"/>
    <w:rsid w:val="10C26171"/>
    <w:rsid w:val="10E70644"/>
    <w:rsid w:val="10F33360"/>
    <w:rsid w:val="10FC16EA"/>
    <w:rsid w:val="11097F4C"/>
    <w:rsid w:val="110F1D40"/>
    <w:rsid w:val="11266F33"/>
    <w:rsid w:val="11507B96"/>
    <w:rsid w:val="11525A28"/>
    <w:rsid w:val="115343AE"/>
    <w:rsid w:val="118963A1"/>
    <w:rsid w:val="11C6522A"/>
    <w:rsid w:val="11DC71F8"/>
    <w:rsid w:val="11E104CC"/>
    <w:rsid w:val="11E20309"/>
    <w:rsid w:val="11E3293D"/>
    <w:rsid w:val="12255233"/>
    <w:rsid w:val="122816D4"/>
    <w:rsid w:val="12530213"/>
    <w:rsid w:val="12541D09"/>
    <w:rsid w:val="127723A9"/>
    <w:rsid w:val="12862074"/>
    <w:rsid w:val="12883966"/>
    <w:rsid w:val="129E45B4"/>
    <w:rsid w:val="12AA761C"/>
    <w:rsid w:val="12D81596"/>
    <w:rsid w:val="12F157AA"/>
    <w:rsid w:val="13072A44"/>
    <w:rsid w:val="1312540B"/>
    <w:rsid w:val="131B2827"/>
    <w:rsid w:val="13482EF0"/>
    <w:rsid w:val="13507335"/>
    <w:rsid w:val="135F4BE2"/>
    <w:rsid w:val="1364326B"/>
    <w:rsid w:val="139B1A0A"/>
    <w:rsid w:val="139D25C7"/>
    <w:rsid w:val="13BF3CE4"/>
    <w:rsid w:val="13C42FAC"/>
    <w:rsid w:val="13E23345"/>
    <w:rsid w:val="13E34051"/>
    <w:rsid w:val="14043309"/>
    <w:rsid w:val="141008D8"/>
    <w:rsid w:val="14125FE6"/>
    <w:rsid w:val="14165B51"/>
    <w:rsid w:val="146D271E"/>
    <w:rsid w:val="1481064F"/>
    <w:rsid w:val="148C3A56"/>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762120"/>
    <w:rsid w:val="15806B32"/>
    <w:rsid w:val="15AC270E"/>
    <w:rsid w:val="15B36CC6"/>
    <w:rsid w:val="15D77B9E"/>
    <w:rsid w:val="16013067"/>
    <w:rsid w:val="163E55E1"/>
    <w:rsid w:val="166A18FC"/>
    <w:rsid w:val="169F2681"/>
    <w:rsid w:val="16A8729C"/>
    <w:rsid w:val="16B33777"/>
    <w:rsid w:val="16BC70A7"/>
    <w:rsid w:val="16C6339E"/>
    <w:rsid w:val="16D44311"/>
    <w:rsid w:val="17035AAC"/>
    <w:rsid w:val="172F2D79"/>
    <w:rsid w:val="173E4D36"/>
    <w:rsid w:val="17557BEF"/>
    <w:rsid w:val="17842421"/>
    <w:rsid w:val="17984446"/>
    <w:rsid w:val="179E6FD7"/>
    <w:rsid w:val="17A7720B"/>
    <w:rsid w:val="17CA130A"/>
    <w:rsid w:val="17D349C1"/>
    <w:rsid w:val="17EB6EA6"/>
    <w:rsid w:val="1830729E"/>
    <w:rsid w:val="186E4F56"/>
    <w:rsid w:val="1870062C"/>
    <w:rsid w:val="187F5606"/>
    <w:rsid w:val="18817102"/>
    <w:rsid w:val="18830A15"/>
    <w:rsid w:val="18852B28"/>
    <w:rsid w:val="188B5321"/>
    <w:rsid w:val="188E780C"/>
    <w:rsid w:val="18A84CA2"/>
    <w:rsid w:val="18A94431"/>
    <w:rsid w:val="18AD308A"/>
    <w:rsid w:val="18DF7E53"/>
    <w:rsid w:val="18FA5D0B"/>
    <w:rsid w:val="18FC783F"/>
    <w:rsid w:val="19137AFC"/>
    <w:rsid w:val="19391469"/>
    <w:rsid w:val="196A0064"/>
    <w:rsid w:val="19932372"/>
    <w:rsid w:val="199B1288"/>
    <w:rsid w:val="19A03C91"/>
    <w:rsid w:val="19A20DD5"/>
    <w:rsid w:val="19AE03F1"/>
    <w:rsid w:val="19BE1321"/>
    <w:rsid w:val="19C914F1"/>
    <w:rsid w:val="19D94BD9"/>
    <w:rsid w:val="19DD2400"/>
    <w:rsid w:val="19E73463"/>
    <w:rsid w:val="19E8300C"/>
    <w:rsid w:val="1A071A03"/>
    <w:rsid w:val="1A093754"/>
    <w:rsid w:val="1A0B7741"/>
    <w:rsid w:val="1A1F16AE"/>
    <w:rsid w:val="1A383CBF"/>
    <w:rsid w:val="1A3B5C77"/>
    <w:rsid w:val="1A4062D0"/>
    <w:rsid w:val="1A5D1440"/>
    <w:rsid w:val="1A8E207F"/>
    <w:rsid w:val="1A984BAD"/>
    <w:rsid w:val="1AAC1FB7"/>
    <w:rsid w:val="1AB8220E"/>
    <w:rsid w:val="1AB86BAD"/>
    <w:rsid w:val="1ADC0F2F"/>
    <w:rsid w:val="1AE4166C"/>
    <w:rsid w:val="1AE61761"/>
    <w:rsid w:val="1AF06CFB"/>
    <w:rsid w:val="1AF11B8D"/>
    <w:rsid w:val="1B11359C"/>
    <w:rsid w:val="1B2A0D48"/>
    <w:rsid w:val="1B2A271F"/>
    <w:rsid w:val="1B530544"/>
    <w:rsid w:val="1B591FEF"/>
    <w:rsid w:val="1B713184"/>
    <w:rsid w:val="1B742AD4"/>
    <w:rsid w:val="1B905DEA"/>
    <w:rsid w:val="1B941C7A"/>
    <w:rsid w:val="1BA209CF"/>
    <w:rsid w:val="1BB20793"/>
    <w:rsid w:val="1BB4777D"/>
    <w:rsid w:val="1BCE7AD7"/>
    <w:rsid w:val="1BD75AB8"/>
    <w:rsid w:val="1BF31992"/>
    <w:rsid w:val="1C0459C2"/>
    <w:rsid w:val="1C1B3B4A"/>
    <w:rsid w:val="1C455ADE"/>
    <w:rsid w:val="1C6D0FDA"/>
    <w:rsid w:val="1C88086E"/>
    <w:rsid w:val="1C941A40"/>
    <w:rsid w:val="1CB17D58"/>
    <w:rsid w:val="1D1B23AC"/>
    <w:rsid w:val="1D266CE1"/>
    <w:rsid w:val="1D3963AF"/>
    <w:rsid w:val="1D3A5FA0"/>
    <w:rsid w:val="1D4110DC"/>
    <w:rsid w:val="1D63171B"/>
    <w:rsid w:val="1D6A673C"/>
    <w:rsid w:val="1D9247AE"/>
    <w:rsid w:val="1D952B8A"/>
    <w:rsid w:val="1DAE4D97"/>
    <w:rsid w:val="1DB567EC"/>
    <w:rsid w:val="1DC57B03"/>
    <w:rsid w:val="1DE50360"/>
    <w:rsid w:val="1DF51A98"/>
    <w:rsid w:val="1DFE0D7B"/>
    <w:rsid w:val="1E2522E7"/>
    <w:rsid w:val="1E365573"/>
    <w:rsid w:val="1E3824DF"/>
    <w:rsid w:val="1E3C7C36"/>
    <w:rsid w:val="1E3D060F"/>
    <w:rsid w:val="1E3F7D2E"/>
    <w:rsid w:val="1E4134E4"/>
    <w:rsid w:val="1E451778"/>
    <w:rsid w:val="1E5062B3"/>
    <w:rsid w:val="1E523514"/>
    <w:rsid w:val="1E593358"/>
    <w:rsid w:val="1E686B46"/>
    <w:rsid w:val="1E714A66"/>
    <w:rsid w:val="1E802593"/>
    <w:rsid w:val="1E8675AD"/>
    <w:rsid w:val="1E892D3B"/>
    <w:rsid w:val="1EA703CC"/>
    <w:rsid w:val="1EB7330C"/>
    <w:rsid w:val="1ECC0E79"/>
    <w:rsid w:val="1EF93289"/>
    <w:rsid w:val="1F0A0FF3"/>
    <w:rsid w:val="1F205AAD"/>
    <w:rsid w:val="1F327FB9"/>
    <w:rsid w:val="1F554589"/>
    <w:rsid w:val="1F5771FF"/>
    <w:rsid w:val="1F745498"/>
    <w:rsid w:val="1FA35943"/>
    <w:rsid w:val="1FDE0E64"/>
    <w:rsid w:val="1FDF32F5"/>
    <w:rsid w:val="1FE868A9"/>
    <w:rsid w:val="20034907"/>
    <w:rsid w:val="20173E4B"/>
    <w:rsid w:val="20181590"/>
    <w:rsid w:val="202955A2"/>
    <w:rsid w:val="20380D25"/>
    <w:rsid w:val="203E7B55"/>
    <w:rsid w:val="204E48BC"/>
    <w:rsid w:val="20631369"/>
    <w:rsid w:val="206801ED"/>
    <w:rsid w:val="207817DB"/>
    <w:rsid w:val="207B66B3"/>
    <w:rsid w:val="207E2E19"/>
    <w:rsid w:val="208921B3"/>
    <w:rsid w:val="20973DEB"/>
    <w:rsid w:val="209E23A2"/>
    <w:rsid w:val="20AC592F"/>
    <w:rsid w:val="20B26522"/>
    <w:rsid w:val="20B44310"/>
    <w:rsid w:val="20CC38E7"/>
    <w:rsid w:val="20DB5D96"/>
    <w:rsid w:val="211116EB"/>
    <w:rsid w:val="211F7986"/>
    <w:rsid w:val="21431023"/>
    <w:rsid w:val="216133FC"/>
    <w:rsid w:val="2161415A"/>
    <w:rsid w:val="216929AF"/>
    <w:rsid w:val="216C6FBA"/>
    <w:rsid w:val="218925D5"/>
    <w:rsid w:val="21B27333"/>
    <w:rsid w:val="21B62C24"/>
    <w:rsid w:val="21BC2207"/>
    <w:rsid w:val="21BE7F86"/>
    <w:rsid w:val="21D56769"/>
    <w:rsid w:val="21DA1E6E"/>
    <w:rsid w:val="21E52EF3"/>
    <w:rsid w:val="21FB5D7B"/>
    <w:rsid w:val="220B1C3D"/>
    <w:rsid w:val="221D1D20"/>
    <w:rsid w:val="22334A87"/>
    <w:rsid w:val="223E208E"/>
    <w:rsid w:val="224654C1"/>
    <w:rsid w:val="22566527"/>
    <w:rsid w:val="22BE6801"/>
    <w:rsid w:val="22C26C62"/>
    <w:rsid w:val="22CC31F6"/>
    <w:rsid w:val="22EC2C01"/>
    <w:rsid w:val="23231797"/>
    <w:rsid w:val="23271FE1"/>
    <w:rsid w:val="233500BF"/>
    <w:rsid w:val="2335523F"/>
    <w:rsid w:val="23377FF7"/>
    <w:rsid w:val="235558E1"/>
    <w:rsid w:val="236B425F"/>
    <w:rsid w:val="23702843"/>
    <w:rsid w:val="23730F4C"/>
    <w:rsid w:val="23836192"/>
    <w:rsid w:val="238B46C0"/>
    <w:rsid w:val="23901F29"/>
    <w:rsid w:val="239C0061"/>
    <w:rsid w:val="23A91BB2"/>
    <w:rsid w:val="23B908A4"/>
    <w:rsid w:val="23E95BEF"/>
    <w:rsid w:val="23F2765E"/>
    <w:rsid w:val="23F5677C"/>
    <w:rsid w:val="23FD0064"/>
    <w:rsid w:val="24285E12"/>
    <w:rsid w:val="245375B0"/>
    <w:rsid w:val="24550B74"/>
    <w:rsid w:val="24642C0A"/>
    <w:rsid w:val="24692921"/>
    <w:rsid w:val="246D0A09"/>
    <w:rsid w:val="249A164F"/>
    <w:rsid w:val="24B22173"/>
    <w:rsid w:val="24B95AD9"/>
    <w:rsid w:val="24BE0639"/>
    <w:rsid w:val="24BE24DA"/>
    <w:rsid w:val="24CF5825"/>
    <w:rsid w:val="24D34D10"/>
    <w:rsid w:val="24D663E6"/>
    <w:rsid w:val="24D77F2B"/>
    <w:rsid w:val="24DE5462"/>
    <w:rsid w:val="24F52159"/>
    <w:rsid w:val="25530F16"/>
    <w:rsid w:val="258B00E2"/>
    <w:rsid w:val="25A71CF8"/>
    <w:rsid w:val="25A917A6"/>
    <w:rsid w:val="25BE27CC"/>
    <w:rsid w:val="25C7193F"/>
    <w:rsid w:val="25D80DDD"/>
    <w:rsid w:val="25F73E14"/>
    <w:rsid w:val="25F74A5C"/>
    <w:rsid w:val="261C6242"/>
    <w:rsid w:val="2628662C"/>
    <w:rsid w:val="262D45DE"/>
    <w:rsid w:val="26487FFA"/>
    <w:rsid w:val="264A0EBF"/>
    <w:rsid w:val="264A61BF"/>
    <w:rsid w:val="2662090A"/>
    <w:rsid w:val="26797291"/>
    <w:rsid w:val="26986C05"/>
    <w:rsid w:val="26A53EF9"/>
    <w:rsid w:val="26A94201"/>
    <w:rsid w:val="26AC274F"/>
    <w:rsid w:val="27044A29"/>
    <w:rsid w:val="27056071"/>
    <w:rsid w:val="271D34C8"/>
    <w:rsid w:val="27434754"/>
    <w:rsid w:val="276142BF"/>
    <w:rsid w:val="27783712"/>
    <w:rsid w:val="277F0C1F"/>
    <w:rsid w:val="2787653F"/>
    <w:rsid w:val="27907362"/>
    <w:rsid w:val="27E965F8"/>
    <w:rsid w:val="27EE00B2"/>
    <w:rsid w:val="27F7071C"/>
    <w:rsid w:val="28221359"/>
    <w:rsid w:val="28333E1D"/>
    <w:rsid w:val="283C6C0F"/>
    <w:rsid w:val="28454BD6"/>
    <w:rsid w:val="28455253"/>
    <w:rsid w:val="28467D80"/>
    <w:rsid w:val="28551971"/>
    <w:rsid w:val="285B1C53"/>
    <w:rsid w:val="2895356C"/>
    <w:rsid w:val="289F7086"/>
    <w:rsid w:val="28C32028"/>
    <w:rsid w:val="28CB0AD6"/>
    <w:rsid w:val="28CC490F"/>
    <w:rsid w:val="28D62667"/>
    <w:rsid w:val="28DE40AA"/>
    <w:rsid w:val="28E33487"/>
    <w:rsid w:val="28E3573D"/>
    <w:rsid w:val="290A5E25"/>
    <w:rsid w:val="29345E77"/>
    <w:rsid w:val="29357A83"/>
    <w:rsid w:val="294B0DAC"/>
    <w:rsid w:val="294C65AD"/>
    <w:rsid w:val="29806583"/>
    <w:rsid w:val="298B3C4C"/>
    <w:rsid w:val="29D54D29"/>
    <w:rsid w:val="29E90B31"/>
    <w:rsid w:val="29F26D24"/>
    <w:rsid w:val="29FF0355"/>
    <w:rsid w:val="2A1170FC"/>
    <w:rsid w:val="2A15033F"/>
    <w:rsid w:val="2A155109"/>
    <w:rsid w:val="2A1662C1"/>
    <w:rsid w:val="2A1C7367"/>
    <w:rsid w:val="2A2815FA"/>
    <w:rsid w:val="2A5155A0"/>
    <w:rsid w:val="2A6D6092"/>
    <w:rsid w:val="2A7204D1"/>
    <w:rsid w:val="2A7D76B4"/>
    <w:rsid w:val="2A802A25"/>
    <w:rsid w:val="2AA02406"/>
    <w:rsid w:val="2AC01D81"/>
    <w:rsid w:val="2AC70EDC"/>
    <w:rsid w:val="2AFF093C"/>
    <w:rsid w:val="2B2A7653"/>
    <w:rsid w:val="2B373B1E"/>
    <w:rsid w:val="2B437463"/>
    <w:rsid w:val="2B7807EE"/>
    <w:rsid w:val="2B945009"/>
    <w:rsid w:val="2BBF00EC"/>
    <w:rsid w:val="2BC37CFD"/>
    <w:rsid w:val="2BD22C66"/>
    <w:rsid w:val="2BD5237F"/>
    <w:rsid w:val="2BE536CE"/>
    <w:rsid w:val="2BE758D9"/>
    <w:rsid w:val="2BE772F2"/>
    <w:rsid w:val="2C09049E"/>
    <w:rsid w:val="2C0A653C"/>
    <w:rsid w:val="2C191F85"/>
    <w:rsid w:val="2C4712C3"/>
    <w:rsid w:val="2C491E25"/>
    <w:rsid w:val="2C556E31"/>
    <w:rsid w:val="2C6000DA"/>
    <w:rsid w:val="2C6D53B9"/>
    <w:rsid w:val="2C874F6F"/>
    <w:rsid w:val="2CA32A1F"/>
    <w:rsid w:val="2CA959F5"/>
    <w:rsid w:val="2CC15D95"/>
    <w:rsid w:val="2CE82D6F"/>
    <w:rsid w:val="2CEF4B76"/>
    <w:rsid w:val="2D343236"/>
    <w:rsid w:val="2D4509FB"/>
    <w:rsid w:val="2D5C086B"/>
    <w:rsid w:val="2D5C33B1"/>
    <w:rsid w:val="2D681DE7"/>
    <w:rsid w:val="2D823314"/>
    <w:rsid w:val="2D9078D1"/>
    <w:rsid w:val="2D9214E0"/>
    <w:rsid w:val="2DD1025A"/>
    <w:rsid w:val="2DD15014"/>
    <w:rsid w:val="2DF51922"/>
    <w:rsid w:val="2DF72DE4"/>
    <w:rsid w:val="2E0220AF"/>
    <w:rsid w:val="2E07472B"/>
    <w:rsid w:val="2E0E6DB8"/>
    <w:rsid w:val="2E2F4725"/>
    <w:rsid w:val="2E455766"/>
    <w:rsid w:val="2E4B082A"/>
    <w:rsid w:val="2E5D4E86"/>
    <w:rsid w:val="2E5D790B"/>
    <w:rsid w:val="2E753370"/>
    <w:rsid w:val="2E9A3C18"/>
    <w:rsid w:val="2EBB0FEE"/>
    <w:rsid w:val="2EC22DD3"/>
    <w:rsid w:val="2EC63002"/>
    <w:rsid w:val="2EE364E6"/>
    <w:rsid w:val="2EFD2AE1"/>
    <w:rsid w:val="2F0748E1"/>
    <w:rsid w:val="2F0A6B38"/>
    <w:rsid w:val="2F394CAA"/>
    <w:rsid w:val="2F3B2DD2"/>
    <w:rsid w:val="2F3D2BFE"/>
    <w:rsid w:val="2F6F7335"/>
    <w:rsid w:val="2F882B9B"/>
    <w:rsid w:val="2F93773A"/>
    <w:rsid w:val="2F946CCB"/>
    <w:rsid w:val="2FAC6889"/>
    <w:rsid w:val="2FD25781"/>
    <w:rsid w:val="2FDB0057"/>
    <w:rsid w:val="2FFD5044"/>
    <w:rsid w:val="2FFD7934"/>
    <w:rsid w:val="30733ACD"/>
    <w:rsid w:val="3075311F"/>
    <w:rsid w:val="308C3862"/>
    <w:rsid w:val="30911F89"/>
    <w:rsid w:val="309379D8"/>
    <w:rsid w:val="30A270F7"/>
    <w:rsid w:val="30C728B0"/>
    <w:rsid w:val="30CF0445"/>
    <w:rsid w:val="30DF1478"/>
    <w:rsid w:val="30EC586F"/>
    <w:rsid w:val="311213ED"/>
    <w:rsid w:val="31294542"/>
    <w:rsid w:val="319C6071"/>
    <w:rsid w:val="31A863E0"/>
    <w:rsid w:val="31AC537E"/>
    <w:rsid w:val="31CF4F1B"/>
    <w:rsid w:val="31E3679B"/>
    <w:rsid w:val="31E732FD"/>
    <w:rsid w:val="31FB4D3F"/>
    <w:rsid w:val="32517576"/>
    <w:rsid w:val="32BE5C2C"/>
    <w:rsid w:val="32ED07A3"/>
    <w:rsid w:val="32FB6478"/>
    <w:rsid w:val="330709B5"/>
    <w:rsid w:val="330E2F43"/>
    <w:rsid w:val="330E6900"/>
    <w:rsid w:val="33263B3F"/>
    <w:rsid w:val="332C1A8F"/>
    <w:rsid w:val="334A12E1"/>
    <w:rsid w:val="335122D7"/>
    <w:rsid w:val="336963EB"/>
    <w:rsid w:val="337802BF"/>
    <w:rsid w:val="33816EEB"/>
    <w:rsid w:val="338F52EF"/>
    <w:rsid w:val="33C2787F"/>
    <w:rsid w:val="33EB55CD"/>
    <w:rsid w:val="33EC4C02"/>
    <w:rsid w:val="34063FC5"/>
    <w:rsid w:val="340D2360"/>
    <w:rsid w:val="3410665D"/>
    <w:rsid w:val="34211214"/>
    <w:rsid w:val="342E63AB"/>
    <w:rsid w:val="343E2B5D"/>
    <w:rsid w:val="346516FC"/>
    <w:rsid w:val="3468501E"/>
    <w:rsid w:val="34711E4F"/>
    <w:rsid w:val="34915D87"/>
    <w:rsid w:val="34950E68"/>
    <w:rsid w:val="34986B17"/>
    <w:rsid w:val="34986E94"/>
    <w:rsid w:val="34AF62C9"/>
    <w:rsid w:val="34CB4388"/>
    <w:rsid w:val="34FA6E12"/>
    <w:rsid w:val="355C48AD"/>
    <w:rsid w:val="358D5588"/>
    <w:rsid w:val="359A54B9"/>
    <w:rsid w:val="35B82B71"/>
    <w:rsid w:val="35C05806"/>
    <w:rsid w:val="35C42453"/>
    <w:rsid w:val="35D617AE"/>
    <w:rsid w:val="35DB2321"/>
    <w:rsid w:val="361B3215"/>
    <w:rsid w:val="363A3B40"/>
    <w:rsid w:val="365302AE"/>
    <w:rsid w:val="36607A0A"/>
    <w:rsid w:val="366529DF"/>
    <w:rsid w:val="366723E8"/>
    <w:rsid w:val="366E227C"/>
    <w:rsid w:val="366F2E0D"/>
    <w:rsid w:val="36735F09"/>
    <w:rsid w:val="367B6A5C"/>
    <w:rsid w:val="36A52284"/>
    <w:rsid w:val="36A74ADA"/>
    <w:rsid w:val="36AD60D5"/>
    <w:rsid w:val="36B224F9"/>
    <w:rsid w:val="36BE005A"/>
    <w:rsid w:val="36BE1D3D"/>
    <w:rsid w:val="36C31EEC"/>
    <w:rsid w:val="36C4095C"/>
    <w:rsid w:val="36C841D0"/>
    <w:rsid w:val="36EC0CC9"/>
    <w:rsid w:val="37090039"/>
    <w:rsid w:val="371A4B70"/>
    <w:rsid w:val="37363295"/>
    <w:rsid w:val="373F410B"/>
    <w:rsid w:val="37755EB7"/>
    <w:rsid w:val="379245B6"/>
    <w:rsid w:val="37EE7094"/>
    <w:rsid w:val="38296C89"/>
    <w:rsid w:val="383002EB"/>
    <w:rsid w:val="38586797"/>
    <w:rsid w:val="38654298"/>
    <w:rsid w:val="38797966"/>
    <w:rsid w:val="388243AC"/>
    <w:rsid w:val="38855EC9"/>
    <w:rsid w:val="388801F5"/>
    <w:rsid w:val="3894610C"/>
    <w:rsid w:val="38B113F5"/>
    <w:rsid w:val="38BC0149"/>
    <w:rsid w:val="38CB5E2E"/>
    <w:rsid w:val="38D87D1C"/>
    <w:rsid w:val="38E22CFA"/>
    <w:rsid w:val="39092512"/>
    <w:rsid w:val="391A199A"/>
    <w:rsid w:val="39335925"/>
    <w:rsid w:val="39636459"/>
    <w:rsid w:val="396B7F6C"/>
    <w:rsid w:val="39A05A48"/>
    <w:rsid w:val="39B417A9"/>
    <w:rsid w:val="39BB2205"/>
    <w:rsid w:val="39F229AD"/>
    <w:rsid w:val="39F94929"/>
    <w:rsid w:val="39FC5695"/>
    <w:rsid w:val="3A006D8E"/>
    <w:rsid w:val="3A3651E5"/>
    <w:rsid w:val="3A476BFD"/>
    <w:rsid w:val="3A6B67E3"/>
    <w:rsid w:val="3A744481"/>
    <w:rsid w:val="3A8C7BEF"/>
    <w:rsid w:val="3A906246"/>
    <w:rsid w:val="3AA54601"/>
    <w:rsid w:val="3AE004A0"/>
    <w:rsid w:val="3B0B3820"/>
    <w:rsid w:val="3B2349B7"/>
    <w:rsid w:val="3B3C7E67"/>
    <w:rsid w:val="3B3FC59C"/>
    <w:rsid w:val="3B4257EA"/>
    <w:rsid w:val="3B616CFF"/>
    <w:rsid w:val="3B6259F6"/>
    <w:rsid w:val="3B720C0D"/>
    <w:rsid w:val="3B820DE6"/>
    <w:rsid w:val="3B976654"/>
    <w:rsid w:val="3BAF42E8"/>
    <w:rsid w:val="3BB6355F"/>
    <w:rsid w:val="3BC01EFC"/>
    <w:rsid w:val="3BC324BF"/>
    <w:rsid w:val="3BCA786A"/>
    <w:rsid w:val="3BD31E2F"/>
    <w:rsid w:val="3BF15831"/>
    <w:rsid w:val="3C0D7A60"/>
    <w:rsid w:val="3C105946"/>
    <w:rsid w:val="3C1F7245"/>
    <w:rsid w:val="3C471448"/>
    <w:rsid w:val="3C4A2B79"/>
    <w:rsid w:val="3C577B7C"/>
    <w:rsid w:val="3C5F759A"/>
    <w:rsid w:val="3C6C525A"/>
    <w:rsid w:val="3CAD649B"/>
    <w:rsid w:val="3CB74ABF"/>
    <w:rsid w:val="3CC33275"/>
    <w:rsid w:val="3CC34D87"/>
    <w:rsid w:val="3CCA0235"/>
    <w:rsid w:val="3CCB4B5A"/>
    <w:rsid w:val="3CCE23CB"/>
    <w:rsid w:val="3CD17D17"/>
    <w:rsid w:val="3D095B46"/>
    <w:rsid w:val="3D3C7F39"/>
    <w:rsid w:val="3D4015F2"/>
    <w:rsid w:val="3D440F09"/>
    <w:rsid w:val="3D4504A0"/>
    <w:rsid w:val="3D4B50E0"/>
    <w:rsid w:val="3D6F6425"/>
    <w:rsid w:val="3D7824A0"/>
    <w:rsid w:val="3D8449A1"/>
    <w:rsid w:val="3D864BBD"/>
    <w:rsid w:val="3D8734BB"/>
    <w:rsid w:val="3D9A11D4"/>
    <w:rsid w:val="3DA16D89"/>
    <w:rsid w:val="3DA364BE"/>
    <w:rsid w:val="3DAC2910"/>
    <w:rsid w:val="3DCD7093"/>
    <w:rsid w:val="3DDE2232"/>
    <w:rsid w:val="3DE041CB"/>
    <w:rsid w:val="3E0D48F6"/>
    <w:rsid w:val="3E185305"/>
    <w:rsid w:val="3E1868B4"/>
    <w:rsid w:val="3E377251"/>
    <w:rsid w:val="3E412892"/>
    <w:rsid w:val="3E42664B"/>
    <w:rsid w:val="3E4A4A56"/>
    <w:rsid w:val="3E4B4F87"/>
    <w:rsid w:val="3E5661DC"/>
    <w:rsid w:val="3E5A7334"/>
    <w:rsid w:val="3E7B5D6B"/>
    <w:rsid w:val="3E843E66"/>
    <w:rsid w:val="3E8F51FE"/>
    <w:rsid w:val="3E926F87"/>
    <w:rsid w:val="3E9A59DE"/>
    <w:rsid w:val="3EAF4836"/>
    <w:rsid w:val="3EB94A62"/>
    <w:rsid w:val="3EC33DFA"/>
    <w:rsid w:val="3EC84D62"/>
    <w:rsid w:val="3EE85404"/>
    <w:rsid w:val="3EEE5D89"/>
    <w:rsid w:val="3F060E16"/>
    <w:rsid w:val="3F125A52"/>
    <w:rsid w:val="3F173D18"/>
    <w:rsid w:val="3F1C4A39"/>
    <w:rsid w:val="3F1D1096"/>
    <w:rsid w:val="3F253F62"/>
    <w:rsid w:val="3F2F0234"/>
    <w:rsid w:val="3F485313"/>
    <w:rsid w:val="3F485DF7"/>
    <w:rsid w:val="3F6363FE"/>
    <w:rsid w:val="3F6F35A5"/>
    <w:rsid w:val="3F756B8F"/>
    <w:rsid w:val="3F8F60F8"/>
    <w:rsid w:val="3F95482B"/>
    <w:rsid w:val="3FA57E6B"/>
    <w:rsid w:val="3FB577A3"/>
    <w:rsid w:val="3FC76DC7"/>
    <w:rsid w:val="3FFE3893"/>
    <w:rsid w:val="400420D2"/>
    <w:rsid w:val="401565BF"/>
    <w:rsid w:val="4019356B"/>
    <w:rsid w:val="40275AB8"/>
    <w:rsid w:val="4046605F"/>
    <w:rsid w:val="40592157"/>
    <w:rsid w:val="40674A44"/>
    <w:rsid w:val="406E1CAE"/>
    <w:rsid w:val="4070076D"/>
    <w:rsid w:val="407333CC"/>
    <w:rsid w:val="407A39D5"/>
    <w:rsid w:val="40817E61"/>
    <w:rsid w:val="40880C4C"/>
    <w:rsid w:val="409A0980"/>
    <w:rsid w:val="40A0133A"/>
    <w:rsid w:val="40A62544"/>
    <w:rsid w:val="40B56519"/>
    <w:rsid w:val="40C11463"/>
    <w:rsid w:val="40C31A53"/>
    <w:rsid w:val="40FF545D"/>
    <w:rsid w:val="410067C8"/>
    <w:rsid w:val="4101245E"/>
    <w:rsid w:val="41193901"/>
    <w:rsid w:val="412B15D8"/>
    <w:rsid w:val="41340454"/>
    <w:rsid w:val="41644E2F"/>
    <w:rsid w:val="418F0D2A"/>
    <w:rsid w:val="419929E5"/>
    <w:rsid w:val="41A22999"/>
    <w:rsid w:val="41B63597"/>
    <w:rsid w:val="41D01505"/>
    <w:rsid w:val="41E9396D"/>
    <w:rsid w:val="420C31B7"/>
    <w:rsid w:val="421079C8"/>
    <w:rsid w:val="421E7984"/>
    <w:rsid w:val="42474939"/>
    <w:rsid w:val="424C3C57"/>
    <w:rsid w:val="425C592F"/>
    <w:rsid w:val="42613FF3"/>
    <w:rsid w:val="42654F91"/>
    <w:rsid w:val="42660D96"/>
    <w:rsid w:val="428667D2"/>
    <w:rsid w:val="429A368A"/>
    <w:rsid w:val="429D3A09"/>
    <w:rsid w:val="42AC73EE"/>
    <w:rsid w:val="42CD1CE0"/>
    <w:rsid w:val="42D55C91"/>
    <w:rsid w:val="42E1381E"/>
    <w:rsid w:val="42E4495E"/>
    <w:rsid w:val="42ED6459"/>
    <w:rsid w:val="42F16C31"/>
    <w:rsid w:val="42FE58DD"/>
    <w:rsid w:val="43144544"/>
    <w:rsid w:val="43174B3D"/>
    <w:rsid w:val="43176C07"/>
    <w:rsid w:val="431C3DDE"/>
    <w:rsid w:val="43354997"/>
    <w:rsid w:val="434B790E"/>
    <w:rsid w:val="4360274F"/>
    <w:rsid w:val="43977AB6"/>
    <w:rsid w:val="43A07FF2"/>
    <w:rsid w:val="43A24A91"/>
    <w:rsid w:val="43A3342B"/>
    <w:rsid w:val="43C77C27"/>
    <w:rsid w:val="43CA199B"/>
    <w:rsid w:val="43D70EA3"/>
    <w:rsid w:val="43DE09EE"/>
    <w:rsid w:val="43EC14F2"/>
    <w:rsid w:val="44002FAD"/>
    <w:rsid w:val="4415542B"/>
    <w:rsid w:val="441B1F26"/>
    <w:rsid w:val="44657104"/>
    <w:rsid w:val="449101DD"/>
    <w:rsid w:val="44B02520"/>
    <w:rsid w:val="44BA722D"/>
    <w:rsid w:val="44BE701B"/>
    <w:rsid w:val="44DE1391"/>
    <w:rsid w:val="44F96CD2"/>
    <w:rsid w:val="45051DFF"/>
    <w:rsid w:val="450978A3"/>
    <w:rsid w:val="45106B70"/>
    <w:rsid w:val="451B225C"/>
    <w:rsid w:val="452410C9"/>
    <w:rsid w:val="45317DFB"/>
    <w:rsid w:val="45561319"/>
    <w:rsid w:val="456D3CE4"/>
    <w:rsid w:val="4579042C"/>
    <w:rsid w:val="457F0571"/>
    <w:rsid w:val="45851176"/>
    <w:rsid w:val="45883496"/>
    <w:rsid w:val="45AF4585"/>
    <w:rsid w:val="45B10806"/>
    <w:rsid w:val="45C63B94"/>
    <w:rsid w:val="45C7395E"/>
    <w:rsid w:val="45D40B51"/>
    <w:rsid w:val="45D778F2"/>
    <w:rsid w:val="45E3003E"/>
    <w:rsid w:val="45ED1044"/>
    <w:rsid w:val="45FF50F7"/>
    <w:rsid w:val="460A332B"/>
    <w:rsid w:val="460E7DA5"/>
    <w:rsid w:val="4629258A"/>
    <w:rsid w:val="463E49BE"/>
    <w:rsid w:val="46402205"/>
    <w:rsid w:val="46422483"/>
    <w:rsid w:val="464C163A"/>
    <w:rsid w:val="4659254A"/>
    <w:rsid w:val="465B0637"/>
    <w:rsid w:val="465E3F0D"/>
    <w:rsid w:val="466A16E6"/>
    <w:rsid w:val="466A3861"/>
    <w:rsid w:val="467B69ED"/>
    <w:rsid w:val="46893F2B"/>
    <w:rsid w:val="46AA43CF"/>
    <w:rsid w:val="46C4686E"/>
    <w:rsid w:val="46D02A05"/>
    <w:rsid w:val="47005C08"/>
    <w:rsid w:val="4715601C"/>
    <w:rsid w:val="476C6937"/>
    <w:rsid w:val="477B3444"/>
    <w:rsid w:val="477B778F"/>
    <w:rsid w:val="477F61D9"/>
    <w:rsid w:val="478203EC"/>
    <w:rsid w:val="478661AE"/>
    <w:rsid w:val="47941618"/>
    <w:rsid w:val="47990211"/>
    <w:rsid w:val="47B025FA"/>
    <w:rsid w:val="47FE483C"/>
    <w:rsid w:val="4809698F"/>
    <w:rsid w:val="4811697D"/>
    <w:rsid w:val="48497E3B"/>
    <w:rsid w:val="485164AC"/>
    <w:rsid w:val="487A3E25"/>
    <w:rsid w:val="487D5D72"/>
    <w:rsid w:val="488169AC"/>
    <w:rsid w:val="488B5503"/>
    <w:rsid w:val="48937E21"/>
    <w:rsid w:val="489A0361"/>
    <w:rsid w:val="489B3B98"/>
    <w:rsid w:val="48AD6A8D"/>
    <w:rsid w:val="48B94FF3"/>
    <w:rsid w:val="48D73CCE"/>
    <w:rsid w:val="48E37AAB"/>
    <w:rsid w:val="48E924A4"/>
    <w:rsid w:val="48FD4B4C"/>
    <w:rsid w:val="49061243"/>
    <w:rsid w:val="490A68E0"/>
    <w:rsid w:val="491055FE"/>
    <w:rsid w:val="495A44E3"/>
    <w:rsid w:val="495F5B3E"/>
    <w:rsid w:val="496F77D7"/>
    <w:rsid w:val="4974501A"/>
    <w:rsid w:val="497654FD"/>
    <w:rsid w:val="497E2BEC"/>
    <w:rsid w:val="49865B91"/>
    <w:rsid w:val="499C3073"/>
    <w:rsid w:val="49B64211"/>
    <w:rsid w:val="49C149D7"/>
    <w:rsid w:val="49D5424A"/>
    <w:rsid w:val="49F6167F"/>
    <w:rsid w:val="4A064FA0"/>
    <w:rsid w:val="4A0909A1"/>
    <w:rsid w:val="4A111CB3"/>
    <w:rsid w:val="4A16615C"/>
    <w:rsid w:val="4A2E3849"/>
    <w:rsid w:val="4A3947A9"/>
    <w:rsid w:val="4A4424D7"/>
    <w:rsid w:val="4A477FA8"/>
    <w:rsid w:val="4A732573"/>
    <w:rsid w:val="4A8D40AE"/>
    <w:rsid w:val="4AB82D0F"/>
    <w:rsid w:val="4ABB17CB"/>
    <w:rsid w:val="4ABE526B"/>
    <w:rsid w:val="4AE95FC2"/>
    <w:rsid w:val="4AEB7664"/>
    <w:rsid w:val="4AFD7C19"/>
    <w:rsid w:val="4B01013B"/>
    <w:rsid w:val="4B0567D1"/>
    <w:rsid w:val="4B1C363A"/>
    <w:rsid w:val="4B236AAE"/>
    <w:rsid w:val="4B707271"/>
    <w:rsid w:val="4B7D15B9"/>
    <w:rsid w:val="4B9739F7"/>
    <w:rsid w:val="4B9F3C28"/>
    <w:rsid w:val="4BB23ABA"/>
    <w:rsid w:val="4BE9413D"/>
    <w:rsid w:val="4BEE2503"/>
    <w:rsid w:val="4BEF5BF8"/>
    <w:rsid w:val="4C185C45"/>
    <w:rsid w:val="4C245A30"/>
    <w:rsid w:val="4C503B9A"/>
    <w:rsid w:val="4C647EE7"/>
    <w:rsid w:val="4C736329"/>
    <w:rsid w:val="4C790A74"/>
    <w:rsid w:val="4C7C718B"/>
    <w:rsid w:val="4C9A46B8"/>
    <w:rsid w:val="4C9A4AA6"/>
    <w:rsid w:val="4CB6685F"/>
    <w:rsid w:val="4CC367FE"/>
    <w:rsid w:val="4CD670E4"/>
    <w:rsid w:val="4CE31381"/>
    <w:rsid w:val="4D077F3C"/>
    <w:rsid w:val="4D123355"/>
    <w:rsid w:val="4D13462F"/>
    <w:rsid w:val="4D2A3B31"/>
    <w:rsid w:val="4D312C52"/>
    <w:rsid w:val="4D383202"/>
    <w:rsid w:val="4D73233C"/>
    <w:rsid w:val="4D7905BB"/>
    <w:rsid w:val="4D844549"/>
    <w:rsid w:val="4D905305"/>
    <w:rsid w:val="4D964A72"/>
    <w:rsid w:val="4D9B759A"/>
    <w:rsid w:val="4D9C1254"/>
    <w:rsid w:val="4DA00027"/>
    <w:rsid w:val="4DC36632"/>
    <w:rsid w:val="4DD03F9D"/>
    <w:rsid w:val="4DDD0D94"/>
    <w:rsid w:val="4DE4323A"/>
    <w:rsid w:val="4DE56662"/>
    <w:rsid w:val="4DF55F07"/>
    <w:rsid w:val="4DFC0584"/>
    <w:rsid w:val="4DFE50DF"/>
    <w:rsid w:val="4E27029F"/>
    <w:rsid w:val="4E467A51"/>
    <w:rsid w:val="4E5E2FEC"/>
    <w:rsid w:val="4E6544E7"/>
    <w:rsid w:val="4E731AEC"/>
    <w:rsid w:val="4E793892"/>
    <w:rsid w:val="4E800872"/>
    <w:rsid w:val="4E837EE4"/>
    <w:rsid w:val="4E9764FE"/>
    <w:rsid w:val="4EB63AF8"/>
    <w:rsid w:val="4EC569ED"/>
    <w:rsid w:val="4ED50EA1"/>
    <w:rsid w:val="4EDE7C89"/>
    <w:rsid w:val="4EDF24BE"/>
    <w:rsid w:val="4EEC050C"/>
    <w:rsid w:val="4EEC14ED"/>
    <w:rsid w:val="4F104EC3"/>
    <w:rsid w:val="4F2C625F"/>
    <w:rsid w:val="4F47354A"/>
    <w:rsid w:val="4F563CC4"/>
    <w:rsid w:val="4F710CA8"/>
    <w:rsid w:val="4F840831"/>
    <w:rsid w:val="4F911C54"/>
    <w:rsid w:val="4FE625E0"/>
    <w:rsid w:val="4FE94F10"/>
    <w:rsid w:val="501C18CE"/>
    <w:rsid w:val="5021480F"/>
    <w:rsid w:val="506932DB"/>
    <w:rsid w:val="50962ECB"/>
    <w:rsid w:val="50A42E38"/>
    <w:rsid w:val="50A4577F"/>
    <w:rsid w:val="50B73D1F"/>
    <w:rsid w:val="50BD5BC9"/>
    <w:rsid w:val="50C11EEE"/>
    <w:rsid w:val="50E97CFC"/>
    <w:rsid w:val="50F70D9C"/>
    <w:rsid w:val="50FA4028"/>
    <w:rsid w:val="510D65B7"/>
    <w:rsid w:val="511157AB"/>
    <w:rsid w:val="511B048E"/>
    <w:rsid w:val="511C0277"/>
    <w:rsid w:val="51363DAD"/>
    <w:rsid w:val="5142540C"/>
    <w:rsid w:val="515B7CB7"/>
    <w:rsid w:val="51685364"/>
    <w:rsid w:val="517A1653"/>
    <w:rsid w:val="518832C8"/>
    <w:rsid w:val="51A0432A"/>
    <w:rsid w:val="51A86090"/>
    <w:rsid w:val="51AC406F"/>
    <w:rsid w:val="51B278FC"/>
    <w:rsid w:val="51B573C7"/>
    <w:rsid w:val="51B7396D"/>
    <w:rsid w:val="51C251C4"/>
    <w:rsid w:val="51FF2B95"/>
    <w:rsid w:val="522E4CC3"/>
    <w:rsid w:val="5244713B"/>
    <w:rsid w:val="52615633"/>
    <w:rsid w:val="52866FBA"/>
    <w:rsid w:val="52977FD4"/>
    <w:rsid w:val="52A25790"/>
    <w:rsid w:val="52A96B6F"/>
    <w:rsid w:val="52B45975"/>
    <w:rsid w:val="52D94AA4"/>
    <w:rsid w:val="52EA3A62"/>
    <w:rsid w:val="52F50BB8"/>
    <w:rsid w:val="53097272"/>
    <w:rsid w:val="532C5467"/>
    <w:rsid w:val="53332910"/>
    <w:rsid w:val="5334495E"/>
    <w:rsid w:val="534A3B3F"/>
    <w:rsid w:val="53513CED"/>
    <w:rsid w:val="53544462"/>
    <w:rsid w:val="535A1773"/>
    <w:rsid w:val="53946913"/>
    <w:rsid w:val="5397158E"/>
    <w:rsid w:val="54013861"/>
    <w:rsid w:val="54487265"/>
    <w:rsid w:val="544D6070"/>
    <w:rsid w:val="54593DEF"/>
    <w:rsid w:val="54605E1E"/>
    <w:rsid w:val="54786FD4"/>
    <w:rsid w:val="54B3506A"/>
    <w:rsid w:val="54C94F38"/>
    <w:rsid w:val="54CA0D16"/>
    <w:rsid w:val="54D934E7"/>
    <w:rsid w:val="54DD4057"/>
    <w:rsid w:val="54E7490F"/>
    <w:rsid w:val="54F60F8F"/>
    <w:rsid w:val="54FA328F"/>
    <w:rsid w:val="550764A4"/>
    <w:rsid w:val="550B2BF6"/>
    <w:rsid w:val="55214EB5"/>
    <w:rsid w:val="552F04B5"/>
    <w:rsid w:val="55333995"/>
    <w:rsid w:val="55364EFD"/>
    <w:rsid w:val="555D41F9"/>
    <w:rsid w:val="555D4828"/>
    <w:rsid w:val="557A4C8B"/>
    <w:rsid w:val="558931E1"/>
    <w:rsid w:val="55902A27"/>
    <w:rsid w:val="55907E2C"/>
    <w:rsid w:val="55923347"/>
    <w:rsid w:val="55925180"/>
    <w:rsid w:val="55983B1B"/>
    <w:rsid w:val="55A8376B"/>
    <w:rsid w:val="55AE4859"/>
    <w:rsid w:val="55D50903"/>
    <w:rsid w:val="55DC29B6"/>
    <w:rsid w:val="55DD4241"/>
    <w:rsid w:val="55DD66F5"/>
    <w:rsid w:val="561926D0"/>
    <w:rsid w:val="566B6D1E"/>
    <w:rsid w:val="56784423"/>
    <w:rsid w:val="56926383"/>
    <w:rsid w:val="569A4DDE"/>
    <w:rsid w:val="569F6AC7"/>
    <w:rsid w:val="56AA6827"/>
    <w:rsid w:val="56CE5FD6"/>
    <w:rsid w:val="56DD0123"/>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D20C2"/>
    <w:rsid w:val="57D675AB"/>
    <w:rsid w:val="57D924A3"/>
    <w:rsid w:val="57D95FDD"/>
    <w:rsid w:val="57E842D2"/>
    <w:rsid w:val="57EA58F1"/>
    <w:rsid w:val="57FF17AF"/>
    <w:rsid w:val="58131835"/>
    <w:rsid w:val="58142FFC"/>
    <w:rsid w:val="585B1424"/>
    <w:rsid w:val="586D4F54"/>
    <w:rsid w:val="587421E3"/>
    <w:rsid w:val="58917D2F"/>
    <w:rsid w:val="5894085C"/>
    <w:rsid w:val="58AE4F0C"/>
    <w:rsid w:val="58B85899"/>
    <w:rsid w:val="58C61EBA"/>
    <w:rsid w:val="58CF5C03"/>
    <w:rsid w:val="58E363A9"/>
    <w:rsid w:val="58E43708"/>
    <w:rsid w:val="58E64E1F"/>
    <w:rsid w:val="58EE31BF"/>
    <w:rsid w:val="590E29AC"/>
    <w:rsid w:val="5915214E"/>
    <w:rsid w:val="591B0458"/>
    <w:rsid w:val="595649FB"/>
    <w:rsid w:val="595E1678"/>
    <w:rsid w:val="596D5BD4"/>
    <w:rsid w:val="59782F99"/>
    <w:rsid w:val="597E3DD8"/>
    <w:rsid w:val="59CA499C"/>
    <w:rsid w:val="59D634DF"/>
    <w:rsid w:val="59F80043"/>
    <w:rsid w:val="5A020A23"/>
    <w:rsid w:val="5A09252F"/>
    <w:rsid w:val="5A0B2778"/>
    <w:rsid w:val="5A133E67"/>
    <w:rsid w:val="5A2A7C7B"/>
    <w:rsid w:val="5A3E2560"/>
    <w:rsid w:val="5A413C41"/>
    <w:rsid w:val="5A5A20BB"/>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4C1CA6"/>
    <w:rsid w:val="5B5639C9"/>
    <w:rsid w:val="5B6B0A58"/>
    <w:rsid w:val="5B72769E"/>
    <w:rsid w:val="5B843A1C"/>
    <w:rsid w:val="5B873E3F"/>
    <w:rsid w:val="5B897053"/>
    <w:rsid w:val="5BA83A02"/>
    <w:rsid w:val="5BE82147"/>
    <w:rsid w:val="5C02690E"/>
    <w:rsid w:val="5C196DA7"/>
    <w:rsid w:val="5C1D0043"/>
    <w:rsid w:val="5C2A048C"/>
    <w:rsid w:val="5C423F4D"/>
    <w:rsid w:val="5C80234E"/>
    <w:rsid w:val="5C8A680C"/>
    <w:rsid w:val="5CA644DC"/>
    <w:rsid w:val="5CC54006"/>
    <w:rsid w:val="5CE01922"/>
    <w:rsid w:val="5CEC7655"/>
    <w:rsid w:val="5D0C4701"/>
    <w:rsid w:val="5D0F0395"/>
    <w:rsid w:val="5D1E7F63"/>
    <w:rsid w:val="5D221076"/>
    <w:rsid w:val="5D397964"/>
    <w:rsid w:val="5D3C099D"/>
    <w:rsid w:val="5D5A391C"/>
    <w:rsid w:val="5D5F10C0"/>
    <w:rsid w:val="5D891B7B"/>
    <w:rsid w:val="5DA35AD2"/>
    <w:rsid w:val="5DAA5DD8"/>
    <w:rsid w:val="5DAD38EE"/>
    <w:rsid w:val="5DB524FD"/>
    <w:rsid w:val="5DCE5EE9"/>
    <w:rsid w:val="5E006862"/>
    <w:rsid w:val="5E0207B9"/>
    <w:rsid w:val="5E0A4510"/>
    <w:rsid w:val="5E0B0AD6"/>
    <w:rsid w:val="5E1834A1"/>
    <w:rsid w:val="5E261785"/>
    <w:rsid w:val="5E4A7017"/>
    <w:rsid w:val="5E4F2952"/>
    <w:rsid w:val="5E552BBA"/>
    <w:rsid w:val="5E610D01"/>
    <w:rsid w:val="5E611C10"/>
    <w:rsid w:val="5E655CD1"/>
    <w:rsid w:val="5E766130"/>
    <w:rsid w:val="5E81584B"/>
    <w:rsid w:val="5EA31D4C"/>
    <w:rsid w:val="5EBD26AC"/>
    <w:rsid w:val="5EE80872"/>
    <w:rsid w:val="5EF217F7"/>
    <w:rsid w:val="5EFC7377"/>
    <w:rsid w:val="5F06174D"/>
    <w:rsid w:val="5F3A3602"/>
    <w:rsid w:val="5F6277C6"/>
    <w:rsid w:val="5F6D0B1D"/>
    <w:rsid w:val="5F6FF5AD"/>
    <w:rsid w:val="5F8D0B82"/>
    <w:rsid w:val="5FCC5339"/>
    <w:rsid w:val="5FD06E49"/>
    <w:rsid w:val="5FE34A5B"/>
    <w:rsid w:val="5FE66179"/>
    <w:rsid w:val="5FFE1E36"/>
    <w:rsid w:val="600502B2"/>
    <w:rsid w:val="60232584"/>
    <w:rsid w:val="602C4E9D"/>
    <w:rsid w:val="602F0036"/>
    <w:rsid w:val="60520A44"/>
    <w:rsid w:val="6060009F"/>
    <w:rsid w:val="606B090E"/>
    <w:rsid w:val="606D29BB"/>
    <w:rsid w:val="607330CE"/>
    <w:rsid w:val="607905F2"/>
    <w:rsid w:val="60825176"/>
    <w:rsid w:val="609F2AC4"/>
    <w:rsid w:val="60FA2EE8"/>
    <w:rsid w:val="61054A27"/>
    <w:rsid w:val="610A52BC"/>
    <w:rsid w:val="611D2366"/>
    <w:rsid w:val="61401BAF"/>
    <w:rsid w:val="61417FC3"/>
    <w:rsid w:val="61421856"/>
    <w:rsid w:val="615227C4"/>
    <w:rsid w:val="6153074E"/>
    <w:rsid w:val="61654E3F"/>
    <w:rsid w:val="616A7C2A"/>
    <w:rsid w:val="616D2B3C"/>
    <w:rsid w:val="61700C15"/>
    <w:rsid w:val="61721216"/>
    <w:rsid w:val="6182292A"/>
    <w:rsid w:val="618D5C6B"/>
    <w:rsid w:val="619F7F92"/>
    <w:rsid w:val="61B50D1E"/>
    <w:rsid w:val="61B60EF8"/>
    <w:rsid w:val="61F94C26"/>
    <w:rsid w:val="62000E56"/>
    <w:rsid w:val="620A1913"/>
    <w:rsid w:val="620E01E9"/>
    <w:rsid w:val="620F44F5"/>
    <w:rsid w:val="62330149"/>
    <w:rsid w:val="624E346D"/>
    <w:rsid w:val="624F3E49"/>
    <w:rsid w:val="62632286"/>
    <w:rsid w:val="62885958"/>
    <w:rsid w:val="62922E0D"/>
    <w:rsid w:val="62993E27"/>
    <w:rsid w:val="62B674A5"/>
    <w:rsid w:val="62BE0683"/>
    <w:rsid w:val="62ED1E80"/>
    <w:rsid w:val="62F40B65"/>
    <w:rsid w:val="62FC2CFE"/>
    <w:rsid w:val="63024505"/>
    <w:rsid w:val="63063778"/>
    <w:rsid w:val="631E1D46"/>
    <w:rsid w:val="632C6FB1"/>
    <w:rsid w:val="633D721D"/>
    <w:rsid w:val="634405AB"/>
    <w:rsid w:val="63515FE2"/>
    <w:rsid w:val="635B1DB5"/>
    <w:rsid w:val="63612F0B"/>
    <w:rsid w:val="636B0439"/>
    <w:rsid w:val="63711FED"/>
    <w:rsid w:val="63880DDC"/>
    <w:rsid w:val="638D750D"/>
    <w:rsid w:val="63A36518"/>
    <w:rsid w:val="63AC6CC0"/>
    <w:rsid w:val="63D066D2"/>
    <w:rsid w:val="63F65BAE"/>
    <w:rsid w:val="63FA6A04"/>
    <w:rsid w:val="63FF430B"/>
    <w:rsid w:val="64055776"/>
    <w:rsid w:val="640C0875"/>
    <w:rsid w:val="640E127D"/>
    <w:rsid w:val="64240056"/>
    <w:rsid w:val="64243F39"/>
    <w:rsid w:val="643E143A"/>
    <w:rsid w:val="645A71B2"/>
    <w:rsid w:val="645F0EE1"/>
    <w:rsid w:val="648B6EEF"/>
    <w:rsid w:val="648C1B70"/>
    <w:rsid w:val="649D4417"/>
    <w:rsid w:val="64C158BF"/>
    <w:rsid w:val="64C27B00"/>
    <w:rsid w:val="64CE2EAA"/>
    <w:rsid w:val="64D66A7C"/>
    <w:rsid w:val="653C3090"/>
    <w:rsid w:val="653E4948"/>
    <w:rsid w:val="65405CCA"/>
    <w:rsid w:val="6543667F"/>
    <w:rsid w:val="655A3BEA"/>
    <w:rsid w:val="65854376"/>
    <w:rsid w:val="658767BE"/>
    <w:rsid w:val="65892531"/>
    <w:rsid w:val="65BA52F7"/>
    <w:rsid w:val="65E16818"/>
    <w:rsid w:val="6600182C"/>
    <w:rsid w:val="66065A48"/>
    <w:rsid w:val="66195831"/>
    <w:rsid w:val="662B5A52"/>
    <w:rsid w:val="662D6DA8"/>
    <w:rsid w:val="662E75B1"/>
    <w:rsid w:val="66342C2E"/>
    <w:rsid w:val="663E784C"/>
    <w:rsid w:val="666E6653"/>
    <w:rsid w:val="667016B7"/>
    <w:rsid w:val="667A09B7"/>
    <w:rsid w:val="668B6A45"/>
    <w:rsid w:val="66A45BDC"/>
    <w:rsid w:val="66B138C2"/>
    <w:rsid w:val="66C74351"/>
    <w:rsid w:val="66E77E0F"/>
    <w:rsid w:val="671B2C97"/>
    <w:rsid w:val="672F3F24"/>
    <w:rsid w:val="673E055F"/>
    <w:rsid w:val="67551CE3"/>
    <w:rsid w:val="67670EBA"/>
    <w:rsid w:val="67762F9E"/>
    <w:rsid w:val="67927D1C"/>
    <w:rsid w:val="679413D5"/>
    <w:rsid w:val="679B2025"/>
    <w:rsid w:val="67A22552"/>
    <w:rsid w:val="67A62B55"/>
    <w:rsid w:val="67B22DCC"/>
    <w:rsid w:val="67BE71AA"/>
    <w:rsid w:val="67D117A6"/>
    <w:rsid w:val="67D90273"/>
    <w:rsid w:val="67DE5875"/>
    <w:rsid w:val="67E55852"/>
    <w:rsid w:val="67EB1AB4"/>
    <w:rsid w:val="67FA1285"/>
    <w:rsid w:val="681F15E7"/>
    <w:rsid w:val="683F7593"/>
    <w:rsid w:val="68551F4F"/>
    <w:rsid w:val="685847A6"/>
    <w:rsid w:val="68666CAF"/>
    <w:rsid w:val="687C10C9"/>
    <w:rsid w:val="68840C16"/>
    <w:rsid w:val="68876EFB"/>
    <w:rsid w:val="68884654"/>
    <w:rsid w:val="689403A4"/>
    <w:rsid w:val="689F444F"/>
    <w:rsid w:val="68B96DBB"/>
    <w:rsid w:val="68BB37A7"/>
    <w:rsid w:val="68CA2805"/>
    <w:rsid w:val="68E72104"/>
    <w:rsid w:val="68E937A3"/>
    <w:rsid w:val="69196B57"/>
    <w:rsid w:val="691C4BA2"/>
    <w:rsid w:val="693E15D3"/>
    <w:rsid w:val="694A2693"/>
    <w:rsid w:val="694E7060"/>
    <w:rsid w:val="69627681"/>
    <w:rsid w:val="69701FBE"/>
    <w:rsid w:val="6977531D"/>
    <w:rsid w:val="697B1F3A"/>
    <w:rsid w:val="699E5515"/>
    <w:rsid w:val="69A53598"/>
    <w:rsid w:val="69C85FF1"/>
    <w:rsid w:val="69CC2BFF"/>
    <w:rsid w:val="69DB32EB"/>
    <w:rsid w:val="69E20B1E"/>
    <w:rsid w:val="69ED3650"/>
    <w:rsid w:val="69FD55B8"/>
    <w:rsid w:val="69FF2E21"/>
    <w:rsid w:val="6A0B1C62"/>
    <w:rsid w:val="6A1F142A"/>
    <w:rsid w:val="6A2406C8"/>
    <w:rsid w:val="6A2C3AC3"/>
    <w:rsid w:val="6A471A51"/>
    <w:rsid w:val="6A4B7311"/>
    <w:rsid w:val="6A834F5B"/>
    <w:rsid w:val="6A8453C5"/>
    <w:rsid w:val="6A9A6657"/>
    <w:rsid w:val="6AA602C6"/>
    <w:rsid w:val="6ADC37BF"/>
    <w:rsid w:val="6ADE0BD1"/>
    <w:rsid w:val="6AE96859"/>
    <w:rsid w:val="6AF418AC"/>
    <w:rsid w:val="6B0455BE"/>
    <w:rsid w:val="6B10503F"/>
    <w:rsid w:val="6B147746"/>
    <w:rsid w:val="6B24787C"/>
    <w:rsid w:val="6B26761E"/>
    <w:rsid w:val="6B380B3D"/>
    <w:rsid w:val="6B426AD4"/>
    <w:rsid w:val="6B573233"/>
    <w:rsid w:val="6B5B6274"/>
    <w:rsid w:val="6B701F5B"/>
    <w:rsid w:val="6B935D53"/>
    <w:rsid w:val="6BBC5A21"/>
    <w:rsid w:val="6BDA1BDD"/>
    <w:rsid w:val="6BDC30C6"/>
    <w:rsid w:val="6C101A4C"/>
    <w:rsid w:val="6C133194"/>
    <w:rsid w:val="6C196F71"/>
    <w:rsid w:val="6C1A6BD0"/>
    <w:rsid w:val="6C226FCB"/>
    <w:rsid w:val="6C31226F"/>
    <w:rsid w:val="6C514E57"/>
    <w:rsid w:val="6C552F0B"/>
    <w:rsid w:val="6C8C67B7"/>
    <w:rsid w:val="6C9D744C"/>
    <w:rsid w:val="6CAA294A"/>
    <w:rsid w:val="6CC55D31"/>
    <w:rsid w:val="6CFC684D"/>
    <w:rsid w:val="6D167928"/>
    <w:rsid w:val="6D26299B"/>
    <w:rsid w:val="6D411D30"/>
    <w:rsid w:val="6D4772EC"/>
    <w:rsid w:val="6D611D5A"/>
    <w:rsid w:val="6D6B3A4C"/>
    <w:rsid w:val="6D9078AF"/>
    <w:rsid w:val="6DAA3FEF"/>
    <w:rsid w:val="6DBF2DB2"/>
    <w:rsid w:val="6DC0172B"/>
    <w:rsid w:val="6DCB690C"/>
    <w:rsid w:val="6DD41A5B"/>
    <w:rsid w:val="6DDC3C07"/>
    <w:rsid w:val="6DF43C2E"/>
    <w:rsid w:val="6DF51CA3"/>
    <w:rsid w:val="6E0863D3"/>
    <w:rsid w:val="6E8335BD"/>
    <w:rsid w:val="6E8E12EF"/>
    <w:rsid w:val="6E972936"/>
    <w:rsid w:val="6EAC5256"/>
    <w:rsid w:val="6EBF1DC3"/>
    <w:rsid w:val="6ED446C5"/>
    <w:rsid w:val="6EFC484A"/>
    <w:rsid w:val="6F2A7D94"/>
    <w:rsid w:val="6F4F7E59"/>
    <w:rsid w:val="6F730377"/>
    <w:rsid w:val="6F7350E9"/>
    <w:rsid w:val="6F8331F1"/>
    <w:rsid w:val="6F8A0F8C"/>
    <w:rsid w:val="6FAE1A09"/>
    <w:rsid w:val="6FB70C85"/>
    <w:rsid w:val="6FBE0242"/>
    <w:rsid w:val="6FD44A65"/>
    <w:rsid w:val="6FD75BF8"/>
    <w:rsid w:val="701B08E6"/>
    <w:rsid w:val="70206492"/>
    <w:rsid w:val="704E0CBB"/>
    <w:rsid w:val="706F5019"/>
    <w:rsid w:val="707723D0"/>
    <w:rsid w:val="707F1A59"/>
    <w:rsid w:val="70A91A49"/>
    <w:rsid w:val="70BF3010"/>
    <w:rsid w:val="70D56705"/>
    <w:rsid w:val="70E5507E"/>
    <w:rsid w:val="70F5661B"/>
    <w:rsid w:val="71084023"/>
    <w:rsid w:val="710E183A"/>
    <w:rsid w:val="711B4915"/>
    <w:rsid w:val="71360107"/>
    <w:rsid w:val="713B688E"/>
    <w:rsid w:val="713F52B8"/>
    <w:rsid w:val="7151750C"/>
    <w:rsid w:val="71A265F4"/>
    <w:rsid w:val="71D43752"/>
    <w:rsid w:val="71F1796A"/>
    <w:rsid w:val="72093BA6"/>
    <w:rsid w:val="720C45CB"/>
    <w:rsid w:val="72132D4D"/>
    <w:rsid w:val="72154626"/>
    <w:rsid w:val="721735EC"/>
    <w:rsid w:val="721D79EC"/>
    <w:rsid w:val="72262B5D"/>
    <w:rsid w:val="72283FF7"/>
    <w:rsid w:val="722E7212"/>
    <w:rsid w:val="723A0474"/>
    <w:rsid w:val="724F4877"/>
    <w:rsid w:val="725923E4"/>
    <w:rsid w:val="727163BD"/>
    <w:rsid w:val="72777EDD"/>
    <w:rsid w:val="72810791"/>
    <w:rsid w:val="72864BF7"/>
    <w:rsid w:val="729023FC"/>
    <w:rsid w:val="72B62B48"/>
    <w:rsid w:val="72CD7453"/>
    <w:rsid w:val="72CE1FD6"/>
    <w:rsid w:val="72D1172F"/>
    <w:rsid w:val="73124077"/>
    <w:rsid w:val="7328339C"/>
    <w:rsid w:val="73286404"/>
    <w:rsid w:val="73460898"/>
    <w:rsid w:val="734B48DF"/>
    <w:rsid w:val="7358775B"/>
    <w:rsid w:val="737C5229"/>
    <w:rsid w:val="73B95C72"/>
    <w:rsid w:val="73C0646E"/>
    <w:rsid w:val="73D239B1"/>
    <w:rsid w:val="73D96AEE"/>
    <w:rsid w:val="73E6120B"/>
    <w:rsid w:val="73EF1E6D"/>
    <w:rsid w:val="742222F5"/>
    <w:rsid w:val="74273CFD"/>
    <w:rsid w:val="743F27C9"/>
    <w:rsid w:val="74416AC4"/>
    <w:rsid w:val="74476126"/>
    <w:rsid w:val="7463243A"/>
    <w:rsid w:val="74706664"/>
    <w:rsid w:val="747F3682"/>
    <w:rsid w:val="749173C8"/>
    <w:rsid w:val="749C4185"/>
    <w:rsid w:val="74A07091"/>
    <w:rsid w:val="74BC6A08"/>
    <w:rsid w:val="74F45B7B"/>
    <w:rsid w:val="75067759"/>
    <w:rsid w:val="752E6DCD"/>
    <w:rsid w:val="754405BD"/>
    <w:rsid w:val="754F2B6C"/>
    <w:rsid w:val="7551380D"/>
    <w:rsid w:val="75555489"/>
    <w:rsid w:val="75600BE5"/>
    <w:rsid w:val="7564475C"/>
    <w:rsid w:val="7583797F"/>
    <w:rsid w:val="75D20F1D"/>
    <w:rsid w:val="75DA2C18"/>
    <w:rsid w:val="75F54412"/>
    <w:rsid w:val="761D08E0"/>
    <w:rsid w:val="763A5CD8"/>
    <w:rsid w:val="765D347C"/>
    <w:rsid w:val="76826699"/>
    <w:rsid w:val="76B61368"/>
    <w:rsid w:val="76B800A3"/>
    <w:rsid w:val="76C87133"/>
    <w:rsid w:val="76CD08D5"/>
    <w:rsid w:val="76D90BB3"/>
    <w:rsid w:val="76DB4B92"/>
    <w:rsid w:val="76ED6818"/>
    <w:rsid w:val="77020D9E"/>
    <w:rsid w:val="770428B4"/>
    <w:rsid w:val="77052AA4"/>
    <w:rsid w:val="77136511"/>
    <w:rsid w:val="77315B09"/>
    <w:rsid w:val="77340A39"/>
    <w:rsid w:val="77351FD0"/>
    <w:rsid w:val="77472422"/>
    <w:rsid w:val="77781EB2"/>
    <w:rsid w:val="777F31F2"/>
    <w:rsid w:val="778C6817"/>
    <w:rsid w:val="77935205"/>
    <w:rsid w:val="779C6247"/>
    <w:rsid w:val="77C95CD3"/>
    <w:rsid w:val="77D1700D"/>
    <w:rsid w:val="77DB72D8"/>
    <w:rsid w:val="77DF044B"/>
    <w:rsid w:val="77E12CB2"/>
    <w:rsid w:val="77EC04CC"/>
    <w:rsid w:val="77ED2B68"/>
    <w:rsid w:val="77FDDB5F"/>
    <w:rsid w:val="78063EE4"/>
    <w:rsid w:val="78106856"/>
    <w:rsid w:val="781A0520"/>
    <w:rsid w:val="783B4121"/>
    <w:rsid w:val="78602ACB"/>
    <w:rsid w:val="78664675"/>
    <w:rsid w:val="78775729"/>
    <w:rsid w:val="789324D6"/>
    <w:rsid w:val="78A42DB0"/>
    <w:rsid w:val="78A656AB"/>
    <w:rsid w:val="78B2245C"/>
    <w:rsid w:val="78CC2A74"/>
    <w:rsid w:val="78E172CC"/>
    <w:rsid w:val="78E201F2"/>
    <w:rsid w:val="78EA1D1F"/>
    <w:rsid w:val="7904172F"/>
    <w:rsid w:val="790F7E27"/>
    <w:rsid w:val="79175E9E"/>
    <w:rsid w:val="792A231A"/>
    <w:rsid w:val="79316829"/>
    <w:rsid w:val="793D2C83"/>
    <w:rsid w:val="79450781"/>
    <w:rsid w:val="79475498"/>
    <w:rsid w:val="79545A19"/>
    <w:rsid w:val="797E66A9"/>
    <w:rsid w:val="79986827"/>
    <w:rsid w:val="79A97383"/>
    <w:rsid w:val="79B70FAA"/>
    <w:rsid w:val="79B7342D"/>
    <w:rsid w:val="79D35D8D"/>
    <w:rsid w:val="79DD02C6"/>
    <w:rsid w:val="79E27E8B"/>
    <w:rsid w:val="79ED6E4F"/>
    <w:rsid w:val="79F850CE"/>
    <w:rsid w:val="79F8634B"/>
    <w:rsid w:val="79FA0199"/>
    <w:rsid w:val="79FD443C"/>
    <w:rsid w:val="7A066163"/>
    <w:rsid w:val="7A141457"/>
    <w:rsid w:val="7A15183B"/>
    <w:rsid w:val="7A1D1975"/>
    <w:rsid w:val="7A307068"/>
    <w:rsid w:val="7A3E5150"/>
    <w:rsid w:val="7A4670D6"/>
    <w:rsid w:val="7A534B63"/>
    <w:rsid w:val="7A615382"/>
    <w:rsid w:val="7A67303B"/>
    <w:rsid w:val="7A8D0413"/>
    <w:rsid w:val="7A8D0700"/>
    <w:rsid w:val="7A99501E"/>
    <w:rsid w:val="7AAB1D04"/>
    <w:rsid w:val="7ABA4368"/>
    <w:rsid w:val="7ABB4647"/>
    <w:rsid w:val="7ACD1C1E"/>
    <w:rsid w:val="7AD05746"/>
    <w:rsid w:val="7B0553B9"/>
    <w:rsid w:val="7B0F5D55"/>
    <w:rsid w:val="7B127737"/>
    <w:rsid w:val="7B2173E8"/>
    <w:rsid w:val="7B257FFD"/>
    <w:rsid w:val="7B343476"/>
    <w:rsid w:val="7B366CA3"/>
    <w:rsid w:val="7B5A2978"/>
    <w:rsid w:val="7B5A7E4C"/>
    <w:rsid w:val="7B667AF9"/>
    <w:rsid w:val="7B6B7668"/>
    <w:rsid w:val="7B7468F8"/>
    <w:rsid w:val="7B7C1ABA"/>
    <w:rsid w:val="7BC30888"/>
    <w:rsid w:val="7BD43BD2"/>
    <w:rsid w:val="7BEE0103"/>
    <w:rsid w:val="7BEF462D"/>
    <w:rsid w:val="7BF56183"/>
    <w:rsid w:val="7C036B92"/>
    <w:rsid w:val="7C0A0FE4"/>
    <w:rsid w:val="7C0E73BD"/>
    <w:rsid w:val="7C1A1F01"/>
    <w:rsid w:val="7C254906"/>
    <w:rsid w:val="7C30396B"/>
    <w:rsid w:val="7C590818"/>
    <w:rsid w:val="7C6FCA9D"/>
    <w:rsid w:val="7C7C10F6"/>
    <w:rsid w:val="7C853BEA"/>
    <w:rsid w:val="7C881368"/>
    <w:rsid w:val="7C9C65D2"/>
    <w:rsid w:val="7CB77687"/>
    <w:rsid w:val="7CD128CB"/>
    <w:rsid w:val="7CE00EED"/>
    <w:rsid w:val="7CE27788"/>
    <w:rsid w:val="7D004545"/>
    <w:rsid w:val="7D0C32F1"/>
    <w:rsid w:val="7D0F408D"/>
    <w:rsid w:val="7D3D1E9B"/>
    <w:rsid w:val="7D491C6C"/>
    <w:rsid w:val="7D514FBD"/>
    <w:rsid w:val="7D5429C0"/>
    <w:rsid w:val="7D59561F"/>
    <w:rsid w:val="7D5A740B"/>
    <w:rsid w:val="7D6E6D43"/>
    <w:rsid w:val="7D7C41AA"/>
    <w:rsid w:val="7D7E1AD8"/>
    <w:rsid w:val="7DB57A34"/>
    <w:rsid w:val="7DDA3B8E"/>
    <w:rsid w:val="7DE60973"/>
    <w:rsid w:val="7DEF0916"/>
    <w:rsid w:val="7DF74B1D"/>
    <w:rsid w:val="7E1E5218"/>
    <w:rsid w:val="7E290672"/>
    <w:rsid w:val="7E3D6D28"/>
    <w:rsid w:val="7E8D00FD"/>
    <w:rsid w:val="7E924985"/>
    <w:rsid w:val="7E9A4E1F"/>
    <w:rsid w:val="7EA7723A"/>
    <w:rsid w:val="7EBD532E"/>
    <w:rsid w:val="7ED02A96"/>
    <w:rsid w:val="7EEB4C0F"/>
    <w:rsid w:val="7EF56FBB"/>
    <w:rsid w:val="7F0768EB"/>
    <w:rsid w:val="7F143BEC"/>
    <w:rsid w:val="7F1A53A7"/>
    <w:rsid w:val="7F28097A"/>
    <w:rsid w:val="7F715AF2"/>
    <w:rsid w:val="7F886E69"/>
    <w:rsid w:val="7FA426A6"/>
    <w:rsid w:val="7FBB6B37"/>
    <w:rsid w:val="7FD420D3"/>
    <w:rsid w:val="7FF66DF9"/>
    <w:rsid w:val="7FFA4FF3"/>
    <w:rsid w:val="BB7FA927"/>
    <w:rsid w:val="DEFFAD92"/>
    <w:rsid w:val="F5FFD31F"/>
    <w:rsid w:val="FA47BF2E"/>
    <w:rsid w:val="FA7DB66F"/>
    <w:rsid w:val="FE9FDD2A"/>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autoRedefine/>
    <w:unhideWhenUsed/>
    <w:qFormat/>
    <w:uiPriority w:val="99"/>
    <w:pPr>
      <w:ind w:left="420" w:leftChars="200"/>
    </w:p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5"/>
    <w:basedOn w:val="1"/>
    <w:next w:val="1"/>
    <w:autoRedefine/>
    <w:qFormat/>
    <w:uiPriority w:val="0"/>
    <w:pPr>
      <w:ind w:left="1680" w:leftChars="800"/>
    </w:p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toa heading"/>
    <w:basedOn w:val="1"/>
    <w:next w:val="1"/>
    <w:autoRedefine/>
    <w:unhideWhenUsed/>
    <w:qFormat/>
    <w:uiPriority w:val="0"/>
    <w:pPr>
      <w:spacing w:before="120"/>
    </w:pPr>
    <w:rPr>
      <w:rFonts w:ascii="Arial" w:hAnsi="Arial" w:cs="Arial"/>
    </w:rPr>
  </w:style>
  <w:style w:type="paragraph" w:styleId="22">
    <w:name w:val="annotation text"/>
    <w:basedOn w:val="1"/>
    <w:link w:val="353"/>
    <w:autoRedefine/>
    <w:qFormat/>
    <w:uiPriority w:val="99"/>
    <w:pPr>
      <w:jc w:val="left"/>
    </w:pPr>
  </w:style>
  <w:style w:type="paragraph" w:styleId="23">
    <w:name w:val="Salutation"/>
    <w:basedOn w:val="1"/>
    <w:next w:val="1"/>
    <w:link w:val="307"/>
    <w:autoRedefine/>
    <w:qFormat/>
    <w:uiPriority w:val="0"/>
    <w:rPr>
      <w:rFonts w:ascii="仿宋_GB2312" w:eastAsia="仿宋_GB2312"/>
      <w:sz w:val="28"/>
      <w:szCs w:val="20"/>
    </w:rPr>
  </w:style>
  <w:style w:type="paragraph" w:styleId="24">
    <w:name w:val="Body Text 3"/>
    <w:basedOn w:val="1"/>
    <w:link w:val="33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9"/>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0"/>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Body Text Indent"/>
    <w:basedOn w:val="1"/>
    <w:next w:val="1"/>
    <w:link w:val="274"/>
    <w:autoRedefine/>
    <w:qFormat/>
    <w:uiPriority w:val="0"/>
    <w:pPr>
      <w:spacing w:line="480" w:lineRule="exact"/>
      <w:ind w:firstLine="480" w:firstLineChars="200"/>
    </w:pPr>
    <w:rPr>
      <w:rFonts w:ascii="宋体" w:hAnsi="宋体"/>
      <w:sz w:val="24"/>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9"/>
    <w:autoRedefine/>
    <w:qFormat/>
    <w:uiPriority w:val="0"/>
    <w:pPr>
      <w:ind w:left="100" w:leftChars="2500"/>
    </w:pPr>
    <w:rPr>
      <w:rFonts w:ascii="宋体"/>
      <w:sz w:val="24"/>
      <w:szCs w:val="21"/>
      <w:lang w:val="zh-CN"/>
    </w:rPr>
  </w:style>
  <w:style w:type="paragraph" w:styleId="40">
    <w:name w:val="Body Text Indent 2"/>
    <w:basedOn w:val="1"/>
    <w:next w:val="1"/>
    <w:link w:val="31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8"/>
    <w:autoRedefine/>
    <w:qFormat/>
    <w:uiPriority w:val="0"/>
    <w:rPr>
      <w:lang w:val="zh-CN"/>
    </w:rPr>
  </w:style>
  <w:style w:type="paragraph" w:styleId="42">
    <w:name w:val="Balloon Text"/>
    <w:basedOn w:val="1"/>
    <w:link w:val="196"/>
    <w:autoRedefine/>
    <w:qFormat/>
    <w:uiPriority w:val="0"/>
    <w:rPr>
      <w:sz w:val="18"/>
      <w:szCs w:val="18"/>
    </w:rPr>
  </w:style>
  <w:style w:type="paragraph" w:styleId="43">
    <w:name w:val="footer"/>
    <w:basedOn w:val="1"/>
    <w:link w:val="392"/>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cs="Arial"/>
    </w:rPr>
  </w:style>
  <w:style w:type="paragraph" w:styleId="45">
    <w:name w:val="header"/>
    <w:basedOn w:val="1"/>
    <w:next w:val="32"/>
    <w:link w:val="401"/>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9"/>
    <w:autoRedefine/>
    <w:qFormat/>
    <w:uiPriority w:val="0"/>
    <w:pPr>
      <w:adjustRightInd/>
      <w:spacing w:before="60" w:after="60" w:line="300" w:lineRule="exact"/>
    </w:pPr>
    <w:rPr>
      <w:rFonts w:ascii="Calibri"/>
      <w:color w:val="0000FF"/>
      <w:kern w:val="0"/>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4"/>
    <w:autoRedefine/>
    <w:qFormat/>
    <w:uiPriority w:val="0"/>
    <w:pPr>
      <w:spacing w:line="360" w:lineRule="auto"/>
      <w:ind w:firstLine="420"/>
    </w:pPr>
    <w:rPr>
      <w:sz w:val="24"/>
      <w:szCs w:val="20"/>
    </w:rPr>
  </w:style>
  <w:style w:type="paragraph" w:styleId="57">
    <w:name w:val="index 7"/>
    <w:basedOn w:val="1"/>
    <w:next w:val="1"/>
    <w:autoRedefine/>
    <w:qFormat/>
    <w:uiPriority w:val="0"/>
    <w:pPr>
      <w:autoSpaceDE/>
      <w:autoSpaceDN/>
      <w:adjustRightInd/>
      <w:ind w:left="1200" w:leftChars="1200"/>
    </w:pPr>
    <w:rPr>
      <w:color w:val="auto"/>
      <w:kern w:val="2"/>
      <w:szCs w:val="24"/>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next w:val="1"/>
    <w:link w:val="311"/>
    <w:autoRedefine/>
    <w:qFormat/>
    <w:uiPriority w:val="0"/>
    <w:pPr>
      <w:spacing w:after="120" w:line="480" w:lineRule="auto"/>
    </w:pPr>
  </w:style>
  <w:style w:type="paragraph" w:styleId="61">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5"/>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4"/>
    <w:autoRedefine/>
    <w:qFormat/>
    <w:uiPriority w:val="0"/>
    <w:rPr>
      <w:b/>
      <w:bCs/>
    </w:rPr>
  </w:style>
  <w:style w:type="paragraph" w:styleId="65">
    <w:name w:val="Body Text First Indent 2"/>
    <w:basedOn w:val="29"/>
    <w:next w:val="1"/>
    <w:link w:val="129"/>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basedOn w:val="73"/>
    <w:autoRedefine/>
    <w:qFormat/>
    <w:uiPriority w:val="99"/>
    <w:rPr>
      <w:rFonts w:ascii="Times New Roman" w:hAnsi="Times New Roman" w:eastAsia="宋体" w:cs="Times New Roman"/>
      <w:kern w:val="2"/>
      <w:sz w:val="21"/>
      <w:szCs w:val="24"/>
      <w:lang w:val="en-US" w:eastAsia="zh-CN" w:bidi="ar-SA"/>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xl53"/>
    <w:basedOn w:val="1"/>
    <w:next w:val="1"/>
    <w:autoRedefine/>
    <w:qFormat/>
    <w:uiPriority w:val="0"/>
    <w:pPr>
      <w:spacing w:before="280" w:after="280" w:line="100" w:lineRule="exact"/>
      <w:jc w:val="center"/>
    </w:pPr>
    <w:rPr>
      <w:rFonts w:ascii="宋体"/>
      <w:b/>
      <w:sz w:val="20"/>
    </w:rPr>
  </w:style>
  <w:style w:type="paragraph" w:customStyle="1" w:styleId="8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6">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7">
    <w:name w:val="文章正文"/>
    <w:basedOn w:val="1"/>
    <w:autoRedefine/>
    <w:qFormat/>
    <w:uiPriority w:val="0"/>
    <w:pPr>
      <w:spacing w:line="360" w:lineRule="auto"/>
      <w:ind w:firstLine="200" w:firstLineChars="200"/>
    </w:pPr>
    <w:rPr>
      <w:rFonts w:ascii="Calibri" w:hAnsi="Calibri"/>
      <w:sz w:val="24"/>
    </w:rPr>
  </w:style>
  <w:style w:type="paragraph" w:customStyle="1" w:styleId="88">
    <w:name w:val="_Style 2"/>
    <w:basedOn w:val="1"/>
    <w:autoRedefine/>
    <w:qFormat/>
    <w:uiPriority w:val="0"/>
    <w:pPr>
      <w:ind w:firstLine="200" w:firstLineChars="200"/>
    </w:pPr>
    <w:rPr>
      <w:rFonts w:ascii="Calibri" w:hAnsi="Calibri"/>
      <w:sz w:val="28"/>
    </w:rPr>
  </w:style>
  <w:style w:type="paragraph" w:customStyle="1" w:styleId="89">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4"/>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5"/>
    <w:autoRedefine/>
    <w:qFormat/>
    <w:uiPriority w:val="0"/>
    <w:rPr>
      <w:rFonts w:ascii="宋体" w:hAnsi="宋体"/>
      <w:kern w:val="2"/>
      <w:sz w:val="21"/>
      <w:szCs w:val="24"/>
    </w:rPr>
  </w:style>
  <w:style w:type="character" w:customStyle="1" w:styleId="130">
    <w:name w:val="font11"/>
    <w:basedOn w:val="73"/>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3"/>
    <w:autoRedefine/>
    <w:qFormat/>
    <w:uiPriority w:val="0"/>
    <w:rPr>
      <w:rFonts w:ascii="Arial" w:hAnsi="Arial" w:eastAsia="黑体" w:cs="Arial"/>
      <w:snapToGrid w:val="0"/>
      <w:kern w:val="0"/>
      <w:szCs w:val="21"/>
    </w:rPr>
  </w:style>
  <w:style w:type="character" w:customStyle="1" w:styleId="133">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51"/>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9"/>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2"/>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basedOn w:val="73"/>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3"/>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4"/>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243"/>
    <w:autoRedefine/>
    <w:qFormat/>
    <w:uiPriority w:val="0"/>
    <w:rPr>
      <w:rFonts w:ascii="仿宋_GB2312" w:eastAsia="仿宋_GB2312" w:cs="仿宋_GB2312"/>
      <w:color w:val="000000"/>
      <w:sz w:val="24"/>
      <w:szCs w:val="24"/>
      <w:lang w:val="en-US" w:eastAsia="zh-CN" w:bidi="ar-SA"/>
    </w:rPr>
  </w:style>
  <w:style w:type="paragraph" w:customStyle="1" w:styleId="243">
    <w:name w:val="Default"/>
    <w:next w:val="244"/>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semiHidden/>
    <w:qFormat/>
    <w:uiPriority w:val="99"/>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6"/>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267"/>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8">
    <w:name w:val="Char Char8"/>
    <w:autoRedefine/>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字符1"/>
    <w:link w:val="29"/>
    <w:autoRedefine/>
    <w:qFormat/>
    <w:uiPriority w:val="0"/>
    <w:rPr>
      <w:rFonts w:ascii="宋体" w:hAnsi="宋体"/>
      <w:kern w:val="2"/>
      <w:sz w:val="24"/>
      <w:szCs w:val="24"/>
    </w:rPr>
  </w:style>
  <w:style w:type="character" w:customStyle="1" w:styleId="275">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6"/>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9"/>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autoRedefine/>
    <w:qFormat/>
    <w:uiPriority w:val="0"/>
    <w:rPr>
      <w:rFonts w:hint="default" w:ascii="Tahoma" w:hAnsi="Tahoma" w:cs="Tahoma"/>
      <w:sz w:val="18"/>
      <w:szCs w:val="18"/>
    </w:rPr>
  </w:style>
  <w:style w:type="character" w:customStyle="1" w:styleId="283">
    <w:name w:val="Char Char23"/>
    <w:autoRedefine/>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autoRedefine/>
    <w:semiHidden/>
    <w:qFormat/>
    <w:uiPriority w:val="99"/>
    <w:rPr>
      <w:rFonts w:ascii="宋体" w:hAnsi="Courier New" w:eastAsia="宋体" w:cs="Courier New"/>
    </w:rPr>
  </w:style>
  <w:style w:type="character" w:customStyle="1" w:styleId="286">
    <w:name w:val="Char Char25"/>
    <w:autoRedefine/>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autoRedefine/>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标题 1 字符1"/>
    <w:link w:val="2"/>
    <w:autoRedefine/>
    <w:qFormat/>
    <w:uiPriority w:val="9"/>
    <w:rPr>
      <w:b/>
      <w:bCs/>
      <w:kern w:val="44"/>
      <w:sz w:val="44"/>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字符"/>
    <w:link w:val="63"/>
    <w:autoRedefine/>
    <w:qFormat/>
    <w:uiPriority w:val="10"/>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autoRedefine/>
    <w:qFormat/>
    <w:uiPriority w:val="0"/>
    <w:rPr>
      <w:rFonts w:ascii="Calibri" w:hAnsi="Calibri" w:eastAsia="黑体" w:cs="Arial"/>
      <w:snapToGrid w:val="0"/>
      <w:kern w:val="2"/>
      <w:sz w:val="28"/>
      <w:szCs w:val="21"/>
    </w:rPr>
  </w:style>
  <w:style w:type="character" w:customStyle="1" w:styleId="302">
    <w:name w:val="标题 5 字符"/>
    <w:link w:val="6"/>
    <w:autoRedefine/>
    <w:qFormat/>
    <w:uiPriority w:val="9"/>
    <w:rPr>
      <w:b/>
      <w:bCs/>
      <w:kern w:val="2"/>
      <w:sz w:val="28"/>
      <w:szCs w:val="28"/>
    </w:rPr>
  </w:style>
  <w:style w:type="character" w:customStyle="1" w:styleId="303">
    <w:name w:val="标题 6 Char1"/>
    <w:autoRedefine/>
    <w:qFormat/>
    <w:uiPriority w:val="0"/>
    <w:rPr>
      <w:rFonts w:ascii="Arial" w:hAnsi="Arial" w:eastAsia="黑体" w:cs="Times New Roman"/>
      <w:b/>
      <w:sz w:val="24"/>
      <w:szCs w:val="20"/>
      <w:lang w:bidi="ar-SA"/>
    </w:rPr>
  </w:style>
  <w:style w:type="character" w:customStyle="1" w:styleId="304">
    <w:name w:val="带编号样式 Char"/>
    <w:autoRedefine/>
    <w:qFormat/>
    <w:uiPriority w:val="0"/>
    <w:rPr>
      <w:rFonts w:ascii="仿宋_GB2312" w:eastAsia="仿宋_GB2312"/>
      <w:color w:val="000000"/>
      <w:sz w:val="24"/>
      <w:lang w:bidi="ar-SA"/>
    </w:rPr>
  </w:style>
  <w:style w:type="character" w:customStyle="1" w:styleId="305">
    <w:name w:val="unnamed31"/>
    <w:autoRedefine/>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autoRedefine/>
    <w:qFormat/>
    <w:uiPriority w:val="0"/>
    <w:rPr>
      <w:rFonts w:ascii="宋体" w:eastAsia="宋体"/>
      <w:kern w:val="2"/>
      <w:sz w:val="24"/>
      <w:szCs w:val="24"/>
      <w:lang w:val="zh-CN" w:bidi="ar-SA"/>
    </w:rPr>
  </w:style>
  <w:style w:type="character" w:customStyle="1" w:styleId="307">
    <w:name w:val="称呼 字符"/>
    <w:link w:val="23"/>
    <w:autoRedefine/>
    <w:qFormat/>
    <w:uiPriority w:val="0"/>
    <w:rPr>
      <w:rFonts w:ascii="仿宋_GB2312" w:eastAsia="仿宋_GB2312"/>
      <w:kern w:val="2"/>
      <w:sz w:val="28"/>
    </w:rPr>
  </w:style>
  <w:style w:type="character" w:customStyle="1" w:styleId="308">
    <w:name w:val="文本正文 Char Char"/>
    <w:autoRedefine/>
    <w:qFormat/>
    <w:locked/>
    <w:uiPriority w:val="0"/>
    <w:rPr>
      <w:sz w:val="24"/>
      <w:lang w:bidi="ar-SA"/>
    </w:rPr>
  </w:style>
  <w:style w:type="character" w:customStyle="1" w:styleId="309">
    <w:name w:val="正文缩进 字符"/>
    <w:autoRedefine/>
    <w:qFormat/>
    <w:uiPriority w:val="0"/>
    <w:rPr>
      <w:rFonts w:ascii="宋体" w:eastAsia="宋体"/>
      <w:snapToGrid w:val="0"/>
      <w:color w:val="000000"/>
      <w:kern w:val="28"/>
      <w:sz w:val="28"/>
      <w:lang w:val="en-US" w:eastAsia="zh-CN" w:bidi="ar-SA"/>
    </w:rPr>
  </w:style>
  <w:style w:type="character" w:customStyle="1" w:styleId="310">
    <w:name w:val="HTML 预设格式 字符"/>
    <w:link w:val="61"/>
    <w:autoRedefine/>
    <w:qFormat/>
    <w:uiPriority w:val="0"/>
    <w:rPr>
      <w:rFonts w:ascii="黑体" w:hAnsi="Courier New" w:eastAsia="黑体"/>
    </w:rPr>
  </w:style>
  <w:style w:type="character" w:customStyle="1" w:styleId="311">
    <w:name w:val="正文文本 2 字符1"/>
    <w:link w:val="60"/>
    <w:autoRedefine/>
    <w:qFormat/>
    <w:uiPriority w:val="0"/>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5"/>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字符"/>
    <w:link w:val="8"/>
    <w:autoRedefine/>
    <w:qFormat/>
    <w:uiPriority w:val="0"/>
    <w:rPr>
      <w:b/>
      <w:bCs/>
      <w:kern w:val="2"/>
      <w:sz w:val="24"/>
      <w:szCs w:val="24"/>
    </w:rPr>
  </w:style>
  <w:style w:type="character" w:customStyle="1" w:styleId="317">
    <w:name w:val="正文文本缩进 2 字符"/>
    <w:link w:val="40"/>
    <w:autoRedefine/>
    <w:qFormat/>
    <w:uiPriority w:val="0"/>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字符"/>
    <w:link w:val="54"/>
    <w:autoRedefine/>
    <w:qFormat/>
    <w:uiPriority w:val="0"/>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basedOn w:val="73"/>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86"/>
    <w:link w:val="328"/>
    <w:autoRedefine/>
    <w:qFormat/>
    <w:uiPriority w:val="0"/>
    <w:pPr>
      <w:adjustRightInd/>
    </w:pPr>
    <w:rPr>
      <w:rFonts w:ascii="宋体" w:hAnsi="Courier New"/>
      <w:kern w:val="0"/>
      <w:sz w:val="20"/>
      <w:szCs w:val="20"/>
    </w:rPr>
  </w:style>
  <w:style w:type="character" w:customStyle="1" w:styleId="330">
    <w:name w:val="正文文本首行缩进 字符"/>
    <w:link w:val="27"/>
    <w:autoRedefine/>
    <w:qFormat/>
    <w:uiPriority w:val="0"/>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字符1"/>
    <w:link w:val="5"/>
    <w:autoRedefine/>
    <w:qFormat/>
    <w:uiPriority w:val="9"/>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字符"/>
    <w:link w:val="24"/>
    <w:autoRedefine/>
    <w:qFormat/>
    <w:uiPriority w:val="0"/>
    <w:rPr>
      <w:kern w:val="2"/>
      <w:sz w:val="21"/>
    </w:rPr>
  </w:style>
  <w:style w:type="character" w:customStyle="1" w:styleId="340">
    <w:name w:val="font31"/>
    <w:basedOn w:val="73"/>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0"/>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字符1"/>
    <w:link w:val="22"/>
    <w:autoRedefine/>
    <w:qFormat/>
    <w:uiPriority w:val="0"/>
    <w:rPr>
      <w:kern w:val="2"/>
      <w:sz w:val="21"/>
      <w:szCs w:val="24"/>
    </w:rPr>
  </w:style>
  <w:style w:type="character" w:customStyle="1" w:styleId="354">
    <w:name w:val="签名 字符"/>
    <w:link w:val="46"/>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6"/>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字符"/>
    <w:link w:val="9"/>
    <w:autoRedefine/>
    <w:qFormat/>
    <w:uiPriority w:val="0"/>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0"/>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6"/>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字符"/>
    <w:link w:val="56"/>
    <w:autoRedefine/>
    <w:qFormat/>
    <w:uiPriority w:val="0"/>
    <w:rPr>
      <w:kern w:val="2"/>
      <w:sz w:val="24"/>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字符2"/>
    <w:link w:val="43"/>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字符2"/>
    <w:link w:val="45"/>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0"/>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0"/>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autoRedefine/>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3"/>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99"/>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6"/>
    <w:rPr>
      <w:rFonts w:ascii="宋体" w:hAnsi="宋体"/>
      <w:kern w:val="1"/>
      <w:sz w:val="24"/>
      <w:szCs w:val="21"/>
      <w:lang w:val="zh-CN"/>
    </w:rPr>
  </w:style>
  <w:style w:type="character" w:customStyle="1" w:styleId="437">
    <w:name w:val="样式 正文缩进 + 首行缩进:  2 字符 Char Char"/>
    <w:link w:val="438"/>
    <w:autoRedefine/>
    <w:qFormat/>
    <w:uiPriority w:val="0"/>
    <w:rPr>
      <w:rFonts w:cs="宋体"/>
      <w:kern w:val="2"/>
      <w:sz w:val="24"/>
    </w:rPr>
  </w:style>
  <w:style w:type="paragraph" w:customStyle="1" w:styleId="438">
    <w:name w:val="样式 正文缩进 + 首行缩进:  2 字符"/>
    <w:basedOn w:val="16"/>
    <w:link w:val="43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40">
    <w:name w:val="gray6"/>
    <w:basedOn w:val="73"/>
    <w:autoRedefine/>
    <w:qFormat/>
    <w:uiPriority w:val="0"/>
    <w:rPr>
      <w:rFonts w:ascii="Arial" w:hAnsi="Arial" w:eastAsia="黑体" w:cs="Arial"/>
      <w:snapToGrid w:val="0"/>
      <w:kern w:val="0"/>
      <w:szCs w:val="21"/>
    </w:rPr>
  </w:style>
  <w:style w:type="character" w:customStyle="1" w:styleId="441">
    <w:name w:val="hui"/>
    <w:basedOn w:val="73"/>
    <w:autoRedefine/>
    <w:qFormat/>
    <w:uiPriority w:val="0"/>
    <w:rPr>
      <w:rFonts w:ascii="Arial" w:hAnsi="Arial" w:eastAsia="黑体" w:cs="Arial"/>
      <w:snapToGrid w:val="0"/>
      <w:kern w:val="0"/>
      <w:szCs w:val="21"/>
    </w:rPr>
  </w:style>
  <w:style w:type="character" w:customStyle="1" w:styleId="442">
    <w:name w:val="哈哈正文 Char Char"/>
    <w:autoRedefine/>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autoRedefine/>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0"/>
    <w:pPr>
      <w:spacing w:before="120" w:line="360" w:lineRule="auto"/>
      <w:ind w:firstLine="567"/>
    </w:pPr>
    <w:rPr>
      <w:rFonts w:ascii="Arial" w:hAnsi="Arial"/>
      <w:sz w:val="20"/>
      <w:szCs w:val="20"/>
    </w:rPr>
  </w:style>
  <w:style w:type="paragraph" w:customStyle="1" w:styleId="4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autoRedefine/>
    <w:qFormat/>
    <w:uiPriority w:val="0"/>
    <w:pPr>
      <w:adjustRightInd/>
      <w:ind w:firstLine="200" w:firstLineChars="200"/>
    </w:pPr>
    <w:rPr>
      <w:rFonts w:ascii="Tahoma" w:hAnsi="Tahoma"/>
      <w:sz w:val="24"/>
      <w:szCs w:val="20"/>
    </w:rPr>
  </w:style>
  <w:style w:type="paragraph" w:customStyle="1" w:styleId="46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0"/>
    <w:pPr>
      <w:tabs>
        <w:tab w:val="left" w:pos="360"/>
      </w:tabs>
    </w:pPr>
    <w:rPr>
      <w:sz w:val="24"/>
      <w:szCs w:val="20"/>
    </w:rPr>
  </w:style>
  <w:style w:type="paragraph" w:customStyle="1" w:styleId="465">
    <w:name w:val="Char Char11 Char Char Char"/>
    <w:basedOn w:val="1"/>
    <w:autoRedefine/>
    <w:qFormat/>
    <w:uiPriority w:val="0"/>
    <w:pPr>
      <w:spacing w:line="360" w:lineRule="auto"/>
    </w:pPr>
    <w:rPr>
      <w:szCs w:val="20"/>
    </w:rPr>
  </w:style>
  <w:style w:type="paragraph" w:customStyle="1" w:styleId="46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0"/>
    <w:pPr>
      <w:tabs>
        <w:tab w:val="left" w:pos="2790"/>
        <w:tab w:val="left" w:pos="4230"/>
      </w:tabs>
      <w:spacing w:before="312" w:beforeLines="100"/>
      <w:jc w:val="left"/>
    </w:pPr>
  </w:style>
  <w:style w:type="paragraph" w:customStyle="1" w:styleId="46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0"/>
    <w:pPr>
      <w:tabs>
        <w:tab w:val="left" w:pos="840"/>
      </w:tabs>
      <w:ind w:left="840" w:hanging="420"/>
    </w:pPr>
    <w:rPr>
      <w:rFonts w:ascii="Tahoma" w:hAnsi="Tahoma"/>
      <w:sz w:val="24"/>
    </w:rPr>
  </w:style>
  <w:style w:type="paragraph" w:customStyle="1" w:styleId="4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0"/>
    <w:pPr>
      <w:adjustRightInd/>
      <w:spacing w:before="156" w:line="360" w:lineRule="auto"/>
      <w:ind w:firstLine="510" w:firstLineChars="200"/>
    </w:pPr>
    <w:rPr>
      <w:sz w:val="24"/>
      <w:szCs w:val="20"/>
    </w:rPr>
  </w:style>
  <w:style w:type="paragraph" w:customStyle="1" w:styleId="47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0"/>
    <w:rPr>
      <w:rFonts w:ascii="仿宋_GB2312" w:eastAsia="仿宋_GB2312"/>
      <w:b/>
      <w:sz w:val="32"/>
      <w:szCs w:val="32"/>
    </w:rPr>
  </w:style>
  <w:style w:type="paragraph" w:customStyle="1" w:styleId="47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0"/>
    <w:pPr>
      <w:keepNext/>
      <w:tabs>
        <w:tab w:val="left" w:pos="360"/>
      </w:tabs>
      <w:spacing w:before="0" w:after="0"/>
      <w:outlineLvl w:val="5"/>
    </w:pPr>
  </w:style>
  <w:style w:type="paragraph" w:customStyle="1" w:styleId="483">
    <w:name w:val="5级标题"/>
    <w:basedOn w:val="48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6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6">
    <w:name w:val="Char2 Char Char"/>
    <w:basedOn w:val="1"/>
    <w:autoRedefine/>
    <w:qFormat/>
    <w:uiPriority w:val="0"/>
    <w:pPr>
      <w:adjustRightInd/>
    </w:pPr>
    <w:rPr>
      <w:rFonts w:ascii="Tahoma" w:hAnsi="Tahoma"/>
      <w:sz w:val="24"/>
      <w:szCs w:val="20"/>
    </w:rPr>
  </w:style>
  <w:style w:type="paragraph" w:customStyle="1" w:styleId="487">
    <w:name w:val="_Style 11"/>
    <w:basedOn w:val="1"/>
    <w:autoRedefine/>
    <w:qFormat/>
    <w:uiPriority w:val="34"/>
    <w:pPr>
      <w:adjustRightInd/>
      <w:ind w:firstLine="420" w:firstLineChars="200"/>
    </w:pPr>
    <w:rPr>
      <w:rFonts w:eastAsia="仿宋_GB2312"/>
      <w:sz w:val="28"/>
    </w:rPr>
  </w:style>
  <w:style w:type="paragraph" w:customStyle="1" w:styleId="48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0"/>
    <w:rPr>
      <w:rFonts w:ascii="Tahoma" w:hAnsi="Tahoma"/>
      <w:sz w:val="24"/>
      <w:szCs w:val="20"/>
    </w:rPr>
  </w:style>
  <w:style w:type="paragraph" w:customStyle="1" w:styleId="49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9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9"/>
    <w:autoRedefine/>
    <w:qFormat/>
    <w:uiPriority w:val="99"/>
    <w:rPr>
      <w:szCs w:val="22"/>
    </w:rPr>
  </w:style>
  <w:style w:type="paragraph" w:customStyle="1" w:styleId="49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autoRedefine/>
    <w:qFormat/>
    <w:uiPriority w:val="6"/>
    <w:rPr>
      <w:rFonts w:ascii="Tahoma" w:hAnsi="Tahoma" w:cs="仿宋_GB2312"/>
      <w:sz w:val="24"/>
      <w:szCs w:val="20"/>
    </w:rPr>
  </w:style>
  <w:style w:type="paragraph" w:customStyle="1" w:styleId="49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autoRedefine/>
    <w:qFormat/>
    <w:uiPriority w:val="0"/>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0"/>
    <w:pPr>
      <w:adjustRightInd/>
    </w:pPr>
  </w:style>
  <w:style w:type="paragraph" w:customStyle="1" w:styleId="500">
    <w:name w:val="Char5"/>
    <w:basedOn w:val="1"/>
    <w:autoRedefine/>
    <w:qFormat/>
    <w:uiPriority w:val="0"/>
    <w:rPr>
      <w:rFonts w:ascii="仿宋_GB2312" w:eastAsia="仿宋_GB2312"/>
      <w:b/>
      <w:sz w:val="32"/>
      <w:szCs w:val="32"/>
    </w:rPr>
  </w:style>
  <w:style w:type="paragraph" w:customStyle="1" w:styleId="50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autoRedefine/>
    <w:qFormat/>
    <w:uiPriority w:val="0"/>
    <w:rPr>
      <w:rFonts w:ascii="仿宋_GB2312" w:eastAsia="仿宋_GB2312"/>
      <w:b/>
      <w:sz w:val="32"/>
      <w:szCs w:val="32"/>
    </w:rPr>
  </w:style>
  <w:style w:type="paragraph" w:customStyle="1" w:styleId="505">
    <w:name w:val="数字标题3"/>
    <w:basedOn w:val="4"/>
    <w:next w:val="1"/>
    <w:autoRedefine/>
    <w:qFormat/>
    <w:uiPriority w:val="0"/>
    <w:pPr>
      <w:spacing w:line="240" w:lineRule="auto"/>
    </w:pPr>
    <w:rPr>
      <w:sz w:val="28"/>
      <w:szCs w:val="28"/>
    </w:rPr>
  </w:style>
  <w:style w:type="paragraph" w:customStyle="1" w:styleId="506">
    <w:name w:val="FA正文"/>
    <w:basedOn w:val="1"/>
    <w:autoRedefine/>
    <w:qFormat/>
    <w:uiPriority w:val="0"/>
    <w:pPr>
      <w:spacing w:line="360" w:lineRule="auto"/>
      <w:ind w:firstLine="480" w:firstLineChars="200"/>
    </w:pPr>
    <w:rPr>
      <w:rFonts w:hAnsi="宋体"/>
      <w:sz w:val="24"/>
      <w:szCs w:val="20"/>
    </w:rPr>
  </w:style>
  <w:style w:type="paragraph" w:customStyle="1" w:styleId="507">
    <w:name w:val="MM Topic 5"/>
    <w:basedOn w:val="6"/>
    <w:autoRedefine/>
    <w:qFormat/>
    <w:uiPriority w:val="0"/>
    <w:pPr>
      <w:tabs>
        <w:tab w:val="left" w:pos="2520"/>
      </w:tabs>
      <w:adjustRightInd/>
      <w:ind w:left="2520" w:hanging="420"/>
    </w:pPr>
  </w:style>
  <w:style w:type="paragraph" w:customStyle="1" w:styleId="508">
    <w:name w:val="Char Char Char Char Char Char Char Char Char Char1"/>
    <w:basedOn w:val="1"/>
    <w:autoRedefine/>
    <w:qFormat/>
    <w:uiPriority w:val="0"/>
    <w:rPr>
      <w:rFonts w:ascii="仿宋_GB2312" w:eastAsia="仿宋_GB2312"/>
      <w:b/>
      <w:sz w:val="32"/>
      <w:szCs w:val="32"/>
    </w:rPr>
  </w:style>
  <w:style w:type="paragraph" w:customStyle="1" w:styleId="50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autoRedefine/>
    <w:qFormat/>
    <w:uiPriority w:val="6"/>
    <w:rPr>
      <w:rFonts w:ascii="仿宋_GB2312" w:eastAsia="仿宋_GB2312"/>
      <w:b/>
      <w:sz w:val="32"/>
      <w:szCs w:val="32"/>
    </w:rPr>
  </w:style>
  <w:style w:type="paragraph" w:customStyle="1" w:styleId="513">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autoRedefine/>
    <w:qFormat/>
    <w:uiPriority w:val="0"/>
    <w:pPr>
      <w:tabs>
        <w:tab w:val="left" w:pos="1680"/>
      </w:tabs>
      <w:adjustRightInd/>
      <w:ind w:left="1680" w:hanging="420"/>
    </w:pPr>
  </w:style>
  <w:style w:type="paragraph" w:customStyle="1" w:styleId="517">
    <w:name w:val="标准小四"/>
    <w:basedOn w:val="1"/>
    <w:autoRedefine/>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29"/>
    <w:next w:val="26"/>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0"/>
    <w:pPr>
      <w:widowControl/>
      <w:jc w:val="left"/>
    </w:pPr>
    <w:rPr>
      <w:rFonts w:cs="宋体"/>
      <w:sz w:val="24"/>
      <w:szCs w:val="20"/>
    </w:rPr>
  </w:style>
  <w:style w:type="paragraph" w:customStyle="1" w:styleId="544">
    <w:name w:val="彩色列表 - 强调文字颜色 11"/>
    <w:basedOn w:val="1"/>
    <w:autoRedefine/>
    <w:qFormat/>
    <w:uiPriority w:val="0"/>
    <w:pPr>
      <w:adjustRightInd/>
      <w:ind w:firstLine="420" w:firstLineChars="200"/>
    </w:pPr>
    <w:rPr>
      <w:rFonts w:ascii="Calibri" w:hAnsi="Calibri"/>
      <w:szCs w:val="22"/>
    </w:rPr>
  </w:style>
  <w:style w:type="paragraph" w:customStyle="1" w:styleId="54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43"/>
    <w:next w:val="243"/>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243"/>
    <w:next w:val="243"/>
    <w:autoRedefine/>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autoRedefine/>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autoRedefine/>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autoRedefine/>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autoRedefine/>
    <w:qFormat/>
    <w:uiPriority w:val="0"/>
    <w:rPr>
      <w:rFonts w:ascii="Tahoma" w:hAnsi="Tahoma"/>
      <w:sz w:val="24"/>
      <w:szCs w:val="20"/>
    </w:rPr>
  </w:style>
  <w:style w:type="paragraph" w:customStyle="1" w:styleId="593">
    <w:name w:val="标题五"/>
    <w:basedOn w:val="1"/>
    <w:autoRedefine/>
    <w:qFormat/>
    <w:uiPriority w:val="0"/>
    <w:pPr>
      <w:adjustRightInd/>
      <w:spacing w:before="156" w:beforeLines="50" w:line="360" w:lineRule="auto"/>
    </w:pPr>
    <w:rPr>
      <w:b/>
      <w:sz w:val="24"/>
    </w:rPr>
  </w:style>
  <w:style w:type="paragraph" w:customStyle="1" w:styleId="594">
    <w:name w:val="Char Char1101"/>
    <w:basedOn w:val="1"/>
    <w:autoRedefine/>
    <w:qFormat/>
    <w:uiPriority w:val="0"/>
    <w:pPr>
      <w:spacing w:line="360" w:lineRule="auto"/>
    </w:pPr>
    <w:rPr>
      <w:rFonts w:ascii="Tahoma" w:hAnsi="Tahoma"/>
      <w:sz w:val="24"/>
      <w:szCs w:val="20"/>
    </w:rPr>
  </w:style>
  <w:style w:type="paragraph" w:customStyle="1" w:styleId="595">
    <w:name w:val="Char Char Char Char Char Char Char Char1"/>
    <w:basedOn w:val="1"/>
    <w:autoRedefine/>
    <w:qFormat/>
    <w:uiPriority w:val="0"/>
    <w:pPr>
      <w:tabs>
        <w:tab w:val="left" w:pos="360"/>
      </w:tabs>
    </w:pPr>
    <w:rPr>
      <w:sz w:val="24"/>
      <w:szCs w:val="20"/>
    </w:rPr>
  </w:style>
  <w:style w:type="paragraph" w:customStyle="1" w:styleId="596">
    <w:name w:val="Char Char Char 字元 字元"/>
    <w:basedOn w:val="1"/>
    <w:autoRedefine/>
    <w:qFormat/>
    <w:uiPriority w:val="0"/>
    <w:pPr>
      <w:adjustRightInd/>
      <w:spacing w:line="360" w:lineRule="auto"/>
      <w:ind w:firstLine="200" w:firstLineChars="200"/>
    </w:pPr>
    <w:rPr>
      <w:szCs w:val="20"/>
    </w:rPr>
  </w:style>
  <w:style w:type="paragraph" w:customStyle="1" w:styleId="59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0"/>
    <w:rPr>
      <w:rFonts w:ascii="仿宋_GB2312" w:eastAsia="仿宋_GB2312"/>
      <w:b/>
      <w:sz w:val="32"/>
      <w:szCs w:val="32"/>
    </w:rPr>
  </w:style>
  <w:style w:type="paragraph" w:customStyle="1" w:styleId="59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0"/>
    <w:pPr>
      <w:adjustRightInd/>
    </w:pPr>
    <w:rPr>
      <w:sz w:val="18"/>
      <w:szCs w:val="20"/>
    </w:rPr>
  </w:style>
  <w:style w:type="paragraph" w:customStyle="1" w:styleId="60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2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60"/>
    <w:autoRedefine/>
    <w:qFormat/>
    <w:uiPriority w:val="0"/>
    <w:pPr>
      <w:snapToGrid w:val="0"/>
      <w:spacing w:line="360" w:lineRule="auto"/>
    </w:pPr>
    <w:rPr>
      <w:rFonts w:ascii="宋体"/>
      <w:b/>
      <w:sz w:val="24"/>
      <w:szCs w:val="20"/>
    </w:rPr>
  </w:style>
  <w:style w:type="paragraph" w:customStyle="1" w:styleId="61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7"/>
    <w:pPr>
      <w:adjustRightInd/>
    </w:pPr>
    <w:rPr>
      <w:rFonts w:ascii="宋体" w:hAnsi="Courier New"/>
    </w:rPr>
  </w:style>
  <w:style w:type="paragraph" w:customStyle="1" w:styleId="617">
    <w:name w:val="Char3"/>
    <w:basedOn w:val="1"/>
    <w:autoRedefine/>
    <w:qFormat/>
    <w:uiPriority w:val="0"/>
    <w:pPr>
      <w:adjustRightInd/>
    </w:pPr>
    <w:rPr>
      <w:rFonts w:ascii="仿宋_GB2312" w:eastAsia="仿宋_GB2312"/>
      <w:b/>
      <w:sz w:val="32"/>
      <w:szCs w:val="32"/>
    </w:rPr>
  </w:style>
  <w:style w:type="paragraph" w:customStyle="1" w:styleId="61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0"/>
    <w:pPr>
      <w:widowControl/>
      <w:adjustRightInd/>
      <w:spacing w:after="160" w:line="240" w:lineRule="exact"/>
      <w:jc w:val="left"/>
    </w:pPr>
    <w:rPr>
      <w:szCs w:val="20"/>
    </w:rPr>
  </w:style>
  <w:style w:type="paragraph" w:customStyle="1" w:styleId="626">
    <w:name w:val="表格标题2"/>
    <w:basedOn w:val="627"/>
    <w:autoRedefine/>
    <w:qFormat/>
    <w:uiPriority w:val="0"/>
    <w:rPr>
      <w:b/>
    </w:rPr>
  </w:style>
  <w:style w:type="paragraph" w:customStyle="1" w:styleId="627">
    <w:name w:val="表格内文"/>
    <w:basedOn w:val="1"/>
    <w:autoRedefine/>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0"/>
    <w:rPr>
      <w:rFonts w:ascii="仿宋_GB2312" w:eastAsia="仿宋_GB2312"/>
      <w:b/>
      <w:sz w:val="32"/>
      <w:szCs w:val="32"/>
    </w:rPr>
  </w:style>
  <w:style w:type="paragraph" w:customStyle="1" w:styleId="62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autoRedefine/>
    <w:qFormat/>
    <w:uiPriority w:val="0"/>
    <w:pPr>
      <w:spacing w:line="360" w:lineRule="auto"/>
    </w:pPr>
    <w:rPr>
      <w:szCs w:val="20"/>
    </w:rPr>
  </w:style>
  <w:style w:type="paragraph" w:customStyle="1" w:styleId="63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0"/>
    <w:pPr>
      <w:tabs>
        <w:tab w:val="left" w:pos="840"/>
      </w:tabs>
      <w:adjustRightInd/>
      <w:ind w:left="840" w:hanging="420"/>
    </w:pPr>
  </w:style>
  <w:style w:type="paragraph" w:customStyle="1" w:styleId="63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0"/>
    <w:pPr>
      <w:spacing w:line="360" w:lineRule="auto"/>
      <w:ind w:firstLine="200" w:firstLineChars="200"/>
    </w:pPr>
    <w:rPr>
      <w:kern w:val="0"/>
      <w:sz w:val="24"/>
      <w:szCs w:val="20"/>
    </w:rPr>
  </w:style>
  <w:style w:type="paragraph" w:customStyle="1" w:styleId="637">
    <w:name w:val="表格"/>
    <w:basedOn w:val="1"/>
    <w:autoRedefine/>
    <w:qFormat/>
    <w:uiPriority w:val="0"/>
    <w:pPr>
      <w:snapToGrid w:val="0"/>
      <w:ind w:firstLine="42" w:firstLineChars="21"/>
    </w:pPr>
    <w:rPr>
      <w:rFonts w:ascii="宋体" w:hAnsi="宋体"/>
      <w:kern w:val="0"/>
      <w:sz w:val="20"/>
      <w:szCs w:val="20"/>
    </w:rPr>
  </w:style>
  <w:style w:type="paragraph" w:customStyle="1" w:styleId="63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0"/>
    <w:pPr>
      <w:adjustRightInd/>
      <w:spacing w:line="300" w:lineRule="auto"/>
      <w:jc w:val="center"/>
    </w:pPr>
  </w:style>
  <w:style w:type="paragraph" w:customStyle="1" w:styleId="643">
    <w:name w:val="_Style 6"/>
    <w:basedOn w:val="1"/>
    <w:autoRedefine/>
    <w:qFormat/>
    <w:uiPriority w:val="34"/>
    <w:pPr>
      <w:adjustRightInd/>
      <w:ind w:firstLine="420" w:firstLineChars="200"/>
    </w:pPr>
    <w:rPr>
      <w:rFonts w:eastAsia="仿宋_GB2312"/>
      <w:sz w:val="28"/>
    </w:rPr>
  </w:style>
  <w:style w:type="paragraph" w:customStyle="1" w:styleId="64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1">
    <w:name w:val="trademark"/>
    <w:autoRedefine/>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0"/>
    <w:rPr>
      <w:rFonts w:ascii="仿宋_GB2312" w:eastAsia="仿宋_GB2312"/>
      <w:b/>
      <w:sz w:val="32"/>
      <w:szCs w:val="20"/>
    </w:rPr>
  </w:style>
  <w:style w:type="paragraph" w:customStyle="1" w:styleId="65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0"/>
    <w:pPr>
      <w:adjustRightInd/>
      <w:ind w:firstLine="200" w:firstLineChars="200"/>
    </w:pPr>
    <w:rPr>
      <w:rFonts w:ascii="Tahoma" w:hAnsi="Tahoma"/>
      <w:sz w:val="24"/>
      <w:szCs w:val="20"/>
    </w:rPr>
  </w:style>
  <w:style w:type="paragraph" w:customStyle="1" w:styleId="656">
    <w:name w:val="a1"/>
    <w:basedOn w:val="1"/>
    <w:autoRedefine/>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0"/>
    <w:pPr>
      <w:spacing w:after="156" w:afterLines="50"/>
      <w:jc w:val="left"/>
      <w:outlineLvl w:val="3"/>
    </w:pPr>
    <w:rPr>
      <w:sz w:val="24"/>
      <w:szCs w:val="24"/>
    </w:rPr>
  </w:style>
  <w:style w:type="paragraph" w:customStyle="1" w:styleId="65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0"/>
    <w:pPr>
      <w:adjustRightInd/>
    </w:pPr>
    <w:rPr>
      <w:rFonts w:ascii="Tahoma" w:hAnsi="Tahoma"/>
      <w:sz w:val="24"/>
      <w:szCs w:val="20"/>
    </w:rPr>
  </w:style>
  <w:style w:type="paragraph" w:customStyle="1" w:styleId="66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0"/>
    <w:pPr>
      <w:tabs>
        <w:tab w:val="left" w:pos="1260"/>
        <w:tab w:val="left" w:pos="1680"/>
        <w:tab w:val="left" w:pos="2100"/>
      </w:tabs>
      <w:ind w:left="0"/>
      <w:outlineLvl w:val="3"/>
    </w:pPr>
  </w:style>
  <w:style w:type="paragraph" w:customStyle="1" w:styleId="666">
    <w:name w:val="一级条标题"/>
    <w:basedOn w:val="667"/>
    <w:next w:val="649"/>
    <w:autoRedefine/>
    <w:qFormat/>
    <w:uiPriority w:val="0"/>
    <w:pPr>
      <w:tabs>
        <w:tab w:val="left" w:pos="1260"/>
        <w:tab w:val="left" w:pos="1680"/>
      </w:tabs>
      <w:spacing w:before="0" w:beforeLines="0" w:after="0" w:afterLines="0"/>
      <w:ind w:left="1680"/>
      <w:outlineLvl w:val="2"/>
    </w:pPr>
  </w:style>
  <w:style w:type="paragraph" w:customStyle="1" w:styleId="667">
    <w:name w:val="章标题"/>
    <w:next w:val="64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autoRedefine/>
    <w:qFormat/>
    <w:uiPriority w:val="0"/>
    <w:pPr>
      <w:tabs>
        <w:tab w:val="left" w:pos="840"/>
      </w:tabs>
      <w:spacing w:after="0"/>
      <w:ind w:left="900"/>
    </w:pPr>
  </w:style>
  <w:style w:type="paragraph" w:customStyle="1" w:styleId="6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6"/>
    <w:pPr>
      <w:widowControl/>
      <w:adjustRightInd/>
      <w:ind w:left="720" w:hanging="720"/>
    </w:pPr>
    <w:rPr>
      <w:color w:val="000000"/>
      <w:kern w:val="0"/>
      <w:sz w:val="24"/>
      <w:szCs w:val="20"/>
      <w:lang w:val="en-GB"/>
    </w:rPr>
  </w:style>
  <w:style w:type="paragraph" w:customStyle="1" w:styleId="677">
    <w:name w:val="表1"/>
    <w:basedOn w:val="1"/>
    <w:autoRedefine/>
    <w:qFormat/>
    <w:uiPriority w:val="0"/>
    <w:pPr>
      <w:tabs>
        <w:tab w:val="left" w:pos="703"/>
      </w:tabs>
      <w:adjustRightInd/>
      <w:spacing w:line="360" w:lineRule="auto"/>
      <w:ind w:left="703"/>
      <w:jc w:val="center"/>
    </w:pPr>
  </w:style>
  <w:style w:type="paragraph" w:customStyle="1" w:styleId="67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autoRedefine/>
    <w:qFormat/>
    <w:uiPriority w:val="0"/>
    <w:pPr>
      <w:jc w:val="left"/>
      <w:outlineLvl w:val="1"/>
    </w:pPr>
    <w:rPr>
      <w:rFonts w:ascii="Times New Roman" w:hAnsi="Times New Roman" w:eastAsia="仿宋"/>
      <w:sz w:val="30"/>
    </w:rPr>
  </w:style>
  <w:style w:type="paragraph" w:customStyle="1" w:styleId="68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0"/>
    <w:pPr>
      <w:tabs>
        <w:tab w:val="left" w:pos="840"/>
      </w:tabs>
      <w:adjustRightInd/>
      <w:ind w:left="840" w:hanging="420"/>
    </w:pPr>
  </w:style>
  <w:style w:type="paragraph" w:customStyle="1" w:styleId="6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0"/>
    <w:pPr>
      <w:tabs>
        <w:tab w:val="left" w:pos="2100"/>
      </w:tabs>
      <w:adjustRightInd/>
      <w:ind w:left="2100" w:hanging="420"/>
    </w:pPr>
    <w:rPr>
      <w:lang w:val="en-US"/>
    </w:rPr>
  </w:style>
  <w:style w:type="paragraph" w:customStyle="1" w:styleId="69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6"/>
    <w:pPr>
      <w:spacing w:line="360" w:lineRule="auto"/>
    </w:pPr>
    <w:rPr>
      <w:szCs w:val="20"/>
    </w:rPr>
  </w:style>
  <w:style w:type="paragraph" w:customStyle="1" w:styleId="69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0"/>
    <w:pPr>
      <w:adjustRightInd/>
      <w:spacing w:line="360" w:lineRule="auto"/>
      <w:jc w:val="center"/>
    </w:pPr>
    <w:rPr>
      <w:sz w:val="24"/>
    </w:rPr>
  </w:style>
  <w:style w:type="paragraph" w:customStyle="1" w:styleId="70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6"/>
    <w:rPr>
      <w:rFonts w:ascii="仿宋_GB2312" w:eastAsia="仿宋_GB2312"/>
      <w:b/>
      <w:sz w:val="32"/>
      <w:szCs w:val="32"/>
    </w:rPr>
  </w:style>
  <w:style w:type="paragraph" w:customStyle="1" w:styleId="710">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autoRedefine/>
    <w:qFormat/>
    <w:uiPriority w:val="0"/>
    <w:pPr>
      <w:widowControl/>
      <w:adjustRightInd/>
      <w:spacing w:after="160" w:line="240" w:lineRule="exact"/>
      <w:jc w:val="left"/>
    </w:pPr>
    <w:rPr>
      <w:szCs w:val="20"/>
    </w:rPr>
  </w:style>
  <w:style w:type="paragraph" w:customStyle="1" w:styleId="713">
    <w:name w:val="Char Char1121"/>
    <w:basedOn w:val="1"/>
    <w:autoRedefine/>
    <w:qFormat/>
    <w:uiPriority w:val="0"/>
    <w:pPr>
      <w:spacing w:line="360" w:lineRule="auto"/>
    </w:pPr>
    <w:rPr>
      <w:szCs w:val="20"/>
    </w:rPr>
  </w:style>
  <w:style w:type="paragraph" w:customStyle="1" w:styleId="7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0"/>
    <w:rPr>
      <w:rFonts w:ascii="Times New Roman" w:hAnsi="Times New Roman" w:eastAsia="宋体" w:cs="Times New Roman"/>
      <w:lang w:val="en-US" w:eastAsia="en-US" w:bidi="ar-SA"/>
    </w:rPr>
  </w:style>
  <w:style w:type="paragraph" w:customStyle="1" w:styleId="717">
    <w:name w:val="带编号样式"/>
    <w:basedOn w:val="636"/>
    <w:autoRedefine/>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autoRedefine/>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autoRedefine/>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autoRedefine/>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0"/>
    <w:pPr>
      <w:adjustRightInd/>
    </w:pPr>
    <w:rPr>
      <w:rFonts w:ascii="Tahoma" w:hAnsi="Tahoma"/>
      <w:sz w:val="24"/>
    </w:rPr>
  </w:style>
  <w:style w:type="paragraph" w:customStyle="1" w:styleId="762">
    <w:name w:val="Char Char Char Char11"/>
    <w:basedOn w:val="1"/>
    <w:autoRedefine/>
    <w:qFormat/>
    <w:uiPriority w:val="0"/>
    <w:rPr>
      <w:rFonts w:ascii="Tahoma" w:hAnsi="Tahoma"/>
      <w:sz w:val="24"/>
      <w:szCs w:val="20"/>
    </w:rPr>
  </w:style>
  <w:style w:type="paragraph" w:customStyle="1" w:styleId="76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34"/>
    <w:pPr>
      <w:adjustRightInd/>
      <w:ind w:firstLine="420" w:firstLineChars="200"/>
    </w:pPr>
    <w:rPr>
      <w:rFonts w:eastAsia="仿宋_GB2312"/>
      <w:sz w:val="28"/>
    </w:rPr>
  </w:style>
  <w:style w:type="paragraph" w:customStyle="1" w:styleId="77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0"/>
    <w:rPr>
      <w:rFonts w:ascii="宋体" w:hAnsi="Times New Roman" w:eastAsia="宋体" w:cs="Times New Roman"/>
      <w:kern w:val="2"/>
      <w:lang w:val="en-US" w:eastAsia="zh-CN" w:bidi="ar-SA"/>
    </w:rPr>
  </w:style>
  <w:style w:type="paragraph" w:customStyle="1" w:styleId="780">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0"/>
    <w:pPr>
      <w:adjustRightInd/>
      <w:ind w:firstLine="200" w:firstLineChars="200"/>
    </w:pPr>
    <w:rPr>
      <w:rFonts w:ascii="Tahoma" w:hAnsi="Tahoma"/>
      <w:sz w:val="24"/>
      <w:szCs w:val="20"/>
    </w:rPr>
  </w:style>
  <w:style w:type="paragraph" w:customStyle="1" w:styleId="79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autoRedefine/>
    <w:qFormat/>
    <w:uiPriority w:val="0"/>
    <w:rPr>
      <w:rFonts w:ascii="仿宋_GB2312" w:eastAsia="仿宋_GB2312"/>
      <w:b/>
      <w:sz w:val="32"/>
      <w:szCs w:val="32"/>
    </w:rPr>
  </w:style>
  <w:style w:type="paragraph" w:customStyle="1" w:styleId="802">
    <w:name w:val="五级条标题"/>
    <w:basedOn w:val="803"/>
    <w:next w:val="649"/>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autoRedefine/>
    <w:qFormat/>
    <w:uiPriority w:val="0"/>
    <w:pPr>
      <w:tabs>
        <w:tab w:val="left" w:pos="2940"/>
        <w:tab w:val="clear" w:pos="2520"/>
      </w:tabs>
      <w:ind w:left="2940"/>
      <w:outlineLvl w:val="5"/>
    </w:pPr>
  </w:style>
  <w:style w:type="paragraph" w:customStyle="1" w:styleId="80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autoRedefine/>
    <w:qFormat/>
    <w:uiPriority w:val="0"/>
    <w:pPr>
      <w:adjustRightInd/>
      <w:spacing w:line="360" w:lineRule="auto"/>
    </w:pPr>
    <w:rPr>
      <w:sz w:val="24"/>
    </w:rPr>
  </w:style>
  <w:style w:type="paragraph" w:customStyle="1" w:styleId="811">
    <w:name w:val="正文主体"/>
    <w:basedOn w:val="633"/>
    <w:qFormat/>
    <w:uiPriority w:val="0"/>
  </w:style>
  <w:style w:type="paragraph" w:customStyle="1" w:styleId="81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0"/>
    <w:pPr>
      <w:adjustRightInd/>
      <w:spacing w:line="360" w:lineRule="auto"/>
      <w:ind w:firstLine="480" w:firstLineChars="200"/>
    </w:pPr>
    <w:rPr>
      <w:sz w:val="24"/>
      <w:szCs w:val="20"/>
    </w:rPr>
  </w:style>
  <w:style w:type="paragraph" w:customStyle="1" w:styleId="816">
    <w:name w:val="P1"/>
    <w:basedOn w:val="1"/>
    <w:autoRedefine/>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autoRedefine/>
    <w:qFormat/>
    <w:uiPriority w:val="6"/>
    <w:pPr>
      <w:spacing w:line="360" w:lineRule="auto"/>
    </w:pPr>
    <w:rPr>
      <w:szCs w:val="20"/>
    </w:rPr>
  </w:style>
  <w:style w:type="paragraph" w:customStyle="1" w:styleId="81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0"/>
    <w:pPr>
      <w:spacing w:line="360" w:lineRule="auto"/>
    </w:pPr>
    <w:rPr>
      <w:szCs w:val="20"/>
    </w:rPr>
  </w:style>
  <w:style w:type="paragraph" w:customStyle="1" w:styleId="82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1">
    <w:name w:val="Char Char4 Char Char"/>
    <w:basedOn w:val="1"/>
    <w:autoRedefine/>
    <w:qFormat/>
    <w:uiPriority w:val="0"/>
    <w:pPr>
      <w:widowControl/>
      <w:adjustRightInd/>
      <w:spacing w:after="160" w:line="240" w:lineRule="exact"/>
      <w:jc w:val="left"/>
    </w:pPr>
  </w:style>
  <w:style w:type="paragraph" w:customStyle="1" w:styleId="83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0"/>
    <w:pPr>
      <w:spacing w:line="360" w:lineRule="auto"/>
    </w:pPr>
    <w:rPr>
      <w:szCs w:val="20"/>
    </w:rPr>
  </w:style>
  <w:style w:type="paragraph" w:customStyle="1" w:styleId="83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autoRedefine/>
    <w:qFormat/>
    <w:uiPriority w:val="0"/>
    <w:pPr>
      <w:tabs>
        <w:tab w:val="left" w:pos="0"/>
      </w:tabs>
      <w:ind w:left="900" w:firstLine="0" w:firstLineChars="0"/>
    </w:pPr>
  </w:style>
  <w:style w:type="paragraph" w:customStyle="1" w:styleId="844">
    <w:name w:val="Bulleted List"/>
    <w:basedOn w:val="1"/>
    <w:autoRedefine/>
    <w:qFormat/>
    <w:uiPriority w:val="0"/>
    <w:pPr>
      <w:tabs>
        <w:tab w:val="left" w:pos="1260"/>
      </w:tabs>
      <w:adjustRightInd/>
      <w:ind w:left="1260" w:hanging="420"/>
    </w:pPr>
  </w:style>
  <w:style w:type="paragraph" w:customStyle="1" w:styleId="845">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7"/>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7"/>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autoRedefine/>
    <w:qFormat/>
    <w:uiPriority w:val="0"/>
    <w:rPr>
      <w:b w:val="0"/>
      <w:sz w:val="20"/>
    </w:rPr>
  </w:style>
  <w:style w:type="paragraph" w:customStyle="1" w:styleId="901">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2"/>
    <w:autoRedefine/>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1"/>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41"/>
    <w:autoRedefine/>
    <w:qFormat/>
    <w:uiPriority w:val="0"/>
    <w:rPr>
      <w:kern w:val="2"/>
      <w:sz w:val="21"/>
      <w:szCs w:val="24"/>
      <w:lang w:val="zh-CN"/>
    </w:rPr>
  </w:style>
  <w:style w:type="character" w:customStyle="1" w:styleId="939">
    <w:name w:val="无间隔 字符"/>
    <w:link w:val="492"/>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267"/>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纯文本3"/>
    <w:basedOn w:val="1"/>
    <w:qFormat/>
    <w:uiPriority w:val="0"/>
    <w:pPr>
      <w:textAlignment w:val="baseline"/>
    </w:pPr>
    <w:rPr>
      <w:rFonts w:ascii="宋体" w:hAnsi="Courier New" w:eastAsia="楷体_GB2312"/>
      <w:sz w:val="26"/>
      <w:szCs w:val="20"/>
    </w:rPr>
  </w:style>
  <w:style w:type="paragraph" w:customStyle="1" w:styleId="97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7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Heading1"/>
    <w:basedOn w:val="1"/>
    <w:next w:val="1"/>
    <w:autoRedefine/>
    <w:qFormat/>
    <w:uiPriority w:val="0"/>
    <w:pPr>
      <w:keepNext/>
      <w:keepLines/>
      <w:spacing w:before="340" w:after="330" w:line="578" w:lineRule="auto"/>
      <w:textAlignment w:val="baseline"/>
    </w:pPr>
    <w:rPr>
      <w:b/>
      <w:bCs/>
      <w:kern w:val="44"/>
      <w:sz w:val="44"/>
      <w:szCs w:val="44"/>
    </w:rPr>
  </w:style>
  <w:style w:type="character" w:customStyle="1" w:styleId="975">
    <w:name w:val="NormalCharacter"/>
    <w:autoRedefine/>
    <w:qFormat/>
    <w:uiPriority w:val="0"/>
    <w:rPr>
      <w:kern w:val="2"/>
      <w:sz w:val="21"/>
      <w:szCs w:val="24"/>
      <w:lang w:val="en-US" w:eastAsia="zh-CN" w:bidi="ar-SA"/>
    </w:rPr>
  </w:style>
  <w:style w:type="character" w:customStyle="1" w:styleId="976">
    <w:name w:val="UserStyle_12"/>
    <w:autoRedefine/>
    <w:qFormat/>
    <w:uiPriority w:val="0"/>
    <w:rPr>
      <w:kern w:val="2"/>
      <w:sz w:val="21"/>
      <w:szCs w:val="24"/>
      <w:lang w:val="en-US" w:eastAsia="zh-CN" w:bidi="ar-SA"/>
    </w:rPr>
  </w:style>
  <w:style w:type="paragraph" w:customStyle="1" w:styleId="977">
    <w:name w:val="BodyText"/>
    <w:basedOn w:val="1"/>
    <w:qFormat/>
    <w:uiPriority w:val="0"/>
    <w:pPr>
      <w:spacing w:after="120"/>
      <w:textAlignment w:val="baseline"/>
    </w:pPr>
    <w:rPr>
      <w:rFonts w:ascii="Calibri" w:hAnsi="Calibri"/>
    </w:rPr>
  </w:style>
  <w:style w:type="paragraph" w:customStyle="1" w:styleId="978">
    <w:name w:val="BodyText2"/>
    <w:basedOn w:val="1"/>
    <w:next w:val="1"/>
    <w:autoRedefine/>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9">
    <w:name w:val="纯文本4"/>
    <w:basedOn w:val="1"/>
    <w:autoRedefine/>
    <w:qFormat/>
    <w:uiPriority w:val="0"/>
    <w:pPr>
      <w:textAlignment w:val="baseline"/>
    </w:pPr>
    <w:rPr>
      <w:rFonts w:ascii="宋体" w:hAnsi="Courier New" w:eastAsia="楷体_GB2312"/>
      <w:sz w:val="26"/>
      <w:szCs w:val="20"/>
    </w:rPr>
  </w:style>
  <w:style w:type="paragraph" w:customStyle="1" w:styleId="980">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981">
    <w:name w:val="font112"/>
    <w:basedOn w:val="73"/>
    <w:autoRedefine/>
    <w:qFormat/>
    <w:uiPriority w:val="0"/>
    <w:rPr>
      <w:rFonts w:ascii="微软雅黑" w:hAnsi="微软雅黑" w:eastAsia="微软雅黑" w:cs="微软雅黑"/>
      <w:b/>
      <w:bCs/>
      <w:color w:val="000000"/>
      <w:sz w:val="20"/>
      <w:szCs w:val="20"/>
      <w:u w:val="none"/>
    </w:rPr>
  </w:style>
  <w:style w:type="character" w:customStyle="1" w:styleId="982">
    <w:name w:val="font121"/>
    <w:basedOn w:val="73"/>
    <w:qFormat/>
    <w:uiPriority w:val="0"/>
    <w:rPr>
      <w:rFonts w:hint="eastAsia" w:ascii="微软雅黑" w:hAnsi="微软雅黑" w:eastAsia="微软雅黑" w:cs="微软雅黑"/>
      <w:color w:val="000000"/>
      <w:sz w:val="18"/>
      <w:szCs w:val="18"/>
      <w:u w:val="none"/>
    </w:rPr>
  </w:style>
  <w:style w:type="character" w:customStyle="1" w:styleId="983">
    <w:name w:val="font131"/>
    <w:basedOn w:val="73"/>
    <w:autoRedefine/>
    <w:qFormat/>
    <w:uiPriority w:val="0"/>
    <w:rPr>
      <w:rFonts w:hint="eastAsia" w:ascii="微软雅黑" w:hAnsi="微软雅黑" w:eastAsia="微软雅黑" w:cs="微软雅黑"/>
      <w:color w:val="000000"/>
      <w:sz w:val="18"/>
      <w:szCs w:val="18"/>
      <w:u w:val="none"/>
    </w:rPr>
  </w:style>
  <w:style w:type="character" w:customStyle="1" w:styleId="984">
    <w:name w:val="font141"/>
    <w:basedOn w:val="73"/>
    <w:autoRedefine/>
    <w:qFormat/>
    <w:uiPriority w:val="0"/>
    <w:rPr>
      <w:rFonts w:ascii="微软雅黑" w:hAnsi="微软雅黑" w:eastAsia="微软雅黑" w:cs="微软雅黑"/>
      <w:color w:val="000000"/>
      <w:sz w:val="18"/>
      <w:szCs w:val="18"/>
      <w:u w:val="none"/>
    </w:rPr>
  </w:style>
  <w:style w:type="character" w:customStyle="1" w:styleId="985">
    <w:name w:val="font101"/>
    <w:basedOn w:val="73"/>
    <w:autoRedefine/>
    <w:qFormat/>
    <w:uiPriority w:val="0"/>
    <w:rPr>
      <w:rFonts w:hint="eastAsia" w:ascii="微软雅黑" w:hAnsi="微软雅黑" w:eastAsia="微软雅黑" w:cs="微软雅黑"/>
      <w:color w:val="000000"/>
      <w:sz w:val="18"/>
      <w:szCs w:val="18"/>
      <w:u w:val="none"/>
    </w:rPr>
  </w:style>
  <w:style w:type="character" w:customStyle="1" w:styleId="986">
    <w:name w:val="font111"/>
    <w:basedOn w:val="73"/>
    <w:autoRedefine/>
    <w:qFormat/>
    <w:uiPriority w:val="0"/>
    <w:rPr>
      <w:rFonts w:hint="eastAsia" w:ascii="微软雅黑" w:hAnsi="微软雅黑" w:eastAsia="微软雅黑" w:cs="微软雅黑"/>
      <w:color w:val="000000"/>
      <w:sz w:val="18"/>
      <w:szCs w:val="18"/>
      <w:u w:val="none"/>
    </w:rPr>
  </w:style>
  <w:style w:type="character" w:customStyle="1" w:styleId="987">
    <w:name w:val="font122"/>
    <w:basedOn w:val="7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51933</Words>
  <Characters>57289</Characters>
  <Lines>627</Lines>
  <Paragraphs>176</Paragraphs>
  <TotalTime>5</TotalTime>
  <ScaleCrop>false</ScaleCrop>
  <LinksUpToDate>false</LinksUpToDate>
  <CharactersWithSpaces>60116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954</cp:lastModifiedBy>
  <cp:lastPrinted>2024-02-09T03:38:00Z</cp:lastPrinted>
  <dcterms:modified xsi:type="dcterms:W3CDTF">2024-09-06T07:10:44Z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549678DCE6C548759E9275C46AE8FF57_13</vt:lpwstr>
  </property>
  <property fmtid="{D5CDD505-2E9C-101B-9397-08002B2CF9AE}" pid="5" name="commondata">
    <vt:lpwstr>eyJoZGlkIjoiMGMzMTVmNWQ0ZWUwMDFhMGMxMjI0ODY0ODBlMmFiN2UifQ==</vt:lpwstr>
  </property>
</Properties>
</file>