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p>
    <w:p>
      <w:pPr>
        <w:rPr>
          <w:rFonts w:ascii="宋体" w:hAnsi="宋体"/>
        </w:rPr>
      </w:pPr>
    </w:p>
    <w:p>
      <w:pPr>
        <w:widowControl/>
        <w:spacing w:line="360" w:lineRule="auto"/>
        <w:jc w:val="center"/>
        <w:outlineLvl w:val="1"/>
        <w:rPr>
          <w:rFonts w:hint="eastAsia" w:ascii="宋体" w:hAnsi="宋体" w:cs="Tahoma"/>
          <w:b/>
          <w:bCs/>
          <w:kern w:val="36"/>
          <w:sz w:val="44"/>
          <w:szCs w:val="44"/>
          <w:lang w:eastAsia="zh-CN"/>
        </w:rPr>
      </w:pPr>
      <w:r>
        <w:rPr>
          <w:rFonts w:hint="eastAsia" w:ascii="宋体" w:hAnsi="宋体" w:cs="Tahoma"/>
          <w:b/>
          <w:bCs/>
          <w:kern w:val="36"/>
          <w:sz w:val="44"/>
          <w:szCs w:val="44"/>
          <w:lang w:eastAsia="zh-CN"/>
        </w:rPr>
        <w:t>桐乡市濮院时尚产业发展集团有限公司及下属公司保险集中招标项目</w:t>
      </w:r>
    </w:p>
    <w:p>
      <w:pPr>
        <w:pStyle w:val="38"/>
        <w:rPr>
          <w:rFonts w:hint="eastAsia"/>
          <w:lang w:eastAsia="zh-CN"/>
        </w:rPr>
      </w:pPr>
    </w:p>
    <w:p>
      <w:pPr>
        <w:widowControl/>
        <w:spacing w:line="360" w:lineRule="auto"/>
        <w:jc w:val="center"/>
        <w:outlineLvl w:val="1"/>
        <w:rPr>
          <w:rFonts w:hint="eastAsia" w:ascii="宋体" w:hAnsi="宋体" w:cs="Tahoma"/>
          <w:b/>
          <w:bCs/>
          <w:kern w:val="36"/>
          <w:sz w:val="52"/>
          <w:szCs w:val="52"/>
        </w:rPr>
      </w:pPr>
      <w:bookmarkStart w:id="0" w:name="_Toc404289887"/>
      <w:bookmarkStart w:id="1" w:name="_Toc404289979"/>
      <w:bookmarkStart w:id="2" w:name="_Toc509308123"/>
      <w:bookmarkStart w:id="3" w:name="_Toc488072241"/>
      <w:bookmarkStart w:id="4" w:name="_Toc477785301"/>
      <w:bookmarkStart w:id="5" w:name="_Toc488072154"/>
      <w:bookmarkStart w:id="6" w:name="_Toc509308043"/>
      <w:r>
        <w:rPr>
          <w:rFonts w:hint="eastAsia" w:ascii="宋体" w:hAnsi="宋体" w:cs="Tahoma"/>
          <w:b/>
          <w:bCs/>
          <w:kern w:val="36"/>
          <w:sz w:val="52"/>
          <w:szCs w:val="52"/>
        </w:rPr>
        <w:t>公</w:t>
      </w:r>
      <w:bookmarkEnd w:id="0"/>
      <w:bookmarkEnd w:id="1"/>
      <w:bookmarkEnd w:id="2"/>
      <w:bookmarkEnd w:id="3"/>
      <w:bookmarkEnd w:id="4"/>
      <w:bookmarkEnd w:id="5"/>
      <w:bookmarkEnd w:id="6"/>
    </w:p>
    <w:p>
      <w:pPr>
        <w:widowControl/>
        <w:spacing w:line="360" w:lineRule="auto"/>
        <w:jc w:val="center"/>
        <w:outlineLvl w:val="1"/>
        <w:rPr>
          <w:rFonts w:hint="eastAsia" w:ascii="宋体" w:hAnsi="宋体" w:cs="Tahoma"/>
          <w:b/>
          <w:bCs/>
          <w:kern w:val="36"/>
          <w:sz w:val="52"/>
          <w:szCs w:val="52"/>
        </w:rPr>
      </w:pPr>
      <w:bookmarkStart w:id="7" w:name="_Toc477785302"/>
      <w:bookmarkStart w:id="8" w:name="_Toc488072242"/>
      <w:bookmarkStart w:id="9" w:name="_Toc404289980"/>
      <w:bookmarkStart w:id="10" w:name="_Toc509308124"/>
      <w:bookmarkStart w:id="11" w:name="_Toc404289888"/>
      <w:bookmarkStart w:id="12" w:name="_Toc488072155"/>
      <w:bookmarkStart w:id="13" w:name="_Toc509308044"/>
      <w:r>
        <w:rPr>
          <w:rFonts w:hint="eastAsia" w:ascii="宋体" w:hAnsi="宋体" w:cs="Tahoma"/>
          <w:b/>
          <w:bCs/>
          <w:kern w:val="36"/>
          <w:sz w:val="52"/>
          <w:szCs w:val="52"/>
        </w:rPr>
        <w:t>开</w:t>
      </w:r>
      <w:bookmarkEnd w:id="7"/>
      <w:bookmarkEnd w:id="8"/>
      <w:bookmarkEnd w:id="9"/>
      <w:bookmarkEnd w:id="10"/>
      <w:bookmarkEnd w:id="11"/>
      <w:bookmarkEnd w:id="12"/>
      <w:bookmarkEnd w:id="13"/>
    </w:p>
    <w:p>
      <w:pPr>
        <w:widowControl/>
        <w:spacing w:line="360" w:lineRule="auto"/>
        <w:jc w:val="center"/>
        <w:outlineLvl w:val="1"/>
        <w:rPr>
          <w:rFonts w:hint="eastAsia" w:ascii="宋体" w:hAnsi="宋体" w:cs="Tahoma"/>
          <w:b/>
          <w:bCs/>
          <w:kern w:val="36"/>
          <w:sz w:val="52"/>
          <w:szCs w:val="52"/>
        </w:rPr>
      </w:pPr>
      <w:bookmarkStart w:id="14" w:name="_Toc488072156"/>
      <w:bookmarkStart w:id="15" w:name="_Toc404289889"/>
      <w:bookmarkStart w:id="16" w:name="_Toc509308125"/>
      <w:bookmarkStart w:id="17" w:name="_Toc509308045"/>
      <w:bookmarkStart w:id="18" w:name="_Toc477785303"/>
      <w:bookmarkStart w:id="19" w:name="_Toc404289981"/>
      <w:bookmarkStart w:id="20" w:name="_Toc488072243"/>
      <w:r>
        <w:rPr>
          <w:rFonts w:hint="eastAsia" w:ascii="宋体" w:hAnsi="宋体" w:cs="Tahoma"/>
          <w:b/>
          <w:bCs/>
          <w:kern w:val="36"/>
          <w:sz w:val="52"/>
          <w:szCs w:val="52"/>
        </w:rPr>
        <w:t>招</w:t>
      </w:r>
      <w:bookmarkEnd w:id="14"/>
      <w:bookmarkEnd w:id="15"/>
      <w:bookmarkEnd w:id="16"/>
      <w:bookmarkEnd w:id="17"/>
      <w:bookmarkEnd w:id="18"/>
      <w:bookmarkEnd w:id="19"/>
      <w:bookmarkEnd w:id="20"/>
    </w:p>
    <w:p>
      <w:pPr>
        <w:widowControl/>
        <w:spacing w:line="360" w:lineRule="auto"/>
        <w:jc w:val="center"/>
        <w:outlineLvl w:val="1"/>
        <w:rPr>
          <w:rFonts w:hint="eastAsia" w:ascii="宋体" w:hAnsi="宋体"/>
          <w:sz w:val="52"/>
          <w:szCs w:val="52"/>
        </w:rPr>
      </w:pPr>
      <w:bookmarkStart w:id="21" w:name="_Toc509308126"/>
      <w:bookmarkStart w:id="22" w:name="_Toc488072244"/>
      <w:bookmarkStart w:id="23" w:name="_Toc404289890"/>
      <w:bookmarkStart w:id="24" w:name="_Toc404289982"/>
      <w:bookmarkStart w:id="25" w:name="_Toc477785304"/>
      <w:bookmarkStart w:id="26" w:name="_Toc509308046"/>
      <w:bookmarkStart w:id="27" w:name="_Toc488072157"/>
      <w:r>
        <w:rPr>
          <w:rFonts w:hint="eastAsia" w:ascii="宋体" w:hAnsi="宋体" w:cs="Tahoma"/>
          <w:b/>
          <w:bCs/>
          <w:kern w:val="36"/>
          <w:sz w:val="52"/>
          <w:szCs w:val="52"/>
        </w:rPr>
        <w:t>标</w:t>
      </w:r>
      <w:bookmarkEnd w:id="21"/>
      <w:bookmarkEnd w:id="22"/>
      <w:bookmarkEnd w:id="23"/>
      <w:bookmarkEnd w:id="24"/>
      <w:bookmarkEnd w:id="25"/>
      <w:bookmarkEnd w:id="26"/>
      <w:bookmarkEnd w:id="27"/>
    </w:p>
    <w:p>
      <w:pPr>
        <w:spacing w:line="360" w:lineRule="auto"/>
        <w:jc w:val="center"/>
        <w:rPr>
          <w:rFonts w:hint="eastAsia" w:ascii="宋体" w:hAnsi="宋体"/>
          <w:b/>
          <w:sz w:val="52"/>
          <w:szCs w:val="52"/>
        </w:rPr>
      </w:pPr>
      <w:r>
        <w:rPr>
          <w:rFonts w:hint="eastAsia" w:ascii="宋体" w:hAnsi="宋体"/>
          <w:b/>
          <w:sz w:val="52"/>
          <w:szCs w:val="52"/>
        </w:rPr>
        <w:t>文</w:t>
      </w:r>
    </w:p>
    <w:p>
      <w:pPr>
        <w:spacing w:line="360" w:lineRule="auto"/>
        <w:jc w:val="center"/>
        <w:rPr>
          <w:rFonts w:ascii="宋体" w:hAnsi="宋体"/>
          <w:b/>
          <w:sz w:val="52"/>
          <w:szCs w:val="52"/>
        </w:rPr>
      </w:pPr>
      <w:r>
        <w:rPr>
          <w:rFonts w:hint="eastAsia" w:ascii="宋体" w:hAnsi="宋体"/>
          <w:b/>
          <w:sz w:val="52"/>
          <w:szCs w:val="52"/>
        </w:rPr>
        <w:t>件</w:t>
      </w:r>
    </w:p>
    <w:p>
      <w:pPr>
        <w:snapToGrid w:val="0"/>
        <w:spacing w:line="360" w:lineRule="auto"/>
        <w:rPr>
          <w:rFonts w:ascii="宋体" w:hAnsi="宋体"/>
          <w:b/>
          <w:bCs/>
          <w:w w:val="95"/>
          <w:sz w:val="28"/>
          <w:szCs w:val="28"/>
        </w:rPr>
      </w:pPr>
    </w:p>
    <w:p>
      <w:pPr>
        <w:snapToGrid w:val="0"/>
        <w:spacing w:line="360" w:lineRule="auto"/>
        <w:rPr>
          <w:rFonts w:ascii="宋体" w:hAnsi="宋体"/>
          <w:b/>
          <w:bCs/>
          <w:w w:val="95"/>
          <w:sz w:val="28"/>
          <w:szCs w:val="28"/>
        </w:rPr>
      </w:pPr>
    </w:p>
    <w:p>
      <w:pPr>
        <w:snapToGrid w:val="0"/>
        <w:spacing w:line="360" w:lineRule="auto"/>
        <w:rPr>
          <w:rFonts w:hint="eastAsia" w:ascii="宋体" w:hAnsi="宋体" w:eastAsia="宋体" w:cs="Tahoma"/>
          <w:b/>
          <w:bCs/>
          <w:kern w:val="36"/>
          <w:sz w:val="28"/>
          <w:szCs w:val="28"/>
          <w:lang w:eastAsia="zh-CN"/>
        </w:rPr>
      </w:pPr>
      <w:r>
        <w:rPr>
          <w:rFonts w:hint="eastAsia" w:ascii="宋体" w:hAnsi="宋体" w:cs="Tahoma"/>
          <w:b/>
          <w:bCs/>
          <w:kern w:val="36"/>
          <w:sz w:val="28"/>
          <w:szCs w:val="28"/>
        </w:rPr>
        <w:t xml:space="preserve">     </w:t>
      </w:r>
      <w:r>
        <w:rPr>
          <w:rFonts w:ascii="宋体" w:hAnsi="宋体" w:cs="Tahoma"/>
          <w:b/>
          <w:bCs/>
          <w:kern w:val="36"/>
          <w:sz w:val="28"/>
          <w:szCs w:val="28"/>
        </w:rPr>
        <w:t>采购单位：</w:t>
      </w:r>
      <w:r>
        <w:rPr>
          <w:rFonts w:hint="eastAsia" w:ascii="宋体" w:hAnsi="宋体" w:cs="Tahoma"/>
          <w:b/>
          <w:bCs/>
          <w:kern w:val="36"/>
          <w:sz w:val="28"/>
          <w:szCs w:val="28"/>
        </w:rPr>
        <w:t>桐乡市濮院时尚产业发展集团有限公司</w:t>
      </w:r>
    </w:p>
    <w:p>
      <w:pPr>
        <w:snapToGrid w:val="0"/>
        <w:spacing w:line="360" w:lineRule="auto"/>
        <w:rPr>
          <w:rFonts w:hint="eastAsia" w:ascii="宋体" w:hAnsi="宋体" w:cs="Tahoma"/>
          <w:b/>
          <w:bCs/>
          <w:kern w:val="36"/>
          <w:sz w:val="28"/>
          <w:szCs w:val="28"/>
          <w:lang w:eastAsia="zh-CN"/>
        </w:rPr>
      </w:pPr>
      <w:r>
        <w:rPr>
          <w:rFonts w:hint="eastAsia" w:ascii="宋体" w:hAnsi="宋体" w:cs="Tahoma"/>
          <w:b/>
          <w:bCs/>
          <w:kern w:val="36"/>
          <w:sz w:val="28"/>
          <w:szCs w:val="28"/>
        </w:rPr>
        <w:t xml:space="preserve">     </w:t>
      </w:r>
      <w:r>
        <w:rPr>
          <w:rFonts w:ascii="宋体" w:hAnsi="宋体" w:cs="Tahoma"/>
          <w:b/>
          <w:bCs/>
          <w:kern w:val="36"/>
          <w:sz w:val="28"/>
          <w:szCs w:val="28"/>
        </w:rPr>
        <w:t>代理机构：</w:t>
      </w:r>
      <w:r>
        <w:rPr>
          <w:rFonts w:hint="eastAsia" w:ascii="宋体" w:hAnsi="宋体" w:cs="Tahoma"/>
          <w:b/>
          <w:bCs/>
          <w:kern w:val="36"/>
          <w:sz w:val="28"/>
          <w:szCs w:val="28"/>
          <w:lang w:eastAsia="zh-CN"/>
        </w:rPr>
        <w:t>嘉兴市银建工程咨询评估有限公司</w:t>
      </w:r>
    </w:p>
    <w:p>
      <w:pPr>
        <w:snapToGrid w:val="0"/>
        <w:spacing w:line="360" w:lineRule="auto"/>
        <w:jc w:val="center"/>
        <w:rPr>
          <w:rFonts w:ascii="宋体" w:hAnsi="宋体" w:cs="Tahoma"/>
          <w:b/>
          <w:bCs/>
          <w:color w:val="auto"/>
          <w:kern w:val="36"/>
          <w:sz w:val="28"/>
          <w:szCs w:val="28"/>
        </w:rPr>
      </w:pPr>
      <w:r>
        <w:rPr>
          <w:rFonts w:ascii="宋体" w:hAnsi="宋体"/>
          <w:b/>
          <w:bCs/>
          <w:color w:val="auto"/>
          <w:w w:val="95"/>
          <w:sz w:val="28"/>
          <w:szCs w:val="28"/>
        </w:rPr>
        <w:t>20</w:t>
      </w:r>
      <w:r>
        <w:rPr>
          <w:rFonts w:hint="eastAsia" w:ascii="宋体" w:hAnsi="宋体"/>
          <w:b/>
          <w:bCs/>
          <w:color w:val="auto"/>
          <w:w w:val="95"/>
          <w:sz w:val="28"/>
          <w:szCs w:val="28"/>
        </w:rPr>
        <w:t>2</w:t>
      </w:r>
      <w:r>
        <w:rPr>
          <w:rFonts w:hint="eastAsia" w:ascii="宋体" w:hAnsi="宋体"/>
          <w:b/>
          <w:bCs/>
          <w:color w:val="auto"/>
          <w:w w:val="95"/>
          <w:sz w:val="28"/>
          <w:szCs w:val="28"/>
          <w:lang w:val="en-US" w:eastAsia="zh-CN"/>
        </w:rPr>
        <w:t>4</w:t>
      </w:r>
      <w:r>
        <w:rPr>
          <w:rFonts w:hint="eastAsia" w:ascii="宋体" w:hAnsi="宋体"/>
          <w:b/>
          <w:bCs/>
          <w:color w:val="auto"/>
          <w:w w:val="95"/>
          <w:sz w:val="28"/>
          <w:szCs w:val="28"/>
        </w:rPr>
        <w:t>年</w:t>
      </w:r>
      <w:r>
        <w:rPr>
          <w:rFonts w:hint="eastAsia" w:ascii="宋体" w:hAnsi="宋体"/>
          <w:b/>
          <w:bCs/>
          <w:color w:val="auto"/>
          <w:w w:val="95"/>
          <w:sz w:val="28"/>
          <w:szCs w:val="28"/>
          <w:lang w:val="en-US" w:eastAsia="zh-CN"/>
        </w:rPr>
        <w:t>6</w:t>
      </w:r>
      <w:r>
        <w:rPr>
          <w:rFonts w:hint="eastAsia" w:ascii="宋体" w:hAnsi="宋体"/>
          <w:b/>
          <w:bCs/>
          <w:color w:val="auto"/>
          <w:w w:val="95"/>
          <w:sz w:val="28"/>
          <w:szCs w:val="28"/>
        </w:rPr>
        <w:t>月</w:t>
      </w:r>
    </w:p>
    <w:p>
      <w:pPr>
        <w:spacing w:line="480" w:lineRule="auto"/>
        <w:rPr>
          <w:rFonts w:eastAsia="楷体_GB2312"/>
          <w:b/>
          <w:bCs/>
          <w:sz w:val="40"/>
          <w:szCs w:val="40"/>
        </w:rPr>
      </w:pPr>
    </w:p>
    <w:p/>
    <w:p>
      <w:pPr>
        <w:pStyle w:val="37"/>
        <w:ind w:left="0" w:leftChars="0" w:firstLine="0" w:firstLineChars="0"/>
        <w:rPr>
          <w:sz w:val="32"/>
          <w:szCs w:val="32"/>
        </w:rPr>
      </w:pPr>
    </w:p>
    <w:p>
      <w:pPr>
        <w:spacing w:line="480" w:lineRule="exact"/>
        <w:jc w:val="right"/>
        <w:rPr>
          <w:sz w:val="32"/>
          <w:szCs w:val="32"/>
        </w:rPr>
      </w:pPr>
    </w:p>
    <w:p>
      <w:pPr>
        <w:spacing w:line="480" w:lineRule="exact"/>
        <w:jc w:val="right"/>
        <w:rPr>
          <w:sz w:val="32"/>
          <w:szCs w:val="32"/>
        </w:rPr>
      </w:pPr>
      <w:r>
        <w:rPr>
          <w:rFonts w:hint="eastAsia"/>
          <w:sz w:val="32"/>
          <w:szCs w:val="32"/>
        </w:rPr>
        <w:t>公开招标（</w:t>
      </w:r>
      <w:r>
        <w:rPr>
          <w:rFonts w:hint="eastAsia"/>
          <w:sz w:val="32"/>
          <w:szCs w:val="32"/>
          <w:lang w:val="en-US" w:eastAsia="zh-CN"/>
        </w:rPr>
        <w:t xml:space="preserve"> </w:t>
      </w:r>
      <w:r>
        <w:rPr>
          <w:rFonts w:hint="eastAsia"/>
          <w:sz w:val="32"/>
          <w:szCs w:val="32"/>
        </w:rPr>
        <w:t>√）</w:t>
      </w:r>
    </w:p>
    <w:p>
      <w:pPr>
        <w:spacing w:line="480" w:lineRule="exact"/>
        <w:ind w:firstLine="6592" w:firstLineChars="2060"/>
        <w:rPr>
          <w:sz w:val="32"/>
          <w:szCs w:val="32"/>
        </w:rPr>
      </w:pPr>
    </w:p>
    <w:p>
      <w:pPr>
        <w:pStyle w:val="16"/>
        <w:tabs>
          <w:tab w:val="left" w:pos="0"/>
          <w:tab w:val="left" w:pos="180"/>
        </w:tabs>
        <w:spacing w:line="480" w:lineRule="exact"/>
        <w:ind w:firstLine="0"/>
        <w:rPr>
          <w:rFonts w:hAnsi="宋体"/>
          <w:b/>
          <w:bCs/>
          <w:w w:val="90"/>
          <w:sz w:val="36"/>
          <w:szCs w:val="36"/>
          <w:u w:val="single"/>
        </w:rPr>
      </w:pPr>
      <w:r>
        <w:rPr>
          <w:rFonts w:hint="eastAsia" w:hAnsi="宋体"/>
          <w:w w:val="90"/>
          <w:sz w:val="36"/>
          <w:szCs w:val="36"/>
          <w:u w:val="single"/>
          <w:lang w:eastAsia="zh-CN"/>
        </w:rPr>
        <w:t>桐乡市濮院时尚产业发展集团有限公司及下属公司保险集中招标项目</w:t>
      </w:r>
      <w:r>
        <w:rPr>
          <w:rFonts w:hint="eastAsia" w:hAnsi="宋体"/>
          <w:w w:val="90"/>
          <w:sz w:val="36"/>
          <w:szCs w:val="36"/>
          <w:u w:val="single"/>
        </w:rPr>
        <w:t>招标文件</w:t>
      </w:r>
    </w:p>
    <w:p>
      <w:pPr>
        <w:spacing w:line="480" w:lineRule="exact"/>
        <w:rPr>
          <w:sz w:val="32"/>
          <w:szCs w:val="32"/>
        </w:rPr>
      </w:pPr>
    </w:p>
    <w:p>
      <w:pPr>
        <w:wordWrap w:val="0"/>
        <w:spacing w:line="480" w:lineRule="exact"/>
        <w:jc w:val="center"/>
        <w:rPr>
          <w:sz w:val="32"/>
          <w:szCs w:val="32"/>
        </w:rPr>
      </w:pPr>
      <w:r>
        <w:rPr>
          <w:rFonts w:hint="eastAsia"/>
          <w:sz w:val="32"/>
          <w:szCs w:val="32"/>
          <w:lang w:val="en-US" w:eastAsia="zh-CN"/>
        </w:rPr>
        <w:t xml:space="preserve">                                        </w:t>
      </w:r>
      <w:r>
        <w:rPr>
          <w:rFonts w:hint="eastAsia"/>
          <w:sz w:val="32"/>
          <w:szCs w:val="32"/>
        </w:rPr>
        <w:t>邀请招标(    )</w:t>
      </w:r>
    </w:p>
    <w:p>
      <w:pPr>
        <w:spacing w:line="400" w:lineRule="exact"/>
        <w:ind w:firstLine="5880"/>
        <w:rPr>
          <w:sz w:val="30"/>
        </w:rPr>
      </w:pPr>
    </w:p>
    <w:p>
      <w:pPr>
        <w:spacing w:line="400" w:lineRule="exact"/>
        <w:ind w:firstLine="5880"/>
        <w:rPr>
          <w:sz w:val="30"/>
        </w:rPr>
      </w:pPr>
    </w:p>
    <w:p>
      <w:pPr>
        <w:spacing w:line="400" w:lineRule="exact"/>
        <w:ind w:firstLine="5880"/>
        <w:rPr>
          <w:sz w:val="30"/>
        </w:rPr>
      </w:pPr>
    </w:p>
    <w:p>
      <w:pPr>
        <w:spacing w:line="400" w:lineRule="exact"/>
        <w:ind w:firstLine="5880"/>
        <w:rPr>
          <w:sz w:val="30"/>
        </w:rPr>
      </w:pPr>
    </w:p>
    <w:p>
      <w:pPr>
        <w:spacing w:line="400" w:lineRule="exact"/>
        <w:ind w:firstLine="5880"/>
        <w:rPr>
          <w:sz w:val="30"/>
        </w:rPr>
      </w:pPr>
    </w:p>
    <w:p>
      <w:pPr>
        <w:spacing w:line="400" w:lineRule="exact"/>
        <w:ind w:firstLine="5880"/>
        <w:rPr>
          <w:sz w:val="30"/>
        </w:rPr>
      </w:pPr>
    </w:p>
    <w:p>
      <w:pPr>
        <w:spacing w:line="400" w:lineRule="exact"/>
        <w:ind w:firstLine="5880"/>
        <w:rPr>
          <w:sz w:val="30"/>
        </w:rPr>
      </w:pPr>
    </w:p>
    <w:p>
      <w:pPr>
        <w:spacing w:line="400" w:lineRule="exact"/>
        <w:ind w:firstLine="5880"/>
        <w:rPr>
          <w:sz w:val="32"/>
        </w:rPr>
      </w:pPr>
    </w:p>
    <w:p>
      <w:pPr>
        <w:spacing w:line="400" w:lineRule="exact"/>
        <w:ind w:firstLine="5880"/>
        <w:rPr>
          <w:sz w:val="32"/>
        </w:rPr>
      </w:pPr>
    </w:p>
    <w:p>
      <w:pPr>
        <w:spacing w:line="400" w:lineRule="exact"/>
        <w:ind w:firstLine="5880"/>
        <w:rPr>
          <w:sz w:val="32"/>
        </w:rPr>
      </w:pPr>
    </w:p>
    <w:p>
      <w:pPr>
        <w:spacing w:line="360" w:lineRule="auto"/>
        <w:rPr>
          <w:sz w:val="32"/>
        </w:rPr>
      </w:pPr>
      <w:r>
        <w:rPr>
          <w:rFonts w:hint="eastAsia"/>
          <w:sz w:val="32"/>
        </w:rPr>
        <w:t>招标人名称：</w:t>
      </w:r>
      <w:r>
        <w:rPr>
          <w:rFonts w:hint="eastAsia"/>
          <w:b/>
          <w:sz w:val="32"/>
          <w:u w:val="single"/>
        </w:rPr>
        <w:t>桐乡市濮院时尚产业发展集团有限公司</w:t>
      </w:r>
      <w:r>
        <w:rPr>
          <w:rFonts w:hint="eastAsia"/>
          <w:sz w:val="32"/>
        </w:rPr>
        <w:t>（盖章）</w:t>
      </w:r>
    </w:p>
    <w:p>
      <w:pPr>
        <w:spacing w:line="400" w:lineRule="exact"/>
        <w:rPr>
          <w:sz w:val="32"/>
        </w:rPr>
      </w:pPr>
    </w:p>
    <w:p>
      <w:pPr>
        <w:spacing w:line="400" w:lineRule="exact"/>
        <w:rPr>
          <w:sz w:val="32"/>
        </w:rPr>
      </w:pPr>
    </w:p>
    <w:p>
      <w:pPr>
        <w:spacing w:line="400" w:lineRule="exact"/>
        <w:rPr>
          <w:sz w:val="32"/>
        </w:rPr>
      </w:pPr>
      <w:r>
        <w:rPr>
          <w:rFonts w:hint="eastAsia"/>
          <w:sz w:val="32"/>
        </w:rPr>
        <w:t>招标代理机构名称：</w:t>
      </w:r>
      <w:r>
        <w:rPr>
          <w:rFonts w:hint="eastAsia"/>
          <w:b/>
          <w:sz w:val="32"/>
          <w:u w:val="single"/>
          <w:lang w:eastAsia="zh-CN"/>
        </w:rPr>
        <w:t>嘉兴市银建工程咨询评估有限公司</w:t>
      </w:r>
      <w:r>
        <w:rPr>
          <w:rFonts w:hint="eastAsia"/>
          <w:sz w:val="32"/>
        </w:rPr>
        <w:t>（盖章）</w:t>
      </w:r>
    </w:p>
    <w:p>
      <w:pPr>
        <w:spacing w:line="400" w:lineRule="exact"/>
        <w:rPr>
          <w:sz w:val="32"/>
        </w:rPr>
      </w:pPr>
    </w:p>
    <w:p>
      <w:pPr>
        <w:spacing w:line="400" w:lineRule="exact"/>
        <w:rPr>
          <w:sz w:val="32"/>
        </w:rPr>
      </w:pPr>
    </w:p>
    <w:p>
      <w:pPr>
        <w:spacing w:line="400" w:lineRule="exact"/>
        <w:rPr>
          <w:sz w:val="32"/>
        </w:rPr>
      </w:pPr>
    </w:p>
    <w:p>
      <w:pPr>
        <w:spacing w:line="400" w:lineRule="exact"/>
        <w:rPr>
          <w:sz w:val="32"/>
        </w:rPr>
      </w:pPr>
      <w:r>
        <w:rPr>
          <w:rFonts w:hint="eastAsia"/>
          <w:sz w:val="32"/>
        </w:rPr>
        <w:t>编</w:t>
      </w:r>
      <w:r>
        <w:rPr>
          <w:rFonts w:hint="eastAsia"/>
          <w:color w:val="auto"/>
          <w:sz w:val="32"/>
        </w:rPr>
        <w:t>制日期：</w:t>
      </w:r>
      <w:r>
        <w:rPr>
          <w:rFonts w:hint="eastAsia"/>
          <w:color w:val="auto"/>
          <w:sz w:val="32"/>
          <w:u w:val="single"/>
        </w:rPr>
        <w:t>202</w:t>
      </w:r>
      <w:r>
        <w:rPr>
          <w:rFonts w:hint="eastAsia"/>
          <w:color w:val="auto"/>
          <w:sz w:val="32"/>
          <w:u w:val="single"/>
          <w:lang w:val="en-US" w:eastAsia="zh-CN"/>
        </w:rPr>
        <w:t>4</w:t>
      </w:r>
      <w:r>
        <w:rPr>
          <w:rFonts w:hint="eastAsia"/>
          <w:color w:val="auto"/>
          <w:sz w:val="32"/>
        </w:rPr>
        <w:t>年</w:t>
      </w:r>
      <w:r>
        <w:rPr>
          <w:rFonts w:hint="eastAsia"/>
          <w:color w:val="auto"/>
          <w:sz w:val="32"/>
          <w:u w:val="single"/>
          <w:lang w:val="en-US" w:eastAsia="zh-CN"/>
        </w:rPr>
        <w:t>6</w:t>
      </w:r>
      <w:r>
        <w:rPr>
          <w:rFonts w:hint="eastAsia"/>
          <w:color w:val="auto"/>
          <w:sz w:val="32"/>
        </w:rPr>
        <w:t>月</w:t>
      </w:r>
      <w:r>
        <w:rPr>
          <w:rFonts w:hint="eastAsia"/>
          <w:color w:val="auto"/>
          <w:sz w:val="32"/>
          <w:u w:val="single"/>
          <w:lang w:val="en-US" w:eastAsia="zh-CN"/>
        </w:rPr>
        <w:t>4</w:t>
      </w:r>
      <w:r>
        <w:rPr>
          <w:rFonts w:hint="eastAsia"/>
          <w:color w:val="auto"/>
          <w:sz w:val="32"/>
        </w:rPr>
        <w:t>日</w:t>
      </w:r>
    </w:p>
    <w:p/>
    <w:p>
      <w:pPr>
        <w:spacing w:line="420" w:lineRule="exact"/>
        <w:jc w:val="center"/>
        <w:rPr>
          <w:rStyle w:val="74"/>
          <w:rFonts w:ascii="ˎ̥" w:hAnsi="ˎ̥"/>
          <w:color w:val="auto"/>
          <w:sz w:val="32"/>
          <w:szCs w:val="32"/>
        </w:rPr>
      </w:pPr>
      <w:r>
        <w:rPr>
          <w:rStyle w:val="74"/>
          <w:rFonts w:ascii="ˎ̥" w:hAnsi="ˎ̥"/>
          <w:color w:val="auto"/>
          <w:sz w:val="32"/>
          <w:szCs w:val="32"/>
        </w:rPr>
        <w:br w:type="page"/>
      </w:r>
    </w:p>
    <w:p>
      <w:pPr>
        <w:spacing w:line="420" w:lineRule="exact"/>
        <w:jc w:val="center"/>
        <w:rPr>
          <w:rFonts w:ascii="宋体" w:hAnsi="宋体"/>
          <w:b/>
          <w:sz w:val="44"/>
          <w:szCs w:val="44"/>
        </w:rPr>
      </w:pPr>
    </w:p>
    <w:p>
      <w:pPr>
        <w:spacing w:line="600" w:lineRule="exact"/>
        <w:jc w:val="center"/>
        <w:rPr>
          <w:rFonts w:ascii="宋体" w:hAnsi="宋体"/>
          <w:b/>
          <w:sz w:val="52"/>
          <w:szCs w:val="52"/>
        </w:rPr>
      </w:pPr>
      <w:r>
        <w:rPr>
          <w:rFonts w:hint="eastAsia" w:ascii="宋体" w:hAnsi="宋体"/>
          <w:b/>
          <w:sz w:val="52"/>
          <w:szCs w:val="52"/>
        </w:rPr>
        <w:t>目        录</w:t>
      </w:r>
    </w:p>
    <w:p>
      <w:pPr>
        <w:spacing w:line="320" w:lineRule="exact"/>
        <w:jc w:val="both"/>
        <w:rPr>
          <w:rFonts w:ascii="宋体" w:hAnsi="宋体"/>
          <w:b/>
          <w:sz w:val="44"/>
          <w:szCs w:val="44"/>
        </w:rPr>
      </w:pPr>
    </w:p>
    <w:p>
      <w:pPr>
        <w:pStyle w:val="32"/>
        <w:tabs>
          <w:tab w:val="right" w:leader="dot" w:pos="8810"/>
        </w:tabs>
        <w:rPr>
          <w:rFonts w:asciiTheme="minorHAnsi" w:hAnsiTheme="minorHAnsi" w:eastAsiaTheme="minorEastAsia" w:cstheme="minorBidi"/>
          <w:smallCaps w:val="0"/>
          <w:sz w:val="21"/>
          <w:szCs w:val="22"/>
        </w:rPr>
      </w:pPr>
      <w:r>
        <w:rPr>
          <w:rFonts w:hint="eastAsia" w:ascii="宋体" w:hAnsi="宋体" w:cs="宋体"/>
          <w:b/>
          <w:iCs/>
          <w:spacing w:val="20"/>
        </w:rPr>
        <w:fldChar w:fldCharType="begin"/>
      </w:r>
      <w:r>
        <w:rPr>
          <w:rFonts w:hint="eastAsia" w:ascii="宋体" w:hAnsi="宋体" w:cs="宋体"/>
          <w:b/>
          <w:iCs/>
          <w:spacing w:val="20"/>
        </w:rPr>
        <w:instrText xml:space="preserve"> TOC \o "1-2" \h \z \u </w:instrText>
      </w:r>
      <w:r>
        <w:rPr>
          <w:rFonts w:hint="eastAsia" w:ascii="宋体" w:hAnsi="宋体" w:cs="宋体"/>
          <w:b/>
          <w:iCs/>
          <w:spacing w:val="20"/>
        </w:rPr>
        <w:fldChar w:fldCharType="separate"/>
      </w:r>
    </w:p>
    <w:p>
      <w:pPr>
        <w:pStyle w:val="28"/>
        <w:rPr>
          <w:rFonts w:asciiTheme="minorHAnsi" w:hAnsiTheme="minorHAnsi" w:eastAsiaTheme="minorEastAsia" w:cstheme="minorBidi"/>
          <w:b w:val="0"/>
          <w:bCs w:val="0"/>
          <w:caps w:val="0"/>
          <w:sz w:val="21"/>
          <w:szCs w:val="22"/>
        </w:rPr>
      </w:pPr>
      <w:r>
        <w:fldChar w:fldCharType="begin"/>
      </w:r>
      <w:r>
        <w:instrText xml:space="preserve"> HYPERLINK \l "_Toc119922181" </w:instrText>
      </w:r>
      <w:r>
        <w:fldChar w:fldCharType="separate"/>
      </w:r>
      <w:r>
        <w:rPr>
          <w:rStyle w:val="50"/>
          <w:rFonts w:hint="eastAsia" w:hAnsi="宋体"/>
          <w:color w:val="auto"/>
        </w:rPr>
        <w:t>第一部分</w:t>
      </w:r>
      <w:r>
        <w:rPr>
          <w:rStyle w:val="50"/>
          <w:rFonts w:hint="eastAsia" w:ascii="ˎ̥" w:hAnsi="ˎ̥" w:cs="宋体"/>
          <w:color w:val="auto"/>
          <w:kern w:val="0"/>
        </w:rPr>
        <w:t>招标公告</w:t>
      </w:r>
      <w:bookmarkStart w:id="290" w:name="_GoBack"/>
      <w:bookmarkEnd w:id="290"/>
      <w:r>
        <w:tab/>
      </w:r>
      <w:r>
        <w:fldChar w:fldCharType="begin"/>
      </w:r>
      <w:r>
        <w:instrText xml:space="preserve"> PAGEREF _Toc119922181 \h </w:instrText>
      </w:r>
      <w:r>
        <w:fldChar w:fldCharType="separate"/>
      </w:r>
      <w:r>
        <w:t>4</w:t>
      </w:r>
      <w:r>
        <w:fldChar w:fldCharType="end"/>
      </w:r>
      <w:r>
        <w:fldChar w:fldCharType="end"/>
      </w:r>
    </w:p>
    <w:p>
      <w:pPr>
        <w:pStyle w:val="28"/>
        <w:rPr>
          <w:rFonts w:asciiTheme="minorHAnsi" w:hAnsiTheme="minorHAnsi" w:eastAsiaTheme="minorEastAsia" w:cstheme="minorBidi"/>
          <w:b w:val="0"/>
          <w:bCs w:val="0"/>
          <w:caps w:val="0"/>
          <w:sz w:val="21"/>
          <w:szCs w:val="22"/>
        </w:rPr>
      </w:pPr>
      <w:r>
        <w:fldChar w:fldCharType="begin"/>
      </w:r>
      <w:r>
        <w:instrText xml:space="preserve"> HYPERLINK \l "_Toc119922182" </w:instrText>
      </w:r>
      <w:r>
        <w:fldChar w:fldCharType="separate"/>
      </w:r>
      <w:r>
        <w:rPr>
          <w:rStyle w:val="50"/>
          <w:rFonts w:hint="eastAsia" w:ascii="宋体" w:hAnsi="宋体"/>
          <w:color w:val="auto"/>
        </w:rPr>
        <w:t>第二部分招标需求</w:t>
      </w:r>
      <w:r>
        <w:tab/>
      </w:r>
      <w:r>
        <w:fldChar w:fldCharType="begin"/>
      </w:r>
      <w:r>
        <w:instrText xml:space="preserve"> PAGEREF _Toc119922182 \h </w:instrText>
      </w:r>
      <w:r>
        <w:fldChar w:fldCharType="separate"/>
      </w:r>
      <w:r>
        <w:t>6</w:t>
      </w:r>
      <w:r>
        <w:fldChar w:fldCharType="end"/>
      </w:r>
      <w:r>
        <w:fldChar w:fldCharType="end"/>
      </w:r>
    </w:p>
    <w:p>
      <w:pPr>
        <w:pStyle w:val="28"/>
        <w:rPr>
          <w:rStyle w:val="50"/>
          <w:rFonts w:hAnsi="宋体"/>
          <w:color w:val="auto"/>
        </w:rPr>
      </w:pPr>
      <w:r>
        <w:fldChar w:fldCharType="begin"/>
      </w:r>
      <w:r>
        <w:instrText xml:space="preserve"> HYPERLINK \l "_Toc119922183" </w:instrText>
      </w:r>
      <w:r>
        <w:fldChar w:fldCharType="separate"/>
      </w:r>
      <w:r>
        <w:rPr>
          <w:rStyle w:val="50"/>
          <w:rFonts w:hint="eastAsia" w:hAnsi="宋体"/>
          <w:color w:val="auto"/>
        </w:rPr>
        <w:t>第三章投标人须知</w:t>
      </w:r>
      <w:r>
        <w:rPr>
          <w:rStyle w:val="50"/>
          <w:rFonts w:hAnsi="宋体"/>
          <w:color w:val="auto"/>
        </w:rPr>
        <w:tab/>
      </w:r>
      <w:r>
        <w:rPr>
          <w:rStyle w:val="50"/>
          <w:rFonts w:hAnsi="宋体"/>
          <w:color w:val="auto"/>
        </w:rPr>
        <w:fldChar w:fldCharType="begin"/>
      </w:r>
      <w:r>
        <w:rPr>
          <w:rStyle w:val="50"/>
          <w:rFonts w:hAnsi="宋体"/>
          <w:color w:val="auto"/>
        </w:rPr>
        <w:instrText xml:space="preserve"> PAGEREF _Toc119922183 \h </w:instrText>
      </w:r>
      <w:r>
        <w:rPr>
          <w:rStyle w:val="50"/>
          <w:rFonts w:hAnsi="宋体"/>
          <w:color w:val="auto"/>
        </w:rPr>
        <w:fldChar w:fldCharType="separate"/>
      </w:r>
      <w:r>
        <w:rPr>
          <w:rStyle w:val="50"/>
          <w:rFonts w:hAnsi="宋体"/>
          <w:color w:val="auto"/>
        </w:rPr>
        <w:t>11</w:t>
      </w:r>
      <w:r>
        <w:rPr>
          <w:rStyle w:val="50"/>
          <w:rFonts w:hAnsi="宋体"/>
          <w:color w:val="auto"/>
        </w:rPr>
        <w:fldChar w:fldCharType="end"/>
      </w:r>
      <w:r>
        <w:rPr>
          <w:rStyle w:val="50"/>
          <w:rFonts w:hAnsi="宋体"/>
          <w:color w:val="auto"/>
        </w:rPr>
        <w:fldChar w:fldCharType="end"/>
      </w:r>
    </w:p>
    <w:p>
      <w:pPr>
        <w:pStyle w:val="28"/>
        <w:rPr>
          <w:rStyle w:val="50"/>
          <w:rFonts w:hAnsi="宋体"/>
          <w:color w:val="auto"/>
        </w:rPr>
      </w:pPr>
      <w:r>
        <w:fldChar w:fldCharType="begin"/>
      </w:r>
      <w:r>
        <w:instrText xml:space="preserve"> HYPERLINK \l "_Toc119922205" </w:instrText>
      </w:r>
      <w:r>
        <w:fldChar w:fldCharType="separate"/>
      </w:r>
      <w:r>
        <w:rPr>
          <w:rStyle w:val="50"/>
          <w:rFonts w:hint="eastAsia" w:hAnsi="宋体"/>
          <w:color w:val="auto"/>
        </w:rPr>
        <w:t>第四章评标办法</w:t>
      </w:r>
      <w:r>
        <w:rPr>
          <w:rStyle w:val="50"/>
          <w:rFonts w:hAnsi="宋体"/>
          <w:color w:val="auto"/>
        </w:rPr>
        <w:tab/>
      </w:r>
      <w:r>
        <w:rPr>
          <w:rStyle w:val="50"/>
          <w:rFonts w:hAnsi="宋体"/>
          <w:color w:val="auto"/>
        </w:rPr>
        <w:fldChar w:fldCharType="begin"/>
      </w:r>
      <w:r>
        <w:rPr>
          <w:rStyle w:val="50"/>
          <w:rFonts w:hAnsi="宋体"/>
          <w:color w:val="auto"/>
        </w:rPr>
        <w:instrText xml:space="preserve"> PAGEREF _Toc119922205 \h </w:instrText>
      </w:r>
      <w:r>
        <w:rPr>
          <w:rStyle w:val="50"/>
          <w:rFonts w:hAnsi="宋体"/>
          <w:color w:val="auto"/>
        </w:rPr>
        <w:fldChar w:fldCharType="separate"/>
      </w:r>
      <w:r>
        <w:rPr>
          <w:rStyle w:val="50"/>
          <w:rFonts w:hAnsi="宋体"/>
          <w:color w:val="auto"/>
        </w:rPr>
        <w:t>21</w:t>
      </w:r>
      <w:r>
        <w:rPr>
          <w:rStyle w:val="50"/>
          <w:rFonts w:hAnsi="宋体"/>
          <w:color w:val="auto"/>
        </w:rPr>
        <w:fldChar w:fldCharType="end"/>
      </w:r>
      <w:r>
        <w:rPr>
          <w:rStyle w:val="50"/>
          <w:rFonts w:hAnsi="宋体"/>
          <w:color w:val="auto"/>
        </w:rPr>
        <w:fldChar w:fldCharType="end"/>
      </w:r>
    </w:p>
    <w:p>
      <w:pPr>
        <w:pStyle w:val="28"/>
        <w:rPr>
          <w:rStyle w:val="50"/>
          <w:rFonts w:hAnsi="宋体"/>
          <w:color w:val="auto"/>
        </w:rPr>
      </w:pPr>
      <w:r>
        <w:fldChar w:fldCharType="begin"/>
      </w:r>
      <w:r>
        <w:instrText xml:space="preserve"> HYPERLINK \l "_Toc119922206" </w:instrText>
      </w:r>
      <w:r>
        <w:fldChar w:fldCharType="separate"/>
      </w:r>
      <w:r>
        <w:rPr>
          <w:rStyle w:val="50"/>
          <w:rFonts w:hint="eastAsia" w:hAnsi="宋体"/>
          <w:color w:val="auto"/>
        </w:rPr>
        <w:t>第五章采购合同</w:t>
      </w:r>
      <w:r>
        <w:rPr>
          <w:rStyle w:val="50"/>
          <w:rFonts w:hAnsi="宋体"/>
          <w:color w:val="auto"/>
        </w:rPr>
        <w:tab/>
      </w:r>
      <w:r>
        <w:rPr>
          <w:rStyle w:val="50"/>
          <w:rFonts w:hAnsi="宋体"/>
          <w:color w:val="auto"/>
        </w:rPr>
        <w:fldChar w:fldCharType="begin"/>
      </w:r>
      <w:r>
        <w:rPr>
          <w:rStyle w:val="50"/>
          <w:rFonts w:hAnsi="宋体"/>
          <w:color w:val="auto"/>
        </w:rPr>
        <w:instrText xml:space="preserve"> PAGEREF _Toc119922206 \h </w:instrText>
      </w:r>
      <w:r>
        <w:rPr>
          <w:rStyle w:val="50"/>
          <w:rFonts w:hAnsi="宋体"/>
          <w:color w:val="auto"/>
        </w:rPr>
        <w:fldChar w:fldCharType="separate"/>
      </w:r>
      <w:r>
        <w:rPr>
          <w:rStyle w:val="50"/>
          <w:rFonts w:hAnsi="宋体"/>
          <w:color w:val="auto"/>
        </w:rPr>
        <w:t>24</w:t>
      </w:r>
      <w:r>
        <w:rPr>
          <w:rStyle w:val="50"/>
          <w:rFonts w:hAnsi="宋体"/>
          <w:color w:val="auto"/>
        </w:rPr>
        <w:fldChar w:fldCharType="end"/>
      </w:r>
      <w:r>
        <w:rPr>
          <w:rStyle w:val="50"/>
          <w:rFonts w:hAnsi="宋体"/>
          <w:color w:val="auto"/>
        </w:rPr>
        <w:fldChar w:fldCharType="end"/>
      </w:r>
    </w:p>
    <w:p>
      <w:pPr>
        <w:pStyle w:val="28"/>
        <w:rPr>
          <w:rStyle w:val="50"/>
          <w:rFonts w:hAnsi="宋体"/>
          <w:color w:val="auto"/>
        </w:rPr>
      </w:pPr>
      <w:r>
        <w:fldChar w:fldCharType="begin"/>
      </w:r>
      <w:r>
        <w:instrText xml:space="preserve"> HYPERLINK \l "_Toc119922209" </w:instrText>
      </w:r>
      <w:r>
        <w:fldChar w:fldCharType="separate"/>
      </w:r>
      <w:r>
        <w:rPr>
          <w:rStyle w:val="50"/>
          <w:rFonts w:hint="eastAsia" w:hAnsi="宋体"/>
          <w:color w:val="auto"/>
        </w:rPr>
        <w:t>第六章投标文件格式</w:t>
      </w:r>
      <w:r>
        <w:rPr>
          <w:rStyle w:val="50"/>
          <w:rFonts w:hAnsi="宋体"/>
          <w:color w:val="auto"/>
        </w:rPr>
        <w:tab/>
      </w:r>
      <w:r>
        <w:rPr>
          <w:rStyle w:val="50"/>
          <w:rFonts w:hAnsi="宋体"/>
          <w:color w:val="auto"/>
        </w:rPr>
        <w:fldChar w:fldCharType="begin"/>
      </w:r>
      <w:r>
        <w:rPr>
          <w:rStyle w:val="50"/>
          <w:rFonts w:hAnsi="宋体"/>
          <w:color w:val="auto"/>
        </w:rPr>
        <w:instrText xml:space="preserve"> PAGEREF _Toc119922209 \h </w:instrText>
      </w:r>
      <w:r>
        <w:rPr>
          <w:rStyle w:val="50"/>
          <w:rFonts w:hAnsi="宋体"/>
          <w:color w:val="auto"/>
        </w:rPr>
        <w:fldChar w:fldCharType="separate"/>
      </w:r>
      <w:r>
        <w:rPr>
          <w:rStyle w:val="50"/>
          <w:rFonts w:hAnsi="宋体"/>
          <w:color w:val="auto"/>
        </w:rPr>
        <w:t>26</w:t>
      </w:r>
      <w:r>
        <w:rPr>
          <w:rStyle w:val="50"/>
          <w:rFonts w:hAnsi="宋体"/>
          <w:color w:val="auto"/>
        </w:rPr>
        <w:fldChar w:fldCharType="end"/>
      </w:r>
      <w:r>
        <w:rPr>
          <w:rStyle w:val="50"/>
          <w:rFonts w:hAnsi="宋体"/>
          <w:color w:val="auto"/>
        </w:rPr>
        <w:fldChar w:fldCharType="end"/>
      </w:r>
    </w:p>
    <w:p>
      <w:pPr>
        <w:spacing w:line="360" w:lineRule="auto"/>
        <w:jc w:val="left"/>
        <w:rPr>
          <w:rFonts w:ascii="宋体" w:hAnsi="宋体" w:cs="宋体"/>
          <w:iCs/>
          <w:caps/>
          <w:spacing w:val="20"/>
          <w:sz w:val="24"/>
        </w:rPr>
      </w:pPr>
      <w:r>
        <w:rPr>
          <w:rFonts w:hint="eastAsia" w:ascii="宋体" w:hAnsi="宋体" w:cs="宋体"/>
          <w:iCs/>
          <w:caps/>
          <w:spacing w:val="20"/>
          <w:sz w:val="24"/>
        </w:rPr>
        <w:fldChar w:fldCharType="end"/>
      </w:r>
      <w:bookmarkStart w:id="28" w:name="_Toc87670362"/>
      <w:bookmarkStart w:id="29" w:name="_Toc178668979"/>
    </w:p>
    <w:p>
      <w:pPr>
        <w:spacing w:line="360" w:lineRule="auto"/>
        <w:jc w:val="left"/>
        <w:rPr>
          <w:rFonts w:ascii="宋体" w:hAnsi="宋体" w:cs="宋体"/>
          <w:iCs/>
          <w:caps/>
          <w:spacing w:val="20"/>
          <w:sz w:val="24"/>
        </w:rPr>
      </w:pPr>
    </w:p>
    <w:p>
      <w:pPr>
        <w:spacing w:line="360" w:lineRule="auto"/>
        <w:jc w:val="left"/>
        <w:rPr>
          <w:rFonts w:ascii="宋体" w:hAnsi="宋体" w:cs="宋体"/>
          <w:iCs/>
          <w:caps/>
          <w:spacing w:val="20"/>
          <w:sz w:val="24"/>
        </w:rPr>
      </w:pPr>
    </w:p>
    <w:p>
      <w:pPr>
        <w:spacing w:line="360" w:lineRule="auto"/>
        <w:jc w:val="left"/>
        <w:rPr>
          <w:rFonts w:ascii="宋体" w:hAnsi="宋体" w:cs="宋体"/>
          <w:iCs/>
          <w:caps/>
          <w:spacing w:val="20"/>
          <w:sz w:val="24"/>
        </w:rPr>
      </w:pPr>
    </w:p>
    <w:p>
      <w:pPr>
        <w:spacing w:line="360" w:lineRule="auto"/>
        <w:jc w:val="left"/>
        <w:rPr>
          <w:rFonts w:ascii="宋体" w:hAnsi="宋体" w:cs="宋体"/>
          <w:iCs/>
          <w:caps/>
          <w:spacing w:val="20"/>
          <w:sz w:val="24"/>
        </w:rPr>
      </w:pPr>
    </w:p>
    <w:p>
      <w:pPr>
        <w:spacing w:line="360" w:lineRule="auto"/>
        <w:jc w:val="left"/>
        <w:rPr>
          <w:rFonts w:ascii="宋体" w:hAnsi="宋体" w:cs="宋体"/>
          <w:iCs/>
          <w:caps/>
          <w:spacing w:val="20"/>
          <w:sz w:val="24"/>
        </w:rPr>
      </w:pPr>
    </w:p>
    <w:p>
      <w:pPr>
        <w:spacing w:line="360" w:lineRule="auto"/>
        <w:jc w:val="left"/>
        <w:rPr>
          <w:rFonts w:ascii="宋体" w:hAnsi="宋体" w:cs="宋体"/>
          <w:iCs/>
          <w:caps/>
          <w:spacing w:val="20"/>
          <w:sz w:val="24"/>
        </w:rPr>
      </w:pPr>
    </w:p>
    <w:p>
      <w:pPr>
        <w:spacing w:line="360" w:lineRule="auto"/>
        <w:jc w:val="left"/>
        <w:rPr>
          <w:rFonts w:ascii="宋体" w:hAnsi="宋体" w:cs="宋体"/>
          <w:iCs/>
          <w:caps/>
          <w:spacing w:val="20"/>
          <w:sz w:val="24"/>
        </w:rPr>
      </w:pPr>
    </w:p>
    <w:p>
      <w:pPr>
        <w:spacing w:line="420" w:lineRule="exact"/>
        <w:jc w:val="center"/>
        <w:rPr>
          <w:rFonts w:ascii="宋体" w:hAnsi="宋体" w:cs="Arial"/>
          <w:b/>
          <w:iCs/>
          <w:caps/>
          <w:spacing w:val="20"/>
        </w:rPr>
      </w:pPr>
    </w:p>
    <w:p>
      <w:pPr>
        <w:spacing w:line="480" w:lineRule="auto"/>
        <w:rPr>
          <w:rFonts w:ascii="宋体" w:hAnsi="宋体" w:cs="Arial"/>
          <w:b/>
          <w:iCs/>
          <w:caps/>
          <w:spacing w:val="20"/>
        </w:rPr>
      </w:pPr>
    </w:p>
    <w:p>
      <w:pPr>
        <w:spacing w:line="480" w:lineRule="auto"/>
        <w:rPr>
          <w:rFonts w:ascii="宋体" w:hAnsi="宋体" w:cs="Arial"/>
          <w:b/>
          <w:iCs/>
          <w:caps/>
          <w:spacing w:val="20"/>
        </w:rPr>
      </w:pPr>
    </w:p>
    <w:bookmarkEnd w:id="28"/>
    <w:bookmarkEnd w:id="29"/>
    <w:p>
      <w:pPr>
        <w:pStyle w:val="2"/>
        <w:spacing w:line="480" w:lineRule="auto"/>
        <w:jc w:val="both"/>
        <w:rPr>
          <w:rFonts w:hAnsi="宋体"/>
          <w:sz w:val="10"/>
          <w:szCs w:val="10"/>
        </w:rPr>
      </w:pPr>
      <w:bookmarkStart w:id="30" w:name="_Toc119922181"/>
      <w:bookmarkStart w:id="31" w:name="_Toc69286125"/>
      <w:bookmarkStart w:id="32" w:name="_Toc87670364"/>
      <w:bookmarkStart w:id="33" w:name="_Toc178668980"/>
      <w:bookmarkStart w:id="34" w:name="_Toc69286635"/>
      <w:bookmarkStart w:id="35" w:name="_Toc69702133"/>
    </w:p>
    <w:p>
      <w:pPr>
        <w:bidi w:val="0"/>
        <w:rPr>
          <w:rFonts w:hint="eastAsia"/>
        </w:rPr>
      </w:pPr>
    </w:p>
    <w:p>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b w:val="0"/>
          <w:sz w:val="28"/>
          <w:szCs w:val="28"/>
        </w:rPr>
      </w:pPr>
      <w:r>
        <w:rPr>
          <w:rFonts w:hint="eastAsia" w:hAnsi="宋体"/>
          <w:sz w:val="28"/>
          <w:szCs w:val="28"/>
        </w:rPr>
        <w:t xml:space="preserve">第一部分  </w:t>
      </w:r>
      <w:bookmarkEnd w:id="30"/>
      <w:r>
        <w:rPr>
          <w:rFonts w:hint="eastAsia" w:ascii="宋体" w:hAnsi="宋体"/>
          <w:sz w:val="28"/>
          <w:szCs w:val="28"/>
        </w:rPr>
        <w:t>公开招标采购公告（非政府采购）</w:t>
      </w:r>
    </w:p>
    <w:p>
      <w:pPr>
        <w:spacing w:line="500" w:lineRule="exact"/>
        <w:rPr>
          <w:rFonts w:ascii="宋体" w:hAnsi="宋体"/>
          <w:szCs w:val="21"/>
        </w:rPr>
      </w:pPr>
      <w:r>
        <w:rPr>
          <w:rFonts w:hint="eastAsia" w:ascii="宋体" w:hAnsi="宋体"/>
          <w:szCs w:val="21"/>
        </w:rPr>
        <w:t xml:space="preserve">    参照有关法律法规的相关规定，</w:t>
      </w:r>
      <w:r>
        <w:rPr>
          <w:rFonts w:hint="eastAsia" w:ascii="宋体" w:hAnsi="宋体"/>
          <w:szCs w:val="21"/>
          <w:lang w:eastAsia="zh-CN"/>
        </w:rPr>
        <w:t>嘉兴市银建工程咨询评估有限公司</w:t>
      </w:r>
      <w:r>
        <w:rPr>
          <w:rFonts w:hint="eastAsia" w:ascii="宋体" w:hAnsi="宋体"/>
          <w:szCs w:val="21"/>
        </w:rPr>
        <w:t>受采购人委托，</w:t>
      </w:r>
      <w:r>
        <w:rPr>
          <w:rFonts w:hint="eastAsia" w:ascii="宋体" w:hAnsi="宋体" w:cs="宋体"/>
          <w:kern w:val="0"/>
          <w:szCs w:val="21"/>
        </w:rPr>
        <w:t>就</w:t>
      </w:r>
      <w:r>
        <w:rPr>
          <w:rFonts w:hint="eastAsia" w:ascii="宋体" w:hAnsi="宋体" w:cs="宋体"/>
          <w:kern w:val="0"/>
          <w:szCs w:val="21"/>
          <w:lang w:eastAsia="zh-CN"/>
        </w:rPr>
        <w:t>桐乡市濮院时尚产业发展集团有限公司及下属公司保险集中招标项目</w:t>
      </w:r>
      <w:r>
        <w:rPr>
          <w:rFonts w:hint="eastAsia" w:ascii="宋体" w:hAnsi="宋体"/>
          <w:szCs w:val="21"/>
        </w:rPr>
        <w:t>进行公开招标，欢迎国内合格供应商前来投标，现将有关事项公告如下：</w:t>
      </w:r>
    </w:p>
    <w:p>
      <w:pPr>
        <w:snapToGrid w:val="0"/>
        <w:spacing w:line="360" w:lineRule="auto"/>
        <w:ind w:firstLine="422" w:firstLineChars="200"/>
        <w:rPr>
          <w:rFonts w:ascii="宋体" w:hAnsi="宋体" w:cs="Arial"/>
          <w:szCs w:val="21"/>
        </w:rPr>
      </w:pPr>
      <w:r>
        <w:rPr>
          <w:rFonts w:hint="eastAsia" w:ascii="宋体" w:hAnsi="宋体" w:cs="Arial"/>
          <w:b/>
          <w:szCs w:val="21"/>
        </w:rPr>
        <w:t>一、采购方式：</w:t>
      </w:r>
      <w:r>
        <w:rPr>
          <w:rFonts w:hint="eastAsia" w:ascii="宋体" w:hAnsi="宋体" w:cs="Arial"/>
          <w:szCs w:val="21"/>
        </w:rPr>
        <w:t>公开招标</w:t>
      </w:r>
    </w:p>
    <w:p>
      <w:pPr>
        <w:spacing w:line="360" w:lineRule="auto"/>
        <w:ind w:firstLine="413" w:firstLineChars="196"/>
        <w:rPr>
          <w:rFonts w:hint="eastAsia" w:ascii="宋体" w:hAnsi="宋体" w:eastAsia="宋体" w:cs="Arial"/>
          <w:b w:val="0"/>
          <w:bCs/>
          <w:szCs w:val="21"/>
          <w:lang w:eastAsia="zh-CN"/>
        </w:rPr>
      </w:pPr>
      <w:r>
        <w:rPr>
          <w:rFonts w:hint="eastAsia" w:ascii="宋体" w:hAnsi="宋体" w:cs="Arial"/>
          <w:b/>
          <w:szCs w:val="21"/>
        </w:rPr>
        <w:t>二、招标项目:</w:t>
      </w:r>
      <w:r>
        <w:rPr>
          <w:rFonts w:hint="eastAsia" w:ascii="宋体" w:hAnsi="宋体" w:cs="Arial"/>
          <w:b w:val="0"/>
          <w:bCs/>
          <w:szCs w:val="21"/>
          <w:lang w:eastAsia="zh-CN"/>
        </w:rPr>
        <w:t>桐乡市濮院时尚产业发展集团有限公司及下属公司保险集中招标项目</w:t>
      </w:r>
    </w:p>
    <w:p>
      <w:pPr>
        <w:spacing w:line="360" w:lineRule="auto"/>
        <w:ind w:firstLine="413" w:firstLineChars="196"/>
        <w:rPr>
          <w:rFonts w:ascii="宋体" w:hAnsi="宋体"/>
        </w:rPr>
      </w:pPr>
      <w:r>
        <w:rPr>
          <w:rFonts w:hint="eastAsia" w:ascii="宋体" w:hAnsi="宋体"/>
          <w:b/>
        </w:rPr>
        <w:t>三、招标采购内容及预算：</w:t>
      </w:r>
    </w:p>
    <w:tbl>
      <w:tblPr>
        <w:tblStyle w:val="39"/>
        <w:tblW w:w="9111" w:type="dxa"/>
        <w:tblInd w:w="15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5"/>
        <w:gridCol w:w="3926"/>
        <w:gridCol w:w="1000"/>
        <w:gridCol w:w="1130"/>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945" w:type="dxa"/>
            <w:vAlign w:val="center"/>
          </w:tcPr>
          <w:p>
            <w:pPr>
              <w:spacing w:after="120"/>
              <w:jc w:val="center"/>
              <w:rPr>
                <w:rFonts w:ascii="宋体" w:hAnsi="宋体"/>
                <w:color w:val="auto"/>
                <w:szCs w:val="21"/>
              </w:rPr>
            </w:pPr>
            <w:r>
              <w:rPr>
                <w:rFonts w:hint="eastAsia" w:ascii="宋体" w:hAnsi="宋体"/>
                <w:color w:val="auto"/>
                <w:szCs w:val="21"/>
              </w:rPr>
              <w:t>序号</w:t>
            </w:r>
          </w:p>
        </w:tc>
        <w:tc>
          <w:tcPr>
            <w:tcW w:w="3926" w:type="dxa"/>
            <w:tcBorders>
              <w:right w:val="single" w:color="auto" w:sz="4" w:space="0"/>
            </w:tcBorders>
            <w:vAlign w:val="center"/>
          </w:tcPr>
          <w:p>
            <w:pPr>
              <w:spacing w:after="120"/>
              <w:jc w:val="center"/>
              <w:rPr>
                <w:rFonts w:ascii="宋体" w:hAnsi="宋体"/>
                <w:color w:val="auto"/>
                <w:szCs w:val="21"/>
              </w:rPr>
            </w:pPr>
            <w:r>
              <w:rPr>
                <w:rFonts w:hint="eastAsia" w:ascii="宋体" w:hAnsi="宋体"/>
                <w:color w:val="auto"/>
                <w:szCs w:val="21"/>
              </w:rPr>
              <w:t>项目名称</w:t>
            </w:r>
          </w:p>
        </w:tc>
        <w:tc>
          <w:tcPr>
            <w:tcW w:w="1000" w:type="dxa"/>
            <w:tcBorders>
              <w:left w:val="single" w:color="auto" w:sz="4" w:space="0"/>
            </w:tcBorders>
            <w:vAlign w:val="center"/>
          </w:tcPr>
          <w:p>
            <w:pPr>
              <w:spacing w:after="120"/>
              <w:jc w:val="center"/>
              <w:rPr>
                <w:rFonts w:ascii="宋体" w:hAnsi="宋体"/>
                <w:color w:val="auto"/>
                <w:szCs w:val="21"/>
              </w:rPr>
            </w:pPr>
            <w:r>
              <w:rPr>
                <w:rFonts w:hint="eastAsia" w:ascii="宋体" w:hAnsi="宋体"/>
                <w:color w:val="auto"/>
                <w:szCs w:val="21"/>
              </w:rPr>
              <w:t>单位</w:t>
            </w:r>
          </w:p>
        </w:tc>
        <w:tc>
          <w:tcPr>
            <w:tcW w:w="1130" w:type="dxa"/>
            <w:vAlign w:val="center"/>
          </w:tcPr>
          <w:p>
            <w:pPr>
              <w:spacing w:after="120"/>
              <w:jc w:val="center"/>
              <w:rPr>
                <w:rFonts w:ascii="宋体" w:hAnsi="宋体"/>
                <w:color w:val="auto"/>
                <w:szCs w:val="21"/>
              </w:rPr>
            </w:pPr>
            <w:r>
              <w:rPr>
                <w:rFonts w:hint="eastAsia" w:ascii="宋体" w:hAnsi="宋体"/>
                <w:color w:val="auto"/>
                <w:szCs w:val="21"/>
              </w:rPr>
              <w:t>数量</w:t>
            </w:r>
          </w:p>
        </w:tc>
        <w:tc>
          <w:tcPr>
            <w:tcW w:w="2110" w:type="dxa"/>
            <w:vAlign w:val="center"/>
          </w:tcPr>
          <w:p>
            <w:pPr>
              <w:spacing w:after="120"/>
              <w:jc w:val="center"/>
              <w:rPr>
                <w:rFonts w:ascii="宋体" w:hAnsi="宋体"/>
                <w:color w:val="auto"/>
                <w:szCs w:val="21"/>
              </w:rPr>
            </w:pPr>
            <w:r>
              <w:rPr>
                <w:rFonts w:hint="eastAsia" w:ascii="宋体" w:hAnsi="宋体"/>
                <w:color w:val="auto"/>
                <w:szCs w:val="21"/>
              </w:rPr>
              <w:t>预算金额（万元）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2" w:hRule="atLeast"/>
        </w:trPr>
        <w:tc>
          <w:tcPr>
            <w:tcW w:w="945" w:type="dxa"/>
            <w:vMerge w:val="restart"/>
            <w:vAlign w:val="center"/>
          </w:tcPr>
          <w:p>
            <w:pPr>
              <w:spacing w:after="120"/>
              <w:jc w:val="center"/>
              <w:rPr>
                <w:rFonts w:ascii="宋体" w:hAnsi="宋体"/>
                <w:color w:val="auto"/>
                <w:szCs w:val="21"/>
              </w:rPr>
            </w:pPr>
            <w:r>
              <w:rPr>
                <w:rFonts w:hint="eastAsia" w:ascii="宋体" w:hAnsi="宋体"/>
                <w:color w:val="auto"/>
                <w:szCs w:val="21"/>
              </w:rPr>
              <w:t>1</w:t>
            </w:r>
          </w:p>
        </w:tc>
        <w:tc>
          <w:tcPr>
            <w:tcW w:w="3926" w:type="dxa"/>
            <w:vMerge w:val="restart"/>
            <w:tcBorders>
              <w:right w:val="single" w:color="auto" w:sz="4" w:space="0"/>
            </w:tcBorders>
            <w:vAlign w:val="center"/>
          </w:tcPr>
          <w:p>
            <w:pPr>
              <w:spacing w:after="120"/>
              <w:jc w:val="center"/>
              <w:rPr>
                <w:rFonts w:hint="eastAsia" w:ascii="宋体" w:hAnsi="宋体" w:eastAsia="宋体"/>
                <w:color w:val="auto"/>
                <w:szCs w:val="21"/>
                <w:lang w:eastAsia="zh-CN"/>
              </w:rPr>
            </w:pPr>
            <w:r>
              <w:rPr>
                <w:rFonts w:hint="eastAsia" w:ascii="宋体" w:hAnsi="宋体"/>
                <w:color w:val="auto"/>
                <w:szCs w:val="21"/>
                <w:lang w:eastAsia="zh-CN"/>
              </w:rPr>
              <w:t>桐乡市濮院时尚产业发展集团有限公司及下属公司保险集中招标项目</w:t>
            </w:r>
          </w:p>
        </w:tc>
        <w:tc>
          <w:tcPr>
            <w:tcW w:w="1000" w:type="dxa"/>
            <w:vMerge w:val="restart"/>
            <w:tcBorders>
              <w:left w:val="single" w:color="auto" w:sz="4" w:space="0"/>
            </w:tcBorders>
            <w:vAlign w:val="center"/>
          </w:tcPr>
          <w:p>
            <w:pPr>
              <w:spacing w:after="120"/>
              <w:jc w:val="center"/>
              <w:rPr>
                <w:rFonts w:ascii="宋体" w:hAnsi="宋体"/>
                <w:color w:val="auto"/>
                <w:szCs w:val="21"/>
              </w:rPr>
            </w:pPr>
            <w:r>
              <w:rPr>
                <w:rFonts w:hint="eastAsia" w:ascii="宋体" w:hAnsi="宋体"/>
                <w:color w:val="auto"/>
                <w:szCs w:val="21"/>
              </w:rPr>
              <w:t>项</w:t>
            </w:r>
          </w:p>
        </w:tc>
        <w:tc>
          <w:tcPr>
            <w:tcW w:w="1130" w:type="dxa"/>
            <w:tcBorders>
              <w:bottom w:val="single" w:color="auto" w:sz="4" w:space="0"/>
            </w:tcBorders>
            <w:vAlign w:val="center"/>
          </w:tcPr>
          <w:p>
            <w:pPr>
              <w:spacing w:after="120"/>
              <w:jc w:val="center"/>
              <w:rPr>
                <w:rFonts w:ascii="宋体" w:hAnsi="宋体"/>
                <w:color w:val="auto"/>
                <w:szCs w:val="21"/>
              </w:rPr>
            </w:pPr>
            <w:r>
              <w:rPr>
                <w:rFonts w:hint="eastAsia" w:ascii="宋体" w:hAnsi="宋体"/>
                <w:color w:val="auto"/>
                <w:szCs w:val="21"/>
              </w:rPr>
              <w:t>一标项</w:t>
            </w:r>
          </w:p>
        </w:tc>
        <w:tc>
          <w:tcPr>
            <w:tcW w:w="2110" w:type="dxa"/>
            <w:tcBorders>
              <w:bottom w:val="single" w:color="auto" w:sz="4" w:space="0"/>
            </w:tcBorders>
            <w:vAlign w:val="center"/>
          </w:tcPr>
          <w:p>
            <w:pPr>
              <w:spacing w:after="120"/>
              <w:jc w:val="center"/>
              <w:rPr>
                <w:rFonts w:hint="default" w:ascii="宋体" w:hAnsi="宋体" w:eastAsia="宋体"/>
                <w:color w:val="auto"/>
                <w:szCs w:val="21"/>
                <w:lang w:val="en-US" w:eastAsia="zh-CN"/>
              </w:rPr>
            </w:pPr>
            <w:r>
              <w:rPr>
                <w:rFonts w:hint="eastAsia" w:ascii="宋体" w:hAnsi="宋体"/>
                <w:color w:val="auto"/>
                <w:szCs w:val="21"/>
                <w:lang w:val="en-US" w:eastAsia="zh-CN"/>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4" w:hRule="atLeast"/>
        </w:trPr>
        <w:tc>
          <w:tcPr>
            <w:tcW w:w="945" w:type="dxa"/>
            <w:vMerge w:val="continue"/>
            <w:vAlign w:val="center"/>
          </w:tcPr>
          <w:p>
            <w:pPr>
              <w:spacing w:after="120"/>
              <w:jc w:val="center"/>
              <w:rPr>
                <w:rFonts w:ascii="宋体" w:hAnsi="宋体"/>
                <w:color w:val="auto"/>
                <w:szCs w:val="21"/>
              </w:rPr>
            </w:pPr>
          </w:p>
        </w:tc>
        <w:tc>
          <w:tcPr>
            <w:tcW w:w="3926" w:type="dxa"/>
            <w:vMerge w:val="continue"/>
            <w:tcBorders>
              <w:right w:val="single" w:color="auto" w:sz="4" w:space="0"/>
            </w:tcBorders>
            <w:vAlign w:val="center"/>
          </w:tcPr>
          <w:p>
            <w:pPr>
              <w:spacing w:after="120"/>
              <w:jc w:val="center"/>
              <w:rPr>
                <w:rFonts w:ascii="宋体" w:hAnsi="宋体"/>
                <w:color w:val="auto"/>
                <w:szCs w:val="21"/>
              </w:rPr>
            </w:pPr>
          </w:p>
        </w:tc>
        <w:tc>
          <w:tcPr>
            <w:tcW w:w="1000" w:type="dxa"/>
            <w:vMerge w:val="continue"/>
            <w:tcBorders>
              <w:left w:val="single" w:color="auto" w:sz="4" w:space="0"/>
            </w:tcBorders>
            <w:vAlign w:val="center"/>
          </w:tcPr>
          <w:p>
            <w:pPr>
              <w:spacing w:after="120"/>
              <w:jc w:val="center"/>
              <w:rPr>
                <w:rFonts w:ascii="宋体" w:hAnsi="宋体"/>
                <w:color w:val="auto"/>
                <w:szCs w:val="21"/>
              </w:rPr>
            </w:pPr>
          </w:p>
        </w:tc>
        <w:tc>
          <w:tcPr>
            <w:tcW w:w="1130" w:type="dxa"/>
            <w:tcBorders>
              <w:top w:val="single" w:color="auto" w:sz="4" w:space="0"/>
              <w:bottom w:val="single" w:color="auto" w:sz="4" w:space="0"/>
            </w:tcBorders>
            <w:vAlign w:val="center"/>
          </w:tcPr>
          <w:p>
            <w:pPr>
              <w:spacing w:after="120"/>
              <w:jc w:val="center"/>
              <w:rPr>
                <w:rFonts w:ascii="宋体" w:hAnsi="宋体"/>
                <w:color w:val="auto"/>
                <w:szCs w:val="21"/>
              </w:rPr>
            </w:pPr>
            <w:r>
              <w:rPr>
                <w:rFonts w:hint="eastAsia" w:ascii="宋体" w:hAnsi="宋体"/>
                <w:color w:val="auto"/>
                <w:szCs w:val="21"/>
              </w:rPr>
              <w:t>二标项</w:t>
            </w:r>
          </w:p>
        </w:tc>
        <w:tc>
          <w:tcPr>
            <w:tcW w:w="2110" w:type="dxa"/>
            <w:tcBorders>
              <w:top w:val="single" w:color="auto" w:sz="4" w:space="0"/>
              <w:bottom w:val="single" w:color="auto" w:sz="4" w:space="0"/>
            </w:tcBorders>
            <w:vAlign w:val="center"/>
          </w:tcPr>
          <w:p>
            <w:pPr>
              <w:spacing w:after="120"/>
              <w:jc w:val="center"/>
              <w:rPr>
                <w:rFonts w:hint="default" w:ascii="宋体" w:hAnsi="宋体" w:eastAsia="宋体"/>
                <w:color w:val="auto"/>
                <w:szCs w:val="21"/>
                <w:lang w:val="en-US" w:eastAsia="zh-CN"/>
              </w:rPr>
            </w:pPr>
            <w:r>
              <w:rPr>
                <w:rFonts w:hint="eastAsia" w:ascii="宋体" w:hAnsi="宋体"/>
                <w:color w:val="auto"/>
                <w:szCs w:val="21"/>
                <w:lang w:val="en-US" w:eastAsia="zh-CN"/>
              </w:rPr>
              <w:t>50</w:t>
            </w:r>
          </w:p>
        </w:tc>
      </w:tr>
    </w:tbl>
    <w:p>
      <w:pPr>
        <w:spacing w:line="360" w:lineRule="auto"/>
        <w:rPr>
          <w:rFonts w:hint="eastAsia" w:ascii="宋体" w:hAnsi="宋体" w:eastAsia="宋体" w:cs="Arial"/>
          <w:szCs w:val="21"/>
          <w:lang w:eastAsia="zh-CN"/>
        </w:rPr>
      </w:pPr>
      <w:r>
        <w:rPr>
          <w:rFonts w:hint="eastAsia" w:ascii="宋体" w:hAnsi="宋体" w:cs="Arial"/>
          <w:color w:val="auto"/>
          <w:szCs w:val="21"/>
        </w:rPr>
        <w:t xml:space="preserve">     最高限价：</w:t>
      </w:r>
      <w:r>
        <w:rPr>
          <w:rFonts w:hint="eastAsia" w:ascii="宋体" w:hAnsi="宋体"/>
          <w:color w:val="auto"/>
          <w:szCs w:val="21"/>
        </w:rPr>
        <w:t>一标项</w:t>
      </w:r>
      <w:r>
        <w:rPr>
          <w:rFonts w:hint="eastAsia" w:ascii="宋体" w:hAnsi="宋体" w:cs="Arial"/>
          <w:color w:val="auto"/>
          <w:szCs w:val="21"/>
        </w:rPr>
        <w:t>：</w:t>
      </w:r>
      <w:r>
        <w:rPr>
          <w:rFonts w:hint="eastAsia" w:ascii="宋体" w:hAnsi="宋体" w:cs="Arial"/>
          <w:color w:val="auto"/>
          <w:szCs w:val="21"/>
          <w:lang w:val="en-US" w:eastAsia="zh-CN"/>
        </w:rPr>
        <w:t>50</w:t>
      </w:r>
      <w:r>
        <w:rPr>
          <w:rFonts w:hint="eastAsia" w:ascii="宋体" w:hAnsi="宋体" w:cs="Arial"/>
          <w:color w:val="auto"/>
          <w:szCs w:val="21"/>
        </w:rPr>
        <w:t>万元；</w:t>
      </w:r>
      <w:r>
        <w:rPr>
          <w:rFonts w:hint="eastAsia" w:ascii="宋体" w:hAnsi="宋体"/>
          <w:color w:val="auto"/>
          <w:szCs w:val="21"/>
        </w:rPr>
        <w:t>二标项</w:t>
      </w:r>
      <w:r>
        <w:rPr>
          <w:rFonts w:hint="eastAsia" w:ascii="宋体" w:hAnsi="宋体" w:cs="Arial"/>
          <w:color w:val="auto"/>
          <w:szCs w:val="21"/>
        </w:rPr>
        <w:t>：</w:t>
      </w:r>
      <w:r>
        <w:rPr>
          <w:rFonts w:hint="eastAsia" w:ascii="宋体" w:hAnsi="宋体" w:cs="Arial"/>
          <w:color w:val="auto"/>
          <w:szCs w:val="21"/>
          <w:lang w:val="en-US" w:eastAsia="zh-CN"/>
        </w:rPr>
        <w:t>50</w:t>
      </w:r>
      <w:r>
        <w:rPr>
          <w:rFonts w:hint="eastAsia" w:ascii="宋体" w:hAnsi="宋体" w:cs="Arial"/>
          <w:color w:val="auto"/>
          <w:szCs w:val="21"/>
        </w:rPr>
        <w:t>万元</w:t>
      </w:r>
      <w:r>
        <w:rPr>
          <w:rFonts w:hint="eastAsia" w:ascii="宋体" w:hAnsi="宋体" w:cs="Arial"/>
          <w:color w:val="auto"/>
          <w:szCs w:val="21"/>
          <w:lang w:eastAsia="zh-CN"/>
        </w:rPr>
        <w:t>。</w:t>
      </w:r>
    </w:p>
    <w:p>
      <w:pPr>
        <w:spacing w:line="360" w:lineRule="auto"/>
        <w:ind w:firstLine="422" w:firstLineChars="200"/>
        <w:rPr>
          <w:rFonts w:ascii="宋体" w:hAnsi="宋体" w:cs="宋体"/>
          <w:b/>
          <w:kern w:val="0"/>
          <w:szCs w:val="21"/>
        </w:rPr>
      </w:pPr>
      <w:r>
        <w:rPr>
          <w:rFonts w:hint="eastAsia" w:ascii="宋体" w:hAnsi="宋体" w:cs="宋体"/>
          <w:b/>
          <w:kern w:val="0"/>
          <w:szCs w:val="21"/>
        </w:rPr>
        <w:t>四、采购需求（概述）：</w:t>
      </w:r>
    </w:p>
    <w:p>
      <w:pPr>
        <w:numPr>
          <w:ilvl w:val="0"/>
          <w:numId w:val="0"/>
        </w:numPr>
        <w:spacing w:line="360" w:lineRule="auto"/>
        <w:ind w:firstLine="420" w:firstLineChars="200"/>
        <w:rPr>
          <w:rFonts w:ascii="宋体" w:hAnsi="宋体" w:cs="宋体"/>
          <w:kern w:val="0"/>
          <w:szCs w:val="21"/>
        </w:rPr>
      </w:pPr>
      <w:r>
        <w:rPr>
          <w:rFonts w:hint="eastAsia" w:ascii="宋体" w:hAnsi="宋体"/>
          <w:szCs w:val="21"/>
          <w:lang w:eastAsia="zh-CN"/>
        </w:rPr>
        <w:t>桐乡市濮院时尚产业发展集团有限公司及下属公司保险集中招标项目</w:t>
      </w:r>
      <w:r>
        <w:rPr>
          <w:rFonts w:hint="eastAsia" w:ascii="宋体" w:hAnsi="宋体" w:cs="Arial"/>
          <w:szCs w:val="21"/>
        </w:rPr>
        <w:t>（具体</w:t>
      </w:r>
      <w:r>
        <w:rPr>
          <w:rFonts w:hint="eastAsia" w:ascii="宋体" w:hAnsi="宋体" w:cs="宋体"/>
          <w:kern w:val="0"/>
          <w:szCs w:val="21"/>
        </w:rPr>
        <w:t>详见招标文件</w:t>
      </w:r>
      <w:r>
        <w:rPr>
          <w:rFonts w:hint="eastAsia" w:ascii="宋体" w:hAnsi="宋体" w:cs="Arial"/>
          <w:szCs w:val="21"/>
        </w:rPr>
        <w:t>）</w:t>
      </w:r>
    </w:p>
    <w:p>
      <w:pPr>
        <w:snapToGrid w:val="0"/>
        <w:spacing w:line="360" w:lineRule="auto"/>
        <w:ind w:firstLine="413" w:firstLineChars="196"/>
        <w:rPr>
          <w:rFonts w:ascii="宋体" w:hAnsi="宋体" w:cs="Arial"/>
          <w:b/>
          <w:bCs/>
          <w:szCs w:val="21"/>
        </w:rPr>
      </w:pPr>
      <w:r>
        <w:rPr>
          <w:rFonts w:hint="eastAsia" w:ascii="宋体" w:hAnsi="宋体" w:cs="Arial"/>
          <w:b/>
          <w:bCs/>
          <w:szCs w:val="21"/>
        </w:rPr>
        <w:t>五、</w:t>
      </w:r>
      <w:r>
        <w:rPr>
          <w:rFonts w:hint="eastAsia" w:ascii="宋体" w:hAnsi="宋体"/>
          <w:b/>
          <w:szCs w:val="21"/>
        </w:rPr>
        <w:t>合格投标人的资格要求</w:t>
      </w:r>
      <w:r>
        <w:rPr>
          <w:rFonts w:hint="eastAsia" w:ascii="宋体" w:hAnsi="宋体"/>
          <w:szCs w:val="21"/>
        </w:rPr>
        <w:t>:</w:t>
      </w:r>
    </w:p>
    <w:p>
      <w:pPr>
        <w:snapToGrid w:val="0"/>
        <w:spacing w:line="440" w:lineRule="exact"/>
        <w:ind w:firstLine="522" w:firstLineChars="249"/>
        <w:rPr>
          <w:rFonts w:ascii="宋体" w:hAnsi="宋体" w:cs="Arial"/>
          <w:szCs w:val="21"/>
        </w:rPr>
      </w:pPr>
      <w:r>
        <w:rPr>
          <w:rFonts w:hint="eastAsia" w:ascii="宋体" w:hAnsi="宋体" w:cs="Arial"/>
          <w:szCs w:val="21"/>
        </w:rPr>
        <w:t>（一）</w:t>
      </w:r>
      <w:r>
        <w:rPr>
          <w:rFonts w:hint="eastAsia" w:ascii="宋体" w:hAnsi="宋体" w:cs="Arial"/>
          <w:color w:val="auto"/>
          <w:szCs w:val="21"/>
          <w:highlight w:val="none"/>
        </w:rPr>
        <w:t>1.具有独立承担民事责任的能力；2.具有良好的商业信誉和健全的财务会计制度；3.具有履行合同所必需的设备和专业技术能力；4.有依法缴纳税收和社会保障资金的良好记录；5.参加采购活动前三年，在经营活动中没有重大违法记录；6.法律、行政法规规定的其他条件。(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能力和法定的缔结合同能力，可以允许其独立参加采购活动，上述单位参加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r>
        <w:rPr>
          <w:rFonts w:hint="eastAsia" w:ascii="宋体" w:hAnsi="宋体" w:cs="Arial"/>
          <w:szCs w:val="21"/>
        </w:rPr>
        <w:t>。</w:t>
      </w:r>
    </w:p>
    <w:p>
      <w:pPr>
        <w:snapToGrid w:val="0"/>
        <w:spacing w:line="440" w:lineRule="exact"/>
        <w:ind w:firstLine="522" w:firstLineChars="249"/>
        <w:rPr>
          <w:rFonts w:ascii="宋体" w:hAnsi="宋体" w:cs="Arial"/>
          <w:szCs w:val="21"/>
        </w:rPr>
      </w:pPr>
      <w:r>
        <w:rPr>
          <w:rFonts w:hint="eastAsia" w:ascii="宋体" w:hAnsi="宋体" w:cs="Arial"/>
          <w:szCs w:val="21"/>
        </w:rPr>
        <w:t>（二）与招标人存在利害关系可能影响招标公正性的法人、其他组织或者个人，不得参加投标。单位负责人为同一人或者存在控股（含法定代表人控股）、管理关系的不同单位，不得参加同一标段投标。</w:t>
      </w:r>
    </w:p>
    <w:p>
      <w:pPr>
        <w:snapToGrid w:val="0"/>
        <w:spacing w:line="440" w:lineRule="exact"/>
        <w:ind w:firstLine="522" w:firstLineChars="249"/>
        <w:rPr>
          <w:rFonts w:ascii="宋体" w:hAnsi="宋体"/>
          <w:bCs/>
          <w:szCs w:val="21"/>
        </w:rPr>
      </w:pPr>
      <w:r>
        <w:rPr>
          <w:rFonts w:hint="eastAsia" w:ascii="宋体" w:hAnsi="宋体"/>
          <w:bCs/>
          <w:szCs w:val="21"/>
        </w:rPr>
        <w:t>（三）本项目不允许联合体投标。</w:t>
      </w:r>
    </w:p>
    <w:p>
      <w:pPr>
        <w:snapToGrid w:val="0"/>
        <w:spacing w:line="360" w:lineRule="auto"/>
        <w:ind w:firstLine="310" w:firstLineChars="147"/>
        <w:rPr>
          <w:rFonts w:ascii="宋体" w:hAnsi="宋体"/>
          <w:b/>
          <w:szCs w:val="21"/>
        </w:rPr>
      </w:pPr>
      <w:r>
        <w:rPr>
          <w:rFonts w:hint="eastAsia" w:ascii="宋体" w:hAnsi="宋体"/>
          <w:b/>
          <w:szCs w:val="21"/>
        </w:rPr>
        <w:t>六、</w:t>
      </w:r>
      <w:r>
        <w:rPr>
          <w:rFonts w:hint="eastAsia" w:ascii="宋体" w:hAnsi="宋体" w:cs="Arial"/>
          <w:b/>
          <w:bCs/>
          <w:kern w:val="0"/>
          <w:szCs w:val="21"/>
        </w:rPr>
        <w:t>获取招标文件的时间期限、方式和地点:</w:t>
      </w:r>
    </w:p>
    <w:p>
      <w:pPr>
        <w:widowControl/>
        <w:spacing w:before="75" w:after="75" w:line="380" w:lineRule="exact"/>
        <w:ind w:firstLine="630" w:firstLineChars="300"/>
        <w:jc w:val="left"/>
        <w:rPr>
          <w:rFonts w:ascii="宋体" w:hAnsi="宋体" w:cs="Arial"/>
          <w:color w:val="auto"/>
          <w:kern w:val="0"/>
          <w:szCs w:val="21"/>
        </w:rPr>
      </w:pPr>
      <w:r>
        <w:rPr>
          <w:rFonts w:ascii="宋体" w:hAnsi="宋体" w:cs="Arial"/>
          <w:color w:val="auto"/>
          <w:kern w:val="0"/>
          <w:szCs w:val="21"/>
        </w:rPr>
        <w:t>时间：</w:t>
      </w:r>
      <w:r>
        <w:rPr>
          <w:rFonts w:hint="eastAsia" w:ascii="宋体" w:hAnsi="宋体" w:cs="Arial"/>
          <w:color w:val="auto"/>
          <w:kern w:val="0"/>
          <w:szCs w:val="21"/>
          <w:u w:val="none"/>
        </w:rPr>
        <w:t>202</w:t>
      </w:r>
      <w:r>
        <w:rPr>
          <w:rFonts w:hint="eastAsia" w:ascii="宋体" w:hAnsi="宋体" w:cs="Arial"/>
          <w:color w:val="auto"/>
          <w:kern w:val="0"/>
          <w:szCs w:val="21"/>
          <w:u w:val="none"/>
          <w:lang w:val="en-US" w:eastAsia="zh-CN"/>
        </w:rPr>
        <w:t>4</w:t>
      </w:r>
      <w:r>
        <w:rPr>
          <w:rFonts w:hint="eastAsia" w:ascii="宋体" w:hAnsi="宋体" w:cs="Arial"/>
          <w:color w:val="auto"/>
          <w:kern w:val="0"/>
          <w:szCs w:val="21"/>
          <w:u w:val="none"/>
        </w:rPr>
        <w:t>年</w:t>
      </w:r>
      <w:r>
        <w:rPr>
          <w:rFonts w:hint="eastAsia" w:ascii="宋体" w:hAnsi="宋体" w:cs="Arial"/>
          <w:color w:val="auto"/>
          <w:kern w:val="0"/>
          <w:szCs w:val="21"/>
          <w:u w:val="none"/>
          <w:lang w:val="en-US" w:eastAsia="zh-CN"/>
        </w:rPr>
        <w:t>6</w:t>
      </w:r>
      <w:r>
        <w:rPr>
          <w:rFonts w:hint="eastAsia" w:ascii="宋体" w:hAnsi="宋体" w:cs="Arial"/>
          <w:color w:val="auto"/>
          <w:kern w:val="0"/>
          <w:szCs w:val="21"/>
          <w:u w:val="none"/>
        </w:rPr>
        <w:t>月</w:t>
      </w:r>
      <w:r>
        <w:rPr>
          <w:rFonts w:hint="eastAsia" w:ascii="宋体" w:hAnsi="宋体" w:cs="Arial"/>
          <w:color w:val="auto"/>
          <w:kern w:val="0"/>
          <w:szCs w:val="21"/>
          <w:u w:val="none"/>
          <w:lang w:val="en-US" w:eastAsia="zh-CN"/>
        </w:rPr>
        <w:t>4</w:t>
      </w:r>
      <w:r>
        <w:rPr>
          <w:rFonts w:hint="eastAsia" w:ascii="宋体" w:hAnsi="宋体" w:cs="Arial"/>
          <w:color w:val="auto"/>
          <w:kern w:val="0"/>
          <w:szCs w:val="21"/>
          <w:u w:val="none"/>
        </w:rPr>
        <w:t>日至202</w:t>
      </w:r>
      <w:r>
        <w:rPr>
          <w:rFonts w:hint="eastAsia" w:ascii="宋体" w:hAnsi="宋体" w:cs="Arial"/>
          <w:color w:val="auto"/>
          <w:kern w:val="0"/>
          <w:szCs w:val="21"/>
          <w:u w:val="none"/>
          <w:lang w:val="en-US" w:eastAsia="zh-CN"/>
        </w:rPr>
        <w:t>4</w:t>
      </w:r>
      <w:r>
        <w:rPr>
          <w:rFonts w:hint="eastAsia" w:ascii="宋体" w:hAnsi="宋体" w:cs="Arial"/>
          <w:color w:val="auto"/>
          <w:kern w:val="0"/>
          <w:szCs w:val="21"/>
          <w:u w:val="none"/>
        </w:rPr>
        <w:t>年</w:t>
      </w:r>
      <w:r>
        <w:rPr>
          <w:rFonts w:hint="eastAsia" w:ascii="宋体" w:hAnsi="宋体" w:cs="Arial"/>
          <w:color w:val="auto"/>
          <w:kern w:val="0"/>
          <w:szCs w:val="21"/>
          <w:u w:val="none"/>
          <w:lang w:val="en-US" w:eastAsia="zh-CN"/>
        </w:rPr>
        <w:t>6</w:t>
      </w:r>
      <w:r>
        <w:rPr>
          <w:rFonts w:hint="eastAsia" w:ascii="宋体" w:hAnsi="宋体" w:cs="Arial"/>
          <w:color w:val="auto"/>
          <w:kern w:val="0"/>
          <w:szCs w:val="21"/>
          <w:u w:val="none"/>
        </w:rPr>
        <w:t>月</w:t>
      </w:r>
      <w:r>
        <w:rPr>
          <w:rFonts w:hint="eastAsia" w:ascii="宋体" w:hAnsi="宋体" w:cs="Arial"/>
          <w:color w:val="auto"/>
          <w:kern w:val="0"/>
          <w:szCs w:val="21"/>
          <w:u w:val="none"/>
          <w:lang w:val="en-US" w:eastAsia="zh-CN"/>
        </w:rPr>
        <w:t>21</w:t>
      </w:r>
      <w:r>
        <w:rPr>
          <w:rFonts w:hint="eastAsia" w:ascii="宋体" w:hAnsi="宋体" w:cs="Arial"/>
          <w:color w:val="auto"/>
          <w:kern w:val="0"/>
          <w:szCs w:val="21"/>
          <w:u w:val="none"/>
        </w:rPr>
        <w:t>日</w:t>
      </w:r>
      <w:r>
        <w:rPr>
          <w:rFonts w:hint="eastAsia" w:ascii="宋体" w:hAnsi="宋体" w:cs="Arial"/>
          <w:color w:val="auto"/>
          <w:kern w:val="0"/>
          <w:szCs w:val="21"/>
          <w:u w:val="none"/>
          <w:lang w:val="en-US" w:eastAsia="zh-CN"/>
        </w:rPr>
        <w:t>14</w:t>
      </w:r>
      <w:r>
        <w:rPr>
          <w:rFonts w:hint="eastAsia" w:ascii="宋体" w:hAnsi="宋体" w:cs="Arial"/>
          <w:color w:val="auto"/>
          <w:kern w:val="0"/>
          <w:szCs w:val="21"/>
          <w:u w:val="none"/>
        </w:rPr>
        <w:t>：00止 ，每天上午00:00至12:00 ，下午12:00至23:59（北京时间，线上获取法定节假日均可）</w:t>
      </w:r>
    </w:p>
    <w:p>
      <w:pPr>
        <w:snapToGrid w:val="0"/>
        <w:spacing w:line="400" w:lineRule="exact"/>
        <w:ind w:firstLine="630" w:firstLineChars="300"/>
        <w:rPr>
          <w:rFonts w:ascii="宋体" w:hAnsi="宋体" w:cs="Arial"/>
          <w:bCs/>
          <w:kern w:val="0"/>
        </w:rPr>
      </w:pPr>
      <w:r>
        <w:rPr>
          <w:rFonts w:ascii="宋体" w:hAnsi="宋体" w:cs="Arial"/>
          <w:kern w:val="0"/>
          <w:szCs w:val="21"/>
        </w:rPr>
        <w:t>地点（网址）：</w:t>
      </w:r>
      <w:r>
        <w:rPr>
          <w:rFonts w:hint="eastAsia" w:ascii="宋体" w:hAnsi="宋体" w:cs="Arial"/>
          <w:kern w:val="0"/>
          <w:szCs w:val="21"/>
        </w:rPr>
        <w:t>浙江政府采购网(https://zfcg.czt.zj.gov.cn/)</w:t>
      </w:r>
    </w:p>
    <w:p>
      <w:pPr>
        <w:numPr>
          <w:ilvl w:val="0"/>
          <w:numId w:val="1"/>
        </w:numPr>
        <w:spacing w:line="500" w:lineRule="exact"/>
        <w:ind w:firstLine="422" w:firstLineChars="200"/>
        <w:rPr>
          <w:rFonts w:ascii="宋体" w:hAnsi="宋体" w:cs="Arial"/>
          <w:bCs/>
          <w:szCs w:val="21"/>
        </w:rPr>
      </w:pPr>
      <w:r>
        <w:rPr>
          <w:rFonts w:hint="eastAsia" w:ascii="宋体" w:hAnsi="宋体" w:cs="Arial"/>
          <w:b/>
          <w:bCs/>
          <w:szCs w:val="21"/>
        </w:rPr>
        <w:t>招标公告发布于：</w:t>
      </w:r>
      <w:r>
        <w:rPr>
          <w:rFonts w:hint="eastAsia" w:ascii="宋体" w:hAnsi="宋体" w:cs="Arial"/>
          <w:b w:val="0"/>
          <w:bCs w:val="0"/>
          <w:szCs w:val="21"/>
        </w:rPr>
        <w:t>浙江政府采购网(https://zfcg.czt.zj.gov.cn/)。</w:t>
      </w:r>
    </w:p>
    <w:p>
      <w:pPr>
        <w:spacing w:line="500" w:lineRule="exact"/>
        <w:ind w:firstLine="422" w:firstLineChars="200"/>
        <w:rPr>
          <w:rFonts w:ascii="宋体" w:hAnsi="宋体" w:cs="Arial"/>
          <w:b/>
          <w:bCs/>
          <w:szCs w:val="21"/>
        </w:rPr>
      </w:pPr>
      <w:r>
        <w:rPr>
          <w:rFonts w:hint="eastAsia" w:ascii="宋体" w:hAnsi="宋体" w:cs="Arial"/>
          <w:b/>
          <w:bCs/>
          <w:szCs w:val="21"/>
        </w:rPr>
        <w:t>八、对本次采购提出询问、质疑、投诉，请按以下方式联系</w:t>
      </w:r>
    </w:p>
    <w:p>
      <w:pPr>
        <w:spacing w:line="440" w:lineRule="exact"/>
        <w:ind w:firstLine="420" w:firstLineChars="200"/>
        <w:rPr>
          <w:rFonts w:ascii="宋体" w:hAnsi="宋体" w:cs="Arial"/>
          <w:szCs w:val="21"/>
        </w:rPr>
      </w:pPr>
      <w:r>
        <w:rPr>
          <w:rFonts w:hint="eastAsia" w:ascii="宋体" w:hAnsi="宋体" w:cs="Arial"/>
          <w:szCs w:val="21"/>
        </w:rPr>
        <w:t>1.采购方信息</w:t>
      </w:r>
    </w:p>
    <w:p>
      <w:pPr>
        <w:spacing w:line="440" w:lineRule="exact"/>
        <w:ind w:firstLine="420" w:firstLineChars="200"/>
        <w:rPr>
          <w:rFonts w:ascii="宋体" w:hAnsi="宋体" w:cs="Arial"/>
          <w:szCs w:val="21"/>
        </w:rPr>
      </w:pPr>
      <w:r>
        <w:rPr>
          <w:rFonts w:hint="eastAsia" w:ascii="宋体" w:hAnsi="宋体" w:cs="Arial"/>
          <w:szCs w:val="21"/>
        </w:rPr>
        <w:t>名 称：桐乡市濮院时尚产业发展集团有限公司</w:t>
      </w:r>
    </w:p>
    <w:p>
      <w:pPr>
        <w:spacing w:line="440" w:lineRule="exact"/>
        <w:ind w:firstLine="420" w:firstLineChars="200"/>
        <w:rPr>
          <w:rFonts w:ascii="宋体" w:hAnsi="宋体" w:cs="Arial"/>
          <w:szCs w:val="21"/>
        </w:rPr>
      </w:pPr>
      <w:r>
        <w:rPr>
          <w:rFonts w:hint="eastAsia" w:ascii="宋体" w:hAnsi="宋体" w:cs="Arial"/>
          <w:szCs w:val="21"/>
        </w:rPr>
        <w:t>地 址：桐乡市濮院镇</w:t>
      </w:r>
    </w:p>
    <w:p>
      <w:pPr>
        <w:spacing w:line="440" w:lineRule="exact"/>
        <w:ind w:firstLine="420" w:firstLineChars="200"/>
        <w:rPr>
          <w:rFonts w:ascii="宋体" w:hAnsi="宋体" w:cs="Arial"/>
          <w:szCs w:val="21"/>
        </w:rPr>
      </w:pPr>
      <w:r>
        <w:rPr>
          <w:rFonts w:hint="eastAsia" w:ascii="宋体" w:hAnsi="宋体" w:cs="Arial"/>
          <w:szCs w:val="21"/>
        </w:rPr>
        <w:t>传 真：/</w:t>
      </w:r>
    </w:p>
    <w:p>
      <w:pPr>
        <w:spacing w:line="440" w:lineRule="exact"/>
        <w:ind w:firstLine="420" w:firstLineChars="200"/>
        <w:rPr>
          <w:rFonts w:ascii="宋体" w:hAnsi="宋体" w:cs="Arial"/>
          <w:szCs w:val="21"/>
        </w:rPr>
      </w:pPr>
      <w:r>
        <w:rPr>
          <w:rFonts w:hint="eastAsia" w:ascii="宋体" w:hAnsi="宋体" w:cs="Arial"/>
          <w:szCs w:val="21"/>
        </w:rPr>
        <w:t>项目联系人（询问）：朱先生</w:t>
      </w:r>
    </w:p>
    <w:p>
      <w:pPr>
        <w:spacing w:line="440" w:lineRule="exact"/>
        <w:ind w:firstLine="420" w:firstLineChars="200"/>
        <w:rPr>
          <w:rFonts w:ascii="宋体" w:hAnsi="宋体" w:cs="Arial"/>
          <w:szCs w:val="21"/>
        </w:rPr>
      </w:pPr>
      <w:r>
        <w:rPr>
          <w:rFonts w:hint="eastAsia" w:ascii="宋体" w:hAnsi="宋体" w:cs="Arial"/>
          <w:szCs w:val="21"/>
        </w:rPr>
        <w:t>项目联系方式（询问）：17769608973</w:t>
      </w:r>
    </w:p>
    <w:p>
      <w:pPr>
        <w:spacing w:line="440" w:lineRule="exact"/>
        <w:ind w:firstLine="420" w:firstLineChars="200"/>
        <w:rPr>
          <w:rFonts w:ascii="宋体" w:hAnsi="宋体" w:cs="Arial"/>
          <w:szCs w:val="21"/>
        </w:rPr>
      </w:pPr>
      <w:r>
        <w:rPr>
          <w:rFonts w:hint="eastAsia" w:ascii="宋体" w:hAnsi="宋体" w:cs="Arial"/>
          <w:szCs w:val="21"/>
        </w:rPr>
        <w:t>质疑联系人：朱先生</w:t>
      </w:r>
    </w:p>
    <w:p>
      <w:pPr>
        <w:spacing w:line="440" w:lineRule="exact"/>
        <w:ind w:firstLine="420" w:firstLineChars="200"/>
        <w:rPr>
          <w:rFonts w:ascii="宋体" w:hAnsi="宋体" w:cs="Arial"/>
          <w:szCs w:val="21"/>
        </w:rPr>
      </w:pPr>
      <w:r>
        <w:rPr>
          <w:rFonts w:hint="eastAsia" w:ascii="宋体" w:hAnsi="宋体" w:cs="Arial"/>
          <w:szCs w:val="21"/>
        </w:rPr>
        <w:t>质疑联系方式：17769608973</w:t>
      </w:r>
    </w:p>
    <w:p>
      <w:pPr>
        <w:spacing w:line="440" w:lineRule="exact"/>
        <w:ind w:firstLine="420" w:firstLineChars="200"/>
        <w:rPr>
          <w:rFonts w:ascii="宋体" w:hAnsi="宋体" w:cs="Arial"/>
          <w:szCs w:val="21"/>
        </w:rPr>
      </w:pPr>
      <w:r>
        <w:rPr>
          <w:rFonts w:hint="eastAsia" w:ascii="宋体" w:hAnsi="宋体" w:cs="Arial"/>
          <w:szCs w:val="21"/>
        </w:rPr>
        <w:t>2.采购代理机构信息</w:t>
      </w:r>
    </w:p>
    <w:p>
      <w:pPr>
        <w:spacing w:line="440" w:lineRule="exact"/>
        <w:ind w:firstLine="420" w:firstLineChars="200"/>
        <w:rPr>
          <w:rFonts w:hint="eastAsia" w:ascii="宋体" w:hAnsi="宋体" w:eastAsia="宋体" w:cs="Arial"/>
          <w:szCs w:val="21"/>
          <w:lang w:eastAsia="zh-CN"/>
        </w:rPr>
      </w:pPr>
      <w:r>
        <w:rPr>
          <w:rFonts w:hint="eastAsia" w:ascii="宋体" w:hAnsi="宋体" w:cs="Arial"/>
          <w:szCs w:val="21"/>
        </w:rPr>
        <w:t>名 称：</w:t>
      </w:r>
      <w:r>
        <w:rPr>
          <w:rFonts w:hint="eastAsia" w:ascii="宋体" w:hAnsi="宋体" w:cs="Arial"/>
          <w:szCs w:val="21"/>
          <w:lang w:eastAsia="zh-CN"/>
        </w:rPr>
        <w:t>嘉兴市银建工程咨询评估有限公司</w:t>
      </w:r>
    </w:p>
    <w:p>
      <w:pPr>
        <w:spacing w:line="440" w:lineRule="exact"/>
        <w:ind w:firstLine="420" w:firstLineChars="200"/>
        <w:rPr>
          <w:rFonts w:ascii="宋体" w:hAnsi="宋体" w:cs="Arial"/>
          <w:szCs w:val="21"/>
        </w:rPr>
      </w:pPr>
      <w:r>
        <w:rPr>
          <w:rFonts w:hint="eastAsia" w:ascii="宋体" w:hAnsi="宋体" w:cs="Arial"/>
          <w:szCs w:val="21"/>
        </w:rPr>
        <w:t>地 址：桐乡市发展大道18号云融中心13楼</w:t>
      </w:r>
    </w:p>
    <w:p>
      <w:pPr>
        <w:spacing w:line="440" w:lineRule="exact"/>
        <w:ind w:firstLine="420" w:firstLineChars="200"/>
        <w:rPr>
          <w:rFonts w:hint="default" w:ascii="宋体" w:hAnsi="宋体" w:eastAsia="宋体" w:cs="Arial"/>
          <w:szCs w:val="21"/>
          <w:lang w:val="en-US" w:eastAsia="zh-CN"/>
        </w:rPr>
      </w:pPr>
      <w:r>
        <w:rPr>
          <w:rFonts w:hint="eastAsia" w:ascii="宋体" w:hAnsi="宋体" w:cs="Arial"/>
          <w:szCs w:val="21"/>
        </w:rPr>
        <w:t>传 真：0573-880</w:t>
      </w:r>
      <w:r>
        <w:rPr>
          <w:rFonts w:hint="eastAsia" w:ascii="宋体" w:hAnsi="宋体" w:cs="Arial"/>
          <w:szCs w:val="21"/>
          <w:lang w:val="en-US" w:eastAsia="zh-CN"/>
        </w:rPr>
        <w:t>99123</w:t>
      </w:r>
    </w:p>
    <w:p>
      <w:pPr>
        <w:spacing w:line="440" w:lineRule="exact"/>
        <w:ind w:firstLine="420" w:firstLineChars="200"/>
        <w:rPr>
          <w:rFonts w:ascii="宋体" w:hAnsi="宋体" w:cs="Arial"/>
          <w:szCs w:val="21"/>
        </w:rPr>
      </w:pPr>
      <w:r>
        <w:rPr>
          <w:rFonts w:hint="eastAsia" w:ascii="宋体" w:hAnsi="宋体" w:cs="Arial"/>
          <w:szCs w:val="21"/>
        </w:rPr>
        <w:t>项目联系人（询问）：金女士</w:t>
      </w:r>
    </w:p>
    <w:p>
      <w:pPr>
        <w:spacing w:line="440" w:lineRule="exact"/>
        <w:ind w:firstLine="420" w:firstLineChars="200"/>
        <w:rPr>
          <w:rFonts w:ascii="宋体" w:hAnsi="宋体" w:cs="Arial"/>
          <w:szCs w:val="21"/>
        </w:rPr>
      </w:pPr>
      <w:r>
        <w:rPr>
          <w:rFonts w:hint="eastAsia" w:ascii="宋体" w:hAnsi="宋体" w:cs="Arial"/>
          <w:szCs w:val="21"/>
        </w:rPr>
        <w:t>项目联系方式（询问）：0573-</w:t>
      </w:r>
      <w:r>
        <w:rPr>
          <w:rFonts w:hint="eastAsia" w:ascii="宋体" w:hAnsi="宋体" w:cs="Arial"/>
          <w:szCs w:val="21"/>
          <w:lang w:eastAsia="zh-CN"/>
        </w:rPr>
        <w:t>88099123</w:t>
      </w:r>
      <w:r>
        <w:rPr>
          <w:rFonts w:hint="eastAsia" w:ascii="宋体" w:hAnsi="宋体" w:cs="Arial"/>
          <w:szCs w:val="21"/>
        </w:rPr>
        <w:t xml:space="preserve"> （</w:t>
      </w:r>
      <w:r>
        <w:rPr>
          <w:rFonts w:ascii="宋体" w:hAnsi="宋体" w:cs="Arial"/>
          <w:szCs w:val="21"/>
        </w:rPr>
        <w:t>18368371089</w:t>
      </w:r>
      <w:r>
        <w:rPr>
          <w:rFonts w:hint="eastAsia" w:ascii="宋体" w:hAnsi="宋体" w:cs="Arial"/>
          <w:szCs w:val="21"/>
        </w:rPr>
        <w:t>）</w:t>
      </w:r>
    </w:p>
    <w:p>
      <w:pPr>
        <w:spacing w:line="440" w:lineRule="exact"/>
        <w:ind w:firstLine="420" w:firstLineChars="200"/>
        <w:rPr>
          <w:rFonts w:ascii="宋体" w:hAnsi="宋体" w:cs="Arial"/>
          <w:szCs w:val="21"/>
        </w:rPr>
      </w:pPr>
      <w:r>
        <w:rPr>
          <w:rFonts w:hint="eastAsia" w:ascii="宋体" w:hAnsi="宋体" w:cs="Arial"/>
          <w:szCs w:val="21"/>
        </w:rPr>
        <w:t>质疑联系人：赵女士</w:t>
      </w:r>
    </w:p>
    <w:p>
      <w:pPr>
        <w:spacing w:line="440" w:lineRule="exact"/>
        <w:ind w:firstLine="420" w:firstLineChars="200"/>
        <w:rPr>
          <w:rFonts w:hint="eastAsia" w:ascii="宋体" w:hAnsi="宋体" w:eastAsia="宋体" w:cs="Arial"/>
          <w:szCs w:val="21"/>
          <w:lang w:eastAsia="zh-CN"/>
        </w:rPr>
      </w:pPr>
      <w:r>
        <w:rPr>
          <w:rFonts w:hint="eastAsia" w:ascii="宋体" w:hAnsi="宋体" w:cs="Arial"/>
          <w:szCs w:val="21"/>
        </w:rPr>
        <w:t>质疑联系方式：0573-</w:t>
      </w:r>
      <w:r>
        <w:rPr>
          <w:rFonts w:hint="eastAsia" w:ascii="宋体" w:hAnsi="宋体" w:cs="Arial"/>
          <w:szCs w:val="21"/>
          <w:lang w:eastAsia="zh-CN"/>
        </w:rPr>
        <w:t>88099123</w:t>
      </w:r>
    </w:p>
    <w:p>
      <w:pPr>
        <w:spacing w:line="480" w:lineRule="exact"/>
        <w:ind w:firstLine="420" w:firstLineChars="200"/>
        <w:jc w:val="right"/>
        <w:rPr>
          <w:rFonts w:hint="eastAsia" w:ascii="宋体" w:hAnsi="宋体"/>
          <w:szCs w:val="21"/>
        </w:rPr>
      </w:pPr>
      <w:r>
        <w:rPr>
          <w:rFonts w:hint="eastAsia" w:ascii="宋体" w:hAnsi="宋体"/>
          <w:szCs w:val="21"/>
        </w:rPr>
        <w:t>桐乡市濮院时尚产业发展集团有限公司</w:t>
      </w:r>
    </w:p>
    <w:p>
      <w:pPr>
        <w:spacing w:line="480" w:lineRule="exact"/>
        <w:ind w:firstLine="420" w:firstLineChars="200"/>
        <w:jc w:val="right"/>
        <w:rPr>
          <w:rFonts w:hint="eastAsia" w:ascii="宋体" w:hAnsi="宋体"/>
          <w:color w:val="auto"/>
          <w:szCs w:val="21"/>
          <w:lang w:eastAsia="zh-CN"/>
        </w:rPr>
      </w:pPr>
      <w:r>
        <w:rPr>
          <w:rFonts w:hint="eastAsia" w:ascii="宋体" w:hAnsi="宋体"/>
          <w:szCs w:val="21"/>
          <w:lang w:eastAsia="zh-CN"/>
        </w:rPr>
        <w:t>嘉兴市银建工</w:t>
      </w:r>
      <w:r>
        <w:rPr>
          <w:rFonts w:hint="eastAsia" w:ascii="宋体" w:hAnsi="宋体"/>
          <w:color w:val="auto"/>
          <w:szCs w:val="21"/>
          <w:lang w:eastAsia="zh-CN"/>
        </w:rPr>
        <w:t>程咨询评估有限公司</w:t>
      </w:r>
    </w:p>
    <w:p>
      <w:pPr>
        <w:spacing w:line="480" w:lineRule="exact"/>
        <w:ind w:firstLine="420" w:firstLineChars="200"/>
        <w:jc w:val="right"/>
        <w:rPr>
          <w:rFonts w:hint="eastAsia" w:ascii="宋体" w:hAnsi="宋体"/>
          <w:color w:val="auto"/>
          <w:szCs w:val="21"/>
          <w:lang w:eastAsia="zh-CN"/>
        </w:rPr>
      </w:pPr>
      <w:r>
        <w:rPr>
          <w:rFonts w:hint="eastAsia" w:ascii="宋体" w:hAnsi="宋体"/>
          <w:color w:val="auto"/>
          <w:szCs w:val="21"/>
          <w:lang w:eastAsia="zh-CN"/>
        </w:rPr>
        <w:t>桐乡市濮院镇招标采购中心</w:t>
      </w:r>
    </w:p>
    <w:p>
      <w:pPr>
        <w:spacing w:line="480" w:lineRule="exact"/>
        <w:ind w:left="238"/>
        <w:jc w:val="right"/>
        <w:rPr>
          <w:rFonts w:ascii="宋体" w:hAnsi="宋体"/>
          <w:color w:val="auto"/>
          <w:szCs w:val="21"/>
        </w:rPr>
      </w:pPr>
      <w:r>
        <w:rPr>
          <w:rFonts w:hint="eastAsia" w:ascii="宋体" w:hAnsi="宋体"/>
          <w:color w:val="auto"/>
          <w:szCs w:val="21"/>
        </w:rPr>
        <w:t>202</w:t>
      </w:r>
      <w:r>
        <w:rPr>
          <w:rFonts w:hint="eastAsia" w:ascii="宋体" w:hAnsi="宋体"/>
          <w:color w:val="auto"/>
          <w:szCs w:val="21"/>
          <w:lang w:val="en-US" w:eastAsia="zh-CN"/>
        </w:rPr>
        <w:t>4</w:t>
      </w:r>
      <w:r>
        <w:rPr>
          <w:rFonts w:hint="eastAsia" w:ascii="宋体" w:hAnsi="宋体"/>
          <w:color w:val="auto"/>
          <w:szCs w:val="21"/>
        </w:rPr>
        <w:t>年</w:t>
      </w:r>
      <w:r>
        <w:rPr>
          <w:rFonts w:hint="eastAsia" w:ascii="宋体" w:hAnsi="宋体"/>
          <w:color w:val="auto"/>
          <w:szCs w:val="21"/>
          <w:lang w:val="en-US" w:eastAsia="zh-CN"/>
        </w:rPr>
        <w:t>6</w:t>
      </w:r>
      <w:r>
        <w:rPr>
          <w:rFonts w:hint="eastAsia" w:ascii="宋体" w:hAnsi="宋体"/>
          <w:color w:val="auto"/>
          <w:szCs w:val="21"/>
        </w:rPr>
        <w:t>月</w:t>
      </w:r>
      <w:r>
        <w:rPr>
          <w:rFonts w:hint="eastAsia" w:ascii="宋体" w:hAnsi="宋体"/>
          <w:color w:val="auto"/>
          <w:szCs w:val="21"/>
          <w:lang w:val="en-US" w:eastAsia="zh-CN"/>
        </w:rPr>
        <w:t>4</w:t>
      </w:r>
      <w:r>
        <w:rPr>
          <w:rFonts w:hint="eastAsia" w:ascii="宋体" w:hAnsi="宋体"/>
          <w:color w:val="auto"/>
          <w:szCs w:val="21"/>
        </w:rPr>
        <w:t>日</w:t>
      </w:r>
    </w:p>
    <w:p>
      <w:pPr>
        <w:pStyle w:val="103"/>
        <w:wordWrap w:val="0"/>
        <w:spacing w:line="400" w:lineRule="exact"/>
        <w:ind w:right="420"/>
        <w:jc w:val="right"/>
        <w:rPr>
          <w:rFonts w:cs="Arial Unicode MS"/>
          <w:b/>
          <w:szCs w:val="21"/>
        </w:rPr>
        <w:sectPr>
          <w:headerReference r:id="rId3" w:type="default"/>
          <w:footerReference r:id="rId4" w:type="default"/>
          <w:pgSz w:w="11905" w:h="16838"/>
          <w:pgMar w:top="1417" w:right="1417" w:bottom="1417" w:left="1417" w:header="851" w:footer="850" w:gutter="0"/>
          <w:pgNumType w:fmt="decimal"/>
          <w:cols w:space="0" w:num="1"/>
          <w:rtlGutter w:val="0"/>
          <w:docGrid w:linePitch="312" w:charSpace="0"/>
        </w:sectPr>
      </w:pPr>
    </w:p>
    <w:p>
      <w:pPr>
        <w:pStyle w:val="2"/>
        <w:spacing w:before="240" w:after="240" w:line="500" w:lineRule="exact"/>
        <w:jc w:val="center"/>
        <w:rPr>
          <w:rFonts w:ascii="宋体" w:hAnsi="宋体"/>
          <w:bCs w:val="0"/>
          <w:kern w:val="2"/>
          <w:sz w:val="28"/>
          <w:szCs w:val="20"/>
        </w:rPr>
      </w:pPr>
      <w:bookmarkStart w:id="36" w:name="_Toc119922182"/>
      <w:r>
        <w:rPr>
          <w:rFonts w:hint="eastAsia" w:ascii="宋体" w:hAnsi="宋体"/>
          <w:bCs w:val="0"/>
          <w:kern w:val="2"/>
          <w:sz w:val="28"/>
          <w:szCs w:val="20"/>
        </w:rPr>
        <w:t xml:space="preserve">第二部分  </w:t>
      </w:r>
      <w:bookmarkEnd w:id="31"/>
      <w:bookmarkEnd w:id="32"/>
      <w:bookmarkEnd w:id="33"/>
      <w:bookmarkEnd w:id="34"/>
      <w:bookmarkEnd w:id="35"/>
      <w:r>
        <w:rPr>
          <w:rFonts w:hint="eastAsia" w:ascii="宋体" w:hAnsi="宋体"/>
          <w:bCs w:val="0"/>
          <w:kern w:val="2"/>
          <w:sz w:val="28"/>
          <w:szCs w:val="20"/>
        </w:rPr>
        <w:t>招标需求</w:t>
      </w:r>
      <w:bookmarkEnd w:id="36"/>
    </w:p>
    <w:p>
      <w:pPr>
        <w:spacing w:line="360" w:lineRule="auto"/>
        <w:rPr>
          <w:szCs w:val="21"/>
        </w:rPr>
      </w:pPr>
      <w:r>
        <w:rPr>
          <w:rFonts w:hint="eastAsia"/>
          <w:b/>
          <w:bCs/>
          <w:szCs w:val="21"/>
        </w:rPr>
        <w:t>一、服务范围及服务期限</w:t>
      </w:r>
    </w:p>
    <w:p>
      <w:pPr>
        <w:spacing w:line="360" w:lineRule="auto"/>
        <w:ind w:firstLine="480"/>
        <w:rPr>
          <w:rFonts w:hint="eastAsia"/>
          <w:szCs w:val="21"/>
        </w:rPr>
      </w:pPr>
      <w:r>
        <w:rPr>
          <w:rFonts w:hint="eastAsia"/>
          <w:szCs w:val="21"/>
        </w:rPr>
        <w:t>目前集团公司及下属各子公司所购保险主要包含财产险、车险、责任险和各类意外险。</w:t>
      </w:r>
    </w:p>
    <w:p>
      <w:pPr>
        <w:spacing w:line="360" w:lineRule="auto"/>
        <w:ind w:firstLine="480"/>
        <w:rPr>
          <w:rFonts w:hint="eastAsia"/>
          <w:color w:val="auto"/>
          <w:szCs w:val="21"/>
          <w:lang w:eastAsia="zh-CN"/>
        </w:rPr>
      </w:pPr>
      <w:r>
        <w:rPr>
          <w:rFonts w:hint="eastAsia"/>
          <w:szCs w:val="21"/>
        </w:rPr>
        <w:t>本次保险的集中采购公司以集团公司体系内的公司为主，采用公开招标对各类保险进行集中采购</w:t>
      </w:r>
      <w:r>
        <w:rPr>
          <w:rFonts w:hint="eastAsia"/>
          <w:color w:val="auto"/>
          <w:szCs w:val="21"/>
        </w:rPr>
        <w:t>，分为</w:t>
      </w:r>
      <w:r>
        <w:rPr>
          <w:rFonts w:hint="eastAsia"/>
          <w:color w:val="auto"/>
          <w:szCs w:val="21"/>
          <w:lang w:val="en-US" w:eastAsia="zh-CN"/>
        </w:rPr>
        <w:t>两</w:t>
      </w:r>
      <w:r>
        <w:rPr>
          <w:rFonts w:hint="eastAsia"/>
          <w:color w:val="auto"/>
          <w:szCs w:val="21"/>
        </w:rPr>
        <w:t>个标项，一标项为：</w:t>
      </w:r>
      <w:r>
        <w:rPr>
          <w:rFonts w:hint="eastAsia"/>
          <w:color w:val="auto"/>
          <w:szCs w:val="21"/>
          <w:lang w:val="en-US" w:eastAsia="zh-CN"/>
        </w:rPr>
        <w:t>财产险和车险</w:t>
      </w:r>
      <w:r>
        <w:rPr>
          <w:rFonts w:hint="eastAsia"/>
          <w:color w:val="auto"/>
          <w:szCs w:val="21"/>
        </w:rPr>
        <w:t>；</w:t>
      </w:r>
      <w:r>
        <w:rPr>
          <w:rFonts w:hint="eastAsia"/>
          <w:color w:val="auto"/>
          <w:szCs w:val="21"/>
          <w:lang w:val="en-US" w:eastAsia="zh-CN"/>
        </w:rPr>
        <w:t>二</w:t>
      </w:r>
      <w:r>
        <w:rPr>
          <w:rFonts w:hint="eastAsia"/>
          <w:color w:val="auto"/>
          <w:szCs w:val="21"/>
        </w:rPr>
        <w:t>标项为：各类意外险和责任险</w:t>
      </w:r>
      <w:r>
        <w:rPr>
          <w:rFonts w:hint="eastAsia"/>
          <w:color w:val="auto"/>
          <w:szCs w:val="21"/>
          <w:lang w:eastAsia="zh-CN"/>
        </w:rPr>
        <w:t>。</w:t>
      </w:r>
    </w:p>
    <w:p>
      <w:pPr>
        <w:spacing w:line="360" w:lineRule="auto"/>
        <w:ind w:firstLine="480"/>
        <w:rPr>
          <w:rFonts w:hint="eastAsia"/>
          <w:color w:val="auto"/>
          <w:szCs w:val="21"/>
        </w:rPr>
      </w:pPr>
      <w:r>
        <w:rPr>
          <w:rFonts w:hint="eastAsia"/>
          <w:color w:val="auto"/>
          <w:szCs w:val="21"/>
        </w:rPr>
        <w:t>服务期限为保单生效之日起一年</w:t>
      </w:r>
      <w:r>
        <w:rPr>
          <w:rFonts w:hint="eastAsia"/>
          <w:color w:val="auto"/>
          <w:szCs w:val="21"/>
          <w:lang w:eastAsia="zh-CN"/>
        </w:rPr>
        <w:t>，</w:t>
      </w:r>
      <w:r>
        <w:rPr>
          <w:rFonts w:hint="eastAsia"/>
          <w:color w:val="auto"/>
          <w:szCs w:val="21"/>
          <w:lang w:val="en-US" w:eastAsia="zh-CN"/>
        </w:rPr>
        <w:t>并可根据招标人要求对财产险、责任险、意外伤害险等可延期的险种进行延保，将上述各类保险的时间统一至2025年12月31日</w:t>
      </w:r>
      <w:r>
        <w:rPr>
          <w:rFonts w:hint="eastAsia"/>
          <w:color w:val="auto"/>
          <w:szCs w:val="21"/>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pPr>
      <w:r>
        <w:rPr>
          <w:rFonts w:hint="eastAsia"/>
          <w:b/>
          <w:bCs/>
          <w:color w:val="000000"/>
          <w:szCs w:val="21"/>
        </w:rPr>
        <w:t>保险方案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szCs w:val="21"/>
          <w:lang w:val="en-US" w:eastAsia="zh-CN"/>
        </w:rPr>
      </w:pPr>
      <w:r>
        <w:rPr>
          <w:rFonts w:hint="eastAsia"/>
          <w:b/>
          <w:bCs/>
        </w:rPr>
        <w:t>一标项</w:t>
      </w:r>
      <w:r>
        <w:rPr>
          <w:rFonts w:hint="eastAsia" w:ascii="宋体" w:hAnsi="宋体" w:cs="宋体"/>
          <w:b/>
          <w:bCs/>
          <w:szCs w:val="21"/>
        </w:rPr>
        <w:t>：财产险</w:t>
      </w:r>
      <w:r>
        <w:rPr>
          <w:rFonts w:hint="eastAsia" w:ascii="宋体" w:hAnsi="宋体" w:cs="宋体"/>
          <w:b/>
          <w:bCs/>
          <w:szCs w:val="21"/>
          <w:lang w:val="en-US" w:eastAsia="zh-CN"/>
        </w:rPr>
        <w:t>和车险</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szCs w:val="21"/>
        </w:rPr>
      </w:pPr>
      <w:r>
        <w:rPr>
          <w:rFonts w:hint="eastAsia"/>
          <w:szCs w:val="21"/>
        </w:rPr>
        <w:t>财产险的具体免赔金额在签约时根据双方协商结果进行约定。车险价格通过上年的保费测算，投保时根据实际车况与当时的保险政策再行确认。</w:t>
      </w:r>
    </w:p>
    <w:p>
      <w:pPr>
        <w:pStyle w:val="38"/>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default" w:eastAsia="宋体"/>
          <w:lang w:val="en-US" w:eastAsia="zh-CN"/>
        </w:rPr>
      </w:pPr>
      <w:r>
        <w:rPr>
          <w:rFonts w:hint="eastAsia" w:ascii="宋体" w:hAnsi="宋体" w:cs="宋体"/>
          <w:b/>
          <w:bCs/>
          <w:szCs w:val="21"/>
          <w:lang w:val="en-US" w:eastAsia="zh-CN"/>
        </w:rPr>
        <w:t>财产险部分：</w:t>
      </w:r>
    </w:p>
    <w:tbl>
      <w:tblPr>
        <w:tblStyle w:val="40"/>
        <w:tblW w:w="9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2157"/>
        <w:gridCol w:w="1185"/>
        <w:gridCol w:w="3096"/>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343"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险种</w:t>
            </w:r>
          </w:p>
        </w:tc>
        <w:tc>
          <w:tcPr>
            <w:tcW w:w="2157"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投</w:t>
            </w:r>
            <w:r>
              <w:rPr>
                <w:rFonts w:hint="eastAsia" w:ascii="宋体" w:hAnsi="宋体" w:cs="宋体"/>
                <w:color w:val="auto"/>
                <w:kern w:val="0"/>
                <w:szCs w:val="21"/>
                <w:lang w:val="en-US" w:eastAsia="zh-CN"/>
              </w:rPr>
              <w:t>保</w:t>
            </w:r>
            <w:r>
              <w:rPr>
                <w:rFonts w:hint="eastAsia" w:ascii="宋体" w:hAnsi="宋体" w:cs="宋体"/>
                <w:color w:val="auto"/>
                <w:kern w:val="0"/>
                <w:szCs w:val="21"/>
              </w:rPr>
              <w:t>单位</w:t>
            </w:r>
          </w:p>
        </w:tc>
        <w:tc>
          <w:tcPr>
            <w:tcW w:w="1185" w:type="dxa"/>
            <w:vAlign w:val="center"/>
          </w:tcPr>
          <w:p>
            <w:pPr>
              <w:widowControl/>
              <w:jc w:val="center"/>
              <w:textAlignment w:val="center"/>
              <w:rPr>
                <w:rFonts w:ascii="宋体" w:hAnsi="宋体" w:cs="宋体"/>
                <w:color w:val="auto"/>
                <w:kern w:val="0"/>
                <w:szCs w:val="21"/>
              </w:rPr>
            </w:pPr>
            <w:r>
              <w:rPr>
                <w:rFonts w:hint="eastAsia" w:ascii="宋体" w:hAnsi="宋体"/>
                <w:color w:val="auto"/>
                <w:szCs w:val="21"/>
              </w:rPr>
              <w:t>预算金额（最高投标限价）(元)</w:t>
            </w:r>
          </w:p>
        </w:tc>
        <w:tc>
          <w:tcPr>
            <w:tcW w:w="3096" w:type="dxa"/>
            <w:vAlign w:val="center"/>
          </w:tcPr>
          <w:p>
            <w:pPr>
              <w:widowControl/>
              <w:jc w:val="center"/>
              <w:textAlignment w:val="center"/>
              <w:rPr>
                <w:rFonts w:ascii="宋体" w:hAnsi="宋体"/>
                <w:color w:val="auto"/>
                <w:szCs w:val="21"/>
              </w:rPr>
            </w:pPr>
            <w:r>
              <w:rPr>
                <w:rFonts w:hint="eastAsia" w:ascii="宋体" w:hAnsi="宋体"/>
                <w:color w:val="auto"/>
                <w:szCs w:val="21"/>
              </w:rPr>
              <w:t>内容</w:t>
            </w:r>
          </w:p>
        </w:tc>
        <w:tc>
          <w:tcPr>
            <w:tcW w:w="1370" w:type="dxa"/>
            <w:vAlign w:val="center"/>
          </w:tcPr>
          <w:p>
            <w:pPr>
              <w:widowControl/>
              <w:jc w:val="center"/>
              <w:textAlignment w:val="center"/>
              <w:rPr>
                <w:rFonts w:hint="eastAsia" w:ascii="宋体" w:hAnsi="宋体"/>
                <w:color w:val="auto"/>
                <w:szCs w:val="21"/>
              </w:rPr>
            </w:pPr>
            <w:r>
              <w:rPr>
                <w:rFonts w:hint="eastAsia" w:ascii="宋体" w:hAnsi="宋体"/>
                <w:color w:val="auto"/>
                <w:szCs w:val="21"/>
              </w:rPr>
              <w:t>到期时间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343"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财产综合保险</w:t>
            </w:r>
          </w:p>
        </w:tc>
        <w:tc>
          <w:tcPr>
            <w:tcW w:w="2157"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桐乡濮院针织产业园区开发建设有限公司</w:t>
            </w:r>
          </w:p>
        </w:tc>
        <w:tc>
          <w:tcPr>
            <w:tcW w:w="1185" w:type="dxa"/>
            <w:vAlign w:val="center"/>
          </w:tcPr>
          <w:p>
            <w:pPr>
              <w:widowControl/>
              <w:jc w:val="center"/>
              <w:textAlignment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80000</w:t>
            </w:r>
          </w:p>
        </w:tc>
        <w:tc>
          <w:tcPr>
            <w:tcW w:w="3096" w:type="dxa"/>
            <w:vAlign w:val="center"/>
          </w:tcPr>
          <w:p>
            <w:pPr>
              <w:widowControl/>
              <w:jc w:val="center"/>
              <w:textAlignment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需投标单位自行联系招标单位获取资产清单，根据资产清单确定投标内容。</w:t>
            </w:r>
          </w:p>
        </w:tc>
        <w:tc>
          <w:tcPr>
            <w:tcW w:w="1370"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2024.12.30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343" w:type="dxa"/>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财产保险</w:t>
            </w:r>
          </w:p>
        </w:tc>
        <w:tc>
          <w:tcPr>
            <w:tcW w:w="2157" w:type="dxa"/>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桐乡市濮院恒源工业净水有限责任公司</w:t>
            </w:r>
          </w:p>
        </w:tc>
        <w:tc>
          <w:tcPr>
            <w:tcW w:w="1185" w:type="dxa"/>
            <w:vAlign w:val="center"/>
          </w:tcPr>
          <w:p>
            <w:pPr>
              <w:widowControl/>
              <w:jc w:val="center"/>
              <w:textAlignment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20000</w:t>
            </w:r>
          </w:p>
        </w:tc>
        <w:tc>
          <w:tcPr>
            <w:tcW w:w="3096" w:type="dxa"/>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需投标单位自行联系招标单位获取资产清单，根据资产清单确定投标内容。</w:t>
            </w:r>
          </w:p>
        </w:tc>
        <w:tc>
          <w:tcPr>
            <w:tcW w:w="1370" w:type="dxa"/>
            <w:vAlign w:val="center"/>
          </w:tcPr>
          <w:p>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2024.8.31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343"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商业楼宇财产综合险</w:t>
            </w:r>
          </w:p>
        </w:tc>
        <w:tc>
          <w:tcPr>
            <w:tcW w:w="2157"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桐乡市濮院毛衫发展有限公司</w:t>
            </w:r>
          </w:p>
        </w:tc>
        <w:tc>
          <w:tcPr>
            <w:tcW w:w="1185" w:type="dxa"/>
            <w:vAlign w:val="center"/>
          </w:tcPr>
          <w:p>
            <w:pPr>
              <w:widowControl/>
              <w:jc w:val="center"/>
              <w:textAlignment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 xml:space="preserve"> 300000</w:t>
            </w:r>
          </w:p>
        </w:tc>
        <w:tc>
          <w:tcPr>
            <w:tcW w:w="3096" w:type="dxa"/>
            <w:vAlign w:val="center"/>
          </w:tcPr>
          <w:p>
            <w:pPr>
              <w:widowControl/>
              <w:jc w:val="center"/>
              <w:textAlignment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需投标单位自行联系招标单位获取资产清单，根据资产清单确定投标内容。</w:t>
            </w:r>
          </w:p>
        </w:tc>
        <w:tc>
          <w:tcPr>
            <w:tcW w:w="1370" w:type="dxa"/>
            <w:vAlign w:val="center"/>
          </w:tcPr>
          <w:p>
            <w:pPr>
              <w:widowControl/>
              <w:jc w:val="center"/>
              <w:textAlignment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2025.1.24</w:t>
            </w:r>
          </w:p>
        </w:tc>
      </w:tr>
    </w:tbl>
    <w:p>
      <w:pPr>
        <w:pStyle w:val="38"/>
        <w:ind w:left="0" w:firstLine="211" w:firstLineChars="100"/>
        <w:rPr>
          <w:rFonts w:hint="eastAsia" w:ascii="宋体" w:hAnsi="宋体" w:cs="宋体"/>
          <w:b/>
          <w:bCs/>
          <w:szCs w:val="21"/>
          <w:lang w:val="en-US" w:eastAsia="zh-CN"/>
        </w:rPr>
      </w:pPr>
      <w:r>
        <w:rPr>
          <w:rFonts w:hint="eastAsia" w:ascii="宋体" w:hAnsi="宋体" w:cs="宋体"/>
          <w:b/>
          <w:bCs/>
          <w:szCs w:val="21"/>
          <w:lang w:val="en-US" w:eastAsia="zh-CN"/>
        </w:rPr>
        <w:t>车险部分：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szCs w:val="21"/>
          <w:lang w:val="en-US" w:eastAsia="zh-CN"/>
        </w:rPr>
      </w:pPr>
      <w:r>
        <w:rPr>
          <w:rFonts w:hint="eastAsia"/>
          <w:szCs w:val="21"/>
          <w:lang w:val="en-US" w:eastAsia="zh-CN"/>
        </w:rPr>
        <w:t>车险总预算10万元，考虑车险报价的特殊性，请各投标单位出具承诺函对我单位所投保的车险进行自主优惠折扣承诺，要求为9.5折（不含电动汽车）</w:t>
      </w:r>
    </w:p>
    <w:tbl>
      <w:tblPr>
        <w:tblStyle w:val="40"/>
        <w:tblpPr w:leftFromText="180" w:rightFromText="180" w:vertAnchor="text" w:horzAnchor="page" w:tblpXSpec="center" w:tblpY="125"/>
        <w:tblOverlap w:val="never"/>
        <w:tblW w:w="9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740"/>
        <w:gridCol w:w="1200"/>
        <w:gridCol w:w="1145"/>
        <w:gridCol w:w="1099"/>
        <w:gridCol w:w="2325"/>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06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险种</w:t>
            </w:r>
          </w:p>
        </w:tc>
        <w:tc>
          <w:tcPr>
            <w:tcW w:w="174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投保单位</w:t>
            </w:r>
          </w:p>
        </w:tc>
        <w:tc>
          <w:tcPr>
            <w:tcW w:w="120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车牌</w:t>
            </w:r>
          </w:p>
        </w:tc>
        <w:tc>
          <w:tcPr>
            <w:tcW w:w="1145" w:type="dxa"/>
            <w:vAlign w:val="center"/>
          </w:tcPr>
          <w:p>
            <w:pPr>
              <w:widowControl/>
              <w:jc w:val="center"/>
              <w:textAlignment w:val="center"/>
              <w:rPr>
                <w:rFonts w:hint="eastAsia" w:ascii="宋体" w:hAnsi="宋体" w:cs="宋体"/>
                <w:color w:val="auto"/>
                <w:kern w:val="0"/>
                <w:szCs w:val="21"/>
              </w:rPr>
            </w:pPr>
            <w:r>
              <w:rPr>
                <w:rFonts w:hint="eastAsia" w:ascii="宋体" w:hAnsi="宋体"/>
                <w:color w:val="auto"/>
                <w:szCs w:val="21"/>
              </w:rPr>
              <w:t>到期时间</w:t>
            </w:r>
          </w:p>
        </w:tc>
        <w:tc>
          <w:tcPr>
            <w:tcW w:w="1099"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用车情况</w:t>
            </w:r>
          </w:p>
        </w:tc>
        <w:tc>
          <w:tcPr>
            <w:tcW w:w="232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内容（不做说明的第三者责任险按照200万，座位险驾驶员1位1万元）</w:t>
            </w:r>
          </w:p>
        </w:tc>
        <w:tc>
          <w:tcPr>
            <w:tcW w:w="995" w:type="dxa"/>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06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车辆保险</w:t>
            </w:r>
          </w:p>
        </w:tc>
        <w:tc>
          <w:tcPr>
            <w:tcW w:w="174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桐乡市濮院毛衫发展有限公司</w:t>
            </w:r>
          </w:p>
        </w:tc>
        <w:tc>
          <w:tcPr>
            <w:tcW w:w="120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浙F9RH65</w:t>
            </w:r>
          </w:p>
        </w:tc>
        <w:tc>
          <w:tcPr>
            <w:tcW w:w="1145"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2024.10.15</w:t>
            </w:r>
          </w:p>
        </w:tc>
        <w:tc>
          <w:tcPr>
            <w:tcW w:w="1099"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商务车，公务用车</w:t>
            </w:r>
          </w:p>
        </w:tc>
        <w:tc>
          <w:tcPr>
            <w:tcW w:w="232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交强险、车船税、商业险（第三者责任险300万、座位险7位1万元）</w:t>
            </w:r>
          </w:p>
        </w:tc>
        <w:tc>
          <w:tcPr>
            <w:tcW w:w="995" w:type="dxa"/>
            <w:vMerge w:val="restart"/>
            <w:vAlign w:val="center"/>
          </w:tcPr>
          <w:p>
            <w:pPr>
              <w:widowControl/>
              <w:jc w:val="center"/>
              <w:textAlignment w:val="center"/>
              <w:rPr>
                <w:rFonts w:hint="default" w:ascii="宋体" w:hAnsi="宋体" w:eastAsia="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06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车辆保险</w:t>
            </w:r>
          </w:p>
        </w:tc>
        <w:tc>
          <w:tcPr>
            <w:tcW w:w="174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桐乡市濮院物流园区发展有限公司</w:t>
            </w:r>
          </w:p>
        </w:tc>
        <w:tc>
          <w:tcPr>
            <w:tcW w:w="120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浙FK300M</w:t>
            </w:r>
          </w:p>
        </w:tc>
        <w:tc>
          <w:tcPr>
            <w:tcW w:w="1145"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2024.3.14</w:t>
            </w:r>
          </w:p>
        </w:tc>
        <w:tc>
          <w:tcPr>
            <w:tcW w:w="1099"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皮卡，公务用车</w:t>
            </w:r>
          </w:p>
        </w:tc>
        <w:tc>
          <w:tcPr>
            <w:tcW w:w="232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交强险、车船税、商业险</w:t>
            </w:r>
          </w:p>
        </w:tc>
        <w:tc>
          <w:tcPr>
            <w:tcW w:w="995" w:type="dxa"/>
            <w:vMerge w:val="continue"/>
            <w:vAlign w:val="center"/>
          </w:tcPr>
          <w:p>
            <w:pPr>
              <w:widowControl/>
              <w:jc w:val="center"/>
              <w:textAlignment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061"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车辆保险</w:t>
            </w:r>
          </w:p>
        </w:tc>
        <w:tc>
          <w:tcPr>
            <w:tcW w:w="1740"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桐乡市濮院物流园区发展有限公司</w:t>
            </w:r>
          </w:p>
        </w:tc>
        <w:tc>
          <w:tcPr>
            <w:tcW w:w="1200"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浙FE5869</w:t>
            </w:r>
          </w:p>
        </w:tc>
        <w:tc>
          <w:tcPr>
            <w:tcW w:w="1145"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2024.6.27</w:t>
            </w:r>
          </w:p>
        </w:tc>
        <w:tc>
          <w:tcPr>
            <w:tcW w:w="1099" w:type="dxa"/>
            <w:vAlign w:val="center"/>
          </w:tcPr>
          <w:p>
            <w:pPr>
              <w:widowControl/>
              <w:jc w:val="center"/>
              <w:textAlignment w:val="center"/>
              <w:rPr>
                <w:rFonts w:hint="eastAsia" w:ascii="宋体" w:hAnsi="宋体" w:eastAsia="宋体" w:cs="宋体"/>
                <w:color w:val="auto"/>
                <w:kern w:val="0"/>
                <w:szCs w:val="21"/>
                <w:lang w:eastAsia="zh-CN"/>
              </w:rPr>
            </w:pPr>
            <w:r>
              <w:rPr>
                <w:rFonts w:hint="eastAsia" w:ascii="宋体" w:hAnsi="宋体" w:cs="宋体"/>
                <w:color w:val="auto"/>
                <w:kern w:val="0"/>
                <w:szCs w:val="21"/>
              </w:rPr>
              <w:t>交强险、车船税、商业险</w:t>
            </w:r>
          </w:p>
        </w:tc>
        <w:tc>
          <w:tcPr>
            <w:tcW w:w="2325" w:type="dxa"/>
            <w:vAlign w:val="center"/>
          </w:tcPr>
          <w:p>
            <w:pPr>
              <w:widowControl/>
              <w:jc w:val="center"/>
              <w:textAlignment w:val="center"/>
              <w:rPr>
                <w:rFonts w:hint="eastAsia" w:ascii="宋体" w:hAnsi="宋体" w:eastAsia="宋体" w:cs="宋体"/>
                <w:color w:val="auto"/>
                <w:kern w:val="0"/>
                <w:szCs w:val="21"/>
                <w:lang w:eastAsia="zh-CN"/>
              </w:rPr>
            </w:pPr>
            <w:r>
              <w:rPr>
                <w:rFonts w:hint="eastAsia" w:ascii="宋体" w:hAnsi="宋体" w:cs="宋体"/>
                <w:color w:val="auto"/>
                <w:kern w:val="0"/>
                <w:szCs w:val="21"/>
              </w:rPr>
              <w:t>交强险、车船税、商业险</w:t>
            </w:r>
          </w:p>
        </w:tc>
        <w:tc>
          <w:tcPr>
            <w:tcW w:w="995" w:type="dxa"/>
            <w:vMerge w:val="continue"/>
            <w:vAlign w:val="center"/>
          </w:tcPr>
          <w:p>
            <w:pPr>
              <w:widowControl/>
              <w:jc w:val="center"/>
              <w:textAlignment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06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车辆保险</w:t>
            </w:r>
          </w:p>
        </w:tc>
        <w:tc>
          <w:tcPr>
            <w:tcW w:w="174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桐乡市濮院物流园区发展有限公司</w:t>
            </w:r>
          </w:p>
        </w:tc>
        <w:tc>
          <w:tcPr>
            <w:tcW w:w="120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浙F310B3</w:t>
            </w:r>
          </w:p>
        </w:tc>
        <w:tc>
          <w:tcPr>
            <w:tcW w:w="1145"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2024.8.21</w:t>
            </w:r>
          </w:p>
        </w:tc>
        <w:tc>
          <w:tcPr>
            <w:tcW w:w="1099"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越野车，公务用车</w:t>
            </w:r>
          </w:p>
        </w:tc>
        <w:tc>
          <w:tcPr>
            <w:tcW w:w="232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交强险、车船税、商业险</w:t>
            </w:r>
          </w:p>
        </w:tc>
        <w:tc>
          <w:tcPr>
            <w:tcW w:w="995" w:type="dxa"/>
            <w:vMerge w:val="continue"/>
            <w:vAlign w:val="center"/>
          </w:tcPr>
          <w:p>
            <w:pPr>
              <w:widowControl/>
              <w:jc w:val="center"/>
              <w:textAlignment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06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车辆保险</w:t>
            </w:r>
          </w:p>
        </w:tc>
        <w:tc>
          <w:tcPr>
            <w:tcW w:w="174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桐乡市濮院物流园区发展有限公司</w:t>
            </w:r>
          </w:p>
        </w:tc>
        <w:tc>
          <w:tcPr>
            <w:tcW w:w="120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浙F1PZ66</w:t>
            </w:r>
          </w:p>
        </w:tc>
        <w:tc>
          <w:tcPr>
            <w:tcW w:w="1145"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2024.1.15</w:t>
            </w:r>
          </w:p>
        </w:tc>
        <w:tc>
          <w:tcPr>
            <w:tcW w:w="1099"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轻型多用途货车</w:t>
            </w:r>
          </w:p>
        </w:tc>
        <w:tc>
          <w:tcPr>
            <w:tcW w:w="232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交强险、车船税、商业险</w:t>
            </w:r>
          </w:p>
        </w:tc>
        <w:tc>
          <w:tcPr>
            <w:tcW w:w="995" w:type="dxa"/>
            <w:vMerge w:val="continue"/>
            <w:vAlign w:val="center"/>
          </w:tcPr>
          <w:p>
            <w:pPr>
              <w:widowControl/>
              <w:jc w:val="center"/>
              <w:textAlignment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06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车辆保险</w:t>
            </w:r>
          </w:p>
        </w:tc>
        <w:tc>
          <w:tcPr>
            <w:tcW w:w="174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桐乡市濮院物流园区发展有限公司</w:t>
            </w:r>
          </w:p>
        </w:tc>
        <w:tc>
          <w:tcPr>
            <w:tcW w:w="120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浙F9VM11</w:t>
            </w:r>
          </w:p>
        </w:tc>
        <w:tc>
          <w:tcPr>
            <w:tcW w:w="1145"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2024.1.15</w:t>
            </w:r>
          </w:p>
        </w:tc>
        <w:tc>
          <w:tcPr>
            <w:tcW w:w="1099"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轻型厢式货车</w:t>
            </w:r>
          </w:p>
        </w:tc>
        <w:tc>
          <w:tcPr>
            <w:tcW w:w="232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交强险、车船税、商业险</w:t>
            </w:r>
          </w:p>
        </w:tc>
        <w:tc>
          <w:tcPr>
            <w:tcW w:w="995" w:type="dxa"/>
            <w:vMerge w:val="continue"/>
            <w:vAlign w:val="center"/>
          </w:tcPr>
          <w:p>
            <w:pPr>
              <w:widowControl/>
              <w:jc w:val="center"/>
              <w:textAlignment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06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车辆保险</w:t>
            </w:r>
          </w:p>
        </w:tc>
        <w:tc>
          <w:tcPr>
            <w:tcW w:w="174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桐乡市濮院物流园区发展有限公司</w:t>
            </w:r>
          </w:p>
        </w:tc>
        <w:tc>
          <w:tcPr>
            <w:tcW w:w="1200" w:type="dxa"/>
            <w:vAlign w:val="center"/>
          </w:tcPr>
          <w:p>
            <w:pPr>
              <w:widowControl/>
              <w:jc w:val="both"/>
              <w:textAlignment w:val="center"/>
              <w:rPr>
                <w:rFonts w:ascii="宋体" w:hAnsi="宋体" w:cs="宋体"/>
                <w:color w:val="auto"/>
                <w:kern w:val="0"/>
                <w:szCs w:val="21"/>
              </w:rPr>
            </w:pPr>
            <w:r>
              <w:rPr>
                <w:rFonts w:hint="eastAsia" w:ascii="宋体" w:hAnsi="宋体" w:cs="宋体"/>
                <w:color w:val="auto"/>
                <w:kern w:val="0"/>
                <w:szCs w:val="21"/>
                <w:lang w:val="en-US" w:eastAsia="zh-CN"/>
              </w:rPr>
              <w:t>浙</w:t>
            </w:r>
            <w:r>
              <w:rPr>
                <w:rFonts w:hint="eastAsia" w:ascii="宋体" w:hAnsi="宋体" w:cs="宋体"/>
                <w:color w:val="auto"/>
                <w:kern w:val="0"/>
                <w:szCs w:val="21"/>
              </w:rPr>
              <w:t>FDH6728</w:t>
            </w:r>
          </w:p>
        </w:tc>
        <w:tc>
          <w:tcPr>
            <w:tcW w:w="1145" w:type="dxa"/>
            <w:vAlign w:val="center"/>
          </w:tcPr>
          <w:p>
            <w:pPr>
              <w:widowControl/>
              <w:jc w:val="both"/>
              <w:textAlignment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2024.4.4</w:t>
            </w:r>
          </w:p>
        </w:tc>
        <w:tc>
          <w:tcPr>
            <w:tcW w:w="1099"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电动轻型封闭式货车</w:t>
            </w:r>
          </w:p>
        </w:tc>
        <w:tc>
          <w:tcPr>
            <w:tcW w:w="232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交强险、车船税、商业险</w:t>
            </w:r>
          </w:p>
        </w:tc>
        <w:tc>
          <w:tcPr>
            <w:tcW w:w="995" w:type="dxa"/>
            <w:vMerge w:val="continue"/>
            <w:vAlign w:val="center"/>
          </w:tcPr>
          <w:p>
            <w:pPr>
              <w:widowControl/>
              <w:jc w:val="center"/>
              <w:textAlignment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06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车辆保险</w:t>
            </w:r>
          </w:p>
        </w:tc>
        <w:tc>
          <w:tcPr>
            <w:tcW w:w="174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桐乡市濮院物流园区发展有限公司</w:t>
            </w:r>
          </w:p>
        </w:tc>
        <w:tc>
          <w:tcPr>
            <w:tcW w:w="120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浙FDJ8617</w:t>
            </w:r>
          </w:p>
        </w:tc>
        <w:tc>
          <w:tcPr>
            <w:tcW w:w="1145"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2024.9.23</w:t>
            </w:r>
          </w:p>
        </w:tc>
        <w:tc>
          <w:tcPr>
            <w:tcW w:w="1099"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电动轻型封闭式货车</w:t>
            </w:r>
          </w:p>
        </w:tc>
        <w:tc>
          <w:tcPr>
            <w:tcW w:w="232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交强险、车船税、商业险</w:t>
            </w:r>
          </w:p>
        </w:tc>
        <w:tc>
          <w:tcPr>
            <w:tcW w:w="995" w:type="dxa"/>
            <w:vMerge w:val="continue"/>
            <w:vAlign w:val="center"/>
          </w:tcPr>
          <w:p>
            <w:pPr>
              <w:widowControl/>
              <w:jc w:val="center"/>
              <w:textAlignment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06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车辆保险</w:t>
            </w:r>
          </w:p>
        </w:tc>
        <w:tc>
          <w:tcPr>
            <w:tcW w:w="174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桐乡市濮院恒盛水处理有限公司</w:t>
            </w:r>
          </w:p>
        </w:tc>
        <w:tc>
          <w:tcPr>
            <w:tcW w:w="120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浙F5179K</w:t>
            </w:r>
          </w:p>
        </w:tc>
        <w:tc>
          <w:tcPr>
            <w:tcW w:w="1145"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2024.4.4</w:t>
            </w:r>
          </w:p>
        </w:tc>
        <w:tc>
          <w:tcPr>
            <w:tcW w:w="1099"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轿车，公务用车</w:t>
            </w:r>
          </w:p>
        </w:tc>
        <w:tc>
          <w:tcPr>
            <w:tcW w:w="232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交强险、车船税、商业险</w:t>
            </w:r>
          </w:p>
        </w:tc>
        <w:tc>
          <w:tcPr>
            <w:tcW w:w="995" w:type="dxa"/>
            <w:vMerge w:val="continue"/>
            <w:vAlign w:val="center"/>
          </w:tcPr>
          <w:p>
            <w:pPr>
              <w:widowControl/>
              <w:jc w:val="center"/>
              <w:textAlignment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061"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车辆保险</w:t>
            </w:r>
          </w:p>
        </w:tc>
        <w:tc>
          <w:tcPr>
            <w:tcW w:w="1740"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浙江经纬公证检验行有限公司</w:t>
            </w:r>
          </w:p>
        </w:tc>
        <w:tc>
          <w:tcPr>
            <w:tcW w:w="1200"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浙FG1889</w:t>
            </w:r>
          </w:p>
        </w:tc>
        <w:tc>
          <w:tcPr>
            <w:tcW w:w="1145"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2024.1.6</w:t>
            </w:r>
          </w:p>
        </w:tc>
        <w:tc>
          <w:tcPr>
            <w:tcW w:w="1099" w:type="dxa"/>
            <w:vAlign w:val="center"/>
          </w:tcPr>
          <w:p>
            <w:pPr>
              <w:widowControl/>
              <w:jc w:val="center"/>
              <w:textAlignment w:val="center"/>
              <w:rPr>
                <w:rFonts w:hint="eastAsia" w:ascii="宋体" w:hAnsi="宋体" w:eastAsia="宋体" w:cs="宋体"/>
                <w:color w:val="auto"/>
                <w:kern w:val="0"/>
                <w:szCs w:val="21"/>
                <w:lang w:eastAsia="zh-CN"/>
              </w:rPr>
            </w:pPr>
            <w:r>
              <w:rPr>
                <w:rFonts w:hint="eastAsia" w:ascii="宋体" w:hAnsi="宋体" w:cs="宋体"/>
                <w:color w:val="auto"/>
                <w:kern w:val="0"/>
                <w:szCs w:val="21"/>
              </w:rPr>
              <w:t>轿车，公务用车</w:t>
            </w:r>
          </w:p>
        </w:tc>
        <w:tc>
          <w:tcPr>
            <w:tcW w:w="2325" w:type="dxa"/>
            <w:vAlign w:val="center"/>
          </w:tcPr>
          <w:p>
            <w:pPr>
              <w:widowControl/>
              <w:jc w:val="center"/>
              <w:textAlignment w:val="center"/>
              <w:rPr>
                <w:rFonts w:hint="eastAsia" w:ascii="宋体" w:hAnsi="宋体" w:eastAsia="宋体" w:cs="宋体"/>
                <w:color w:val="auto"/>
                <w:kern w:val="0"/>
                <w:szCs w:val="21"/>
                <w:lang w:eastAsia="zh-CN"/>
              </w:rPr>
            </w:pPr>
            <w:r>
              <w:rPr>
                <w:rFonts w:hint="eastAsia" w:ascii="宋体" w:hAnsi="宋体" w:cs="宋体"/>
                <w:color w:val="auto"/>
                <w:kern w:val="0"/>
                <w:szCs w:val="21"/>
              </w:rPr>
              <w:t>交强险、车船税、商业险</w:t>
            </w:r>
          </w:p>
        </w:tc>
        <w:tc>
          <w:tcPr>
            <w:tcW w:w="995" w:type="dxa"/>
            <w:vMerge w:val="continue"/>
            <w:vAlign w:val="center"/>
          </w:tcPr>
          <w:p>
            <w:pPr>
              <w:widowControl/>
              <w:jc w:val="center"/>
              <w:textAlignment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061"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车辆保险</w:t>
            </w:r>
          </w:p>
        </w:tc>
        <w:tc>
          <w:tcPr>
            <w:tcW w:w="1740"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桐乡市濮尚科技有限公司</w:t>
            </w:r>
          </w:p>
        </w:tc>
        <w:tc>
          <w:tcPr>
            <w:tcW w:w="1200"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浙F818HX</w:t>
            </w:r>
          </w:p>
        </w:tc>
        <w:tc>
          <w:tcPr>
            <w:tcW w:w="1145"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2024.04.19</w:t>
            </w:r>
          </w:p>
        </w:tc>
        <w:tc>
          <w:tcPr>
            <w:tcW w:w="1099" w:type="dxa"/>
            <w:vAlign w:val="center"/>
          </w:tcPr>
          <w:p>
            <w:pPr>
              <w:widowControl/>
              <w:jc w:val="center"/>
              <w:textAlignment w:val="center"/>
              <w:rPr>
                <w:rFonts w:hint="eastAsia" w:ascii="宋体" w:hAnsi="宋体" w:eastAsia="宋体" w:cs="宋体"/>
                <w:color w:val="auto"/>
                <w:kern w:val="0"/>
                <w:szCs w:val="21"/>
                <w:lang w:eastAsia="zh-CN"/>
              </w:rPr>
            </w:pPr>
            <w:r>
              <w:rPr>
                <w:rFonts w:hint="eastAsia" w:ascii="宋体" w:hAnsi="宋体" w:cs="宋体"/>
                <w:color w:val="auto"/>
                <w:kern w:val="0"/>
                <w:szCs w:val="21"/>
              </w:rPr>
              <w:t>轻型多用途货车</w:t>
            </w:r>
          </w:p>
        </w:tc>
        <w:tc>
          <w:tcPr>
            <w:tcW w:w="2325" w:type="dxa"/>
            <w:vAlign w:val="center"/>
          </w:tcPr>
          <w:p>
            <w:pPr>
              <w:widowControl/>
              <w:jc w:val="center"/>
              <w:textAlignment w:val="center"/>
              <w:rPr>
                <w:rFonts w:hint="eastAsia" w:ascii="宋体" w:hAnsi="宋体" w:eastAsia="宋体" w:cs="宋体"/>
                <w:color w:val="auto"/>
                <w:kern w:val="0"/>
                <w:szCs w:val="21"/>
                <w:lang w:eastAsia="zh-CN"/>
              </w:rPr>
            </w:pPr>
            <w:r>
              <w:rPr>
                <w:rFonts w:hint="eastAsia" w:ascii="宋体" w:hAnsi="宋体" w:cs="宋体"/>
                <w:color w:val="auto"/>
                <w:kern w:val="0"/>
                <w:szCs w:val="21"/>
              </w:rPr>
              <w:t>交强险、车船税、商业险</w:t>
            </w:r>
          </w:p>
        </w:tc>
        <w:tc>
          <w:tcPr>
            <w:tcW w:w="995" w:type="dxa"/>
            <w:vMerge w:val="continue"/>
            <w:vAlign w:val="center"/>
          </w:tcPr>
          <w:p>
            <w:pPr>
              <w:widowControl/>
              <w:jc w:val="center"/>
              <w:textAlignment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06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车辆保险</w:t>
            </w:r>
          </w:p>
        </w:tc>
        <w:tc>
          <w:tcPr>
            <w:tcW w:w="174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桐乡市濮尚科技有限公司</w:t>
            </w:r>
          </w:p>
        </w:tc>
        <w:tc>
          <w:tcPr>
            <w:tcW w:w="120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浙F767EB</w:t>
            </w:r>
          </w:p>
        </w:tc>
        <w:tc>
          <w:tcPr>
            <w:tcW w:w="1145"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2024.11.24</w:t>
            </w:r>
          </w:p>
        </w:tc>
        <w:tc>
          <w:tcPr>
            <w:tcW w:w="1099"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货车</w:t>
            </w:r>
          </w:p>
        </w:tc>
        <w:tc>
          <w:tcPr>
            <w:tcW w:w="232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交强险、车船税、商业险</w:t>
            </w:r>
          </w:p>
        </w:tc>
        <w:tc>
          <w:tcPr>
            <w:tcW w:w="995" w:type="dxa"/>
            <w:vMerge w:val="continue"/>
            <w:vAlign w:val="center"/>
          </w:tcPr>
          <w:p>
            <w:pPr>
              <w:widowControl/>
              <w:jc w:val="center"/>
              <w:textAlignment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061"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车辆保险</w:t>
            </w:r>
          </w:p>
        </w:tc>
        <w:tc>
          <w:tcPr>
            <w:tcW w:w="1740"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桐乡市濮尚科技有限公司</w:t>
            </w:r>
          </w:p>
        </w:tc>
        <w:tc>
          <w:tcPr>
            <w:tcW w:w="1200"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浙F221DV</w:t>
            </w:r>
          </w:p>
        </w:tc>
        <w:tc>
          <w:tcPr>
            <w:tcW w:w="1145"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2024.10.17</w:t>
            </w:r>
          </w:p>
        </w:tc>
        <w:tc>
          <w:tcPr>
            <w:tcW w:w="1099" w:type="dxa"/>
            <w:vAlign w:val="center"/>
          </w:tcPr>
          <w:p>
            <w:pPr>
              <w:widowControl/>
              <w:jc w:val="center"/>
              <w:textAlignment w:val="center"/>
              <w:rPr>
                <w:rFonts w:hint="eastAsia" w:ascii="宋体" w:hAnsi="宋体" w:eastAsia="宋体" w:cs="宋体"/>
                <w:color w:val="auto"/>
                <w:kern w:val="0"/>
                <w:szCs w:val="21"/>
                <w:lang w:eastAsia="zh-CN"/>
              </w:rPr>
            </w:pPr>
            <w:r>
              <w:rPr>
                <w:rFonts w:hint="eastAsia" w:ascii="宋体" w:hAnsi="宋体" w:cs="宋体"/>
                <w:color w:val="auto"/>
                <w:kern w:val="0"/>
                <w:szCs w:val="21"/>
              </w:rPr>
              <w:t>轻型多用途货车</w:t>
            </w:r>
          </w:p>
        </w:tc>
        <w:tc>
          <w:tcPr>
            <w:tcW w:w="2325" w:type="dxa"/>
            <w:vAlign w:val="center"/>
          </w:tcPr>
          <w:p>
            <w:pPr>
              <w:widowControl/>
              <w:jc w:val="center"/>
              <w:textAlignment w:val="center"/>
              <w:rPr>
                <w:rFonts w:hint="eastAsia" w:ascii="宋体" w:hAnsi="宋体" w:eastAsia="宋体" w:cs="宋体"/>
                <w:color w:val="auto"/>
                <w:kern w:val="0"/>
                <w:szCs w:val="21"/>
                <w:lang w:eastAsia="zh-CN"/>
              </w:rPr>
            </w:pPr>
            <w:r>
              <w:rPr>
                <w:rFonts w:hint="eastAsia" w:ascii="宋体" w:hAnsi="宋体" w:cs="宋体"/>
                <w:color w:val="auto"/>
                <w:kern w:val="0"/>
                <w:szCs w:val="21"/>
              </w:rPr>
              <w:t>交强险、车船税、商业险</w:t>
            </w:r>
          </w:p>
        </w:tc>
        <w:tc>
          <w:tcPr>
            <w:tcW w:w="995" w:type="dxa"/>
            <w:vMerge w:val="continue"/>
            <w:vAlign w:val="center"/>
          </w:tcPr>
          <w:p>
            <w:pPr>
              <w:widowControl/>
              <w:jc w:val="center"/>
              <w:textAlignment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06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车辆保险</w:t>
            </w:r>
          </w:p>
        </w:tc>
        <w:tc>
          <w:tcPr>
            <w:tcW w:w="174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桐乡市濮院羊毛衫市场文化传媒有限公司</w:t>
            </w:r>
          </w:p>
        </w:tc>
        <w:tc>
          <w:tcPr>
            <w:tcW w:w="120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浙FDW1863</w:t>
            </w:r>
          </w:p>
        </w:tc>
        <w:tc>
          <w:tcPr>
            <w:tcW w:w="1145"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2024.4.11</w:t>
            </w:r>
          </w:p>
        </w:tc>
        <w:tc>
          <w:tcPr>
            <w:tcW w:w="1099"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电动皮卡，公务用车</w:t>
            </w:r>
          </w:p>
        </w:tc>
        <w:tc>
          <w:tcPr>
            <w:tcW w:w="232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交强险、车船税、商业险</w:t>
            </w:r>
          </w:p>
        </w:tc>
        <w:tc>
          <w:tcPr>
            <w:tcW w:w="995" w:type="dxa"/>
            <w:vMerge w:val="continue"/>
            <w:vAlign w:val="center"/>
          </w:tcPr>
          <w:p>
            <w:pPr>
              <w:widowControl/>
              <w:jc w:val="center"/>
              <w:textAlignment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061"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车辆保险</w:t>
            </w:r>
          </w:p>
        </w:tc>
        <w:tc>
          <w:tcPr>
            <w:tcW w:w="1740"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桐乡市濮院恒源工业净水有限责任公司</w:t>
            </w:r>
          </w:p>
        </w:tc>
        <w:tc>
          <w:tcPr>
            <w:tcW w:w="1200"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浙FGS663</w:t>
            </w:r>
          </w:p>
        </w:tc>
        <w:tc>
          <w:tcPr>
            <w:tcW w:w="1145"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2024.6.29</w:t>
            </w:r>
          </w:p>
        </w:tc>
        <w:tc>
          <w:tcPr>
            <w:tcW w:w="1099" w:type="dxa"/>
            <w:vAlign w:val="center"/>
          </w:tcPr>
          <w:p>
            <w:pPr>
              <w:widowControl/>
              <w:jc w:val="center"/>
              <w:textAlignment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轿车</w:t>
            </w:r>
            <w:r>
              <w:rPr>
                <w:rFonts w:hint="eastAsia" w:ascii="宋体" w:hAnsi="宋体" w:cs="宋体"/>
                <w:color w:val="auto"/>
                <w:kern w:val="0"/>
                <w:szCs w:val="21"/>
              </w:rPr>
              <w:t>，公务用车</w:t>
            </w:r>
          </w:p>
        </w:tc>
        <w:tc>
          <w:tcPr>
            <w:tcW w:w="2325" w:type="dxa"/>
            <w:vAlign w:val="center"/>
          </w:tcPr>
          <w:p>
            <w:pPr>
              <w:widowControl/>
              <w:jc w:val="center"/>
              <w:textAlignment w:val="center"/>
              <w:rPr>
                <w:rFonts w:hint="eastAsia" w:ascii="宋体" w:hAnsi="宋体" w:eastAsia="宋体" w:cs="宋体"/>
                <w:color w:val="auto"/>
                <w:kern w:val="0"/>
                <w:szCs w:val="21"/>
                <w:lang w:eastAsia="zh-CN"/>
              </w:rPr>
            </w:pPr>
            <w:r>
              <w:rPr>
                <w:rFonts w:hint="eastAsia" w:ascii="宋体" w:hAnsi="宋体" w:cs="宋体"/>
                <w:color w:val="auto"/>
                <w:kern w:val="0"/>
                <w:szCs w:val="21"/>
              </w:rPr>
              <w:t>交强险、车船税、商业险</w:t>
            </w:r>
          </w:p>
        </w:tc>
        <w:tc>
          <w:tcPr>
            <w:tcW w:w="995" w:type="dxa"/>
            <w:vMerge w:val="continue"/>
            <w:vAlign w:val="center"/>
          </w:tcPr>
          <w:p>
            <w:pPr>
              <w:widowControl/>
              <w:jc w:val="center"/>
              <w:textAlignment w:val="center"/>
              <w:rPr>
                <w:rFonts w:ascii="宋体" w:hAnsi="宋体" w:cs="宋体"/>
                <w:color w:val="000000"/>
                <w:kern w:val="0"/>
                <w:szCs w:val="21"/>
              </w:rPr>
            </w:pPr>
          </w:p>
        </w:tc>
      </w:tr>
    </w:tbl>
    <w:p>
      <w:pPr>
        <w:pStyle w:val="38"/>
        <w:ind w:left="0" w:firstLine="0"/>
        <w:rPr>
          <w:rFonts w:ascii="宋体" w:hAnsi="宋体" w:cs="宋体"/>
          <w:b/>
          <w:bCs/>
          <w:szCs w:val="21"/>
        </w:rPr>
      </w:pPr>
    </w:p>
    <w:p>
      <w:pPr>
        <w:pStyle w:val="38"/>
        <w:ind w:left="0" w:firstLine="0"/>
        <w:rPr>
          <w:rFonts w:ascii="宋体" w:hAnsi="宋体" w:cs="宋体"/>
          <w:b/>
          <w:bCs/>
          <w:szCs w:val="21"/>
        </w:rPr>
      </w:pPr>
      <w:r>
        <w:rPr>
          <w:rFonts w:hint="eastAsia" w:ascii="宋体" w:hAnsi="宋体" w:cs="宋体"/>
          <w:b/>
          <w:bCs/>
          <w:szCs w:val="21"/>
          <w:lang w:val="en-US" w:eastAsia="zh-CN"/>
        </w:rPr>
        <w:t>二</w:t>
      </w:r>
      <w:r>
        <w:rPr>
          <w:rFonts w:hint="eastAsia" w:ascii="宋体" w:hAnsi="宋体" w:cs="宋体"/>
          <w:b/>
          <w:bCs/>
          <w:szCs w:val="21"/>
        </w:rPr>
        <w:t>标项：各类意外险和责任险</w:t>
      </w:r>
    </w:p>
    <w:p>
      <w:pPr>
        <w:adjustRightInd w:val="0"/>
        <w:snapToGrid w:val="0"/>
        <w:spacing w:line="360" w:lineRule="auto"/>
        <w:ind w:firstLine="420" w:firstLineChars="200"/>
        <w:rPr>
          <w:rFonts w:hint="eastAsia" w:eastAsia="宋体"/>
          <w:color w:val="auto"/>
          <w:lang w:val="en-US" w:eastAsia="zh-CN"/>
        </w:rPr>
      </w:pPr>
      <w:r>
        <w:rPr>
          <w:rFonts w:hint="eastAsia" w:ascii="宋体" w:hAnsi="宋体" w:cs="宋体"/>
          <w:szCs w:val="21"/>
        </w:rPr>
        <w:t>责任险的具体免赔金额在签约时根据双方协商结果</w:t>
      </w:r>
      <w:r>
        <w:rPr>
          <w:rFonts w:hint="eastAsia" w:ascii="宋体" w:hAnsi="宋体" w:cs="宋体"/>
          <w:color w:val="auto"/>
          <w:szCs w:val="21"/>
        </w:rPr>
        <w:t>进行约定</w:t>
      </w:r>
      <w:r>
        <w:rPr>
          <w:rFonts w:hint="eastAsia" w:ascii="宋体" w:hAnsi="宋体"/>
          <w:color w:val="auto"/>
          <w:szCs w:val="21"/>
        </w:rPr>
        <w:t>。</w:t>
      </w:r>
      <w:r>
        <w:rPr>
          <w:rFonts w:hint="eastAsia" w:ascii="宋体" w:hAnsi="宋体"/>
          <w:b/>
          <w:bCs/>
          <w:color w:val="auto"/>
          <w:szCs w:val="21"/>
        </w:rPr>
        <w:t>公众责任险赔付标准</w:t>
      </w:r>
      <w:r>
        <w:rPr>
          <w:rFonts w:hint="eastAsia" w:ascii="宋体" w:hAnsi="宋体"/>
          <w:b/>
          <w:bCs/>
          <w:color w:val="auto"/>
          <w:szCs w:val="21"/>
          <w:lang w:val="en-US" w:eastAsia="zh-CN"/>
        </w:rPr>
        <w:t>均</w:t>
      </w:r>
      <w:r>
        <w:rPr>
          <w:rFonts w:hint="eastAsia" w:ascii="宋体" w:hAnsi="宋体"/>
          <w:b/>
          <w:bCs/>
          <w:color w:val="auto"/>
          <w:szCs w:val="21"/>
        </w:rPr>
        <w:t>参照桐乡市濮院毛衫发展有限公司所购的公众责任险，</w:t>
      </w:r>
      <w:r>
        <w:rPr>
          <w:rFonts w:hint="eastAsia" w:ascii="宋体" w:hAnsi="宋体"/>
          <w:b/>
          <w:bCs/>
          <w:color w:val="auto"/>
          <w:szCs w:val="21"/>
          <w:lang w:val="en-US" w:eastAsia="zh-CN"/>
        </w:rPr>
        <w:t>且</w:t>
      </w:r>
      <w:r>
        <w:rPr>
          <w:rFonts w:hint="eastAsia" w:ascii="宋体" w:hAnsi="宋体"/>
          <w:b/>
          <w:bCs/>
          <w:color w:val="auto"/>
          <w:szCs w:val="21"/>
        </w:rPr>
        <w:t>需包含火灾和爆炸、停车场、电梯、升降机、广告牌等内容</w:t>
      </w:r>
      <w:r>
        <w:rPr>
          <w:rFonts w:hint="eastAsia" w:ascii="宋体" w:hAnsi="宋体"/>
          <w:b/>
          <w:bCs/>
          <w:color w:val="auto"/>
          <w:szCs w:val="21"/>
          <w:lang w:eastAsia="zh-CN"/>
        </w:rPr>
        <w:t>。</w:t>
      </w:r>
    </w:p>
    <w:tbl>
      <w:tblPr>
        <w:tblStyle w:val="40"/>
        <w:tblpPr w:leftFromText="180" w:rightFromText="180" w:vertAnchor="text" w:tblpXSpec="center" w:tblpY="1"/>
        <w:tblOverlap w:val="never"/>
        <w:tblW w:w="9572" w:type="dxa"/>
        <w:tblInd w:w="-10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2046"/>
        <w:gridCol w:w="1273"/>
        <w:gridCol w:w="1927"/>
        <w:gridCol w:w="2356"/>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791" w:hRule="atLeast"/>
        </w:trPr>
        <w:tc>
          <w:tcPr>
            <w:tcW w:w="1965" w:type="dxa"/>
            <w:vAlign w:val="center"/>
          </w:tcPr>
          <w:p>
            <w:pPr>
              <w:widowControl/>
              <w:jc w:val="center"/>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险种</w:t>
            </w:r>
          </w:p>
        </w:tc>
        <w:tc>
          <w:tcPr>
            <w:tcW w:w="2046" w:type="dxa"/>
            <w:vAlign w:val="center"/>
          </w:tcPr>
          <w:p>
            <w:pPr>
              <w:widowControl/>
              <w:jc w:val="center"/>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投</w:t>
            </w:r>
            <w:r>
              <w:rPr>
                <w:rFonts w:hint="eastAsia" w:asciiTheme="minorEastAsia" w:hAnsiTheme="minorEastAsia" w:eastAsiaTheme="minorEastAsia" w:cstheme="minorEastAsia"/>
                <w:color w:val="auto"/>
                <w:kern w:val="0"/>
                <w:szCs w:val="21"/>
                <w:lang w:val="en-US" w:eastAsia="zh-CN"/>
              </w:rPr>
              <w:t>保</w:t>
            </w:r>
            <w:r>
              <w:rPr>
                <w:rFonts w:hint="eastAsia" w:asciiTheme="minorEastAsia" w:hAnsiTheme="minorEastAsia" w:eastAsiaTheme="minorEastAsia" w:cstheme="minorEastAsia"/>
                <w:color w:val="auto"/>
                <w:kern w:val="0"/>
                <w:szCs w:val="21"/>
              </w:rPr>
              <w:t>单位</w:t>
            </w:r>
          </w:p>
        </w:tc>
        <w:tc>
          <w:tcPr>
            <w:tcW w:w="1273" w:type="dxa"/>
            <w:vAlign w:val="center"/>
          </w:tcPr>
          <w:p>
            <w:pPr>
              <w:widowControl/>
              <w:jc w:val="center"/>
              <w:textAlignment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到期时间</w:t>
            </w:r>
          </w:p>
        </w:tc>
        <w:tc>
          <w:tcPr>
            <w:tcW w:w="1927" w:type="dxa"/>
            <w:vAlign w:val="center"/>
          </w:tcPr>
          <w:p>
            <w:pPr>
              <w:widowControl/>
              <w:jc w:val="center"/>
              <w:textAlignment w:val="center"/>
              <w:rPr>
                <w:rFonts w:asciiTheme="minorEastAsia" w:hAnsiTheme="minorEastAsia" w:eastAsiaTheme="minorEastAsia" w:cstheme="minorEastAsia"/>
                <w:color w:val="auto"/>
                <w:kern w:val="0"/>
                <w:szCs w:val="21"/>
              </w:rPr>
            </w:pPr>
            <w:r>
              <w:rPr>
                <w:rFonts w:hint="eastAsia" w:ascii="宋体" w:hAnsi="宋体"/>
                <w:color w:val="auto"/>
                <w:szCs w:val="21"/>
              </w:rPr>
              <w:t>预算金额（最高投标限价）(元)</w:t>
            </w:r>
          </w:p>
        </w:tc>
        <w:tc>
          <w:tcPr>
            <w:tcW w:w="2356" w:type="dxa"/>
            <w:vAlign w:val="center"/>
          </w:tcPr>
          <w:p>
            <w:pPr>
              <w:widowControl/>
              <w:jc w:val="center"/>
              <w:textAlignment w:val="center"/>
              <w:rPr>
                <w:rFonts w:ascii="宋体" w:hAnsi="宋体"/>
                <w:color w:val="auto"/>
                <w:szCs w:val="21"/>
              </w:rPr>
            </w:pPr>
            <w:r>
              <w:rPr>
                <w:rFonts w:hint="eastAsia" w:ascii="宋体" w:hAnsi="宋体"/>
                <w:color w:val="auto"/>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731" w:hRule="atLeast"/>
        </w:trPr>
        <w:tc>
          <w:tcPr>
            <w:tcW w:w="1965" w:type="dxa"/>
            <w:vAlign w:val="center"/>
          </w:tcPr>
          <w:p>
            <w:pPr>
              <w:widowControl/>
              <w:jc w:val="center"/>
              <w:textAlignment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公众责任险</w:t>
            </w:r>
          </w:p>
        </w:tc>
        <w:tc>
          <w:tcPr>
            <w:tcW w:w="2046" w:type="dxa"/>
            <w:vAlign w:val="center"/>
          </w:tcPr>
          <w:p>
            <w:pPr>
              <w:widowControl/>
              <w:jc w:val="center"/>
              <w:textAlignment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桐乡市濮院毛衫发展有限公司</w:t>
            </w:r>
          </w:p>
        </w:tc>
        <w:tc>
          <w:tcPr>
            <w:tcW w:w="1273" w:type="dxa"/>
            <w:vAlign w:val="center"/>
          </w:tcPr>
          <w:p>
            <w:pPr>
              <w:widowControl/>
              <w:jc w:val="center"/>
              <w:textAlignment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2025.1.24</w:t>
            </w:r>
          </w:p>
        </w:tc>
        <w:tc>
          <w:tcPr>
            <w:tcW w:w="1927" w:type="dxa"/>
            <w:vAlign w:val="center"/>
          </w:tcPr>
          <w:p>
            <w:pPr>
              <w:widowControl/>
              <w:jc w:val="center"/>
              <w:textAlignment w:val="center"/>
              <w:rPr>
                <w:rFonts w:hint="default" w:ascii="宋体" w:hAnsi="宋体" w:eastAsia="宋体"/>
                <w:color w:val="auto"/>
                <w:szCs w:val="21"/>
                <w:lang w:val="en-US" w:eastAsia="zh-CN"/>
              </w:rPr>
            </w:pPr>
            <w:r>
              <w:rPr>
                <w:rFonts w:hint="eastAsia" w:ascii="宋体" w:hAnsi="宋体"/>
                <w:color w:val="auto"/>
                <w:szCs w:val="21"/>
                <w:lang w:val="en-US" w:eastAsia="zh-CN"/>
              </w:rPr>
              <w:t>40000</w:t>
            </w:r>
          </w:p>
        </w:tc>
        <w:tc>
          <w:tcPr>
            <w:tcW w:w="2356" w:type="dxa"/>
            <w:vAlign w:val="center"/>
          </w:tcPr>
          <w:p>
            <w:pPr>
              <w:widowControl/>
              <w:jc w:val="center"/>
              <w:textAlignment w:val="center"/>
              <w:rPr>
                <w:rFonts w:hint="eastAsia" w:ascii="宋体" w:hAnsi="宋体" w:eastAsia="宋体"/>
                <w:color w:val="auto"/>
                <w:szCs w:val="21"/>
                <w:lang w:eastAsia="zh-CN"/>
              </w:rPr>
            </w:pPr>
            <w:r>
              <w:rPr>
                <w:rFonts w:hint="eastAsia" w:asciiTheme="minorEastAsia" w:hAnsiTheme="minorEastAsia" w:eastAsiaTheme="minorEastAsia" w:cstheme="minorEastAsia"/>
                <w:color w:val="auto"/>
                <w:kern w:val="0"/>
                <w:szCs w:val="21"/>
                <w:lang w:val="en-US" w:eastAsia="zh-CN"/>
              </w:rPr>
              <w:t>区域为浙江省桐乡市濮院镇齐宏路169号时尚中心1-5层由桐乡市濮院毛衫发展有限公司经营管辖的区域，不包括承租桐乡市濮院毛衫发展有限公司的商户经营区域。</w:t>
            </w:r>
            <w:r>
              <w:rPr>
                <w:rFonts w:hint="eastAsia" w:asciiTheme="minorEastAsia" w:hAnsiTheme="minorEastAsia" w:eastAsiaTheme="minorEastAsia" w:cstheme="minorEastAsia"/>
                <w:color w:val="auto"/>
                <w:kern w:val="0"/>
                <w:szCs w:val="21"/>
              </w:rPr>
              <w:t>累计赔付限额</w:t>
            </w:r>
            <w:r>
              <w:rPr>
                <w:rFonts w:hint="eastAsia" w:asciiTheme="minorEastAsia" w:hAnsiTheme="minorEastAsia" w:eastAsiaTheme="minorEastAsia" w:cstheme="minorEastAsia"/>
                <w:color w:val="auto"/>
                <w:kern w:val="0"/>
                <w:szCs w:val="21"/>
                <w:lang w:val="en-US" w:eastAsia="zh-CN"/>
              </w:rPr>
              <w:t>6</w:t>
            </w:r>
            <w:r>
              <w:rPr>
                <w:rFonts w:hint="eastAsia" w:asciiTheme="minorEastAsia" w:hAnsiTheme="minorEastAsia" w:eastAsiaTheme="minorEastAsia" w:cstheme="minorEastAsia"/>
                <w:color w:val="auto"/>
                <w:kern w:val="0"/>
                <w:szCs w:val="21"/>
              </w:rPr>
              <w:t>00万，每次事故赔付限额</w:t>
            </w:r>
            <w:r>
              <w:rPr>
                <w:rFonts w:hint="eastAsia" w:asciiTheme="minorEastAsia" w:hAnsiTheme="minorEastAsia" w:eastAsiaTheme="minorEastAsia" w:cstheme="minorEastAsia"/>
                <w:color w:val="auto"/>
                <w:kern w:val="0"/>
                <w:szCs w:val="21"/>
                <w:lang w:val="en-US" w:eastAsia="zh-CN"/>
              </w:rPr>
              <w:t>200</w:t>
            </w:r>
            <w:r>
              <w:rPr>
                <w:rFonts w:hint="eastAsia" w:asciiTheme="minorEastAsia" w:hAnsiTheme="minorEastAsia" w:eastAsiaTheme="minorEastAsia" w:cstheme="minorEastAsia"/>
                <w:color w:val="auto"/>
                <w:kern w:val="0"/>
                <w:szCs w:val="21"/>
              </w:rPr>
              <w:t>万，每次事故人身伤亡赔偿限额</w:t>
            </w:r>
            <w:r>
              <w:rPr>
                <w:rFonts w:hint="eastAsia" w:asciiTheme="minorEastAsia" w:hAnsiTheme="minorEastAsia" w:eastAsiaTheme="minorEastAsia" w:cstheme="minorEastAsia"/>
                <w:color w:val="auto"/>
                <w:kern w:val="0"/>
                <w:szCs w:val="21"/>
                <w:lang w:val="en-US" w:eastAsia="zh-CN"/>
              </w:rPr>
              <w:t>150</w:t>
            </w:r>
            <w:r>
              <w:rPr>
                <w:rFonts w:hint="eastAsia" w:asciiTheme="minorEastAsia" w:hAnsiTheme="minorEastAsia" w:eastAsiaTheme="minorEastAsia" w:cstheme="minorEastAsia"/>
                <w:color w:val="auto"/>
                <w:kern w:val="0"/>
                <w:szCs w:val="21"/>
              </w:rPr>
              <w:t>万，每次事故每人人身伤亡赔偿限额</w:t>
            </w:r>
            <w:r>
              <w:rPr>
                <w:rFonts w:hint="eastAsia" w:asciiTheme="minorEastAsia" w:hAnsiTheme="minorEastAsia" w:eastAsiaTheme="minorEastAsia" w:cstheme="minorEastAsia"/>
                <w:color w:val="auto"/>
                <w:kern w:val="0"/>
                <w:szCs w:val="21"/>
                <w:lang w:val="en-US" w:eastAsia="zh-CN"/>
              </w:rPr>
              <w:t>50</w:t>
            </w:r>
            <w:r>
              <w:rPr>
                <w:rFonts w:hint="eastAsia" w:asciiTheme="minorEastAsia" w:hAnsiTheme="minorEastAsia" w:eastAsiaTheme="minorEastAsia" w:cstheme="minorEastAsia"/>
                <w:color w:val="auto"/>
                <w:kern w:val="0"/>
                <w:szCs w:val="21"/>
              </w:rPr>
              <w:t>万（医疗费用</w:t>
            </w:r>
            <w:r>
              <w:rPr>
                <w:rFonts w:hint="eastAsia" w:asciiTheme="minorEastAsia" w:hAnsiTheme="minorEastAsia" w:eastAsiaTheme="minorEastAsia" w:cstheme="minorEastAsia"/>
                <w:color w:val="auto"/>
                <w:kern w:val="0"/>
                <w:szCs w:val="21"/>
                <w:lang w:val="en-US" w:eastAsia="zh-CN"/>
              </w:rPr>
              <w:t>5</w:t>
            </w:r>
            <w:r>
              <w:rPr>
                <w:rFonts w:hint="eastAsia" w:asciiTheme="minorEastAsia" w:hAnsiTheme="minorEastAsia" w:eastAsiaTheme="minorEastAsia" w:cstheme="minorEastAsia"/>
                <w:color w:val="auto"/>
                <w:kern w:val="0"/>
                <w:szCs w:val="21"/>
              </w:rPr>
              <w:t>万），每次事故财产损失赔偿限额</w:t>
            </w:r>
            <w:r>
              <w:rPr>
                <w:rFonts w:hint="eastAsia" w:asciiTheme="minorEastAsia" w:hAnsiTheme="minorEastAsia" w:eastAsiaTheme="minorEastAsia" w:cstheme="minorEastAsia"/>
                <w:color w:val="auto"/>
                <w:kern w:val="0"/>
                <w:szCs w:val="21"/>
                <w:lang w:val="en-US" w:eastAsia="zh-CN"/>
              </w:rPr>
              <w:t>50</w:t>
            </w:r>
            <w:r>
              <w:rPr>
                <w:rFonts w:hint="eastAsia" w:asciiTheme="minorEastAsia" w:hAnsiTheme="minorEastAsia" w:eastAsiaTheme="minorEastAsia" w:cstheme="minorEastAsia"/>
                <w:color w:val="auto"/>
                <w:kern w:val="0"/>
                <w:szCs w:val="21"/>
              </w:rPr>
              <w:t>万。附加险：广告、电梯、火灾爆炸、停车场。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836" w:hRule="atLeast"/>
        </w:trPr>
        <w:tc>
          <w:tcPr>
            <w:tcW w:w="1965" w:type="dxa"/>
            <w:vAlign w:val="center"/>
          </w:tcPr>
          <w:p>
            <w:pPr>
              <w:widowControl/>
              <w:jc w:val="center"/>
              <w:textAlignment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公众责任险</w:t>
            </w:r>
          </w:p>
        </w:tc>
        <w:tc>
          <w:tcPr>
            <w:tcW w:w="2046" w:type="dxa"/>
            <w:vAlign w:val="center"/>
          </w:tcPr>
          <w:p>
            <w:pPr>
              <w:widowControl/>
              <w:jc w:val="center"/>
              <w:textAlignment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桐乡市濮院爱富酒店管理有限公司</w:t>
            </w:r>
          </w:p>
        </w:tc>
        <w:tc>
          <w:tcPr>
            <w:tcW w:w="1273" w:type="dxa"/>
            <w:vAlign w:val="center"/>
          </w:tcPr>
          <w:p>
            <w:pPr>
              <w:widowControl/>
              <w:jc w:val="center"/>
              <w:textAlignment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2024.6.27</w:t>
            </w:r>
          </w:p>
        </w:tc>
        <w:tc>
          <w:tcPr>
            <w:tcW w:w="1927" w:type="dxa"/>
            <w:vAlign w:val="center"/>
          </w:tcPr>
          <w:p>
            <w:pPr>
              <w:widowControl/>
              <w:jc w:val="center"/>
              <w:textAlignment w:val="center"/>
              <w:rPr>
                <w:rFonts w:hint="default" w:ascii="宋体" w:hAnsi="宋体" w:eastAsia="宋体"/>
                <w:color w:val="auto"/>
                <w:szCs w:val="21"/>
                <w:lang w:val="en-US" w:eastAsia="zh-CN"/>
              </w:rPr>
            </w:pPr>
            <w:r>
              <w:rPr>
                <w:rFonts w:hint="eastAsia" w:ascii="宋体" w:hAnsi="宋体"/>
                <w:color w:val="auto"/>
                <w:szCs w:val="21"/>
                <w:lang w:val="en-US" w:eastAsia="zh-CN"/>
              </w:rPr>
              <w:t>50000</w:t>
            </w:r>
          </w:p>
        </w:tc>
        <w:tc>
          <w:tcPr>
            <w:tcW w:w="2356" w:type="dxa"/>
            <w:vAlign w:val="center"/>
          </w:tcPr>
          <w:p>
            <w:pPr>
              <w:widowControl/>
              <w:jc w:val="center"/>
              <w:textAlignment w:val="center"/>
              <w:rPr>
                <w:rFonts w:hint="eastAsia" w:ascii="宋体" w:hAnsi="宋体" w:eastAsia="宋体"/>
                <w:color w:val="auto"/>
                <w:szCs w:val="21"/>
                <w:lang w:eastAsia="zh-CN"/>
              </w:rPr>
            </w:pPr>
            <w:r>
              <w:rPr>
                <w:rFonts w:hint="eastAsia" w:ascii="宋体" w:hAnsi="宋体"/>
                <w:color w:val="auto"/>
                <w:szCs w:val="21"/>
                <w:lang w:val="en-US" w:eastAsia="zh-CN"/>
              </w:rPr>
              <w:t>区域为</w:t>
            </w:r>
            <w:r>
              <w:rPr>
                <w:rFonts w:hint="eastAsia" w:ascii="宋体" w:hAnsi="宋体" w:eastAsia="宋体"/>
                <w:color w:val="auto"/>
                <w:szCs w:val="21"/>
                <w:lang w:eastAsia="zh-CN"/>
              </w:rPr>
              <w:t>浙江省嘉兴市桐乡市濮院镇齐宏路169号(酒店区域一楼大堂、第6-23楼、酒店区域第25</w:t>
            </w:r>
          </w:p>
          <w:p>
            <w:pPr>
              <w:widowControl/>
              <w:jc w:val="center"/>
              <w:textAlignment w:val="center"/>
              <w:rPr>
                <w:rFonts w:hint="default" w:ascii="宋体" w:hAnsi="宋体" w:eastAsia="宋体"/>
                <w:color w:val="auto"/>
                <w:szCs w:val="21"/>
                <w:lang w:val="en-US" w:eastAsia="zh-CN"/>
              </w:rPr>
            </w:pPr>
            <w:r>
              <w:rPr>
                <w:rFonts w:hint="eastAsia" w:ascii="宋体" w:hAnsi="宋体" w:eastAsia="宋体"/>
                <w:color w:val="auto"/>
                <w:szCs w:val="21"/>
                <w:lang w:eastAsia="zh-CN"/>
              </w:rPr>
              <w:t>楼健身房)</w:t>
            </w:r>
            <w:r>
              <w:rPr>
                <w:rFonts w:hint="eastAsia" w:ascii="宋体" w:hAnsi="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2523" w:hRule="atLeast"/>
        </w:trPr>
        <w:tc>
          <w:tcPr>
            <w:tcW w:w="1965" w:type="dxa"/>
            <w:vAlign w:val="center"/>
          </w:tcPr>
          <w:p>
            <w:pPr>
              <w:widowControl/>
              <w:jc w:val="center"/>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公众责任险</w:t>
            </w:r>
          </w:p>
        </w:tc>
        <w:tc>
          <w:tcPr>
            <w:tcW w:w="2046" w:type="dxa"/>
            <w:vAlign w:val="center"/>
          </w:tcPr>
          <w:p>
            <w:pPr>
              <w:widowControl/>
              <w:jc w:val="center"/>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桐乡市濮院物流园区发展有限公司</w:t>
            </w:r>
          </w:p>
        </w:tc>
        <w:tc>
          <w:tcPr>
            <w:tcW w:w="127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2024.8.24</w:t>
            </w:r>
          </w:p>
        </w:tc>
        <w:tc>
          <w:tcPr>
            <w:tcW w:w="1927" w:type="dxa"/>
            <w:vAlign w:val="center"/>
          </w:tcPr>
          <w:p>
            <w:pPr>
              <w:widowControl/>
              <w:jc w:val="center"/>
              <w:textAlignment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35000</w:t>
            </w:r>
          </w:p>
        </w:tc>
        <w:tc>
          <w:tcPr>
            <w:tcW w:w="2356" w:type="dxa"/>
            <w:vAlign w:val="center"/>
          </w:tcPr>
          <w:p>
            <w:pPr>
              <w:widowControl/>
              <w:jc w:val="center"/>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en-US" w:eastAsia="zh-CN"/>
              </w:rPr>
              <w:t>区域为</w:t>
            </w:r>
            <w:r>
              <w:rPr>
                <w:rFonts w:hint="eastAsia" w:asciiTheme="minorEastAsia" w:hAnsiTheme="minorEastAsia" w:eastAsiaTheme="minorEastAsia" w:cstheme="minorEastAsia"/>
                <w:color w:val="auto"/>
                <w:kern w:val="0"/>
                <w:szCs w:val="21"/>
              </w:rPr>
              <w:t>桐乡市濮院镇中兴南路物流仓储中心办公大楼以及仓储中心公共区域的人身伤害和财产损失。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411" w:hRule="atLeast"/>
        </w:trPr>
        <w:tc>
          <w:tcPr>
            <w:tcW w:w="1965" w:type="dxa"/>
            <w:vAlign w:val="center"/>
          </w:tcPr>
          <w:p>
            <w:pPr>
              <w:widowControl/>
              <w:jc w:val="center"/>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公众责任险</w:t>
            </w:r>
          </w:p>
        </w:tc>
        <w:tc>
          <w:tcPr>
            <w:tcW w:w="2046" w:type="dxa"/>
            <w:vAlign w:val="center"/>
          </w:tcPr>
          <w:p>
            <w:pPr>
              <w:widowControl/>
              <w:jc w:val="center"/>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桐乡市濮院农贸市场发展有限公司</w:t>
            </w:r>
          </w:p>
        </w:tc>
        <w:tc>
          <w:tcPr>
            <w:tcW w:w="127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2024.9.15</w:t>
            </w:r>
          </w:p>
        </w:tc>
        <w:tc>
          <w:tcPr>
            <w:tcW w:w="1927" w:type="dxa"/>
            <w:vAlign w:val="center"/>
          </w:tcPr>
          <w:p>
            <w:pPr>
              <w:widowControl/>
              <w:jc w:val="center"/>
              <w:textAlignment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20000</w:t>
            </w:r>
          </w:p>
        </w:tc>
        <w:tc>
          <w:tcPr>
            <w:tcW w:w="2356" w:type="dxa"/>
            <w:vAlign w:val="center"/>
          </w:tcPr>
          <w:p>
            <w:pPr>
              <w:widowControl/>
              <w:jc w:val="center"/>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桐乡市濮院镇凯旋路1923号农贸市场公共区域及农贸市场外面停车场。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965" w:type="dxa"/>
            <w:vAlign w:val="center"/>
          </w:tcPr>
          <w:p>
            <w:pPr>
              <w:widowControl/>
              <w:jc w:val="center"/>
              <w:textAlignment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公众责任险</w:t>
            </w:r>
          </w:p>
        </w:tc>
        <w:tc>
          <w:tcPr>
            <w:tcW w:w="2046" w:type="dxa"/>
            <w:vAlign w:val="center"/>
          </w:tcPr>
          <w:p>
            <w:pPr>
              <w:widowControl/>
              <w:jc w:val="center"/>
              <w:textAlignment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桐乡市濮院针织产业发展有限公司</w:t>
            </w:r>
          </w:p>
        </w:tc>
        <w:tc>
          <w:tcPr>
            <w:tcW w:w="127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2024.8.3</w:t>
            </w:r>
          </w:p>
        </w:tc>
        <w:tc>
          <w:tcPr>
            <w:tcW w:w="1927" w:type="dxa"/>
            <w:vAlign w:val="center"/>
          </w:tcPr>
          <w:p>
            <w:pPr>
              <w:widowControl/>
              <w:jc w:val="center"/>
              <w:textAlignment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20000</w:t>
            </w:r>
          </w:p>
        </w:tc>
        <w:tc>
          <w:tcPr>
            <w:tcW w:w="2361" w:type="dxa"/>
            <w:gridSpan w:val="2"/>
            <w:vAlign w:val="center"/>
          </w:tcPr>
          <w:p>
            <w:pPr>
              <w:keepNext w:val="0"/>
              <w:keepLines w:val="0"/>
              <w:widowControl/>
              <w:suppressLineNumbers w:val="0"/>
              <w:jc w:val="center"/>
              <w:rPr>
                <w:rFonts w:hint="default"/>
                <w:color w:val="auto"/>
                <w:lang w:val="en-US"/>
              </w:rPr>
            </w:pPr>
            <w:r>
              <w:rPr>
                <w:rFonts w:hint="eastAsia" w:ascii="宋体" w:hAnsi="宋体" w:eastAsia="宋体" w:cs="宋体"/>
                <w:color w:val="auto"/>
                <w:kern w:val="0"/>
                <w:sz w:val="22"/>
                <w:szCs w:val="22"/>
                <w:lang w:val="en-US" w:eastAsia="zh-CN" w:bidi="ar"/>
              </w:rPr>
              <w:t>中国浙江省嘉兴市桐乡市濮院镇中兴南路388号</w:t>
            </w:r>
          </w:p>
          <w:p>
            <w:pPr>
              <w:widowControl/>
              <w:jc w:val="center"/>
              <w:textAlignment w:val="center"/>
              <w:rPr>
                <w:rFonts w:hint="eastAsia" w:asciiTheme="minorEastAsia" w:hAnsiTheme="minorEastAsia" w:eastAsiaTheme="minorEastAsia" w:cstheme="minorEastAsia"/>
                <w:color w:val="auto"/>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965" w:type="dxa"/>
            <w:vAlign w:val="center"/>
          </w:tcPr>
          <w:p>
            <w:pPr>
              <w:widowControl/>
              <w:jc w:val="center"/>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食品安全责任险</w:t>
            </w:r>
          </w:p>
        </w:tc>
        <w:tc>
          <w:tcPr>
            <w:tcW w:w="2046" w:type="dxa"/>
            <w:vAlign w:val="center"/>
          </w:tcPr>
          <w:p>
            <w:pPr>
              <w:widowControl/>
              <w:jc w:val="center"/>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桐乡市濮院农贸市场发展有限公司</w:t>
            </w:r>
          </w:p>
        </w:tc>
        <w:tc>
          <w:tcPr>
            <w:tcW w:w="127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2024.9.20</w:t>
            </w:r>
          </w:p>
        </w:tc>
        <w:tc>
          <w:tcPr>
            <w:tcW w:w="1927" w:type="dxa"/>
            <w:vAlign w:val="center"/>
          </w:tcPr>
          <w:p>
            <w:pPr>
              <w:widowControl/>
              <w:jc w:val="center"/>
              <w:textAlignment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10000</w:t>
            </w:r>
          </w:p>
        </w:tc>
        <w:tc>
          <w:tcPr>
            <w:tcW w:w="2361" w:type="dxa"/>
            <w:gridSpan w:val="2"/>
            <w:vAlign w:val="center"/>
          </w:tcPr>
          <w:p>
            <w:pPr>
              <w:widowControl/>
              <w:jc w:val="center"/>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累计赔付限额10万，每次事故赔付限额1万，每次事故人身伤亡赔偿限额5000。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1965" w:type="dxa"/>
            <w:vAlign w:val="center"/>
          </w:tcPr>
          <w:p>
            <w:pPr>
              <w:widowControl/>
              <w:jc w:val="center"/>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非机动车第三者责任险（1辆扫地车）</w:t>
            </w:r>
          </w:p>
        </w:tc>
        <w:tc>
          <w:tcPr>
            <w:tcW w:w="2046" w:type="dxa"/>
            <w:vAlign w:val="center"/>
          </w:tcPr>
          <w:p>
            <w:pPr>
              <w:widowControl/>
              <w:jc w:val="center"/>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桐乡市濮院物流园区发展有限公司</w:t>
            </w:r>
          </w:p>
        </w:tc>
        <w:tc>
          <w:tcPr>
            <w:tcW w:w="12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Cs w:val="21"/>
              </w:rPr>
            </w:pPr>
            <w:r>
              <w:rPr>
                <w:rFonts w:hint="eastAsia" w:ascii="宋体" w:hAnsi="宋体" w:eastAsia="宋体" w:cs="宋体"/>
                <w:i w:val="0"/>
                <w:iCs w:val="0"/>
                <w:color w:val="auto"/>
                <w:kern w:val="0"/>
                <w:sz w:val="22"/>
                <w:szCs w:val="22"/>
                <w:u w:val="none"/>
                <w:lang w:val="en-US" w:eastAsia="zh-CN" w:bidi="ar"/>
              </w:rPr>
              <w:t>2024.8.7</w:t>
            </w:r>
          </w:p>
        </w:tc>
        <w:tc>
          <w:tcPr>
            <w:tcW w:w="1927" w:type="dxa"/>
            <w:vAlign w:val="center"/>
          </w:tcPr>
          <w:p>
            <w:pPr>
              <w:widowControl/>
              <w:jc w:val="center"/>
              <w:textAlignment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5000</w:t>
            </w:r>
          </w:p>
        </w:tc>
        <w:tc>
          <w:tcPr>
            <w:tcW w:w="2361" w:type="dxa"/>
            <w:gridSpan w:val="2"/>
            <w:vAlign w:val="center"/>
          </w:tcPr>
          <w:p>
            <w:pPr>
              <w:widowControl/>
              <w:jc w:val="center"/>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每车每次事故责任限额:非机动车辆第三者责任赔偿限额30万，其中医疗费用3万，财产损失赔偿限额3万；</w:t>
            </w:r>
          </w:p>
          <w:p>
            <w:pPr>
              <w:widowControl/>
              <w:jc w:val="center"/>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2.附加驾驶人员责任保险，每车每次事故责任限额5万，其中医疗责任限额5000元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1965" w:type="dxa"/>
            <w:vAlign w:val="center"/>
          </w:tcPr>
          <w:p>
            <w:pPr>
              <w:widowControl/>
              <w:jc w:val="center"/>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非机动车第三者责任险（1辆扫地车）</w:t>
            </w:r>
          </w:p>
        </w:tc>
        <w:tc>
          <w:tcPr>
            <w:tcW w:w="2046" w:type="dxa"/>
            <w:vAlign w:val="center"/>
          </w:tcPr>
          <w:p>
            <w:pPr>
              <w:widowControl/>
              <w:jc w:val="center"/>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桐乡市濮院物流园区发展有限公司</w:t>
            </w:r>
          </w:p>
        </w:tc>
        <w:tc>
          <w:tcPr>
            <w:tcW w:w="12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Cs w:val="21"/>
              </w:rPr>
            </w:pPr>
            <w:r>
              <w:rPr>
                <w:rFonts w:hint="eastAsia" w:ascii="宋体" w:hAnsi="宋体" w:eastAsia="宋体" w:cs="宋体"/>
                <w:i w:val="0"/>
                <w:iCs w:val="0"/>
                <w:color w:val="auto"/>
                <w:kern w:val="0"/>
                <w:sz w:val="22"/>
                <w:szCs w:val="22"/>
                <w:u w:val="none"/>
                <w:lang w:val="en-US" w:eastAsia="zh-CN" w:bidi="ar"/>
              </w:rPr>
              <w:t>2024.8.7</w:t>
            </w:r>
          </w:p>
        </w:tc>
        <w:tc>
          <w:tcPr>
            <w:tcW w:w="1927" w:type="dxa"/>
            <w:vAlign w:val="center"/>
          </w:tcPr>
          <w:p>
            <w:pPr>
              <w:widowControl/>
              <w:jc w:val="center"/>
              <w:textAlignment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10000</w:t>
            </w:r>
          </w:p>
        </w:tc>
        <w:tc>
          <w:tcPr>
            <w:tcW w:w="2361" w:type="dxa"/>
            <w:gridSpan w:val="2"/>
            <w:vAlign w:val="center"/>
          </w:tcPr>
          <w:p>
            <w:pPr>
              <w:widowControl/>
              <w:jc w:val="center"/>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每车每次事故责任限额:非机动车辆第三者责任赔偿限额30万，其中医疗费用3万，财产损失赔偿限领3万；2.附加驾驶人员责任保险，每车每次事故责任限额5万，其中医疗责任限额5000元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1965" w:type="dxa"/>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rPr>
              <w:t>团体人身意外伤害险</w:t>
            </w:r>
            <w:r>
              <w:rPr>
                <w:rFonts w:hint="eastAsia" w:asciiTheme="minorEastAsia" w:hAnsiTheme="minorEastAsia" w:eastAsiaTheme="minorEastAsia" w:cstheme="minorEastAsia"/>
                <w:color w:val="auto"/>
                <w:kern w:val="0"/>
                <w:szCs w:val="21"/>
                <w:lang w:val="en-US" w:eastAsia="zh-CN"/>
              </w:rPr>
              <w:t>1（按照实际人员数量投保）</w:t>
            </w:r>
          </w:p>
        </w:tc>
        <w:tc>
          <w:tcPr>
            <w:tcW w:w="2046" w:type="dxa"/>
            <w:vAlign w:val="center"/>
          </w:tcPr>
          <w:p>
            <w:pPr>
              <w:widowControl/>
              <w:jc w:val="center"/>
              <w:textAlignment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桐乡市濮晋人力资源管理有限公司</w:t>
            </w:r>
          </w:p>
        </w:tc>
        <w:tc>
          <w:tcPr>
            <w:tcW w:w="127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2024.8.1</w:t>
            </w:r>
          </w:p>
        </w:tc>
        <w:tc>
          <w:tcPr>
            <w:tcW w:w="1927" w:type="dxa"/>
            <w:vAlign w:val="center"/>
          </w:tcPr>
          <w:p>
            <w:pPr>
              <w:widowControl/>
              <w:jc w:val="center"/>
              <w:textAlignment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50000</w:t>
            </w:r>
          </w:p>
        </w:tc>
        <w:tc>
          <w:tcPr>
            <w:tcW w:w="2361" w:type="dxa"/>
            <w:gridSpan w:val="2"/>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对象为濮院时尚产业发展集团及下属子公司的保安、保洁人员。</w:t>
            </w:r>
          </w:p>
          <w:p>
            <w:pPr>
              <w:widowControl/>
              <w:jc w:val="center"/>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1、每人意外伤害保险的保险金额为50万元</w:t>
            </w:r>
          </w:p>
          <w:p>
            <w:pPr>
              <w:widowControl/>
              <w:jc w:val="center"/>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2、每人意外伤害医疗保险的保险金额为5万元</w:t>
            </w:r>
          </w:p>
          <w:p>
            <w:pPr>
              <w:widowControl/>
              <w:jc w:val="center"/>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3、每人意外伤害住院津贴保险的保险金额为100 元/天（18000）</w:t>
            </w:r>
          </w:p>
          <w:p>
            <w:pPr>
              <w:widowControl/>
              <w:jc w:val="center"/>
              <w:textAlignment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rPr>
              <w:t>4、本保单承保人员职业类别为:二类 保洁、保安、食堂阿姨、PA员工、洗衣服员工;三类 保洁、保安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965" w:type="dxa"/>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rPr>
              <w:t>团体人身意外伤害险</w:t>
            </w:r>
            <w:r>
              <w:rPr>
                <w:rFonts w:hint="eastAsia" w:asciiTheme="minorEastAsia" w:hAnsiTheme="minorEastAsia" w:eastAsiaTheme="minorEastAsia" w:cstheme="minorEastAsia"/>
                <w:color w:val="auto"/>
                <w:kern w:val="0"/>
                <w:szCs w:val="21"/>
                <w:lang w:val="en-US" w:eastAsia="zh-CN"/>
              </w:rPr>
              <w:t>2（按照实际人员数量投保）</w:t>
            </w:r>
          </w:p>
        </w:tc>
        <w:tc>
          <w:tcPr>
            <w:tcW w:w="2046" w:type="dxa"/>
            <w:vAlign w:val="center"/>
          </w:tcPr>
          <w:p>
            <w:pPr>
              <w:widowControl/>
              <w:jc w:val="center"/>
              <w:textAlignment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桐乡市濮晋人力资源管理有限公司</w:t>
            </w:r>
          </w:p>
        </w:tc>
        <w:tc>
          <w:tcPr>
            <w:tcW w:w="12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Cs w:val="21"/>
              </w:rPr>
            </w:pPr>
            <w:r>
              <w:rPr>
                <w:rFonts w:hint="eastAsia" w:ascii="宋体" w:hAnsi="宋体" w:eastAsia="宋体" w:cs="宋体"/>
                <w:i w:val="0"/>
                <w:iCs w:val="0"/>
                <w:color w:val="auto"/>
                <w:kern w:val="0"/>
                <w:sz w:val="22"/>
                <w:szCs w:val="22"/>
                <w:u w:val="none"/>
                <w:lang w:val="en-US" w:eastAsia="zh-CN" w:bidi="ar"/>
              </w:rPr>
              <w:t>2024.6.24</w:t>
            </w:r>
          </w:p>
        </w:tc>
        <w:tc>
          <w:tcPr>
            <w:tcW w:w="1927" w:type="dxa"/>
            <w:vAlign w:val="center"/>
          </w:tcPr>
          <w:p>
            <w:pPr>
              <w:widowControl/>
              <w:jc w:val="center"/>
              <w:textAlignment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90000</w:t>
            </w:r>
          </w:p>
        </w:tc>
        <w:tc>
          <w:tcPr>
            <w:tcW w:w="2361" w:type="dxa"/>
            <w:gridSpan w:val="2"/>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对象为</w:t>
            </w:r>
            <w:r>
              <w:rPr>
                <w:rFonts w:hint="eastAsia" w:asciiTheme="minorEastAsia" w:hAnsiTheme="minorEastAsia" w:eastAsiaTheme="minorEastAsia" w:cstheme="minorEastAsia"/>
                <w:color w:val="auto"/>
                <w:kern w:val="0"/>
                <w:szCs w:val="21"/>
              </w:rPr>
              <w:t>濮院综合行政执法队</w:t>
            </w:r>
            <w:r>
              <w:rPr>
                <w:rFonts w:hint="eastAsia" w:asciiTheme="minorEastAsia" w:hAnsiTheme="minorEastAsia" w:eastAsiaTheme="minorEastAsia" w:cstheme="minorEastAsia"/>
                <w:color w:val="auto"/>
                <w:kern w:val="0"/>
                <w:szCs w:val="21"/>
                <w:lang w:val="en-US" w:eastAsia="zh-CN"/>
              </w:rPr>
              <w:t>队员。</w:t>
            </w:r>
          </w:p>
          <w:p>
            <w:pPr>
              <w:widowControl/>
              <w:jc w:val="center"/>
              <w:textAlignment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rPr>
              <w:t>1、每人意外伤害保险的保险金额为</w:t>
            </w:r>
            <w:r>
              <w:rPr>
                <w:rFonts w:hint="eastAsia" w:asciiTheme="minorEastAsia" w:hAnsiTheme="minorEastAsia" w:eastAsiaTheme="minorEastAsia" w:cstheme="minorEastAsia"/>
                <w:color w:val="auto"/>
                <w:kern w:val="0"/>
                <w:szCs w:val="21"/>
                <w:lang w:val="en-US" w:eastAsia="zh-CN"/>
              </w:rPr>
              <w:t>2</w:t>
            </w:r>
            <w:r>
              <w:rPr>
                <w:rFonts w:hint="eastAsia" w:asciiTheme="minorEastAsia" w:hAnsiTheme="minorEastAsia" w:eastAsiaTheme="minorEastAsia" w:cstheme="minorEastAsia"/>
                <w:color w:val="auto"/>
                <w:kern w:val="0"/>
                <w:szCs w:val="21"/>
              </w:rPr>
              <w:t>0万元</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猝死保险金额5万</w:t>
            </w:r>
          </w:p>
          <w:p>
            <w:pPr>
              <w:widowControl/>
              <w:jc w:val="center"/>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2、每人意外伤害医疗保险的保险金额为5万元</w:t>
            </w:r>
          </w:p>
          <w:p>
            <w:pPr>
              <w:widowControl/>
              <w:jc w:val="center"/>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3、每人意外伤害住院津贴保险的保险金额为100 元/天（18000</w:t>
            </w:r>
            <w:r>
              <w:rPr>
                <w:rFonts w:hint="eastAsia" w:asciiTheme="minorEastAsia" w:hAnsiTheme="minorEastAsia" w:eastAsiaTheme="minorEastAsia" w:cstheme="minorEastAsia"/>
                <w:color w:val="auto"/>
                <w:kern w:val="0"/>
                <w:szCs w:val="21"/>
                <w:lang w:val="en-US" w:eastAsia="zh-CN"/>
              </w:rPr>
              <w:t>元</w:t>
            </w:r>
            <w:r>
              <w:rPr>
                <w:rFonts w:hint="eastAsia" w:asciiTheme="minorEastAsia" w:hAnsiTheme="minorEastAsia" w:eastAsiaTheme="minorEastAsia" w:cstheme="minorEastAsia"/>
                <w:color w:val="auto"/>
                <w:kern w:val="0"/>
                <w:szCs w:val="21"/>
              </w:rPr>
              <w:t>）</w:t>
            </w:r>
          </w:p>
          <w:p>
            <w:pPr>
              <w:pStyle w:val="38"/>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1965" w:type="dxa"/>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rPr>
              <w:t>团体人身意外伤害险</w:t>
            </w:r>
            <w:r>
              <w:rPr>
                <w:rFonts w:hint="eastAsia" w:asciiTheme="minorEastAsia" w:hAnsiTheme="minorEastAsia" w:eastAsiaTheme="minorEastAsia" w:cstheme="minorEastAsia"/>
                <w:color w:val="auto"/>
                <w:kern w:val="0"/>
                <w:szCs w:val="21"/>
                <w:lang w:val="en-US" w:eastAsia="zh-CN"/>
              </w:rPr>
              <w:t>3（按照实际人员数量投保）</w:t>
            </w:r>
          </w:p>
        </w:tc>
        <w:tc>
          <w:tcPr>
            <w:tcW w:w="2046" w:type="dxa"/>
            <w:vAlign w:val="center"/>
          </w:tcPr>
          <w:p>
            <w:pPr>
              <w:widowControl/>
              <w:jc w:val="center"/>
              <w:textAlignment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桐乡市濮晋人力资源管理有限公司</w:t>
            </w:r>
          </w:p>
        </w:tc>
        <w:tc>
          <w:tcPr>
            <w:tcW w:w="12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Cs w:val="21"/>
              </w:rPr>
            </w:pPr>
            <w:r>
              <w:rPr>
                <w:rFonts w:hint="eastAsia" w:ascii="宋体" w:hAnsi="宋体" w:eastAsia="宋体" w:cs="宋体"/>
                <w:i w:val="0"/>
                <w:iCs w:val="0"/>
                <w:color w:val="auto"/>
                <w:kern w:val="0"/>
                <w:sz w:val="22"/>
                <w:szCs w:val="22"/>
                <w:u w:val="none"/>
                <w:lang w:val="en-US" w:eastAsia="zh-CN" w:bidi="ar"/>
              </w:rPr>
              <w:t>2024.6.24</w:t>
            </w:r>
          </w:p>
        </w:tc>
        <w:tc>
          <w:tcPr>
            <w:tcW w:w="1927" w:type="dxa"/>
            <w:vAlign w:val="center"/>
          </w:tcPr>
          <w:p>
            <w:pPr>
              <w:widowControl/>
              <w:jc w:val="center"/>
              <w:textAlignment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170000</w:t>
            </w:r>
          </w:p>
        </w:tc>
        <w:tc>
          <w:tcPr>
            <w:tcW w:w="2361" w:type="dxa"/>
            <w:gridSpan w:val="2"/>
            <w:vAlign w:val="center"/>
          </w:tcPr>
          <w:p>
            <w:pPr>
              <w:widowControl/>
              <w:jc w:val="center"/>
              <w:textAlignment w:val="center"/>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lang w:val="en-US" w:eastAsia="zh-CN"/>
              </w:rPr>
              <w:t>对象为</w:t>
            </w:r>
            <w:r>
              <w:rPr>
                <w:rFonts w:hint="eastAsia" w:asciiTheme="minorEastAsia" w:hAnsiTheme="minorEastAsia" w:eastAsiaTheme="minorEastAsia" w:cstheme="minorEastAsia"/>
                <w:color w:val="auto"/>
                <w:kern w:val="0"/>
                <w:szCs w:val="21"/>
              </w:rPr>
              <w:t>专职网格员</w:t>
            </w:r>
            <w:r>
              <w:rPr>
                <w:rFonts w:hint="eastAsia" w:asciiTheme="minorEastAsia" w:hAnsiTheme="minorEastAsia" w:eastAsiaTheme="minorEastAsia" w:cstheme="minorEastAsia"/>
                <w:color w:val="auto"/>
                <w:kern w:val="0"/>
                <w:szCs w:val="21"/>
                <w:lang w:eastAsia="zh-CN"/>
              </w:rPr>
              <w:t>。</w:t>
            </w:r>
          </w:p>
          <w:p>
            <w:pPr>
              <w:widowControl/>
              <w:jc w:val="center"/>
              <w:textAlignment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rPr>
              <w:t>1、每人意外伤害保险的保险金额为</w:t>
            </w:r>
            <w:r>
              <w:rPr>
                <w:rFonts w:hint="eastAsia" w:asciiTheme="minorEastAsia" w:hAnsiTheme="minorEastAsia" w:eastAsiaTheme="minorEastAsia" w:cstheme="minorEastAsia"/>
                <w:color w:val="auto"/>
                <w:kern w:val="0"/>
                <w:szCs w:val="21"/>
                <w:lang w:val="en-US" w:eastAsia="zh-CN"/>
              </w:rPr>
              <w:t>2</w:t>
            </w:r>
            <w:r>
              <w:rPr>
                <w:rFonts w:hint="eastAsia" w:asciiTheme="minorEastAsia" w:hAnsiTheme="minorEastAsia" w:eastAsiaTheme="minorEastAsia" w:cstheme="minorEastAsia"/>
                <w:color w:val="auto"/>
                <w:kern w:val="0"/>
                <w:szCs w:val="21"/>
              </w:rPr>
              <w:t>0万元</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猝死保险金额5万</w:t>
            </w:r>
          </w:p>
          <w:p>
            <w:pPr>
              <w:widowControl/>
              <w:jc w:val="center"/>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2、每人意外伤害医疗保险的保险金额为5万元</w:t>
            </w:r>
          </w:p>
          <w:p>
            <w:pPr>
              <w:widowControl/>
              <w:jc w:val="center"/>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3、每人意外伤害住院津贴保险的保险金额为100 元/天（18000</w:t>
            </w:r>
            <w:r>
              <w:rPr>
                <w:rFonts w:hint="eastAsia" w:asciiTheme="minorEastAsia" w:hAnsiTheme="minorEastAsia" w:eastAsiaTheme="minorEastAsia" w:cstheme="minorEastAsia"/>
                <w:color w:val="auto"/>
                <w:kern w:val="0"/>
                <w:szCs w:val="21"/>
                <w:lang w:val="en-US" w:eastAsia="zh-CN"/>
              </w:rPr>
              <w:t>元</w:t>
            </w:r>
            <w:r>
              <w:rPr>
                <w:rFonts w:hint="eastAsia" w:asciiTheme="minorEastAsia" w:hAnsiTheme="minorEastAsia" w:eastAsiaTheme="minorEastAsia" w:cstheme="minorEastAsia"/>
                <w:color w:val="auto"/>
                <w:kern w:val="0"/>
                <w:szCs w:val="21"/>
              </w:rPr>
              <w:t>）</w:t>
            </w:r>
          </w:p>
          <w:p>
            <w:pPr>
              <w:pStyle w:val="38"/>
              <w:rPr>
                <w:rFonts w:hint="eastAsia"/>
                <w:color w:val="auto"/>
                <w:lang w:val="en-US" w:eastAsia="zh-CN"/>
              </w:rPr>
            </w:pPr>
          </w:p>
        </w:tc>
      </w:tr>
    </w:tbl>
    <w:p>
      <w:pPr>
        <w:pStyle w:val="38"/>
        <w:rPr>
          <w:color w:val="auto"/>
        </w:rPr>
      </w:pPr>
    </w:p>
    <w:p>
      <w:pPr>
        <w:pStyle w:val="38"/>
      </w:pPr>
    </w:p>
    <w:p>
      <w:pPr>
        <w:adjustRightInd w:val="0"/>
        <w:snapToGrid w:val="0"/>
        <w:spacing w:line="360" w:lineRule="auto"/>
        <w:rPr>
          <w:rFonts w:ascii="宋体" w:hAnsi="宋体"/>
          <w:b/>
          <w:szCs w:val="21"/>
        </w:rPr>
      </w:pPr>
      <w:r>
        <w:rPr>
          <w:rFonts w:hint="eastAsia" w:ascii="宋体" w:hAnsi="宋体"/>
          <w:b/>
          <w:szCs w:val="21"/>
        </w:rPr>
        <w:t>四、付款方式</w:t>
      </w:r>
    </w:p>
    <w:p>
      <w:pPr>
        <w:adjustRightInd w:val="0"/>
        <w:snapToGrid w:val="0"/>
        <w:spacing w:line="360" w:lineRule="auto"/>
        <w:ind w:firstLine="420" w:firstLineChars="200"/>
        <w:rPr>
          <w:rFonts w:ascii="宋体" w:hAnsi="宋体"/>
          <w:szCs w:val="21"/>
        </w:rPr>
      </w:pPr>
      <w:r>
        <w:rPr>
          <w:rFonts w:hint="eastAsia" w:ascii="宋体" w:hAnsi="宋体"/>
          <w:szCs w:val="21"/>
        </w:rPr>
        <w:t>根据各保险到期时间，由各投保公司与中标单位进行签约并支付保费。</w:t>
      </w: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spacing w:line="440" w:lineRule="exact"/>
        <w:rPr>
          <w:rFonts w:ascii="宋体" w:hAnsi="宋体"/>
          <w:kern w:val="0"/>
          <w:szCs w:val="21"/>
        </w:rPr>
      </w:pPr>
    </w:p>
    <w:p>
      <w:pPr>
        <w:pStyle w:val="38"/>
        <w:rPr>
          <w:rFonts w:ascii="宋体" w:hAnsi="宋体"/>
          <w:kern w:val="0"/>
          <w:szCs w:val="21"/>
        </w:rPr>
      </w:pPr>
    </w:p>
    <w:p>
      <w:pPr>
        <w:pStyle w:val="38"/>
        <w:rPr>
          <w:rFonts w:ascii="宋体" w:hAnsi="宋体"/>
          <w:kern w:val="0"/>
          <w:szCs w:val="21"/>
        </w:rPr>
      </w:pPr>
    </w:p>
    <w:p>
      <w:pPr>
        <w:pStyle w:val="38"/>
        <w:rPr>
          <w:rFonts w:ascii="宋体" w:hAnsi="宋体"/>
          <w:kern w:val="0"/>
          <w:szCs w:val="21"/>
        </w:rPr>
      </w:pPr>
    </w:p>
    <w:p>
      <w:pPr>
        <w:pStyle w:val="38"/>
        <w:rPr>
          <w:rFonts w:ascii="宋体" w:hAnsi="宋体"/>
          <w:kern w:val="0"/>
          <w:szCs w:val="21"/>
        </w:rPr>
      </w:pPr>
    </w:p>
    <w:p>
      <w:pPr>
        <w:pStyle w:val="38"/>
        <w:rPr>
          <w:rFonts w:ascii="宋体" w:hAnsi="宋体"/>
          <w:kern w:val="0"/>
          <w:szCs w:val="21"/>
        </w:rPr>
      </w:pPr>
    </w:p>
    <w:p>
      <w:pPr>
        <w:pStyle w:val="38"/>
        <w:rPr>
          <w:rFonts w:ascii="宋体" w:hAnsi="宋体"/>
          <w:kern w:val="0"/>
          <w:szCs w:val="21"/>
        </w:rPr>
      </w:pPr>
    </w:p>
    <w:p>
      <w:pPr>
        <w:pStyle w:val="38"/>
        <w:rPr>
          <w:rFonts w:ascii="宋体" w:hAnsi="宋体"/>
          <w:kern w:val="0"/>
          <w:szCs w:val="21"/>
        </w:rPr>
      </w:pPr>
    </w:p>
    <w:p>
      <w:pPr>
        <w:pStyle w:val="38"/>
        <w:rPr>
          <w:rFonts w:ascii="宋体" w:hAnsi="宋体"/>
          <w:kern w:val="0"/>
          <w:szCs w:val="21"/>
        </w:rPr>
      </w:pPr>
    </w:p>
    <w:p>
      <w:pPr>
        <w:pStyle w:val="38"/>
        <w:rPr>
          <w:rFonts w:ascii="宋体" w:hAnsi="宋体"/>
          <w:kern w:val="0"/>
          <w:szCs w:val="21"/>
        </w:rPr>
      </w:pPr>
    </w:p>
    <w:p>
      <w:pPr>
        <w:pStyle w:val="38"/>
        <w:rPr>
          <w:rFonts w:ascii="宋体" w:hAnsi="宋体"/>
          <w:kern w:val="0"/>
          <w:szCs w:val="21"/>
        </w:rPr>
      </w:pPr>
    </w:p>
    <w:p>
      <w:pPr>
        <w:pStyle w:val="38"/>
        <w:rPr>
          <w:rFonts w:ascii="宋体" w:hAnsi="宋体"/>
          <w:kern w:val="0"/>
          <w:szCs w:val="21"/>
        </w:rPr>
      </w:pPr>
    </w:p>
    <w:p>
      <w:pPr>
        <w:pStyle w:val="38"/>
        <w:rPr>
          <w:rFonts w:ascii="宋体" w:hAnsi="宋体"/>
          <w:kern w:val="0"/>
          <w:szCs w:val="21"/>
        </w:rPr>
      </w:pPr>
    </w:p>
    <w:p>
      <w:pPr>
        <w:pStyle w:val="38"/>
        <w:rPr>
          <w:rFonts w:ascii="宋体" w:hAnsi="宋体"/>
          <w:kern w:val="0"/>
          <w:szCs w:val="21"/>
        </w:rPr>
      </w:pPr>
    </w:p>
    <w:p>
      <w:pPr>
        <w:pStyle w:val="38"/>
        <w:rPr>
          <w:rFonts w:ascii="宋体" w:hAnsi="宋体"/>
          <w:kern w:val="0"/>
          <w:szCs w:val="21"/>
        </w:rPr>
      </w:pPr>
    </w:p>
    <w:p>
      <w:pPr>
        <w:pStyle w:val="38"/>
        <w:rPr>
          <w:rFonts w:ascii="宋体" w:hAnsi="宋体"/>
          <w:kern w:val="0"/>
          <w:szCs w:val="21"/>
        </w:rPr>
      </w:pPr>
    </w:p>
    <w:p>
      <w:pPr>
        <w:keepNext/>
        <w:keepLines/>
        <w:spacing w:before="260" w:after="260"/>
        <w:jc w:val="center"/>
        <w:outlineLvl w:val="1"/>
        <w:rPr>
          <w:rFonts w:hint="eastAsia" w:ascii="Cambria" w:hAnsi="Cambria"/>
          <w:b/>
          <w:bCs/>
          <w:sz w:val="32"/>
          <w:szCs w:val="32"/>
        </w:rPr>
      </w:pPr>
      <w:bookmarkStart w:id="37" w:name="_Toc509308130"/>
      <w:bookmarkStart w:id="38" w:name="_Toc119922183"/>
    </w:p>
    <w:p>
      <w:pPr>
        <w:pStyle w:val="38"/>
        <w:rPr>
          <w:rFonts w:hint="eastAsia"/>
        </w:rPr>
      </w:pPr>
    </w:p>
    <w:p>
      <w:pPr>
        <w:pStyle w:val="38"/>
        <w:rPr>
          <w:rFonts w:hint="eastAsia"/>
        </w:rPr>
      </w:pPr>
    </w:p>
    <w:p>
      <w:pPr>
        <w:bidi w:val="0"/>
        <w:rPr>
          <w:rFonts w:hint="eastAsia"/>
        </w:rPr>
      </w:pPr>
    </w:p>
    <w:p>
      <w:pPr>
        <w:keepNext/>
        <w:keepLines/>
        <w:spacing w:before="260" w:after="260"/>
        <w:ind w:firstLine="2891" w:firstLineChars="900"/>
        <w:jc w:val="both"/>
        <w:outlineLvl w:val="1"/>
        <w:rPr>
          <w:rFonts w:ascii="Cambria" w:hAnsi="Cambria"/>
          <w:b/>
          <w:bCs/>
          <w:sz w:val="32"/>
          <w:szCs w:val="32"/>
        </w:rPr>
      </w:pPr>
      <w:r>
        <w:rPr>
          <w:rFonts w:hint="eastAsia" w:ascii="Cambria" w:hAnsi="Cambria"/>
          <w:b/>
          <w:bCs/>
          <w:sz w:val="32"/>
          <w:szCs w:val="32"/>
        </w:rPr>
        <w:t>第三章  投标人须知</w:t>
      </w:r>
      <w:bookmarkEnd w:id="37"/>
      <w:bookmarkEnd w:id="38"/>
    </w:p>
    <w:p>
      <w:pPr>
        <w:snapToGrid w:val="0"/>
        <w:ind w:left="238"/>
        <w:jc w:val="center"/>
        <w:outlineLvl w:val="1"/>
        <w:rPr>
          <w:rFonts w:ascii="宋体" w:hAnsi="宋体"/>
          <w:b/>
          <w:sz w:val="24"/>
        </w:rPr>
      </w:pPr>
      <w:bookmarkStart w:id="39" w:name="_Toc509308051"/>
      <w:bookmarkStart w:id="40" w:name="_Toc488072174"/>
      <w:bookmarkStart w:id="41" w:name="_Toc488072261"/>
      <w:bookmarkStart w:id="42" w:name="_Toc119922184"/>
      <w:bookmarkStart w:id="43" w:name="_Toc509308131"/>
      <w:r>
        <w:rPr>
          <w:rFonts w:hint="eastAsia" w:ascii="宋体" w:hAnsi="宋体"/>
          <w:b/>
          <w:sz w:val="24"/>
        </w:rPr>
        <w:t>前附表</w:t>
      </w:r>
      <w:bookmarkEnd w:id="39"/>
      <w:bookmarkEnd w:id="40"/>
      <w:bookmarkEnd w:id="41"/>
      <w:bookmarkEnd w:id="42"/>
      <w:bookmarkEnd w:id="43"/>
    </w:p>
    <w:tbl>
      <w:tblPr>
        <w:tblStyle w:val="39"/>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0"/>
        <w:gridCol w:w="8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43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highlight w:val="none"/>
              </w:rPr>
            </w:pPr>
            <w:r>
              <w:rPr>
                <w:rFonts w:hint="eastAsia" w:ascii="宋体" w:hAnsi="宋体"/>
                <w:szCs w:val="21"/>
                <w:highlight w:val="none"/>
              </w:rPr>
              <w:t>序号</w:t>
            </w:r>
          </w:p>
        </w:tc>
        <w:tc>
          <w:tcPr>
            <w:tcW w:w="4563" w:type="pct"/>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highlight w:val="none"/>
              </w:rPr>
            </w:pPr>
            <w:r>
              <w:rPr>
                <w:rFonts w:hint="eastAsia" w:ascii="宋体" w:hAnsi="宋体"/>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436"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宋体" w:hAnsi="宋体"/>
                <w:szCs w:val="21"/>
                <w:highlight w:val="none"/>
              </w:rPr>
            </w:pPr>
            <w:r>
              <w:rPr>
                <w:rFonts w:ascii="宋体" w:hAnsi="宋体"/>
                <w:szCs w:val="21"/>
                <w:highlight w:val="none"/>
              </w:rPr>
              <w:t>1</w:t>
            </w:r>
          </w:p>
        </w:tc>
        <w:tc>
          <w:tcPr>
            <w:tcW w:w="4563"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ind w:left="1050" w:hanging="1050" w:hangingChars="500"/>
              <w:rPr>
                <w:rFonts w:hint="eastAsia" w:ascii="宋体" w:hAnsi="宋体" w:eastAsia="宋体"/>
                <w:szCs w:val="21"/>
                <w:highlight w:val="none"/>
                <w:lang w:eastAsia="zh-CN"/>
              </w:rPr>
            </w:pPr>
            <w:r>
              <w:rPr>
                <w:rFonts w:hint="eastAsia" w:ascii="宋体" w:hAnsi="宋体"/>
                <w:szCs w:val="21"/>
                <w:highlight w:val="none"/>
              </w:rPr>
              <w:t>项目名称：</w:t>
            </w:r>
            <w:r>
              <w:rPr>
                <w:rFonts w:hint="eastAsia" w:ascii="宋体" w:hAnsi="宋体" w:cs="Arial"/>
                <w:bCs/>
                <w:szCs w:val="21"/>
                <w:highlight w:val="none"/>
                <w:lang w:eastAsia="zh-CN"/>
              </w:rPr>
              <w:t>桐乡市濮院时尚产业发展集团有限公司及下属公司保险集中招标项目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436"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宋体" w:hAnsi="宋体"/>
                <w:szCs w:val="21"/>
                <w:highlight w:val="none"/>
              </w:rPr>
            </w:pPr>
            <w:r>
              <w:rPr>
                <w:rFonts w:hint="eastAsia" w:ascii="宋体" w:hAnsi="宋体"/>
                <w:szCs w:val="21"/>
                <w:highlight w:val="none"/>
              </w:rPr>
              <w:t>2</w:t>
            </w:r>
          </w:p>
        </w:tc>
        <w:tc>
          <w:tcPr>
            <w:tcW w:w="4563"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rPr>
                <w:rFonts w:ascii="宋体" w:hAnsi="宋体"/>
                <w:color w:val="auto"/>
                <w:szCs w:val="21"/>
                <w:highlight w:val="none"/>
              </w:rPr>
            </w:pPr>
            <w:r>
              <w:rPr>
                <w:rFonts w:hint="eastAsia" w:ascii="宋体" w:hAnsi="宋体"/>
                <w:color w:val="auto"/>
                <w:szCs w:val="21"/>
                <w:highlight w:val="none"/>
              </w:rPr>
              <w:t xml:space="preserve">投标报价及费用：1.本项目投标应以人民币报价；2.不论投标结果如何，投标人均应自行承担所有与投标有关的全部费用；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436"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宋体" w:hAnsi="宋体"/>
                <w:szCs w:val="21"/>
                <w:highlight w:val="none"/>
              </w:rPr>
            </w:pPr>
            <w:r>
              <w:rPr>
                <w:rFonts w:hint="eastAsia" w:ascii="宋体" w:hAnsi="宋体"/>
                <w:szCs w:val="21"/>
                <w:highlight w:val="none"/>
              </w:rPr>
              <w:t>3</w:t>
            </w:r>
          </w:p>
        </w:tc>
        <w:tc>
          <w:tcPr>
            <w:tcW w:w="4563"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rPr>
                <w:rFonts w:ascii="宋体" w:hAnsi="宋体"/>
                <w:color w:val="auto"/>
                <w:szCs w:val="21"/>
                <w:highlight w:val="none"/>
              </w:rPr>
            </w:pPr>
            <w:r>
              <w:rPr>
                <w:rFonts w:hint="eastAsia" w:ascii="宋体" w:hAnsi="宋体"/>
                <w:b/>
                <w:color w:val="auto"/>
                <w:szCs w:val="21"/>
                <w:highlight w:val="none"/>
              </w:rPr>
              <w:t>标项一最高投标限价：</w:t>
            </w:r>
            <w:r>
              <w:rPr>
                <w:rFonts w:hint="eastAsia" w:ascii="宋体" w:hAnsi="宋体"/>
                <w:b/>
                <w:color w:val="auto"/>
                <w:szCs w:val="21"/>
                <w:highlight w:val="none"/>
                <w:lang w:val="en-US" w:eastAsia="zh-CN"/>
              </w:rPr>
              <w:t>50</w:t>
            </w:r>
            <w:r>
              <w:rPr>
                <w:rFonts w:hint="eastAsia" w:ascii="宋体" w:hAnsi="宋体"/>
                <w:b/>
                <w:color w:val="auto"/>
                <w:szCs w:val="21"/>
                <w:highlight w:val="none"/>
              </w:rPr>
              <w:t>万元；标项二最高投标限价：</w:t>
            </w:r>
            <w:r>
              <w:rPr>
                <w:rFonts w:hint="eastAsia" w:ascii="宋体" w:hAnsi="宋体"/>
                <w:b/>
                <w:color w:val="auto"/>
                <w:szCs w:val="21"/>
                <w:highlight w:val="none"/>
                <w:lang w:val="en-US" w:eastAsia="zh-CN"/>
              </w:rPr>
              <w:t>50</w:t>
            </w:r>
            <w:r>
              <w:rPr>
                <w:rFonts w:hint="eastAsia" w:ascii="宋体" w:hAnsi="宋体"/>
                <w:b/>
                <w:color w:val="auto"/>
                <w:szCs w:val="21"/>
                <w:highlight w:val="none"/>
              </w:rPr>
              <w:t>万元，超过最高投标限价的投标文件无效。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436"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宋体" w:hAnsi="宋体"/>
                <w:szCs w:val="21"/>
                <w:highlight w:val="none"/>
              </w:rPr>
            </w:pPr>
            <w:r>
              <w:rPr>
                <w:rFonts w:hint="eastAsia" w:ascii="宋体" w:hAnsi="宋体"/>
                <w:szCs w:val="21"/>
                <w:highlight w:val="none"/>
              </w:rPr>
              <w:t>4</w:t>
            </w:r>
          </w:p>
        </w:tc>
        <w:tc>
          <w:tcPr>
            <w:tcW w:w="4563"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rPr>
                <w:rFonts w:ascii="宋体" w:hAnsi="宋体"/>
                <w:color w:val="auto"/>
                <w:szCs w:val="21"/>
                <w:highlight w:val="none"/>
              </w:rPr>
            </w:pPr>
            <w:r>
              <w:rPr>
                <w:rFonts w:hint="eastAsia" w:ascii="宋体" w:hAnsi="宋体"/>
                <w:color w:val="auto"/>
                <w:szCs w:val="21"/>
                <w:highlight w:val="none"/>
              </w:rPr>
              <w:t>现场踏勘：自行踏勘（费用自理）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436"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宋体" w:hAnsi="宋体"/>
                <w:szCs w:val="21"/>
                <w:highlight w:val="none"/>
              </w:rPr>
            </w:pPr>
            <w:r>
              <w:rPr>
                <w:rFonts w:hint="eastAsia" w:ascii="宋体" w:hAnsi="宋体"/>
                <w:szCs w:val="21"/>
                <w:highlight w:val="none"/>
              </w:rPr>
              <w:t>5</w:t>
            </w:r>
          </w:p>
        </w:tc>
        <w:tc>
          <w:tcPr>
            <w:tcW w:w="456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40" w:lineRule="exact"/>
              <w:textAlignment w:val="bottom"/>
              <w:rPr>
                <w:rFonts w:ascii="宋体" w:hAnsi="宋体"/>
                <w:color w:val="auto"/>
                <w:szCs w:val="21"/>
                <w:highlight w:val="none"/>
              </w:rPr>
            </w:pPr>
            <w:r>
              <w:rPr>
                <w:rFonts w:hint="eastAsia" w:ascii="宋体" w:hAnsi="宋体"/>
                <w:color w:val="auto"/>
                <w:szCs w:val="21"/>
                <w:highlight w:val="none"/>
              </w:rPr>
              <w:t>投标文件组成：</w:t>
            </w:r>
            <w:r>
              <w:rPr>
                <w:rFonts w:hint="eastAsia" w:ascii="宋体" w:hAnsi="宋体"/>
                <w:color w:val="auto"/>
                <w:szCs w:val="21"/>
                <w:highlight w:val="none"/>
                <w:lang w:val="en-US" w:eastAsia="zh-CN"/>
              </w:rPr>
              <w:t>一标项</w:t>
            </w:r>
            <w:r>
              <w:rPr>
                <w:rFonts w:hint="eastAsia" w:ascii="宋体" w:hAnsi="宋体"/>
                <w:color w:val="auto"/>
                <w:szCs w:val="21"/>
                <w:highlight w:val="none"/>
              </w:rPr>
              <w:t>资格文件、</w:t>
            </w:r>
            <w:r>
              <w:rPr>
                <w:rFonts w:hint="eastAsia" w:ascii="宋体" w:hAnsi="宋体"/>
                <w:color w:val="auto"/>
                <w:szCs w:val="21"/>
                <w:highlight w:val="none"/>
                <w:lang w:val="en-US" w:eastAsia="zh-CN"/>
              </w:rPr>
              <w:t>二标项资格文件、一标项</w:t>
            </w:r>
            <w:r>
              <w:rPr>
                <w:rFonts w:hint="eastAsia" w:ascii="宋体" w:hAnsi="宋体"/>
                <w:color w:val="auto"/>
                <w:szCs w:val="21"/>
                <w:highlight w:val="none"/>
              </w:rPr>
              <w:t>技术商务文件、</w:t>
            </w:r>
            <w:r>
              <w:rPr>
                <w:rFonts w:hint="eastAsia" w:ascii="宋体" w:hAnsi="宋体"/>
                <w:color w:val="auto"/>
                <w:szCs w:val="21"/>
                <w:highlight w:val="none"/>
                <w:lang w:val="en-US" w:eastAsia="zh-CN"/>
              </w:rPr>
              <w:t>二标项技术商务文件、</w:t>
            </w:r>
            <w:r>
              <w:rPr>
                <w:rFonts w:hint="eastAsia" w:ascii="宋体" w:hAnsi="宋体"/>
                <w:color w:val="auto"/>
                <w:szCs w:val="21"/>
                <w:highlight w:val="none"/>
              </w:rPr>
              <w:t>一标项报价文件、二标项报价文件，正本各 1 份；副本各 2 份。</w:t>
            </w:r>
          </w:p>
          <w:p>
            <w:pPr>
              <w:autoSpaceDE w:val="0"/>
              <w:autoSpaceDN w:val="0"/>
              <w:snapToGrid w:val="0"/>
              <w:spacing w:line="340" w:lineRule="exact"/>
              <w:textAlignment w:val="bottom"/>
              <w:rPr>
                <w:rFonts w:ascii="宋体" w:hAnsi="宋体"/>
                <w:color w:val="auto"/>
                <w:szCs w:val="21"/>
                <w:highlight w:val="none"/>
              </w:rPr>
            </w:pPr>
            <w:r>
              <w:rPr>
                <w:rFonts w:hint="eastAsia"/>
                <w:b/>
                <w:color w:val="auto"/>
                <w:highlight w:val="none"/>
              </w:rPr>
              <w:t>注：</w:t>
            </w:r>
            <w:r>
              <w:rPr>
                <w:rFonts w:hint="eastAsia" w:ascii="宋体" w:hAnsi="宋体" w:cs="Arial"/>
                <w:b/>
                <w:color w:val="auto"/>
                <w:szCs w:val="21"/>
                <w:highlight w:val="none"/>
              </w:rPr>
              <w:t>资格文件、技术商务文件</w:t>
            </w:r>
            <w:r>
              <w:rPr>
                <w:rFonts w:hint="eastAsia" w:ascii="宋体" w:hAnsi="宋体" w:cs="Arial"/>
                <w:b/>
                <w:color w:val="auto"/>
                <w:szCs w:val="21"/>
                <w:highlight w:val="none"/>
                <w:lang w:val="en-US" w:eastAsia="zh-CN"/>
              </w:rPr>
              <w:t>、</w:t>
            </w:r>
            <w:r>
              <w:rPr>
                <w:rFonts w:hint="eastAsia" w:ascii="宋体" w:hAnsi="宋体" w:cs="Arial"/>
                <w:b/>
                <w:color w:val="auto"/>
                <w:szCs w:val="21"/>
                <w:highlight w:val="none"/>
              </w:rPr>
              <w:t>报价文件</w:t>
            </w:r>
            <w:r>
              <w:rPr>
                <w:rFonts w:hint="eastAsia" w:ascii="宋体" w:hAnsi="宋体" w:cs="Arial"/>
                <w:b/>
                <w:color w:val="auto"/>
                <w:szCs w:val="21"/>
                <w:highlight w:val="none"/>
                <w:lang w:val="en-US" w:eastAsia="zh-CN"/>
              </w:rPr>
              <w:t>两</w:t>
            </w:r>
            <w:r>
              <w:rPr>
                <w:rFonts w:hint="eastAsia" w:ascii="宋体" w:hAnsi="宋体" w:cs="Arial"/>
                <w:b/>
                <w:color w:val="auto"/>
                <w:szCs w:val="21"/>
                <w:highlight w:val="none"/>
              </w:rPr>
              <w:t>个标项</w:t>
            </w:r>
            <w:r>
              <w:rPr>
                <w:rFonts w:hint="eastAsia" w:ascii="宋体" w:hAnsi="宋体" w:cs="Arial"/>
                <w:b/>
                <w:color w:val="auto"/>
                <w:szCs w:val="21"/>
                <w:highlight w:val="none"/>
                <w:lang w:val="en-US" w:eastAsia="zh-CN"/>
              </w:rPr>
              <w:t>均需</w:t>
            </w:r>
            <w:r>
              <w:rPr>
                <w:rFonts w:hint="eastAsia" w:ascii="宋体" w:hAnsi="宋体" w:cs="Arial"/>
                <w:b/>
                <w:color w:val="auto"/>
                <w:szCs w:val="21"/>
                <w:highlight w:val="none"/>
              </w:rPr>
              <w:t>分别制作</w:t>
            </w:r>
            <w:r>
              <w:rPr>
                <w:rFonts w:hint="eastAsia" w:ascii="宋体" w:hAnsi="宋体" w:cs="Arial"/>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436"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宋体" w:hAnsi="宋体"/>
                <w:szCs w:val="21"/>
                <w:highlight w:val="none"/>
              </w:rPr>
            </w:pPr>
            <w:r>
              <w:rPr>
                <w:rFonts w:hint="eastAsia" w:ascii="宋体" w:hAnsi="宋体"/>
                <w:szCs w:val="21"/>
                <w:highlight w:val="none"/>
              </w:rPr>
              <w:t>6</w:t>
            </w:r>
          </w:p>
        </w:tc>
        <w:tc>
          <w:tcPr>
            <w:tcW w:w="456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40" w:lineRule="exact"/>
              <w:textAlignment w:val="bottom"/>
              <w:rPr>
                <w:rFonts w:ascii="宋体" w:hAnsi="宋体"/>
                <w:color w:val="auto"/>
                <w:szCs w:val="21"/>
                <w:highlight w:val="none"/>
              </w:rPr>
            </w:pPr>
            <w:r>
              <w:rPr>
                <w:rFonts w:hint="eastAsia" w:ascii="宋体" w:hAnsi="宋体"/>
                <w:color w:val="auto"/>
                <w:szCs w:val="21"/>
                <w:highlight w:val="none"/>
              </w:rPr>
              <w:t>服务期限：</w:t>
            </w:r>
            <w:r>
              <w:rPr>
                <w:rFonts w:hint="eastAsia"/>
                <w:color w:val="auto"/>
                <w:szCs w:val="21"/>
                <w:highlight w:val="none"/>
              </w:rPr>
              <w:t>保单生效之日起一年，并可根据招标人要求对财产险、责任险、意外伤害险等可延期的险种进行延保，将上述各类保险的时间统一至2025年12月31日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436"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宋体" w:hAnsi="宋体"/>
                <w:szCs w:val="21"/>
                <w:highlight w:val="none"/>
              </w:rPr>
            </w:pPr>
            <w:r>
              <w:rPr>
                <w:rFonts w:hint="eastAsia" w:ascii="宋体" w:hAnsi="宋体"/>
                <w:szCs w:val="21"/>
                <w:highlight w:val="none"/>
              </w:rPr>
              <w:t>6</w:t>
            </w:r>
          </w:p>
        </w:tc>
        <w:tc>
          <w:tcPr>
            <w:tcW w:w="4563"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rPr>
                <w:rFonts w:ascii="宋体" w:hAnsi="宋体"/>
                <w:color w:val="auto"/>
                <w:szCs w:val="21"/>
                <w:highlight w:val="none"/>
              </w:rPr>
            </w:pPr>
            <w:r>
              <w:rPr>
                <w:rFonts w:hint="eastAsia" w:ascii="宋体" w:hAnsi="宋体"/>
                <w:color w:val="auto"/>
                <w:szCs w:val="21"/>
                <w:highlight w:val="none"/>
              </w:rPr>
              <w:t>投标截止时间及地点：</w:t>
            </w:r>
            <w:r>
              <w:rPr>
                <w:rFonts w:hint="eastAsia" w:ascii="宋体" w:hAnsi="宋体"/>
                <w:b/>
                <w:color w:val="auto"/>
                <w:szCs w:val="21"/>
                <w:highlight w:val="none"/>
              </w:rPr>
              <w:t>202</w:t>
            </w:r>
            <w:r>
              <w:rPr>
                <w:rFonts w:hint="eastAsia" w:ascii="宋体" w:hAnsi="宋体"/>
                <w:b/>
                <w:color w:val="auto"/>
                <w:szCs w:val="21"/>
                <w:highlight w:val="none"/>
                <w:lang w:val="en-US" w:eastAsia="zh-CN"/>
              </w:rPr>
              <w:t>4</w:t>
            </w:r>
            <w:r>
              <w:rPr>
                <w:rFonts w:hint="eastAsia" w:ascii="宋体" w:hAnsi="宋体"/>
                <w:b/>
                <w:color w:val="auto"/>
                <w:szCs w:val="21"/>
                <w:highlight w:val="none"/>
              </w:rPr>
              <w:t>年</w:t>
            </w:r>
            <w:r>
              <w:rPr>
                <w:rFonts w:hint="eastAsia" w:ascii="宋体" w:hAnsi="宋体"/>
                <w:b/>
                <w:color w:val="auto"/>
                <w:szCs w:val="21"/>
                <w:highlight w:val="none"/>
                <w:lang w:val="en-US" w:eastAsia="zh-CN"/>
              </w:rPr>
              <w:t>6</w:t>
            </w:r>
            <w:r>
              <w:rPr>
                <w:rFonts w:hint="eastAsia" w:ascii="宋体" w:hAnsi="宋体"/>
                <w:b/>
                <w:color w:val="auto"/>
                <w:szCs w:val="21"/>
                <w:highlight w:val="none"/>
              </w:rPr>
              <w:t>月</w:t>
            </w:r>
            <w:r>
              <w:rPr>
                <w:rFonts w:hint="eastAsia" w:ascii="宋体" w:hAnsi="宋体"/>
                <w:b/>
                <w:color w:val="auto"/>
                <w:szCs w:val="21"/>
                <w:highlight w:val="none"/>
                <w:lang w:val="en-US" w:eastAsia="zh-CN"/>
              </w:rPr>
              <w:t>21</w:t>
            </w:r>
            <w:r>
              <w:rPr>
                <w:rFonts w:hint="eastAsia" w:ascii="宋体" w:hAnsi="宋体"/>
                <w:b/>
                <w:color w:val="auto"/>
                <w:szCs w:val="21"/>
                <w:highlight w:val="none"/>
              </w:rPr>
              <w:t>日</w:t>
            </w:r>
            <w:r>
              <w:rPr>
                <w:rFonts w:hint="eastAsia" w:ascii="宋体" w:hAnsi="宋体"/>
                <w:b/>
                <w:color w:val="auto"/>
                <w:szCs w:val="21"/>
                <w:highlight w:val="none"/>
                <w:lang w:val="en-US" w:eastAsia="zh-CN"/>
              </w:rPr>
              <w:t>14</w:t>
            </w:r>
            <w:r>
              <w:rPr>
                <w:rFonts w:hint="eastAsia" w:ascii="宋体" w:hAnsi="宋体"/>
                <w:b/>
                <w:color w:val="auto"/>
                <w:szCs w:val="21"/>
                <w:highlight w:val="none"/>
              </w:rPr>
              <w:t xml:space="preserve">点00分  </w:t>
            </w:r>
          </w:p>
          <w:p>
            <w:pPr>
              <w:snapToGrid w:val="0"/>
              <w:spacing w:line="340" w:lineRule="exact"/>
              <w:rPr>
                <w:rFonts w:ascii="宋体" w:hAnsi="宋体"/>
                <w:color w:val="auto"/>
                <w:szCs w:val="21"/>
                <w:highlight w:val="none"/>
              </w:rPr>
            </w:pPr>
            <w:r>
              <w:rPr>
                <w:rFonts w:hint="eastAsia" w:ascii="宋体" w:hAnsi="宋体"/>
                <w:b/>
                <w:bCs/>
                <w:color w:val="auto"/>
                <w:szCs w:val="21"/>
                <w:highlight w:val="none"/>
              </w:rPr>
              <w:t>濮院市民中心1号馆二楼开标室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436"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宋体" w:hAnsi="宋体"/>
                <w:szCs w:val="21"/>
                <w:highlight w:val="none"/>
              </w:rPr>
            </w:pPr>
            <w:r>
              <w:rPr>
                <w:rFonts w:hint="eastAsia" w:ascii="宋体" w:hAnsi="宋体"/>
                <w:szCs w:val="21"/>
                <w:highlight w:val="none"/>
              </w:rPr>
              <w:t>7</w:t>
            </w:r>
          </w:p>
        </w:tc>
        <w:tc>
          <w:tcPr>
            <w:tcW w:w="4563"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rPr>
                <w:rFonts w:ascii="宋体" w:hAnsi="宋体"/>
                <w:color w:val="auto"/>
                <w:szCs w:val="21"/>
                <w:highlight w:val="none"/>
              </w:rPr>
            </w:pPr>
            <w:r>
              <w:rPr>
                <w:rFonts w:hint="eastAsia" w:ascii="宋体" w:hAnsi="宋体"/>
                <w:color w:val="auto"/>
                <w:szCs w:val="21"/>
                <w:highlight w:val="none"/>
              </w:rPr>
              <w:t>开标时间及地点：</w:t>
            </w:r>
            <w:r>
              <w:rPr>
                <w:rFonts w:hint="eastAsia" w:ascii="宋体" w:hAnsi="宋体"/>
                <w:b/>
                <w:color w:val="auto"/>
                <w:szCs w:val="21"/>
                <w:highlight w:val="none"/>
              </w:rPr>
              <w:t>202</w:t>
            </w:r>
            <w:r>
              <w:rPr>
                <w:rFonts w:hint="eastAsia" w:ascii="宋体" w:hAnsi="宋体"/>
                <w:b/>
                <w:color w:val="auto"/>
                <w:szCs w:val="21"/>
                <w:highlight w:val="none"/>
                <w:lang w:val="en-US" w:eastAsia="zh-CN"/>
              </w:rPr>
              <w:t>4</w:t>
            </w:r>
            <w:r>
              <w:rPr>
                <w:rFonts w:hint="eastAsia" w:ascii="宋体" w:hAnsi="宋体"/>
                <w:b/>
                <w:color w:val="auto"/>
                <w:szCs w:val="21"/>
                <w:highlight w:val="none"/>
              </w:rPr>
              <w:t>年</w:t>
            </w:r>
            <w:r>
              <w:rPr>
                <w:rFonts w:hint="eastAsia" w:ascii="宋体" w:hAnsi="宋体"/>
                <w:b/>
                <w:color w:val="auto"/>
                <w:szCs w:val="21"/>
                <w:highlight w:val="none"/>
                <w:lang w:val="en-US" w:eastAsia="zh-CN"/>
              </w:rPr>
              <w:t>6</w:t>
            </w:r>
            <w:r>
              <w:rPr>
                <w:rFonts w:hint="eastAsia" w:ascii="宋体" w:hAnsi="宋体"/>
                <w:b/>
                <w:color w:val="auto"/>
                <w:szCs w:val="21"/>
                <w:highlight w:val="none"/>
              </w:rPr>
              <w:t>月</w:t>
            </w:r>
            <w:r>
              <w:rPr>
                <w:rFonts w:hint="eastAsia" w:ascii="宋体" w:hAnsi="宋体"/>
                <w:b/>
                <w:color w:val="auto"/>
                <w:szCs w:val="21"/>
                <w:highlight w:val="none"/>
                <w:lang w:val="en-US" w:eastAsia="zh-CN"/>
              </w:rPr>
              <w:t>21</w:t>
            </w:r>
            <w:r>
              <w:rPr>
                <w:rFonts w:hint="eastAsia" w:ascii="宋体" w:hAnsi="宋体"/>
                <w:b/>
                <w:color w:val="auto"/>
                <w:szCs w:val="21"/>
                <w:highlight w:val="none"/>
              </w:rPr>
              <w:t>日</w:t>
            </w:r>
            <w:r>
              <w:rPr>
                <w:rFonts w:hint="eastAsia" w:ascii="宋体" w:hAnsi="宋体"/>
                <w:b/>
                <w:color w:val="auto"/>
                <w:szCs w:val="21"/>
                <w:highlight w:val="none"/>
                <w:lang w:val="en-US" w:eastAsia="zh-CN"/>
              </w:rPr>
              <w:t>14</w:t>
            </w:r>
            <w:r>
              <w:rPr>
                <w:rFonts w:hint="eastAsia" w:ascii="宋体" w:hAnsi="宋体"/>
                <w:b/>
                <w:color w:val="auto"/>
                <w:szCs w:val="21"/>
                <w:highlight w:val="none"/>
              </w:rPr>
              <w:t xml:space="preserve">点00分      </w:t>
            </w:r>
          </w:p>
          <w:p>
            <w:pPr>
              <w:snapToGrid w:val="0"/>
              <w:spacing w:line="340" w:lineRule="exact"/>
              <w:rPr>
                <w:rFonts w:ascii="宋体" w:hAnsi="宋体"/>
                <w:color w:val="auto"/>
                <w:szCs w:val="21"/>
                <w:highlight w:val="none"/>
              </w:rPr>
            </w:pPr>
            <w:r>
              <w:rPr>
                <w:rFonts w:hint="eastAsia" w:ascii="宋体" w:hAnsi="宋体"/>
                <w:b/>
                <w:bCs/>
                <w:color w:val="auto"/>
                <w:szCs w:val="21"/>
                <w:highlight w:val="none"/>
              </w:rPr>
              <w:t>濮院市民中心1号馆二楼开标室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436"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宋体" w:hAnsi="宋体"/>
                <w:szCs w:val="21"/>
                <w:highlight w:val="none"/>
              </w:rPr>
            </w:pPr>
            <w:r>
              <w:rPr>
                <w:rFonts w:hint="eastAsia" w:ascii="宋体" w:hAnsi="宋体"/>
                <w:szCs w:val="21"/>
                <w:highlight w:val="none"/>
              </w:rPr>
              <w:t>8</w:t>
            </w:r>
          </w:p>
        </w:tc>
        <w:tc>
          <w:tcPr>
            <w:tcW w:w="4563"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rPr>
                <w:rFonts w:ascii="宋体" w:hAnsi="宋体"/>
                <w:color w:val="auto"/>
                <w:szCs w:val="21"/>
                <w:highlight w:val="none"/>
              </w:rPr>
            </w:pPr>
            <w:r>
              <w:rPr>
                <w:rFonts w:hint="eastAsia" w:ascii="宋体" w:hAnsi="宋体"/>
                <w:color w:val="auto"/>
                <w:szCs w:val="21"/>
                <w:highlight w:val="none"/>
              </w:rPr>
              <w:t>评标办法及评分标准：详见第四章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436"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hint="eastAsia" w:ascii="宋体" w:hAnsi="宋体" w:eastAsia="宋体"/>
                <w:szCs w:val="21"/>
                <w:highlight w:val="none"/>
                <w:lang w:eastAsia="zh-CN"/>
              </w:rPr>
            </w:pPr>
            <w:r>
              <w:rPr>
                <w:rFonts w:hint="eastAsia" w:ascii="宋体" w:hAnsi="宋体"/>
                <w:szCs w:val="21"/>
                <w:highlight w:val="none"/>
                <w:lang w:val="en-US" w:eastAsia="zh-CN"/>
              </w:rPr>
              <w:t>9</w:t>
            </w:r>
          </w:p>
        </w:tc>
        <w:tc>
          <w:tcPr>
            <w:tcW w:w="456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40" w:lineRule="exact"/>
              <w:textAlignment w:val="bottom"/>
              <w:rPr>
                <w:rFonts w:ascii="宋体" w:hAnsi="宋体"/>
                <w:szCs w:val="21"/>
                <w:highlight w:val="none"/>
              </w:rPr>
            </w:pPr>
            <w:r>
              <w:rPr>
                <w:rFonts w:hint="eastAsia" w:ascii="宋体" w:hAnsi="宋体"/>
                <w:szCs w:val="21"/>
                <w:highlight w:val="none"/>
              </w:rPr>
              <w:t>中标公告及中标通知书：中标公告发布于上述媒体，中标公告期限为1个工作日。在公告中标结果的同时，代理机构向中标人发出中标通知书。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36"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10</w:t>
            </w:r>
          </w:p>
        </w:tc>
        <w:tc>
          <w:tcPr>
            <w:tcW w:w="456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40" w:lineRule="exact"/>
              <w:textAlignment w:val="bottom"/>
              <w:rPr>
                <w:rFonts w:ascii="宋体" w:hAnsi="宋体"/>
                <w:szCs w:val="21"/>
                <w:highlight w:val="none"/>
              </w:rPr>
            </w:pPr>
            <w:r>
              <w:rPr>
                <w:rFonts w:hint="eastAsia" w:ascii="宋体" w:hAnsi="宋体"/>
                <w:szCs w:val="21"/>
                <w:highlight w:val="none"/>
              </w:rPr>
              <w:t>履约保证金</w:t>
            </w:r>
            <w:r>
              <w:rPr>
                <w:rFonts w:ascii="宋体" w:hAnsi="宋体"/>
                <w:szCs w:val="21"/>
                <w:highlight w:val="none"/>
              </w:rPr>
              <w:t>:</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36"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11</w:t>
            </w:r>
          </w:p>
        </w:tc>
        <w:tc>
          <w:tcPr>
            <w:tcW w:w="456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40" w:lineRule="exact"/>
              <w:textAlignment w:val="bottom"/>
              <w:rPr>
                <w:rFonts w:ascii="宋体" w:hAnsi="宋体"/>
                <w:szCs w:val="21"/>
                <w:highlight w:val="none"/>
              </w:rPr>
            </w:pPr>
            <w:r>
              <w:rPr>
                <w:rFonts w:hint="eastAsia" w:ascii="宋体" w:hAnsi="宋体"/>
                <w:szCs w:val="21"/>
                <w:highlight w:val="none"/>
              </w:rPr>
              <w:t>签订合同时间：中标通知书发出后30日内。建议采购人在对采购结果质疑期（自采购结果公告之日起七个工作日）后与中标人签订采购合同。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436"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12</w:t>
            </w:r>
          </w:p>
        </w:tc>
        <w:tc>
          <w:tcPr>
            <w:tcW w:w="4563"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rPr>
                <w:rFonts w:ascii="宋体" w:hAnsi="宋体"/>
                <w:szCs w:val="21"/>
                <w:highlight w:val="none"/>
              </w:rPr>
            </w:pPr>
            <w:r>
              <w:rPr>
                <w:rFonts w:hint="eastAsia" w:ascii="宋体" w:hAnsi="宋体"/>
                <w:szCs w:val="21"/>
                <w:highlight w:val="none"/>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436"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13</w:t>
            </w:r>
          </w:p>
        </w:tc>
        <w:tc>
          <w:tcPr>
            <w:tcW w:w="4563"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rPr>
                <w:rFonts w:ascii="宋体" w:hAnsi="宋体"/>
                <w:szCs w:val="21"/>
                <w:highlight w:val="none"/>
              </w:rPr>
            </w:pPr>
            <w:r>
              <w:rPr>
                <w:rFonts w:hint="eastAsia" w:ascii="宋体" w:hAnsi="宋体"/>
                <w:szCs w:val="21"/>
                <w:highlight w:val="none"/>
              </w:rPr>
              <w:t>解释：本招标文件的解释权属于采购人和招标代理单位。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436"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hint="default" w:ascii="宋体" w:hAnsi="宋体" w:eastAsia="宋体"/>
                <w:szCs w:val="21"/>
                <w:highlight w:val="none"/>
                <w:lang w:val="en-US" w:eastAsia="zh-CN"/>
              </w:rPr>
            </w:pPr>
            <w:bookmarkStart w:id="44" w:name="_Toc509308052"/>
            <w:bookmarkStart w:id="45" w:name="_Toc509308132"/>
            <w:bookmarkStart w:id="46" w:name="_Toc488072175"/>
            <w:bookmarkStart w:id="47" w:name="_Toc488072262"/>
            <w:r>
              <w:rPr>
                <w:rFonts w:hint="eastAsia" w:ascii="宋体" w:hAnsi="宋体"/>
                <w:szCs w:val="21"/>
                <w:highlight w:val="none"/>
                <w:lang w:val="en-US" w:eastAsia="zh-CN"/>
              </w:rPr>
              <w:t>14</w:t>
            </w:r>
          </w:p>
        </w:tc>
        <w:tc>
          <w:tcPr>
            <w:tcW w:w="4563"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rPr>
                <w:rFonts w:hint="eastAsia" w:ascii="宋体" w:hAnsi="宋体"/>
                <w:szCs w:val="21"/>
                <w:highlight w:val="none"/>
              </w:rPr>
            </w:pPr>
            <w:r>
              <w:rPr>
                <w:rFonts w:hint="eastAsia" w:ascii="宋体" w:hAnsi="宋体"/>
                <w:szCs w:val="21"/>
                <w:highlight w:val="none"/>
              </w:rPr>
              <w:t>本项目开标时先开标项一，标项一的中标候选人将自动退出标项二的竞标。</w:t>
            </w:r>
          </w:p>
        </w:tc>
      </w:tr>
    </w:tbl>
    <w:p>
      <w:pPr>
        <w:spacing w:line="360" w:lineRule="auto"/>
        <w:jc w:val="center"/>
        <w:rPr>
          <w:rFonts w:ascii="宋体" w:hAnsi="宋体"/>
        </w:rPr>
      </w:pPr>
    </w:p>
    <w:p>
      <w:pPr>
        <w:pStyle w:val="37"/>
        <w:rPr>
          <w:rFonts w:ascii="宋体" w:hAnsi="宋体"/>
          <w:b/>
          <w:szCs w:val="21"/>
        </w:rPr>
      </w:pPr>
    </w:p>
    <w:p>
      <w:pPr>
        <w:pStyle w:val="37"/>
        <w:rPr>
          <w:rFonts w:ascii="宋体" w:hAnsi="宋体"/>
          <w:b/>
          <w:szCs w:val="21"/>
        </w:rPr>
      </w:pPr>
    </w:p>
    <w:p>
      <w:pPr>
        <w:pStyle w:val="37"/>
        <w:rPr>
          <w:rFonts w:ascii="宋体" w:hAnsi="宋体"/>
          <w:b/>
          <w:szCs w:val="21"/>
        </w:rPr>
      </w:pPr>
    </w:p>
    <w:p>
      <w:pPr>
        <w:pStyle w:val="37"/>
        <w:rPr>
          <w:rFonts w:ascii="宋体" w:hAnsi="宋体"/>
          <w:b/>
          <w:szCs w:val="21"/>
        </w:rPr>
      </w:pPr>
    </w:p>
    <w:p>
      <w:pPr>
        <w:pStyle w:val="37"/>
        <w:rPr>
          <w:rFonts w:ascii="宋体" w:hAnsi="宋体"/>
          <w:b/>
          <w:szCs w:val="21"/>
        </w:rPr>
      </w:pPr>
    </w:p>
    <w:p>
      <w:pPr>
        <w:pStyle w:val="37"/>
        <w:ind w:left="0" w:leftChars="0" w:firstLine="0" w:firstLineChars="0"/>
        <w:rPr>
          <w:rFonts w:ascii="宋体" w:hAnsi="宋体"/>
          <w:b/>
          <w:szCs w:val="21"/>
        </w:rPr>
      </w:pPr>
    </w:p>
    <w:p>
      <w:pPr>
        <w:spacing w:line="360" w:lineRule="auto"/>
        <w:jc w:val="center"/>
        <w:outlineLvl w:val="1"/>
        <w:rPr>
          <w:rFonts w:ascii="宋体" w:hAnsi="宋体"/>
          <w:b/>
          <w:szCs w:val="21"/>
        </w:rPr>
      </w:pPr>
      <w:bookmarkStart w:id="48" w:name="_Toc119922185"/>
      <w:r>
        <w:rPr>
          <w:rFonts w:hint="eastAsia" w:ascii="宋体" w:hAnsi="宋体"/>
          <w:b/>
          <w:szCs w:val="21"/>
        </w:rPr>
        <w:t>一 、总  则</w:t>
      </w:r>
      <w:bookmarkEnd w:id="44"/>
      <w:bookmarkEnd w:id="45"/>
      <w:bookmarkEnd w:id="46"/>
      <w:bookmarkEnd w:id="47"/>
      <w:bookmarkEnd w:id="48"/>
    </w:p>
    <w:p>
      <w:pPr>
        <w:snapToGrid w:val="0"/>
        <w:spacing w:line="360" w:lineRule="auto"/>
        <w:jc w:val="left"/>
        <w:rPr>
          <w:rFonts w:ascii="宋体" w:hAnsi="宋体"/>
          <w:b/>
          <w:szCs w:val="21"/>
        </w:rPr>
      </w:pPr>
      <w:bookmarkStart w:id="49" w:name="_Toc177824939"/>
      <w:bookmarkStart w:id="50" w:name="_Toc488072263"/>
      <w:bookmarkStart w:id="51" w:name="_Toc404289989"/>
      <w:bookmarkStart w:id="52" w:name="_Toc177824872"/>
      <w:bookmarkStart w:id="53" w:name="_Toc177870537"/>
      <w:bookmarkStart w:id="54" w:name="_Toc477785311"/>
      <w:bookmarkStart w:id="55" w:name="_Toc488072176"/>
      <w:bookmarkStart w:id="56" w:name="_Toc404289897"/>
      <w:bookmarkStart w:id="57" w:name="_Toc177825120"/>
      <w:r>
        <w:rPr>
          <w:rFonts w:hint="eastAsia" w:ascii="宋体" w:hAnsi="宋体"/>
          <w:b/>
          <w:szCs w:val="21"/>
        </w:rPr>
        <w:t>1. 适用范围</w:t>
      </w:r>
      <w:bookmarkEnd w:id="49"/>
      <w:bookmarkEnd w:id="50"/>
      <w:bookmarkEnd w:id="51"/>
      <w:bookmarkEnd w:id="52"/>
      <w:bookmarkEnd w:id="53"/>
      <w:bookmarkEnd w:id="54"/>
      <w:bookmarkEnd w:id="55"/>
      <w:bookmarkEnd w:id="56"/>
      <w:bookmarkEnd w:id="57"/>
    </w:p>
    <w:p>
      <w:pPr>
        <w:snapToGrid w:val="0"/>
        <w:spacing w:line="360" w:lineRule="auto"/>
        <w:jc w:val="left"/>
        <w:rPr>
          <w:rFonts w:ascii="宋体" w:hAnsi="宋体"/>
          <w:szCs w:val="21"/>
        </w:rPr>
      </w:pPr>
      <w:bookmarkStart w:id="58" w:name="_Toc177825121"/>
      <w:bookmarkStart w:id="59" w:name="_Toc477785312"/>
      <w:bookmarkStart w:id="60" w:name="_Toc488072177"/>
      <w:bookmarkStart w:id="61" w:name="_Toc177870538"/>
      <w:bookmarkStart w:id="62" w:name="_Toc404289990"/>
      <w:bookmarkStart w:id="63" w:name="_Toc488072264"/>
      <w:bookmarkStart w:id="64" w:name="_Toc177824873"/>
      <w:bookmarkStart w:id="65" w:name="_Toc404289898"/>
      <w:bookmarkStart w:id="66" w:name="_Toc177824940"/>
      <w:r>
        <w:rPr>
          <w:rFonts w:hint="eastAsia" w:ascii="宋体" w:hAnsi="宋体"/>
          <w:szCs w:val="21"/>
        </w:rPr>
        <w:t>1.1本招标文件适用于该项目的招标、投标、评标、定标、验收、合同履约、付款等行为仅参照有关法律法规的相关规定，招标文件中另有规定的，以招标文件规定为准。</w:t>
      </w:r>
    </w:p>
    <w:p>
      <w:pPr>
        <w:snapToGrid w:val="0"/>
        <w:spacing w:line="360" w:lineRule="auto"/>
        <w:jc w:val="left"/>
        <w:outlineLvl w:val="1"/>
        <w:rPr>
          <w:rFonts w:ascii="宋体" w:hAnsi="宋体"/>
          <w:b/>
          <w:szCs w:val="21"/>
        </w:rPr>
      </w:pPr>
      <w:bookmarkStart w:id="67" w:name="_Toc509308133"/>
      <w:bookmarkStart w:id="68" w:name="_Toc119922186"/>
      <w:bookmarkStart w:id="69" w:name="_Toc509308053"/>
      <w:r>
        <w:rPr>
          <w:rFonts w:hint="eastAsia" w:ascii="宋体" w:hAnsi="宋体"/>
          <w:b/>
          <w:szCs w:val="21"/>
        </w:rPr>
        <w:t>2.定义</w:t>
      </w:r>
      <w:bookmarkEnd w:id="58"/>
      <w:bookmarkEnd w:id="59"/>
      <w:bookmarkEnd w:id="60"/>
      <w:bookmarkEnd w:id="61"/>
      <w:bookmarkEnd w:id="62"/>
      <w:bookmarkEnd w:id="63"/>
      <w:bookmarkEnd w:id="64"/>
      <w:bookmarkEnd w:id="65"/>
      <w:bookmarkEnd w:id="66"/>
      <w:bookmarkEnd w:id="67"/>
      <w:bookmarkEnd w:id="68"/>
      <w:bookmarkEnd w:id="69"/>
    </w:p>
    <w:p>
      <w:pPr>
        <w:snapToGrid w:val="0"/>
        <w:spacing w:line="360" w:lineRule="auto"/>
        <w:jc w:val="left"/>
        <w:rPr>
          <w:rFonts w:ascii="宋体" w:hAnsi="宋体"/>
          <w:szCs w:val="21"/>
        </w:rPr>
      </w:pPr>
      <w:r>
        <w:rPr>
          <w:rFonts w:hint="eastAsia" w:ascii="宋体" w:hAnsi="宋体"/>
          <w:szCs w:val="21"/>
        </w:rPr>
        <w:t>2.1 “招标人”系指组织本次招标的代理机构或采购人。</w:t>
      </w:r>
    </w:p>
    <w:p>
      <w:pPr>
        <w:snapToGrid w:val="0"/>
        <w:spacing w:line="360" w:lineRule="auto"/>
        <w:jc w:val="left"/>
        <w:rPr>
          <w:rFonts w:ascii="宋体" w:hAnsi="宋体"/>
          <w:szCs w:val="21"/>
        </w:rPr>
      </w:pPr>
      <w:r>
        <w:rPr>
          <w:rFonts w:hint="eastAsia" w:ascii="宋体" w:hAnsi="宋体"/>
          <w:szCs w:val="21"/>
        </w:rPr>
        <w:t>2.2 “投标人”系指向招标方提交投标文件的供应商。</w:t>
      </w:r>
    </w:p>
    <w:p>
      <w:pPr>
        <w:snapToGrid w:val="0"/>
        <w:spacing w:line="360" w:lineRule="auto"/>
        <w:jc w:val="left"/>
        <w:rPr>
          <w:rFonts w:ascii="宋体" w:hAnsi="宋体"/>
          <w:szCs w:val="21"/>
        </w:rPr>
      </w:pPr>
      <w:r>
        <w:rPr>
          <w:rFonts w:hint="eastAsia" w:ascii="宋体" w:hAnsi="宋体"/>
          <w:szCs w:val="21"/>
        </w:rPr>
        <w:t>2.3 “产品”系指供方按招标文件规定，须向采购人提供的一切设备、保险、税金、备品备件、工具、手册及其它有关技术资料和材料。</w:t>
      </w:r>
    </w:p>
    <w:p>
      <w:pPr>
        <w:snapToGrid w:val="0"/>
        <w:spacing w:line="360" w:lineRule="auto"/>
        <w:jc w:val="left"/>
        <w:rPr>
          <w:rFonts w:ascii="宋体" w:hAnsi="宋体"/>
          <w:szCs w:val="21"/>
        </w:rPr>
      </w:pPr>
      <w:r>
        <w:rPr>
          <w:rFonts w:hint="eastAsia" w:ascii="宋体" w:hAnsi="宋体"/>
          <w:szCs w:val="21"/>
        </w:rPr>
        <w:t>2.4 “服务”系指招标文件规定投标人须承担的安装、调试、技术协助、校准、培训、技术指导以及其他类似的义务。</w:t>
      </w:r>
    </w:p>
    <w:p>
      <w:pPr>
        <w:snapToGrid w:val="0"/>
        <w:spacing w:line="360" w:lineRule="auto"/>
        <w:jc w:val="left"/>
        <w:rPr>
          <w:rFonts w:ascii="宋体" w:hAnsi="宋体"/>
          <w:szCs w:val="21"/>
        </w:rPr>
      </w:pPr>
      <w:r>
        <w:rPr>
          <w:rFonts w:hint="eastAsia" w:ascii="宋体" w:hAnsi="宋体"/>
          <w:szCs w:val="21"/>
        </w:rPr>
        <w:t>2.5 “项目”系指投标人按招标文件规定向采购人提供的产品和服务。</w:t>
      </w:r>
    </w:p>
    <w:p>
      <w:pPr>
        <w:snapToGrid w:val="0"/>
        <w:spacing w:line="360" w:lineRule="auto"/>
        <w:jc w:val="left"/>
        <w:rPr>
          <w:rFonts w:ascii="宋体" w:hAnsi="宋体"/>
          <w:szCs w:val="21"/>
        </w:rPr>
      </w:pPr>
      <w:r>
        <w:rPr>
          <w:rFonts w:hint="eastAsia" w:ascii="宋体" w:hAnsi="宋体"/>
          <w:szCs w:val="21"/>
        </w:rPr>
        <w:t>2.6 “书面形式”包括信函、传真、电报、电子文档等。</w:t>
      </w:r>
    </w:p>
    <w:p>
      <w:pPr>
        <w:snapToGrid w:val="0"/>
        <w:spacing w:line="360" w:lineRule="auto"/>
        <w:jc w:val="left"/>
        <w:outlineLvl w:val="1"/>
        <w:rPr>
          <w:rFonts w:ascii="宋体" w:hAnsi="宋体"/>
          <w:b/>
          <w:szCs w:val="21"/>
        </w:rPr>
      </w:pPr>
      <w:bookmarkStart w:id="70" w:name="_Toc488072265"/>
      <w:bookmarkStart w:id="71" w:name="_Toc509308134"/>
      <w:bookmarkStart w:id="72" w:name="_Toc404289991"/>
      <w:bookmarkStart w:id="73" w:name="_Toc119922187"/>
      <w:bookmarkStart w:id="74" w:name="_Toc488072178"/>
      <w:bookmarkStart w:id="75" w:name="_Toc177870539"/>
      <w:bookmarkStart w:id="76" w:name="_Toc509308054"/>
      <w:bookmarkStart w:id="77" w:name="_Toc477785313"/>
      <w:bookmarkStart w:id="78" w:name="_Toc404289899"/>
      <w:r>
        <w:rPr>
          <w:rFonts w:hint="eastAsia" w:ascii="宋体" w:hAnsi="宋体"/>
          <w:b/>
          <w:szCs w:val="21"/>
        </w:rPr>
        <w:t>3.招标方式</w:t>
      </w:r>
      <w:bookmarkEnd w:id="70"/>
      <w:bookmarkEnd w:id="71"/>
      <w:bookmarkEnd w:id="72"/>
      <w:bookmarkEnd w:id="73"/>
      <w:bookmarkEnd w:id="74"/>
      <w:bookmarkEnd w:id="75"/>
      <w:bookmarkEnd w:id="76"/>
      <w:bookmarkEnd w:id="77"/>
      <w:bookmarkEnd w:id="78"/>
    </w:p>
    <w:p>
      <w:pPr>
        <w:snapToGrid w:val="0"/>
        <w:spacing w:line="360" w:lineRule="auto"/>
        <w:jc w:val="left"/>
        <w:rPr>
          <w:rFonts w:ascii="宋体" w:hAnsi="宋体"/>
          <w:szCs w:val="21"/>
        </w:rPr>
      </w:pPr>
      <w:r>
        <w:rPr>
          <w:rFonts w:hint="eastAsia" w:ascii="宋体" w:hAnsi="宋体"/>
          <w:szCs w:val="21"/>
        </w:rPr>
        <w:t>3.1 本次招标采用公开招标方式进行；</w:t>
      </w:r>
    </w:p>
    <w:p>
      <w:pPr>
        <w:snapToGrid w:val="0"/>
        <w:spacing w:line="360" w:lineRule="auto"/>
        <w:jc w:val="left"/>
        <w:rPr>
          <w:rFonts w:ascii="宋体" w:hAnsi="宋体" w:cs="Arial"/>
          <w:szCs w:val="21"/>
        </w:rPr>
      </w:pPr>
      <w:r>
        <w:rPr>
          <w:rFonts w:hint="eastAsia" w:ascii="宋体" w:hAnsi="宋体"/>
          <w:szCs w:val="21"/>
        </w:rPr>
        <w:t>3.2本次招标设定上限价为</w:t>
      </w:r>
      <w:r>
        <w:rPr>
          <w:rFonts w:hint="eastAsia" w:ascii="宋体" w:hAnsi="宋体" w:cs="Arial"/>
          <w:szCs w:val="21"/>
        </w:rPr>
        <w:t>预算价。</w:t>
      </w:r>
    </w:p>
    <w:p>
      <w:pPr>
        <w:snapToGrid w:val="0"/>
        <w:spacing w:line="360" w:lineRule="auto"/>
        <w:jc w:val="left"/>
        <w:outlineLvl w:val="1"/>
        <w:rPr>
          <w:rFonts w:ascii="宋体" w:hAnsi="宋体"/>
          <w:b/>
          <w:szCs w:val="21"/>
        </w:rPr>
      </w:pPr>
      <w:bookmarkStart w:id="79" w:name="_Toc177825122"/>
      <w:bookmarkStart w:id="80" w:name="_Toc509308055"/>
      <w:bookmarkStart w:id="81" w:name="_Toc177824874"/>
      <w:bookmarkStart w:id="82" w:name="_Toc509308135"/>
      <w:bookmarkStart w:id="83" w:name="_Toc119922188"/>
      <w:bookmarkStart w:id="84" w:name="_Toc177870540"/>
      <w:bookmarkStart w:id="85" w:name="_Toc404289992"/>
      <w:bookmarkStart w:id="86" w:name="_Toc404289900"/>
      <w:bookmarkStart w:id="87" w:name="_Toc177824941"/>
      <w:bookmarkStart w:id="88" w:name="_Toc477785314"/>
      <w:bookmarkStart w:id="89" w:name="_Toc488072266"/>
      <w:bookmarkStart w:id="90" w:name="_Toc488072179"/>
      <w:r>
        <w:rPr>
          <w:rFonts w:hint="eastAsia" w:ascii="宋体" w:hAnsi="宋体"/>
          <w:b/>
          <w:szCs w:val="21"/>
        </w:rPr>
        <w:t>4.投标委托</w:t>
      </w:r>
      <w:bookmarkEnd w:id="79"/>
      <w:bookmarkEnd w:id="80"/>
      <w:bookmarkEnd w:id="81"/>
      <w:bookmarkEnd w:id="82"/>
      <w:bookmarkEnd w:id="83"/>
      <w:bookmarkEnd w:id="84"/>
      <w:bookmarkEnd w:id="85"/>
      <w:bookmarkEnd w:id="86"/>
      <w:bookmarkEnd w:id="87"/>
      <w:bookmarkEnd w:id="88"/>
      <w:bookmarkEnd w:id="89"/>
      <w:bookmarkEnd w:id="90"/>
    </w:p>
    <w:p>
      <w:pPr>
        <w:snapToGrid w:val="0"/>
        <w:spacing w:line="360" w:lineRule="auto"/>
        <w:ind w:firstLine="404" w:firstLineChars="200"/>
        <w:jc w:val="left"/>
        <w:rPr>
          <w:rFonts w:ascii="宋体" w:hAnsi="宋体"/>
          <w:spacing w:val="-4"/>
          <w:szCs w:val="21"/>
        </w:rPr>
      </w:pPr>
      <w:r>
        <w:rPr>
          <w:rFonts w:hint="eastAsia" w:ascii="宋体" w:hAnsi="宋体"/>
          <w:spacing w:val="-4"/>
          <w:szCs w:val="21"/>
        </w:rPr>
        <w:t>投标人代表须携带居民身份证。如投标人代表不是法定代表人（机构负责人），须有法定代表人（机构负责人）出具的授权委托书。（正本用原件，副本可用复印件，格式见第六章）。</w:t>
      </w:r>
    </w:p>
    <w:p>
      <w:pPr>
        <w:snapToGrid w:val="0"/>
        <w:spacing w:line="360" w:lineRule="auto"/>
        <w:jc w:val="left"/>
        <w:outlineLvl w:val="1"/>
        <w:rPr>
          <w:rFonts w:ascii="宋体" w:hAnsi="宋体"/>
          <w:b/>
          <w:szCs w:val="21"/>
        </w:rPr>
      </w:pPr>
      <w:bookmarkStart w:id="91" w:name="_Toc177824942"/>
      <w:bookmarkStart w:id="92" w:name="_Toc509308056"/>
      <w:bookmarkStart w:id="93" w:name="_Toc177824875"/>
      <w:bookmarkStart w:id="94" w:name="_Toc488072267"/>
      <w:bookmarkStart w:id="95" w:name="_Toc404289901"/>
      <w:bookmarkStart w:id="96" w:name="_Toc119922189"/>
      <w:bookmarkStart w:id="97" w:name="_Toc404289993"/>
      <w:bookmarkStart w:id="98" w:name="_Toc509308136"/>
      <w:bookmarkStart w:id="99" w:name="_Toc177825123"/>
      <w:bookmarkStart w:id="100" w:name="_Toc488072180"/>
      <w:bookmarkStart w:id="101" w:name="_Toc477785315"/>
      <w:bookmarkStart w:id="102" w:name="_Toc177870541"/>
      <w:r>
        <w:rPr>
          <w:rFonts w:hint="eastAsia" w:ascii="宋体" w:hAnsi="宋体"/>
          <w:b/>
          <w:szCs w:val="21"/>
        </w:rPr>
        <w:t>5.投标费用</w:t>
      </w:r>
      <w:bookmarkEnd w:id="91"/>
      <w:bookmarkEnd w:id="92"/>
      <w:bookmarkEnd w:id="93"/>
      <w:bookmarkEnd w:id="94"/>
      <w:bookmarkEnd w:id="95"/>
      <w:bookmarkEnd w:id="96"/>
      <w:bookmarkEnd w:id="97"/>
      <w:bookmarkEnd w:id="98"/>
      <w:bookmarkEnd w:id="99"/>
      <w:bookmarkEnd w:id="100"/>
      <w:bookmarkEnd w:id="101"/>
      <w:bookmarkEnd w:id="102"/>
    </w:p>
    <w:p>
      <w:pPr>
        <w:snapToGrid w:val="0"/>
        <w:spacing w:line="360" w:lineRule="auto"/>
        <w:ind w:firstLine="315" w:firstLineChars="150"/>
        <w:jc w:val="left"/>
        <w:rPr>
          <w:rFonts w:ascii="宋体" w:hAnsi="宋体"/>
          <w:szCs w:val="21"/>
        </w:rPr>
      </w:pPr>
      <w:r>
        <w:rPr>
          <w:rFonts w:hint="eastAsia" w:ascii="宋体" w:hAnsi="宋体"/>
          <w:szCs w:val="21"/>
        </w:rPr>
        <w:t>不论投标结果如何，投标人均应自行承担所有与投标有关的全部费用。</w:t>
      </w:r>
    </w:p>
    <w:p>
      <w:pPr>
        <w:snapToGrid w:val="0"/>
        <w:spacing w:line="360" w:lineRule="auto"/>
        <w:jc w:val="left"/>
        <w:rPr>
          <w:rFonts w:ascii="宋体" w:hAnsi="宋体"/>
          <w:b/>
          <w:szCs w:val="21"/>
        </w:rPr>
      </w:pPr>
      <w:r>
        <w:rPr>
          <w:rFonts w:hint="eastAsia" w:ascii="宋体" w:hAnsi="宋体"/>
          <w:b/>
          <w:szCs w:val="21"/>
        </w:rPr>
        <w:t>6．联合体投标</w:t>
      </w:r>
    </w:p>
    <w:p>
      <w:pPr>
        <w:snapToGrid w:val="0"/>
        <w:spacing w:line="360" w:lineRule="auto"/>
        <w:ind w:firstLine="315" w:firstLineChars="150"/>
        <w:jc w:val="left"/>
        <w:rPr>
          <w:rFonts w:ascii="宋体" w:hAnsi="宋体" w:cs="Arial"/>
          <w:szCs w:val="21"/>
        </w:rPr>
      </w:pPr>
      <w:r>
        <w:rPr>
          <w:rFonts w:hint="eastAsia" w:ascii="宋体" w:hAnsi="宋体" w:cs="Arial"/>
          <w:szCs w:val="21"/>
        </w:rPr>
        <w:t>本项目不接受联合体投标。</w:t>
      </w:r>
    </w:p>
    <w:p>
      <w:pPr>
        <w:spacing w:line="360" w:lineRule="auto"/>
        <w:rPr>
          <w:rFonts w:ascii="宋体" w:hAnsi="宋体" w:cs="宋体"/>
          <w:b/>
          <w:kern w:val="0"/>
          <w:szCs w:val="21"/>
        </w:rPr>
      </w:pPr>
      <w:bookmarkStart w:id="103" w:name="_Toc177870544"/>
      <w:bookmarkStart w:id="104" w:name="_Toc488072272"/>
      <w:bookmarkStart w:id="105" w:name="_Toc488072185"/>
      <w:r>
        <w:rPr>
          <w:rFonts w:hint="eastAsia" w:ascii="宋体" w:hAnsi="宋体" w:cs="宋体"/>
          <w:b/>
          <w:kern w:val="0"/>
          <w:szCs w:val="21"/>
        </w:rPr>
        <w:t>7.转包与分包</w:t>
      </w:r>
    </w:p>
    <w:p>
      <w:pPr>
        <w:spacing w:line="360" w:lineRule="auto"/>
        <w:rPr>
          <w:rFonts w:ascii="宋体" w:hAnsi="宋体" w:cs="宋体"/>
          <w:kern w:val="0"/>
          <w:szCs w:val="21"/>
        </w:rPr>
      </w:pPr>
      <w:r>
        <w:rPr>
          <w:rFonts w:hint="eastAsia" w:ascii="宋体" w:hAnsi="宋体" w:cs="宋体"/>
          <w:kern w:val="0"/>
          <w:szCs w:val="21"/>
        </w:rPr>
        <w:t>7.1本项目不允许转包；</w:t>
      </w:r>
    </w:p>
    <w:p>
      <w:pPr>
        <w:spacing w:line="360" w:lineRule="auto"/>
        <w:rPr>
          <w:rFonts w:ascii="宋体" w:hAnsi="宋体" w:cs="宋体"/>
          <w:kern w:val="0"/>
          <w:szCs w:val="21"/>
        </w:rPr>
      </w:pPr>
      <w:r>
        <w:rPr>
          <w:rFonts w:hint="eastAsia" w:ascii="宋体" w:hAnsi="宋体" w:cs="宋体"/>
          <w:kern w:val="0"/>
          <w:szCs w:val="21"/>
        </w:rPr>
        <w:t>7.2本项目不允许分包。</w:t>
      </w:r>
    </w:p>
    <w:p>
      <w:pPr>
        <w:snapToGrid w:val="0"/>
        <w:spacing w:line="360" w:lineRule="auto"/>
        <w:jc w:val="left"/>
        <w:outlineLvl w:val="1"/>
        <w:rPr>
          <w:rFonts w:ascii="宋体" w:hAnsi="宋体"/>
          <w:b/>
          <w:szCs w:val="21"/>
        </w:rPr>
      </w:pPr>
      <w:bookmarkStart w:id="106" w:name="_Toc509308057"/>
      <w:bookmarkStart w:id="107" w:name="_Toc509308137"/>
      <w:bookmarkStart w:id="108" w:name="_Toc477785316"/>
      <w:bookmarkStart w:id="109" w:name="_Toc488072181"/>
      <w:bookmarkStart w:id="110" w:name="_Toc488072268"/>
      <w:bookmarkStart w:id="111" w:name="_Toc177870542"/>
      <w:bookmarkStart w:id="112" w:name="_Toc119922190"/>
      <w:bookmarkStart w:id="113" w:name="_Toc404289902"/>
      <w:bookmarkStart w:id="114" w:name="_Toc404289994"/>
      <w:r>
        <w:rPr>
          <w:rFonts w:hint="eastAsia" w:ascii="宋体" w:hAnsi="宋体"/>
          <w:b/>
          <w:szCs w:val="21"/>
        </w:rPr>
        <w:t>8.特别说明：</w:t>
      </w:r>
      <w:bookmarkEnd w:id="106"/>
      <w:bookmarkEnd w:id="107"/>
      <w:bookmarkEnd w:id="108"/>
      <w:bookmarkEnd w:id="109"/>
      <w:bookmarkEnd w:id="110"/>
      <w:bookmarkEnd w:id="111"/>
      <w:bookmarkEnd w:id="112"/>
      <w:bookmarkEnd w:id="113"/>
      <w:bookmarkEnd w:id="114"/>
    </w:p>
    <w:p>
      <w:pPr>
        <w:spacing w:line="360" w:lineRule="auto"/>
        <w:rPr>
          <w:rFonts w:ascii="宋体" w:hAnsi="宋体"/>
          <w:szCs w:val="21"/>
        </w:rPr>
      </w:pPr>
      <w:bookmarkStart w:id="115" w:name="_Toc477785317"/>
      <w:bookmarkStart w:id="116" w:name="_Toc404289995"/>
      <w:bookmarkStart w:id="117" w:name="_Toc404289903"/>
      <w:bookmarkStart w:id="118" w:name="_Toc177870543"/>
      <w:bookmarkStart w:id="119" w:name="_Toc488072182"/>
      <w:bookmarkStart w:id="120" w:name="_Toc488072269"/>
      <w:r>
        <w:rPr>
          <w:rFonts w:hint="eastAsia" w:ascii="宋体" w:hAnsi="宋体"/>
          <w:szCs w:val="21"/>
        </w:rPr>
        <w:t>8.1</w:t>
      </w:r>
      <w:r>
        <w:rPr>
          <w:rFonts w:ascii="宋体" w:hAnsi="宋体"/>
          <w:szCs w:val="21"/>
        </w:rPr>
        <w:t>投标人投标所使用的资格、信誉、荣誉、业绩与企业认证必须为本法人所拥有。投标人投标所使用的采购项目实施人员必须为本法人员工（或必须为本法人或控股公司正式员工）。</w:t>
      </w:r>
    </w:p>
    <w:p>
      <w:pPr>
        <w:spacing w:line="360" w:lineRule="auto"/>
        <w:rPr>
          <w:rFonts w:ascii="宋体" w:hAnsi="宋体"/>
          <w:szCs w:val="21"/>
        </w:rPr>
      </w:pPr>
      <w:r>
        <w:rPr>
          <w:rFonts w:hint="eastAsia" w:ascii="宋体" w:hAnsi="宋体"/>
          <w:szCs w:val="21"/>
        </w:rPr>
        <w:t>8.2单位负责人为同一人或者存在直接控股、管理关系的不同供应商，不得参加同一合同项下的采购活动。</w:t>
      </w:r>
    </w:p>
    <w:p>
      <w:pPr>
        <w:spacing w:line="360" w:lineRule="auto"/>
        <w:rPr>
          <w:rFonts w:ascii="宋体" w:hAnsi="宋体"/>
          <w:szCs w:val="21"/>
        </w:rPr>
      </w:pPr>
      <w:r>
        <w:rPr>
          <w:rFonts w:hint="eastAsia" w:ascii="宋体" w:hAnsi="宋体"/>
          <w:szCs w:val="21"/>
        </w:rPr>
        <w:t xml:space="preserve">8.3 </w:t>
      </w:r>
      <w:r>
        <w:rPr>
          <w:rFonts w:ascii="宋体" w:hAnsi="宋体"/>
          <w:szCs w:val="21"/>
        </w:rPr>
        <w:t>投标人应仔细阅读招标文件的所有内容，按照招标文件的要求提交投标文件，并对所提供的全部资料的真实性承担法律责任。</w:t>
      </w:r>
    </w:p>
    <w:p>
      <w:pPr>
        <w:spacing w:line="360" w:lineRule="auto"/>
        <w:rPr>
          <w:rFonts w:ascii="宋体" w:hAnsi="宋体"/>
          <w:szCs w:val="21"/>
        </w:rPr>
      </w:pPr>
      <w:r>
        <w:rPr>
          <w:rFonts w:hint="eastAsia" w:ascii="宋体" w:hAnsi="宋体"/>
          <w:szCs w:val="21"/>
        </w:rPr>
        <w:t>8.4</w:t>
      </w:r>
      <w:r>
        <w:rPr>
          <w:rFonts w:ascii="宋体" w:hAnsi="宋体"/>
          <w:szCs w:val="21"/>
        </w:rPr>
        <w:t>投标人在投标活动中提供任何虚假材料,其投标无效，并报</w:t>
      </w:r>
      <w:r>
        <w:rPr>
          <w:rFonts w:hint="eastAsia" w:ascii="宋体" w:hAnsi="宋体"/>
          <w:szCs w:val="21"/>
        </w:rPr>
        <w:t>相关</w:t>
      </w:r>
      <w:r>
        <w:rPr>
          <w:rFonts w:ascii="宋体" w:hAnsi="宋体"/>
          <w:szCs w:val="21"/>
        </w:rPr>
        <w:t>部门查处；中标后发现的,中标人须依照《中华人民共和国消费者权益保护法》第49条之规定双倍赔偿采购人</w:t>
      </w:r>
      <w:r>
        <w:rPr>
          <w:rFonts w:hint="eastAsia" w:ascii="宋体" w:hAnsi="宋体"/>
          <w:szCs w:val="21"/>
        </w:rPr>
        <w:t>，</w:t>
      </w:r>
      <w:r>
        <w:rPr>
          <w:rFonts w:ascii="宋体" w:hAnsi="宋体"/>
          <w:szCs w:val="21"/>
        </w:rPr>
        <w:t>且民事赔偿并不免除违法投标人的行政与刑事责任。</w:t>
      </w:r>
    </w:p>
    <w:p>
      <w:pPr>
        <w:spacing w:line="360" w:lineRule="auto"/>
        <w:outlineLvl w:val="1"/>
        <w:rPr>
          <w:rFonts w:ascii="宋体" w:hAnsi="宋体"/>
          <w:bCs/>
          <w:szCs w:val="21"/>
        </w:rPr>
      </w:pPr>
      <w:bookmarkStart w:id="121" w:name="_Toc509308138"/>
      <w:bookmarkStart w:id="122" w:name="_Toc119922191"/>
      <w:bookmarkStart w:id="123" w:name="_Toc509308058"/>
      <w:r>
        <w:rPr>
          <w:rFonts w:hint="eastAsia" w:ascii="宋体" w:hAnsi="宋体"/>
          <w:bCs/>
          <w:szCs w:val="21"/>
        </w:rPr>
        <w:t>9.质疑</w:t>
      </w:r>
      <w:bookmarkEnd w:id="115"/>
      <w:bookmarkEnd w:id="116"/>
      <w:bookmarkEnd w:id="117"/>
      <w:bookmarkEnd w:id="118"/>
      <w:bookmarkEnd w:id="119"/>
      <w:bookmarkEnd w:id="120"/>
      <w:r>
        <w:rPr>
          <w:rFonts w:hint="eastAsia" w:ascii="宋体" w:hAnsi="宋体"/>
          <w:bCs/>
          <w:szCs w:val="21"/>
        </w:rPr>
        <w:t>和投诉</w:t>
      </w:r>
      <w:bookmarkEnd w:id="121"/>
      <w:bookmarkEnd w:id="122"/>
      <w:bookmarkEnd w:id="123"/>
    </w:p>
    <w:p>
      <w:pPr>
        <w:spacing w:line="360" w:lineRule="auto"/>
        <w:outlineLvl w:val="1"/>
        <w:rPr>
          <w:rFonts w:ascii="宋体" w:hAnsi="宋体"/>
          <w:szCs w:val="21"/>
        </w:rPr>
      </w:pPr>
      <w:bookmarkStart w:id="124" w:name="_Toc119922192"/>
      <w:bookmarkStart w:id="125" w:name="_Toc476317126"/>
      <w:bookmarkStart w:id="126" w:name="_Toc450573036"/>
      <w:bookmarkStart w:id="127" w:name="_Toc509308059"/>
      <w:bookmarkStart w:id="128" w:name="_Toc509308139"/>
      <w:bookmarkStart w:id="129" w:name="_Toc488072183"/>
      <w:bookmarkStart w:id="130" w:name="_Toc476317015"/>
      <w:bookmarkStart w:id="131" w:name="_Toc488072270"/>
      <w:bookmarkStart w:id="132" w:name="_Toc477785318"/>
      <w:r>
        <w:rPr>
          <w:rFonts w:hint="eastAsia" w:ascii="宋体" w:hAnsi="宋体"/>
          <w:szCs w:val="21"/>
        </w:rPr>
        <w:t>9.</w:t>
      </w:r>
      <w:r>
        <w:rPr>
          <w:rFonts w:ascii="宋体" w:hAnsi="宋体"/>
          <w:szCs w:val="21"/>
        </w:rPr>
        <w:t>1</w:t>
      </w:r>
      <w:r>
        <w:rPr>
          <w:rFonts w:hint="eastAsia" w:ascii="宋体" w:hAnsi="宋体"/>
          <w:szCs w:val="21"/>
        </w:rPr>
        <w:t>.</w:t>
      </w:r>
      <w:r>
        <w:rPr>
          <w:rFonts w:ascii="宋体" w:hAnsi="宋体"/>
          <w:szCs w:val="21"/>
        </w:rPr>
        <w:t>投标人认为招标文件、招标过程</w:t>
      </w:r>
      <w:r>
        <w:rPr>
          <w:rFonts w:hint="eastAsia" w:ascii="宋体" w:hAnsi="宋体"/>
          <w:szCs w:val="21"/>
        </w:rPr>
        <w:t>或</w:t>
      </w:r>
      <w:r>
        <w:rPr>
          <w:rFonts w:ascii="宋体" w:hAnsi="宋体"/>
          <w:szCs w:val="21"/>
        </w:rPr>
        <w:t>中标结果使自己的合法权益受到损害的，应当在知道或者应知其权益受到损害之日起七个工作日内，以书面形式向采购人、</w:t>
      </w:r>
      <w:r>
        <w:rPr>
          <w:rFonts w:hint="eastAsia" w:ascii="宋体" w:hAnsi="宋体"/>
          <w:szCs w:val="21"/>
        </w:rPr>
        <w:t>代理机构</w:t>
      </w:r>
      <w:r>
        <w:rPr>
          <w:rFonts w:ascii="宋体" w:hAnsi="宋体"/>
          <w:szCs w:val="21"/>
        </w:rPr>
        <w:t>提出质疑。投标人对招标</w:t>
      </w:r>
      <w:r>
        <w:rPr>
          <w:rFonts w:hint="eastAsia" w:ascii="宋体" w:hAnsi="宋体"/>
          <w:szCs w:val="21"/>
        </w:rPr>
        <w:t>人</w:t>
      </w:r>
      <w:r>
        <w:rPr>
          <w:rFonts w:ascii="宋体" w:hAnsi="宋体"/>
          <w:szCs w:val="21"/>
        </w:rPr>
        <w:t>的质疑答复不满意或者招标</w:t>
      </w:r>
      <w:r>
        <w:rPr>
          <w:rFonts w:hint="eastAsia" w:ascii="宋体" w:hAnsi="宋体"/>
          <w:szCs w:val="21"/>
        </w:rPr>
        <w:t>人</w:t>
      </w:r>
      <w:r>
        <w:rPr>
          <w:rFonts w:ascii="宋体" w:hAnsi="宋体"/>
          <w:szCs w:val="21"/>
        </w:rPr>
        <w:t>未在规定时间内作出答复的，可以在答复期满后十五个工作日内向</w:t>
      </w:r>
      <w:r>
        <w:rPr>
          <w:rFonts w:hint="eastAsia" w:ascii="宋体" w:hAnsi="宋体"/>
          <w:szCs w:val="21"/>
        </w:rPr>
        <w:t>相关</w:t>
      </w:r>
      <w:r>
        <w:rPr>
          <w:rFonts w:ascii="宋体" w:hAnsi="宋体"/>
          <w:szCs w:val="21"/>
        </w:rPr>
        <w:t>部门投诉。</w:t>
      </w:r>
      <w:bookmarkEnd w:id="124"/>
      <w:bookmarkEnd w:id="125"/>
      <w:bookmarkEnd w:id="126"/>
      <w:bookmarkEnd w:id="127"/>
      <w:bookmarkEnd w:id="128"/>
      <w:bookmarkEnd w:id="129"/>
      <w:bookmarkEnd w:id="130"/>
      <w:bookmarkEnd w:id="131"/>
      <w:bookmarkEnd w:id="132"/>
    </w:p>
    <w:p>
      <w:pPr>
        <w:spacing w:line="360" w:lineRule="auto"/>
        <w:outlineLvl w:val="1"/>
        <w:rPr>
          <w:rFonts w:ascii="宋体" w:hAnsi="宋体"/>
          <w:szCs w:val="21"/>
        </w:rPr>
      </w:pPr>
      <w:bookmarkStart w:id="133" w:name="_Toc477785319"/>
      <w:bookmarkStart w:id="134" w:name="_Toc509308060"/>
      <w:bookmarkStart w:id="135" w:name="_Toc119922193"/>
      <w:bookmarkStart w:id="136" w:name="_Toc450573037"/>
      <w:bookmarkStart w:id="137" w:name="_Toc488072271"/>
      <w:bookmarkStart w:id="138" w:name="_Toc509308140"/>
      <w:bookmarkStart w:id="139" w:name="_Toc488072184"/>
      <w:bookmarkStart w:id="140" w:name="_Toc476317016"/>
      <w:bookmarkStart w:id="141" w:name="_Toc476317127"/>
      <w:r>
        <w:rPr>
          <w:rFonts w:hint="eastAsia" w:ascii="宋体" w:hAnsi="宋体"/>
          <w:szCs w:val="21"/>
        </w:rPr>
        <w:t>9.</w:t>
      </w:r>
      <w:r>
        <w:rPr>
          <w:rFonts w:ascii="宋体" w:hAnsi="宋体"/>
          <w:szCs w:val="21"/>
        </w:rPr>
        <w:t>2</w:t>
      </w:r>
      <w:r>
        <w:rPr>
          <w:rFonts w:hint="eastAsia" w:ascii="宋体" w:hAnsi="宋体"/>
          <w:szCs w:val="21"/>
        </w:rPr>
        <w:t>.</w:t>
      </w:r>
      <w:r>
        <w:rPr>
          <w:rFonts w:ascii="宋体" w:hAnsi="宋体"/>
          <w:szCs w:val="21"/>
        </w:rPr>
        <w:t>质疑、投诉应当采用书面形式，质疑书、投诉书均应明确阐述招标文件、招标过程</w:t>
      </w:r>
      <w:r>
        <w:rPr>
          <w:rFonts w:hint="eastAsia" w:ascii="宋体" w:hAnsi="宋体"/>
          <w:szCs w:val="21"/>
        </w:rPr>
        <w:t>或</w:t>
      </w:r>
      <w:r>
        <w:rPr>
          <w:rFonts w:ascii="宋体" w:hAnsi="宋体"/>
          <w:szCs w:val="21"/>
        </w:rPr>
        <w:t>中标结果中使自己合法权益受到损害的实质性内容，提供相关事实、依据和证据及其来源或线索，便于有关单位调查、答复和处理</w:t>
      </w:r>
      <w:r>
        <w:rPr>
          <w:rFonts w:hint="eastAsia" w:ascii="宋体" w:hAnsi="宋体"/>
          <w:szCs w:val="21"/>
        </w:rPr>
        <w:t>。</w:t>
      </w:r>
      <w:bookmarkEnd w:id="133"/>
      <w:bookmarkEnd w:id="134"/>
      <w:bookmarkEnd w:id="135"/>
      <w:bookmarkEnd w:id="136"/>
      <w:bookmarkEnd w:id="137"/>
      <w:bookmarkEnd w:id="138"/>
      <w:bookmarkEnd w:id="139"/>
      <w:bookmarkEnd w:id="140"/>
      <w:bookmarkEnd w:id="141"/>
    </w:p>
    <w:p>
      <w:pPr>
        <w:spacing w:line="360" w:lineRule="auto"/>
        <w:jc w:val="center"/>
        <w:outlineLvl w:val="1"/>
        <w:rPr>
          <w:rFonts w:ascii="宋体" w:hAnsi="宋体"/>
          <w:b/>
          <w:szCs w:val="21"/>
        </w:rPr>
      </w:pPr>
      <w:bookmarkStart w:id="142" w:name="_Toc119922194"/>
      <w:bookmarkStart w:id="143" w:name="_Toc509308141"/>
      <w:bookmarkStart w:id="144" w:name="_Toc509308061"/>
      <w:r>
        <w:rPr>
          <w:rFonts w:hint="eastAsia" w:ascii="宋体" w:hAnsi="宋体"/>
          <w:b/>
          <w:szCs w:val="21"/>
        </w:rPr>
        <w:t>二 、招标文件</w:t>
      </w:r>
      <w:bookmarkEnd w:id="103"/>
      <w:bookmarkEnd w:id="104"/>
      <w:bookmarkEnd w:id="105"/>
      <w:bookmarkEnd w:id="142"/>
      <w:bookmarkEnd w:id="143"/>
      <w:bookmarkEnd w:id="144"/>
    </w:p>
    <w:p>
      <w:pPr>
        <w:spacing w:line="360" w:lineRule="auto"/>
        <w:jc w:val="left"/>
        <w:rPr>
          <w:rFonts w:ascii="宋体" w:hAnsi="宋体"/>
          <w:b/>
          <w:szCs w:val="21"/>
        </w:rPr>
      </w:pPr>
      <w:r>
        <w:rPr>
          <w:rFonts w:hint="eastAsia" w:ascii="宋体" w:hAnsi="宋体"/>
          <w:b/>
          <w:szCs w:val="21"/>
        </w:rPr>
        <w:t>1.招标文件的构成</w:t>
      </w:r>
    </w:p>
    <w:p>
      <w:pPr>
        <w:spacing w:line="360" w:lineRule="auto"/>
        <w:jc w:val="left"/>
        <w:rPr>
          <w:rFonts w:ascii="宋体" w:hAnsi="宋体"/>
          <w:szCs w:val="21"/>
        </w:rPr>
      </w:pPr>
      <w:r>
        <w:rPr>
          <w:rFonts w:hint="eastAsia" w:ascii="宋体" w:hAnsi="宋体"/>
          <w:szCs w:val="21"/>
        </w:rPr>
        <w:t>1.1招标公告</w:t>
      </w:r>
    </w:p>
    <w:p>
      <w:pPr>
        <w:spacing w:line="360" w:lineRule="auto"/>
        <w:jc w:val="left"/>
        <w:rPr>
          <w:rFonts w:ascii="宋体" w:hAnsi="宋体"/>
          <w:szCs w:val="21"/>
        </w:rPr>
      </w:pPr>
      <w:r>
        <w:rPr>
          <w:rFonts w:hint="eastAsia" w:ascii="宋体" w:hAnsi="宋体"/>
          <w:szCs w:val="21"/>
        </w:rPr>
        <w:t>1.2招标需求</w:t>
      </w:r>
    </w:p>
    <w:p>
      <w:pPr>
        <w:spacing w:line="360" w:lineRule="auto"/>
        <w:jc w:val="left"/>
        <w:rPr>
          <w:rFonts w:ascii="宋体" w:hAnsi="宋体"/>
          <w:szCs w:val="21"/>
        </w:rPr>
      </w:pPr>
      <w:r>
        <w:rPr>
          <w:rFonts w:hint="eastAsia" w:ascii="宋体" w:hAnsi="宋体"/>
          <w:szCs w:val="21"/>
        </w:rPr>
        <w:t>1.3投标人须知</w:t>
      </w:r>
    </w:p>
    <w:p>
      <w:pPr>
        <w:spacing w:line="360" w:lineRule="auto"/>
        <w:jc w:val="left"/>
        <w:rPr>
          <w:rFonts w:ascii="宋体" w:hAnsi="宋体"/>
          <w:szCs w:val="21"/>
        </w:rPr>
      </w:pPr>
      <w:r>
        <w:rPr>
          <w:rFonts w:hint="eastAsia" w:ascii="宋体" w:hAnsi="宋体"/>
          <w:szCs w:val="21"/>
        </w:rPr>
        <w:t>1.4合同主要条款</w:t>
      </w:r>
    </w:p>
    <w:p>
      <w:pPr>
        <w:spacing w:line="360" w:lineRule="auto"/>
        <w:jc w:val="left"/>
        <w:rPr>
          <w:rFonts w:ascii="宋体" w:hAnsi="宋体"/>
          <w:szCs w:val="21"/>
        </w:rPr>
      </w:pPr>
      <w:r>
        <w:rPr>
          <w:rFonts w:hint="eastAsia" w:ascii="宋体" w:hAnsi="宋体"/>
          <w:szCs w:val="21"/>
        </w:rPr>
        <w:t>1.5评标办法及标准</w:t>
      </w:r>
    </w:p>
    <w:p>
      <w:pPr>
        <w:spacing w:line="360" w:lineRule="auto"/>
        <w:jc w:val="left"/>
        <w:rPr>
          <w:rFonts w:ascii="宋体" w:hAnsi="宋体"/>
          <w:szCs w:val="21"/>
        </w:rPr>
      </w:pPr>
      <w:r>
        <w:rPr>
          <w:rFonts w:hint="eastAsia" w:ascii="宋体" w:hAnsi="宋体"/>
          <w:szCs w:val="21"/>
        </w:rPr>
        <w:t>1.6投标文件相关文件格式</w:t>
      </w:r>
    </w:p>
    <w:p>
      <w:pPr>
        <w:spacing w:line="360" w:lineRule="auto"/>
        <w:jc w:val="left"/>
        <w:rPr>
          <w:rFonts w:ascii="宋体" w:hAnsi="宋体"/>
          <w:b/>
          <w:szCs w:val="21"/>
        </w:rPr>
      </w:pPr>
      <w:r>
        <w:rPr>
          <w:rFonts w:hint="eastAsia" w:ascii="宋体" w:hAnsi="宋体"/>
          <w:b/>
          <w:szCs w:val="21"/>
        </w:rPr>
        <w:t>1.7本项目</w:t>
      </w:r>
      <w:r>
        <w:rPr>
          <w:rFonts w:ascii="宋体" w:hAnsi="宋体"/>
          <w:b/>
          <w:szCs w:val="21"/>
        </w:rPr>
        <w:t>招标文件</w:t>
      </w:r>
      <w:r>
        <w:rPr>
          <w:rFonts w:hint="eastAsia" w:ascii="宋体" w:hAnsi="宋体"/>
          <w:b/>
          <w:szCs w:val="21"/>
        </w:rPr>
        <w:t>的</w:t>
      </w:r>
      <w:r>
        <w:rPr>
          <w:rFonts w:ascii="宋体" w:hAnsi="宋体"/>
          <w:b/>
          <w:szCs w:val="21"/>
        </w:rPr>
        <w:t>澄清、答复、修改、补充的内容</w:t>
      </w:r>
      <w:r>
        <w:rPr>
          <w:rFonts w:hint="eastAsia" w:ascii="宋体" w:hAnsi="宋体"/>
          <w:b/>
          <w:szCs w:val="21"/>
        </w:rPr>
        <w:t>（所有内容将以电子文档形式上传于浙江政府采购网网站（https://zfcg.czt.zj.gov.cn/）。</w:t>
      </w:r>
      <w:r>
        <w:rPr>
          <w:rFonts w:ascii="宋体" w:hAnsi="宋体"/>
          <w:b/>
          <w:szCs w:val="21"/>
        </w:rPr>
        <w:t>澄清、答复、修改、补充的内容</w:t>
      </w:r>
      <w:r>
        <w:rPr>
          <w:rFonts w:hint="eastAsia" w:ascii="宋体" w:hAnsi="宋体"/>
          <w:b/>
          <w:szCs w:val="21"/>
        </w:rPr>
        <w:t>均作为招标文件的组成部分，具有约束作用。投标人必须自行下载。）</w:t>
      </w:r>
    </w:p>
    <w:p>
      <w:pPr>
        <w:spacing w:line="360" w:lineRule="auto"/>
        <w:jc w:val="left"/>
        <w:rPr>
          <w:rFonts w:ascii="宋体" w:hAnsi="宋体"/>
          <w:b/>
          <w:szCs w:val="21"/>
        </w:rPr>
      </w:pPr>
      <w:r>
        <w:rPr>
          <w:rFonts w:hint="eastAsia" w:ascii="宋体" w:hAnsi="宋体"/>
          <w:b/>
          <w:szCs w:val="21"/>
        </w:rPr>
        <w:t>2.存在的风险</w:t>
      </w:r>
    </w:p>
    <w:p>
      <w:pPr>
        <w:spacing w:line="360" w:lineRule="auto"/>
        <w:ind w:firstLine="420" w:firstLineChars="200"/>
        <w:jc w:val="left"/>
        <w:rPr>
          <w:rFonts w:ascii="宋体" w:hAnsi="宋体"/>
          <w:szCs w:val="21"/>
        </w:rPr>
      </w:pPr>
      <w:r>
        <w:rPr>
          <w:rFonts w:hint="eastAsia" w:ascii="宋体" w:hAnsi="宋体"/>
          <w:szCs w:val="21"/>
        </w:rPr>
        <w:t>投标人没有按照招标文件要求提供全部资料，或者投标人没有对招标文件在各方面作出实质性响应是投标人的风险，并可能导致其投标无效。</w:t>
      </w:r>
    </w:p>
    <w:p>
      <w:pPr>
        <w:tabs>
          <w:tab w:val="left" w:pos="360"/>
          <w:tab w:val="left" w:pos="454"/>
        </w:tabs>
        <w:spacing w:line="360" w:lineRule="auto"/>
        <w:jc w:val="left"/>
        <w:rPr>
          <w:rFonts w:ascii="宋体" w:hAnsi="宋体"/>
          <w:b/>
          <w:kern w:val="0"/>
          <w:szCs w:val="21"/>
        </w:rPr>
      </w:pPr>
      <w:r>
        <w:rPr>
          <w:rFonts w:hint="eastAsia" w:ascii="宋体" w:hAnsi="宋体"/>
          <w:b/>
          <w:kern w:val="0"/>
          <w:szCs w:val="21"/>
        </w:rPr>
        <w:t xml:space="preserve">3.招标文件的澄清与修改 </w:t>
      </w:r>
    </w:p>
    <w:p>
      <w:pPr>
        <w:snapToGrid w:val="0"/>
        <w:spacing w:line="360" w:lineRule="auto"/>
        <w:ind w:firstLine="315" w:firstLineChars="150"/>
        <w:rPr>
          <w:rFonts w:ascii="宋体" w:hAnsi="宋体"/>
          <w:szCs w:val="21"/>
        </w:rPr>
      </w:pPr>
      <w:bookmarkStart w:id="145" w:name="_Toc488072273"/>
      <w:bookmarkStart w:id="146" w:name="_Toc488072186"/>
      <w:r>
        <w:rPr>
          <w:rFonts w:hint="eastAsia" w:ascii="宋体" w:hAnsi="宋体"/>
          <w:szCs w:val="21"/>
        </w:rPr>
        <w:t>3.</w:t>
      </w:r>
      <w:r>
        <w:rPr>
          <w:rFonts w:ascii="宋体" w:hAnsi="宋体"/>
          <w:szCs w:val="21"/>
        </w:rPr>
        <w:t>1投标人应认真阅读本招标文件，发现其中有误或有不合理要求的，</w:t>
      </w:r>
      <w:r>
        <w:rPr>
          <w:rFonts w:hint="eastAsia" w:ascii="宋体" w:hAnsi="宋体"/>
          <w:szCs w:val="21"/>
        </w:rPr>
        <w:t>可</w:t>
      </w:r>
      <w:r>
        <w:rPr>
          <w:rFonts w:ascii="宋体" w:hAnsi="宋体"/>
          <w:szCs w:val="21"/>
        </w:rPr>
        <w:t>要求招标</w:t>
      </w:r>
      <w:r>
        <w:rPr>
          <w:rFonts w:hint="eastAsia" w:ascii="宋体" w:hAnsi="宋体"/>
          <w:szCs w:val="21"/>
        </w:rPr>
        <w:t>人</w:t>
      </w:r>
      <w:r>
        <w:rPr>
          <w:rFonts w:ascii="宋体" w:hAnsi="宋体"/>
          <w:szCs w:val="21"/>
        </w:rPr>
        <w:t>澄清。</w:t>
      </w:r>
      <w:r>
        <w:rPr>
          <w:rFonts w:hint="eastAsia" w:ascii="宋体" w:hAnsi="宋体"/>
          <w:szCs w:val="21"/>
        </w:rPr>
        <w:t>招标人</w:t>
      </w:r>
      <w:r>
        <w:rPr>
          <w:rFonts w:ascii="宋体" w:hAnsi="宋体"/>
          <w:szCs w:val="21"/>
        </w:rPr>
        <w:t>对已发出的招标文件进行必要澄清</w:t>
      </w:r>
      <w:r>
        <w:rPr>
          <w:rFonts w:hint="eastAsia" w:ascii="宋体" w:hAnsi="宋体"/>
          <w:szCs w:val="21"/>
        </w:rPr>
        <w:t>或者</w:t>
      </w:r>
      <w:r>
        <w:rPr>
          <w:rFonts w:ascii="宋体" w:hAnsi="宋体"/>
          <w:szCs w:val="21"/>
        </w:rPr>
        <w:t>修改的，应当在招标文件要求提交投标文件截止</w:t>
      </w:r>
      <w:r>
        <w:rPr>
          <w:rFonts w:hint="eastAsia" w:ascii="宋体" w:hAnsi="宋体"/>
          <w:szCs w:val="21"/>
        </w:rPr>
        <w:t>十</w:t>
      </w:r>
      <w:r>
        <w:rPr>
          <w:rFonts w:ascii="宋体" w:hAnsi="宋体"/>
          <w:szCs w:val="21"/>
        </w:rPr>
        <w:t>五日前，在指定的采购信息发布媒体上发布更正公告，</w:t>
      </w:r>
      <w:r>
        <w:rPr>
          <w:rFonts w:hint="eastAsia" w:ascii="宋体" w:hAnsi="宋体"/>
          <w:szCs w:val="21"/>
        </w:rPr>
        <w:t>投标人必须自行下载</w:t>
      </w:r>
      <w:r>
        <w:rPr>
          <w:rFonts w:ascii="宋体" w:hAnsi="宋体"/>
          <w:szCs w:val="21"/>
        </w:rPr>
        <w:t>。</w:t>
      </w:r>
    </w:p>
    <w:p>
      <w:pPr>
        <w:snapToGrid w:val="0"/>
        <w:spacing w:line="360" w:lineRule="auto"/>
        <w:ind w:firstLine="315" w:firstLineChars="150"/>
        <w:rPr>
          <w:rFonts w:ascii="宋体" w:hAnsi="宋体"/>
          <w:szCs w:val="21"/>
        </w:rPr>
      </w:pPr>
      <w:r>
        <w:rPr>
          <w:rFonts w:hint="eastAsia" w:ascii="宋体" w:hAnsi="宋体"/>
          <w:szCs w:val="21"/>
        </w:rPr>
        <w:t>3.</w:t>
      </w:r>
      <w:r>
        <w:rPr>
          <w:rFonts w:ascii="宋体" w:hAnsi="宋体"/>
          <w:szCs w:val="21"/>
        </w:rPr>
        <w:t>2招标文件澄清</w:t>
      </w:r>
      <w:r>
        <w:rPr>
          <w:rFonts w:hint="eastAsia" w:ascii="宋体" w:hAnsi="宋体"/>
          <w:szCs w:val="21"/>
        </w:rPr>
        <w:t>或者</w:t>
      </w:r>
      <w:r>
        <w:rPr>
          <w:rFonts w:ascii="宋体" w:hAnsi="宋体"/>
          <w:szCs w:val="21"/>
        </w:rPr>
        <w:t>修改的内容为招标文件的组成部分。当招标文件与澄清</w:t>
      </w:r>
      <w:r>
        <w:rPr>
          <w:rFonts w:hint="eastAsia" w:ascii="宋体" w:hAnsi="宋体"/>
          <w:szCs w:val="21"/>
        </w:rPr>
        <w:t>或者</w:t>
      </w:r>
      <w:r>
        <w:rPr>
          <w:rFonts w:ascii="宋体" w:hAnsi="宋体"/>
          <w:szCs w:val="21"/>
        </w:rPr>
        <w:t>修改就同一内容的表述不一致时，以最后发出的文件为准。</w:t>
      </w:r>
    </w:p>
    <w:p>
      <w:pPr>
        <w:snapToGrid w:val="0"/>
        <w:spacing w:line="360" w:lineRule="auto"/>
        <w:ind w:firstLine="315" w:firstLineChars="150"/>
        <w:rPr>
          <w:rFonts w:ascii="宋体" w:hAnsi="宋体"/>
          <w:b/>
          <w:szCs w:val="21"/>
        </w:rPr>
      </w:pPr>
      <w:r>
        <w:rPr>
          <w:rFonts w:hint="eastAsia" w:ascii="宋体" w:hAnsi="宋体"/>
          <w:szCs w:val="21"/>
        </w:rPr>
        <w:t>3.3对</w:t>
      </w:r>
      <w:r>
        <w:rPr>
          <w:rFonts w:ascii="宋体" w:hAnsi="宋体"/>
          <w:szCs w:val="21"/>
        </w:rPr>
        <w:t>招标文件的澄清、答复、修改或补充都应该通过</w:t>
      </w:r>
      <w:r>
        <w:rPr>
          <w:rFonts w:hint="eastAsia" w:ascii="宋体" w:hAnsi="宋体"/>
          <w:szCs w:val="21"/>
        </w:rPr>
        <w:t>采购机构</w:t>
      </w:r>
      <w:r>
        <w:rPr>
          <w:rFonts w:ascii="宋体" w:hAnsi="宋体"/>
          <w:szCs w:val="21"/>
        </w:rPr>
        <w:t>以法定形式发布，</w:t>
      </w:r>
      <w:r>
        <w:rPr>
          <w:rFonts w:hint="eastAsia" w:ascii="宋体" w:hAnsi="宋体"/>
          <w:szCs w:val="21"/>
        </w:rPr>
        <w:t>招标人</w:t>
      </w:r>
      <w:r>
        <w:rPr>
          <w:rFonts w:ascii="宋体" w:hAnsi="宋体"/>
          <w:szCs w:val="21"/>
        </w:rPr>
        <w:t>非通过本机构，不得擅自澄清、答复、修改或补充招标文件。</w:t>
      </w:r>
      <w:bookmarkStart w:id="147" w:name="_Toc509308142"/>
      <w:bookmarkStart w:id="148" w:name="_Toc509308062"/>
    </w:p>
    <w:p>
      <w:pPr>
        <w:snapToGrid w:val="0"/>
        <w:spacing w:line="360" w:lineRule="auto"/>
        <w:ind w:firstLine="413" w:firstLineChars="196"/>
        <w:jc w:val="center"/>
        <w:outlineLvl w:val="1"/>
        <w:rPr>
          <w:rFonts w:ascii="宋体" w:hAnsi="宋体"/>
          <w:b/>
          <w:szCs w:val="21"/>
        </w:rPr>
      </w:pPr>
      <w:bookmarkStart w:id="149" w:name="_Toc119922195"/>
      <w:r>
        <w:rPr>
          <w:rFonts w:ascii="宋体" w:hAnsi="宋体"/>
          <w:b/>
          <w:szCs w:val="21"/>
        </w:rPr>
        <w:t>三、投标文件的编制</w:t>
      </w:r>
      <w:bookmarkEnd w:id="145"/>
      <w:bookmarkEnd w:id="146"/>
      <w:bookmarkEnd w:id="147"/>
      <w:bookmarkEnd w:id="148"/>
      <w:bookmarkEnd w:id="149"/>
    </w:p>
    <w:p>
      <w:pPr>
        <w:snapToGrid w:val="0"/>
        <w:spacing w:line="360" w:lineRule="auto"/>
        <w:ind w:firstLine="411" w:firstLineChars="196"/>
        <w:jc w:val="left"/>
        <w:outlineLvl w:val="0"/>
        <w:rPr>
          <w:rFonts w:ascii="宋体" w:hAnsi="宋体"/>
          <w:szCs w:val="21"/>
        </w:rPr>
      </w:pPr>
      <w:bookmarkStart w:id="150" w:name="_Toc509308063"/>
      <w:bookmarkStart w:id="151" w:name="_Toc488072187"/>
      <w:bookmarkStart w:id="152" w:name="_Toc404289998"/>
      <w:bookmarkStart w:id="153" w:name="_Toc509308143"/>
      <w:bookmarkStart w:id="154" w:name="_Toc404289906"/>
      <w:bookmarkStart w:id="155" w:name="_Toc477785322"/>
      <w:bookmarkStart w:id="156" w:name="_Toc119922196"/>
      <w:bookmarkStart w:id="157" w:name="_Toc488072274"/>
      <w:r>
        <w:rPr>
          <w:rFonts w:hint="eastAsia" w:ascii="宋体" w:hAnsi="宋体"/>
          <w:szCs w:val="21"/>
        </w:rPr>
        <w:t>（一）投标文件的组成</w:t>
      </w:r>
      <w:bookmarkEnd w:id="150"/>
      <w:bookmarkEnd w:id="151"/>
      <w:bookmarkEnd w:id="152"/>
      <w:bookmarkEnd w:id="153"/>
      <w:bookmarkEnd w:id="154"/>
      <w:bookmarkEnd w:id="155"/>
      <w:bookmarkEnd w:id="156"/>
      <w:bookmarkEnd w:id="157"/>
    </w:p>
    <w:p>
      <w:pPr>
        <w:spacing w:line="360" w:lineRule="auto"/>
        <w:ind w:firstLine="420" w:firstLineChars="200"/>
        <w:rPr>
          <w:rFonts w:hint="eastAsia" w:ascii="宋体" w:hAnsi="宋体" w:eastAsia="宋体"/>
          <w:szCs w:val="21"/>
          <w:lang w:eastAsia="zh-CN"/>
        </w:rPr>
      </w:pPr>
      <w:r>
        <w:rPr>
          <w:rFonts w:hint="eastAsia" w:ascii="宋体" w:hAnsi="宋体"/>
          <w:szCs w:val="21"/>
        </w:rPr>
        <w:t>投标文件由资格文件、技术商务文件和报价文件三部份组成。</w:t>
      </w:r>
      <w:r>
        <w:rPr>
          <w:rFonts w:hint="eastAsia" w:ascii="宋体" w:hAnsi="宋体"/>
          <w:b/>
          <w:bCs/>
          <w:szCs w:val="21"/>
          <w:lang w:eastAsia="zh-CN"/>
        </w:rPr>
        <w:t>（</w:t>
      </w:r>
      <w:r>
        <w:rPr>
          <w:rFonts w:hint="eastAsia" w:ascii="宋体" w:hAnsi="宋体"/>
          <w:b/>
          <w:bCs/>
          <w:szCs w:val="21"/>
          <w:lang w:val="en-US" w:eastAsia="zh-CN"/>
        </w:rPr>
        <w:t>标项一和标项二需分别制作</w:t>
      </w:r>
      <w:r>
        <w:rPr>
          <w:rFonts w:hint="eastAsia" w:ascii="宋体" w:hAnsi="宋体"/>
          <w:b/>
          <w:bCs/>
          <w:szCs w:val="21"/>
          <w:lang w:eastAsia="zh-CN"/>
        </w:rPr>
        <w:t>）</w:t>
      </w:r>
    </w:p>
    <w:p>
      <w:pPr>
        <w:spacing w:line="360" w:lineRule="auto"/>
        <w:ind w:firstLine="422" w:firstLineChars="200"/>
        <w:rPr>
          <w:rFonts w:ascii="宋体" w:hAnsi="宋体"/>
          <w:b/>
          <w:szCs w:val="21"/>
        </w:rPr>
      </w:pPr>
      <w:r>
        <w:rPr>
          <w:rFonts w:hint="eastAsia" w:ascii="宋体" w:hAnsi="宋体"/>
          <w:b/>
          <w:szCs w:val="21"/>
        </w:rPr>
        <w:t>1.资格文件：</w:t>
      </w:r>
    </w:p>
    <w:p>
      <w:pPr>
        <w:spacing w:line="360" w:lineRule="auto"/>
        <w:ind w:firstLine="420" w:firstLineChars="200"/>
        <w:rPr>
          <w:rFonts w:ascii="宋体" w:hAnsi="宋体"/>
          <w:szCs w:val="21"/>
        </w:rPr>
      </w:pPr>
      <w:r>
        <w:rPr>
          <w:rFonts w:hint="eastAsia" w:ascii="宋体" w:hAnsi="宋体"/>
          <w:szCs w:val="21"/>
        </w:rPr>
        <w:t>1.1资格文件封面及目录（附件1）；</w:t>
      </w:r>
    </w:p>
    <w:p>
      <w:pPr>
        <w:spacing w:line="360" w:lineRule="auto"/>
        <w:ind w:firstLine="420" w:firstLineChars="200"/>
        <w:rPr>
          <w:rFonts w:ascii="宋体" w:hAnsi="宋体"/>
          <w:szCs w:val="21"/>
        </w:rPr>
      </w:pPr>
      <w:r>
        <w:rPr>
          <w:rFonts w:hint="eastAsia" w:ascii="宋体" w:hAnsi="宋体"/>
          <w:szCs w:val="21"/>
        </w:rPr>
        <w:t>1.2投标人声明书（附件2）；</w:t>
      </w:r>
    </w:p>
    <w:p>
      <w:pPr>
        <w:spacing w:line="360" w:lineRule="auto"/>
        <w:ind w:firstLine="420" w:firstLineChars="200"/>
        <w:rPr>
          <w:rFonts w:ascii="宋体" w:hAnsi="宋体"/>
          <w:szCs w:val="21"/>
        </w:rPr>
      </w:pPr>
      <w:r>
        <w:rPr>
          <w:rFonts w:hint="eastAsia" w:ascii="宋体" w:hAnsi="宋体"/>
          <w:szCs w:val="21"/>
        </w:rPr>
        <w:t>1.3营业执照正本或副本复印件（盖单位公章）；</w:t>
      </w:r>
    </w:p>
    <w:p>
      <w:pPr>
        <w:spacing w:line="360" w:lineRule="auto"/>
        <w:ind w:firstLine="420" w:firstLineChars="200"/>
        <w:rPr>
          <w:rFonts w:ascii="宋体" w:hAnsi="宋体"/>
          <w:szCs w:val="21"/>
        </w:rPr>
      </w:pPr>
      <w:r>
        <w:rPr>
          <w:rFonts w:hint="eastAsia" w:ascii="宋体" w:hAnsi="宋体"/>
          <w:szCs w:val="21"/>
        </w:rPr>
        <w:t>1.4税务登记证正本或副本复印件（与营业执照合一的无需提供）（盖单位公章）；</w:t>
      </w:r>
    </w:p>
    <w:p>
      <w:pPr>
        <w:spacing w:line="360" w:lineRule="auto"/>
        <w:ind w:firstLine="420" w:firstLineChars="200"/>
        <w:rPr>
          <w:rFonts w:ascii="宋体" w:hAnsi="宋体"/>
          <w:szCs w:val="21"/>
        </w:rPr>
      </w:pPr>
      <w:r>
        <w:rPr>
          <w:rFonts w:hint="eastAsia" w:ascii="宋体" w:hAnsi="宋体"/>
          <w:szCs w:val="21"/>
        </w:rPr>
        <w:t>1.5法定代表人有效身份证件复印件；</w:t>
      </w:r>
    </w:p>
    <w:p>
      <w:pPr>
        <w:spacing w:line="360" w:lineRule="auto"/>
        <w:ind w:firstLine="420" w:firstLineChars="200"/>
        <w:rPr>
          <w:rFonts w:ascii="宋体" w:hAnsi="宋体"/>
          <w:szCs w:val="21"/>
        </w:rPr>
      </w:pPr>
      <w:r>
        <w:rPr>
          <w:rFonts w:hint="eastAsia" w:ascii="宋体" w:hAnsi="宋体"/>
          <w:szCs w:val="21"/>
        </w:rPr>
        <w:t>1.6法定代表人授权委托书（附件3）及授权代表有效身份证件复印件（授权代表参加开标的须提供）；</w:t>
      </w:r>
    </w:p>
    <w:p>
      <w:pPr>
        <w:spacing w:line="360" w:lineRule="auto"/>
        <w:ind w:firstLine="420" w:firstLineChars="200"/>
        <w:rPr>
          <w:rFonts w:ascii="宋体" w:hAnsi="宋体"/>
          <w:szCs w:val="21"/>
        </w:rPr>
      </w:pPr>
      <w:r>
        <w:rPr>
          <w:rFonts w:hint="eastAsia" w:ascii="宋体" w:hAnsi="宋体"/>
          <w:szCs w:val="21"/>
        </w:rPr>
        <w:t>1.7投标人认为需要提供的其他资料。</w:t>
      </w:r>
    </w:p>
    <w:p>
      <w:pPr>
        <w:spacing w:line="360" w:lineRule="auto"/>
        <w:ind w:firstLine="422" w:firstLineChars="200"/>
        <w:rPr>
          <w:rFonts w:ascii="宋体" w:hAnsi="宋体"/>
          <w:b/>
          <w:szCs w:val="21"/>
        </w:rPr>
      </w:pPr>
      <w:r>
        <w:rPr>
          <w:rFonts w:hint="eastAsia" w:ascii="宋体" w:hAnsi="宋体"/>
          <w:b/>
          <w:szCs w:val="21"/>
        </w:rPr>
        <w:t>2．技术商务文件：</w:t>
      </w:r>
    </w:p>
    <w:p>
      <w:pPr>
        <w:spacing w:line="360" w:lineRule="auto"/>
        <w:ind w:firstLine="420" w:firstLineChars="200"/>
        <w:rPr>
          <w:rFonts w:ascii="宋体" w:hAnsi="宋体"/>
          <w:szCs w:val="21"/>
        </w:rPr>
      </w:pPr>
      <w:r>
        <w:rPr>
          <w:rFonts w:hint="eastAsia" w:ascii="宋体" w:hAnsi="宋体"/>
          <w:szCs w:val="21"/>
        </w:rPr>
        <w:t>2.1技术商务文件封面及目录（附件4）；</w:t>
      </w:r>
    </w:p>
    <w:p>
      <w:pPr>
        <w:spacing w:line="360" w:lineRule="auto"/>
        <w:ind w:firstLine="420" w:firstLineChars="200"/>
        <w:rPr>
          <w:rFonts w:ascii="宋体" w:hAnsi="宋体"/>
          <w:szCs w:val="21"/>
        </w:rPr>
      </w:pPr>
      <w:r>
        <w:rPr>
          <w:rFonts w:hint="eastAsia" w:ascii="宋体" w:hAnsi="宋体"/>
          <w:szCs w:val="21"/>
        </w:rPr>
        <w:t>2.2投标人基本情况表（附件5）；</w:t>
      </w:r>
    </w:p>
    <w:p>
      <w:pPr>
        <w:spacing w:line="360" w:lineRule="auto"/>
        <w:ind w:firstLine="420" w:firstLineChars="200"/>
      </w:pPr>
      <w:r>
        <w:rPr>
          <w:rFonts w:hint="eastAsia" w:ascii="宋体" w:hAnsi="宋体"/>
          <w:szCs w:val="21"/>
        </w:rPr>
        <w:t>2.3本项目总体理解、实施方案、组织计划等；</w:t>
      </w:r>
    </w:p>
    <w:p>
      <w:pPr>
        <w:spacing w:line="360" w:lineRule="auto"/>
        <w:ind w:firstLine="420" w:firstLineChars="200"/>
        <w:rPr>
          <w:rFonts w:ascii="宋体" w:hAnsi="宋体"/>
          <w:szCs w:val="21"/>
        </w:rPr>
      </w:pPr>
      <w:r>
        <w:rPr>
          <w:rFonts w:hint="eastAsia" w:ascii="宋体" w:hAnsi="宋体"/>
          <w:szCs w:val="21"/>
        </w:rPr>
        <w:t>2.4项目实施人员一览表（附件6）</w:t>
      </w:r>
    </w:p>
    <w:p>
      <w:pPr>
        <w:spacing w:line="360" w:lineRule="auto"/>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5</w:t>
      </w:r>
      <w:r>
        <w:rPr>
          <w:rFonts w:hint="eastAsia" w:ascii="宋体" w:hAnsi="宋体"/>
          <w:szCs w:val="21"/>
        </w:rPr>
        <w:t>同类案例成功的业绩（附件7）</w:t>
      </w:r>
    </w:p>
    <w:p>
      <w:pPr>
        <w:spacing w:line="360" w:lineRule="auto"/>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6</w:t>
      </w:r>
      <w:r>
        <w:rPr>
          <w:rFonts w:hint="eastAsia" w:ascii="宋体" w:hAnsi="宋体"/>
          <w:szCs w:val="21"/>
        </w:rPr>
        <w:t>服务承诺（附件8）；</w:t>
      </w:r>
    </w:p>
    <w:p>
      <w:pPr>
        <w:spacing w:line="360" w:lineRule="auto"/>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7</w:t>
      </w:r>
      <w:r>
        <w:rPr>
          <w:rFonts w:hint="eastAsia" w:ascii="宋体" w:hAnsi="宋体"/>
          <w:szCs w:val="21"/>
        </w:rPr>
        <w:t>招标文件需要的其他资料及投标人认为需要提供的其他内容。（参照评标办法）</w:t>
      </w:r>
    </w:p>
    <w:p>
      <w:pPr>
        <w:spacing w:line="360" w:lineRule="auto"/>
        <w:ind w:firstLine="422" w:firstLineChars="200"/>
        <w:rPr>
          <w:rFonts w:ascii="宋体" w:hAnsi="宋体"/>
          <w:b/>
          <w:szCs w:val="21"/>
        </w:rPr>
      </w:pPr>
      <w:r>
        <w:rPr>
          <w:rFonts w:hint="eastAsia" w:ascii="宋体" w:hAnsi="宋体"/>
          <w:b/>
          <w:szCs w:val="21"/>
        </w:rPr>
        <w:t>3．报价文件：</w:t>
      </w:r>
    </w:p>
    <w:p>
      <w:pPr>
        <w:spacing w:line="360" w:lineRule="auto"/>
        <w:ind w:firstLine="420" w:firstLineChars="200"/>
        <w:rPr>
          <w:rFonts w:ascii="宋体" w:hAnsi="宋体"/>
          <w:szCs w:val="21"/>
        </w:rPr>
      </w:pPr>
      <w:r>
        <w:rPr>
          <w:rFonts w:hint="eastAsia" w:ascii="宋体" w:hAnsi="宋体"/>
          <w:szCs w:val="21"/>
        </w:rPr>
        <w:t>3.1报价文件封面及目录（附件9）；</w:t>
      </w:r>
    </w:p>
    <w:p>
      <w:pPr>
        <w:spacing w:line="360" w:lineRule="auto"/>
        <w:ind w:firstLine="420" w:firstLineChars="200"/>
        <w:rPr>
          <w:rFonts w:ascii="宋体" w:hAnsi="宋体"/>
          <w:szCs w:val="21"/>
        </w:rPr>
      </w:pPr>
      <w:r>
        <w:rPr>
          <w:rFonts w:hint="eastAsia" w:ascii="宋体" w:hAnsi="宋体"/>
          <w:szCs w:val="21"/>
        </w:rPr>
        <w:t>3.2报价一览表（附件10）；</w:t>
      </w:r>
    </w:p>
    <w:p>
      <w:pPr>
        <w:spacing w:line="360" w:lineRule="auto"/>
        <w:ind w:firstLine="420" w:firstLineChars="200"/>
        <w:rPr>
          <w:rFonts w:ascii="宋体" w:hAnsi="宋体"/>
          <w:szCs w:val="21"/>
        </w:rPr>
      </w:pPr>
      <w:r>
        <w:rPr>
          <w:rFonts w:hint="eastAsia" w:ascii="宋体" w:hAnsi="宋体"/>
          <w:szCs w:val="21"/>
        </w:rPr>
        <w:t>3.3报价明细表（附件11）</w:t>
      </w:r>
    </w:p>
    <w:p>
      <w:pPr>
        <w:spacing w:line="360" w:lineRule="auto"/>
        <w:ind w:firstLine="420" w:firstLineChars="200"/>
        <w:rPr>
          <w:rFonts w:ascii="宋体" w:hAnsi="宋体"/>
          <w:szCs w:val="21"/>
        </w:rPr>
      </w:pPr>
      <w:r>
        <w:rPr>
          <w:rFonts w:hint="eastAsia" w:ascii="宋体" w:hAnsi="宋体"/>
          <w:szCs w:val="21"/>
        </w:rPr>
        <w:t>3.4投标人针对报价需要说明的其他文件和说明。</w:t>
      </w:r>
    </w:p>
    <w:p>
      <w:pPr>
        <w:spacing w:line="360" w:lineRule="auto"/>
        <w:rPr>
          <w:rFonts w:ascii="宋体" w:hAnsi="宋体"/>
          <w:b/>
          <w:szCs w:val="21"/>
        </w:rPr>
      </w:pPr>
      <w:r>
        <w:rPr>
          <w:rFonts w:hint="eastAsia" w:ascii="宋体" w:hAnsi="宋体"/>
          <w:b/>
          <w:szCs w:val="21"/>
        </w:rPr>
        <w:t>（二）投标文件的语言及计量</w:t>
      </w:r>
    </w:p>
    <w:p>
      <w:pPr>
        <w:snapToGrid w:val="0"/>
        <w:spacing w:line="360" w:lineRule="auto"/>
        <w:jc w:val="left"/>
        <w:rPr>
          <w:rFonts w:ascii="宋体" w:hAnsi="宋体"/>
          <w:szCs w:val="21"/>
        </w:rPr>
      </w:pPr>
      <w:r>
        <w:rPr>
          <w:rFonts w:hint="eastAsia" w:ascii="宋体" w:hAnsi="宋体"/>
          <w:szCs w:val="21"/>
        </w:rPr>
        <w:t xml:space="preserve">   1.</w:t>
      </w:r>
      <w:r>
        <w:rPr>
          <w:rFonts w:ascii="宋体" w:hAnsi="宋体"/>
          <w:szCs w:val="21"/>
        </w:rPr>
        <w:t xml:space="preserve"> 投标文件以及投标</w:t>
      </w:r>
      <w:r>
        <w:rPr>
          <w:rFonts w:hint="eastAsia" w:ascii="宋体" w:hAnsi="宋体"/>
          <w:szCs w:val="21"/>
        </w:rPr>
        <w:t>人</w:t>
      </w:r>
      <w:r>
        <w:rPr>
          <w:rFonts w:ascii="宋体" w:hAnsi="宋体"/>
          <w:szCs w:val="21"/>
        </w:rPr>
        <w:t>与招标</w:t>
      </w:r>
      <w:r>
        <w:rPr>
          <w:rFonts w:hint="eastAsia" w:ascii="宋体" w:hAnsi="宋体"/>
          <w:szCs w:val="21"/>
        </w:rPr>
        <w:t>人</w:t>
      </w:r>
      <w:r>
        <w:rPr>
          <w:rFonts w:ascii="宋体" w:hAnsi="宋体"/>
          <w:szCs w:val="21"/>
        </w:rPr>
        <w:t>就有关投标事宜的所有来往函电，均应以中文汉语书写。除签名、盖章、专用名称等特殊情形外，以中文汉语以外的文字表述的投标文件视同未提供。</w:t>
      </w:r>
    </w:p>
    <w:p>
      <w:pPr>
        <w:snapToGrid w:val="0"/>
        <w:spacing w:line="360" w:lineRule="auto"/>
        <w:jc w:val="left"/>
        <w:rPr>
          <w:rFonts w:ascii="宋体" w:hAnsi="宋体"/>
          <w:szCs w:val="21"/>
        </w:rPr>
      </w:pPr>
      <w:r>
        <w:rPr>
          <w:rFonts w:hint="eastAsia" w:ascii="宋体" w:hAnsi="宋体"/>
          <w:szCs w:val="21"/>
        </w:rPr>
        <w:t xml:space="preserve">  2.投标计量单位，招标文件已有明确规定的，使用招标文件规定的计量单位；招标文件没有规定的，应采用中华人民共和国法定计量单位（货币单位：人民币元），否则视同未响应。</w:t>
      </w:r>
    </w:p>
    <w:p>
      <w:pPr>
        <w:spacing w:line="360" w:lineRule="auto"/>
        <w:jc w:val="left"/>
        <w:outlineLvl w:val="0"/>
        <w:rPr>
          <w:rFonts w:ascii="宋体" w:hAnsi="宋体"/>
          <w:b/>
          <w:szCs w:val="21"/>
        </w:rPr>
      </w:pPr>
      <w:bookmarkStart w:id="158" w:name="_Toc509308064"/>
      <w:bookmarkStart w:id="159" w:name="_Toc404289999"/>
      <w:bookmarkStart w:id="160" w:name="_Toc509308144"/>
      <w:bookmarkStart w:id="161" w:name="_Toc404289907"/>
      <w:bookmarkStart w:id="162" w:name="_Toc477785323"/>
      <w:bookmarkStart w:id="163" w:name="_Toc488072188"/>
      <w:bookmarkStart w:id="164" w:name="_Toc177825126"/>
      <w:bookmarkStart w:id="165" w:name="_Toc177824945"/>
      <w:bookmarkStart w:id="166" w:name="_Toc488072275"/>
      <w:bookmarkStart w:id="167" w:name="_Toc177870548"/>
      <w:bookmarkStart w:id="168" w:name="_Toc119922197"/>
      <w:bookmarkStart w:id="169" w:name="_Toc177824878"/>
      <w:r>
        <w:rPr>
          <w:rFonts w:hint="eastAsia" w:ascii="宋体" w:hAnsi="宋体"/>
          <w:b/>
          <w:szCs w:val="21"/>
        </w:rPr>
        <w:t>（三） 投标报价</w:t>
      </w:r>
      <w:bookmarkEnd w:id="158"/>
      <w:bookmarkEnd w:id="159"/>
      <w:bookmarkEnd w:id="160"/>
      <w:bookmarkEnd w:id="161"/>
      <w:bookmarkEnd w:id="162"/>
      <w:bookmarkEnd w:id="163"/>
      <w:bookmarkEnd w:id="164"/>
      <w:bookmarkEnd w:id="165"/>
      <w:bookmarkEnd w:id="166"/>
      <w:bookmarkEnd w:id="167"/>
      <w:bookmarkEnd w:id="168"/>
      <w:bookmarkEnd w:id="169"/>
    </w:p>
    <w:p>
      <w:pPr>
        <w:widowControl/>
        <w:tabs>
          <w:tab w:val="left" w:pos="360"/>
          <w:tab w:val="left" w:pos="454"/>
        </w:tabs>
        <w:spacing w:afterLines="50" w:line="360" w:lineRule="auto"/>
        <w:ind w:left="170"/>
        <w:jc w:val="left"/>
        <w:rPr>
          <w:rFonts w:ascii="宋体" w:hAnsi="宋体"/>
          <w:szCs w:val="21"/>
        </w:rPr>
      </w:pPr>
      <w:r>
        <w:rPr>
          <w:rFonts w:hint="eastAsia" w:ascii="宋体" w:hAnsi="宋体"/>
          <w:szCs w:val="21"/>
        </w:rPr>
        <w:t>1.投标报价应按招标文件中相关附表格式填写。</w:t>
      </w:r>
    </w:p>
    <w:p>
      <w:pPr>
        <w:widowControl/>
        <w:tabs>
          <w:tab w:val="left" w:pos="360"/>
          <w:tab w:val="left" w:pos="454"/>
        </w:tabs>
        <w:spacing w:afterLines="50" w:line="360" w:lineRule="auto"/>
        <w:ind w:left="170"/>
        <w:jc w:val="left"/>
        <w:rPr>
          <w:rFonts w:ascii="宋体" w:hAnsi="宋体"/>
          <w:szCs w:val="21"/>
        </w:rPr>
      </w:pPr>
      <w:r>
        <w:rPr>
          <w:rFonts w:hint="eastAsia" w:ascii="宋体" w:hAnsi="宋体"/>
          <w:szCs w:val="21"/>
        </w:rPr>
        <w:t>2.投标报价应包含项目所需全部项目及服务，应包括提供相关服务的管理、设备、人员、耗材、利润、保险、税金等所有费用。</w:t>
      </w:r>
    </w:p>
    <w:p>
      <w:pPr>
        <w:widowControl/>
        <w:tabs>
          <w:tab w:val="left" w:pos="360"/>
          <w:tab w:val="left" w:pos="454"/>
        </w:tabs>
        <w:spacing w:afterLines="50" w:line="360" w:lineRule="auto"/>
        <w:ind w:left="170"/>
        <w:jc w:val="left"/>
        <w:rPr>
          <w:rFonts w:ascii="宋体" w:hAnsi="宋体"/>
          <w:b/>
          <w:kern w:val="0"/>
          <w:szCs w:val="21"/>
        </w:rPr>
      </w:pPr>
      <w:r>
        <w:rPr>
          <w:rFonts w:hint="eastAsia" w:ascii="宋体" w:hAnsi="宋体"/>
          <w:szCs w:val="21"/>
        </w:rPr>
        <w:t>3.投标文件只允许有一个报价，有选择的或有条件的报价将不予接受。</w:t>
      </w:r>
    </w:p>
    <w:p>
      <w:pPr>
        <w:widowControl/>
        <w:tabs>
          <w:tab w:val="left" w:pos="360"/>
          <w:tab w:val="left" w:pos="454"/>
        </w:tabs>
        <w:spacing w:afterLines="50" w:line="360" w:lineRule="auto"/>
        <w:jc w:val="left"/>
        <w:rPr>
          <w:rFonts w:ascii="宋体" w:hAnsi="宋体"/>
          <w:b/>
          <w:kern w:val="0"/>
          <w:szCs w:val="21"/>
        </w:rPr>
      </w:pPr>
      <w:r>
        <w:rPr>
          <w:rFonts w:hint="eastAsia" w:ascii="宋体" w:hAnsi="宋体"/>
          <w:b/>
          <w:kern w:val="0"/>
          <w:szCs w:val="21"/>
        </w:rPr>
        <w:t>（四）投标文件的有效期</w:t>
      </w:r>
    </w:p>
    <w:p>
      <w:pPr>
        <w:spacing w:line="360" w:lineRule="auto"/>
        <w:ind w:firstLine="210" w:firstLineChars="100"/>
        <w:rPr>
          <w:rFonts w:ascii="宋体" w:hAnsi="宋体"/>
          <w:szCs w:val="21"/>
        </w:rPr>
      </w:pPr>
      <w:bookmarkStart w:id="170" w:name="_Toc488072277"/>
      <w:bookmarkStart w:id="171" w:name="_Toc485990656"/>
      <w:bookmarkStart w:id="172" w:name="_Toc404290002"/>
      <w:bookmarkStart w:id="173" w:name="_Toc177870551"/>
      <w:bookmarkStart w:id="174" w:name="_Toc177824948"/>
      <w:bookmarkStart w:id="175" w:name="_Toc404289910"/>
      <w:bookmarkStart w:id="176" w:name="_Toc177825129"/>
      <w:bookmarkStart w:id="177" w:name="_Toc477785326"/>
      <w:bookmarkStart w:id="178" w:name="_Toc177824881"/>
      <w:r>
        <w:rPr>
          <w:rFonts w:ascii="宋体" w:hAnsi="宋体"/>
          <w:szCs w:val="21"/>
        </w:rPr>
        <w:t>1</w:t>
      </w:r>
      <w:r>
        <w:rPr>
          <w:rFonts w:hint="eastAsia" w:ascii="宋体" w:hAnsi="宋体"/>
          <w:szCs w:val="21"/>
        </w:rPr>
        <w:t>.</w:t>
      </w:r>
      <w:r>
        <w:rPr>
          <w:rFonts w:ascii="宋体" w:hAnsi="宋体"/>
          <w:szCs w:val="21"/>
        </w:rPr>
        <w:t>自投标截止日起</w:t>
      </w:r>
      <w:r>
        <w:rPr>
          <w:rFonts w:hint="eastAsia" w:ascii="宋体" w:hAnsi="宋体"/>
          <w:szCs w:val="21"/>
          <w:u w:val="single"/>
        </w:rPr>
        <w:t>90</w:t>
      </w:r>
      <w:r>
        <w:rPr>
          <w:rFonts w:ascii="宋体" w:hAnsi="宋体"/>
          <w:szCs w:val="21"/>
        </w:rPr>
        <w:t>天投标</w:t>
      </w:r>
      <w:r>
        <w:rPr>
          <w:rFonts w:hint="eastAsia" w:ascii="宋体" w:hAnsi="宋体"/>
          <w:szCs w:val="21"/>
        </w:rPr>
        <w:t>文件</w:t>
      </w:r>
      <w:r>
        <w:rPr>
          <w:rFonts w:ascii="宋体" w:hAnsi="宋体"/>
          <w:szCs w:val="21"/>
        </w:rPr>
        <w:t>应保持有效。有效期</w:t>
      </w:r>
      <w:r>
        <w:rPr>
          <w:rFonts w:hint="eastAsia" w:ascii="宋体" w:hAnsi="宋体"/>
          <w:szCs w:val="21"/>
        </w:rPr>
        <w:t>不足</w:t>
      </w:r>
      <w:r>
        <w:rPr>
          <w:rFonts w:ascii="宋体" w:hAnsi="宋体"/>
          <w:szCs w:val="21"/>
        </w:rPr>
        <w:t>的投标</w:t>
      </w:r>
      <w:r>
        <w:rPr>
          <w:rFonts w:hint="eastAsia" w:ascii="宋体" w:hAnsi="宋体"/>
          <w:szCs w:val="21"/>
        </w:rPr>
        <w:t>文件</w:t>
      </w:r>
      <w:r>
        <w:rPr>
          <w:rFonts w:ascii="宋体" w:hAnsi="宋体"/>
          <w:szCs w:val="21"/>
        </w:rPr>
        <w:t>将被拒绝。</w:t>
      </w:r>
    </w:p>
    <w:p>
      <w:pPr>
        <w:spacing w:line="360" w:lineRule="auto"/>
        <w:ind w:firstLine="210" w:firstLineChars="100"/>
        <w:rPr>
          <w:rFonts w:ascii="宋体" w:hAnsi="宋体"/>
          <w:szCs w:val="21"/>
        </w:rPr>
      </w:pPr>
      <w:r>
        <w:rPr>
          <w:rFonts w:ascii="宋体" w:hAnsi="宋体"/>
          <w:szCs w:val="21"/>
        </w:rPr>
        <w:t>2</w:t>
      </w:r>
      <w:r>
        <w:rPr>
          <w:rFonts w:hint="eastAsia" w:ascii="宋体" w:hAnsi="宋体"/>
          <w:szCs w:val="21"/>
        </w:rPr>
        <w:t>.</w:t>
      </w:r>
      <w:r>
        <w:rPr>
          <w:rFonts w:ascii="宋体" w:hAnsi="宋体"/>
          <w:szCs w:val="21"/>
        </w:rPr>
        <w:t>在特殊情况下，招标人可与投标人协商延长投标书的有效期，这种要求和答复均以书面形式进行。</w:t>
      </w:r>
    </w:p>
    <w:p>
      <w:pPr>
        <w:spacing w:line="360" w:lineRule="auto"/>
        <w:ind w:firstLine="210" w:firstLineChars="100"/>
        <w:rPr>
          <w:rFonts w:ascii="宋体" w:hAnsi="宋体"/>
          <w:szCs w:val="21"/>
        </w:rPr>
      </w:pPr>
      <w:bookmarkStart w:id="179" w:name="_Toc385854102"/>
      <w:bookmarkStart w:id="180" w:name="_Toc402963119"/>
      <w:bookmarkStart w:id="181" w:name="_Toc406402948"/>
      <w:bookmarkStart w:id="182" w:name="_Toc402963086"/>
      <w:bookmarkStart w:id="183" w:name="_Toc406402992"/>
      <w:bookmarkStart w:id="184" w:name="_Toc385854148"/>
      <w:r>
        <w:rPr>
          <w:rFonts w:ascii="宋体" w:hAnsi="宋体"/>
          <w:szCs w:val="21"/>
        </w:rPr>
        <w:t>3</w:t>
      </w:r>
      <w:r>
        <w:rPr>
          <w:rFonts w:hint="eastAsia" w:ascii="宋体" w:hAnsi="宋体"/>
          <w:szCs w:val="21"/>
        </w:rPr>
        <w:t>.</w:t>
      </w:r>
      <w:r>
        <w:rPr>
          <w:rFonts w:ascii="宋体" w:hAnsi="宋体"/>
          <w:szCs w:val="21"/>
        </w:rPr>
        <w:t>投标人可拒绝接受延期要求。</w:t>
      </w:r>
      <w:bookmarkEnd w:id="179"/>
      <w:bookmarkEnd w:id="180"/>
      <w:bookmarkEnd w:id="181"/>
      <w:bookmarkEnd w:id="182"/>
      <w:bookmarkEnd w:id="183"/>
      <w:bookmarkEnd w:id="184"/>
    </w:p>
    <w:p>
      <w:pPr>
        <w:spacing w:line="360" w:lineRule="auto"/>
        <w:ind w:firstLine="210" w:firstLineChars="100"/>
        <w:rPr>
          <w:rFonts w:ascii="宋体" w:hAnsi="宋体"/>
          <w:szCs w:val="21"/>
        </w:rPr>
      </w:pPr>
      <w:bookmarkStart w:id="185" w:name="_Toc406402949"/>
      <w:bookmarkStart w:id="186" w:name="_Toc385854149"/>
      <w:bookmarkStart w:id="187" w:name="_Toc402963087"/>
      <w:bookmarkStart w:id="188" w:name="_Toc385854103"/>
      <w:bookmarkStart w:id="189" w:name="_Toc406402993"/>
      <w:bookmarkStart w:id="190" w:name="_Toc402963120"/>
      <w:r>
        <w:rPr>
          <w:rFonts w:ascii="宋体" w:hAnsi="宋体"/>
          <w:szCs w:val="21"/>
        </w:rPr>
        <w:t>4</w:t>
      </w:r>
      <w:r>
        <w:rPr>
          <w:rFonts w:hint="eastAsia" w:ascii="宋体" w:hAnsi="宋体"/>
          <w:szCs w:val="21"/>
        </w:rPr>
        <w:t>.</w:t>
      </w:r>
      <w:r>
        <w:rPr>
          <w:rFonts w:ascii="宋体" w:hAnsi="宋体"/>
          <w:szCs w:val="21"/>
        </w:rPr>
        <w:t>中标人的投标文件自开标之日起至合同履行完毕止均应保持有效。</w:t>
      </w:r>
      <w:bookmarkEnd w:id="185"/>
      <w:bookmarkEnd w:id="186"/>
      <w:bookmarkEnd w:id="187"/>
      <w:bookmarkEnd w:id="188"/>
      <w:bookmarkEnd w:id="189"/>
      <w:bookmarkEnd w:id="190"/>
    </w:p>
    <w:bookmarkEnd w:id="170"/>
    <w:bookmarkEnd w:id="171"/>
    <w:p>
      <w:pPr>
        <w:snapToGrid w:val="0"/>
        <w:spacing w:line="360" w:lineRule="auto"/>
        <w:jc w:val="left"/>
        <w:outlineLvl w:val="0"/>
        <w:rPr>
          <w:rFonts w:ascii="宋体" w:hAnsi="宋体"/>
          <w:b/>
          <w:szCs w:val="21"/>
        </w:rPr>
      </w:pPr>
      <w:bookmarkStart w:id="191" w:name="_Toc509308145"/>
      <w:bookmarkStart w:id="192" w:name="_Toc509308065"/>
      <w:bookmarkStart w:id="193" w:name="_Toc119922198"/>
      <w:bookmarkStart w:id="194" w:name="_Toc488072283"/>
      <w:r>
        <w:rPr>
          <w:rFonts w:hint="eastAsia" w:ascii="宋体" w:hAnsi="宋体"/>
          <w:b/>
          <w:szCs w:val="21"/>
        </w:rPr>
        <w:t>（五） 投标文件的签署和份数</w:t>
      </w:r>
      <w:bookmarkEnd w:id="172"/>
      <w:bookmarkEnd w:id="173"/>
      <w:bookmarkEnd w:id="174"/>
      <w:bookmarkEnd w:id="175"/>
      <w:bookmarkEnd w:id="176"/>
      <w:bookmarkEnd w:id="177"/>
      <w:bookmarkEnd w:id="178"/>
      <w:bookmarkEnd w:id="191"/>
      <w:bookmarkEnd w:id="192"/>
      <w:bookmarkEnd w:id="193"/>
      <w:bookmarkEnd w:id="194"/>
    </w:p>
    <w:p>
      <w:pPr>
        <w:spacing w:line="360" w:lineRule="auto"/>
        <w:ind w:firstLine="210" w:firstLineChars="100"/>
        <w:rPr>
          <w:rFonts w:ascii="宋体" w:hAnsi="宋体"/>
          <w:szCs w:val="21"/>
        </w:rPr>
      </w:pPr>
      <w:r>
        <w:rPr>
          <w:rFonts w:ascii="宋体" w:hAnsi="宋体"/>
          <w:szCs w:val="21"/>
        </w:rPr>
        <w:t>1</w:t>
      </w:r>
      <w:r>
        <w:rPr>
          <w:rFonts w:hint="eastAsia" w:ascii="宋体" w:hAnsi="宋体"/>
          <w:szCs w:val="21"/>
        </w:rPr>
        <w:t>.</w:t>
      </w:r>
      <w:r>
        <w:rPr>
          <w:rFonts w:ascii="宋体" w:hAnsi="宋体"/>
          <w:szCs w:val="21"/>
        </w:rPr>
        <w:t>投标人应</w:t>
      </w:r>
      <w:r>
        <w:rPr>
          <w:rFonts w:hint="eastAsia" w:ascii="宋体" w:hAnsi="宋体"/>
          <w:szCs w:val="21"/>
        </w:rPr>
        <w:t>按</w:t>
      </w:r>
      <w:r>
        <w:rPr>
          <w:rFonts w:ascii="宋体" w:hAnsi="宋体"/>
          <w:szCs w:val="21"/>
        </w:rPr>
        <w:t>本招标文件规定的格式和顺序编制、装订投标文件</w:t>
      </w:r>
      <w:r>
        <w:rPr>
          <w:rFonts w:hint="eastAsia" w:ascii="宋体" w:hAnsi="宋体"/>
          <w:szCs w:val="21"/>
        </w:rPr>
        <w:t>并标注页码</w:t>
      </w:r>
      <w:r>
        <w:rPr>
          <w:rFonts w:ascii="宋体" w:hAnsi="宋体"/>
          <w:szCs w:val="21"/>
        </w:rPr>
        <w:t>，投标文件内容不完整、编排混乱导致投标文件被误读、漏读或者查找不到相关内容的，是投标人的责任。</w:t>
      </w:r>
    </w:p>
    <w:p>
      <w:pPr>
        <w:spacing w:line="360" w:lineRule="auto"/>
        <w:ind w:firstLine="210" w:firstLineChars="100"/>
        <w:rPr>
          <w:rFonts w:ascii="宋体" w:hAnsi="宋体"/>
          <w:szCs w:val="21"/>
        </w:rPr>
      </w:pPr>
      <w:r>
        <w:rPr>
          <w:rFonts w:ascii="宋体" w:hAnsi="宋体"/>
          <w:szCs w:val="21"/>
        </w:rPr>
        <w:t>2</w:t>
      </w:r>
      <w:r>
        <w:rPr>
          <w:rFonts w:hint="eastAsia" w:ascii="宋体" w:hAnsi="宋体"/>
          <w:szCs w:val="21"/>
        </w:rPr>
        <w:t>. 投标文件中凡要求盖章、签字处均须由投标人盖章和法定代表人（机构负责人）或其授权代表签字。投标文件如有修改，修改处必须由法定代表人（机构负责人）或其授权代表签字；投标人名称应写单位全称。</w:t>
      </w:r>
    </w:p>
    <w:p>
      <w:pPr>
        <w:spacing w:line="360" w:lineRule="auto"/>
        <w:ind w:firstLine="210" w:firstLineChars="100"/>
        <w:rPr>
          <w:rFonts w:ascii="宋体" w:hAnsi="宋体"/>
          <w:szCs w:val="21"/>
        </w:rPr>
      </w:pPr>
      <w:r>
        <w:rPr>
          <w:rFonts w:hint="eastAsia" w:ascii="宋体" w:hAnsi="宋体"/>
          <w:szCs w:val="21"/>
        </w:rPr>
        <w:t>3. 投标文件的封面上应标明项目名称、</w:t>
      </w:r>
      <w:r>
        <w:rPr>
          <w:rFonts w:hint="eastAsia" w:ascii="宋体" w:hAnsi="宋体"/>
          <w:szCs w:val="21"/>
          <w:lang w:val="en-US" w:eastAsia="zh-CN"/>
        </w:rPr>
        <w:t>标项、</w:t>
      </w:r>
      <w:r>
        <w:rPr>
          <w:rFonts w:hint="eastAsia" w:ascii="宋体" w:hAnsi="宋体"/>
          <w:szCs w:val="21"/>
        </w:rPr>
        <w:t>投标人名称、“资格文件”</w:t>
      </w:r>
      <w:r>
        <w:rPr>
          <w:rFonts w:ascii="宋体" w:hAnsi="宋体"/>
          <w:szCs w:val="21"/>
        </w:rPr>
        <w:t>、“</w:t>
      </w:r>
      <w:r>
        <w:rPr>
          <w:rFonts w:hint="eastAsia" w:ascii="宋体" w:hAnsi="宋体"/>
          <w:szCs w:val="21"/>
        </w:rPr>
        <w:t>技术商务文件”、 “报价文件”字样和“正本”或“副本”字样。</w:t>
      </w:r>
    </w:p>
    <w:p>
      <w:pPr>
        <w:spacing w:line="360" w:lineRule="auto"/>
        <w:ind w:firstLine="210" w:firstLineChars="100"/>
        <w:rPr>
          <w:rFonts w:ascii="宋体" w:hAnsi="宋体"/>
          <w:szCs w:val="21"/>
        </w:rPr>
      </w:pPr>
      <w:r>
        <w:rPr>
          <w:rFonts w:hint="eastAsia" w:ascii="宋体" w:hAnsi="宋体"/>
          <w:szCs w:val="21"/>
        </w:rPr>
        <w:t>4. 投标文件须打印、复印或用不褪色的墨水笔书写（提倡双面打印或复印），副本可复印。</w:t>
      </w:r>
    </w:p>
    <w:p>
      <w:pPr>
        <w:spacing w:line="360" w:lineRule="auto"/>
        <w:ind w:firstLine="210" w:firstLineChars="100"/>
        <w:rPr>
          <w:rFonts w:ascii="宋体" w:hAnsi="宋体"/>
          <w:szCs w:val="21"/>
        </w:rPr>
      </w:pPr>
      <w:r>
        <w:rPr>
          <w:rFonts w:hint="eastAsia" w:ascii="宋体" w:hAnsi="宋体"/>
          <w:szCs w:val="21"/>
        </w:rPr>
        <w:t>5. 投标文件各正本一份、副本两份，正本与副本内容应当一致，并以正本为准。</w:t>
      </w:r>
    </w:p>
    <w:p>
      <w:pPr>
        <w:spacing w:line="360" w:lineRule="auto"/>
        <w:ind w:firstLine="210" w:firstLineChars="100"/>
        <w:rPr>
          <w:rFonts w:ascii="宋体" w:hAnsi="宋体"/>
          <w:szCs w:val="21"/>
        </w:rPr>
      </w:pPr>
      <w:r>
        <w:rPr>
          <w:rFonts w:hint="eastAsia" w:ascii="宋体" w:hAnsi="宋体"/>
          <w:szCs w:val="21"/>
        </w:rPr>
        <w:t>6.</w:t>
      </w:r>
      <w:r>
        <w:rPr>
          <w:rFonts w:ascii="宋体" w:hAnsi="宋体"/>
          <w:szCs w:val="21"/>
        </w:rPr>
        <w:t>投标文件不得涂改，若有修改错漏处，须加盖单位公章或者法定代表人（</w:t>
      </w:r>
      <w:r>
        <w:rPr>
          <w:rFonts w:hint="eastAsia" w:ascii="宋体" w:hAnsi="宋体"/>
          <w:szCs w:val="21"/>
        </w:rPr>
        <w:t>机构负责人</w:t>
      </w:r>
      <w:r>
        <w:rPr>
          <w:rFonts w:ascii="宋体" w:hAnsi="宋体"/>
          <w:szCs w:val="21"/>
        </w:rPr>
        <w:t>）或法定代表</w:t>
      </w:r>
      <w:r>
        <w:rPr>
          <w:rFonts w:hint="eastAsia" w:ascii="宋体" w:hAnsi="宋体"/>
          <w:szCs w:val="21"/>
        </w:rPr>
        <w:t>人的</w:t>
      </w:r>
      <w:r>
        <w:rPr>
          <w:rFonts w:ascii="宋体" w:hAnsi="宋体"/>
          <w:szCs w:val="21"/>
        </w:rPr>
        <w:t>授权委托人签字或盖章。投标文件因字迹潦草或表达不清所引起的后果由投标人负责。</w:t>
      </w:r>
    </w:p>
    <w:p>
      <w:pPr>
        <w:snapToGrid w:val="0"/>
        <w:spacing w:line="360" w:lineRule="auto"/>
        <w:jc w:val="left"/>
        <w:rPr>
          <w:rFonts w:ascii="宋体" w:hAnsi="宋体"/>
          <w:b/>
          <w:szCs w:val="21"/>
        </w:rPr>
      </w:pPr>
      <w:bookmarkStart w:id="195" w:name="_Toc404290003"/>
      <w:bookmarkStart w:id="196" w:name="_Toc488072284"/>
      <w:bookmarkStart w:id="197" w:name="_Toc477785327"/>
      <w:bookmarkStart w:id="198" w:name="_Toc404289911"/>
      <w:r>
        <w:rPr>
          <w:rFonts w:hint="eastAsia" w:ascii="宋体" w:hAnsi="宋体"/>
          <w:b/>
          <w:szCs w:val="21"/>
        </w:rPr>
        <w:t>（六）投标文件的包装、递交、修改和撤回</w:t>
      </w:r>
    </w:p>
    <w:p>
      <w:pPr>
        <w:spacing w:line="360" w:lineRule="auto"/>
        <w:ind w:firstLine="210" w:firstLineChars="100"/>
        <w:rPr>
          <w:rFonts w:ascii="宋体" w:hAnsi="宋体"/>
          <w:szCs w:val="21"/>
        </w:rPr>
      </w:pPr>
      <w:r>
        <w:rPr>
          <w:rFonts w:hint="eastAsia" w:ascii="宋体" w:hAnsi="宋体"/>
          <w:szCs w:val="21"/>
        </w:rPr>
        <w:t>1. 资格文件、技术商务文件和报价文件分开装订，投标文件须密封包装，其中报价文件须单独密封包装，并在投标文件外包装上标明项目名称、</w:t>
      </w:r>
      <w:r>
        <w:rPr>
          <w:rFonts w:hint="eastAsia" w:ascii="宋体" w:hAnsi="宋体"/>
          <w:szCs w:val="21"/>
          <w:lang w:val="en-US" w:eastAsia="zh-CN"/>
        </w:rPr>
        <w:t>标项、</w:t>
      </w:r>
      <w:r>
        <w:rPr>
          <w:rFonts w:hint="eastAsia" w:ascii="宋体" w:hAnsi="宋体"/>
          <w:szCs w:val="21"/>
        </w:rPr>
        <w:t>投标人名称、“资格文件”、“技术商务文件”或 “报</w:t>
      </w:r>
      <w:r>
        <w:rPr>
          <w:rFonts w:hint="eastAsia" w:ascii="宋体" w:hAnsi="宋体"/>
          <w:color w:val="auto"/>
          <w:szCs w:val="21"/>
        </w:rPr>
        <w:t>价文件”、“在202</w:t>
      </w:r>
      <w:r>
        <w:rPr>
          <w:rFonts w:hint="eastAsia" w:ascii="宋体" w:hAnsi="宋体"/>
          <w:color w:val="auto"/>
          <w:szCs w:val="21"/>
          <w:lang w:val="en-US" w:eastAsia="zh-CN"/>
        </w:rPr>
        <w:t>4</w:t>
      </w:r>
      <w:r>
        <w:rPr>
          <w:rFonts w:ascii="宋体" w:hAnsi="宋体"/>
          <w:color w:val="auto"/>
          <w:szCs w:val="21"/>
        </w:rPr>
        <w:t>年</w:t>
      </w:r>
      <w:r>
        <w:rPr>
          <w:rFonts w:hint="eastAsia" w:ascii="宋体" w:hAnsi="宋体"/>
          <w:color w:val="auto"/>
          <w:szCs w:val="21"/>
          <w:lang w:val="en-US" w:eastAsia="zh-CN"/>
        </w:rPr>
        <w:t>6</w:t>
      </w:r>
      <w:r>
        <w:rPr>
          <w:rFonts w:hint="eastAsia" w:ascii="宋体" w:hAnsi="宋体"/>
          <w:color w:val="auto"/>
          <w:szCs w:val="21"/>
        </w:rPr>
        <w:t>月</w:t>
      </w:r>
      <w:r>
        <w:rPr>
          <w:rFonts w:hint="eastAsia" w:ascii="宋体" w:hAnsi="宋体"/>
          <w:color w:val="auto"/>
          <w:szCs w:val="21"/>
          <w:lang w:val="en-US" w:eastAsia="zh-CN"/>
        </w:rPr>
        <w:t>21</w:t>
      </w:r>
      <w:r>
        <w:rPr>
          <w:rFonts w:ascii="宋体" w:hAnsi="宋体"/>
          <w:color w:val="auto"/>
          <w:szCs w:val="21"/>
        </w:rPr>
        <w:t>日</w:t>
      </w:r>
      <w:r>
        <w:rPr>
          <w:rFonts w:hint="eastAsia" w:ascii="宋体" w:hAnsi="宋体"/>
          <w:color w:val="auto"/>
          <w:szCs w:val="21"/>
          <w:lang w:val="en-US" w:eastAsia="zh-CN"/>
        </w:rPr>
        <w:t>14</w:t>
      </w:r>
      <w:r>
        <w:rPr>
          <w:rFonts w:hint="eastAsia" w:ascii="宋体" w:hAnsi="宋体"/>
          <w:color w:val="auto"/>
          <w:szCs w:val="21"/>
        </w:rPr>
        <w:t>:00之前不得</w:t>
      </w:r>
      <w:r>
        <w:rPr>
          <w:rFonts w:hint="eastAsia" w:ascii="宋体" w:hAnsi="宋体"/>
          <w:szCs w:val="21"/>
        </w:rPr>
        <w:t>启封”字样，且在封口盖章或签字。</w:t>
      </w:r>
    </w:p>
    <w:p>
      <w:pPr>
        <w:spacing w:line="360" w:lineRule="auto"/>
        <w:ind w:firstLine="210" w:firstLineChars="100"/>
        <w:rPr>
          <w:rFonts w:ascii="宋体" w:hAnsi="宋体"/>
          <w:szCs w:val="21"/>
        </w:rPr>
      </w:pPr>
      <w:r>
        <w:rPr>
          <w:rFonts w:hint="eastAsia" w:ascii="宋体" w:hAnsi="宋体"/>
          <w:szCs w:val="21"/>
        </w:rPr>
        <w:t>2. 投标人应在招标文件规定的投标截止时间前和提交地点送达投标文件，发生下列情形之一的，招标人将拒收投标文件：</w:t>
      </w:r>
    </w:p>
    <w:p>
      <w:pPr>
        <w:spacing w:line="360" w:lineRule="auto"/>
        <w:ind w:firstLine="420" w:firstLineChars="200"/>
        <w:rPr>
          <w:rFonts w:ascii="宋体" w:hAnsi="宋体"/>
          <w:szCs w:val="21"/>
        </w:rPr>
      </w:pPr>
      <w:r>
        <w:rPr>
          <w:rFonts w:hint="eastAsia" w:ascii="宋体" w:hAnsi="宋体"/>
          <w:szCs w:val="21"/>
        </w:rPr>
        <w:t>2.1投标人的投标文件不按招标文件的规定标记和密封的；</w:t>
      </w:r>
    </w:p>
    <w:p>
      <w:pPr>
        <w:spacing w:line="360" w:lineRule="auto"/>
        <w:ind w:firstLine="420" w:firstLineChars="200"/>
        <w:rPr>
          <w:rFonts w:ascii="宋体" w:hAnsi="宋体"/>
          <w:szCs w:val="21"/>
        </w:rPr>
      </w:pPr>
      <w:r>
        <w:rPr>
          <w:rFonts w:hint="eastAsia" w:ascii="宋体" w:hAnsi="宋体"/>
          <w:szCs w:val="21"/>
        </w:rPr>
        <w:t>2.2投标人的投标文件未在规定时间前递交的或者未送达指定地点的；</w:t>
      </w:r>
    </w:p>
    <w:p>
      <w:pPr>
        <w:spacing w:line="360" w:lineRule="auto"/>
        <w:ind w:firstLine="420" w:firstLineChars="200"/>
        <w:rPr>
          <w:rFonts w:ascii="宋体" w:hAnsi="宋体"/>
          <w:szCs w:val="21"/>
        </w:rPr>
      </w:pPr>
      <w:r>
        <w:rPr>
          <w:rFonts w:hint="eastAsia" w:ascii="宋体" w:hAnsi="宋体"/>
          <w:szCs w:val="21"/>
        </w:rPr>
        <w:t>2.3投标人在递交投标文件时严重破损或失散的；</w:t>
      </w:r>
    </w:p>
    <w:p>
      <w:pPr>
        <w:spacing w:line="360" w:lineRule="auto"/>
        <w:ind w:firstLine="420" w:firstLineChars="200"/>
        <w:rPr>
          <w:rFonts w:ascii="宋体" w:hAnsi="宋体"/>
          <w:szCs w:val="21"/>
        </w:rPr>
      </w:pPr>
      <w:r>
        <w:rPr>
          <w:rFonts w:hint="eastAsia" w:ascii="宋体" w:hAnsi="宋体"/>
          <w:szCs w:val="21"/>
        </w:rPr>
        <w:t>2.4投标人以邮寄等其他形式递交投标文件的。</w:t>
      </w:r>
    </w:p>
    <w:p>
      <w:pPr>
        <w:spacing w:line="360" w:lineRule="auto"/>
        <w:ind w:firstLine="105" w:firstLineChars="50"/>
        <w:rPr>
          <w:rFonts w:ascii="宋体" w:hAnsi="宋体"/>
          <w:szCs w:val="21"/>
        </w:rPr>
      </w:pPr>
      <w:r>
        <w:rPr>
          <w:rFonts w:hint="eastAsia" w:ascii="宋体" w:hAnsi="宋体"/>
          <w:szCs w:val="21"/>
        </w:rPr>
        <w:t>3.投标人在投标截止时间之前，可以对已提交的投标文件进行修改或撤回，并书面通知招标人或采购人；投标截止时间后，投标人不得撤回、修改投标文件。修改后重新递交的投标文件应当按本招标文件的要求签署、盖章和密封。</w:t>
      </w:r>
    </w:p>
    <w:p>
      <w:pPr>
        <w:snapToGrid w:val="0"/>
        <w:spacing w:line="360" w:lineRule="auto"/>
        <w:outlineLvl w:val="2"/>
        <w:rPr>
          <w:rFonts w:ascii="宋体" w:hAnsi="宋体"/>
          <w:b/>
          <w:szCs w:val="21"/>
        </w:rPr>
      </w:pPr>
      <w:bookmarkStart w:id="199" w:name="_Toc509308146"/>
      <w:bookmarkStart w:id="200" w:name="_Toc509308066"/>
      <w:r>
        <w:rPr>
          <w:rFonts w:hint="eastAsia" w:ascii="宋体" w:hAnsi="宋体"/>
          <w:b/>
          <w:szCs w:val="21"/>
        </w:rPr>
        <w:t>（七）投标无效的情形</w:t>
      </w:r>
      <w:bookmarkEnd w:id="195"/>
      <w:bookmarkEnd w:id="196"/>
      <w:bookmarkEnd w:id="197"/>
      <w:bookmarkEnd w:id="198"/>
      <w:bookmarkEnd w:id="199"/>
      <w:bookmarkEnd w:id="200"/>
    </w:p>
    <w:p>
      <w:pPr>
        <w:spacing w:line="360" w:lineRule="auto"/>
        <w:ind w:firstLine="420" w:firstLineChars="200"/>
        <w:rPr>
          <w:rFonts w:ascii="宋体" w:hAnsi="宋体"/>
          <w:bCs/>
          <w:szCs w:val="21"/>
        </w:rPr>
      </w:pPr>
      <w:bookmarkStart w:id="201" w:name="_Toc488072286"/>
      <w:r>
        <w:rPr>
          <w:rFonts w:hint="eastAsia" w:ascii="宋体" w:hAnsi="宋体"/>
          <w:bCs/>
          <w:szCs w:val="21"/>
        </w:rPr>
        <w:t>有下列情形之一的，视为投标人串通投标：</w:t>
      </w:r>
    </w:p>
    <w:p>
      <w:pPr>
        <w:spacing w:line="360" w:lineRule="auto"/>
        <w:ind w:firstLine="420" w:firstLineChars="200"/>
        <w:rPr>
          <w:rFonts w:ascii="宋体" w:hAnsi="宋体"/>
          <w:szCs w:val="21"/>
        </w:rPr>
      </w:pPr>
      <w:r>
        <w:rPr>
          <w:rFonts w:hint="eastAsia" w:ascii="宋体" w:hAnsi="宋体"/>
          <w:szCs w:val="21"/>
        </w:rPr>
        <w:t>（1）不同投标人的投标文件由同一单位或者个人编制；</w:t>
      </w:r>
    </w:p>
    <w:p>
      <w:pPr>
        <w:spacing w:line="360" w:lineRule="auto"/>
        <w:ind w:firstLine="420" w:firstLineChars="200"/>
        <w:rPr>
          <w:rFonts w:ascii="宋体" w:hAnsi="宋体"/>
          <w:szCs w:val="21"/>
        </w:rPr>
      </w:pPr>
      <w:r>
        <w:rPr>
          <w:rFonts w:hint="eastAsia" w:ascii="宋体" w:hAnsi="宋体"/>
          <w:szCs w:val="21"/>
        </w:rPr>
        <w:t>（2）不同投标人委托同一单位或者个人办理投标事宜；</w:t>
      </w:r>
    </w:p>
    <w:p>
      <w:pPr>
        <w:spacing w:line="360" w:lineRule="auto"/>
        <w:ind w:firstLine="420" w:firstLineChars="200"/>
        <w:rPr>
          <w:rFonts w:ascii="宋体" w:hAnsi="宋体"/>
          <w:szCs w:val="21"/>
        </w:rPr>
      </w:pPr>
      <w:r>
        <w:rPr>
          <w:rFonts w:hint="eastAsia" w:ascii="宋体" w:hAnsi="宋体"/>
          <w:szCs w:val="21"/>
        </w:rPr>
        <w:t>（3）不同投标人的投标文件载明的项目管理成员或者联系人员为同一人；</w:t>
      </w:r>
    </w:p>
    <w:p>
      <w:pPr>
        <w:spacing w:line="360" w:lineRule="auto"/>
        <w:ind w:firstLine="420" w:firstLineChars="200"/>
        <w:rPr>
          <w:rFonts w:ascii="宋体" w:hAnsi="宋体"/>
          <w:szCs w:val="21"/>
        </w:rPr>
      </w:pPr>
      <w:r>
        <w:rPr>
          <w:rFonts w:hint="eastAsia" w:ascii="宋体" w:hAnsi="宋体"/>
          <w:szCs w:val="21"/>
        </w:rPr>
        <w:t>（4）不同投标人的投标文件异常一致或者投标报价呈规律性差异；</w:t>
      </w:r>
    </w:p>
    <w:p>
      <w:pPr>
        <w:spacing w:line="360" w:lineRule="auto"/>
        <w:ind w:firstLine="420" w:firstLineChars="200"/>
        <w:rPr>
          <w:rFonts w:ascii="宋体" w:hAnsi="宋体"/>
          <w:szCs w:val="21"/>
        </w:rPr>
      </w:pPr>
      <w:r>
        <w:rPr>
          <w:rFonts w:hint="eastAsia" w:ascii="宋体" w:hAnsi="宋体"/>
          <w:szCs w:val="21"/>
        </w:rPr>
        <w:t>（5）不同投标人的投标文件相互混装；</w:t>
      </w:r>
    </w:p>
    <w:p>
      <w:pPr>
        <w:snapToGrid w:val="0"/>
        <w:spacing w:line="360" w:lineRule="auto"/>
        <w:ind w:firstLine="525" w:firstLineChars="250"/>
        <w:rPr>
          <w:rFonts w:ascii="宋体" w:hAnsi="宋体"/>
          <w:bCs/>
          <w:szCs w:val="21"/>
        </w:rPr>
      </w:pPr>
      <w:r>
        <w:rPr>
          <w:rFonts w:hint="eastAsia" w:ascii="宋体" w:hAnsi="宋体"/>
          <w:bCs/>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pacing w:line="360" w:lineRule="auto"/>
        <w:ind w:firstLine="422" w:firstLineChars="200"/>
        <w:rPr>
          <w:rFonts w:ascii="宋体" w:hAnsi="宋体"/>
          <w:b/>
          <w:szCs w:val="21"/>
        </w:rPr>
      </w:pPr>
      <w:r>
        <w:rPr>
          <w:rFonts w:hint="eastAsia" w:ascii="宋体" w:hAnsi="宋体"/>
          <w:b/>
          <w:bCs/>
          <w:szCs w:val="21"/>
        </w:rPr>
        <w:t>1.</w:t>
      </w:r>
      <w:r>
        <w:rPr>
          <w:rFonts w:hint="eastAsia" w:ascii="宋体" w:hAnsi="宋体"/>
          <w:b/>
          <w:szCs w:val="21"/>
        </w:rPr>
        <w:t>采购人或招标人按照投标人提供的资格文件按以下原则对投标人的资格符合性进行审查，</w:t>
      </w:r>
      <w:r>
        <w:rPr>
          <w:rFonts w:ascii="宋体" w:hAnsi="宋体"/>
          <w:b/>
          <w:bCs/>
          <w:szCs w:val="21"/>
        </w:rPr>
        <w:t>如发现下列情形之一的，投标文件将被视为无效：</w:t>
      </w:r>
    </w:p>
    <w:p>
      <w:pPr>
        <w:spacing w:line="360" w:lineRule="auto"/>
        <w:ind w:firstLine="420" w:firstLineChars="200"/>
        <w:rPr>
          <w:rFonts w:ascii="宋体" w:hAnsi="宋体"/>
          <w:szCs w:val="21"/>
        </w:rPr>
      </w:pPr>
      <w:r>
        <w:rPr>
          <w:rFonts w:hint="eastAsia" w:ascii="宋体" w:hAnsi="宋体"/>
          <w:szCs w:val="21"/>
        </w:rPr>
        <w:t>1.1资格文件缺少规定份数或缺少招标文件中资格文件第1.2条至第1.7条所列内容之一的；</w:t>
      </w:r>
    </w:p>
    <w:p>
      <w:pPr>
        <w:spacing w:line="360" w:lineRule="auto"/>
        <w:ind w:firstLine="420" w:firstLineChars="200"/>
        <w:rPr>
          <w:rFonts w:ascii="宋体" w:hAnsi="宋体"/>
          <w:szCs w:val="21"/>
        </w:rPr>
      </w:pPr>
      <w:r>
        <w:rPr>
          <w:rFonts w:hint="eastAsia" w:ascii="宋体" w:hAnsi="宋体"/>
          <w:szCs w:val="21"/>
        </w:rPr>
        <w:t>1.2投标人提供的有关资料被确认是不真实的；</w:t>
      </w:r>
    </w:p>
    <w:p>
      <w:pPr>
        <w:spacing w:line="360" w:lineRule="auto"/>
        <w:ind w:firstLine="420" w:firstLineChars="200"/>
        <w:rPr>
          <w:rFonts w:ascii="宋体" w:hAnsi="宋体"/>
          <w:szCs w:val="21"/>
        </w:rPr>
      </w:pPr>
      <w:r>
        <w:rPr>
          <w:rFonts w:hint="eastAsia" w:ascii="宋体" w:hAnsi="宋体"/>
          <w:szCs w:val="21"/>
        </w:rPr>
        <w:t>1.3投标人的资格文件有串通投标情形之一的；</w:t>
      </w:r>
    </w:p>
    <w:p>
      <w:pPr>
        <w:spacing w:line="360" w:lineRule="auto"/>
        <w:ind w:firstLine="420" w:firstLineChars="200"/>
        <w:rPr>
          <w:rFonts w:ascii="宋体" w:hAnsi="宋体"/>
          <w:szCs w:val="21"/>
        </w:rPr>
      </w:pPr>
      <w:r>
        <w:rPr>
          <w:rFonts w:hint="eastAsia" w:ascii="宋体" w:hAnsi="宋体"/>
          <w:szCs w:val="21"/>
        </w:rPr>
        <w:t>1.4资格文件未按招标文件规定要求进行装订、签字或盖章的；</w:t>
      </w:r>
    </w:p>
    <w:p>
      <w:pPr>
        <w:spacing w:line="360" w:lineRule="auto"/>
        <w:ind w:firstLine="420" w:firstLineChars="200"/>
        <w:rPr>
          <w:rFonts w:ascii="宋体" w:hAnsi="宋体"/>
          <w:szCs w:val="21"/>
        </w:rPr>
      </w:pPr>
      <w:r>
        <w:rPr>
          <w:rFonts w:hint="eastAsia" w:ascii="宋体" w:hAnsi="宋体"/>
          <w:szCs w:val="21"/>
        </w:rPr>
        <w:t>1.5投标人有违法、违规行为影响本次采购公平、公正的；</w:t>
      </w:r>
    </w:p>
    <w:p>
      <w:pPr>
        <w:spacing w:line="360" w:lineRule="auto"/>
        <w:ind w:firstLine="422" w:firstLineChars="200"/>
        <w:rPr>
          <w:rFonts w:ascii="宋体" w:hAnsi="宋体"/>
          <w:b/>
          <w:bCs/>
          <w:szCs w:val="21"/>
        </w:rPr>
      </w:pPr>
      <w:r>
        <w:rPr>
          <w:rFonts w:hint="eastAsia" w:ascii="宋体" w:hAnsi="宋体"/>
          <w:b/>
          <w:bCs/>
          <w:szCs w:val="21"/>
        </w:rPr>
        <w:t>2.</w:t>
      </w:r>
      <w:r>
        <w:rPr>
          <w:rFonts w:ascii="宋体" w:hAnsi="宋体"/>
          <w:b/>
          <w:bCs/>
          <w:szCs w:val="21"/>
        </w:rPr>
        <w:t>在符合性审查和商务评审时，如发现下列情形之一的，投标文件将被视为无效：</w:t>
      </w:r>
    </w:p>
    <w:p>
      <w:pPr>
        <w:spacing w:line="360" w:lineRule="auto"/>
        <w:ind w:firstLine="420" w:firstLineChars="200"/>
        <w:rPr>
          <w:rFonts w:ascii="宋体" w:hAnsi="宋体"/>
          <w:szCs w:val="21"/>
        </w:rPr>
      </w:pPr>
      <w:r>
        <w:rPr>
          <w:rFonts w:hint="eastAsia" w:ascii="宋体" w:hAnsi="宋体"/>
          <w:szCs w:val="21"/>
        </w:rPr>
        <w:t>2.1在技术商务文件中出现报价的；</w:t>
      </w:r>
    </w:p>
    <w:p>
      <w:pPr>
        <w:spacing w:line="360" w:lineRule="auto"/>
        <w:ind w:firstLine="420" w:firstLineChars="200"/>
        <w:rPr>
          <w:rFonts w:ascii="宋体" w:hAnsi="宋体"/>
          <w:szCs w:val="21"/>
        </w:rPr>
      </w:pPr>
      <w:r>
        <w:rPr>
          <w:rFonts w:hint="eastAsia" w:ascii="宋体" w:hAnsi="宋体"/>
          <w:szCs w:val="21"/>
        </w:rPr>
        <w:t>2.2投标人未对标段内的所有内容进行投标的；</w:t>
      </w:r>
    </w:p>
    <w:p>
      <w:pPr>
        <w:spacing w:line="360" w:lineRule="auto"/>
        <w:ind w:firstLine="420" w:firstLineChars="200"/>
        <w:rPr>
          <w:rFonts w:ascii="宋体" w:hAnsi="宋体"/>
          <w:szCs w:val="21"/>
        </w:rPr>
      </w:pPr>
      <w:r>
        <w:rPr>
          <w:rFonts w:hint="eastAsia" w:ascii="宋体" w:hAnsi="宋体"/>
          <w:szCs w:val="21"/>
        </w:rPr>
        <w:t>2.3技术商务文件缺少规定份数的；</w:t>
      </w:r>
    </w:p>
    <w:p>
      <w:pPr>
        <w:spacing w:line="360" w:lineRule="auto"/>
        <w:ind w:firstLine="420" w:firstLineChars="200"/>
        <w:rPr>
          <w:rFonts w:ascii="宋体" w:hAnsi="宋体"/>
          <w:szCs w:val="21"/>
        </w:rPr>
      </w:pPr>
      <w:r>
        <w:rPr>
          <w:rFonts w:hint="eastAsia" w:ascii="宋体" w:hAnsi="宋体"/>
          <w:szCs w:val="21"/>
        </w:rPr>
        <w:t>2.4技术商务文件缺少《投标人基本情况表》的；</w:t>
      </w:r>
    </w:p>
    <w:p>
      <w:pPr>
        <w:spacing w:line="360" w:lineRule="auto"/>
        <w:ind w:firstLine="420" w:firstLineChars="200"/>
        <w:rPr>
          <w:rFonts w:ascii="宋体" w:hAnsi="宋体"/>
          <w:szCs w:val="21"/>
        </w:rPr>
      </w:pPr>
      <w:r>
        <w:rPr>
          <w:rFonts w:hint="eastAsia" w:ascii="宋体" w:hAnsi="宋体"/>
          <w:szCs w:val="21"/>
        </w:rPr>
        <w:t>2.5投标人提供的有关资料被确认是不真实的</w:t>
      </w:r>
      <w:r>
        <w:rPr>
          <w:rFonts w:ascii="宋体" w:hAnsi="宋体"/>
          <w:szCs w:val="21"/>
        </w:rPr>
        <w:t>；</w:t>
      </w:r>
    </w:p>
    <w:p>
      <w:pPr>
        <w:spacing w:line="360" w:lineRule="auto"/>
        <w:ind w:firstLine="420" w:firstLineChars="200"/>
        <w:rPr>
          <w:rFonts w:ascii="宋体" w:hAnsi="宋体"/>
          <w:szCs w:val="21"/>
        </w:rPr>
      </w:pPr>
      <w:r>
        <w:rPr>
          <w:rFonts w:hint="eastAsia" w:ascii="宋体" w:hAnsi="宋体"/>
          <w:szCs w:val="21"/>
        </w:rPr>
        <w:t>2.6投标人的技术商务文件有串通投标情形之一的；</w:t>
      </w:r>
    </w:p>
    <w:p>
      <w:pPr>
        <w:spacing w:line="360" w:lineRule="auto"/>
        <w:ind w:firstLine="420" w:firstLineChars="200"/>
        <w:rPr>
          <w:rFonts w:ascii="宋体" w:hAnsi="宋体"/>
          <w:szCs w:val="21"/>
        </w:rPr>
      </w:pPr>
      <w:r>
        <w:rPr>
          <w:rFonts w:hint="eastAsia" w:ascii="宋体" w:hAnsi="宋体"/>
          <w:szCs w:val="21"/>
        </w:rPr>
        <w:t>2.7技术商务文件未按招标文件规定要求进行装订、签字或盖章的；</w:t>
      </w:r>
    </w:p>
    <w:p>
      <w:pPr>
        <w:spacing w:line="360" w:lineRule="auto"/>
        <w:ind w:firstLine="420" w:firstLineChars="200"/>
        <w:rPr>
          <w:rFonts w:ascii="宋体" w:hAnsi="宋体"/>
          <w:szCs w:val="21"/>
        </w:rPr>
      </w:pPr>
      <w:r>
        <w:rPr>
          <w:rFonts w:hint="eastAsia" w:ascii="宋体" w:hAnsi="宋体"/>
          <w:szCs w:val="21"/>
        </w:rPr>
        <w:t>2.8投标人未按招标文件更正公告编制投标文件的；</w:t>
      </w:r>
    </w:p>
    <w:p>
      <w:pPr>
        <w:spacing w:line="360" w:lineRule="auto"/>
        <w:ind w:firstLine="420" w:firstLineChars="200"/>
        <w:rPr>
          <w:rFonts w:ascii="宋体" w:hAnsi="宋体"/>
          <w:szCs w:val="21"/>
        </w:rPr>
      </w:pPr>
      <w:r>
        <w:rPr>
          <w:rFonts w:hint="eastAsia" w:ascii="宋体" w:hAnsi="宋体"/>
          <w:szCs w:val="21"/>
        </w:rPr>
        <w:t>2.9经评标委员会审核，投标人所投内容不符合实质性采购要求的。</w:t>
      </w:r>
    </w:p>
    <w:p>
      <w:pPr>
        <w:spacing w:line="360" w:lineRule="auto"/>
        <w:ind w:firstLine="422" w:firstLineChars="200"/>
        <w:rPr>
          <w:rFonts w:ascii="宋体" w:hAnsi="宋体"/>
          <w:b/>
          <w:bCs/>
          <w:szCs w:val="21"/>
        </w:rPr>
      </w:pPr>
      <w:r>
        <w:rPr>
          <w:rFonts w:hint="eastAsia" w:ascii="宋体" w:hAnsi="宋体"/>
          <w:b/>
          <w:bCs/>
          <w:szCs w:val="21"/>
        </w:rPr>
        <w:t>3.</w:t>
      </w:r>
      <w:r>
        <w:rPr>
          <w:rFonts w:ascii="宋体" w:hAnsi="宋体"/>
          <w:b/>
          <w:bCs/>
          <w:szCs w:val="21"/>
        </w:rPr>
        <w:t>在技术评审时，如发现下列情形之一的，投标文件将被视为无效：</w:t>
      </w:r>
    </w:p>
    <w:p>
      <w:pPr>
        <w:spacing w:line="360" w:lineRule="auto"/>
        <w:ind w:firstLine="420" w:firstLineChars="200"/>
        <w:rPr>
          <w:rFonts w:ascii="宋体" w:hAnsi="宋体"/>
          <w:szCs w:val="21"/>
        </w:rPr>
      </w:pPr>
      <w:r>
        <w:rPr>
          <w:rFonts w:hint="eastAsia" w:ascii="宋体" w:hAnsi="宋体"/>
          <w:szCs w:val="21"/>
        </w:rPr>
        <w:t>3.1经评标委员会审核，投标人所投内容不符合实质性采购要求的；</w:t>
      </w:r>
    </w:p>
    <w:p>
      <w:pPr>
        <w:spacing w:line="360" w:lineRule="auto"/>
        <w:ind w:firstLine="420" w:firstLineChars="200"/>
        <w:rPr>
          <w:rFonts w:ascii="宋体" w:hAnsi="宋体"/>
          <w:szCs w:val="21"/>
        </w:rPr>
      </w:pPr>
      <w:r>
        <w:rPr>
          <w:rFonts w:hint="eastAsia" w:ascii="宋体" w:hAnsi="宋体"/>
          <w:szCs w:val="21"/>
        </w:rPr>
        <w:t>3.2投标人的技术商务文件有串通投标情形之一的；</w:t>
      </w:r>
    </w:p>
    <w:p>
      <w:pPr>
        <w:spacing w:line="360" w:lineRule="auto"/>
        <w:ind w:firstLine="420" w:firstLineChars="200"/>
        <w:rPr>
          <w:rFonts w:ascii="宋体" w:hAnsi="宋体"/>
          <w:szCs w:val="21"/>
        </w:rPr>
      </w:pPr>
      <w:r>
        <w:rPr>
          <w:rFonts w:hint="eastAsia" w:ascii="宋体" w:hAnsi="宋体"/>
          <w:szCs w:val="21"/>
        </w:rPr>
        <w:t>3.3</w:t>
      </w:r>
      <w:r>
        <w:rPr>
          <w:rFonts w:ascii="宋体" w:hAnsi="宋体"/>
          <w:szCs w:val="21"/>
        </w:rPr>
        <w:t>投标技术方案不明确，存在一个或一个以上备选（替代）投标方案的</w:t>
      </w:r>
      <w:r>
        <w:rPr>
          <w:rFonts w:hint="eastAsia" w:ascii="宋体" w:hAnsi="宋体"/>
          <w:szCs w:val="21"/>
        </w:rPr>
        <w:t>。</w:t>
      </w:r>
    </w:p>
    <w:p>
      <w:pPr>
        <w:spacing w:line="360" w:lineRule="auto"/>
        <w:ind w:firstLine="422" w:firstLineChars="200"/>
        <w:rPr>
          <w:rFonts w:ascii="宋体" w:hAnsi="宋体"/>
          <w:b/>
          <w:bCs/>
          <w:szCs w:val="21"/>
        </w:rPr>
      </w:pPr>
      <w:r>
        <w:rPr>
          <w:rFonts w:hint="eastAsia" w:ascii="宋体" w:hAnsi="宋体"/>
          <w:b/>
          <w:bCs/>
          <w:szCs w:val="21"/>
        </w:rPr>
        <w:t>4.</w:t>
      </w:r>
      <w:r>
        <w:rPr>
          <w:rFonts w:ascii="宋体" w:hAnsi="宋体"/>
          <w:b/>
          <w:bCs/>
          <w:szCs w:val="21"/>
        </w:rPr>
        <w:t>在报价评审时，如发现下列情形之一的，投标文件将被视为无效：</w:t>
      </w:r>
    </w:p>
    <w:p>
      <w:pPr>
        <w:spacing w:line="360" w:lineRule="auto"/>
        <w:ind w:firstLine="420" w:firstLineChars="200"/>
        <w:rPr>
          <w:rFonts w:ascii="宋体" w:hAnsi="宋体"/>
          <w:szCs w:val="21"/>
        </w:rPr>
      </w:pPr>
      <w:r>
        <w:rPr>
          <w:rFonts w:hint="eastAsia" w:ascii="宋体" w:hAnsi="宋体"/>
          <w:szCs w:val="21"/>
        </w:rPr>
        <w:t>4.1</w:t>
      </w:r>
      <w:r>
        <w:rPr>
          <w:rFonts w:ascii="宋体" w:hAnsi="宋体"/>
          <w:szCs w:val="21"/>
        </w:rPr>
        <w:t>未采用人民币报价或者未按照招标文件标明的币种报价的；</w:t>
      </w:r>
    </w:p>
    <w:p>
      <w:pPr>
        <w:spacing w:line="360" w:lineRule="auto"/>
        <w:ind w:firstLine="420" w:firstLineChars="200"/>
        <w:rPr>
          <w:rFonts w:ascii="宋体" w:hAnsi="宋体"/>
          <w:szCs w:val="21"/>
        </w:rPr>
      </w:pPr>
      <w:r>
        <w:rPr>
          <w:rFonts w:hint="eastAsia" w:ascii="宋体" w:hAnsi="宋体"/>
          <w:szCs w:val="21"/>
        </w:rPr>
        <w:t>4.2报价文件缺少规定份数的；</w:t>
      </w:r>
    </w:p>
    <w:p>
      <w:pPr>
        <w:spacing w:line="360" w:lineRule="auto"/>
        <w:ind w:firstLine="420" w:firstLineChars="200"/>
        <w:rPr>
          <w:rFonts w:ascii="宋体" w:hAnsi="宋体"/>
          <w:szCs w:val="21"/>
        </w:rPr>
      </w:pPr>
      <w:r>
        <w:rPr>
          <w:rFonts w:hint="eastAsia" w:ascii="宋体" w:hAnsi="宋体"/>
          <w:szCs w:val="21"/>
        </w:rPr>
        <w:t>4.3投标人的报价文件有串通投标情形之一的；</w:t>
      </w:r>
    </w:p>
    <w:p>
      <w:pPr>
        <w:spacing w:line="360" w:lineRule="auto"/>
        <w:ind w:firstLine="420" w:firstLineChars="200"/>
        <w:rPr>
          <w:rFonts w:ascii="宋体" w:hAnsi="宋体"/>
          <w:szCs w:val="21"/>
        </w:rPr>
      </w:pPr>
      <w:r>
        <w:rPr>
          <w:rFonts w:hint="eastAsia" w:ascii="宋体" w:hAnsi="宋体"/>
          <w:szCs w:val="21"/>
        </w:rPr>
        <w:t>4.4报价文件缺少《报价一览表》的；</w:t>
      </w:r>
    </w:p>
    <w:p>
      <w:pPr>
        <w:spacing w:line="360" w:lineRule="auto"/>
        <w:ind w:firstLine="420" w:firstLineChars="200"/>
        <w:rPr>
          <w:rFonts w:ascii="宋体" w:hAnsi="宋体"/>
          <w:szCs w:val="21"/>
        </w:rPr>
      </w:pPr>
      <w:r>
        <w:rPr>
          <w:rFonts w:hint="eastAsia" w:ascii="宋体" w:hAnsi="宋体"/>
          <w:szCs w:val="21"/>
        </w:rPr>
        <w:t>4.5报价文件未按招标文件规定要求进行签字或盖章的；</w:t>
      </w:r>
    </w:p>
    <w:p>
      <w:pPr>
        <w:spacing w:line="360" w:lineRule="auto"/>
        <w:ind w:firstLine="420" w:firstLineChars="200"/>
        <w:rPr>
          <w:rFonts w:ascii="宋体" w:hAnsi="宋体"/>
          <w:szCs w:val="21"/>
        </w:rPr>
      </w:pPr>
      <w:r>
        <w:rPr>
          <w:rFonts w:hint="eastAsia" w:ascii="宋体" w:hAnsi="宋体"/>
          <w:szCs w:val="21"/>
        </w:rPr>
        <w:t>4.6投标报价明显高于市场价或低于成本价，且不能提供证明材料说明原因的；</w:t>
      </w:r>
    </w:p>
    <w:p>
      <w:pPr>
        <w:spacing w:line="360" w:lineRule="auto"/>
        <w:ind w:firstLine="420" w:firstLineChars="200"/>
        <w:rPr>
          <w:rFonts w:ascii="宋体" w:hAnsi="宋体"/>
          <w:szCs w:val="21"/>
        </w:rPr>
      </w:pPr>
      <w:r>
        <w:rPr>
          <w:rFonts w:hint="eastAsia" w:ascii="宋体" w:hAnsi="宋体"/>
          <w:szCs w:val="21"/>
        </w:rPr>
        <w:t>4.7投标人任一报价超过预算金额或</w:t>
      </w:r>
      <w:r>
        <w:rPr>
          <w:rFonts w:ascii="宋体" w:hAnsi="宋体"/>
          <w:szCs w:val="21"/>
        </w:rPr>
        <w:t>最高限价</w:t>
      </w:r>
      <w:r>
        <w:rPr>
          <w:rFonts w:hint="eastAsia" w:ascii="宋体" w:hAnsi="宋体"/>
          <w:szCs w:val="21"/>
        </w:rPr>
        <w:t>的；</w:t>
      </w:r>
    </w:p>
    <w:p>
      <w:pPr>
        <w:spacing w:line="360" w:lineRule="auto"/>
        <w:ind w:firstLine="420" w:firstLineChars="200"/>
        <w:rPr>
          <w:rFonts w:ascii="宋体" w:hAnsi="宋体"/>
          <w:szCs w:val="21"/>
        </w:rPr>
      </w:pPr>
      <w:r>
        <w:rPr>
          <w:rFonts w:hint="eastAsia" w:ascii="宋体" w:hAnsi="宋体"/>
          <w:szCs w:val="21"/>
        </w:rPr>
        <w:t>4.8经评标委员会审核，投标人所投内容不符合实质性采购要求的；</w:t>
      </w:r>
    </w:p>
    <w:p>
      <w:pPr>
        <w:spacing w:line="360" w:lineRule="auto"/>
        <w:ind w:firstLine="420" w:firstLineChars="200"/>
        <w:rPr>
          <w:rFonts w:ascii="宋体" w:hAnsi="宋体"/>
          <w:szCs w:val="21"/>
        </w:rPr>
      </w:pPr>
      <w:r>
        <w:rPr>
          <w:rFonts w:hint="eastAsia" w:ascii="宋体" w:hAnsi="宋体"/>
          <w:szCs w:val="21"/>
        </w:rPr>
        <w:t>4.9投标人拒绝按招标文件</w:t>
      </w:r>
      <w:r>
        <w:rPr>
          <w:rFonts w:ascii="宋体" w:hAnsi="宋体"/>
          <w:szCs w:val="21"/>
        </w:rPr>
        <w:t>错误</w:t>
      </w:r>
      <w:r>
        <w:rPr>
          <w:rFonts w:hint="eastAsia" w:ascii="宋体" w:hAnsi="宋体"/>
          <w:szCs w:val="21"/>
        </w:rPr>
        <w:t xml:space="preserve">修正原则对投标文件进行修改的。                                                                                            </w:t>
      </w:r>
    </w:p>
    <w:p>
      <w:pPr>
        <w:spacing w:line="360" w:lineRule="auto"/>
        <w:ind w:firstLine="422" w:firstLineChars="200"/>
        <w:rPr>
          <w:rFonts w:ascii="宋体" w:hAnsi="宋体"/>
          <w:b/>
          <w:spacing w:val="-4"/>
          <w:szCs w:val="21"/>
        </w:rPr>
      </w:pPr>
      <w:r>
        <w:rPr>
          <w:rFonts w:hint="eastAsia" w:ascii="宋体" w:hAnsi="宋体"/>
          <w:b/>
          <w:szCs w:val="21"/>
        </w:rPr>
        <w:t>5.</w:t>
      </w:r>
      <w:r>
        <w:rPr>
          <w:rFonts w:ascii="宋体" w:hAnsi="宋体"/>
          <w:b/>
          <w:szCs w:val="21"/>
        </w:rPr>
        <w:t>被拒绝的投标文件为无效。</w:t>
      </w:r>
    </w:p>
    <w:p>
      <w:pPr>
        <w:adjustRightInd w:val="0"/>
        <w:snapToGrid w:val="0"/>
        <w:spacing w:line="360" w:lineRule="auto"/>
        <w:jc w:val="center"/>
        <w:outlineLvl w:val="1"/>
        <w:rPr>
          <w:rFonts w:ascii="宋体" w:hAnsi="宋体"/>
          <w:b/>
          <w:snapToGrid w:val="0"/>
          <w:spacing w:val="-4"/>
          <w:szCs w:val="21"/>
        </w:rPr>
      </w:pPr>
      <w:bookmarkStart w:id="202" w:name="_Toc119922199"/>
      <w:bookmarkStart w:id="203" w:name="_Toc509308147"/>
      <w:bookmarkStart w:id="204" w:name="_Toc509308067"/>
      <w:r>
        <w:rPr>
          <w:rFonts w:hint="eastAsia" w:ascii="宋体" w:hAnsi="宋体"/>
          <w:b/>
          <w:spacing w:val="-4"/>
          <w:szCs w:val="21"/>
        </w:rPr>
        <w:t>四、开标</w:t>
      </w:r>
      <w:bookmarkEnd w:id="201"/>
      <w:bookmarkEnd w:id="202"/>
      <w:bookmarkEnd w:id="203"/>
      <w:bookmarkEnd w:id="204"/>
    </w:p>
    <w:p>
      <w:pPr>
        <w:spacing w:line="360" w:lineRule="auto"/>
        <w:ind w:left="632" w:hanging="632" w:hangingChars="300"/>
        <w:rPr>
          <w:rFonts w:ascii="宋体" w:hAnsi="宋体"/>
          <w:b/>
          <w:szCs w:val="21"/>
        </w:rPr>
      </w:pPr>
      <w:r>
        <w:rPr>
          <w:rFonts w:hint="eastAsia" w:ascii="宋体" w:hAnsi="宋体"/>
          <w:b/>
          <w:szCs w:val="21"/>
        </w:rPr>
        <w:t>1.开标准备</w:t>
      </w:r>
    </w:p>
    <w:p>
      <w:pPr>
        <w:spacing w:line="360" w:lineRule="auto"/>
        <w:rPr>
          <w:rFonts w:ascii="宋体" w:hAnsi="宋体"/>
          <w:bCs/>
          <w:szCs w:val="21"/>
        </w:rPr>
      </w:pPr>
      <w:r>
        <w:rPr>
          <w:rFonts w:hint="eastAsia" w:ascii="宋体" w:hAnsi="宋体"/>
          <w:bCs/>
          <w:szCs w:val="21"/>
        </w:rPr>
        <w:t>招标人</w:t>
      </w:r>
      <w:r>
        <w:rPr>
          <w:rFonts w:ascii="宋体" w:hAnsi="宋体"/>
          <w:bCs/>
          <w:szCs w:val="21"/>
        </w:rPr>
        <w:t>将在规定的时间和地点进行开标，投标人的法定代表人（</w:t>
      </w:r>
      <w:r>
        <w:rPr>
          <w:rFonts w:hint="eastAsia" w:ascii="宋体" w:hAnsi="宋体"/>
          <w:szCs w:val="21"/>
        </w:rPr>
        <w:t>机构负责人</w:t>
      </w:r>
      <w:r>
        <w:rPr>
          <w:rFonts w:ascii="宋体" w:hAnsi="宋体"/>
          <w:bCs/>
          <w:szCs w:val="21"/>
        </w:rPr>
        <w:t>）或其授权代表</w:t>
      </w:r>
      <w:r>
        <w:rPr>
          <w:rFonts w:hint="eastAsia" w:ascii="宋体" w:hAnsi="宋体"/>
          <w:bCs/>
          <w:szCs w:val="21"/>
        </w:rPr>
        <w:t>必须</w:t>
      </w:r>
      <w:r>
        <w:rPr>
          <w:rFonts w:ascii="宋体" w:hAnsi="宋体"/>
          <w:bCs/>
          <w:szCs w:val="21"/>
        </w:rPr>
        <w:t>参加开标会并签到。</w:t>
      </w:r>
    </w:p>
    <w:p>
      <w:pPr>
        <w:spacing w:beforeLines="50" w:afterLines="50" w:line="360" w:lineRule="auto"/>
        <w:rPr>
          <w:rFonts w:ascii="宋体" w:hAnsi="宋体"/>
          <w:b/>
          <w:szCs w:val="21"/>
        </w:rPr>
      </w:pPr>
      <w:r>
        <w:rPr>
          <w:rFonts w:hint="eastAsia" w:ascii="宋体" w:hAnsi="宋体"/>
          <w:b/>
          <w:szCs w:val="21"/>
        </w:rPr>
        <w:t>2. 开标程序</w:t>
      </w:r>
    </w:p>
    <w:p>
      <w:pPr>
        <w:spacing w:beforeLines="50" w:afterLines="50" w:line="360" w:lineRule="auto"/>
        <w:rPr>
          <w:rFonts w:ascii="宋体" w:hAnsi="宋体"/>
          <w:szCs w:val="21"/>
        </w:rPr>
      </w:pPr>
      <w:r>
        <w:rPr>
          <w:rFonts w:hint="eastAsia" w:ascii="宋体" w:hAnsi="宋体"/>
          <w:szCs w:val="21"/>
        </w:rPr>
        <w:t>2.1开标会由招标人主持，主持人宣布开标会议开始；</w:t>
      </w:r>
    </w:p>
    <w:p>
      <w:pPr>
        <w:spacing w:beforeLines="50" w:afterLines="50" w:line="360" w:lineRule="auto"/>
        <w:rPr>
          <w:rFonts w:ascii="宋体" w:hAnsi="宋体"/>
          <w:szCs w:val="21"/>
        </w:rPr>
      </w:pPr>
      <w:r>
        <w:rPr>
          <w:rFonts w:hint="eastAsia" w:ascii="宋体" w:hAnsi="宋体"/>
          <w:szCs w:val="21"/>
        </w:rPr>
        <w:t>2.2介绍参加开标会的人员名单；</w:t>
      </w:r>
    </w:p>
    <w:p>
      <w:pPr>
        <w:spacing w:beforeLines="50" w:afterLines="50" w:line="360" w:lineRule="auto"/>
        <w:rPr>
          <w:rFonts w:ascii="宋体" w:hAnsi="宋体"/>
          <w:szCs w:val="21"/>
        </w:rPr>
      </w:pPr>
      <w:r>
        <w:rPr>
          <w:rFonts w:hint="eastAsia" w:ascii="宋体" w:hAnsi="宋体"/>
          <w:szCs w:val="21"/>
        </w:rPr>
        <w:t>2.3主持人宣布评标期间的有关事项；告知应当回避的情形,提请有关人员回避；组织供应商签署不存在影响公平竞争的《采购活动现场确认声明书》；</w:t>
      </w:r>
    </w:p>
    <w:p>
      <w:pPr>
        <w:snapToGrid w:val="0"/>
        <w:spacing w:beforeLines="50" w:afterLines="50" w:line="360" w:lineRule="auto"/>
        <w:rPr>
          <w:rFonts w:ascii="宋体" w:hAnsi="宋体"/>
          <w:szCs w:val="21"/>
        </w:rPr>
      </w:pPr>
      <w:r>
        <w:rPr>
          <w:rFonts w:hint="eastAsia" w:ascii="宋体" w:hAnsi="宋体"/>
          <w:szCs w:val="21"/>
        </w:rPr>
        <w:t>2.</w:t>
      </w:r>
      <w:r>
        <w:rPr>
          <w:rFonts w:ascii="宋体" w:hAnsi="宋体"/>
          <w:szCs w:val="21"/>
        </w:rPr>
        <w:t>4</w:t>
      </w:r>
      <w:r>
        <w:rPr>
          <w:rFonts w:hint="eastAsia" w:ascii="宋体" w:hAnsi="宋体"/>
          <w:szCs w:val="21"/>
        </w:rPr>
        <w:t>.按投标文件送达时间先到后开、后到先开的原则进行验证、拆封、唱标；</w:t>
      </w:r>
    </w:p>
    <w:p>
      <w:pPr>
        <w:snapToGrid w:val="0"/>
        <w:spacing w:beforeLines="50" w:afterLines="50" w:line="360" w:lineRule="auto"/>
        <w:rPr>
          <w:rFonts w:ascii="宋体" w:hAnsi="宋体"/>
          <w:szCs w:val="21"/>
        </w:rPr>
      </w:pPr>
      <w:r>
        <w:rPr>
          <w:rFonts w:hint="eastAsia" w:ascii="宋体" w:hAnsi="宋体"/>
          <w:szCs w:val="21"/>
        </w:rPr>
        <w:t>2.5投标人或其当场推荐的代表，检查投标文件密封的完整性并签字确认；</w:t>
      </w:r>
    </w:p>
    <w:p>
      <w:pPr>
        <w:spacing w:beforeLines="50" w:afterLines="50" w:line="360" w:lineRule="auto"/>
        <w:rPr>
          <w:rFonts w:ascii="宋体" w:hAnsi="宋体"/>
          <w:szCs w:val="21"/>
        </w:rPr>
      </w:pPr>
      <w:r>
        <w:rPr>
          <w:rFonts w:hint="eastAsia" w:ascii="宋体" w:hAnsi="宋体"/>
          <w:szCs w:val="21"/>
        </w:rPr>
        <w:t>2.6 验证；</w:t>
      </w:r>
    </w:p>
    <w:p>
      <w:pPr>
        <w:spacing w:beforeLines="50" w:afterLines="50" w:line="360" w:lineRule="auto"/>
        <w:rPr>
          <w:rFonts w:ascii="宋体" w:hAnsi="宋体"/>
          <w:b/>
          <w:szCs w:val="21"/>
        </w:rPr>
      </w:pPr>
      <w:r>
        <w:rPr>
          <w:rFonts w:hint="eastAsia" w:ascii="宋体" w:hAnsi="宋体"/>
          <w:szCs w:val="21"/>
        </w:rPr>
        <w:t>2.6.1  招标人对投标人以下资料进行查验：</w:t>
      </w:r>
      <w:r>
        <w:rPr>
          <w:rFonts w:hint="eastAsia" w:ascii="宋体" w:hAnsi="宋体"/>
          <w:b/>
          <w:bCs/>
          <w:szCs w:val="21"/>
        </w:rPr>
        <w:t>法</w:t>
      </w:r>
      <w:r>
        <w:rPr>
          <w:rFonts w:hint="eastAsia" w:ascii="宋体" w:hAnsi="宋体"/>
          <w:b/>
          <w:szCs w:val="21"/>
        </w:rPr>
        <w:t>定代表人（机构负责人）有效身份证件，或法定代表人（机构负责人）授权委托书、授权代表有效身份证件（本项目不做具体要求）。</w:t>
      </w:r>
    </w:p>
    <w:p>
      <w:pPr>
        <w:spacing w:beforeLines="50" w:afterLines="50" w:line="360" w:lineRule="auto"/>
        <w:rPr>
          <w:rFonts w:ascii="宋体" w:hAnsi="宋体"/>
          <w:szCs w:val="21"/>
        </w:rPr>
      </w:pPr>
      <w:r>
        <w:rPr>
          <w:rFonts w:hint="eastAsia" w:ascii="宋体" w:hAnsi="宋体"/>
          <w:szCs w:val="21"/>
        </w:rPr>
        <w:t>2.6.2 验证结束前投标人提供的证件不符合招标文件规定的，退还其投标文件；</w:t>
      </w:r>
    </w:p>
    <w:p>
      <w:pPr>
        <w:spacing w:beforeLines="50" w:afterLines="50" w:line="360" w:lineRule="auto"/>
        <w:rPr>
          <w:rFonts w:ascii="宋体" w:hAnsi="宋体"/>
          <w:szCs w:val="21"/>
        </w:rPr>
      </w:pPr>
      <w:r>
        <w:rPr>
          <w:rFonts w:hint="eastAsia" w:ascii="宋体" w:hAnsi="宋体"/>
          <w:szCs w:val="21"/>
        </w:rPr>
        <w:t xml:space="preserve">2.7  </w:t>
      </w:r>
      <w:r>
        <w:rPr>
          <w:rFonts w:hint="eastAsia" w:ascii="宋体" w:hAnsi="宋体"/>
          <w:szCs w:val="21"/>
          <w:lang w:val="en-US" w:eastAsia="zh-CN"/>
        </w:rPr>
        <w:t>标项一</w:t>
      </w:r>
      <w:r>
        <w:rPr>
          <w:rFonts w:hint="eastAsia" w:ascii="宋体" w:hAnsi="宋体"/>
          <w:szCs w:val="21"/>
        </w:rPr>
        <w:t>拆封</w:t>
      </w:r>
    </w:p>
    <w:p>
      <w:pPr>
        <w:spacing w:line="360" w:lineRule="auto"/>
        <w:rPr>
          <w:rFonts w:ascii="宋体" w:hAnsi="宋体"/>
          <w:szCs w:val="21"/>
        </w:rPr>
      </w:pPr>
      <w:r>
        <w:rPr>
          <w:rFonts w:hint="eastAsia" w:ascii="宋体" w:hAnsi="宋体"/>
          <w:szCs w:val="21"/>
        </w:rPr>
        <w:t>2.7.1 通过验证的投标人数量符合有关规定的，拆封资格文件、技术</w:t>
      </w:r>
      <w:r>
        <w:rPr>
          <w:rFonts w:ascii="宋体" w:hAnsi="宋体"/>
          <w:szCs w:val="21"/>
        </w:rPr>
        <w:t>商务文件外包装，清点</w:t>
      </w:r>
      <w:r>
        <w:rPr>
          <w:rFonts w:hint="eastAsia" w:ascii="宋体" w:hAnsi="宋体"/>
          <w:szCs w:val="21"/>
        </w:rPr>
        <w:t>资格文件、技术</w:t>
      </w:r>
      <w:r>
        <w:rPr>
          <w:rFonts w:ascii="宋体" w:hAnsi="宋体"/>
          <w:szCs w:val="21"/>
        </w:rPr>
        <w:t>商务文件正本、副本数量</w:t>
      </w:r>
      <w:r>
        <w:rPr>
          <w:rFonts w:hint="eastAsia" w:ascii="宋体" w:hAnsi="宋体"/>
          <w:szCs w:val="21"/>
        </w:rPr>
        <w:t>（</w:t>
      </w:r>
      <w:r>
        <w:rPr>
          <w:rFonts w:ascii="宋体" w:hAnsi="宋体"/>
          <w:szCs w:val="21"/>
        </w:rPr>
        <w:t>不符合要求的，由投标人代表签字确认</w:t>
      </w:r>
      <w:r>
        <w:rPr>
          <w:rFonts w:hint="eastAsia" w:ascii="宋体" w:hAnsi="宋体"/>
          <w:szCs w:val="21"/>
        </w:rPr>
        <w:t>，不退还资格文件、技术商务文件）；</w:t>
      </w:r>
    </w:p>
    <w:p>
      <w:pPr>
        <w:spacing w:line="360" w:lineRule="auto"/>
        <w:rPr>
          <w:rFonts w:hint="eastAsia" w:ascii="宋体" w:hAnsi="宋体"/>
          <w:szCs w:val="21"/>
        </w:rPr>
      </w:pPr>
      <w:r>
        <w:rPr>
          <w:rFonts w:hint="eastAsia" w:ascii="宋体" w:hAnsi="宋体"/>
          <w:szCs w:val="21"/>
        </w:rPr>
        <w:t>2.7.2 通过验证的投标人数量不符合有关规定的，不拆封，予以退还。</w:t>
      </w:r>
    </w:p>
    <w:p>
      <w:pPr>
        <w:spacing w:beforeLines="50" w:afterLines="50" w:line="360" w:lineRule="auto"/>
        <w:rPr>
          <w:rFonts w:ascii="宋体" w:hAnsi="宋体"/>
          <w:szCs w:val="21"/>
        </w:rPr>
      </w:pPr>
      <w:r>
        <w:rPr>
          <w:rFonts w:hint="eastAsia" w:ascii="宋体" w:hAnsi="宋体"/>
          <w:szCs w:val="21"/>
        </w:rPr>
        <w:t>2.</w:t>
      </w:r>
      <w:r>
        <w:rPr>
          <w:rFonts w:hint="eastAsia" w:ascii="宋体" w:hAnsi="宋体"/>
          <w:szCs w:val="21"/>
          <w:lang w:val="en-US" w:eastAsia="zh-CN"/>
        </w:rPr>
        <w:t>8</w:t>
      </w:r>
      <w:r>
        <w:rPr>
          <w:rFonts w:hint="eastAsia" w:ascii="宋体" w:hAnsi="宋体"/>
          <w:szCs w:val="21"/>
        </w:rPr>
        <w:t xml:space="preserve">  </w:t>
      </w:r>
      <w:r>
        <w:rPr>
          <w:rFonts w:hint="eastAsia" w:ascii="宋体" w:hAnsi="宋体"/>
          <w:szCs w:val="21"/>
          <w:lang w:val="en-US" w:eastAsia="zh-CN"/>
        </w:rPr>
        <w:t>标项二</w:t>
      </w:r>
      <w:r>
        <w:rPr>
          <w:rFonts w:hint="eastAsia" w:ascii="宋体" w:hAnsi="宋体"/>
          <w:szCs w:val="21"/>
        </w:rPr>
        <w:t>拆封</w:t>
      </w:r>
    </w:p>
    <w:p>
      <w:pPr>
        <w:spacing w:line="360" w:lineRule="auto"/>
        <w:rPr>
          <w:rFonts w:ascii="宋体" w:hAnsi="宋体"/>
          <w:szCs w:val="21"/>
        </w:rPr>
      </w:pPr>
      <w:r>
        <w:rPr>
          <w:rFonts w:hint="eastAsia" w:ascii="宋体" w:hAnsi="宋体"/>
          <w:szCs w:val="21"/>
        </w:rPr>
        <w:t>2.</w:t>
      </w:r>
      <w:r>
        <w:rPr>
          <w:rFonts w:hint="eastAsia" w:ascii="宋体" w:hAnsi="宋体"/>
          <w:szCs w:val="21"/>
          <w:lang w:val="en-US" w:eastAsia="zh-CN"/>
        </w:rPr>
        <w:t>8</w:t>
      </w:r>
      <w:r>
        <w:rPr>
          <w:rFonts w:hint="eastAsia" w:ascii="宋体" w:hAnsi="宋体"/>
          <w:szCs w:val="21"/>
        </w:rPr>
        <w:t>.1 通过验证的投标人数量符合有关规定的，拆封资格文件、技术</w:t>
      </w:r>
      <w:r>
        <w:rPr>
          <w:rFonts w:ascii="宋体" w:hAnsi="宋体"/>
          <w:szCs w:val="21"/>
        </w:rPr>
        <w:t>商务文件外包装，清点</w:t>
      </w:r>
      <w:r>
        <w:rPr>
          <w:rFonts w:hint="eastAsia" w:ascii="宋体" w:hAnsi="宋体"/>
          <w:szCs w:val="21"/>
        </w:rPr>
        <w:t>资格文件、技术</w:t>
      </w:r>
      <w:r>
        <w:rPr>
          <w:rFonts w:ascii="宋体" w:hAnsi="宋体"/>
          <w:szCs w:val="21"/>
        </w:rPr>
        <w:t>商务文件正本、副本数量</w:t>
      </w:r>
      <w:r>
        <w:rPr>
          <w:rFonts w:hint="eastAsia" w:ascii="宋体" w:hAnsi="宋体"/>
          <w:szCs w:val="21"/>
        </w:rPr>
        <w:t>（</w:t>
      </w:r>
      <w:r>
        <w:rPr>
          <w:rFonts w:ascii="宋体" w:hAnsi="宋体"/>
          <w:szCs w:val="21"/>
        </w:rPr>
        <w:t>不符合要求的，由投标人代表签字确认</w:t>
      </w:r>
      <w:r>
        <w:rPr>
          <w:rFonts w:hint="eastAsia" w:ascii="宋体" w:hAnsi="宋体"/>
          <w:szCs w:val="21"/>
        </w:rPr>
        <w:t>，不退还资格文件、技术商务文件）；</w:t>
      </w:r>
    </w:p>
    <w:p>
      <w:pPr>
        <w:pStyle w:val="38"/>
        <w:ind w:left="0" w:leftChars="0" w:firstLine="0" w:firstLineChars="0"/>
      </w:pPr>
      <w:r>
        <w:rPr>
          <w:rFonts w:hint="eastAsia" w:ascii="宋体" w:hAnsi="宋体"/>
          <w:szCs w:val="21"/>
        </w:rPr>
        <w:t>2.</w:t>
      </w:r>
      <w:r>
        <w:rPr>
          <w:rFonts w:hint="eastAsia" w:ascii="宋体" w:hAnsi="宋体"/>
          <w:szCs w:val="21"/>
          <w:lang w:val="en-US" w:eastAsia="zh-CN"/>
        </w:rPr>
        <w:t>8</w:t>
      </w:r>
      <w:r>
        <w:rPr>
          <w:rFonts w:hint="eastAsia" w:ascii="宋体" w:hAnsi="宋体"/>
          <w:szCs w:val="21"/>
        </w:rPr>
        <w:t>.2 通过验证的投标人数量不符合有关规定的，不拆封，予以退还。</w:t>
      </w:r>
    </w:p>
    <w:p>
      <w:pPr>
        <w:spacing w:line="360" w:lineRule="auto"/>
        <w:rPr>
          <w:rFonts w:ascii="宋体" w:hAnsi="宋体"/>
          <w:szCs w:val="21"/>
        </w:rPr>
      </w:pPr>
      <w:r>
        <w:rPr>
          <w:rFonts w:hint="eastAsia" w:ascii="宋体" w:hAnsi="宋体"/>
          <w:szCs w:val="21"/>
        </w:rPr>
        <w:t>2.</w:t>
      </w:r>
      <w:r>
        <w:rPr>
          <w:rFonts w:hint="eastAsia" w:ascii="宋体" w:hAnsi="宋体"/>
          <w:szCs w:val="21"/>
          <w:lang w:val="en-US" w:eastAsia="zh-CN"/>
        </w:rPr>
        <w:t>9</w:t>
      </w:r>
      <w:r>
        <w:rPr>
          <w:rFonts w:hint="eastAsia" w:ascii="宋体" w:hAnsi="宋体"/>
          <w:szCs w:val="21"/>
        </w:rPr>
        <w:t xml:space="preserve">  审查</w:t>
      </w:r>
      <w:r>
        <w:rPr>
          <w:rFonts w:hint="eastAsia" w:ascii="宋体" w:hAnsi="宋体"/>
          <w:szCs w:val="21"/>
          <w:lang w:val="en-US" w:eastAsia="zh-CN"/>
        </w:rPr>
        <w:t>标项一</w:t>
      </w:r>
      <w:r>
        <w:rPr>
          <w:rFonts w:hint="eastAsia" w:ascii="宋体" w:hAnsi="宋体"/>
          <w:szCs w:val="21"/>
        </w:rPr>
        <w:t>资格文件、评审</w:t>
      </w:r>
      <w:r>
        <w:rPr>
          <w:rFonts w:ascii="宋体" w:hAnsi="宋体"/>
          <w:szCs w:val="21"/>
        </w:rPr>
        <w:t>技术商务</w:t>
      </w:r>
      <w:r>
        <w:rPr>
          <w:rFonts w:hint="eastAsia" w:ascii="宋体" w:hAnsi="宋体"/>
          <w:szCs w:val="21"/>
        </w:rPr>
        <w:t>文件</w:t>
      </w:r>
    </w:p>
    <w:p>
      <w:pPr>
        <w:spacing w:line="360" w:lineRule="auto"/>
        <w:rPr>
          <w:rFonts w:ascii="宋体" w:hAnsi="宋体"/>
          <w:szCs w:val="21"/>
        </w:rPr>
      </w:pPr>
      <w:r>
        <w:rPr>
          <w:rFonts w:hint="eastAsia" w:ascii="宋体" w:hAnsi="宋体"/>
          <w:szCs w:val="21"/>
        </w:rPr>
        <w:t>2.</w:t>
      </w:r>
      <w:r>
        <w:rPr>
          <w:rFonts w:hint="eastAsia" w:ascii="宋体" w:hAnsi="宋体"/>
          <w:szCs w:val="21"/>
          <w:lang w:val="en-US" w:eastAsia="zh-CN"/>
        </w:rPr>
        <w:t>9</w:t>
      </w:r>
      <w:r>
        <w:rPr>
          <w:rFonts w:hint="eastAsia" w:ascii="宋体" w:hAnsi="宋体"/>
          <w:szCs w:val="21"/>
        </w:rPr>
        <w:t>.1</w:t>
      </w:r>
      <w:r>
        <w:rPr>
          <w:rFonts w:ascii="宋体" w:hAnsi="宋体"/>
          <w:szCs w:val="21"/>
        </w:rPr>
        <w:t>通过</w:t>
      </w:r>
      <w:r>
        <w:rPr>
          <w:rFonts w:hint="eastAsia" w:ascii="宋体" w:hAnsi="宋体"/>
          <w:szCs w:val="21"/>
        </w:rPr>
        <w:t>资格审查</w:t>
      </w:r>
      <w:r>
        <w:rPr>
          <w:rFonts w:ascii="宋体" w:hAnsi="宋体"/>
          <w:szCs w:val="21"/>
        </w:rPr>
        <w:t>的投标人数量符合有关规定的</w:t>
      </w:r>
      <w:r>
        <w:rPr>
          <w:rFonts w:hint="eastAsia" w:ascii="宋体" w:hAnsi="宋体"/>
          <w:szCs w:val="21"/>
        </w:rPr>
        <w:t>，</w:t>
      </w:r>
      <w:r>
        <w:rPr>
          <w:rFonts w:ascii="宋体" w:hAnsi="宋体"/>
          <w:szCs w:val="21"/>
        </w:rPr>
        <w:t>对无效投标人的报价文件</w:t>
      </w:r>
      <w:r>
        <w:rPr>
          <w:rFonts w:hint="eastAsia" w:ascii="宋体" w:hAnsi="宋体"/>
          <w:szCs w:val="21"/>
        </w:rPr>
        <w:t>不拆封，</w:t>
      </w:r>
      <w:r>
        <w:rPr>
          <w:rFonts w:ascii="宋体" w:hAnsi="宋体"/>
          <w:szCs w:val="21"/>
        </w:rPr>
        <w:t>当场退还并签字确认，</w:t>
      </w:r>
      <w:r>
        <w:rPr>
          <w:rFonts w:hint="eastAsia" w:ascii="宋体" w:hAnsi="宋体"/>
          <w:szCs w:val="21"/>
        </w:rPr>
        <w:t>各有效投标人的</w:t>
      </w:r>
      <w:r>
        <w:rPr>
          <w:rFonts w:ascii="宋体" w:hAnsi="宋体"/>
          <w:szCs w:val="21"/>
        </w:rPr>
        <w:t>技术商务</w:t>
      </w:r>
      <w:r>
        <w:rPr>
          <w:rFonts w:hint="eastAsia" w:ascii="宋体" w:hAnsi="宋体"/>
          <w:szCs w:val="21"/>
        </w:rPr>
        <w:t>投标文件送交评标委员会进行评审。</w:t>
      </w:r>
    </w:p>
    <w:p>
      <w:pPr>
        <w:spacing w:line="360" w:lineRule="auto"/>
        <w:rPr>
          <w:rFonts w:hint="eastAsia" w:ascii="宋体" w:hAnsi="宋体"/>
          <w:szCs w:val="21"/>
        </w:rPr>
      </w:pPr>
      <w:r>
        <w:rPr>
          <w:rFonts w:hint="eastAsia" w:ascii="宋体" w:hAnsi="宋体"/>
          <w:szCs w:val="21"/>
        </w:rPr>
        <w:t>2.</w:t>
      </w:r>
      <w:r>
        <w:rPr>
          <w:rFonts w:hint="eastAsia" w:ascii="宋体" w:hAnsi="宋体"/>
          <w:szCs w:val="21"/>
          <w:lang w:val="en-US" w:eastAsia="zh-CN"/>
        </w:rPr>
        <w:t>9</w:t>
      </w:r>
      <w:r>
        <w:rPr>
          <w:rFonts w:hint="eastAsia" w:ascii="宋体" w:hAnsi="宋体"/>
          <w:szCs w:val="21"/>
        </w:rPr>
        <w:t>.2</w:t>
      </w:r>
      <w:r>
        <w:rPr>
          <w:rFonts w:ascii="宋体" w:hAnsi="宋体"/>
          <w:szCs w:val="21"/>
        </w:rPr>
        <w:t>通过</w:t>
      </w:r>
      <w:r>
        <w:rPr>
          <w:rFonts w:hint="eastAsia" w:ascii="宋体" w:hAnsi="宋体"/>
          <w:szCs w:val="21"/>
        </w:rPr>
        <w:t>资格审查</w:t>
      </w:r>
      <w:r>
        <w:rPr>
          <w:rFonts w:ascii="宋体" w:hAnsi="宋体"/>
          <w:szCs w:val="21"/>
        </w:rPr>
        <w:t>的投标人数量</w:t>
      </w:r>
      <w:r>
        <w:rPr>
          <w:rFonts w:hint="eastAsia" w:ascii="宋体" w:hAnsi="宋体"/>
          <w:szCs w:val="21"/>
        </w:rPr>
        <w:t>不</w:t>
      </w:r>
      <w:r>
        <w:rPr>
          <w:rFonts w:ascii="宋体" w:hAnsi="宋体"/>
          <w:szCs w:val="21"/>
        </w:rPr>
        <w:t>符合有关规定的</w:t>
      </w:r>
      <w:r>
        <w:rPr>
          <w:rFonts w:hint="eastAsia" w:ascii="宋体" w:hAnsi="宋体"/>
          <w:szCs w:val="21"/>
        </w:rPr>
        <w:t>，投标人的报价文件只拆封存档，不唱标。</w:t>
      </w:r>
    </w:p>
    <w:p>
      <w:pPr>
        <w:spacing w:line="360" w:lineRule="auto"/>
        <w:rPr>
          <w:rFonts w:ascii="宋体" w:hAnsi="宋体"/>
          <w:szCs w:val="21"/>
        </w:rPr>
      </w:pPr>
      <w:r>
        <w:rPr>
          <w:rFonts w:hint="eastAsia" w:ascii="宋体" w:hAnsi="宋体"/>
          <w:szCs w:val="21"/>
        </w:rPr>
        <w:t>2.</w:t>
      </w:r>
      <w:r>
        <w:rPr>
          <w:rFonts w:hint="eastAsia" w:ascii="宋体" w:hAnsi="宋体"/>
          <w:szCs w:val="21"/>
          <w:lang w:val="en-US" w:eastAsia="zh-CN"/>
        </w:rPr>
        <w:t>10</w:t>
      </w:r>
      <w:r>
        <w:rPr>
          <w:rFonts w:hint="eastAsia" w:ascii="宋体" w:hAnsi="宋体"/>
          <w:szCs w:val="21"/>
        </w:rPr>
        <w:t xml:space="preserve">  审查</w:t>
      </w:r>
      <w:r>
        <w:rPr>
          <w:rFonts w:hint="eastAsia" w:ascii="宋体" w:hAnsi="宋体"/>
          <w:szCs w:val="21"/>
          <w:lang w:val="en-US" w:eastAsia="zh-CN"/>
        </w:rPr>
        <w:t>标项二</w:t>
      </w:r>
      <w:r>
        <w:rPr>
          <w:rFonts w:hint="eastAsia" w:ascii="宋体" w:hAnsi="宋体"/>
          <w:szCs w:val="21"/>
        </w:rPr>
        <w:t>资格文件、评审</w:t>
      </w:r>
      <w:r>
        <w:rPr>
          <w:rFonts w:ascii="宋体" w:hAnsi="宋体"/>
          <w:szCs w:val="21"/>
        </w:rPr>
        <w:t>技术商务</w:t>
      </w:r>
      <w:r>
        <w:rPr>
          <w:rFonts w:hint="eastAsia" w:ascii="宋体" w:hAnsi="宋体"/>
          <w:szCs w:val="21"/>
        </w:rPr>
        <w:t>文件</w:t>
      </w:r>
    </w:p>
    <w:p>
      <w:pPr>
        <w:spacing w:line="360" w:lineRule="auto"/>
        <w:rPr>
          <w:rFonts w:ascii="宋体" w:hAnsi="宋体"/>
          <w:szCs w:val="21"/>
        </w:rPr>
      </w:pPr>
      <w:r>
        <w:rPr>
          <w:rFonts w:hint="eastAsia" w:ascii="宋体" w:hAnsi="宋体"/>
          <w:szCs w:val="21"/>
        </w:rPr>
        <w:t>2.</w:t>
      </w:r>
      <w:r>
        <w:rPr>
          <w:rFonts w:hint="eastAsia" w:ascii="宋体" w:hAnsi="宋体"/>
          <w:szCs w:val="21"/>
          <w:lang w:val="en-US" w:eastAsia="zh-CN"/>
        </w:rPr>
        <w:t>10</w:t>
      </w:r>
      <w:r>
        <w:rPr>
          <w:rFonts w:hint="eastAsia" w:ascii="宋体" w:hAnsi="宋体"/>
          <w:szCs w:val="21"/>
        </w:rPr>
        <w:t>.1</w:t>
      </w:r>
      <w:r>
        <w:rPr>
          <w:rFonts w:ascii="宋体" w:hAnsi="宋体"/>
          <w:szCs w:val="21"/>
        </w:rPr>
        <w:t>通过</w:t>
      </w:r>
      <w:r>
        <w:rPr>
          <w:rFonts w:hint="eastAsia" w:ascii="宋体" w:hAnsi="宋体"/>
          <w:szCs w:val="21"/>
        </w:rPr>
        <w:t>资格审查</w:t>
      </w:r>
      <w:r>
        <w:rPr>
          <w:rFonts w:ascii="宋体" w:hAnsi="宋体"/>
          <w:szCs w:val="21"/>
        </w:rPr>
        <w:t>的投标人数量符合有关规定的</w:t>
      </w:r>
      <w:r>
        <w:rPr>
          <w:rFonts w:hint="eastAsia" w:ascii="宋体" w:hAnsi="宋体"/>
          <w:szCs w:val="21"/>
        </w:rPr>
        <w:t>，</w:t>
      </w:r>
      <w:r>
        <w:rPr>
          <w:rFonts w:ascii="宋体" w:hAnsi="宋体"/>
          <w:szCs w:val="21"/>
        </w:rPr>
        <w:t>对无效投标人的报价文件</w:t>
      </w:r>
      <w:r>
        <w:rPr>
          <w:rFonts w:hint="eastAsia" w:ascii="宋体" w:hAnsi="宋体"/>
          <w:szCs w:val="21"/>
        </w:rPr>
        <w:t>不拆封，</w:t>
      </w:r>
      <w:r>
        <w:rPr>
          <w:rFonts w:ascii="宋体" w:hAnsi="宋体"/>
          <w:szCs w:val="21"/>
        </w:rPr>
        <w:t>当场退还并签字确认，</w:t>
      </w:r>
      <w:r>
        <w:rPr>
          <w:rFonts w:hint="eastAsia" w:ascii="宋体" w:hAnsi="宋体"/>
          <w:szCs w:val="21"/>
        </w:rPr>
        <w:t>各有效投标人的</w:t>
      </w:r>
      <w:r>
        <w:rPr>
          <w:rFonts w:ascii="宋体" w:hAnsi="宋体"/>
          <w:szCs w:val="21"/>
        </w:rPr>
        <w:t>技术商务</w:t>
      </w:r>
      <w:r>
        <w:rPr>
          <w:rFonts w:hint="eastAsia" w:ascii="宋体" w:hAnsi="宋体"/>
          <w:szCs w:val="21"/>
        </w:rPr>
        <w:t>投标文件送交评标委员会进行评审。</w:t>
      </w:r>
    </w:p>
    <w:p>
      <w:pPr>
        <w:pStyle w:val="38"/>
        <w:ind w:left="0" w:leftChars="0" w:firstLine="0" w:firstLineChars="0"/>
      </w:pPr>
      <w:r>
        <w:rPr>
          <w:rFonts w:hint="eastAsia" w:ascii="宋体" w:hAnsi="宋体"/>
          <w:szCs w:val="21"/>
        </w:rPr>
        <w:t>2.</w:t>
      </w:r>
      <w:r>
        <w:rPr>
          <w:rFonts w:hint="eastAsia" w:ascii="宋体" w:hAnsi="宋体"/>
          <w:szCs w:val="21"/>
          <w:lang w:val="en-US" w:eastAsia="zh-CN"/>
        </w:rPr>
        <w:t>10</w:t>
      </w:r>
      <w:r>
        <w:rPr>
          <w:rFonts w:hint="eastAsia" w:ascii="宋体" w:hAnsi="宋体"/>
          <w:szCs w:val="21"/>
        </w:rPr>
        <w:t>.2</w:t>
      </w:r>
      <w:r>
        <w:rPr>
          <w:rFonts w:ascii="宋体" w:hAnsi="宋体"/>
          <w:szCs w:val="21"/>
        </w:rPr>
        <w:t>通过</w:t>
      </w:r>
      <w:r>
        <w:rPr>
          <w:rFonts w:hint="eastAsia" w:ascii="宋体" w:hAnsi="宋体"/>
          <w:szCs w:val="21"/>
        </w:rPr>
        <w:t>资格审查</w:t>
      </w:r>
      <w:r>
        <w:rPr>
          <w:rFonts w:ascii="宋体" w:hAnsi="宋体"/>
          <w:szCs w:val="21"/>
        </w:rPr>
        <w:t>的投标人数量</w:t>
      </w:r>
      <w:r>
        <w:rPr>
          <w:rFonts w:hint="eastAsia" w:ascii="宋体" w:hAnsi="宋体"/>
          <w:szCs w:val="21"/>
        </w:rPr>
        <w:t>不</w:t>
      </w:r>
      <w:r>
        <w:rPr>
          <w:rFonts w:ascii="宋体" w:hAnsi="宋体"/>
          <w:szCs w:val="21"/>
        </w:rPr>
        <w:t>符合有关规定的</w:t>
      </w:r>
      <w:r>
        <w:rPr>
          <w:rFonts w:hint="eastAsia" w:ascii="宋体" w:hAnsi="宋体"/>
          <w:szCs w:val="21"/>
        </w:rPr>
        <w:t>，投标人的报价文件只拆封存档，不唱标。</w:t>
      </w:r>
    </w:p>
    <w:p>
      <w:pPr>
        <w:spacing w:line="360" w:lineRule="auto"/>
        <w:rPr>
          <w:rFonts w:ascii="宋体" w:hAnsi="宋体"/>
          <w:szCs w:val="21"/>
        </w:rPr>
      </w:pPr>
      <w:r>
        <w:rPr>
          <w:rFonts w:hint="eastAsia" w:ascii="宋体" w:hAnsi="宋体"/>
          <w:szCs w:val="21"/>
        </w:rPr>
        <w:t>2.</w:t>
      </w:r>
      <w:r>
        <w:rPr>
          <w:rFonts w:hint="eastAsia" w:ascii="宋体" w:hAnsi="宋体"/>
          <w:szCs w:val="21"/>
          <w:lang w:val="en-US" w:eastAsia="zh-CN"/>
        </w:rPr>
        <w:t>11</w:t>
      </w:r>
      <w:r>
        <w:rPr>
          <w:rFonts w:hint="eastAsia" w:ascii="宋体" w:hAnsi="宋体"/>
          <w:szCs w:val="21"/>
        </w:rPr>
        <w:t xml:space="preserve">  宣布</w:t>
      </w:r>
      <w:r>
        <w:rPr>
          <w:rFonts w:hint="eastAsia" w:ascii="宋体" w:hAnsi="宋体"/>
          <w:szCs w:val="21"/>
          <w:lang w:val="en-US" w:eastAsia="zh-CN"/>
        </w:rPr>
        <w:t>标项一和标项二</w:t>
      </w:r>
      <w:r>
        <w:rPr>
          <w:rFonts w:ascii="宋体" w:hAnsi="宋体"/>
          <w:szCs w:val="21"/>
        </w:rPr>
        <w:t>技术商务</w:t>
      </w:r>
      <w:r>
        <w:rPr>
          <w:rFonts w:hint="eastAsia" w:ascii="宋体" w:hAnsi="宋体"/>
          <w:szCs w:val="21"/>
        </w:rPr>
        <w:t>评审结果</w:t>
      </w:r>
    </w:p>
    <w:p>
      <w:pPr>
        <w:spacing w:line="360" w:lineRule="auto"/>
        <w:rPr>
          <w:rFonts w:ascii="宋体" w:hAnsi="宋体"/>
          <w:szCs w:val="21"/>
        </w:rPr>
      </w:pPr>
      <w:r>
        <w:rPr>
          <w:rFonts w:ascii="宋体" w:hAnsi="宋体"/>
          <w:szCs w:val="21"/>
        </w:rPr>
        <w:t>主持人公布</w:t>
      </w:r>
      <w:r>
        <w:rPr>
          <w:rFonts w:hint="eastAsia" w:ascii="宋体" w:hAnsi="宋体"/>
          <w:szCs w:val="21"/>
        </w:rPr>
        <w:t>资格审查不通过的</w:t>
      </w:r>
      <w:r>
        <w:rPr>
          <w:rFonts w:ascii="宋体" w:hAnsi="宋体"/>
          <w:szCs w:val="21"/>
        </w:rPr>
        <w:t>投标人名单</w:t>
      </w:r>
      <w:r>
        <w:rPr>
          <w:rFonts w:hint="eastAsia" w:ascii="宋体" w:hAnsi="宋体"/>
          <w:szCs w:val="21"/>
        </w:rPr>
        <w:t>及不通过</w:t>
      </w:r>
      <w:r>
        <w:rPr>
          <w:rFonts w:ascii="宋体" w:hAnsi="宋体"/>
          <w:szCs w:val="21"/>
        </w:rPr>
        <w:t>原因</w:t>
      </w:r>
      <w:r>
        <w:rPr>
          <w:rFonts w:hint="eastAsia" w:ascii="宋体" w:hAnsi="宋体"/>
          <w:szCs w:val="21"/>
        </w:rPr>
        <w:t>；技术商务文件</w:t>
      </w:r>
      <w:r>
        <w:rPr>
          <w:rFonts w:ascii="宋体" w:hAnsi="宋体"/>
          <w:szCs w:val="21"/>
        </w:rPr>
        <w:t>无效的投标人名单、投标无效的原因及其他有效投标的</w:t>
      </w:r>
      <w:r>
        <w:rPr>
          <w:rFonts w:hint="eastAsia" w:ascii="宋体" w:hAnsi="宋体"/>
          <w:szCs w:val="21"/>
        </w:rPr>
        <w:t>技术商务</w:t>
      </w:r>
      <w:r>
        <w:rPr>
          <w:rFonts w:ascii="宋体" w:hAnsi="宋体"/>
          <w:szCs w:val="21"/>
        </w:rPr>
        <w:t>评</w:t>
      </w:r>
      <w:r>
        <w:rPr>
          <w:rFonts w:hint="eastAsia" w:ascii="宋体" w:hAnsi="宋体"/>
          <w:szCs w:val="21"/>
        </w:rPr>
        <w:t>审</w:t>
      </w:r>
      <w:r>
        <w:rPr>
          <w:rFonts w:ascii="宋体" w:hAnsi="宋体"/>
          <w:szCs w:val="21"/>
        </w:rPr>
        <w:t>结果</w:t>
      </w:r>
      <w:r>
        <w:rPr>
          <w:rFonts w:hint="eastAsia" w:ascii="宋体" w:hAnsi="宋体"/>
          <w:szCs w:val="21"/>
        </w:rPr>
        <w:t>。</w:t>
      </w:r>
    </w:p>
    <w:p>
      <w:pPr>
        <w:spacing w:line="360" w:lineRule="auto"/>
        <w:rPr>
          <w:rFonts w:ascii="宋体" w:hAnsi="宋体"/>
          <w:szCs w:val="21"/>
        </w:rPr>
      </w:pPr>
      <w:r>
        <w:rPr>
          <w:rFonts w:hint="eastAsia" w:ascii="宋体" w:hAnsi="宋体"/>
          <w:szCs w:val="21"/>
        </w:rPr>
        <w:t>2.1</w:t>
      </w:r>
      <w:r>
        <w:rPr>
          <w:rFonts w:hint="eastAsia" w:ascii="宋体" w:hAnsi="宋体"/>
          <w:szCs w:val="21"/>
          <w:lang w:val="en-US" w:eastAsia="zh-CN"/>
        </w:rPr>
        <w:t>2</w:t>
      </w:r>
      <w:r>
        <w:rPr>
          <w:rFonts w:hint="eastAsia" w:ascii="宋体" w:hAnsi="宋体"/>
          <w:szCs w:val="21"/>
        </w:rPr>
        <w:t xml:space="preserve">  标项一报价文件唱标</w:t>
      </w:r>
    </w:p>
    <w:p>
      <w:pPr>
        <w:spacing w:line="360" w:lineRule="auto"/>
        <w:rPr>
          <w:rFonts w:ascii="宋体" w:hAnsi="宋体"/>
          <w:szCs w:val="21"/>
        </w:rPr>
      </w:pPr>
      <w:r>
        <w:rPr>
          <w:rFonts w:hint="eastAsia" w:ascii="宋体" w:hAnsi="宋体"/>
          <w:szCs w:val="21"/>
        </w:rPr>
        <w:t>2.1</w:t>
      </w:r>
      <w:r>
        <w:rPr>
          <w:rFonts w:hint="eastAsia" w:ascii="宋体" w:hAnsi="宋体"/>
          <w:szCs w:val="21"/>
          <w:lang w:val="en-US" w:eastAsia="zh-CN"/>
        </w:rPr>
        <w:t>2</w:t>
      </w:r>
      <w:r>
        <w:rPr>
          <w:rFonts w:ascii="宋体" w:hAnsi="宋体"/>
          <w:szCs w:val="21"/>
        </w:rPr>
        <w:t>.1通过技术商务评审的投标人数量符合有关规定的，对无效投标人的报价文件</w:t>
      </w:r>
      <w:r>
        <w:rPr>
          <w:rFonts w:hint="eastAsia" w:ascii="宋体" w:hAnsi="宋体"/>
          <w:szCs w:val="21"/>
        </w:rPr>
        <w:t>不拆封，</w:t>
      </w:r>
      <w:r>
        <w:rPr>
          <w:rFonts w:ascii="宋体" w:hAnsi="宋体"/>
          <w:szCs w:val="21"/>
        </w:rPr>
        <w:t>当场退还并签字确认，对有效投标人的报价文件进行拆封，清点报价文件正本、副本数量并唱标（不符合要求的，由投标人代表签字确认，不退还</w:t>
      </w:r>
      <w:r>
        <w:rPr>
          <w:rFonts w:hint="eastAsia" w:ascii="宋体" w:hAnsi="宋体"/>
          <w:szCs w:val="21"/>
        </w:rPr>
        <w:t>报价</w:t>
      </w:r>
      <w:r>
        <w:rPr>
          <w:rFonts w:ascii="宋体" w:hAnsi="宋体"/>
          <w:szCs w:val="21"/>
        </w:rPr>
        <w:t>文件）。</w:t>
      </w:r>
    </w:p>
    <w:p>
      <w:pPr>
        <w:spacing w:line="360" w:lineRule="auto"/>
        <w:rPr>
          <w:rFonts w:ascii="宋体" w:hAnsi="宋体"/>
          <w:szCs w:val="21"/>
        </w:rPr>
      </w:pPr>
      <w:r>
        <w:rPr>
          <w:rFonts w:hint="eastAsia" w:ascii="宋体" w:hAnsi="宋体"/>
          <w:szCs w:val="21"/>
        </w:rPr>
        <w:t>2.1</w:t>
      </w:r>
      <w:r>
        <w:rPr>
          <w:rFonts w:hint="eastAsia" w:ascii="宋体" w:hAnsi="宋体"/>
          <w:szCs w:val="21"/>
          <w:lang w:val="en-US" w:eastAsia="zh-CN"/>
        </w:rPr>
        <w:t>2</w:t>
      </w:r>
      <w:r>
        <w:rPr>
          <w:rFonts w:hint="eastAsia" w:ascii="宋体" w:hAnsi="宋体"/>
          <w:szCs w:val="21"/>
        </w:rPr>
        <w:t>.2通过</w:t>
      </w:r>
      <w:r>
        <w:rPr>
          <w:rFonts w:ascii="宋体" w:hAnsi="宋体"/>
          <w:szCs w:val="21"/>
        </w:rPr>
        <w:t>技术商务</w:t>
      </w:r>
      <w:r>
        <w:rPr>
          <w:rFonts w:hint="eastAsia" w:ascii="宋体" w:hAnsi="宋体"/>
          <w:szCs w:val="21"/>
        </w:rPr>
        <w:t>评审的投标人数量不符合有关规定的，投标人的报价文件只拆封存档，不唱标。</w:t>
      </w:r>
    </w:p>
    <w:p>
      <w:pPr>
        <w:spacing w:line="360" w:lineRule="auto"/>
        <w:rPr>
          <w:rFonts w:ascii="宋体" w:hAnsi="宋体"/>
          <w:szCs w:val="21"/>
        </w:rPr>
      </w:pPr>
      <w:r>
        <w:rPr>
          <w:rFonts w:hint="eastAsia" w:ascii="宋体" w:hAnsi="宋体"/>
          <w:szCs w:val="21"/>
        </w:rPr>
        <w:t>2.1</w:t>
      </w:r>
      <w:r>
        <w:rPr>
          <w:rFonts w:hint="eastAsia" w:ascii="宋体" w:hAnsi="宋体"/>
          <w:szCs w:val="21"/>
          <w:lang w:val="en-US" w:eastAsia="zh-CN"/>
        </w:rPr>
        <w:t>2</w:t>
      </w:r>
      <w:r>
        <w:rPr>
          <w:rFonts w:hint="eastAsia" w:ascii="宋体" w:hAnsi="宋体"/>
          <w:szCs w:val="21"/>
        </w:rPr>
        <w:t>.3唱标内容为《报价一览表》中的报价及招标人认为需要的其他相关内容；</w:t>
      </w:r>
    </w:p>
    <w:p>
      <w:pPr>
        <w:spacing w:line="360" w:lineRule="auto"/>
        <w:rPr>
          <w:rFonts w:ascii="宋体" w:hAnsi="宋体"/>
          <w:szCs w:val="21"/>
        </w:rPr>
      </w:pPr>
      <w:r>
        <w:rPr>
          <w:rFonts w:hint="eastAsia" w:ascii="宋体" w:hAnsi="宋体"/>
          <w:szCs w:val="21"/>
        </w:rPr>
        <w:t>2.1</w:t>
      </w:r>
      <w:r>
        <w:rPr>
          <w:rFonts w:hint="eastAsia" w:ascii="宋体" w:hAnsi="宋体"/>
          <w:szCs w:val="21"/>
          <w:lang w:val="en-US" w:eastAsia="zh-CN"/>
        </w:rPr>
        <w:t>2</w:t>
      </w:r>
      <w:r>
        <w:rPr>
          <w:rFonts w:hint="eastAsia" w:ascii="宋体" w:hAnsi="宋体"/>
          <w:szCs w:val="21"/>
        </w:rPr>
        <w:t>.4唱标记录由各投标人</w:t>
      </w:r>
      <w:r>
        <w:rPr>
          <w:rFonts w:ascii="宋体" w:hAnsi="宋体"/>
          <w:szCs w:val="21"/>
        </w:rPr>
        <w:t>代表</w:t>
      </w:r>
      <w:r>
        <w:rPr>
          <w:rFonts w:hint="eastAsia" w:ascii="宋体" w:hAnsi="宋体"/>
          <w:szCs w:val="21"/>
        </w:rPr>
        <w:t>签字确认。</w:t>
      </w:r>
    </w:p>
    <w:p>
      <w:pPr>
        <w:spacing w:line="360" w:lineRule="auto"/>
        <w:rPr>
          <w:rFonts w:ascii="宋体" w:hAnsi="宋体"/>
          <w:szCs w:val="21"/>
        </w:rPr>
      </w:pPr>
      <w:r>
        <w:rPr>
          <w:rFonts w:hint="eastAsia" w:ascii="宋体" w:hAnsi="宋体"/>
          <w:szCs w:val="21"/>
        </w:rPr>
        <w:t>2.1</w:t>
      </w:r>
      <w:r>
        <w:rPr>
          <w:rFonts w:hint="eastAsia" w:ascii="宋体" w:hAnsi="宋体"/>
          <w:szCs w:val="21"/>
          <w:lang w:val="en-US" w:eastAsia="zh-CN"/>
        </w:rPr>
        <w:t>3</w:t>
      </w:r>
      <w:r>
        <w:rPr>
          <w:rFonts w:hint="eastAsia" w:ascii="宋体" w:hAnsi="宋体"/>
          <w:szCs w:val="21"/>
        </w:rPr>
        <w:t xml:space="preserve">  评审标项一报价文件</w:t>
      </w:r>
    </w:p>
    <w:p>
      <w:pPr>
        <w:spacing w:line="360" w:lineRule="auto"/>
        <w:rPr>
          <w:rFonts w:ascii="宋体" w:hAnsi="宋体"/>
          <w:szCs w:val="21"/>
        </w:rPr>
      </w:pPr>
      <w:r>
        <w:rPr>
          <w:rFonts w:hint="eastAsia" w:ascii="宋体" w:hAnsi="宋体"/>
          <w:szCs w:val="21"/>
        </w:rPr>
        <w:t>各投标人的标项一报价文件送交评标委员会进行评审。</w:t>
      </w:r>
    </w:p>
    <w:p>
      <w:pPr>
        <w:spacing w:line="360" w:lineRule="auto"/>
        <w:rPr>
          <w:rFonts w:ascii="宋体" w:hAnsi="宋体"/>
          <w:szCs w:val="21"/>
        </w:rPr>
      </w:pPr>
      <w:r>
        <w:rPr>
          <w:rFonts w:hint="eastAsia" w:ascii="宋体" w:hAnsi="宋体"/>
          <w:szCs w:val="21"/>
        </w:rPr>
        <w:t>2.1</w:t>
      </w:r>
      <w:r>
        <w:rPr>
          <w:rFonts w:hint="eastAsia" w:ascii="宋体" w:hAnsi="宋体"/>
          <w:szCs w:val="21"/>
          <w:lang w:val="en-US" w:eastAsia="zh-CN"/>
        </w:rPr>
        <w:t>4</w:t>
      </w:r>
      <w:r>
        <w:rPr>
          <w:rFonts w:hint="eastAsia" w:ascii="宋体" w:hAnsi="宋体"/>
          <w:szCs w:val="21"/>
        </w:rPr>
        <w:t xml:space="preserve">  主持人宣布标项一报价文件</w:t>
      </w:r>
      <w:r>
        <w:rPr>
          <w:rFonts w:ascii="宋体" w:hAnsi="宋体"/>
          <w:szCs w:val="21"/>
        </w:rPr>
        <w:t>无效的投标人名单、投标无效的原因及</w:t>
      </w:r>
      <w:r>
        <w:rPr>
          <w:rFonts w:hint="eastAsia" w:ascii="宋体" w:hAnsi="宋体"/>
          <w:szCs w:val="21"/>
        </w:rPr>
        <w:t>评审结果。</w:t>
      </w:r>
    </w:p>
    <w:p>
      <w:pPr>
        <w:spacing w:line="360" w:lineRule="auto"/>
        <w:rPr>
          <w:rFonts w:ascii="宋体" w:hAnsi="宋体"/>
          <w:szCs w:val="21"/>
        </w:rPr>
      </w:pPr>
      <w:r>
        <w:rPr>
          <w:rFonts w:hint="eastAsia" w:ascii="宋体" w:hAnsi="宋体"/>
          <w:szCs w:val="21"/>
        </w:rPr>
        <w:t>2.1</w:t>
      </w:r>
      <w:r>
        <w:rPr>
          <w:rFonts w:hint="eastAsia" w:ascii="宋体" w:hAnsi="宋体"/>
          <w:szCs w:val="21"/>
          <w:lang w:val="en-US" w:eastAsia="zh-CN"/>
        </w:rPr>
        <w:t>5</w:t>
      </w:r>
      <w:r>
        <w:rPr>
          <w:rFonts w:hint="eastAsia" w:ascii="宋体" w:hAnsi="宋体"/>
          <w:szCs w:val="21"/>
        </w:rPr>
        <w:t>标项二报价文件唱标</w:t>
      </w:r>
    </w:p>
    <w:p>
      <w:pPr>
        <w:spacing w:line="360" w:lineRule="auto"/>
        <w:rPr>
          <w:rFonts w:ascii="宋体" w:hAnsi="宋体"/>
          <w:szCs w:val="21"/>
        </w:rPr>
      </w:pPr>
      <w:r>
        <w:rPr>
          <w:rFonts w:hint="eastAsia" w:ascii="宋体" w:hAnsi="宋体"/>
          <w:szCs w:val="21"/>
        </w:rPr>
        <w:t>2.1</w:t>
      </w:r>
      <w:r>
        <w:rPr>
          <w:rFonts w:hint="eastAsia" w:ascii="宋体" w:hAnsi="宋体"/>
          <w:szCs w:val="21"/>
          <w:lang w:val="en-US" w:eastAsia="zh-CN"/>
        </w:rPr>
        <w:t>5</w:t>
      </w:r>
      <w:r>
        <w:rPr>
          <w:rFonts w:ascii="宋体" w:hAnsi="宋体"/>
          <w:szCs w:val="21"/>
        </w:rPr>
        <w:t>.1通过技术商务评审的投标人数量符合有关规定的，对无效投标人的报价文件</w:t>
      </w:r>
      <w:r>
        <w:rPr>
          <w:rFonts w:hint="eastAsia" w:ascii="宋体" w:hAnsi="宋体"/>
          <w:szCs w:val="21"/>
        </w:rPr>
        <w:t>不拆封，</w:t>
      </w:r>
      <w:r>
        <w:rPr>
          <w:rFonts w:ascii="宋体" w:hAnsi="宋体"/>
          <w:szCs w:val="21"/>
        </w:rPr>
        <w:t>当场退还并签字确认，对有效投标人的报价文件进行拆封，清点报价文件正本、副本数量并唱标（不符合要求的，由投标人代表签字确认，不退还</w:t>
      </w:r>
      <w:r>
        <w:rPr>
          <w:rFonts w:hint="eastAsia" w:ascii="宋体" w:hAnsi="宋体"/>
          <w:szCs w:val="21"/>
        </w:rPr>
        <w:t>报价</w:t>
      </w:r>
      <w:r>
        <w:rPr>
          <w:rFonts w:ascii="宋体" w:hAnsi="宋体"/>
          <w:szCs w:val="21"/>
        </w:rPr>
        <w:t>文件）。</w:t>
      </w:r>
    </w:p>
    <w:p>
      <w:pPr>
        <w:spacing w:line="360" w:lineRule="auto"/>
        <w:rPr>
          <w:rFonts w:ascii="宋体" w:hAnsi="宋体"/>
          <w:szCs w:val="21"/>
        </w:rPr>
      </w:pPr>
      <w:r>
        <w:rPr>
          <w:rFonts w:hint="eastAsia" w:ascii="宋体" w:hAnsi="宋体"/>
          <w:szCs w:val="21"/>
        </w:rPr>
        <w:t>2.1</w:t>
      </w:r>
      <w:r>
        <w:rPr>
          <w:rFonts w:hint="eastAsia" w:ascii="宋体" w:hAnsi="宋体"/>
          <w:szCs w:val="21"/>
          <w:lang w:val="en-US" w:eastAsia="zh-CN"/>
        </w:rPr>
        <w:t>5</w:t>
      </w:r>
      <w:r>
        <w:rPr>
          <w:rFonts w:hint="eastAsia" w:ascii="宋体" w:hAnsi="宋体"/>
          <w:szCs w:val="21"/>
        </w:rPr>
        <w:t>.2通过</w:t>
      </w:r>
      <w:r>
        <w:rPr>
          <w:rFonts w:ascii="宋体" w:hAnsi="宋体"/>
          <w:szCs w:val="21"/>
        </w:rPr>
        <w:t>技术商务</w:t>
      </w:r>
      <w:r>
        <w:rPr>
          <w:rFonts w:hint="eastAsia" w:ascii="宋体" w:hAnsi="宋体"/>
          <w:szCs w:val="21"/>
        </w:rPr>
        <w:t>评审的投标人数量不符合有关规定的，投标人的报价文件只拆封存档，不唱标。</w:t>
      </w:r>
    </w:p>
    <w:p>
      <w:pPr>
        <w:spacing w:line="360" w:lineRule="auto"/>
        <w:rPr>
          <w:rFonts w:ascii="宋体" w:hAnsi="宋体"/>
          <w:szCs w:val="21"/>
        </w:rPr>
      </w:pPr>
      <w:r>
        <w:rPr>
          <w:rFonts w:hint="eastAsia" w:ascii="宋体" w:hAnsi="宋体"/>
          <w:szCs w:val="21"/>
        </w:rPr>
        <w:t>2.1</w:t>
      </w:r>
      <w:r>
        <w:rPr>
          <w:rFonts w:hint="eastAsia" w:ascii="宋体" w:hAnsi="宋体"/>
          <w:szCs w:val="21"/>
          <w:lang w:val="en-US" w:eastAsia="zh-CN"/>
        </w:rPr>
        <w:t>5</w:t>
      </w:r>
      <w:r>
        <w:rPr>
          <w:rFonts w:hint="eastAsia" w:ascii="宋体" w:hAnsi="宋体"/>
          <w:szCs w:val="21"/>
        </w:rPr>
        <w:t>.3唱标内容为《报价一览表》中的报价及招标人认为需要的其他相关内容；</w:t>
      </w:r>
    </w:p>
    <w:p>
      <w:pPr>
        <w:spacing w:line="360" w:lineRule="auto"/>
        <w:rPr>
          <w:rFonts w:ascii="宋体" w:hAnsi="宋体"/>
          <w:szCs w:val="21"/>
        </w:rPr>
      </w:pPr>
      <w:r>
        <w:rPr>
          <w:rFonts w:hint="eastAsia" w:ascii="宋体" w:hAnsi="宋体"/>
          <w:szCs w:val="21"/>
        </w:rPr>
        <w:t>2.1</w:t>
      </w:r>
      <w:r>
        <w:rPr>
          <w:rFonts w:hint="eastAsia" w:ascii="宋体" w:hAnsi="宋体"/>
          <w:szCs w:val="21"/>
          <w:lang w:val="en-US" w:eastAsia="zh-CN"/>
        </w:rPr>
        <w:t>5</w:t>
      </w:r>
      <w:r>
        <w:rPr>
          <w:rFonts w:hint="eastAsia" w:ascii="宋体" w:hAnsi="宋体"/>
          <w:szCs w:val="21"/>
        </w:rPr>
        <w:t>.4唱标记录由各投标人</w:t>
      </w:r>
      <w:r>
        <w:rPr>
          <w:rFonts w:ascii="宋体" w:hAnsi="宋体"/>
          <w:szCs w:val="21"/>
        </w:rPr>
        <w:t>代表</w:t>
      </w:r>
      <w:r>
        <w:rPr>
          <w:rFonts w:hint="eastAsia" w:ascii="宋体" w:hAnsi="宋体"/>
          <w:szCs w:val="21"/>
        </w:rPr>
        <w:t>签字确认。</w:t>
      </w:r>
    </w:p>
    <w:p>
      <w:pPr>
        <w:spacing w:line="360" w:lineRule="auto"/>
        <w:rPr>
          <w:rFonts w:ascii="宋体" w:hAnsi="宋体"/>
          <w:szCs w:val="21"/>
        </w:rPr>
      </w:pPr>
      <w:r>
        <w:rPr>
          <w:rFonts w:hint="eastAsia" w:ascii="宋体" w:hAnsi="宋体"/>
          <w:szCs w:val="21"/>
        </w:rPr>
        <w:t>2.1</w:t>
      </w:r>
      <w:r>
        <w:rPr>
          <w:rFonts w:hint="eastAsia" w:ascii="宋体" w:hAnsi="宋体"/>
          <w:szCs w:val="21"/>
          <w:lang w:val="en-US" w:eastAsia="zh-CN"/>
        </w:rPr>
        <w:t>6</w:t>
      </w:r>
      <w:r>
        <w:rPr>
          <w:rFonts w:hint="eastAsia" w:ascii="宋体" w:hAnsi="宋体"/>
          <w:szCs w:val="21"/>
        </w:rPr>
        <w:t xml:space="preserve">  评审标项二报价文件</w:t>
      </w:r>
    </w:p>
    <w:p>
      <w:pPr>
        <w:spacing w:line="360" w:lineRule="auto"/>
        <w:rPr>
          <w:rFonts w:ascii="宋体" w:hAnsi="宋体"/>
          <w:szCs w:val="21"/>
        </w:rPr>
      </w:pPr>
      <w:r>
        <w:rPr>
          <w:rFonts w:hint="eastAsia" w:ascii="宋体" w:hAnsi="宋体"/>
          <w:szCs w:val="21"/>
        </w:rPr>
        <w:t>各投标人的标项二报价文件送交评标委员会进行评审。</w:t>
      </w:r>
    </w:p>
    <w:p>
      <w:pPr>
        <w:spacing w:line="360" w:lineRule="auto"/>
        <w:rPr>
          <w:rFonts w:ascii="宋体" w:hAnsi="宋体"/>
          <w:szCs w:val="21"/>
        </w:rPr>
      </w:pPr>
      <w:r>
        <w:rPr>
          <w:rFonts w:hint="eastAsia" w:ascii="宋体" w:hAnsi="宋体"/>
          <w:szCs w:val="21"/>
        </w:rPr>
        <w:t>2.1</w:t>
      </w:r>
      <w:r>
        <w:rPr>
          <w:rFonts w:hint="eastAsia" w:ascii="宋体" w:hAnsi="宋体"/>
          <w:szCs w:val="21"/>
          <w:lang w:val="en-US" w:eastAsia="zh-CN"/>
        </w:rPr>
        <w:t>7</w:t>
      </w:r>
      <w:r>
        <w:rPr>
          <w:rFonts w:hint="eastAsia" w:ascii="宋体" w:hAnsi="宋体"/>
          <w:szCs w:val="21"/>
        </w:rPr>
        <w:t xml:space="preserve"> 主持人宣布标项二报价文件</w:t>
      </w:r>
      <w:r>
        <w:rPr>
          <w:rFonts w:ascii="宋体" w:hAnsi="宋体"/>
          <w:szCs w:val="21"/>
        </w:rPr>
        <w:t>无效的投标人名单、投标无效的原因及</w:t>
      </w:r>
      <w:r>
        <w:rPr>
          <w:rFonts w:hint="eastAsia" w:ascii="宋体" w:hAnsi="宋体"/>
          <w:szCs w:val="21"/>
        </w:rPr>
        <w:t>评审结果。</w:t>
      </w:r>
    </w:p>
    <w:p>
      <w:pPr>
        <w:spacing w:line="360" w:lineRule="auto"/>
        <w:rPr>
          <w:rFonts w:ascii="宋体" w:hAnsi="宋体"/>
          <w:szCs w:val="21"/>
        </w:rPr>
      </w:pPr>
      <w:r>
        <w:rPr>
          <w:rFonts w:hint="eastAsia" w:ascii="宋体" w:hAnsi="宋体"/>
          <w:szCs w:val="21"/>
        </w:rPr>
        <w:t>2.1</w:t>
      </w:r>
      <w:r>
        <w:rPr>
          <w:rFonts w:hint="eastAsia" w:ascii="宋体" w:hAnsi="宋体"/>
          <w:szCs w:val="21"/>
          <w:lang w:val="en-US" w:eastAsia="zh-CN"/>
        </w:rPr>
        <w:t>8</w:t>
      </w:r>
      <w:r>
        <w:rPr>
          <w:rFonts w:hint="eastAsia" w:ascii="宋体" w:hAnsi="宋体"/>
          <w:szCs w:val="21"/>
        </w:rPr>
        <w:t xml:space="preserve">  开标会议结束。</w:t>
      </w:r>
    </w:p>
    <w:p>
      <w:pPr>
        <w:spacing w:line="360" w:lineRule="auto"/>
      </w:pPr>
      <w:r>
        <w:rPr>
          <w:rFonts w:hint="eastAsia" w:ascii="宋体" w:hAnsi="宋体"/>
          <w:szCs w:val="21"/>
        </w:rPr>
        <w:t>2.</w:t>
      </w:r>
      <w:r>
        <w:rPr>
          <w:rFonts w:hint="eastAsia" w:ascii="宋体" w:hAnsi="宋体"/>
          <w:szCs w:val="21"/>
          <w:lang w:val="en-US" w:eastAsia="zh-CN"/>
        </w:rPr>
        <w:t>19</w:t>
      </w:r>
      <w:r>
        <w:rPr>
          <w:rFonts w:hint="eastAsia" w:ascii="宋体" w:hAnsi="宋体"/>
          <w:szCs w:val="21"/>
        </w:rPr>
        <w:t xml:space="preserve">  投标人如对开评标过程有异议，须在开标会议当场提出，否则视为无异议。投标人未参加开标会议或拒绝签字的，视为投标人放弃该过程中的权利。</w:t>
      </w:r>
    </w:p>
    <w:p>
      <w:pPr>
        <w:spacing w:line="360" w:lineRule="auto"/>
        <w:ind w:left="632" w:hanging="632" w:hangingChars="300"/>
        <w:jc w:val="center"/>
        <w:outlineLvl w:val="1"/>
        <w:rPr>
          <w:rFonts w:ascii="宋体" w:hAnsi="宋体"/>
          <w:b/>
          <w:szCs w:val="21"/>
        </w:rPr>
      </w:pPr>
      <w:bookmarkStart w:id="205" w:name="_Toc509308148"/>
      <w:bookmarkStart w:id="206" w:name="_Toc119922200"/>
      <w:bookmarkStart w:id="207" w:name="_Toc509308068"/>
      <w:bookmarkStart w:id="208" w:name="_Toc488072287"/>
      <w:r>
        <w:rPr>
          <w:rFonts w:hint="eastAsia" w:ascii="宋体" w:hAnsi="宋体"/>
          <w:b/>
          <w:szCs w:val="21"/>
        </w:rPr>
        <w:t>五、评标</w:t>
      </w:r>
      <w:bookmarkEnd w:id="205"/>
      <w:bookmarkEnd w:id="206"/>
      <w:bookmarkEnd w:id="207"/>
      <w:bookmarkEnd w:id="208"/>
    </w:p>
    <w:p>
      <w:pPr>
        <w:spacing w:line="360" w:lineRule="auto"/>
        <w:ind w:left="632" w:hanging="632" w:hangingChars="300"/>
        <w:rPr>
          <w:rFonts w:ascii="宋体" w:hAnsi="宋体"/>
          <w:b/>
          <w:szCs w:val="21"/>
        </w:rPr>
      </w:pPr>
      <w:r>
        <w:rPr>
          <w:rFonts w:hint="eastAsia" w:ascii="宋体" w:hAnsi="宋体"/>
          <w:b/>
          <w:szCs w:val="21"/>
        </w:rPr>
        <w:t>1  组建评标委员会</w:t>
      </w:r>
    </w:p>
    <w:p>
      <w:pPr>
        <w:spacing w:beforeLines="50" w:afterLines="50" w:line="360" w:lineRule="auto"/>
        <w:ind w:left="630" w:hanging="630" w:hangingChars="300"/>
        <w:rPr>
          <w:rFonts w:ascii="宋体" w:hAnsi="宋体"/>
          <w:szCs w:val="21"/>
        </w:rPr>
      </w:pPr>
      <w:r>
        <w:rPr>
          <w:rFonts w:hint="eastAsia" w:ascii="宋体" w:hAnsi="宋体"/>
          <w:szCs w:val="21"/>
        </w:rPr>
        <w:t>本项目评标委员会由5人或5人以上单数组成。</w:t>
      </w:r>
    </w:p>
    <w:p>
      <w:pPr>
        <w:widowControl/>
        <w:shd w:val="clear" w:color="auto" w:fill="FFFFFF"/>
        <w:spacing w:line="360" w:lineRule="auto"/>
        <w:jc w:val="left"/>
        <w:rPr>
          <w:rFonts w:ascii="宋体" w:hAnsi="宋体"/>
          <w:szCs w:val="21"/>
        </w:rPr>
      </w:pPr>
      <w:r>
        <w:rPr>
          <w:rFonts w:hint="eastAsia" w:ascii="宋体" w:hAnsi="宋体"/>
          <w:szCs w:val="21"/>
        </w:rPr>
        <w:t>评标委员会负责具体评标事务，并独立履行下列职责：</w:t>
      </w:r>
    </w:p>
    <w:p>
      <w:pPr>
        <w:widowControl/>
        <w:shd w:val="clear" w:color="auto" w:fill="FFFFFF"/>
        <w:spacing w:line="360" w:lineRule="auto"/>
        <w:ind w:firstLine="420" w:firstLineChars="200"/>
        <w:jc w:val="left"/>
        <w:rPr>
          <w:rFonts w:ascii="宋体" w:hAnsi="宋体"/>
          <w:szCs w:val="21"/>
        </w:rPr>
      </w:pPr>
      <w:r>
        <w:rPr>
          <w:rFonts w:hint="eastAsia" w:ascii="宋体" w:hAnsi="宋体"/>
          <w:szCs w:val="21"/>
        </w:rPr>
        <w:t>1.1审查、评价投标文件是否符合招标文件的商务、技术等实质性要求;</w:t>
      </w:r>
    </w:p>
    <w:p>
      <w:pPr>
        <w:widowControl/>
        <w:shd w:val="clear" w:color="auto" w:fill="FFFFFF"/>
        <w:spacing w:line="360" w:lineRule="auto"/>
        <w:ind w:firstLine="420" w:firstLineChars="200"/>
        <w:jc w:val="left"/>
        <w:rPr>
          <w:rFonts w:ascii="宋体" w:hAnsi="宋体"/>
          <w:szCs w:val="21"/>
        </w:rPr>
      </w:pPr>
      <w:r>
        <w:rPr>
          <w:rFonts w:hint="eastAsia" w:ascii="宋体" w:hAnsi="宋体"/>
          <w:szCs w:val="21"/>
        </w:rPr>
        <w:t>1.2要求投标人对投标文件有关事项作出澄清或者说明;</w:t>
      </w:r>
    </w:p>
    <w:p>
      <w:pPr>
        <w:widowControl/>
        <w:shd w:val="clear" w:color="auto" w:fill="FFFFFF"/>
        <w:spacing w:line="360" w:lineRule="auto"/>
        <w:ind w:firstLine="420" w:firstLineChars="200"/>
        <w:jc w:val="left"/>
        <w:rPr>
          <w:rFonts w:ascii="宋体" w:hAnsi="宋体"/>
          <w:szCs w:val="21"/>
        </w:rPr>
      </w:pPr>
      <w:r>
        <w:rPr>
          <w:rFonts w:hint="eastAsia" w:ascii="宋体" w:hAnsi="宋体"/>
          <w:szCs w:val="21"/>
        </w:rPr>
        <w:t>1.3对投标文件进行比较和评价;</w:t>
      </w:r>
    </w:p>
    <w:p>
      <w:pPr>
        <w:widowControl/>
        <w:shd w:val="clear" w:color="auto" w:fill="FFFFFF"/>
        <w:spacing w:line="360" w:lineRule="auto"/>
        <w:ind w:firstLine="420" w:firstLineChars="200"/>
        <w:jc w:val="left"/>
        <w:rPr>
          <w:rFonts w:ascii="宋体" w:hAnsi="宋体"/>
          <w:szCs w:val="21"/>
        </w:rPr>
      </w:pPr>
      <w:r>
        <w:rPr>
          <w:rFonts w:hint="eastAsia" w:ascii="宋体" w:hAnsi="宋体"/>
          <w:szCs w:val="21"/>
        </w:rPr>
        <w:t>1.4确定中标候选人名单，以及根据采购人委托直接确定中标人;</w:t>
      </w:r>
    </w:p>
    <w:p>
      <w:pPr>
        <w:widowControl/>
        <w:shd w:val="clear" w:color="auto" w:fill="FFFFFF"/>
        <w:spacing w:line="360" w:lineRule="auto"/>
        <w:ind w:firstLine="420" w:firstLineChars="200"/>
        <w:jc w:val="left"/>
        <w:rPr>
          <w:rFonts w:ascii="宋体" w:hAnsi="宋体"/>
          <w:szCs w:val="21"/>
        </w:rPr>
      </w:pPr>
      <w:r>
        <w:rPr>
          <w:rFonts w:hint="eastAsia" w:ascii="宋体" w:hAnsi="宋体"/>
          <w:szCs w:val="21"/>
        </w:rPr>
        <w:t>1.5向采购人、代理机构或者有关部门报告评标中发现的违法行为。</w:t>
      </w:r>
    </w:p>
    <w:p>
      <w:pPr>
        <w:widowControl/>
        <w:shd w:val="clear" w:color="auto" w:fill="FFFFFF"/>
        <w:spacing w:line="360" w:lineRule="auto"/>
        <w:ind w:firstLine="420" w:firstLineChars="200"/>
        <w:jc w:val="left"/>
        <w:rPr>
          <w:rFonts w:ascii="宋体" w:hAnsi="宋体"/>
          <w:szCs w:val="21"/>
        </w:rPr>
      </w:pPr>
      <w:r>
        <w:rPr>
          <w:rFonts w:hint="eastAsia" w:ascii="宋体" w:hAnsi="宋体"/>
          <w:szCs w:val="21"/>
        </w:rPr>
        <w:t>除采购人代表、评标现场组织人员外，采购人的其他工作人员以及与评标工作无关的人员不得进入评标现场。</w:t>
      </w:r>
    </w:p>
    <w:p>
      <w:pPr>
        <w:spacing w:line="360" w:lineRule="auto"/>
        <w:ind w:left="632" w:hanging="632" w:hangingChars="300"/>
        <w:rPr>
          <w:rFonts w:ascii="宋体" w:hAnsi="宋体"/>
          <w:b/>
          <w:szCs w:val="21"/>
        </w:rPr>
      </w:pPr>
      <w:r>
        <w:rPr>
          <w:rFonts w:hint="eastAsia" w:ascii="宋体" w:hAnsi="宋体"/>
          <w:b/>
          <w:szCs w:val="21"/>
        </w:rPr>
        <w:t>2 评标的方式</w:t>
      </w:r>
    </w:p>
    <w:p>
      <w:pPr>
        <w:spacing w:line="360" w:lineRule="auto"/>
        <w:ind w:left="630" w:hanging="630" w:hangingChars="300"/>
        <w:rPr>
          <w:rFonts w:ascii="宋体" w:hAnsi="宋体"/>
          <w:szCs w:val="21"/>
        </w:rPr>
      </w:pPr>
      <w:r>
        <w:rPr>
          <w:rFonts w:hint="eastAsia" w:ascii="宋体" w:hAnsi="宋体"/>
          <w:szCs w:val="21"/>
        </w:rPr>
        <w:t>2.1  本采购项目采用不公开方式评标，评标的依据为招标文件和投标文件。</w:t>
      </w:r>
    </w:p>
    <w:p>
      <w:pPr>
        <w:spacing w:line="360" w:lineRule="auto"/>
        <w:ind w:left="632" w:hanging="632" w:hangingChars="300"/>
        <w:rPr>
          <w:rFonts w:ascii="宋体" w:hAnsi="宋体"/>
          <w:b/>
          <w:szCs w:val="21"/>
        </w:rPr>
      </w:pPr>
      <w:r>
        <w:rPr>
          <w:rFonts w:hint="eastAsia" w:ascii="宋体" w:hAnsi="宋体"/>
          <w:b/>
          <w:szCs w:val="21"/>
        </w:rPr>
        <w:t xml:space="preserve">3  </w:t>
      </w:r>
      <w:r>
        <w:rPr>
          <w:rFonts w:hint="eastAsia" w:ascii="宋体" w:hAnsi="宋体"/>
          <w:b/>
          <w:bCs/>
          <w:szCs w:val="21"/>
        </w:rPr>
        <w:t>评标程序</w:t>
      </w:r>
    </w:p>
    <w:p>
      <w:pPr>
        <w:spacing w:line="360" w:lineRule="auto"/>
        <w:rPr>
          <w:rFonts w:ascii="宋体" w:hAnsi="宋体"/>
          <w:szCs w:val="21"/>
        </w:rPr>
      </w:pPr>
      <w:r>
        <w:rPr>
          <w:rFonts w:hint="eastAsia" w:ascii="宋体" w:hAnsi="宋体"/>
          <w:szCs w:val="21"/>
        </w:rPr>
        <w:t>3.1形式审查:评标委员会将审查投标文件是否真实、完整,总体编排是否有序,文件签署是否正确等。</w:t>
      </w:r>
    </w:p>
    <w:p>
      <w:pPr>
        <w:spacing w:line="360" w:lineRule="auto"/>
        <w:rPr>
          <w:rFonts w:ascii="宋体" w:hAnsi="宋体"/>
          <w:szCs w:val="21"/>
        </w:rPr>
      </w:pPr>
      <w:r>
        <w:rPr>
          <w:rFonts w:hint="eastAsia" w:ascii="宋体" w:hAnsi="宋体"/>
          <w:szCs w:val="21"/>
        </w:rPr>
        <w:t>3.2实质审查与比较。</w:t>
      </w:r>
    </w:p>
    <w:p>
      <w:pPr>
        <w:snapToGrid w:val="0"/>
        <w:spacing w:line="360" w:lineRule="auto"/>
        <w:ind w:firstLine="420" w:firstLineChars="200"/>
        <w:rPr>
          <w:rFonts w:ascii="宋体" w:hAnsi="宋体"/>
          <w:szCs w:val="21"/>
        </w:rPr>
      </w:pPr>
      <w:r>
        <w:rPr>
          <w:rFonts w:hint="eastAsia" w:ascii="宋体" w:hAnsi="宋体"/>
          <w:szCs w:val="21"/>
        </w:rPr>
        <w:t>3.2.1</w:t>
      </w:r>
      <w:r>
        <w:rPr>
          <w:rFonts w:ascii="宋体" w:hAnsi="宋体"/>
          <w:szCs w:val="21"/>
        </w:rPr>
        <w:t>评标委员会审查投标文件的实质性内容是否符合招标文件的实质性要求</w:t>
      </w:r>
      <w:r>
        <w:rPr>
          <w:rFonts w:hint="eastAsia" w:ascii="宋体" w:hAnsi="宋体"/>
          <w:szCs w:val="21"/>
        </w:rPr>
        <w:t>。</w:t>
      </w:r>
    </w:p>
    <w:p>
      <w:pPr>
        <w:snapToGrid w:val="0"/>
        <w:spacing w:line="360" w:lineRule="auto"/>
        <w:ind w:firstLine="420" w:firstLineChars="200"/>
        <w:rPr>
          <w:rFonts w:ascii="宋体" w:hAnsi="宋体"/>
          <w:szCs w:val="21"/>
        </w:rPr>
      </w:pPr>
      <w:r>
        <w:rPr>
          <w:rFonts w:hint="eastAsia" w:ascii="宋体" w:hAnsi="宋体"/>
          <w:szCs w:val="21"/>
        </w:rPr>
        <w:t>3.2.2</w:t>
      </w:r>
      <w:r>
        <w:rPr>
          <w:rFonts w:ascii="宋体" w:hAnsi="宋体"/>
          <w:szCs w:val="21"/>
        </w:rPr>
        <w:t>评标委员会将根据投标人的投标文件进行审查、核对,如有疑问,将对投标人进行询标,投标人要向评标委员会澄清有关问题,并最终以书面形式进行答复。</w:t>
      </w:r>
    </w:p>
    <w:p>
      <w:pPr>
        <w:snapToGrid w:val="0"/>
        <w:spacing w:line="360" w:lineRule="auto"/>
        <w:ind w:firstLine="420" w:firstLineChars="200"/>
        <w:rPr>
          <w:rFonts w:ascii="宋体" w:hAnsi="宋体"/>
          <w:szCs w:val="21"/>
        </w:rPr>
      </w:pPr>
      <w:r>
        <w:rPr>
          <w:rFonts w:ascii="宋体" w:hAnsi="宋体"/>
          <w:szCs w:val="21"/>
        </w:rPr>
        <w:t>询标</w:t>
      </w:r>
      <w:r>
        <w:rPr>
          <w:rFonts w:hint="eastAsia" w:ascii="宋体" w:hAnsi="宋体"/>
          <w:szCs w:val="21"/>
        </w:rPr>
        <w:t>时，投标人代表未到场或者拒绝澄清或者澄清的内容改变了投标文件的实质性内容的，评标委员会有权对该投标文件作出不利于投标人的评判。</w:t>
      </w:r>
    </w:p>
    <w:p>
      <w:pPr>
        <w:spacing w:line="360" w:lineRule="auto"/>
        <w:ind w:firstLine="420" w:firstLineChars="200"/>
        <w:rPr>
          <w:rFonts w:ascii="宋体" w:hAnsi="宋体"/>
          <w:szCs w:val="21"/>
        </w:rPr>
      </w:pPr>
      <w:r>
        <w:rPr>
          <w:rFonts w:hint="eastAsia" w:ascii="宋体" w:hAnsi="宋体"/>
          <w:szCs w:val="21"/>
        </w:rPr>
        <w:t>3.2.3</w:t>
      </w:r>
      <w:r>
        <w:rPr>
          <w:rFonts w:ascii="宋体" w:hAnsi="宋体"/>
          <w:szCs w:val="21"/>
        </w:rPr>
        <w:t>各投标人的</w:t>
      </w:r>
      <w:r>
        <w:rPr>
          <w:rFonts w:hint="eastAsia" w:ascii="宋体" w:hAnsi="宋体"/>
          <w:szCs w:val="21"/>
        </w:rPr>
        <w:t>技术分按照评标委员会成员的独立评分结果汇</w:t>
      </w:r>
      <w:r>
        <w:rPr>
          <w:rFonts w:hint="eastAsia" w:ascii="宋体" w:hAnsi="宋体"/>
          <w:szCs w:val="21"/>
          <w:lang w:val="en-US" w:eastAsia="zh-CN"/>
        </w:rPr>
        <w:t>总</w:t>
      </w:r>
      <w:r>
        <w:rPr>
          <w:rFonts w:hint="eastAsia" w:ascii="宋体" w:hAnsi="宋体"/>
          <w:szCs w:val="21"/>
        </w:rPr>
        <w:t>后的算术平均分计算</w:t>
      </w:r>
      <w:r>
        <w:rPr>
          <w:rFonts w:ascii="宋体" w:hAnsi="宋体"/>
          <w:szCs w:val="21"/>
        </w:rPr>
        <w:t>。</w:t>
      </w:r>
    </w:p>
    <w:p>
      <w:pPr>
        <w:spacing w:line="360" w:lineRule="auto"/>
        <w:ind w:firstLine="420" w:firstLineChars="200"/>
        <w:rPr>
          <w:rFonts w:ascii="宋体" w:hAnsi="宋体"/>
          <w:szCs w:val="21"/>
        </w:rPr>
      </w:pPr>
      <w:r>
        <w:rPr>
          <w:rFonts w:hint="eastAsia" w:ascii="宋体" w:hAnsi="宋体"/>
          <w:szCs w:val="21"/>
        </w:rPr>
        <w:t>3.2.4</w:t>
      </w:r>
      <w:r>
        <w:rPr>
          <w:rFonts w:ascii="宋体" w:hAnsi="宋体"/>
          <w:szCs w:val="21"/>
        </w:rPr>
        <w:t>计算各投标人的商务报价得分</w:t>
      </w:r>
      <w:r>
        <w:rPr>
          <w:rFonts w:hint="eastAsia" w:ascii="宋体" w:hAnsi="宋体"/>
          <w:szCs w:val="21"/>
        </w:rPr>
        <w:t>。</w:t>
      </w:r>
    </w:p>
    <w:p>
      <w:pPr>
        <w:snapToGrid w:val="0"/>
        <w:spacing w:line="360" w:lineRule="auto"/>
        <w:ind w:firstLine="420" w:firstLineChars="200"/>
        <w:rPr>
          <w:rFonts w:ascii="宋体" w:hAnsi="宋体"/>
          <w:szCs w:val="21"/>
        </w:rPr>
      </w:pPr>
      <w:r>
        <w:rPr>
          <w:rFonts w:hint="eastAsia" w:ascii="宋体" w:hAnsi="宋体"/>
          <w:szCs w:val="21"/>
        </w:rPr>
        <w:t>3.2.5</w:t>
      </w:r>
      <w:r>
        <w:rPr>
          <w:rFonts w:ascii="宋体" w:hAnsi="宋体"/>
          <w:szCs w:val="21"/>
        </w:rPr>
        <w:t>评标委员会完成评标后,评委对各部分得分汇总,</w:t>
      </w:r>
      <w:r>
        <w:rPr>
          <w:rFonts w:hint="eastAsia" w:ascii="宋体" w:hAnsi="宋体"/>
          <w:szCs w:val="21"/>
        </w:rPr>
        <w:t>计算</w:t>
      </w:r>
      <w:r>
        <w:rPr>
          <w:rFonts w:ascii="宋体" w:hAnsi="宋体"/>
          <w:szCs w:val="21"/>
        </w:rPr>
        <w:t>出本项目</w:t>
      </w:r>
      <w:r>
        <w:rPr>
          <w:rFonts w:hint="eastAsia" w:ascii="宋体" w:hAnsi="宋体"/>
          <w:szCs w:val="21"/>
        </w:rPr>
        <w:t>最终得分、性价比、评标价等</w:t>
      </w:r>
      <w:r>
        <w:rPr>
          <w:rFonts w:ascii="宋体" w:hAnsi="宋体"/>
          <w:szCs w:val="21"/>
        </w:rPr>
        <w:t>。评标委员会按评标原则推荐中标候选人同时起草评标报告。</w:t>
      </w:r>
    </w:p>
    <w:p>
      <w:pPr>
        <w:spacing w:line="360" w:lineRule="auto"/>
        <w:rPr>
          <w:rFonts w:ascii="宋体" w:hAnsi="宋体"/>
          <w:b/>
          <w:szCs w:val="21"/>
        </w:rPr>
      </w:pPr>
      <w:r>
        <w:rPr>
          <w:rFonts w:hint="eastAsia" w:ascii="宋体" w:hAnsi="宋体"/>
          <w:b/>
          <w:szCs w:val="21"/>
        </w:rPr>
        <w:t>4.澄清问题的形式</w:t>
      </w:r>
    </w:p>
    <w:p>
      <w:pPr>
        <w:spacing w:line="360" w:lineRule="auto"/>
        <w:ind w:firstLine="420" w:firstLineChars="200"/>
        <w:rPr>
          <w:rFonts w:ascii="宋体" w:hAnsi="宋体"/>
          <w:szCs w:val="21"/>
        </w:rPr>
      </w:pPr>
      <w:r>
        <w:rPr>
          <w:rFonts w:hint="eastAsia" w:ascii="宋体" w:hAnsi="宋体"/>
          <w:szCs w:val="21"/>
        </w:rPr>
        <w:t>对投标文件中含义不明确、同类问题表述不一致或者有明显文字和计算错误的内容，评标委员会可以书面形式要求投标人作出必要的澄清、说明或者纠正。投标人的澄清、说明或者补正应当采用书面形式，由其法定代表人（机构负责人）或委托代理人签字或盖章确认，并不得超出投标文件的范围或者改变投标文件的实质性内容。</w:t>
      </w:r>
    </w:p>
    <w:p>
      <w:pPr>
        <w:spacing w:line="360" w:lineRule="auto"/>
        <w:ind w:left="632" w:hanging="632" w:hangingChars="300"/>
        <w:rPr>
          <w:rFonts w:ascii="宋体" w:hAnsi="宋体"/>
          <w:b/>
          <w:szCs w:val="21"/>
        </w:rPr>
      </w:pPr>
      <w:r>
        <w:rPr>
          <w:rFonts w:hint="eastAsia" w:ascii="宋体" w:hAnsi="宋体"/>
          <w:b/>
          <w:szCs w:val="21"/>
        </w:rPr>
        <w:t>5. 错误修正</w:t>
      </w:r>
    </w:p>
    <w:p>
      <w:pPr>
        <w:spacing w:line="360" w:lineRule="auto"/>
        <w:ind w:left="689" w:leftChars="228" w:hanging="210" w:hangingChars="100"/>
        <w:rPr>
          <w:rFonts w:ascii="宋体" w:hAnsi="宋体"/>
          <w:szCs w:val="21"/>
        </w:rPr>
      </w:pPr>
      <w:r>
        <w:rPr>
          <w:rFonts w:hint="eastAsia" w:ascii="宋体" w:hAnsi="宋体"/>
          <w:szCs w:val="21"/>
        </w:rPr>
        <w:t>投标文件如果出现计算或表达上的错误，修正错误的原则如下：</w:t>
      </w:r>
    </w:p>
    <w:p>
      <w:pPr>
        <w:spacing w:line="360" w:lineRule="auto"/>
        <w:ind w:firstLine="420" w:firstLineChars="200"/>
        <w:rPr>
          <w:rFonts w:ascii="宋体" w:hAnsi="宋体"/>
          <w:szCs w:val="21"/>
        </w:rPr>
      </w:pPr>
      <w:r>
        <w:rPr>
          <w:rFonts w:hint="eastAsia" w:ascii="宋体" w:hAnsi="宋体"/>
          <w:szCs w:val="21"/>
        </w:rPr>
        <w:t>5.1开标时，投标文件中开标报价一览表</w:t>
      </w:r>
      <w:r>
        <w:rPr>
          <w:rFonts w:ascii="宋体" w:hAnsi="宋体"/>
          <w:szCs w:val="21"/>
        </w:rPr>
        <w:t>内容与投标报价明细表</w:t>
      </w:r>
      <w:r>
        <w:rPr>
          <w:rFonts w:hint="eastAsia" w:ascii="宋体" w:hAnsi="宋体"/>
          <w:szCs w:val="21"/>
          <w:lang w:val="en-US" w:eastAsia="zh-CN"/>
        </w:rPr>
        <w:t>中</w:t>
      </w:r>
      <w:r>
        <w:rPr>
          <w:rFonts w:ascii="宋体" w:hAnsi="宋体"/>
          <w:szCs w:val="21"/>
        </w:rPr>
        <w:t>内容不一致的，以</w:t>
      </w:r>
      <w:r>
        <w:rPr>
          <w:rFonts w:hint="eastAsia" w:ascii="宋体" w:hAnsi="宋体"/>
          <w:szCs w:val="21"/>
        </w:rPr>
        <w:t>开标报价一览表</w:t>
      </w:r>
      <w:r>
        <w:rPr>
          <w:rFonts w:ascii="宋体" w:hAnsi="宋体"/>
          <w:szCs w:val="21"/>
        </w:rPr>
        <w:t>为准。</w:t>
      </w:r>
    </w:p>
    <w:p>
      <w:pPr>
        <w:spacing w:line="360" w:lineRule="auto"/>
        <w:ind w:firstLine="420" w:firstLineChars="200"/>
        <w:rPr>
          <w:rFonts w:ascii="宋体" w:hAnsi="宋体"/>
          <w:szCs w:val="21"/>
        </w:rPr>
      </w:pPr>
      <w:r>
        <w:rPr>
          <w:rFonts w:hint="eastAsia" w:ascii="宋体" w:hAnsi="宋体"/>
          <w:szCs w:val="21"/>
        </w:rPr>
        <w:t>5.2投标文件的大写金额和小写金额不一致的，以大写金额为准；</w:t>
      </w:r>
    </w:p>
    <w:p>
      <w:pPr>
        <w:spacing w:line="360" w:lineRule="auto"/>
        <w:ind w:firstLine="420" w:firstLineChars="200"/>
        <w:rPr>
          <w:rFonts w:ascii="宋体" w:hAnsi="宋体"/>
          <w:szCs w:val="21"/>
        </w:rPr>
      </w:pPr>
      <w:r>
        <w:rPr>
          <w:rFonts w:hint="eastAsia" w:ascii="宋体" w:hAnsi="宋体"/>
          <w:szCs w:val="21"/>
        </w:rPr>
        <w:t>5.3总价金额与按单价汇总金额不一致的，以单价金额计算结果为准；</w:t>
      </w:r>
    </w:p>
    <w:p>
      <w:pPr>
        <w:spacing w:line="360" w:lineRule="auto"/>
        <w:ind w:firstLine="420" w:firstLineChars="200"/>
        <w:rPr>
          <w:rFonts w:ascii="宋体" w:hAnsi="宋体"/>
          <w:szCs w:val="21"/>
        </w:rPr>
      </w:pPr>
      <w:r>
        <w:rPr>
          <w:rFonts w:hint="eastAsia" w:ascii="宋体" w:hAnsi="宋体"/>
          <w:szCs w:val="21"/>
        </w:rPr>
        <w:t>5.4对不同文字文本投标文件的解释发生异议的，以中文文本为准。</w:t>
      </w:r>
    </w:p>
    <w:p>
      <w:pPr>
        <w:spacing w:line="360" w:lineRule="auto"/>
        <w:ind w:firstLine="420" w:firstLineChars="200"/>
        <w:rPr>
          <w:rFonts w:ascii="宋体" w:hAnsi="宋体"/>
          <w:szCs w:val="21"/>
        </w:rPr>
      </w:pPr>
      <w:r>
        <w:rPr>
          <w:rFonts w:hint="eastAsia" w:ascii="宋体" w:hAnsi="宋体"/>
          <w:szCs w:val="21"/>
        </w:rPr>
        <w:t>按上述修正错误的原则及方法调整或修正投标文件的投标报价，投标人同意后，调整后的投标报价对投标人起约束作用。如果投标人不接受修正后的报价，则其投标将被拒绝。</w:t>
      </w:r>
    </w:p>
    <w:p>
      <w:pPr>
        <w:spacing w:line="360" w:lineRule="auto"/>
        <w:rPr>
          <w:rFonts w:ascii="宋体" w:hAnsi="宋体"/>
          <w:b/>
          <w:szCs w:val="21"/>
        </w:rPr>
      </w:pPr>
      <w:r>
        <w:rPr>
          <w:rFonts w:hint="eastAsia" w:ascii="宋体" w:hAnsi="宋体"/>
          <w:b/>
          <w:szCs w:val="21"/>
        </w:rPr>
        <w:t>6. 评标过程的保密性</w:t>
      </w:r>
    </w:p>
    <w:p>
      <w:pPr>
        <w:spacing w:line="360" w:lineRule="auto"/>
        <w:ind w:firstLine="420" w:firstLineChars="200"/>
        <w:rPr>
          <w:rFonts w:ascii="宋体" w:hAnsi="宋体"/>
          <w:szCs w:val="21"/>
        </w:rPr>
      </w:pPr>
      <w:r>
        <w:rPr>
          <w:rFonts w:hint="eastAsia" w:ascii="宋体" w:hAnsi="宋体"/>
          <w:szCs w:val="21"/>
        </w:rPr>
        <w:t>凡是属于审查、澄清、评审和比较的有关资料以及授标建议，任何人均不得向投标人或其他无关的人员透露。投标人在评标过程中，所进行的力图影响评标结果的不公正活动，可能导致其投标被拒绝。</w:t>
      </w:r>
    </w:p>
    <w:p>
      <w:pPr>
        <w:tabs>
          <w:tab w:val="left" w:pos="630"/>
        </w:tabs>
        <w:spacing w:line="360" w:lineRule="auto"/>
        <w:rPr>
          <w:rFonts w:ascii="宋体" w:hAnsi="宋体"/>
          <w:b/>
          <w:szCs w:val="21"/>
        </w:rPr>
      </w:pPr>
      <w:r>
        <w:rPr>
          <w:rFonts w:hint="eastAsia" w:ascii="宋体" w:hAnsi="宋体"/>
          <w:b/>
          <w:szCs w:val="21"/>
        </w:rPr>
        <w:t>7. 评标原则和评标办法</w:t>
      </w:r>
    </w:p>
    <w:p>
      <w:pPr>
        <w:spacing w:line="360" w:lineRule="auto"/>
        <w:ind w:firstLine="420" w:firstLineChars="200"/>
        <w:rPr>
          <w:rFonts w:ascii="宋体" w:hAnsi="宋体"/>
          <w:szCs w:val="21"/>
        </w:rPr>
      </w:pPr>
      <w:r>
        <w:rPr>
          <w:rFonts w:hint="eastAsia" w:ascii="宋体" w:hAnsi="宋体"/>
          <w:szCs w:val="21"/>
        </w:rPr>
        <w:t>7.1 评标原则。评标委员会必须做到公平、公正、客观，不带任何倾向性和启发性；不得向外界透露任何与评标有关的内容；任何单位和个人不得干扰、影响评标的正常进行；评标委员会及有关工作人员不得私下与供应商接触。</w:t>
      </w:r>
    </w:p>
    <w:p>
      <w:pPr>
        <w:spacing w:line="360" w:lineRule="auto"/>
        <w:ind w:firstLine="420" w:firstLineChars="200"/>
        <w:rPr>
          <w:rFonts w:ascii="宋体" w:hAnsi="宋体"/>
          <w:b/>
          <w:sz w:val="24"/>
          <w:szCs w:val="21"/>
        </w:rPr>
      </w:pPr>
      <w:r>
        <w:rPr>
          <w:rFonts w:hint="eastAsia" w:ascii="宋体" w:hAnsi="宋体"/>
          <w:szCs w:val="21"/>
        </w:rPr>
        <w:t>7.2 评标办法。本项目的具体评标办法详见第四章的《评标办法》。</w:t>
      </w:r>
      <w:bookmarkStart w:id="209" w:name="_Toc488072288"/>
    </w:p>
    <w:p>
      <w:pPr>
        <w:spacing w:line="360" w:lineRule="auto"/>
        <w:jc w:val="center"/>
        <w:outlineLvl w:val="1"/>
        <w:rPr>
          <w:rFonts w:ascii="宋体" w:hAnsi="宋体"/>
          <w:b/>
          <w:sz w:val="24"/>
          <w:szCs w:val="21"/>
        </w:rPr>
      </w:pPr>
      <w:bookmarkStart w:id="210" w:name="_Toc119922201"/>
      <w:bookmarkStart w:id="211" w:name="_Toc509308149"/>
      <w:bookmarkStart w:id="212" w:name="_Toc509308069"/>
      <w:r>
        <w:rPr>
          <w:rFonts w:hint="eastAsia" w:ascii="宋体" w:hAnsi="宋体"/>
          <w:b/>
          <w:sz w:val="24"/>
          <w:szCs w:val="21"/>
        </w:rPr>
        <w:t>六、定标</w:t>
      </w:r>
      <w:bookmarkEnd w:id="209"/>
      <w:bookmarkEnd w:id="210"/>
      <w:bookmarkEnd w:id="211"/>
      <w:bookmarkEnd w:id="212"/>
    </w:p>
    <w:p>
      <w:pPr>
        <w:spacing w:line="360" w:lineRule="auto"/>
        <w:ind w:firstLine="422" w:firstLineChars="200"/>
        <w:rPr>
          <w:rFonts w:hint="eastAsia" w:ascii="宋体" w:hAnsi="宋体"/>
          <w:szCs w:val="21"/>
        </w:rPr>
      </w:pPr>
      <w:r>
        <w:rPr>
          <w:rFonts w:hint="eastAsia" w:ascii="宋体" w:hAnsi="宋体"/>
          <w:b/>
          <w:bCs/>
          <w:szCs w:val="21"/>
        </w:rPr>
        <w:t>1.中标人确定</w:t>
      </w:r>
    </w:p>
    <w:p>
      <w:pPr>
        <w:spacing w:line="360" w:lineRule="auto"/>
        <w:ind w:firstLine="420" w:firstLineChars="200"/>
        <w:rPr>
          <w:rFonts w:hint="eastAsia" w:ascii="宋体" w:hAnsi="宋体"/>
          <w:szCs w:val="21"/>
        </w:rPr>
      </w:pPr>
      <w:bookmarkStart w:id="213" w:name="_Toc119922202"/>
      <w:bookmarkStart w:id="214" w:name="_Toc488072289"/>
      <w:r>
        <w:rPr>
          <w:rFonts w:hint="eastAsia" w:ascii="宋体" w:hAnsi="宋体"/>
          <w:szCs w:val="21"/>
        </w:rPr>
        <w:t>1.1评标结束后，招标人当场宣布评审结果。</w:t>
      </w:r>
      <w:bookmarkEnd w:id="213"/>
    </w:p>
    <w:p>
      <w:pPr>
        <w:snapToGrid w:val="0"/>
        <w:spacing w:line="360" w:lineRule="auto"/>
        <w:ind w:firstLine="420" w:firstLineChars="200"/>
        <w:rPr>
          <w:rFonts w:ascii="宋体" w:hAnsi="宋体"/>
          <w:szCs w:val="21"/>
          <w:highlight w:val="none"/>
        </w:rPr>
      </w:pPr>
      <w:bookmarkStart w:id="215" w:name="_Toc119922203"/>
      <w:r>
        <w:rPr>
          <w:rFonts w:hint="eastAsia" w:ascii="宋体" w:hAnsi="宋体"/>
          <w:szCs w:val="21"/>
          <w:highlight w:val="none"/>
        </w:rPr>
        <w:t>1.2评审结果经采购人确认后，采购单位向中标人签发《中标通知书》，同时在指定媒体上公告采购结果，该采购结果公告作为向投标人发出的书面通知</w:t>
      </w:r>
      <w:r>
        <w:rPr>
          <w:rFonts w:ascii="宋体" w:hAnsi="宋体"/>
          <w:szCs w:val="21"/>
          <w:highlight w:val="none"/>
        </w:rPr>
        <w:t>。</w:t>
      </w:r>
    </w:p>
    <w:p>
      <w:pPr>
        <w:snapToGrid w:val="0"/>
        <w:spacing w:line="360" w:lineRule="auto"/>
        <w:ind w:firstLine="420" w:firstLineChars="200"/>
        <w:rPr>
          <w:rFonts w:ascii="宋体" w:hAnsi="宋体"/>
          <w:szCs w:val="21"/>
          <w:highlight w:val="none"/>
        </w:rPr>
      </w:pPr>
      <w:r>
        <w:rPr>
          <w:rFonts w:hint="eastAsia"/>
          <w:highlight w:val="none"/>
        </w:rPr>
        <w:t>如有投标人对评审结果提出质疑的，采购人可在质疑处理完毕后确定中标人；如在质疑期内查实中标人有违反有关法律法规和本项目招标文件规定和要求的，则取消该投标人的中标资格，中标人改为综合得分第二名的投标人，或重新组织采购。</w:t>
      </w:r>
    </w:p>
    <w:bookmarkEnd w:id="215"/>
    <w:p>
      <w:pPr>
        <w:spacing w:line="360" w:lineRule="auto"/>
        <w:ind w:firstLine="420" w:firstLineChars="200"/>
        <w:rPr>
          <w:rFonts w:hint="eastAsia" w:ascii="宋体" w:hAnsi="宋体"/>
          <w:szCs w:val="21"/>
        </w:rPr>
      </w:pPr>
    </w:p>
    <w:p>
      <w:pPr>
        <w:spacing w:line="360" w:lineRule="auto"/>
        <w:jc w:val="center"/>
        <w:outlineLvl w:val="1"/>
        <w:rPr>
          <w:rFonts w:ascii="宋体" w:hAnsi="宋体"/>
          <w:b/>
          <w:sz w:val="24"/>
          <w:szCs w:val="21"/>
        </w:rPr>
      </w:pPr>
      <w:bookmarkStart w:id="216" w:name="_Toc119922204"/>
      <w:bookmarkStart w:id="217" w:name="_Toc509308150"/>
      <w:bookmarkStart w:id="218" w:name="_Toc509308070"/>
      <w:r>
        <w:rPr>
          <w:rFonts w:hint="eastAsia" w:ascii="宋体" w:hAnsi="宋体"/>
          <w:b/>
          <w:sz w:val="24"/>
          <w:szCs w:val="21"/>
        </w:rPr>
        <w:t>七、合同授予</w:t>
      </w:r>
      <w:bookmarkEnd w:id="214"/>
      <w:bookmarkEnd w:id="216"/>
      <w:bookmarkEnd w:id="217"/>
      <w:bookmarkEnd w:id="218"/>
    </w:p>
    <w:p>
      <w:pPr>
        <w:spacing w:line="360" w:lineRule="auto"/>
        <w:ind w:firstLine="422" w:firstLineChars="200"/>
        <w:rPr>
          <w:rFonts w:hint="eastAsia" w:ascii="宋体" w:hAnsi="宋体"/>
          <w:szCs w:val="21"/>
        </w:rPr>
      </w:pPr>
      <w:r>
        <w:rPr>
          <w:rFonts w:hint="eastAsia" w:ascii="宋体" w:hAnsi="宋体"/>
          <w:b/>
          <w:bCs/>
          <w:szCs w:val="21"/>
        </w:rPr>
        <w:t>1.签订合同</w:t>
      </w:r>
    </w:p>
    <w:p>
      <w:pPr>
        <w:spacing w:line="360" w:lineRule="auto"/>
        <w:ind w:firstLine="420" w:firstLineChars="200"/>
        <w:rPr>
          <w:rFonts w:hint="eastAsia" w:ascii="宋体" w:hAnsi="宋体"/>
          <w:szCs w:val="21"/>
        </w:rPr>
      </w:pPr>
      <w:r>
        <w:rPr>
          <w:rFonts w:hint="eastAsia" w:ascii="宋体" w:hAnsi="宋体"/>
          <w:szCs w:val="21"/>
        </w:rPr>
        <w:t>1.1  采购人与中标人应当在《中标通知书》发出之日起30日内签订采购合同。同时，招标人对合同内容进行审查，如发现与采购结果和投标承诺内容不一致的，将予以纠正。</w:t>
      </w:r>
    </w:p>
    <w:p>
      <w:pPr>
        <w:spacing w:line="360" w:lineRule="auto"/>
        <w:ind w:firstLine="420" w:firstLineChars="200"/>
        <w:rPr>
          <w:rFonts w:hint="eastAsia" w:ascii="宋体" w:hAnsi="宋体"/>
          <w:szCs w:val="21"/>
        </w:rPr>
      </w:pPr>
      <w:r>
        <w:rPr>
          <w:rFonts w:hint="eastAsia" w:ascii="宋体" w:hAnsi="宋体"/>
          <w:szCs w:val="21"/>
        </w:rPr>
        <w:t>1.2  《中标通知书》、招标文件、投标文件等采购文件将作为签订合同（协议）的依据。</w:t>
      </w:r>
    </w:p>
    <w:p>
      <w:pPr>
        <w:spacing w:line="360" w:lineRule="auto"/>
        <w:ind w:firstLine="420" w:firstLineChars="200"/>
        <w:rPr>
          <w:rFonts w:ascii="宋体" w:hAnsi="宋体"/>
        </w:rPr>
      </w:pPr>
      <w:r>
        <w:rPr>
          <w:rFonts w:hint="eastAsia" w:ascii="宋体" w:hAnsi="宋体"/>
          <w:szCs w:val="21"/>
        </w:rPr>
        <w:t>1.3  中标人拒交履约保证金、拒签合同或放弃中标的，将被取消中标资格并追究其法律责任。</w:t>
      </w:r>
    </w:p>
    <w:p>
      <w:pPr>
        <w:spacing w:line="360" w:lineRule="auto"/>
        <w:rPr>
          <w:rFonts w:ascii="宋体" w:hAnsi="宋体"/>
        </w:rPr>
      </w:pPr>
    </w:p>
    <w:p>
      <w:pPr>
        <w:spacing w:line="380" w:lineRule="exact"/>
        <w:rPr>
          <w:rFonts w:ascii="宋体" w:hAnsi="宋体"/>
          <w:szCs w:val="21"/>
        </w:rPr>
      </w:pPr>
    </w:p>
    <w:p>
      <w:pPr>
        <w:keepNext/>
        <w:keepLines/>
        <w:pageBreakBefore w:val="0"/>
        <w:widowControl w:val="0"/>
        <w:kinsoku/>
        <w:wordWrap/>
        <w:overflowPunct/>
        <w:topLinePunct w:val="0"/>
        <w:autoSpaceDE/>
        <w:autoSpaceDN/>
        <w:bidi w:val="0"/>
        <w:adjustRightInd/>
        <w:snapToGrid/>
        <w:spacing w:before="260" w:after="260" w:line="240" w:lineRule="auto"/>
        <w:jc w:val="center"/>
        <w:textAlignment w:val="auto"/>
        <w:outlineLvl w:val="1"/>
        <w:rPr>
          <w:rFonts w:ascii="Cambria" w:hAnsi="Cambria"/>
          <w:b/>
          <w:bCs/>
          <w:sz w:val="32"/>
          <w:szCs w:val="32"/>
        </w:rPr>
      </w:pPr>
      <w:bookmarkStart w:id="219" w:name="_Toc119922205"/>
      <w:bookmarkStart w:id="220" w:name="_Toc509308151"/>
      <w:r>
        <w:rPr>
          <w:rFonts w:hint="eastAsia" w:ascii="Cambria" w:hAnsi="Cambria"/>
          <w:b/>
          <w:bCs/>
          <w:sz w:val="32"/>
          <w:szCs w:val="32"/>
        </w:rPr>
        <w:t>第四章  评标办法</w:t>
      </w:r>
      <w:bookmarkEnd w:id="219"/>
      <w:bookmarkEnd w:id="220"/>
    </w:p>
    <w:p>
      <w:pPr>
        <w:spacing w:line="360" w:lineRule="auto"/>
        <w:ind w:firstLine="420"/>
        <w:rPr>
          <w:rFonts w:ascii="宋体" w:hAnsi="宋体"/>
          <w:szCs w:val="21"/>
        </w:rPr>
      </w:pPr>
      <w:r>
        <w:rPr>
          <w:rFonts w:hint="eastAsia" w:ascii="宋体" w:hAnsi="宋体"/>
          <w:szCs w:val="21"/>
        </w:rPr>
        <w:t>为公正、公平、科学地选择中标人，参照、有关法律法规的相关规定，并结合本项目的实际，制定本办法。</w:t>
      </w:r>
    </w:p>
    <w:p>
      <w:pPr>
        <w:spacing w:line="360" w:lineRule="auto"/>
        <w:ind w:firstLine="411" w:firstLineChars="196"/>
        <w:rPr>
          <w:rFonts w:ascii="宋体" w:hAnsi="宋体"/>
          <w:szCs w:val="21"/>
        </w:rPr>
      </w:pPr>
      <w:r>
        <w:rPr>
          <w:rFonts w:hint="eastAsia" w:ascii="宋体" w:hAnsi="宋体"/>
          <w:szCs w:val="21"/>
        </w:rPr>
        <w:t>一、总则</w:t>
      </w:r>
    </w:p>
    <w:p>
      <w:pPr>
        <w:spacing w:line="360" w:lineRule="auto"/>
        <w:ind w:firstLine="420" w:firstLineChars="200"/>
        <w:rPr>
          <w:rFonts w:hint="eastAsia" w:eastAsia="宋体"/>
          <w:b/>
          <w:bCs w:val="0"/>
          <w:highlight w:val="yellow"/>
          <w:lang w:eastAsia="zh-CN"/>
        </w:rPr>
      </w:pPr>
      <w:r>
        <w:rPr>
          <w:rFonts w:hint="eastAsia" w:ascii="宋体" w:hAnsi="宋体" w:cs="Arial"/>
          <w:szCs w:val="21"/>
        </w:rPr>
        <w:t>本次评标采用综合评分法，总分为100分，其中价格分</w:t>
      </w:r>
      <w:r>
        <w:rPr>
          <w:rFonts w:hint="eastAsia" w:ascii="宋体" w:hAnsi="宋体" w:cs="Arial"/>
          <w:szCs w:val="21"/>
          <w:lang w:val="en-US" w:eastAsia="zh-CN"/>
        </w:rPr>
        <w:t>3</w:t>
      </w:r>
      <w:r>
        <w:rPr>
          <w:rFonts w:hint="eastAsia" w:ascii="宋体" w:hAnsi="宋体" w:cs="Arial"/>
          <w:szCs w:val="21"/>
        </w:rPr>
        <w:t>0分、技术商务分</w:t>
      </w:r>
      <w:r>
        <w:rPr>
          <w:rFonts w:hint="eastAsia" w:ascii="宋体" w:hAnsi="宋体" w:cs="Arial"/>
          <w:szCs w:val="21"/>
          <w:lang w:val="en-US" w:eastAsia="zh-CN"/>
        </w:rPr>
        <w:t>7</w:t>
      </w:r>
      <w:r>
        <w:rPr>
          <w:rFonts w:hint="eastAsia" w:ascii="宋体" w:hAnsi="宋体" w:cs="Arial"/>
          <w:szCs w:val="21"/>
        </w:rPr>
        <w:t>0分。资格文件、技术商务文件</w:t>
      </w:r>
      <w:r>
        <w:rPr>
          <w:rFonts w:hint="eastAsia" w:ascii="宋体" w:hAnsi="宋体" w:cs="Arial"/>
          <w:szCs w:val="21"/>
          <w:lang w:val="en-US" w:eastAsia="zh-CN"/>
        </w:rPr>
        <w:t>、</w:t>
      </w:r>
      <w:r>
        <w:rPr>
          <w:rFonts w:hint="eastAsia" w:ascii="宋体" w:hAnsi="宋体" w:cs="Arial"/>
          <w:szCs w:val="21"/>
        </w:rPr>
        <w:t>报价文件</w:t>
      </w:r>
      <w:r>
        <w:rPr>
          <w:rFonts w:hint="eastAsia" w:ascii="宋体" w:hAnsi="宋体" w:cs="Arial"/>
          <w:szCs w:val="21"/>
          <w:lang w:val="en-US" w:eastAsia="zh-CN"/>
        </w:rPr>
        <w:t>两</w:t>
      </w:r>
      <w:r>
        <w:rPr>
          <w:rFonts w:hint="eastAsia" w:ascii="宋体" w:hAnsi="宋体" w:cs="Arial"/>
          <w:szCs w:val="21"/>
        </w:rPr>
        <w:t>个标项</w:t>
      </w:r>
      <w:r>
        <w:rPr>
          <w:rFonts w:hint="eastAsia" w:ascii="宋体" w:hAnsi="宋体" w:cs="Arial"/>
          <w:szCs w:val="21"/>
          <w:lang w:val="en-US" w:eastAsia="zh-CN"/>
        </w:rPr>
        <w:t>均需</w:t>
      </w:r>
      <w:r>
        <w:rPr>
          <w:rFonts w:hint="eastAsia" w:ascii="宋体" w:hAnsi="宋体" w:cs="Arial"/>
          <w:szCs w:val="21"/>
        </w:rPr>
        <w:t>分别制作。合格投标人的评标得分为各项目汇总得分，中标候选资格按评标得</w:t>
      </w:r>
      <w:r>
        <w:rPr>
          <w:rFonts w:hint="eastAsia" w:ascii="宋体" w:hAnsi="宋体" w:cs="Arial"/>
          <w:szCs w:val="21"/>
          <w:highlight w:val="none"/>
        </w:rPr>
        <w:t>分由高到低顺序排列，得分相同的，按投标报价由低到高顺序排列；得分且投标报价相同的，按技术得分由高到低顺序排列。排名第一的投标人为中标候选人，</w:t>
      </w:r>
      <w:r>
        <w:rPr>
          <w:rFonts w:hint="eastAsia" w:ascii="宋体" w:hAnsi="宋体"/>
          <w:szCs w:val="21"/>
          <w:highlight w:val="none"/>
        </w:rPr>
        <w:t>投标人评标</w:t>
      </w:r>
      <w:r>
        <w:rPr>
          <w:rFonts w:hint="eastAsia" w:ascii="宋体" w:hAnsi="宋体"/>
          <w:bCs/>
          <w:szCs w:val="21"/>
          <w:highlight w:val="none"/>
        </w:rPr>
        <w:t>综合得分=价格分+技术商务分</w:t>
      </w:r>
      <w:r>
        <w:rPr>
          <w:rFonts w:hint="eastAsia" w:ascii="宋体" w:hAnsi="宋体"/>
          <w:b/>
          <w:bCs w:val="0"/>
          <w:szCs w:val="21"/>
          <w:highlight w:val="none"/>
          <w:lang w:eastAsia="zh-CN"/>
        </w:rPr>
        <w:t>（</w:t>
      </w:r>
      <w:r>
        <w:rPr>
          <w:rFonts w:hint="eastAsia" w:ascii="宋体" w:hAnsi="宋体"/>
          <w:b/>
          <w:bCs w:val="0"/>
          <w:szCs w:val="21"/>
          <w:highlight w:val="none"/>
          <w:lang w:val="en-US" w:eastAsia="zh-CN"/>
        </w:rPr>
        <w:t>本项目开标时先开标项一，</w:t>
      </w:r>
      <w:r>
        <w:rPr>
          <w:rFonts w:hint="eastAsia" w:ascii="宋体" w:hAnsi="宋体"/>
          <w:b/>
          <w:bCs w:val="0"/>
          <w:szCs w:val="21"/>
          <w:highlight w:val="none"/>
        </w:rPr>
        <w:t>标项一的中标候选人将自动退出标项二的竞标</w:t>
      </w:r>
      <w:r>
        <w:rPr>
          <w:rFonts w:hint="eastAsia" w:ascii="宋体" w:hAnsi="宋体"/>
          <w:b/>
          <w:bCs w:val="0"/>
          <w:szCs w:val="21"/>
          <w:highlight w:val="none"/>
          <w:lang w:eastAsia="zh-CN"/>
        </w:rPr>
        <w:t>。）</w:t>
      </w:r>
    </w:p>
    <w:p>
      <w:pPr>
        <w:spacing w:line="360" w:lineRule="auto"/>
        <w:rPr>
          <w:rFonts w:hint="default" w:ascii="宋体" w:hAnsi="宋体"/>
          <w:b/>
          <w:spacing w:val="-4"/>
          <w:szCs w:val="21"/>
          <w:lang w:val="en-US" w:eastAsia="zh-CN"/>
        </w:rPr>
      </w:pPr>
      <w:r>
        <w:rPr>
          <w:rFonts w:hint="eastAsia" w:ascii="宋体" w:hAnsi="宋体"/>
          <w:b/>
          <w:spacing w:val="-4"/>
          <w:szCs w:val="21"/>
        </w:rPr>
        <w:t>评标内容及标准</w:t>
      </w:r>
    </w:p>
    <w:p>
      <w:pPr>
        <w:spacing w:line="360" w:lineRule="auto"/>
        <w:rPr>
          <w:rFonts w:ascii="宋体" w:hAnsi="宋体"/>
          <w:b/>
          <w:bCs/>
          <w:spacing w:val="-4"/>
          <w:szCs w:val="21"/>
        </w:rPr>
      </w:pPr>
      <w:r>
        <w:rPr>
          <w:rFonts w:ascii="宋体" w:hAnsi="宋体"/>
          <w:b/>
          <w:spacing w:val="-4"/>
          <w:szCs w:val="21"/>
        </w:rPr>
        <w:t>（一）</w:t>
      </w:r>
      <w:r>
        <w:rPr>
          <w:rFonts w:ascii="宋体" w:hAnsi="宋体"/>
          <w:b/>
          <w:bCs/>
          <w:spacing w:val="-4"/>
          <w:szCs w:val="21"/>
        </w:rPr>
        <w:t>价格分（</w:t>
      </w:r>
      <w:r>
        <w:rPr>
          <w:rFonts w:hint="eastAsia" w:ascii="宋体" w:hAnsi="宋体"/>
          <w:b/>
          <w:bCs/>
          <w:spacing w:val="-4"/>
          <w:szCs w:val="21"/>
          <w:lang w:val="en-US" w:eastAsia="zh-CN"/>
        </w:rPr>
        <w:t>3</w:t>
      </w:r>
      <w:r>
        <w:rPr>
          <w:rFonts w:hint="eastAsia" w:ascii="宋体" w:hAnsi="宋体"/>
          <w:b/>
          <w:bCs/>
          <w:spacing w:val="-4"/>
          <w:szCs w:val="21"/>
        </w:rPr>
        <w:t>0</w:t>
      </w:r>
      <w:r>
        <w:rPr>
          <w:rFonts w:ascii="宋体" w:hAnsi="宋体"/>
          <w:b/>
          <w:bCs/>
          <w:spacing w:val="-4"/>
          <w:szCs w:val="21"/>
        </w:rPr>
        <w:t>分）</w:t>
      </w:r>
    </w:p>
    <w:p>
      <w:pPr>
        <w:snapToGrid w:val="0"/>
        <w:spacing w:line="360" w:lineRule="auto"/>
        <w:ind w:firstLine="420" w:firstLineChars="200"/>
        <w:rPr>
          <w:rFonts w:ascii="宋体" w:hAnsi="宋体" w:cs="Arial"/>
          <w:szCs w:val="21"/>
        </w:rPr>
      </w:pPr>
      <w:r>
        <w:rPr>
          <w:rFonts w:ascii="宋体" w:hAnsi="宋体" w:cs="Arial"/>
          <w:szCs w:val="21"/>
        </w:rPr>
        <w:t>1</w:t>
      </w:r>
      <w:r>
        <w:rPr>
          <w:rFonts w:hint="eastAsia" w:ascii="宋体" w:hAnsi="宋体" w:cs="Arial"/>
          <w:szCs w:val="21"/>
        </w:rPr>
        <w:t>.价格分采用低价优先法计算，即满足招标文件要求且投标价格最低的投标报价为评标基准价，投标人的价格分按照下列公式计算：</w:t>
      </w:r>
    </w:p>
    <w:p>
      <w:pPr>
        <w:snapToGrid w:val="0"/>
        <w:spacing w:line="360" w:lineRule="auto"/>
        <w:ind w:firstLine="420" w:firstLineChars="200"/>
        <w:rPr>
          <w:rFonts w:ascii="宋体" w:hAnsi="宋体" w:cs="Arial"/>
          <w:szCs w:val="21"/>
        </w:rPr>
      </w:pPr>
      <w:r>
        <w:rPr>
          <w:rFonts w:hint="eastAsia" w:ascii="宋体" w:hAnsi="宋体" w:cs="Arial"/>
          <w:szCs w:val="21"/>
        </w:rPr>
        <w:t>价格分=（评标基准价/投标报价）×</w:t>
      </w:r>
      <w:r>
        <w:rPr>
          <w:rFonts w:hint="eastAsia" w:ascii="宋体" w:hAnsi="宋体" w:cs="Arial"/>
          <w:szCs w:val="21"/>
          <w:lang w:val="en-US" w:eastAsia="zh-CN"/>
        </w:rPr>
        <w:t>3</w:t>
      </w:r>
      <w:r>
        <w:rPr>
          <w:rFonts w:hint="eastAsia" w:ascii="宋体" w:hAnsi="宋体" w:cs="Arial"/>
          <w:szCs w:val="21"/>
        </w:rPr>
        <w:t>0%×100（</w:t>
      </w:r>
      <w:r>
        <w:rPr>
          <w:rFonts w:hint="eastAsia" w:ascii="宋体" w:hAnsi="宋体"/>
          <w:szCs w:val="21"/>
        </w:rPr>
        <w:t>四舍五入，保留两位小数。</w:t>
      </w:r>
      <w:r>
        <w:rPr>
          <w:rFonts w:hint="eastAsia" w:ascii="宋体" w:hAnsi="宋体" w:cs="Arial"/>
          <w:szCs w:val="21"/>
        </w:rPr>
        <w:t>）</w:t>
      </w:r>
    </w:p>
    <w:p>
      <w:pPr>
        <w:spacing w:line="360" w:lineRule="auto"/>
        <w:ind w:firstLine="405"/>
        <w:rPr>
          <w:rFonts w:ascii="宋体" w:hAnsi="宋体" w:cs="Arial"/>
          <w:szCs w:val="21"/>
        </w:rPr>
      </w:pPr>
      <w:r>
        <w:rPr>
          <w:rFonts w:ascii="宋体" w:hAnsi="宋体" w:cs="Arial"/>
          <w:szCs w:val="21"/>
        </w:rPr>
        <w:t>2</w:t>
      </w:r>
      <w:r>
        <w:rPr>
          <w:rFonts w:hint="eastAsia" w:ascii="宋体" w:hAnsi="宋体" w:cs="Arial"/>
          <w:szCs w:val="21"/>
        </w:rPr>
        <w:t>.投标人的投标报价超过采购人设定的最高投标限价，将作为无效标。</w:t>
      </w:r>
    </w:p>
    <w:p>
      <w:pPr>
        <w:snapToGrid w:val="0"/>
        <w:spacing w:line="360" w:lineRule="auto"/>
        <w:ind w:firstLine="420" w:firstLineChars="200"/>
        <w:rPr>
          <w:rFonts w:ascii="宋体" w:hAnsi="宋体" w:cs="Arial"/>
          <w:szCs w:val="21"/>
        </w:rPr>
      </w:pPr>
      <w:r>
        <w:rPr>
          <w:rFonts w:hint="eastAsia" w:ascii="宋体" w:hAnsi="宋体" w:cs="Arial"/>
          <w:szCs w:val="21"/>
        </w:rPr>
        <w:t>注：如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hint="eastAsia" w:ascii="宋体" w:hAnsi="宋体"/>
          <w:b/>
          <w:bCs/>
          <w:spacing w:val="-4"/>
          <w:szCs w:val="21"/>
        </w:rPr>
      </w:pPr>
      <w:r>
        <w:rPr>
          <w:rFonts w:hint="eastAsia" w:ascii="宋体" w:hAnsi="宋体"/>
          <w:b/>
          <w:bCs/>
          <w:spacing w:val="-4"/>
          <w:szCs w:val="21"/>
        </w:rPr>
        <w:t>技术商务分(</w:t>
      </w:r>
      <w:r>
        <w:rPr>
          <w:rFonts w:hint="eastAsia" w:ascii="宋体" w:hAnsi="宋体"/>
          <w:b/>
          <w:bCs/>
          <w:spacing w:val="-4"/>
          <w:szCs w:val="21"/>
          <w:lang w:val="en-US" w:eastAsia="zh-CN"/>
        </w:rPr>
        <w:t>7</w:t>
      </w:r>
      <w:r>
        <w:rPr>
          <w:rFonts w:hint="eastAsia" w:ascii="宋体" w:hAnsi="宋体"/>
          <w:b/>
          <w:bCs/>
          <w:spacing w:val="-4"/>
          <w:szCs w:val="21"/>
        </w:rPr>
        <w:t>0分)</w:t>
      </w:r>
    </w:p>
    <w:p>
      <w:pPr>
        <w:pStyle w:val="38"/>
        <w:numPr>
          <w:ilvl w:val="0"/>
          <w:numId w:val="0"/>
        </w:numPr>
        <w:rPr>
          <w:rFonts w:hint="default" w:eastAsia="宋体"/>
          <w:b/>
          <w:bCs/>
          <w:lang w:val="en-US" w:eastAsia="zh-CN"/>
        </w:rPr>
      </w:pPr>
      <w:r>
        <w:rPr>
          <w:rFonts w:hint="eastAsia"/>
          <w:b/>
          <w:bCs/>
          <w:lang w:val="en-US" w:eastAsia="zh-CN"/>
        </w:rPr>
        <w:t>标项一技术商务分(70分)评分标准：</w:t>
      </w:r>
    </w:p>
    <w:tbl>
      <w:tblPr>
        <w:tblStyle w:val="39"/>
        <w:tblpPr w:leftFromText="180" w:rightFromText="180" w:vertAnchor="text" w:horzAnchor="page" w:tblpXSpec="center" w:tblpY="815"/>
        <w:tblOverlap w:val="never"/>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33"/>
        <w:gridCol w:w="618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tcPr>
          <w:p>
            <w:pPr>
              <w:spacing w:line="440" w:lineRule="exact"/>
              <w:jc w:val="center"/>
              <w:rPr>
                <w:rFonts w:ascii="宋体" w:hAnsi="宋体"/>
                <w:szCs w:val="21"/>
              </w:rPr>
            </w:pPr>
            <w:r>
              <w:rPr>
                <w:rFonts w:hint="eastAsia" w:ascii="宋体" w:hAnsi="宋体"/>
                <w:szCs w:val="21"/>
              </w:rPr>
              <w:t>序号</w:t>
            </w:r>
          </w:p>
        </w:tc>
        <w:tc>
          <w:tcPr>
            <w:tcW w:w="7513" w:type="dxa"/>
            <w:gridSpan w:val="2"/>
            <w:noWrap/>
            <w:vAlign w:val="center"/>
          </w:tcPr>
          <w:p>
            <w:pPr>
              <w:spacing w:line="440" w:lineRule="exact"/>
              <w:jc w:val="center"/>
              <w:rPr>
                <w:rFonts w:ascii="宋体" w:hAnsi="宋体"/>
                <w:szCs w:val="21"/>
              </w:rPr>
            </w:pPr>
            <w:r>
              <w:rPr>
                <w:rFonts w:hint="eastAsia" w:ascii="宋体" w:hAnsi="宋体"/>
                <w:szCs w:val="21"/>
              </w:rPr>
              <w:t>评分标准</w:t>
            </w:r>
          </w:p>
        </w:tc>
        <w:tc>
          <w:tcPr>
            <w:tcW w:w="992" w:type="dxa"/>
            <w:noWrap/>
          </w:tcPr>
          <w:p>
            <w:pPr>
              <w:spacing w:line="440" w:lineRule="exact"/>
              <w:jc w:val="center"/>
              <w:rPr>
                <w:rFonts w:ascii="宋体" w:hAnsi="宋体"/>
                <w:szCs w:val="21"/>
              </w:rPr>
            </w:pPr>
            <w:r>
              <w:rPr>
                <w:rFonts w:hint="eastAsia" w:ascii="宋体" w:hAnsi="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675" w:type="dxa"/>
            <w:noWrap/>
            <w:vAlign w:val="center"/>
          </w:tcPr>
          <w:p>
            <w:pPr>
              <w:spacing w:line="400" w:lineRule="exact"/>
              <w:jc w:val="center"/>
              <w:rPr>
                <w:rFonts w:ascii="宋体" w:hAnsi="宋体"/>
                <w:szCs w:val="21"/>
              </w:rPr>
            </w:pPr>
            <w:r>
              <w:rPr>
                <w:rFonts w:hint="eastAsia" w:ascii="宋体" w:hAnsi="宋体"/>
                <w:szCs w:val="21"/>
              </w:rPr>
              <w:t>1</w:t>
            </w:r>
          </w:p>
        </w:tc>
        <w:tc>
          <w:tcPr>
            <w:tcW w:w="1333" w:type="dxa"/>
            <w:noWrap/>
            <w:vAlign w:val="center"/>
          </w:tcPr>
          <w:p>
            <w:pPr>
              <w:spacing w:line="400" w:lineRule="exact"/>
              <w:jc w:val="center"/>
              <w:rPr>
                <w:rFonts w:ascii="宋体" w:hAnsi="宋体" w:cs="宋体"/>
                <w:szCs w:val="21"/>
              </w:rPr>
            </w:pPr>
            <w:bookmarkStart w:id="221" w:name="OLE_LINK13"/>
            <w:r>
              <w:rPr>
                <w:rFonts w:hint="eastAsia" w:ascii="宋体" w:hAnsi="宋体" w:cs="宋体"/>
                <w:kern w:val="0"/>
                <w:szCs w:val="21"/>
              </w:rPr>
              <w:t>公司综合情况</w:t>
            </w:r>
            <w:bookmarkEnd w:id="221"/>
          </w:p>
        </w:tc>
        <w:tc>
          <w:tcPr>
            <w:tcW w:w="6180" w:type="dxa"/>
            <w:noWrap/>
            <w:vAlign w:val="center"/>
          </w:tcPr>
          <w:p>
            <w:pPr>
              <w:widowControl/>
              <w:spacing w:line="300" w:lineRule="atLeast"/>
              <w:rPr>
                <w:rFonts w:ascii="宋体" w:hAnsi="宋体" w:cs="宋体"/>
                <w:szCs w:val="21"/>
              </w:rPr>
            </w:pPr>
            <w:r>
              <w:rPr>
                <w:rFonts w:hint="eastAsia" w:ascii="宋体" w:hAnsi="宋体" w:cs="宋体"/>
                <w:kern w:val="0"/>
                <w:szCs w:val="21"/>
              </w:rPr>
              <w:t>根据投标人的规模、履约能力、经营状况、团队力量、税收贡献等情况比较后打分</w:t>
            </w:r>
          </w:p>
        </w:tc>
        <w:tc>
          <w:tcPr>
            <w:tcW w:w="992" w:type="dxa"/>
            <w:noWrap/>
            <w:vAlign w:val="center"/>
          </w:tcPr>
          <w:p>
            <w:pPr>
              <w:widowControl/>
              <w:spacing w:line="300" w:lineRule="atLeast"/>
              <w:jc w:val="center"/>
              <w:rPr>
                <w:rFonts w:ascii="宋体" w:hAnsi="宋体" w:cs="宋体"/>
                <w:szCs w:val="21"/>
              </w:rPr>
            </w:pPr>
            <w:r>
              <w:rPr>
                <w:rFonts w:hint="eastAsia" w:ascii="宋体" w:hAnsi="宋体" w:cs="宋体"/>
                <w:kern w:val="0"/>
                <w:szCs w:val="21"/>
                <w:lang w:val="en-US" w:eastAsia="zh-CN"/>
              </w:rPr>
              <w:t>5</w:t>
            </w:r>
            <w:r>
              <w:rPr>
                <w:rFonts w:hint="eastAsia" w:ascii="宋体" w:hAnsi="宋体" w:cs="宋体"/>
                <w:kern w:val="0"/>
                <w:szCs w:val="21"/>
              </w:rPr>
              <w:t>-</w:t>
            </w:r>
            <w:r>
              <w:rPr>
                <w:rFonts w:hint="eastAsia" w:ascii="宋体" w:hAnsi="宋体" w:cs="宋体"/>
                <w:kern w:val="0"/>
                <w:szCs w:val="21"/>
                <w:lang w:val="en-US" w:eastAsia="zh-CN"/>
              </w:rPr>
              <w:t>8</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675" w:type="dxa"/>
            <w:noWrap/>
            <w:vAlign w:val="center"/>
          </w:tcPr>
          <w:p>
            <w:pPr>
              <w:spacing w:line="400" w:lineRule="exact"/>
              <w:jc w:val="center"/>
              <w:rPr>
                <w:rFonts w:ascii="宋体" w:hAnsi="宋体"/>
                <w:szCs w:val="21"/>
              </w:rPr>
            </w:pPr>
            <w:r>
              <w:rPr>
                <w:rFonts w:hint="eastAsia" w:ascii="宋体" w:hAnsi="宋体"/>
                <w:szCs w:val="21"/>
              </w:rPr>
              <w:t>2</w:t>
            </w:r>
          </w:p>
        </w:tc>
        <w:tc>
          <w:tcPr>
            <w:tcW w:w="1333" w:type="dxa"/>
            <w:noWrap/>
            <w:vAlign w:val="center"/>
          </w:tcPr>
          <w:p>
            <w:pPr>
              <w:spacing w:line="400" w:lineRule="exact"/>
              <w:jc w:val="center"/>
              <w:rPr>
                <w:rFonts w:ascii="宋体" w:hAnsi="宋体" w:cs="宋体"/>
                <w:szCs w:val="21"/>
              </w:rPr>
            </w:pPr>
            <w:r>
              <w:rPr>
                <w:rFonts w:hint="eastAsia" w:ascii="宋体" w:hAnsi="宋体" w:cs="宋体"/>
                <w:kern w:val="0"/>
                <w:szCs w:val="21"/>
              </w:rPr>
              <w:t>综合偿付能力</w:t>
            </w:r>
          </w:p>
        </w:tc>
        <w:tc>
          <w:tcPr>
            <w:tcW w:w="6180" w:type="dxa"/>
            <w:noWrap/>
            <w:vAlign w:val="center"/>
          </w:tcPr>
          <w:p>
            <w:pPr>
              <w:spacing w:line="400" w:lineRule="exact"/>
              <w:rPr>
                <w:rFonts w:ascii="宋体" w:hAnsi="宋体" w:cs="宋体"/>
                <w:szCs w:val="21"/>
              </w:rPr>
            </w:pPr>
            <w:r>
              <w:rPr>
                <w:rFonts w:hint="eastAsia" w:ascii="宋体" w:hAnsi="宋体" w:cs="宋体"/>
                <w:kern w:val="0"/>
                <w:szCs w:val="21"/>
              </w:rPr>
              <w:t>投标人偿付能力.根据投标人提供的最近一个季度综合偿付能力充足率</w:t>
            </w:r>
            <w:r>
              <w:rPr>
                <w:rFonts w:hint="eastAsia" w:ascii="宋体" w:hAnsi="宋体" w:cs="宋体"/>
                <w:kern w:val="0"/>
                <w:szCs w:val="21"/>
                <w:lang w:eastAsia="zh-CN"/>
              </w:rPr>
              <w:t>，</w:t>
            </w:r>
            <w:r>
              <w:rPr>
                <w:rFonts w:hint="eastAsia" w:ascii="宋体" w:hAnsi="宋体" w:cs="宋体"/>
                <w:kern w:val="0"/>
                <w:szCs w:val="21"/>
                <w:lang w:val="en-US" w:eastAsia="zh-CN"/>
              </w:rPr>
              <w:t>有评标委员会横向比较后赋分</w:t>
            </w:r>
            <w:r>
              <w:rPr>
                <w:rFonts w:hint="eastAsia" w:ascii="宋体" w:hAnsi="宋体" w:cs="宋体"/>
                <w:kern w:val="0"/>
                <w:szCs w:val="21"/>
              </w:rPr>
              <w:t>，不提供证明材料不得分。</w:t>
            </w:r>
          </w:p>
        </w:tc>
        <w:tc>
          <w:tcPr>
            <w:tcW w:w="992" w:type="dxa"/>
            <w:noWrap/>
            <w:vAlign w:val="center"/>
          </w:tcPr>
          <w:p>
            <w:pPr>
              <w:spacing w:line="400" w:lineRule="exact"/>
              <w:jc w:val="center"/>
              <w:rPr>
                <w:rFonts w:ascii="宋体" w:hAnsi="宋体" w:cs="宋体"/>
                <w:szCs w:val="21"/>
              </w:rPr>
            </w:pPr>
            <w:r>
              <w:rPr>
                <w:rFonts w:hint="eastAsia" w:ascii="宋体" w:hAnsi="宋体" w:cs="宋体"/>
                <w:kern w:val="0"/>
                <w:szCs w:val="21"/>
                <w:lang w:val="en-US" w:eastAsia="zh-CN"/>
              </w:rPr>
              <w:t>1</w:t>
            </w:r>
            <w:r>
              <w:rPr>
                <w:rFonts w:hint="eastAsia" w:ascii="宋体" w:hAnsi="宋体" w:cs="宋体"/>
                <w:kern w:val="0"/>
                <w:szCs w:val="21"/>
              </w:rPr>
              <w:t>-</w:t>
            </w:r>
            <w:r>
              <w:rPr>
                <w:rFonts w:hint="eastAsia" w:ascii="宋体" w:hAnsi="宋体" w:cs="宋体"/>
                <w:kern w:val="0"/>
                <w:szCs w:val="21"/>
                <w:lang w:val="en-US" w:eastAsia="zh-CN"/>
              </w:rPr>
              <w:t>3</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675" w:type="dxa"/>
            <w:noWrap/>
            <w:vAlign w:val="center"/>
          </w:tcPr>
          <w:p>
            <w:pPr>
              <w:spacing w:line="400" w:lineRule="exact"/>
              <w:jc w:val="center"/>
              <w:rPr>
                <w:rFonts w:ascii="宋体" w:hAnsi="宋体"/>
                <w:szCs w:val="21"/>
              </w:rPr>
            </w:pPr>
            <w:r>
              <w:rPr>
                <w:rFonts w:hint="eastAsia" w:ascii="宋体" w:hAnsi="宋体"/>
                <w:szCs w:val="21"/>
              </w:rPr>
              <w:t>3</w:t>
            </w:r>
          </w:p>
        </w:tc>
        <w:tc>
          <w:tcPr>
            <w:tcW w:w="1333" w:type="dxa"/>
            <w:noWrap/>
            <w:vAlign w:val="center"/>
          </w:tcPr>
          <w:p>
            <w:pPr>
              <w:spacing w:line="400" w:lineRule="exact"/>
              <w:jc w:val="center"/>
              <w:rPr>
                <w:rFonts w:ascii="宋体" w:hAnsi="宋体" w:cs="宋体"/>
                <w:szCs w:val="21"/>
              </w:rPr>
            </w:pPr>
            <w:r>
              <w:rPr>
                <w:rFonts w:hint="eastAsia" w:ascii="宋体" w:hAnsi="宋体" w:cs="宋体"/>
                <w:kern w:val="0"/>
                <w:szCs w:val="21"/>
              </w:rPr>
              <w:t>人员配备</w:t>
            </w:r>
          </w:p>
        </w:tc>
        <w:tc>
          <w:tcPr>
            <w:tcW w:w="6180" w:type="dxa"/>
            <w:noWrap/>
            <w:vAlign w:val="center"/>
          </w:tcPr>
          <w:p>
            <w:pPr>
              <w:adjustRightInd w:val="0"/>
              <w:snapToGrid w:val="0"/>
              <w:spacing w:line="400" w:lineRule="exact"/>
              <w:rPr>
                <w:rFonts w:ascii="宋体" w:hAnsi="宋体" w:cs="宋体"/>
                <w:szCs w:val="21"/>
              </w:rPr>
            </w:pPr>
            <w:r>
              <w:rPr>
                <w:rFonts w:hint="eastAsia" w:ascii="宋体" w:hAnsi="宋体" w:cs="宋体"/>
                <w:kern w:val="0"/>
                <w:szCs w:val="21"/>
              </w:rPr>
              <w:t>针对本项目配备的服务团队、责任现场查勘人员、理赔人员及所配备人员的从业经验、职称等（根据投标人提供的以上人员的相关证明材料赋分，并提供配置承诺书，未提供的不得分）</w:t>
            </w:r>
          </w:p>
        </w:tc>
        <w:tc>
          <w:tcPr>
            <w:tcW w:w="992" w:type="dxa"/>
            <w:noWrap/>
            <w:vAlign w:val="center"/>
          </w:tcPr>
          <w:p>
            <w:pPr>
              <w:spacing w:line="400" w:lineRule="exact"/>
              <w:jc w:val="center"/>
              <w:rPr>
                <w:rFonts w:ascii="宋体" w:hAnsi="宋体" w:cs="宋体"/>
                <w:szCs w:val="21"/>
              </w:rPr>
            </w:pPr>
            <w:r>
              <w:rPr>
                <w:rFonts w:hint="eastAsia" w:ascii="宋体" w:hAnsi="宋体" w:cs="宋体"/>
                <w:kern w:val="0"/>
                <w:szCs w:val="21"/>
                <w:lang w:val="en-US" w:eastAsia="zh-CN"/>
              </w:rPr>
              <w:t>4</w:t>
            </w:r>
            <w:r>
              <w:rPr>
                <w:rFonts w:hint="eastAsia" w:ascii="宋体" w:hAnsi="宋体" w:cs="宋体"/>
                <w:kern w:val="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675" w:type="dxa"/>
            <w:noWrap/>
            <w:vAlign w:val="center"/>
          </w:tcPr>
          <w:p>
            <w:pPr>
              <w:spacing w:line="400" w:lineRule="exact"/>
              <w:jc w:val="center"/>
              <w:rPr>
                <w:rFonts w:ascii="宋体" w:hAnsi="宋体"/>
                <w:szCs w:val="21"/>
              </w:rPr>
            </w:pPr>
            <w:r>
              <w:rPr>
                <w:rFonts w:hint="eastAsia" w:ascii="宋体" w:hAnsi="宋体"/>
                <w:szCs w:val="21"/>
              </w:rPr>
              <w:t>4</w:t>
            </w:r>
          </w:p>
        </w:tc>
        <w:tc>
          <w:tcPr>
            <w:tcW w:w="1333" w:type="dxa"/>
            <w:noWrap/>
            <w:vAlign w:val="center"/>
          </w:tcPr>
          <w:p>
            <w:pPr>
              <w:spacing w:line="400" w:lineRule="exact"/>
              <w:jc w:val="center"/>
              <w:rPr>
                <w:rFonts w:ascii="宋体" w:hAnsi="宋体" w:cs="宋体"/>
                <w:szCs w:val="21"/>
              </w:rPr>
            </w:pPr>
            <w:r>
              <w:rPr>
                <w:rFonts w:hint="eastAsia" w:ascii="宋体" w:hAnsi="宋体" w:cs="宋体"/>
                <w:kern w:val="0"/>
                <w:szCs w:val="21"/>
              </w:rPr>
              <w:t>服务方案</w:t>
            </w:r>
          </w:p>
        </w:tc>
        <w:tc>
          <w:tcPr>
            <w:tcW w:w="6180" w:type="dxa"/>
            <w:noWrap/>
            <w:vAlign w:val="center"/>
          </w:tcPr>
          <w:p>
            <w:pPr>
              <w:adjustRightInd w:val="0"/>
              <w:snapToGrid w:val="0"/>
              <w:spacing w:line="400" w:lineRule="exact"/>
              <w:rPr>
                <w:rFonts w:ascii="宋体" w:hAnsi="宋体" w:cs="宋体"/>
                <w:b/>
                <w:szCs w:val="21"/>
              </w:rPr>
            </w:pPr>
            <w:r>
              <w:rPr>
                <w:rFonts w:hint="eastAsia" w:ascii="宋体" w:hAnsi="宋体" w:cs="宋体"/>
                <w:kern w:val="0"/>
                <w:szCs w:val="21"/>
              </w:rPr>
              <w:t>根据</w:t>
            </w:r>
            <w:r>
              <w:rPr>
                <w:rFonts w:hint="eastAsia" w:ascii="宋体" w:hAnsi="宋体" w:cs="宋体"/>
                <w:kern w:val="0"/>
                <w:szCs w:val="21"/>
                <w:lang w:val="en-US" w:eastAsia="zh-CN"/>
              </w:rPr>
              <w:t>标项一的</w:t>
            </w:r>
            <w:r>
              <w:rPr>
                <w:rFonts w:hint="eastAsia" w:ascii="宋体" w:hAnsi="宋体" w:cs="宋体"/>
                <w:kern w:val="0"/>
                <w:szCs w:val="21"/>
              </w:rPr>
              <w:t>服务内容及要求，制定针对本项目的服务方案，根据方案的科学性、专业性、全面性、可操作性等打分</w:t>
            </w:r>
          </w:p>
        </w:tc>
        <w:tc>
          <w:tcPr>
            <w:tcW w:w="992" w:type="dxa"/>
            <w:noWrap/>
            <w:vAlign w:val="center"/>
          </w:tcPr>
          <w:p>
            <w:pPr>
              <w:widowControl/>
              <w:spacing w:line="300" w:lineRule="atLeast"/>
              <w:jc w:val="center"/>
              <w:rPr>
                <w:rFonts w:ascii="宋体" w:hAnsi="宋体" w:cs="宋体"/>
                <w:szCs w:val="21"/>
              </w:rPr>
            </w:pPr>
            <w:r>
              <w:rPr>
                <w:rFonts w:hint="eastAsia" w:ascii="宋体" w:hAnsi="宋体" w:cs="宋体"/>
                <w:kern w:val="0"/>
                <w:szCs w:val="21"/>
                <w:lang w:val="en-US" w:eastAsia="zh-CN"/>
              </w:rPr>
              <w:t>6</w:t>
            </w:r>
            <w:r>
              <w:rPr>
                <w:rFonts w:hint="eastAsia" w:ascii="宋体" w:hAnsi="宋体" w:cs="宋体"/>
                <w:kern w:val="0"/>
                <w:szCs w:val="21"/>
              </w:rPr>
              <w:t>-</w:t>
            </w:r>
            <w:r>
              <w:rPr>
                <w:rFonts w:hint="eastAsia" w:ascii="宋体" w:hAnsi="宋体" w:cs="宋体"/>
                <w:kern w:val="0"/>
                <w:szCs w:val="21"/>
                <w:lang w:val="en-US" w:eastAsia="zh-CN"/>
              </w:rPr>
              <w:t>10</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675" w:type="dxa"/>
            <w:noWrap/>
            <w:vAlign w:val="center"/>
          </w:tcPr>
          <w:p>
            <w:pPr>
              <w:spacing w:line="400" w:lineRule="exact"/>
              <w:jc w:val="center"/>
              <w:rPr>
                <w:rFonts w:ascii="宋体" w:hAnsi="宋体"/>
                <w:szCs w:val="21"/>
              </w:rPr>
            </w:pPr>
            <w:r>
              <w:rPr>
                <w:rFonts w:hint="eastAsia" w:ascii="宋体" w:hAnsi="宋体"/>
                <w:szCs w:val="21"/>
              </w:rPr>
              <w:t>5</w:t>
            </w:r>
          </w:p>
        </w:tc>
        <w:tc>
          <w:tcPr>
            <w:tcW w:w="1333" w:type="dxa"/>
            <w:noWrap/>
            <w:vAlign w:val="center"/>
          </w:tcPr>
          <w:p>
            <w:pPr>
              <w:widowControl/>
              <w:spacing w:line="300" w:lineRule="atLeast"/>
              <w:jc w:val="center"/>
              <w:rPr>
                <w:rFonts w:ascii="宋体" w:hAnsi="宋体" w:cs="宋体"/>
                <w:szCs w:val="21"/>
              </w:rPr>
            </w:pPr>
            <w:bookmarkStart w:id="222" w:name="OLE_LINK19"/>
            <w:r>
              <w:rPr>
                <w:rFonts w:hint="eastAsia" w:ascii="宋体" w:hAnsi="宋体" w:cs="宋体"/>
                <w:kern w:val="0"/>
                <w:szCs w:val="21"/>
              </w:rPr>
              <w:t>组织保障</w:t>
            </w:r>
            <w:bookmarkEnd w:id="222"/>
          </w:p>
          <w:p>
            <w:pPr>
              <w:spacing w:line="400" w:lineRule="exact"/>
              <w:jc w:val="center"/>
              <w:rPr>
                <w:rFonts w:ascii="宋体" w:hAnsi="宋体" w:cs="宋体"/>
                <w:szCs w:val="21"/>
              </w:rPr>
            </w:pPr>
          </w:p>
        </w:tc>
        <w:tc>
          <w:tcPr>
            <w:tcW w:w="6180" w:type="dxa"/>
            <w:noWrap/>
            <w:vAlign w:val="center"/>
          </w:tcPr>
          <w:p>
            <w:pPr>
              <w:widowControl/>
              <w:spacing w:line="300" w:lineRule="atLeast"/>
              <w:rPr>
                <w:rFonts w:ascii="宋体" w:hAnsi="宋体" w:cs="宋体"/>
                <w:szCs w:val="21"/>
              </w:rPr>
            </w:pPr>
            <w:r>
              <w:rPr>
                <w:rFonts w:hint="eastAsia" w:ascii="宋体" w:hAnsi="宋体" w:cs="宋体"/>
                <w:kern w:val="0"/>
                <w:szCs w:val="21"/>
              </w:rPr>
              <w:t>a.</w:t>
            </w:r>
            <w:bookmarkStart w:id="223" w:name="OLE_LINK20"/>
            <w:r>
              <w:rPr>
                <w:rFonts w:hint="eastAsia" w:ascii="宋体" w:hAnsi="宋体" w:cs="宋体"/>
                <w:kern w:val="0"/>
                <w:szCs w:val="21"/>
              </w:rPr>
              <w:t>组织保障：从公司的组织架构是否完善方面评价</w:t>
            </w:r>
            <w:bookmarkEnd w:id="223"/>
            <w:r>
              <w:rPr>
                <w:rFonts w:hint="eastAsia" w:ascii="宋体" w:hAnsi="宋体" w:cs="宋体"/>
                <w:kern w:val="0"/>
                <w:szCs w:val="21"/>
              </w:rPr>
              <w:t>（</w:t>
            </w:r>
            <w:r>
              <w:rPr>
                <w:rFonts w:hint="eastAsia" w:ascii="宋体" w:hAnsi="宋体" w:cs="宋体"/>
                <w:kern w:val="0"/>
                <w:szCs w:val="21"/>
                <w:lang w:val="en-US" w:eastAsia="zh-CN"/>
              </w:rPr>
              <w:t>2</w:t>
            </w:r>
            <w:r>
              <w:rPr>
                <w:rFonts w:hint="eastAsia" w:ascii="宋体" w:hAnsi="宋体" w:cs="宋体"/>
                <w:kern w:val="0"/>
                <w:szCs w:val="21"/>
              </w:rPr>
              <w:t>-3分）；</w:t>
            </w:r>
          </w:p>
          <w:p>
            <w:pPr>
              <w:widowControl/>
              <w:spacing w:line="300" w:lineRule="atLeast"/>
              <w:rPr>
                <w:rFonts w:ascii="宋体" w:hAnsi="宋体" w:cs="宋体"/>
                <w:szCs w:val="21"/>
              </w:rPr>
            </w:pPr>
            <w:r>
              <w:rPr>
                <w:rFonts w:hint="eastAsia" w:ascii="宋体" w:hAnsi="宋体" w:cs="宋体"/>
                <w:kern w:val="0"/>
                <w:szCs w:val="21"/>
              </w:rPr>
              <w:t>b.</w:t>
            </w:r>
            <w:bookmarkStart w:id="224" w:name="OLE_LINK21"/>
            <w:r>
              <w:rPr>
                <w:rFonts w:hint="eastAsia" w:ascii="宋体" w:hAnsi="宋体" w:cs="宋体"/>
                <w:kern w:val="0"/>
                <w:szCs w:val="21"/>
              </w:rPr>
              <w:t>服务能否满足业务需要及服务承诺的可行性、合理性</w:t>
            </w:r>
            <w:bookmarkEnd w:id="224"/>
            <w:r>
              <w:rPr>
                <w:rFonts w:hint="eastAsia" w:ascii="宋体" w:hAnsi="宋体" w:cs="宋体"/>
                <w:kern w:val="0"/>
                <w:szCs w:val="21"/>
              </w:rPr>
              <w:t>（</w:t>
            </w:r>
            <w:r>
              <w:rPr>
                <w:rFonts w:hint="eastAsia" w:ascii="宋体" w:hAnsi="宋体" w:cs="宋体"/>
                <w:kern w:val="0"/>
                <w:szCs w:val="21"/>
                <w:lang w:val="en-US" w:eastAsia="zh-CN"/>
              </w:rPr>
              <w:t>2</w:t>
            </w:r>
            <w:r>
              <w:rPr>
                <w:rFonts w:hint="eastAsia" w:ascii="宋体" w:hAnsi="宋体" w:cs="宋体"/>
                <w:kern w:val="0"/>
                <w:szCs w:val="21"/>
              </w:rPr>
              <w:t>-3分）；</w:t>
            </w:r>
          </w:p>
          <w:p>
            <w:pPr>
              <w:widowControl/>
              <w:spacing w:line="300" w:lineRule="atLeast"/>
              <w:rPr>
                <w:rFonts w:ascii="宋体" w:hAnsi="宋体" w:cs="宋体"/>
                <w:szCs w:val="21"/>
              </w:rPr>
            </w:pPr>
            <w:r>
              <w:rPr>
                <w:rFonts w:hint="eastAsia" w:ascii="宋体" w:hAnsi="宋体" w:cs="宋体"/>
                <w:kern w:val="0"/>
                <w:szCs w:val="21"/>
              </w:rPr>
              <w:t>c.</w:t>
            </w:r>
            <w:bookmarkStart w:id="225" w:name="OLE_LINK22"/>
            <w:r>
              <w:rPr>
                <w:rFonts w:hint="eastAsia" w:ascii="宋体" w:hAnsi="宋体" w:cs="宋体"/>
                <w:kern w:val="0"/>
                <w:szCs w:val="21"/>
              </w:rPr>
              <w:t>责任险管理规范与延伸服务</w:t>
            </w:r>
            <w:bookmarkEnd w:id="225"/>
            <w:r>
              <w:rPr>
                <w:rFonts w:hint="eastAsia" w:ascii="宋体" w:hAnsi="宋体" w:cs="宋体"/>
                <w:kern w:val="0"/>
                <w:szCs w:val="21"/>
              </w:rPr>
              <w:t>（</w:t>
            </w:r>
            <w:r>
              <w:rPr>
                <w:rFonts w:hint="eastAsia" w:ascii="宋体" w:hAnsi="宋体" w:cs="宋体"/>
                <w:kern w:val="0"/>
                <w:szCs w:val="21"/>
                <w:lang w:val="en-US" w:eastAsia="zh-CN"/>
              </w:rPr>
              <w:t>2</w:t>
            </w:r>
            <w:r>
              <w:rPr>
                <w:rFonts w:hint="eastAsia" w:ascii="宋体" w:hAnsi="宋体" w:cs="宋体"/>
                <w:kern w:val="0"/>
                <w:szCs w:val="21"/>
              </w:rPr>
              <w:t>-3分）；</w:t>
            </w:r>
          </w:p>
          <w:p>
            <w:pPr>
              <w:spacing w:line="400" w:lineRule="exact"/>
              <w:rPr>
                <w:rFonts w:ascii="宋体" w:hAnsi="宋体" w:cs="宋体"/>
                <w:szCs w:val="21"/>
              </w:rPr>
            </w:pPr>
            <w:r>
              <w:rPr>
                <w:rFonts w:hint="eastAsia" w:ascii="宋体" w:hAnsi="宋体" w:cs="宋体"/>
                <w:kern w:val="0"/>
                <w:szCs w:val="21"/>
              </w:rPr>
              <w:t>d.</w:t>
            </w:r>
            <w:bookmarkStart w:id="226" w:name="OLE_LINK23"/>
            <w:r>
              <w:rPr>
                <w:rFonts w:hint="eastAsia" w:ascii="宋体" w:hAnsi="宋体" w:cs="宋体"/>
                <w:kern w:val="0"/>
                <w:szCs w:val="21"/>
              </w:rPr>
              <w:t>设有营销服务部的情况（橫向比较后赋分）</w:t>
            </w:r>
            <w:bookmarkEnd w:id="226"/>
            <w:r>
              <w:rPr>
                <w:rFonts w:hint="eastAsia" w:ascii="宋体" w:hAnsi="宋体" w:cs="宋体"/>
                <w:kern w:val="0"/>
                <w:szCs w:val="21"/>
              </w:rPr>
              <w:t>（</w:t>
            </w:r>
            <w:r>
              <w:rPr>
                <w:rFonts w:hint="eastAsia" w:ascii="宋体" w:hAnsi="宋体" w:cs="宋体"/>
                <w:kern w:val="0"/>
                <w:szCs w:val="21"/>
                <w:lang w:val="en-US" w:eastAsia="zh-CN"/>
              </w:rPr>
              <w:t>2</w:t>
            </w:r>
            <w:r>
              <w:rPr>
                <w:rFonts w:hint="eastAsia" w:ascii="宋体" w:hAnsi="宋体" w:cs="宋体"/>
                <w:kern w:val="0"/>
                <w:szCs w:val="21"/>
              </w:rPr>
              <w:t>-3分）。</w:t>
            </w:r>
          </w:p>
        </w:tc>
        <w:tc>
          <w:tcPr>
            <w:tcW w:w="992" w:type="dxa"/>
            <w:noWrap/>
            <w:vAlign w:val="center"/>
          </w:tcPr>
          <w:p>
            <w:pPr>
              <w:widowControl/>
              <w:spacing w:line="300" w:lineRule="atLeast"/>
              <w:jc w:val="center"/>
              <w:rPr>
                <w:rFonts w:ascii="宋体" w:hAnsi="宋体" w:cs="宋体"/>
                <w:szCs w:val="21"/>
              </w:rPr>
            </w:pPr>
            <w:r>
              <w:rPr>
                <w:rFonts w:hint="eastAsia" w:ascii="宋体" w:hAnsi="宋体" w:cs="宋体"/>
                <w:kern w:val="0"/>
                <w:szCs w:val="21"/>
                <w:lang w:val="en-US" w:eastAsia="zh-CN"/>
              </w:rPr>
              <w:t>8</w:t>
            </w:r>
            <w:r>
              <w:rPr>
                <w:rFonts w:hint="eastAsia" w:ascii="宋体" w:hAnsi="宋体" w:cs="宋体"/>
                <w:kern w:val="0"/>
                <w:szCs w:val="21"/>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675" w:type="dxa"/>
            <w:noWrap/>
            <w:vAlign w:val="center"/>
          </w:tcPr>
          <w:p>
            <w:pPr>
              <w:spacing w:line="400" w:lineRule="exact"/>
              <w:jc w:val="center"/>
              <w:rPr>
                <w:rFonts w:ascii="宋体" w:hAnsi="宋体"/>
                <w:szCs w:val="21"/>
              </w:rPr>
            </w:pPr>
            <w:r>
              <w:rPr>
                <w:rFonts w:hint="eastAsia" w:ascii="宋体" w:hAnsi="宋体"/>
                <w:szCs w:val="21"/>
              </w:rPr>
              <w:t>6</w:t>
            </w:r>
          </w:p>
        </w:tc>
        <w:tc>
          <w:tcPr>
            <w:tcW w:w="1333" w:type="dxa"/>
            <w:noWrap/>
            <w:vAlign w:val="center"/>
          </w:tcPr>
          <w:p>
            <w:pPr>
              <w:widowControl/>
              <w:spacing w:line="300" w:lineRule="atLeast"/>
              <w:jc w:val="center"/>
              <w:rPr>
                <w:rFonts w:ascii="宋体" w:hAnsi="宋体" w:cs="宋体"/>
                <w:szCs w:val="21"/>
              </w:rPr>
            </w:pPr>
            <w:bookmarkStart w:id="227" w:name="OLE_LINK24"/>
            <w:r>
              <w:rPr>
                <w:rFonts w:hint="eastAsia" w:ascii="宋体" w:hAnsi="宋体" w:cs="宋体"/>
                <w:kern w:val="0"/>
                <w:szCs w:val="21"/>
              </w:rPr>
              <w:t>类似业绩</w:t>
            </w:r>
            <w:bookmarkEnd w:id="227"/>
          </w:p>
        </w:tc>
        <w:tc>
          <w:tcPr>
            <w:tcW w:w="6180" w:type="dxa"/>
            <w:noWrap/>
            <w:vAlign w:val="center"/>
          </w:tcPr>
          <w:p>
            <w:pPr>
              <w:spacing w:line="400" w:lineRule="exact"/>
              <w:rPr>
                <w:rFonts w:ascii="宋体" w:hAnsi="宋体" w:cs="宋体"/>
                <w:szCs w:val="21"/>
              </w:rPr>
            </w:pPr>
            <w:bookmarkStart w:id="228" w:name="OLE_LINK25"/>
            <w:r>
              <w:rPr>
                <w:rFonts w:hint="eastAsia" w:ascii="宋体" w:hAnsi="宋体" w:cs="宋体"/>
                <w:kern w:val="0"/>
                <w:szCs w:val="21"/>
              </w:rPr>
              <w:t>根据投标人</w:t>
            </w:r>
            <w:bookmarkEnd w:id="228"/>
            <w:r>
              <w:rPr>
                <w:rFonts w:hint="eastAsia" w:ascii="宋体" w:hAnsi="宋体" w:cs="宋体"/>
                <w:kern w:val="0"/>
                <w:szCs w:val="21"/>
              </w:rPr>
              <w:t>近三年（20</w:t>
            </w:r>
            <w:r>
              <w:rPr>
                <w:rFonts w:hint="eastAsia" w:ascii="宋体" w:hAnsi="宋体" w:cs="宋体"/>
                <w:kern w:val="0"/>
                <w:szCs w:val="21"/>
                <w:lang w:val="en-US" w:eastAsia="zh-CN"/>
              </w:rPr>
              <w:t>20</w:t>
            </w:r>
            <w:r>
              <w:rPr>
                <w:rFonts w:hint="eastAsia" w:ascii="宋体" w:hAnsi="宋体" w:cs="宋体"/>
                <w:kern w:val="0"/>
                <w:szCs w:val="21"/>
              </w:rPr>
              <w:t>年、202</w:t>
            </w:r>
            <w:r>
              <w:rPr>
                <w:rFonts w:hint="eastAsia" w:ascii="宋体" w:hAnsi="宋体" w:cs="宋体"/>
                <w:kern w:val="0"/>
                <w:szCs w:val="21"/>
                <w:lang w:val="en-US" w:eastAsia="zh-CN"/>
              </w:rPr>
              <w:t>1</w:t>
            </w:r>
            <w:r>
              <w:rPr>
                <w:rFonts w:hint="eastAsia" w:ascii="宋体" w:hAnsi="宋体" w:cs="宋体"/>
                <w:kern w:val="0"/>
                <w:szCs w:val="21"/>
              </w:rPr>
              <w:t>年、202</w:t>
            </w:r>
            <w:r>
              <w:rPr>
                <w:rFonts w:hint="eastAsia" w:ascii="宋体" w:hAnsi="宋体" w:cs="宋体"/>
                <w:kern w:val="0"/>
                <w:szCs w:val="21"/>
                <w:lang w:val="en-US" w:eastAsia="zh-CN"/>
              </w:rPr>
              <w:t>2</w:t>
            </w:r>
            <w:r>
              <w:rPr>
                <w:rFonts w:hint="eastAsia" w:ascii="宋体" w:hAnsi="宋体" w:cs="宋体"/>
                <w:kern w:val="0"/>
                <w:szCs w:val="21"/>
              </w:rPr>
              <w:t>年）从事类似保险业务每年保费规模橫向比较后赋分。</w:t>
            </w:r>
          </w:p>
        </w:tc>
        <w:tc>
          <w:tcPr>
            <w:tcW w:w="992" w:type="dxa"/>
            <w:noWrap/>
            <w:vAlign w:val="center"/>
          </w:tcPr>
          <w:p>
            <w:pPr>
              <w:widowControl/>
              <w:spacing w:line="300" w:lineRule="atLeast"/>
              <w:jc w:val="center"/>
              <w:rPr>
                <w:rFonts w:ascii="宋体" w:hAnsi="宋体" w:cs="宋体"/>
                <w:szCs w:val="21"/>
              </w:rPr>
            </w:pPr>
            <w:r>
              <w:rPr>
                <w:rFonts w:hint="eastAsia" w:ascii="宋体" w:hAnsi="宋体" w:cs="宋体"/>
                <w:kern w:val="0"/>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75" w:type="dxa"/>
            <w:noWrap/>
            <w:vAlign w:val="center"/>
          </w:tcPr>
          <w:p>
            <w:pPr>
              <w:spacing w:line="400" w:lineRule="exact"/>
              <w:jc w:val="center"/>
              <w:rPr>
                <w:rFonts w:ascii="宋体" w:hAnsi="宋体"/>
                <w:szCs w:val="21"/>
              </w:rPr>
            </w:pPr>
            <w:r>
              <w:rPr>
                <w:rFonts w:hint="eastAsia" w:ascii="宋体" w:hAnsi="宋体"/>
                <w:szCs w:val="21"/>
              </w:rPr>
              <w:t>7</w:t>
            </w:r>
          </w:p>
        </w:tc>
        <w:tc>
          <w:tcPr>
            <w:tcW w:w="1333" w:type="dxa"/>
            <w:noWrap/>
            <w:vAlign w:val="center"/>
          </w:tcPr>
          <w:p>
            <w:pPr>
              <w:spacing w:line="400" w:lineRule="exact"/>
              <w:jc w:val="center"/>
              <w:rPr>
                <w:rFonts w:ascii="宋体" w:hAnsi="宋体" w:cs="宋体"/>
                <w:szCs w:val="21"/>
              </w:rPr>
            </w:pPr>
            <w:r>
              <w:rPr>
                <w:rFonts w:hint="eastAsia" w:ascii="宋体" w:hAnsi="宋体" w:cs="宋体"/>
                <w:kern w:val="0"/>
                <w:szCs w:val="21"/>
              </w:rPr>
              <w:t>本地化服务情况</w:t>
            </w:r>
          </w:p>
        </w:tc>
        <w:tc>
          <w:tcPr>
            <w:tcW w:w="6180" w:type="dxa"/>
            <w:noWrap/>
            <w:vAlign w:val="center"/>
          </w:tcPr>
          <w:p>
            <w:pPr>
              <w:spacing w:line="400" w:lineRule="exact"/>
              <w:rPr>
                <w:rFonts w:ascii="宋体" w:hAnsi="宋体" w:cs="宋体"/>
                <w:szCs w:val="21"/>
              </w:rPr>
            </w:pPr>
            <w:r>
              <w:rPr>
                <w:rFonts w:hint="eastAsia" w:ascii="宋体" w:hAnsi="宋体" w:cs="宋体"/>
                <w:kern w:val="0"/>
                <w:szCs w:val="21"/>
              </w:rPr>
              <w:t>根据投标人提供的本地化服务措施、本地在册正式员工、便捷快速服务等情况酌情打分。（需提供有效证明材料并加盖公章，未提供的不得分）</w:t>
            </w:r>
          </w:p>
        </w:tc>
        <w:tc>
          <w:tcPr>
            <w:tcW w:w="992" w:type="dxa"/>
            <w:noWrap/>
            <w:vAlign w:val="center"/>
          </w:tcPr>
          <w:p>
            <w:pPr>
              <w:widowControl/>
              <w:spacing w:line="300" w:lineRule="atLeast"/>
              <w:jc w:val="center"/>
              <w:rPr>
                <w:rFonts w:ascii="宋体" w:hAnsi="宋体" w:cs="宋体"/>
                <w:szCs w:val="21"/>
              </w:rPr>
            </w:pPr>
            <w:r>
              <w:rPr>
                <w:rFonts w:hint="eastAsia" w:ascii="宋体" w:hAnsi="宋体" w:cs="宋体"/>
                <w:kern w:val="0"/>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75" w:type="dxa"/>
            <w:noWrap/>
            <w:vAlign w:val="center"/>
          </w:tcPr>
          <w:p>
            <w:pPr>
              <w:spacing w:line="400" w:lineRule="exact"/>
              <w:jc w:val="center"/>
              <w:rPr>
                <w:rFonts w:ascii="宋体" w:hAnsi="宋体"/>
                <w:szCs w:val="21"/>
              </w:rPr>
            </w:pPr>
            <w:r>
              <w:rPr>
                <w:rFonts w:hint="eastAsia" w:ascii="宋体" w:hAnsi="宋体"/>
                <w:szCs w:val="21"/>
              </w:rPr>
              <w:t>8</w:t>
            </w:r>
          </w:p>
        </w:tc>
        <w:tc>
          <w:tcPr>
            <w:tcW w:w="1333" w:type="dxa"/>
            <w:noWrap/>
            <w:vAlign w:val="center"/>
          </w:tcPr>
          <w:p>
            <w:pPr>
              <w:spacing w:line="400" w:lineRule="exact"/>
              <w:jc w:val="center"/>
              <w:rPr>
                <w:rFonts w:ascii="宋体" w:hAnsi="宋体" w:cs="宋体"/>
                <w:szCs w:val="21"/>
              </w:rPr>
            </w:pPr>
            <w:bookmarkStart w:id="229" w:name="OLE_LINK28"/>
            <w:r>
              <w:rPr>
                <w:rFonts w:hint="eastAsia" w:ascii="宋体" w:hAnsi="宋体" w:cs="宋体"/>
                <w:kern w:val="0"/>
                <w:szCs w:val="21"/>
              </w:rPr>
              <w:t>理赔服务</w:t>
            </w:r>
            <w:bookmarkEnd w:id="229"/>
          </w:p>
        </w:tc>
        <w:tc>
          <w:tcPr>
            <w:tcW w:w="6180" w:type="dxa"/>
            <w:noWrap/>
            <w:vAlign w:val="center"/>
          </w:tcPr>
          <w:p>
            <w:pPr>
              <w:spacing w:line="400" w:lineRule="exact"/>
              <w:rPr>
                <w:rFonts w:ascii="宋体" w:hAnsi="宋体" w:cs="宋体"/>
                <w:szCs w:val="21"/>
              </w:rPr>
            </w:pPr>
            <w:r>
              <w:rPr>
                <w:rFonts w:hint="eastAsia" w:ascii="宋体" w:hAnsi="宋体" w:cs="宋体"/>
                <w:kern w:val="0"/>
                <w:szCs w:val="21"/>
              </w:rPr>
              <w:t>根据报案受理、理赔时效、大案应急处理等服务承诺打分。</w:t>
            </w:r>
          </w:p>
        </w:tc>
        <w:tc>
          <w:tcPr>
            <w:tcW w:w="992" w:type="dxa"/>
            <w:noWrap/>
            <w:vAlign w:val="center"/>
          </w:tcPr>
          <w:p>
            <w:pPr>
              <w:widowControl/>
              <w:spacing w:line="300" w:lineRule="atLeast"/>
              <w:jc w:val="center"/>
              <w:rPr>
                <w:rFonts w:ascii="宋体" w:hAnsi="宋体" w:cs="宋体"/>
                <w:szCs w:val="21"/>
              </w:rPr>
            </w:pPr>
            <w:r>
              <w:rPr>
                <w:rFonts w:hint="eastAsia" w:ascii="宋体" w:hAnsi="宋体" w:cs="宋体"/>
                <w:kern w:val="0"/>
                <w:szCs w:val="21"/>
              </w:rPr>
              <w:t>4-6分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75" w:type="dxa"/>
            <w:noWrap/>
            <w:vAlign w:val="center"/>
          </w:tcPr>
          <w:p>
            <w:pPr>
              <w:spacing w:line="400" w:lineRule="exact"/>
              <w:jc w:val="center"/>
              <w:rPr>
                <w:rFonts w:ascii="宋体" w:hAnsi="宋体"/>
                <w:szCs w:val="21"/>
              </w:rPr>
            </w:pPr>
            <w:r>
              <w:rPr>
                <w:rFonts w:hint="eastAsia" w:ascii="宋体" w:hAnsi="宋体"/>
                <w:szCs w:val="21"/>
              </w:rPr>
              <w:t>9</w:t>
            </w:r>
          </w:p>
        </w:tc>
        <w:tc>
          <w:tcPr>
            <w:tcW w:w="1333" w:type="dxa"/>
            <w:noWrap/>
            <w:vAlign w:val="center"/>
          </w:tcPr>
          <w:p>
            <w:pPr>
              <w:spacing w:line="400" w:lineRule="exact"/>
              <w:jc w:val="center"/>
              <w:rPr>
                <w:rFonts w:ascii="宋体" w:hAnsi="宋体" w:cs="宋体"/>
                <w:color w:val="auto"/>
                <w:szCs w:val="21"/>
              </w:rPr>
            </w:pPr>
            <w:r>
              <w:rPr>
                <w:rFonts w:hint="eastAsia" w:ascii="宋体" w:hAnsi="宋体" w:cs="宋体"/>
                <w:color w:val="auto"/>
                <w:kern w:val="0"/>
                <w:szCs w:val="21"/>
              </w:rPr>
              <w:t>服务承诺</w:t>
            </w:r>
          </w:p>
        </w:tc>
        <w:tc>
          <w:tcPr>
            <w:tcW w:w="6180" w:type="dxa"/>
            <w:noWrap/>
            <w:vAlign w:val="center"/>
          </w:tcPr>
          <w:p>
            <w:pPr>
              <w:spacing w:line="400" w:lineRule="exac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a.</w:t>
            </w:r>
            <w:r>
              <w:rPr>
                <w:rFonts w:hint="eastAsia" w:ascii="宋体" w:hAnsi="宋体" w:cs="宋体"/>
                <w:color w:val="auto"/>
                <w:kern w:val="0"/>
                <w:szCs w:val="21"/>
              </w:rPr>
              <w:t>根据服务流程、服务内容和是否有专项措施、特别保障等方面评价</w:t>
            </w:r>
            <w:r>
              <w:rPr>
                <w:rFonts w:hint="eastAsia" w:ascii="宋体" w:hAnsi="宋体" w:cs="宋体"/>
                <w:color w:val="auto"/>
                <w:kern w:val="0"/>
                <w:szCs w:val="21"/>
                <w:lang w:eastAsia="zh-CN"/>
              </w:rPr>
              <w:t>（3-6分）</w:t>
            </w:r>
            <w:r>
              <w:rPr>
                <w:rFonts w:hint="eastAsia" w:ascii="宋体" w:hAnsi="宋体" w:cs="宋体"/>
                <w:color w:val="auto"/>
                <w:kern w:val="0"/>
                <w:szCs w:val="21"/>
                <w:lang w:val="en-US" w:eastAsia="zh-CN"/>
              </w:rPr>
              <w:t>；</w:t>
            </w:r>
          </w:p>
          <w:p>
            <w:pPr>
              <w:pStyle w:val="38"/>
              <w:ind w:left="0" w:leftChars="0" w:firstLine="0" w:firstLineChars="0"/>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b.投标人对财产险、责任险、意外伤害险等可延期的险种承诺可进行延保，将上述各类保险的时间统一至2025年12月31日的，得5分，否则不得分（0-5分）；</w:t>
            </w:r>
          </w:p>
          <w:p>
            <w:pPr>
              <w:pStyle w:val="38"/>
              <w:ind w:left="0" w:leftChars="0" w:firstLine="0" w:firstLineChars="0"/>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c.投标人承诺承保我单位的电动运营车辆保险的得5分，否则不得分（0-5分）；</w:t>
            </w:r>
          </w:p>
        </w:tc>
        <w:tc>
          <w:tcPr>
            <w:tcW w:w="992" w:type="dxa"/>
            <w:noWrap/>
            <w:vAlign w:val="center"/>
          </w:tcPr>
          <w:p>
            <w:pPr>
              <w:widowControl/>
              <w:spacing w:line="300" w:lineRule="atLeast"/>
              <w:jc w:val="center"/>
              <w:rPr>
                <w:rFonts w:ascii="宋体" w:hAnsi="宋体" w:cs="宋体"/>
                <w:color w:val="auto"/>
                <w:szCs w:val="21"/>
              </w:rPr>
            </w:pPr>
            <w:r>
              <w:rPr>
                <w:rFonts w:hint="eastAsia" w:ascii="宋体" w:hAnsi="宋体" w:cs="宋体"/>
                <w:color w:val="auto"/>
                <w:kern w:val="0"/>
                <w:szCs w:val="21"/>
              </w:rPr>
              <w:t>3-</w:t>
            </w:r>
            <w:r>
              <w:rPr>
                <w:rFonts w:hint="eastAsia" w:ascii="宋体" w:hAnsi="宋体" w:cs="宋体"/>
                <w:color w:val="auto"/>
                <w:kern w:val="0"/>
                <w:szCs w:val="21"/>
                <w:lang w:val="en-US" w:eastAsia="zh-CN"/>
              </w:rPr>
              <w:t>1</w:t>
            </w:r>
            <w:r>
              <w:rPr>
                <w:rFonts w:hint="eastAsia" w:ascii="宋体" w:hAnsi="宋体" w:cs="宋体"/>
                <w:color w:val="auto"/>
                <w:kern w:val="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75" w:type="dxa"/>
            <w:noWrap/>
            <w:vAlign w:val="center"/>
          </w:tcPr>
          <w:p>
            <w:pPr>
              <w:spacing w:line="400" w:lineRule="exact"/>
              <w:jc w:val="center"/>
              <w:rPr>
                <w:rFonts w:ascii="宋体" w:hAnsi="宋体"/>
                <w:szCs w:val="21"/>
              </w:rPr>
            </w:pPr>
            <w:r>
              <w:rPr>
                <w:rFonts w:hint="eastAsia" w:ascii="宋体" w:hAnsi="宋体"/>
                <w:szCs w:val="21"/>
              </w:rPr>
              <w:t>10</w:t>
            </w:r>
          </w:p>
        </w:tc>
        <w:tc>
          <w:tcPr>
            <w:tcW w:w="1333" w:type="dxa"/>
            <w:noWrap/>
            <w:vAlign w:val="center"/>
          </w:tcPr>
          <w:p>
            <w:pPr>
              <w:spacing w:line="400" w:lineRule="exact"/>
              <w:jc w:val="center"/>
              <w:rPr>
                <w:rFonts w:ascii="宋体" w:hAnsi="宋体" w:cs="宋体"/>
                <w:szCs w:val="21"/>
              </w:rPr>
            </w:pPr>
            <w:r>
              <w:rPr>
                <w:rFonts w:hint="eastAsia" w:ascii="宋体" w:hAnsi="宋体" w:cs="宋体"/>
                <w:kern w:val="0"/>
                <w:szCs w:val="21"/>
              </w:rPr>
              <w:t>增值服务</w:t>
            </w:r>
          </w:p>
        </w:tc>
        <w:tc>
          <w:tcPr>
            <w:tcW w:w="6180" w:type="dxa"/>
            <w:noWrap/>
            <w:vAlign w:val="center"/>
          </w:tcPr>
          <w:p>
            <w:pPr>
              <w:spacing w:line="400" w:lineRule="exact"/>
              <w:rPr>
                <w:rFonts w:ascii="宋体" w:hAnsi="宋体" w:cs="宋体"/>
                <w:szCs w:val="21"/>
              </w:rPr>
            </w:pPr>
            <w:r>
              <w:rPr>
                <w:rFonts w:hint="eastAsia" w:ascii="宋体" w:hAnsi="宋体" w:cs="宋体"/>
                <w:kern w:val="0"/>
                <w:szCs w:val="21"/>
              </w:rPr>
              <w:t>投标供应商为本项目设立的特色服务、增值服务承诺，根据特色服务与招标项目的吻合程度、有效性及合理性等情况酌情打分。</w:t>
            </w:r>
          </w:p>
        </w:tc>
        <w:tc>
          <w:tcPr>
            <w:tcW w:w="992" w:type="dxa"/>
            <w:noWrap/>
            <w:vAlign w:val="center"/>
          </w:tcPr>
          <w:p>
            <w:pPr>
              <w:widowControl/>
              <w:spacing w:line="300" w:lineRule="atLeast"/>
              <w:jc w:val="center"/>
              <w:rPr>
                <w:rFonts w:ascii="宋体" w:hAnsi="宋体" w:cs="宋体"/>
                <w:szCs w:val="21"/>
              </w:rPr>
            </w:pPr>
            <w:r>
              <w:rPr>
                <w:rFonts w:hint="eastAsia" w:ascii="宋体" w:hAnsi="宋体" w:cs="宋体"/>
                <w:kern w:val="0"/>
                <w:szCs w:val="21"/>
                <w:lang w:val="en-US" w:eastAsia="zh-CN"/>
              </w:rPr>
              <w:t>3</w:t>
            </w:r>
            <w:r>
              <w:rPr>
                <w:rFonts w:hint="eastAsia" w:ascii="宋体" w:hAnsi="宋体" w:cs="宋体"/>
                <w:kern w:val="0"/>
                <w:szCs w:val="21"/>
              </w:rPr>
              <w:t>-</w:t>
            </w:r>
            <w:r>
              <w:rPr>
                <w:rFonts w:hint="eastAsia" w:ascii="宋体" w:hAnsi="宋体" w:cs="宋体"/>
                <w:kern w:val="0"/>
                <w:szCs w:val="21"/>
                <w:lang w:val="en-US" w:eastAsia="zh-CN"/>
              </w:rPr>
              <w:t>5</w:t>
            </w:r>
            <w:r>
              <w:rPr>
                <w:rFonts w:hint="eastAsia" w:ascii="宋体" w:hAnsi="宋体" w:cs="宋体"/>
                <w:kern w:val="0"/>
                <w:szCs w:val="21"/>
              </w:rPr>
              <w:t>分</w:t>
            </w:r>
          </w:p>
        </w:tc>
      </w:tr>
    </w:tbl>
    <w:p>
      <w:pPr>
        <w:pStyle w:val="15"/>
        <w:jc w:val="both"/>
      </w:pPr>
    </w:p>
    <w:p>
      <w:pPr>
        <w:pStyle w:val="16"/>
        <w:spacing w:after="120" w:line="360" w:lineRule="auto"/>
        <w:ind w:firstLine="310" w:firstLineChars="147"/>
        <w:rPr>
          <w:rFonts w:hint="eastAsia" w:hAnsi="宋体"/>
          <w:b/>
          <w:sz w:val="21"/>
          <w:szCs w:val="21"/>
        </w:rPr>
      </w:pPr>
      <w:r>
        <w:rPr>
          <w:rFonts w:hint="eastAsia" w:hAnsi="宋体"/>
          <w:b/>
          <w:sz w:val="21"/>
          <w:szCs w:val="21"/>
        </w:rPr>
        <w:t>注：技术标得分为各专家评分</w:t>
      </w:r>
      <w:r>
        <w:rPr>
          <w:rFonts w:hint="eastAsia" w:hAnsi="宋体"/>
          <w:b/>
          <w:sz w:val="21"/>
          <w:szCs w:val="21"/>
          <w:lang w:val="en-US" w:eastAsia="zh-CN"/>
        </w:rPr>
        <w:t>汇总</w:t>
      </w:r>
      <w:r>
        <w:rPr>
          <w:rFonts w:hint="eastAsia" w:hAnsi="宋体"/>
          <w:b/>
          <w:sz w:val="21"/>
          <w:szCs w:val="21"/>
        </w:rPr>
        <w:t>的算术平均值，专家打分保留一位小数，评分保留两位小数。</w:t>
      </w:r>
    </w:p>
    <w:p>
      <w:pPr>
        <w:pStyle w:val="38"/>
        <w:numPr>
          <w:ilvl w:val="0"/>
          <w:numId w:val="0"/>
        </w:numPr>
        <w:rPr>
          <w:rFonts w:hint="eastAsia"/>
          <w:lang w:val="en-US" w:eastAsia="zh-CN"/>
        </w:rPr>
      </w:pPr>
    </w:p>
    <w:p>
      <w:pPr>
        <w:pStyle w:val="38"/>
        <w:numPr>
          <w:ilvl w:val="0"/>
          <w:numId w:val="0"/>
        </w:numPr>
        <w:rPr>
          <w:rFonts w:hint="eastAsia"/>
          <w:lang w:val="en-US" w:eastAsia="zh-CN"/>
        </w:rPr>
      </w:pPr>
    </w:p>
    <w:p>
      <w:pPr>
        <w:pStyle w:val="38"/>
        <w:numPr>
          <w:ilvl w:val="0"/>
          <w:numId w:val="0"/>
        </w:numPr>
        <w:rPr>
          <w:rFonts w:hint="default" w:eastAsia="宋体"/>
          <w:b/>
          <w:bCs/>
          <w:lang w:val="en-US" w:eastAsia="zh-CN"/>
        </w:rPr>
      </w:pPr>
      <w:r>
        <w:rPr>
          <w:rFonts w:hint="eastAsia"/>
          <w:b/>
          <w:bCs/>
          <w:lang w:val="en-US" w:eastAsia="zh-CN"/>
        </w:rPr>
        <w:t>标项二技术商务分(70分)评分标准：</w:t>
      </w:r>
    </w:p>
    <w:tbl>
      <w:tblPr>
        <w:tblStyle w:val="39"/>
        <w:tblpPr w:leftFromText="180" w:rightFromText="180" w:vertAnchor="text" w:horzAnchor="page" w:tblpXSpec="center" w:tblpY="815"/>
        <w:tblOverlap w:val="never"/>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33"/>
        <w:gridCol w:w="618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tcPr>
          <w:p>
            <w:pPr>
              <w:spacing w:line="440" w:lineRule="exact"/>
              <w:jc w:val="center"/>
              <w:rPr>
                <w:rFonts w:ascii="宋体" w:hAnsi="宋体"/>
                <w:szCs w:val="21"/>
              </w:rPr>
            </w:pPr>
            <w:r>
              <w:rPr>
                <w:rFonts w:hint="eastAsia" w:ascii="宋体" w:hAnsi="宋体"/>
                <w:szCs w:val="21"/>
              </w:rPr>
              <w:t>序号</w:t>
            </w:r>
          </w:p>
        </w:tc>
        <w:tc>
          <w:tcPr>
            <w:tcW w:w="7513" w:type="dxa"/>
            <w:gridSpan w:val="2"/>
            <w:noWrap/>
            <w:vAlign w:val="center"/>
          </w:tcPr>
          <w:p>
            <w:pPr>
              <w:spacing w:line="440" w:lineRule="exact"/>
              <w:jc w:val="center"/>
              <w:rPr>
                <w:rFonts w:ascii="宋体" w:hAnsi="宋体"/>
                <w:szCs w:val="21"/>
              </w:rPr>
            </w:pPr>
            <w:r>
              <w:rPr>
                <w:rFonts w:hint="eastAsia" w:ascii="宋体" w:hAnsi="宋体"/>
                <w:szCs w:val="21"/>
              </w:rPr>
              <w:t>评分标准</w:t>
            </w:r>
          </w:p>
        </w:tc>
        <w:tc>
          <w:tcPr>
            <w:tcW w:w="992" w:type="dxa"/>
            <w:noWrap/>
          </w:tcPr>
          <w:p>
            <w:pPr>
              <w:spacing w:line="440" w:lineRule="exact"/>
              <w:jc w:val="center"/>
              <w:rPr>
                <w:rFonts w:ascii="宋体" w:hAnsi="宋体"/>
                <w:szCs w:val="21"/>
              </w:rPr>
            </w:pPr>
            <w:r>
              <w:rPr>
                <w:rFonts w:hint="eastAsia" w:ascii="宋体" w:hAnsi="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675" w:type="dxa"/>
            <w:noWrap/>
            <w:vAlign w:val="center"/>
          </w:tcPr>
          <w:p>
            <w:pPr>
              <w:spacing w:line="400" w:lineRule="exact"/>
              <w:jc w:val="center"/>
              <w:rPr>
                <w:rFonts w:ascii="宋体" w:hAnsi="宋体"/>
                <w:szCs w:val="21"/>
              </w:rPr>
            </w:pPr>
            <w:r>
              <w:rPr>
                <w:rFonts w:hint="eastAsia" w:ascii="宋体" w:hAnsi="宋体"/>
                <w:szCs w:val="21"/>
              </w:rPr>
              <w:t>1</w:t>
            </w:r>
          </w:p>
        </w:tc>
        <w:tc>
          <w:tcPr>
            <w:tcW w:w="1333" w:type="dxa"/>
            <w:noWrap/>
            <w:vAlign w:val="center"/>
          </w:tcPr>
          <w:p>
            <w:pPr>
              <w:spacing w:line="400" w:lineRule="exact"/>
              <w:jc w:val="center"/>
              <w:rPr>
                <w:rFonts w:ascii="宋体" w:hAnsi="宋体" w:cs="宋体"/>
                <w:szCs w:val="21"/>
              </w:rPr>
            </w:pPr>
            <w:r>
              <w:rPr>
                <w:rFonts w:hint="eastAsia" w:ascii="宋体" w:hAnsi="宋体" w:cs="宋体"/>
                <w:kern w:val="0"/>
                <w:szCs w:val="21"/>
              </w:rPr>
              <w:t>公司综合情况</w:t>
            </w:r>
          </w:p>
        </w:tc>
        <w:tc>
          <w:tcPr>
            <w:tcW w:w="6180" w:type="dxa"/>
            <w:noWrap/>
            <w:vAlign w:val="center"/>
          </w:tcPr>
          <w:p>
            <w:pPr>
              <w:widowControl/>
              <w:spacing w:line="300" w:lineRule="atLeast"/>
              <w:rPr>
                <w:rFonts w:ascii="宋体" w:hAnsi="宋体" w:cs="宋体"/>
                <w:szCs w:val="21"/>
              </w:rPr>
            </w:pPr>
            <w:r>
              <w:rPr>
                <w:rFonts w:hint="eastAsia" w:ascii="宋体" w:hAnsi="宋体" w:cs="宋体"/>
                <w:kern w:val="0"/>
                <w:szCs w:val="21"/>
              </w:rPr>
              <w:t>根据投标人的规模、履约能力、经营状况、团队力量、税收贡献等情况比较后打分</w:t>
            </w:r>
          </w:p>
        </w:tc>
        <w:tc>
          <w:tcPr>
            <w:tcW w:w="992" w:type="dxa"/>
            <w:noWrap/>
            <w:vAlign w:val="center"/>
          </w:tcPr>
          <w:p>
            <w:pPr>
              <w:widowControl/>
              <w:spacing w:line="300" w:lineRule="atLeast"/>
              <w:jc w:val="center"/>
              <w:rPr>
                <w:rFonts w:ascii="宋体" w:hAnsi="宋体" w:cs="宋体"/>
                <w:szCs w:val="21"/>
              </w:rPr>
            </w:pPr>
            <w:r>
              <w:rPr>
                <w:rFonts w:hint="eastAsia" w:ascii="宋体" w:hAnsi="宋体" w:cs="宋体"/>
                <w:kern w:val="0"/>
                <w:szCs w:val="21"/>
                <w:lang w:val="en-US" w:eastAsia="zh-CN"/>
              </w:rPr>
              <w:t>5-8</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675" w:type="dxa"/>
            <w:noWrap/>
            <w:vAlign w:val="center"/>
          </w:tcPr>
          <w:p>
            <w:pPr>
              <w:spacing w:line="400" w:lineRule="exact"/>
              <w:jc w:val="center"/>
              <w:rPr>
                <w:rFonts w:ascii="宋体" w:hAnsi="宋体"/>
                <w:szCs w:val="21"/>
              </w:rPr>
            </w:pPr>
            <w:r>
              <w:rPr>
                <w:rFonts w:hint="eastAsia" w:ascii="宋体" w:hAnsi="宋体"/>
                <w:szCs w:val="21"/>
              </w:rPr>
              <w:t>2</w:t>
            </w:r>
          </w:p>
        </w:tc>
        <w:tc>
          <w:tcPr>
            <w:tcW w:w="1333" w:type="dxa"/>
            <w:noWrap/>
            <w:vAlign w:val="center"/>
          </w:tcPr>
          <w:p>
            <w:pPr>
              <w:spacing w:line="400" w:lineRule="exact"/>
              <w:jc w:val="center"/>
              <w:rPr>
                <w:rFonts w:ascii="宋体" w:hAnsi="宋体" w:cs="宋体"/>
                <w:szCs w:val="21"/>
              </w:rPr>
            </w:pPr>
            <w:r>
              <w:rPr>
                <w:rFonts w:hint="eastAsia" w:ascii="宋体" w:hAnsi="宋体" w:cs="宋体"/>
                <w:kern w:val="0"/>
                <w:szCs w:val="21"/>
              </w:rPr>
              <w:t>综合偿付能力</w:t>
            </w:r>
          </w:p>
        </w:tc>
        <w:tc>
          <w:tcPr>
            <w:tcW w:w="6180" w:type="dxa"/>
            <w:noWrap/>
            <w:vAlign w:val="center"/>
          </w:tcPr>
          <w:p>
            <w:pPr>
              <w:spacing w:line="400" w:lineRule="exact"/>
              <w:rPr>
                <w:rFonts w:ascii="宋体" w:hAnsi="宋体" w:cs="宋体"/>
                <w:szCs w:val="21"/>
              </w:rPr>
            </w:pPr>
            <w:r>
              <w:rPr>
                <w:rFonts w:hint="eastAsia" w:ascii="宋体" w:hAnsi="宋体" w:cs="宋体"/>
                <w:kern w:val="0"/>
                <w:szCs w:val="21"/>
              </w:rPr>
              <w:t>投标人偿付能力.根据投标人提供的最近一个季度综合偿付能力充足率</w:t>
            </w:r>
            <w:r>
              <w:rPr>
                <w:rFonts w:hint="eastAsia" w:ascii="宋体" w:hAnsi="宋体" w:cs="宋体"/>
                <w:kern w:val="0"/>
                <w:szCs w:val="21"/>
                <w:lang w:eastAsia="zh-CN"/>
              </w:rPr>
              <w:t>，</w:t>
            </w:r>
            <w:r>
              <w:rPr>
                <w:rFonts w:hint="eastAsia" w:ascii="宋体" w:hAnsi="宋体" w:cs="宋体"/>
                <w:kern w:val="0"/>
                <w:szCs w:val="21"/>
                <w:lang w:val="en-US" w:eastAsia="zh-CN"/>
              </w:rPr>
              <w:t>有评标委员会横向比较后赋分</w:t>
            </w:r>
            <w:r>
              <w:rPr>
                <w:rFonts w:hint="eastAsia" w:ascii="宋体" w:hAnsi="宋体" w:cs="宋体"/>
                <w:kern w:val="0"/>
                <w:szCs w:val="21"/>
              </w:rPr>
              <w:t>，不提供证明材料不得分。</w:t>
            </w:r>
          </w:p>
        </w:tc>
        <w:tc>
          <w:tcPr>
            <w:tcW w:w="992" w:type="dxa"/>
            <w:noWrap/>
            <w:vAlign w:val="center"/>
          </w:tcPr>
          <w:p>
            <w:pPr>
              <w:spacing w:line="400" w:lineRule="exact"/>
              <w:jc w:val="center"/>
              <w:rPr>
                <w:rFonts w:ascii="宋体" w:hAnsi="宋体" w:cs="宋体"/>
                <w:szCs w:val="21"/>
              </w:rPr>
            </w:pPr>
            <w:r>
              <w:rPr>
                <w:rFonts w:hint="eastAsia" w:ascii="宋体" w:hAnsi="宋体" w:cs="宋体"/>
                <w:kern w:val="0"/>
                <w:szCs w:val="21"/>
                <w:lang w:val="en-US" w:eastAsia="zh-CN"/>
              </w:rPr>
              <w:t>1</w:t>
            </w:r>
            <w:r>
              <w:rPr>
                <w:rFonts w:hint="eastAsia" w:ascii="宋体" w:hAnsi="宋体" w:cs="宋体"/>
                <w:kern w:val="0"/>
                <w:szCs w:val="21"/>
              </w:rPr>
              <w:t>-</w:t>
            </w:r>
            <w:r>
              <w:rPr>
                <w:rFonts w:hint="eastAsia" w:ascii="宋体" w:hAnsi="宋体" w:cs="宋体"/>
                <w:kern w:val="0"/>
                <w:szCs w:val="21"/>
                <w:lang w:val="en-US" w:eastAsia="zh-CN"/>
              </w:rPr>
              <w:t>3</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675" w:type="dxa"/>
            <w:noWrap/>
            <w:vAlign w:val="center"/>
          </w:tcPr>
          <w:p>
            <w:pPr>
              <w:spacing w:line="400" w:lineRule="exact"/>
              <w:jc w:val="center"/>
              <w:rPr>
                <w:rFonts w:ascii="宋体" w:hAnsi="宋体"/>
                <w:szCs w:val="21"/>
              </w:rPr>
            </w:pPr>
            <w:r>
              <w:rPr>
                <w:rFonts w:hint="eastAsia" w:ascii="宋体" w:hAnsi="宋体"/>
                <w:szCs w:val="21"/>
              </w:rPr>
              <w:t>3</w:t>
            </w:r>
          </w:p>
        </w:tc>
        <w:tc>
          <w:tcPr>
            <w:tcW w:w="1333" w:type="dxa"/>
            <w:noWrap/>
            <w:vAlign w:val="center"/>
          </w:tcPr>
          <w:p>
            <w:pPr>
              <w:spacing w:line="400" w:lineRule="exact"/>
              <w:jc w:val="center"/>
              <w:rPr>
                <w:rFonts w:ascii="宋体" w:hAnsi="宋体" w:cs="宋体"/>
                <w:szCs w:val="21"/>
              </w:rPr>
            </w:pPr>
            <w:r>
              <w:rPr>
                <w:rFonts w:hint="eastAsia" w:ascii="宋体" w:hAnsi="宋体" w:cs="宋体"/>
                <w:kern w:val="0"/>
                <w:szCs w:val="21"/>
              </w:rPr>
              <w:t>人员配备</w:t>
            </w:r>
          </w:p>
        </w:tc>
        <w:tc>
          <w:tcPr>
            <w:tcW w:w="6180" w:type="dxa"/>
            <w:noWrap/>
            <w:vAlign w:val="center"/>
          </w:tcPr>
          <w:p>
            <w:pPr>
              <w:adjustRightInd w:val="0"/>
              <w:snapToGrid w:val="0"/>
              <w:spacing w:line="400" w:lineRule="exact"/>
              <w:rPr>
                <w:rFonts w:ascii="宋体" w:hAnsi="宋体" w:cs="宋体"/>
                <w:szCs w:val="21"/>
              </w:rPr>
            </w:pPr>
            <w:r>
              <w:rPr>
                <w:rFonts w:hint="eastAsia" w:ascii="宋体" w:hAnsi="宋体" w:cs="宋体"/>
                <w:kern w:val="0"/>
                <w:szCs w:val="21"/>
              </w:rPr>
              <w:t>针对本项目配备的服务团队、责任现场查勘人员、理赔人员及所配备人员的从业经验、职称等（根据投标人提供的以上人员的相关证明材料赋分，并提供配置承诺书，未提供的不得分）</w:t>
            </w:r>
          </w:p>
        </w:tc>
        <w:tc>
          <w:tcPr>
            <w:tcW w:w="992" w:type="dxa"/>
            <w:noWrap/>
            <w:vAlign w:val="center"/>
          </w:tcPr>
          <w:p>
            <w:pPr>
              <w:spacing w:line="400" w:lineRule="exact"/>
              <w:jc w:val="center"/>
              <w:rPr>
                <w:rFonts w:ascii="宋体" w:hAnsi="宋体" w:cs="宋体"/>
                <w:szCs w:val="21"/>
              </w:rPr>
            </w:pPr>
            <w:r>
              <w:rPr>
                <w:rFonts w:hint="eastAsia" w:ascii="宋体" w:hAnsi="宋体" w:cs="宋体"/>
                <w:kern w:val="0"/>
                <w:szCs w:val="21"/>
                <w:lang w:val="en-US" w:eastAsia="zh-CN"/>
              </w:rPr>
              <w:t>4</w:t>
            </w:r>
            <w:r>
              <w:rPr>
                <w:rFonts w:hint="eastAsia" w:ascii="宋体" w:hAnsi="宋体" w:cs="宋体"/>
                <w:kern w:val="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675" w:type="dxa"/>
            <w:noWrap/>
            <w:vAlign w:val="center"/>
          </w:tcPr>
          <w:p>
            <w:pPr>
              <w:spacing w:line="400" w:lineRule="exact"/>
              <w:jc w:val="center"/>
              <w:rPr>
                <w:rFonts w:ascii="宋体" w:hAnsi="宋体"/>
                <w:szCs w:val="21"/>
              </w:rPr>
            </w:pPr>
            <w:r>
              <w:rPr>
                <w:rFonts w:hint="eastAsia" w:ascii="宋体" w:hAnsi="宋体"/>
                <w:szCs w:val="21"/>
              </w:rPr>
              <w:t>4</w:t>
            </w:r>
          </w:p>
        </w:tc>
        <w:tc>
          <w:tcPr>
            <w:tcW w:w="1333" w:type="dxa"/>
            <w:noWrap/>
            <w:vAlign w:val="center"/>
          </w:tcPr>
          <w:p>
            <w:pPr>
              <w:spacing w:line="400" w:lineRule="exact"/>
              <w:jc w:val="center"/>
              <w:rPr>
                <w:rFonts w:ascii="宋体" w:hAnsi="宋体" w:cs="宋体"/>
                <w:szCs w:val="21"/>
              </w:rPr>
            </w:pPr>
            <w:r>
              <w:rPr>
                <w:rFonts w:hint="eastAsia" w:ascii="宋体" w:hAnsi="宋体" w:cs="宋体"/>
                <w:kern w:val="0"/>
                <w:szCs w:val="21"/>
              </w:rPr>
              <w:t>服务方案</w:t>
            </w:r>
          </w:p>
        </w:tc>
        <w:tc>
          <w:tcPr>
            <w:tcW w:w="6180" w:type="dxa"/>
            <w:noWrap/>
            <w:vAlign w:val="center"/>
          </w:tcPr>
          <w:p>
            <w:pPr>
              <w:adjustRightInd w:val="0"/>
              <w:snapToGrid w:val="0"/>
              <w:spacing w:line="400" w:lineRule="exact"/>
              <w:rPr>
                <w:rFonts w:ascii="宋体" w:hAnsi="宋体" w:cs="宋体"/>
                <w:b/>
                <w:szCs w:val="21"/>
              </w:rPr>
            </w:pPr>
            <w:r>
              <w:rPr>
                <w:rFonts w:hint="eastAsia" w:ascii="宋体" w:hAnsi="宋体" w:cs="宋体"/>
                <w:kern w:val="0"/>
                <w:szCs w:val="21"/>
              </w:rPr>
              <w:t>根据</w:t>
            </w:r>
            <w:r>
              <w:rPr>
                <w:rFonts w:hint="eastAsia" w:ascii="宋体" w:hAnsi="宋体" w:cs="宋体"/>
                <w:kern w:val="0"/>
                <w:szCs w:val="21"/>
                <w:lang w:val="en-US" w:eastAsia="zh-CN"/>
              </w:rPr>
              <w:t>标项二</w:t>
            </w:r>
            <w:r>
              <w:rPr>
                <w:rFonts w:hint="eastAsia" w:ascii="宋体" w:hAnsi="宋体" w:cs="宋体"/>
                <w:kern w:val="0"/>
                <w:szCs w:val="21"/>
              </w:rPr>
              <w:t>服务内容及要求，制定针对本项目的服务方案，根据方案的科学性、专业性、全面性、可操作性等打分</w:t>
            </w:r>
          </w:p>
        </w:tc>
        <w:tc>
          <w:tcPr>
            <w:tcW w:w="992" w:type="dxa"/>
            <w:noWrap/>
            <w:vAlign w:val="center"/>
          </w:tcPr>
          <w:p>
            <w:pPr>
              <w:widowControl/>
              <w:spacing w:line="300" w:lineRule="atLeast"/>
              <w:jc w:val="center"/>
              <w:rPr>
                <w:rFonts w:ascii="宋体" w:hAnsi="宋体" w:cs="宋体"/>
                <w:szCs w:val="21"/>
              </w:rPr>
            </w:pPr>
            <w:r>
              <w:rPr>
                <w:rFonts w:hint="eastAsia" w:ascii="宋体" w:hAnsi="宋体" w:cs="宋体"/>
                <w:kern w:val="0"/>
                <w:szCs w:val="21"/>
                <w:lang w:val="en-US" w:eastAsia="zh-CN"/>
              </w:rPr>
              <w:t>6</w:t>
            </w:r>
            <w:r>
              <w:rPr>
                <w:rFonts w:hint="eastAsia" w:ascii="宋体" w:hAnsi="宋体" w:cs="宋体"/>
                <w:kern w:val="0"/>
                <w:szCs w:val="21"/>
              </w:rPr>
              <w:t>-</w:t>
            </w:r>
            <w:r>
              <w:rPr>
                <w:rFonts w:hint="eastAsia" w:ascii="宋体" w:hAnsi="宋体" w:cs="宋体"/>
                <w:kern w:val="0"/>
                <w:szCs w:val="21"/>
                <w:lang w:val="en-US" w:eastAsia="zh-CN"/>
              </w:rPr>
              <w:t>10</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675" w:type="dxa"/>
            <w:noWrap/>
            <w:vAlign w:val="center"/>
          </w:tcPr>
          <w:p>
            <w:pPr>
              <w:spacing w:line="400" w:lineRule="exact"/>
              <w:jc w:val="center"/>
              <w:rPr>
                <w:rFonts w:ascii="宋体" w:hAnsi="宋体"/>
                <w:szCs w:val="21"/>
              </w:rPr>
            </w:pPr>
            <w:r>
              <w:rPr>
                <w:rFonts w:hint="eastAsia" w:ascii="宋体" w:hAnsi="宋体"/>
                <w:szCs w:val="21"/>
              </w:rPr>
              <w:t>5</w:t>
            </w:r>
          </w:p>
        </w:tc>
        <w:tc>
          <w:tcPr>
            <w:tcW w:w="1333" w:type="dxa"/>
            <w:noWrap/>
            <w:vAlign w:val="center"/>
          </w:tcPr>
          <w:p>
            <w:pPr>
              <w:widowControl/>
              <w:spacing w:line="300" w:lineRule="atLeast"/>
              <w:jc w:val="center"/>
              <w:rPr>
                <w:rFonts w:ascii="宋体" w:hAnsi="宋体" w:cs="宋体"/>
                <w:szCs w:val="21"/>
              </w:rPr>
            </w:pPr>
            <w:r>
              <w:rPr>
                <w:rFonts w:hint="eastAsia" w:ascii="宋体" w:hAnsi="宋体" w:cs="宋体"/>
                <w:kern w:val="0"/>
                <w:szCs w:val="21"/>
              </w:rPr>
              <w:t>组织保障</w:t>
            </w:r>
          </w:p>
          <w:p>
            <w:pPr>
              <w:spacing w:line="400" w:lineRule="exact"/>
              <w:jc w:val="center"/>
              <w:rPr>
                <w:rFonts w:ascii="宋体" w:hAnsi="宋体" w:cs="宋体"/>
                <w:szCs w:val="21"/>
              </w:rPr>
            </w:pPr>
          </w:p>
        </w:tc>
        <w:tc>
          <w:tcPr>
            <w:tcW w:w="6180" w:type="dxa"/>
            <w:noWrap/>
            <w:vAlign w:val="center"/>
          </w:tcPr>
          <w:p>
            <w:pPr>
              <w:widowControl/>
              <w:spacing w:line="300" w:lineRule="atLeast"/>
              <w:rPr>
                <w:rFonts w:ascii="宋体" w:hAnsi="宋体" w:cs="宋体"/>
                <w:szCs w:val="21"/>
              </w:rPr>
            </w:pPr>
            <w:r>
              <w:rPr>
                <w:rFonts w:hint="eastAsia" w:ascii="宋体" w:hAnsi="宋体" w:cs="宋体"/>
                <w:kern w:val="0"/>
                <w:szCs w:val="21"/>
              </w:rPr>
              <w:t>a.组织保障：从公司的组织架构是否完善方面评价（</w:t>
            </w:r>
            <w:r>
              <w:rPr>
                <w:rFonts w:hint="eastAsia" w:ascii="宋体" w:hAnsi="宋体" w:cs="宋体"/>
                <w:kern w:val="0"/>
                <w:szCs w:val="21"/>
                <w:lang w:val="en-US" w:eastAsia="zh-CN"/>
              </w:rPr>
              <w:t>2</w:t>
            </w:r>
            <w:r>
              <w:rPr>
                <w:rFonts w:hint="eastAsia" w:ascii="宋体" w:hAnsi="宋体" w:cs="宋体"/>
                <w:kern w:val="0"/>
                <w:szCs w:val="21"/>
              </w:rPr>
              <w:t>-3分）；</w:t>
            </w:r>
          </w:p>
          <w:p>
            <w:pPr>
              <w:widowControl/>
              <w:spacing w:line="300" w:lineRule="atLeast"/>
              <w:rPr>
                <w:rFonts w:ascii="宋体" w:hAnsi="宋体" w:cs="宋体"/>
                <w:szCs w:val="21"/>
              </w:rPr>
            </w:pPr>
            <w:r>
              <w:rPr>
                <w:rFonts w:hint="eastAsia" w:ascii="宋体" w:hAnsi="宋体" w:cs="宋体"/>
                <w:kern w:val="0"/>
                <w:szCs w:val="21"/>
              </w:rPr>
              <w:t>b.服务能否满足业务需要及服务承诺的可行性、合理性（</w:t>
            </w:r>
            <w:r>
              <w:rPr>
                <w:rFonts w:hint="eastAsia" w:ascii="宋体" w:hAnsi="宋体" w:cs="宋体"/>
                <w:kern w:val="0"/>
                <w:szCs w:val="21"/>
                <w:lang w:val="en-US" w:eastAsia="zh-CN"/>
              </w:rPr>
              <w:t>2</w:t>
            </w:r>
            <w:r>
              <w:rPr>
                <w:rFonts w:hint="eastAsia" w:ascii="宋体" w:hAnsi="宋体" w:cs="宋体"/>
                <w:kern w:val="0"/>
                <w:szCs w:val="21"/>
              </w:rPr>
              <w:t>-3分）；</w:t>
            </w:r>
          </w:p>
          <w:p>
            <w:pPr>
              <w:widowControl/>
              <w:spacing w:line="300" w:lineRule="atLeast"/>
              <w:rPr>
                <w:rFonts w:ascii="宋体" w:hAnsi="宋体" w:cs="宋体"/>
                <w:szCs w:val="21"/>
              </w:rPr>
            </w:pPr>
            <w:r>
              <w:rPr>
                <w:rFonts w:hint="eastAsia" w:ascii="宋体" w:hAnsi="宋体" w:cs="宋体"/>
                <w:kern w:val="0"/>
                <w:szCs w:val="21"/>
              </w:rPr>
              <w:t>c.责任险管理规范与延伸服务（</w:t>
            </w:r>
            <w:r>
              <w:rPr>
                <w:rFonts w:hint="eastAsia" w:ascii="宋体" w:hAnsi="宋体" w:cs="宋体"/>
                <w:kern w:val="0"/>
                <w:szCs w:val="21"/>
                <w:lang w:val="en-US" w:eastAsia="zh-CN"/>
              </w:rPr>
              <w:t>2</w:t>
            </w:r>
            <w:r>
              <w:rPr>
                <w:rFonts w:hint="eastAsia" w:ascii="宋体" w:hAnsi="宋体" w:cs="宋体"/>
                <w:kern w:val="0"/>
                <w:szCs w:val="21"/>
              </w:rPr>
              <w:t>-3分）；</w:t>
            </w:r>
          </w:p>
          <w:p>
            <w:pPr>
              <w:spacing w:line="400" w:lineRule="exact"/>
              <w:rPr>
                <w:rFonts w:ascii="宋体" w:hAnsi="宋体" w:cs="宋体"/>
                <w:szCs w:val="21"/>
              </w:rPr>
            </w:pPr>
            <w:r>
              <w:rPr>
                <w:rFonts w:hint="eastAsia" w:ascii="宋体" w:hAnsi="宋体" w:cs="宋体"/>
                <w:kern w:val="0"/>
                <w:szCs w:val="21"/>
              </w:rPr>
              <w:t>d.设有营销服务部的情况（橫向比较后赋分）（</w:t>
            </w:r>
            <w:r>
              <w:rPr>
                <w:rFonts w:hint="eastAsia" w:ascii="宋体" w:hAnsi="宋体" w:cs="宋体"/>
                <w:kern w:val="0"/>
                <w:szCs w:val="21"/>
                <w:lang w:val="en-US" w:eastAsia="zh-CN"/>
              </w:rPr>
              <w:t>2</w:t>
            </w:r>
            <w:r>
              <w:rPr>
                <w:rFonts w:hint="eastAsia" w:ascii="宋体" w:hAnsi="宋体" w:cs="宋体"/>
                <w:kern w:val="0"/>
                <w:szCs w:val="21"/>
              </w:rPr>
              <w:t>-3分）。</w:t>
            </w:r>
          </w:p>
        </w:tc>
        <w:tc>
          <w:tcPr>
            <w:tcW w:w="992" w:type="dxa"/>
            <w:noWrap/>
            <w:vAlign w:val="center"/>
          </w:tcPr>
          <w:p>
            <w:pPr>
              <w:widowControl/>
              <w:spacing w:line="300" w:lineRule="atLeast"/>
              <w:jc w:val="center"/>
              <w:rPr>
                <w:rFonts w:ascii="宋体" w:hAnsi="宋体" w:cs="宋体"/>
                <w:szCs w:val="21"/>
              </w:rPr>
            </w:pPr>
            <w:r>
              <w:rPr>
                <w:rFonts w:hint="eastAsia" w:ascii="宋体" w:hAnsi="宋体" w:cs="宋体"/>
                <w:kern w:val="0"/>
                <w:szCs w:val="21"/>
                <w:lang w:val="en-US" w:eastAsia="zh-CN"/>
              </w:rPr>
              <w:t>8</w:t>
            </w:r>
            <w:r>
              <w:rPr>
                <w:rFonts w:hint="eastAsia" w:ascii="宋体" w:hAnsi="宋体" w:cs="宋体"/>
                <w:kern w:val="0"/>
                <w:szCs w:val="21"/>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675" w:type="dxa"/>
            <w:noWrap/>
            <w:vAlign w:val="center"/>
          </w:tcPr>
          <w:p>
            <w:pPr>
              <w:spacing w:line="400" w:lineRule="exact"/>
              <w:jc w:val="center"/>
              <w:rPr>
                <w:rFonts w:ascii="宋体" w:hAnsi="宋体"/>
                <w:szCs w:val="21"/>
              </w:rPr>
            </w:pPr>
            <w:r>
              <w:rPr>
                <w:rFonts w:hint="eastAsia" w:ascii="宋体" w:hAnsi="宋体"/>
                <w:szCs w:val="21"/>
              </w:rPr>
              <w:t>6</w:t>
            </w:r>
          </w:p>
        </w:tc>
        <w:tc>
          <w:tcPr>
            <w:tcW w:w="1333" w:type="dxa"/>
            <w:noWrap/>
            <w:vAlign w:val="center"/>
          </w:tcPr>
          <w:p>
            <w:pPr>
              <w:widowControl/>
              <w:spacing w:line="300" w:lineRule="atLeast"/>
              <w:jc w:val="center"/>
              <w:rPr>
                <w:rFonts w:ascii="宋体" w:hAnsi="宋体" w:cs="宋体"/>
                <w:szCs w:val="21"/>
              </w:rPr>
            </w:pPr>
            <w:r>
              <w:rPr>
                <w:rFonts w:hint="eastAsia" w:ascii="宋体" w:hAnsi="宋体" w:cs="宋体"/>
                <w:kern w:val="0"/>
                <w:szCs w:val="21"/>
              </w:rPr>
              <w:t>类似业绩</w:t>
            </w:r>
          </w:p>
        </w:tc>
        <w:tc>
          <w:tcPr>
            <w:tcW w:w="6180" w:type="dxa"/>
            <w:noWrap/>
            <w:vAlign w:val="center"/>
          </w:tcPr>
          <w:p>
            <w:pPr>
              <w:spacing w:line="400" w:lineRule="exact"/>
              <w:rPr>
                <w:rFonts w:ascii="宋体" w:hAnsi="宋体" w:cs="宋体"/>
                <w:szCs w:val="21"/>
              </w:rPr>
            </w:pPr>
            <w:r>
              <w:rPr>
                <w:rFonts w:hint="eastAsia" w:ascii="宋体" w:hAnsi="宋体" w:cs="宋体"/>
                <w:kern w:val="0"/>
                <w:szCs w:val="21"/>
              </w:rPr>
              <w:t>根据投标人近三年（20</w:t>
            </w:r>
            <w:r>
              <w:rPr>
                <w:rFonts w:hint="eastAsia" w:ascii="宋体" w:hAnsi="宋体" w:cs="宋体"/>
                <w:kern w:val="0"/>
                <w:szCs w:val="21"/>
                <w:lang w:val="en-US" w:eastAsia="zh-CN"/>
              </w:rPr>
              <w:t>20</w:t>
            </w:r>
            <w:r>
              <w:rPr>
                <w:rFonts w:hint="eastAsia" w:ascii="宋体" w:hAnsi="宋体" w:cs="宋体"/>
                <w:kern w:val="0"/>
                <w:szCs w:val="21"/>
              </w:rPr>
              <w:t>年、202</w:t>
            </w:r>
            <w:r>
              <w:rPr>
                <w:rFonts w:hint="eastAsia" w:ascii="宋体" w:hAnsi="宋体" w:cs="宋体"/>
                <w:kern w:val="0"/>
                <w:szCs w:val="21"/>
                <w:lang w:val="en-US" w:eastAsia="zh-CN"/>
              </w:rPr>
              <w:t>1</w:t>
            </w:r>
            <w:r>
              <w:rPr>
                <w:rFonts w:hint="eastAsia" w:ascii="宋体" w:hAnsi="宋体" w:cs="宋体"/>
                <w:kern w:val="0"/>
                <w:szCs w:val="21"/>
              </w:rPr>
              <w:t>年、202</w:t>
            </w:r>
            <w:r>
              <w:rPr>
                <w:rFonts w:hint="eastAsia" w:ascii="宋体" w:hAnsi="宋体" w:cs="宋体"/>
                <w:kern w:val="0"/>
                <w:szCs w:val="21"/>
                <w:lang w:val="en-US" w:eastAsia="zh-CN"/>
              </w:rPr>
              <w:t>2</w:t>
            </w:r>
            <w:r>
              <w:rPr>
                <w:rFonts w:hint="eastAsia" w:ascii="宋体" w:hAnsi="宋体" w:cs="宋体"/>
                <w:kern w:val="0"/>
                <w:szCs w:val="21"/>
              </w:rPr>
              <w:t>年）从事类似保险业务每年保费规模橫向比较后赋分。</w:t>
            </w:r>
          </w:p>
        </w:tc>
        <w:tc>
          <w:tcPr>
            <w:tcW w:w="992" w:type="dxa"/>
            <w:noWrap/>
            <w:vAlign w:val="center"/>
          </w:tcPr>
          <w:p>
            <w:pPr>
              <w:widowControl/>
              <w:spacing w:line="300" w:lineRule="atLeast"/>
              <w:jc w:val="center"/>
              <w:rPr>
                <w:rFonts w:ascii="宋体" w:hAnsi="宋体" w:cs="宋体"/>
                <w:szCs w:val="21"/>
              </w:rPr>
            </w:pPr>
            <w:r>
              <w:rPr>
                <w:rFonts w:hint="eastAsia" w:ascii="宋体" w:hAnsi="宋体" w:cs="宋体"/>
                <w:kern w:val="0"/>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75" w:type="dxa"/>
            <w:noWrap/>
            <w:vAlign w:val="center"/>
          </w:tcPr>
          <w:p>
            <w:pPr>
              <w:spacing w:line="400" w:lineRule="exact"/>
              <w:jc w:val="center"/>
              <w:rPr>
                <w:rFonts w:ascii="宋体" w:hAnsi="宋体"/>
                <w:szCs w:val="21"/>
              </w:rPr>
            </w:pPr>
            <w:r>
              <w:rPr>
                <w:rFonts w:hint="eastAsia" w:ascii="宋体" w:hAnsi="宋体"/>
                <w:szCs w:val="21"/>
              </w:rPr>
              <w:t>7</w:t>
            </w:r>
          </w:p>
        </w:tc>
        <w:tc>
          <w:tcPr>
            <w:tcW w:w="1333" w:type="dxa"/>
            <w:noWrap/>
            <w:vAlign w:val="center"/>
          </w:tcPr>
          <w:p>
            <w:pPr>
              <w:spacing w:line="400" w:lineRule="exact"/>
              <w:jc w:val="center"/>
              <w:rPr>
                <w:rFonts w:ascii="宋体" w:hAnsi="宋体" w:cs="宋体"/>
                <w:szCs w:val="21"/>
              </w:rPr>
            </w:pPr>
            <w:r>
              <w:rPr>
                <w:rFonts w:hint="eastAsia" w:ascii="宋体" w:hAnsi="宋体" w:cs="宋体"/>
                <w:kern w:val="0"/>
                <w:szCs w:val="21"/>
              </w:rPr>
              <w:t>本地化服务情况</w:t>
            </w:r>
          </w:p>
        </w:tc>
        <w:tc>
          <w:tcPr>
            <w:tcW w:w="6180" w:type="dxa"/>
            <w:noWrap/>
            <w:vAlign w:val="center"/>
          </w:tcPr>
          <w:p>
            <w:pPr>
              <w:spacing w:line="400" w:lineRule="exact"/>
              <w:rPr>
                <w:rFonts w:ascii="宋体" w:hAnsi="宋体" w:cs="宋体"/>
                <w:szCs w:val="21"/>
              </w:rPr>
            </w:pPr>
            <w:r>
              <w:rPr>
                <w:rFonts w:hint="eastAsia" w:ascii="宋体" w:hAnsi="宋体" w:cs="宋体"/>
                <w:kern w:val="0"/>
                <w:szCs w:val="21"/>
              </w:rPr>
              <w:t>根据投标人提供的本地化服务措施、本地在册正式员工、便捷快速服务等情况酌情打分。（需提供有效证明材料并加盖公章，未提供的不得分）</w:t>
            </w:r>
          </w:p>
        </w:tc>
        <w:tc>
          <w:tcPr>
            <w:tcW w:w="992" w:type="dxa"/>
            <w:noWrap/>
            <w:vAlign w:val="center"/>
          </w:tcPr>
          <w:p>
            <w:pPr>
              <w:widowControl/>
              <w:spacing w:line="300" w:lineRule="atLeast"/>
              <w:jc w:val="center"/>
              <w:rPr>
                <w:rFonts w:ascii="宋体" w:hAnsi="宋体" w:cs="宋体"/>
                <w:szCs w:val="21"/>
              </w:rPr>
            </w:pPr>
            <w:r>
              <w:rPr>
                <w:rFonts w:hint="eastAsia" w:ascii="宋体" w:hAnsi="宋体" w:cs="宋体"/>
                <w:kern w:val="0"/>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75" w:type="dxa"/>
            <w:noWrap/>
            <w:vAlign w:val="center"/>
          </w:tcPr>
          <w:p>
            <w:pPr>
              <w:spacing w:line="400" w:lineRule="exact"/>
              <w:jc w:val="center"/>
              <w:rPr>
                <w:rFonts w:ascii="宋体" w:hAnsi="宋体"/>
                <w:szCs w:val="21"/>
              </w:rPr>
            </w:pPr>
            <w:r>
              <w:rPr>
                <w:rFonts w:hint="eastAsia" w:ascii="宋体" w:hAnsi="宋体"/>
                <w:szCs w:val="21"/>
              </w:rPr>
              <w:t>8</w:t>
            </w:r>
          </w:p>
        </w:tc>
        <w:tc>
          <w:tcPr>
            <w:tcW w:w="1333" w:type="dxa"/>
            <w:noWrap/>
            <w:vAlign w:val="center"/>
          </w:tcPr>
          <w:p>
            <w:pPr>
              <w:spacing w:line="400" w:lineRule="exact"/>
              <w:jc w:val="center"/>
              <w:rPr>
                <w:rFonts w:ascii="宋体" w:hAnsi="宋体" w:cs="宋体"/>
                <w:szCs w:val="21"/>
              </w:rPr>
            </w:pPr>
            <w:r>
              <w:rPr>
                <w:rFonts w:hint="eastAsia" w:ascii="宋体" w:hAnsi="宋体" w:cs="宋体"/>
                <w:kern w:val="0"/>
                <w:szCs w:val="21"/>
              </w:rPr>
              <w:t>理赔服务</w:t>
            </w:r>
          </w:p>
        </w:tc>
        <w:tc>
          <w:tcPr>
            <w:tcW w:w="6180" w:type="dxa"/>
            <w:noWrap/>
            <w:vAlign w:val="center"/>
          </w:tcPr>
          <w:p>
            <w:pPr>
              <w:spacing w:line="400" w:lineRule="exact"/>
              <w:rPr>
                <w:rFonts w:ascii="宋体" w:hAnsi="宋体" w:cs="宋体"/>
                <w:szCs w:val="21"/>
              </w:rPr>
            </w:pPr>
            <w:r>
              <w:rPr>
                <w:rFonts w:hint="eastAsia" w:ascii="宋体" w:hAnsi="宋体" w:cs="宋体"/>
                <w:kern w:val="0"/>
                <w:szCs w:val="21"/>
              </w:rPr>
              <w:t>根据报案受理、理赔时效、大案应急处理等服务承诺打分。</w:t>
            </w:r>
          </w:p>
        </w:tc>
        <w:tc>
          <w:tcPr>
            <w:tcW w:w="992" w:type="dxa"/>
            <w:noWrap/>
            <w:vAlign w:val="center"/>
          </w:tcPr>
          <w:p>
            <w:pPr>
              <w:widowControl/>
              <w:spacing w:line="300" w:lineRule="atLeast"/>
              <w:jc w:val="center"/>
              <w:rPr>
                <w:rFonts w:ascii="宋体" w:hAnsi="宋体" w:cs="宋体"/>
                <w:szCs w:val="21"/>
              </w:rPr>
            </w:pPr>
            <w:r>
              <w:rPr>
                <w:rFonts w:hint="eastAsia" w:ascii="宋体" w:hAnsi="宋体" w:cs="宋体"/>
                <w:kern w:val="0"/>
                <w:szCs w:val="21"/>
              </w:rPr>
              <w:t>4-6分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75" w:type="dxa"/>
            <w:noWrap/>
            <w:vAlign w:val="center"/>
          </w:tcPr>
          <w:p>
            <w:pPr>
              <w:spacing w:line="400" w:lineRule="exact"/>
              <w:jc w:val="center"/>
              <w:rPr>
                <w:rFonts w:ascii="宋体" w:hAnsi="宋体"/>
                <w:szCs w:val="21"/>
              </w:rPr>
            </w:pPr>
            <w:r>
              <w:rPr>
                <w:rFonts w:hint="eastAsia" w:ascii="宋体" w:hAnsi="宋体"/>
                <w:szCs w:val="21"/>
              </w:rPr>
              <w:t>9</w:t>
            </w:r>
          </w:p>
        </w:tc>
        <w:tc>
          <w:tcPr>
            <w:tcW w:w="1333" w:type="dxa"/>
            <w:noWrap/>
            <w:vAlign w:val="center"/>
          </w:tcPr>
          <w:p>
            <w:pPr>
              <w:spacing w:line="400" w:lineRule="exact"/>
              <w:jc w:val="center"/>
              <w:rPr>
                <w:rFonts w:ascii="宋体" w:hAnsi="宋体" w:cs="宋体"/>
                <w:color w:val="auto"/>
                <w:szCs w:val="21"/>
              </w:rPr>
            </w:pPr>
            <w:r>
              <w:rPr>
                <w:rFonts w:hint="eastAsia" w:ascii="宋体" w:hAnsi="宋体" w:cs="宋体"/>
                <w:color w:val="auto"/>
                <w:kern w:val="0"/>
                <w:szCs w:val="21"/>
              </w:rPr>
              <w:t>服务承诺</w:t>
            </w:r>
          </w:p>
        </w:tc>
        <w:tc>
          <w:tcPr>
            <w:tcW w:w="6180" w:type="dxa"/>
            <w:noWrap/>
            <w:vAlign w:val="center"/>
          </w:tcPr>
          <w:p>
            <w:pPr>
              <w:spacing w:line="400" w:lineRule="exac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a.</w:t>
            </w:r>
            <w:r>
              <w:rPr>
                <w:rFonts w:hint="eastAsia" w:ascii="宋体" w:hAnsi="宋体" w:cs="宋体"/>
                <w:color w:val="auto"/>
                <w:kern w:val="0"/>
                <w:szCs w:val="21"/>
              </w:rPr>
              <w:t>根据服务流程、服务内容和是否有专项措施、特别保障等方面评价</w:t>
            </w:r>
            <w:r>
              <w:rPr>
                <w:rFonts w:hint="eastAsia" w:ascii="宋体" w:hAnsi="宋体" w:cs="宋体"/>
                <w:color w:val="auto"/>
                <w:kern w:val="0"/>
                <w:szCs w:val="21"/>
                <w:lang w:eastAsia="zh-CN"/>
              </w:rPr>
              <w:t>（3-6分）</w:t>
            </w:r>
            <w:r>
              <w:rPr>
                <w:rFonts w:hint="eastAsia" w:ascii="宋体" w:hAnsi="宋体" w:cs="宋体"/>
                <w:color w:val="auto"/>
                <w:kern w:val="0"/>
                <w:szCs w:val="21"/>
                <w:lang w:val="en-US" w:eastAsia="zh-CN"/>
              </w:rPr>
              <w:t>；</w:t>
            </w:r>
          </w:p>
          <w:p>
            <w:pPr>
              <w:pStyle w:val="38"/>
              <w:ind w:left="0" w:leftChars="0" w:firstLine="0" w:firstLineChars="0"/>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b.投标人对财产险、责任险、意外伤害险等可延期的险种承诺可进行延保，将上述各类保险的时间统一至2025年12月31日的，得5分，否则不得分（0-5分）；</w:t>
            </w:r>
          </w:p>
          <w:p>
            <w:pPr>
              <w:pStyle w:val="38"/>
              <w:ind w:left="0" w:leftChars="0" w:firstLine="0" w:firstLineChars="0"/>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c.投标人承诺按招标的费率承保我单位后续各类停车场新购买的公众责任险的得5分，否则不得分（0-5分）。</w:t>
            </w:r>
          </w:p>
        </w:tc>
        <w:tc>
          <w:tcPr>
            <w:tcW w:w="992" w:type="dxa"/>
            <w:noWrap/>
            <w:vAlign w:val="center"/>
          </w:tcPr>
          <w:p>
            <w:pPr>
              <w:widowControl/>
              <w:spacing w:line="300" w:lineRule="atLeast"/>
              <w:jc w:val="center"/>
              <w:rPr>
                <w:rFonts w:ascii="宋体" w:hAnsi="宋体" w:cs="宋体"/>
                <w:color w:val="auto"/>
                <w:szCs w:val="21"/>
              </w:rPr>
            </w:pPr>
            <w:r>
              <w:rPr>
                <w:rFonts w:hint="eastAsia" w:ascii="宋体" w:hAnsi="宋体" w:cs="宋体"/>
                <w:color w:val="auto"/>
                <w:kern w:val="0"/>
                <w:szCs w:val="21"/>
              </w:rPr>
              <w:t>3-</w:t>
            </w:r>
            <w:r>
              <w:rPr>
                <w:rFonts w:hint="eastAsia" w:ascii="宋体" w:hAnsi="宋体" w:cs="宋体"/>
                <w:color w:val="auto"/>
                <w:kern w:val="0"/>
                <w:szCs w:val="21"/>
                <w:lang w:val="en-US" w:eastAsia="zh-CN"/>
              </w:rPr>
              <w:t>1</w:t>
            </w:r>
            <w:r>
              <w:rPr>
                <w:rFonts w:hint="eastAsia" w:ascii="宋体" w:hAnsi="宋体" w:cs="宋体"/>
                <w:color w:val="auto"/>
                <w:kern w:val="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75" w:type="dxa"/>
            <w:noWrap/>
            <w:vAlign w:val="center"/>
          </w:tcPr>
          <w:p>
            <w:pPr>
              <w:spacing w:line="400" w:lineRule="exact"/>
              <w:jc w:val="center"/>
              <w:rPr>
                <w:rFonts w:ascii="宋体" w:hAnsi="宋体"/>
                <w:szCs w:val="21"/>
              </w:rPr>
            </w:pPr>
            <w:r>
              <w:rPr>
                <w:rFonts w:hint="eastAsia" w:ascii="宋体" w:hAnsi="宋体"/>
                <w:szCs w:val="21"/>
              </w:rPr>
              <w:t>10</w:t>
            </w:r>
          </w:p>
        </w:tc>
        <w:tc>
          <w:tcPr>
            <w:tcW w:w="1333" w:type="dxa"/>
            <w:noWrap/>
            <w:vAlign w:val="center"/>
          </w:tcPr>
          <w:p>
            <w:pPr>
              <w:spacing w:line="400" w:lineRule="exact"/>
              <w:jc w:val="center"/>
              <w:rPr>
                <w:rFonts w:ascii="宋体" w:hAnsi="宋体" w:cs="宋体"/>
                <w:szCs w:val="21"/>
              </w:rPr>
            </w:pPr>
            <w:r>
              <w:rPr>
                <w:rFonts w:hint="eastAsia" w:ascii="宋体" w:hAnsi="宋体" w:cs="宋体"/>
                <w:kern w:val="0"/>
                <w:szCs w:val="21"/>
              </w:rPr>
              <w:t>增值服务</w:t>
            </w:r>
          </w:p>
        </w:tc>
        <w:tc>
          <w:tcPr>
            <w:tcW w:w="6180" w:type="dxa"/>
            <w:noWrap/>
            <w:vAlign w:val="center"/>
          </w:tcPr>
          <w:p>
            <w:pPr>
              <w:spacing w:line="400" w:lineRule="exact"/>
              <w:rPr>
                <w:rFonts w:ascii="宋体" w:hAnsi="宋体" w:cs="宋体"/>
                <w:szCs w:val="21"/>
              </w:rPr>
            </w:pPr>
            <w:r>
              <w:rPr>
                <w:rFonts w:hint="eastAsia" w:ascii="宋体" w:hAnsi="宋体" w:cs="宋体"/>
                <w:kern w:val="0"/>
                <w:szCs w:val="21"/>
              </w:rPr>
              <w:t>投标供应商为本项目设立的特色服务、增值服务承诺，根据特色服务与招标项目的吻合程度、有效性及合理性等情况酌情打分。</w:t>
            </w:r>
          </w:p>
        </w:tc>
        <w:tc>
          <w:tcPr>
            <w:tcW w:w="992" w:type="dxa"/>
            <w:noWrap/>
            <w:vAlign w:val="center"/>
          </w:tcPr>
          <w:p>
            <w:pPr>
              <w:widowControl/>
              <w:spacing w:line="300" w:lineRule="atLeast"/>
              <w:jc w:val="center"/>
              <w:rPr>
                <w:rFonts w:ascii="宋体" w:hAnsi="宋体" w:cs="宋体"/>
                <w:szCs w:val="21"/>
              </w:rPr>
            </w:pPr>
            <w:r>
              <w:rPr>
                <w:rFonts w:hint="eastAsia" w:ascii="宋体" w:hAnsi="宋体" w:cs="宋体"/>
                <w:kern w:val="0"/>
                <w:szCs w:val="21"/>
                <w:lang w:val="en-US" w:eastAsia="zh-CN"/>
              </w:rPr>
              <w:t>3</w:t>
            </w:r>
            <w:r>
              <w:rPr>
                <w:rFonts w:hint="eastAsia" w:ascii="宋体" w:hAnsi="宋体" w:cs="宋体"/>
                <w:kern w:val="0"/>
                <w:szCs w:val="21"/>
              </w:rPr>
              <w:t>-</w:t>
            </w:r>
            <w:r>
              <w:rPr>
                <w:rFonts w:hint="eastAsia" w:ascii="宋体" w:hAnsi="宋体" w:cs="宋体"/>
                <w:kern w:val="0"/>
                <w:szCs w:val="21"/>
                <w:lang w:val="en-US" w:eastAsia="zh-CN"/>
              </w:rPr>
              <w:t>5</w:t>
            </w:r>
            <w:r>
              <w:rPr>
                <w:rFonts w:hint="eastAsia" w:ascii="宋体" w:hAnsi="宋体" w:cs="宋体"/>
                <w:kern w:val="0"/>
                <w:szCs w:val="21"/>
              </w:rPr>
              <w:t>分</w:t>
            </w:r>
          </w:p>
        </w:tc>
      </w:tr>
    </w:tbl>
    <w:p/>
    <w:p>
      <w:pPr>
        <w:spacing w:line="360" w:lineRule="auto"/>
        <w:ind w:firstLine="298" w:firstLineChars="147"/>
        <w:rPr>
          <w:rFonts w:ascii="宋体" w:hAnsi="宋体"/>
          <w:b/>
          <w:spacing w:val="-4"/>
          <w:szCs w:val="21"/>
        </w:rPr>
      </w:pPr>
    </w:p>
    <w:p>
      <w:pPr>
        <w:pStyle w:val="15"/>
      </w:pPr>
    </w:p>
    <w:p>
      <w:pPr>
        <w:pStyle w:val="16"/>
        <w:spacing w:after="120" w:line="360" w:lineRule="auto"/>
        <w:ind w:firstLine="310" w:firstLineChars="147"/>
        <w:rPr>
          <w:rFonts w:hint="eastAsia" w:hAnsi="宋体"/>
          <w:b/>
          <w:sz w:val="21"/>
          <w:szCs w:val="21"/>
        </w:rPr>
      </w:pPr>
      <w:r>
        <w:rPr>
          <w:rFonts w:hint="eastAsia" w:hAnsi="宋体"/>
          <w:b/>
          <w:sz w:val="21"/>
          <w:szCs w:val="21"/>
        </w:rPr>
        <w:t>注：技术标得分为各专家评分</w:t>
      </w:r>
      <w:r>
        <w:rPr>
          <w:rFonts w:hint="eastAsia" w:hAnsi="宋体"/>
          <w:b/>
          <w:sz w:val="21"/>
          <w:szCs w:val="21"/>
          <w:lang w:val="en-US" w:eastAsia="zh-CN"/>
        </w:rPr>
        <w:t>汇总</w:t>
      </w:r>
      <w:r>
        <w:rPr>
          <w:rFonts w:hint="eastAsia" w:hAnsi="宋体"/>
          <w:b/>
          <w:sz w:val="21"/>
          <w:szCs w:val="21"/>
        </w:rPr>
        <w:t>的算术平均值，专家打分保留一位小数，评分保留两位小数。</w:t>
      </w:r>
    </w:p>
    <w:p>
      <w:pPr>
        <w:spacing w:line="360" w:lineRule="auto"/>
        <w:ind w:firstLine="298" w:firstLineChars="147"/>
        <w:rPr>
          <w:rFonts w:ascii="宋体" w:hAnsi="宋体"/>
          <w:b/>
          <w:spacing w:val="-4"/>
          <w:szCs w:val="21"/>
        </w:rPr>
      </w:pPr>
    </w:p>
    <w:p>
      <w:pPr>
        <w:spacing w:line="360" w:lineRule="auto"/>
        <w:ind w:firstLine="298" w:firstLineChars="147"/>
        <w:rPr>
          <w:rFonts w:ascii="宋体" w:hAnsi="宋体"/>
          <w:b/>
          <w:spacing w:val="-4"/>
          <w:szCs w:val="21"/>
        </w:rPr>
      </w:pPr>
    </w:p>
    <w:p>
      <w:pPr>
        <w:pStyle w:val="38"/>
      </w:pPr>
    </w:p>
    <w:p>
      <w:pPr>
        <w:pStyle w:val="38"/>
        <w:ind w:left="0" w:leftChars="0" w:firstLine="0" w:firstLineChars="0"/>
      </w:pPr>
    </w:p>
    <w:p>
      <w:pPr>
        <w:keepNext/>
        <w:keepLines/>
        <w:spacing w:before="260" w:after="260" w:line="360" w:lineRule="auto"/>
        <w:jc w:val="center"/>
        <w:outlineLvl w:val="1"/>
        <w:rPr>
          <w:rFonts w:ascii="Cambria" w:hAnsi="Cambria"/>
          <w:b/>
          <w:bCs/>
          <w:sz w:val="32"/>
          <w:szCs w:val="32"/>
        </w:rPr>
      </w:pPr>
      <w:bookmarkStart w:id="230" w:name="_Toc509308152"/>
      <w:bookmarkStart w:id="231" w:name="_Toc119922206"/>
      <w:r>
        <w:rPr>
          <w:rFonts w:hint="eastAsia" w:ascii="Cambria" w:hAnsi="Cambria"/>
          <w:b/>
          <w:bCs/>
          <w:sz w:val="32"/>
          <w:szCs w:val="32"/>
        </w:rPr>
        <w:t>第五章 采购合同</w:t>
      </w:r>
      <w:bookmarkEnd w:id="230"/>
      <w:bookmarkEnd w:id="231"/>
    </w:p>
    <w:p>
      <w:pPr>
        <w:spacing w:line="360" w:lineRule="auto"/>
        <w:jc w:val="center"/>
        <w:rPr>
          <w:rFonts w:ascii="宋体" w:hAnsi="宋体"/>
          <w:b/>
          <w:szCs w:val="21"/>
        </w:rPr>
      </w:pPr>
      <w:r>
        <w:rPr>
          <w:rFonts w:hint="eastAsia" w:ascii="宋体" w:hAnsi="宋体"/>
          <w:b/>
          <w:szCs w:val="21"/>
        </w:rPr>
        <w:t>一、通用必备条款部份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采购人（以下称甲方）：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供应商（以下称乙方）：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采购方式：公开招标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ascii="宋体" w:hAnsi="宋体" w:cs="Arial"/>
          <w:kern w:val="0"/>
          <w:szCs w:val="21"/>
        </w:rPr>
      </w:pPr>
      <w:r>
        <w:rPr>
          <w:rFonts w:hint="eastAsia" w:ascii="宋体" w:hAnsi="宋体" w:cs="Arial"/>
          <w:kern w:val="0"/>
          <w:szCs w:val="21"/>
        </w:rPr>
        <w:t>参照有关法律法规的规定，甲乙双方按照</w:t>
      </w:r>
      <w:r>
        <w:rPr>
          <w:rFonts w:hint="eastAsia" w:ascii="宋体" w:hAnsi="宋体" w:cs="Arial"/>
          <w:kern w:val="0"/>
          <w:szCs w:val="21"/>
          <w:lang w:eastAsia="zh-CN"/>
        </w:rPr>
        <w:t>桐乡市濮院时尚产业发展集团有限公司及下属公司保险集中招标项目</w:t>
      </w:r>
      <w:r>
        <w:rPr>
          <w:rFonts w:hint="eastAsia" w:ascii="宋体" w:hAnsi="宋体" w:cs="Arial"/>
          <w:kern w:val="0"/>
          <w:szCs w:val="21"/>
        </w:rPr>
        <w:t>采购结果签订本合同。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b/>
          <w:kern w:val="0"/>
          <w:szCs w:val="21"/>
        </w:rPr>
      </w:pPr>
      <w:r>
        <w:rPr>
          <w:rFonts w:hint="eastAsia" w:ascii="宋体" w:hAnsi="宋体" w:cs="Arial"/>
          <w:b/>
          <w:kern w:val="0"/>
          <w:szCs w:val="21"/>
        </w:rPr>
        <w:t>第一条 合同组成</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本次采购活动的相关文件为本合同的组成部分，这些文件包括但不限于：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（1）本合同文本；</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（2）采购文件与采购响应文件；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（3）中标或成交通知书；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组成本合同的所有文件必须为书面形式。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kern w:val="0"/>
          <w:szCs w:val="21"/>
        </w:rPr>
      </w:pPr>
      <w:r>
        <w:rPr>
          <w:rFonts w:hint="eastAsia" w:ascii="宋体" w:hAnsi="宋体" w:cs="Arial"/>
          <w:b/>
          <w:kern w:val="0"/>
          <w:szCs w:val="21"/>
        </w:rPr>
        <w:t>第二条 合同标的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具体见采购文件与采购响应文件。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kern w:val="0"/>
          <w:szCs w:val="21"/>
        </w:rPr>
      </w:pPr>
      <w:r>
        <w:rPr>
          <w:rFonts w:hint="eastAsia" w:ascii="宋体" w:hAnsi="宋体" w:cs="Arial"/>
          <w:b/>
          <w:kern w:val="0"/>
          <w:szCs w:val="21"/>
        </w:rPr>
        <w:t>第三条 合同价款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1.本合同项下货物总价款为（大写）</w:t>
      </w:r>
      <w:r>
        <w:rPr>
          <w:rFonts w:hint="eastAsia" w:ascii="宋体" w:hAnsi="宋体" w:cs="Arial"/>
          <w:kern w:val="0"/>
          <w:szCs w:val="21"/>
          <w:u w:val="single"/>
        </w:rPr>
        <w:t>____                  ___</w:t>
      </w:r>
      <w:r>
        <w:rPr>
          <w:rFonts w:hint="eastAsia" w:ascii="宋体" w:hAnsi="宋体" w:cs="Arial"/>
          <w:kern w:val="0"/>
          <w:szCs w:val="21"/>
        </w:rPr>
        <w:t>__人民币，分项价款在“投标报价表”中明确。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2.本合同总价款含所有税费。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3.付款方式：</w:t>
      </w:r>
    </w:p>
    <w:p>
      <w:pPr>
        <w:adjustRightInd w:val="0"/>
        <w:snapToGrid w:val="0"/>
        <w:spacing w:line="360" w:lineRule="auto"/>
        <w:ind w:firstLine="420" w:firstLineChars="200"/>
        <w:rPr>
          <w:color w:val="auto"/>
        </w:rPr>
      </w:pPr>
      <w:r>
        <w:rPr>
          <w:rFonts w:hint="eastAsia" w:ascii="宋体" w:hAnsi="宋体"/>
          <w:color w:val="auto"/>
          <w:szCs w:val="21"/>
        </w:rPr>
        <w:t>根据各保险到期时间，由各投保公司与中标单位进行签约并支付保费。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color w:val="auto"/>
          <w:kern w:val="0"/>
          <w:szCs w:val="21"/>
        </w:rPr>
      </w:pPr>
      <w:r>
        <w:rPr>
          <w:rFonts w:hint="eastAsia" w:ascii="宋体" w:hAnsi="宋体" w:cs="Arial"/>
          <w:b/>
          <w:color w:val="auto"/>
          <w:kern w:val="0"/>
          <w:szCs w:val="21"/>
        </w:rPr>
        <w:t>第四条 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hint="eastAsia" w:ascii="宋体" w:hAnsi="宋体" w:eastAsia="宋体" w:cs="Arial"/>
          <w:b/>
          <w:color w:val="auto"/>
          <w:kern w:val="0"/>
          <w:szCs w:val="21"/>
          <w:lang w:eastAsia="zh-CN"/>
        </w:rPr>
      </w:pPr>
      <w:r>
        <w:rPr>
          <w:rFonts w:hint="eastAsia" w:ascii="宋体" w:hAnsi="宋体" w:cs="Arial"/>
          <w:color w:val="auto"/>
          <w:kern w:val="0"/>
          <w:szCs w:val="21"/>
        </w:rPr>
        <w:t>按以下第__</w:t>
      </w:r>
      <w:r>
        <w:rPr>
          <w:rFonts w:hint="eastAsia" w:ascii="宋体" w:hAnsi="宋体" w:cs="Arial"/>
          <w:color w:val="auto"/>
          <w:kern w:val="0"/>
          <w:szCs w:val="21"/>
          <w:u w:val="single"/>
        </w:rPr>
        <w:t>__</w:t>
      </w:r>
      <w:r>
        <w:rPr>
          <w:rFonts w:hint="eastAsia" w:ascii="宋体" w:hAnsi="宋体" w:cs="Arial"/>
          <w:color w:val="auto"/>
          <w:kern w:val="0"/>
          <w:szCs w:val="21"/>
          <w:u w:val="single"/>
          <w:lang w:val="en-US" w:eastAsia="zh-CN"/>
        </w:rPr>
        <w:t>2</w:t>
      </w:r>
      <w:r>
        <w:rPr>
          <w:rFonts w:hint="eastAsia" w:ascii="宋体" w:hAnsi="宋体" w:cs="Arial"/>
          <w:color w:val="auto"/>
          <w:kern w:val="0"/>
          <w:szCs w:val="21"/>
        </w:rPr>
        <w:t>_____项处理：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color w:val="auto"/>
          <w:kern w:val="0"/>
          <w:szCs w:val="21"/>
        </w:rPr>
      </w:pPr>
      <w:r>
        <w:rPr>
          <w:rFonts w:hint="eastAsia" w:ascii="宋体" w:hAnsi="宋体" w:cs="Arial"/>
          <w:color w:val="auto"/>
          <w:kern w:val="0"/>
          <w:szCs w:val="21"/>
        </w:rPr>
        <w:t>1.本项目设置履约保证金，具体见采购文件与采购响应文件。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color w:val="auto"/>
          <w:kern w:val="0"/>
          <w:szCs w:val="21"/>
        </w:rPr>
      </w:pPr>
      <w:r>
        <w:rPr>
          <w:rFonts w:hint="eastAsia" w:ascii="宋体" w:hAnsi="宋体" w:cs="Arial"/>
          <w:color w:val="auto"/>
          <w:kern w:val="0"/>
          <w:szCs w:val="21"/>
        </w:rPr>
        <w:t>2.本项目不设置履约保证金。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color w:val="auto"/>
          <w:kern w:val="0"/>
          <w:szCs w:val="21"/>
        </w:rPr>
      </w:pPr>
      <w:r>
        <w:rPr>
          <w:rFonts w:hint="eastAsia" w:ascii="宋体" w:hAnsi="宋体" w:cs="Arial"/>
          <w:b/>
          <w:color w:val="auto"/>
          <w:kern w:val="0"/>
          <w:szCs w:val="21"/>
        </w:rPr>
        <w:t>第五条 合同的变更和终止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color w:val="auto"/>
          <w:kern w:val="0"/>
          <w:szCs w:val="21"/>
        </w:rPr>
      </w:pPr>
      <w:r>
        <w:rPr>
          <w:rFonts w:hint="eastAsia" w:ascii="宋体" w:hAnsi="宋体" w:cs="Arial"/>
          <w:color w:val="auto"/>
          <w:kern w:val="0"/>
          <w:szCs w:val="21"/>
        </w:rPr>
        <w:t>本合同一经签订，甲乙双方不得擅自终止合同或对合同实质性条款进行变更。确有特殊情况的，须经相关部门批准。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kern w:val="0"/>
          <w:szCs w:val="21"/>
        </w:rPr>
      </w:pPr>
      <w:r>
        <w:rPr>
          <w:rFonts w:hint="eastAsia" w:ascii="宋体" w:hAnsi="宋体" w:cs="Arial"/>
          <w:b/>
          <w:kern w:val="0"/>
          <w:szCs w:val="21"/>
        </w:rPr>
        <w:t>第六条 合同的转让与分包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乙方不得擅自部分或全部转让其应履行的合同义务。乙方分包的，应经过甲方书面同意。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kern w:val="0"/>
          <w:szCs w:val="21"/>
        </w:rPr>
      </w:pPr>
      <w:r>
        <w:rPr>
          <w:rFonts w:hint="eastAsia" w:ascii="宋体" w:hAnsi="宋体" w:cs="Arial"/>
          <w:b/>
          <w:kern w:val="0"/>
          <w:szCs w:val="21"/>
        </w:rPr>
        <w:t>第七条 争议的解决</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1.因履行本合同引起的或与本合同有关的争议，甲、乙双方应首先通过友好协商解决，如果协商不能解决争议，则采取以下第_________种方式解决争议：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（1）向_</w:t>
      </w:r>
      <w:r>
        <w:rPr>
          <w:rFonts w:hint="eastAsia" w:ascii="宋体" w:hAnsi="宋体" w:cs="Arial"/>
          <w:kern w:val="0"/>
          <w:szCs w:val="21"/>
          <w:u w:val="single"/>
        </w:rPr>
        <w:t>__              ___</w:t>
      </w:r>
      <w:r>
        <w:rPr>
          <w:rFonts w:hint="eastAsia" w:ascii="宋体" w:hAnsi="宋体" w:cs="Arial"/>
          <w:kern w:val="0"/>
          <w:szCs w:val="21"/>
        </w:rPr>
        <w:t>___仲裁委员申请仲裁；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（2）向甲方所在地有管辖权的人民法院提起诉讼。</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kern w:val="0"/>
          <w:szCs w:val="21"/>
        </w:rPr>
      </w:pPr>
      <w:r>
        <w:rPr>
          <w:rFonts w:hint="eastAsia" w:ascii="宋体" w:hAnsi="宋体" w:cs="Arial"/>
          <w:b/>
          <w:kern w:val="0"/>
          <w:szCs w:val="21"/>
        </w:rPr>
        <w:t xml:space="preserve">第八条 </w:t>
      </w:r>
      <w:r>
        <w:fldChar w:fldCharType="begin"/>
      </w:r>
      <w:r>
        <w:instrText xml:space="preserve"> HYPERLINK "http://www.86exp.com/hetong/" </w:instrText>
      </w:r>
      <w:r>
        <w:fldChar w:fldCharType="separate"/>
      </w:r>
      <w:r>
        <w:rPr>
          <w:rFonts w:hint="eastAsia" w:ascii="宋体" w:hAnsi="宋体" w:cs="Arial"/>
          <w:b/>
          <w:kern w:val="0"/>
          <w:szCs w:val="21"/>
        </w:rPr>
        <w:t>合同</w:t>
      </w:r>
      <w:r>
        <w:rPr>
          <w:rFonts w:hint="eastAsia" w:ascii="宋体" w:hAnsi="宋体" w:cs="Arial"/>
          <w:b/>
          <w:kern w:val="0"/>
          <w:szCs w:val="21"/>
        </w:rPr>
        <w:fldChar w:fldCharType="end"/>
      </w:r>
      <w:r>
        <w:rPr>
          <w:rFonts w:hint="eastAsia" w:ascii="宋体" w:hAnsi="宋体" w:cs="Arial"/>
          <w:b/>
          <w:kern w:val="0"/>
          <w:szCs w:val="21"/>
        </w:rPr>
        <w:t>生效及其他</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1.合同经甲、乙双方代表签章后即行生效。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2.本</w:t>
      </w:r>
      <w:r>
        <w:fldChar w:fldCharType="begin"/>
      </w:r>
      <w:r>
        <w:instrText xml:space="preserve"> HYPERLINK "http://www.86exp.com/hetong/" </w:instrText>
      </w:r>
      <w:r>
        <w:fldChar w:fldCharType="separate"/>
      </w:r>
      <w:r>
        <w:rPr>
          <w:rFonts w:hint="eastAsia" w:ascii="宋体" w:hAnsi="宋体" w:cs="Arial"/>
          <w:kern w:val="0"/>
          <w:szCs w:val="21"/>
        </w:rPr>
        <w:t>合同</w:t>
      </w:r>
      <w:r>
        <w:rPr>
          <w:rFonts w:hint="eastAsia" w:ascii="宋体" w:hAnsi="宋体" w:cs="Arial"/>
          <w:kern w:val="0"/>
          <w:szCs w:val="21"/>
        </w:rPr>
        <w:fldChar w:fldCharType="end"/>
      </w:r>
      <w:r>
        <w:rPr>
          <w:rFonts w:hint="eastAsia" w:ascii="宋体" w:hAnsi="宋体" w:cs="Arial"/>
          <w:kern w:val="0"/>
          <w:szCs w:val="21"/>
        </w:rPr>
        <w:t xml:space="preserve">一式四份，甲乙双方各执二份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3.本</w:t>
      </w:r>
      <w:r>
        <w:fldChar w:fldCharType="begin"/>
      </w:r>
      <w:r>
        <w:instrText xml:space="preserve"> HYPERLINK "http://www.86exp.com/hetong/" </w:instrText>
      </w:r>
      <w:r>
        <w:fldChar w:fldCharType="separate"/>
      </w:r>
      <w:r>
        <w:rPr>
          <w:rFonts w:hint="eastAsia" w:ascii="宋体" w:hAnsi="宋体" w:cs="Arial"/>
          <w:kern w:val="0"/>
          <w:szCs w:val="21"/>
        </w:rPr>
        <w:t>合同</w:t>
      </w:r>
      <w:r>
        <w:rPr>
          <w:rFonts w:hint="eastAsia" w:ascii="宋体" w:hAnsi="宋体" w:cs="Arial"/>
          <w:kern w:val="0"/>
          <w:szCs w:val="21"/>
        </w:rPr>
        <w:fldChar w:fldCharType="end"/>
      </w:r>
      <w:r>
        <w:rPr>
          <w:rFonts w:hint="eastAsia" w:ascii="宋体" w:hAnsi="宋体" w:cs="Arial"/>
          <w:kern w:val="0"/>
          <w:szCs w:val="21"/>
        </w:rPr>
        <w:t>应按照中华人民共和国的现行法律进行解释。</w:t>
      </w:r>
    </w:p>
    <w:p>
      <w:pPr>
        <w:snapToGrid w:val="0"/>
        <w:spacing w:beforeLines="50" w:afterLines="50" w:line="360" w:lineRule="auto"/>
        <w:jc w:val="center"/>
        <w:outlineLvl w:val="0"/>
        <w:rPr>
          <w:rFonts w:ascii="宋体" w:hAnsi="宋体" w:cs="Arial"/>
          <w:b/>
          <w:kern w:val="0"/>
          <w:szCs w:val="21"/>
        </w:rPr>
      </w:pPr>
      <w:bookmarkStart w:id="232" w:name="_Toc119922207"/>
      <w:bookmarkStart w:id="233" w:name="_Toc509308073"/>
      <w:bookmarkStart w:id="234" w:name="_Toc509308153"/>
      <w:r>
        <w:rPr>
          <w:rFonts w:hint="eastAsia" w:ascii="宋体" w:hAnsi="宋体" w:cs="Arial"/>
          <w:b/>
          <w:kern w:val="0"/>
          <w:szCs w:val="21"/>
        </w:rPr>
        <w:t>二、特殊专用条款部分</w:t>
      </w:r>
      <w:bookmarkEnd w:id="232"/>
      <w:bookmarkEnd w:id="233"/>
      <w:bookmarkEnd w:id="234"/>
    </w:p>
    <w:p>
      <w:pPr>
        <w:snapToGrid w:val="0"/>
        <w:spacing w:beforeLines="50" w:afterLines="50" w:line="360" w:lineRule="auto"/>
        <w:jc w:val="center"/>
        <w:outlineLvl w:val="0"/>
        <w:rPr>
          <w:rFonts w:ascii="宋体" w:hAnsi="宋体" w:cs="Arial"/>
          <w:b/>
          <w:kern w:val="0"/>
          <w:szCs w:val="21"/>
        </w:rPr>
      </w:pPr>
      <w:bookmarkStart w:id="235" w:name="_Toc509308154"/>
      <w:bookmarkStart w:id="236" w:name="_Toc509308074"/>
    </w:p>
    <w:p>
      <w:pPr>
        <w:snapToGrid w:val="0"/>
        <w:spacing w:beforeLines="50" w:afterLines="50" w:line="360" w:lineRule="auto"/>
        <w:jc w:val="center"/>
        <w:outlineLvl w:val="0"/>
        <w:rPr>
          <w:rFonts w:ascii="宋体" w:hAnsi="宋体"/>
          <w:b/>
          <w:szCs w:val="21"/>
        </w:rPr>
      </w:pPr>
      <w:bookmarkStart w:id="237" w:name="_Toc119922208"/>
      <w:r>
        <w:rPr>
          <w:rFonts w:hint="eastAsia" w:ascii="宋体" w:hAnsi="宋体" w:cs="Arial"/>
          <w:b/>
          <w:kern w:val="0"/>
          <w:szCs w:val="21"/>
        </w:rPr>
        <w:t>（双方协商拟定）</w:t>
      </w:r>
      <w:bookmarkEnd w:id="235"/>
      <w:bookmarkEnd w:id="236"/>
      <w:bookmarkEnd w:id="237"/>
    </w:p>
    <w:p>
      <w:pPr>
        <w:spacing w:line="360" w:lineRule="auto"/>
        <w:jc w:val="center"/>
        <w:rPr>
          <w:rFonts w:ascii="宋体" w:hAnsi="宋体"/>
          <w:sz w:val="30"/>
          <w:szCs w:val="30"/>
        </w:rPr>
      </w:pPr>
    </w:p>
    <w:p>
      <w:pPr>
        <w:autoSpaceDE w:val="0"/>
        <w:autoSpaceDN w:val="0"/>
        <w:adjustRightInd w:val="0"/>
        <w:spacing w:line="360" w:lineRule="auto"/>
        <w:jc w:val="left"/>
        <w:rPr>
          <w:rFonts w:ascii="宋体" w:hAnsi="宋体"/>
          <w:szCs w:val="21"/>
        </w:rPr>
      </w:pPr>
      <w:r>
        <w:rPr>
          <w:rFonts w:ascii="宋体" w:hAnsi="宋体"/>
          <w:szCs w:val="21"/>
        </w:rPr>
        <w:t xml:space="preserve">甲方：                             乙方： </w:t>
      </w:r>
    </w:p>
    <w:p>
      <w:pPr>
        <w:autoSpaceDE w:val="0"/>
        <w:autoSpaceDN w:val="0"/>
        <w:adjustRightInd w:val="0"/>
        <w:spacing w:line="360" w:lineRule="auto"/>
        <w:jc w:val="left"/>
        <w:rPr>
          <w:rFonts w:ascii="宋体" w:hAnsi="宋体"/>
          <w:szCs w:val="21"/>
        </w:rPr>
      </w:pPr>
      <w:r>
        <w:rPr>
          <w:rFonts w:ascii="宋体" w:hAnsi="宋体"/>
          <w:szCs w:val="21"/>
        </w:rPr>
        <w:t xml:space="preserve">地址：                             地址： </w:t>
      </w:r>
    </w:p>
    <w:p>
      <w:pPr>
        <w:autoSpaceDE w:val="0"/>
        <w:autoSpaceDN w:val="0"/>
        <w:adjustRightInd w:val="0"/>
        <w:spacing w:line="360" w:lineRule="auto"/>
        <w:jc w:val="left"/>
        <w:rPr>
          <w:rFonts w:ascii="宋体" w:hAnsi="宋体"/>
          <w:szCs w:val="21"/>
        </w:rPr>
      </w:pPr>
      <w:r>
        <w:rPr>
          <w:rFonts w:ascii="宋体" w:hAnsi="宋体"/>
          <w:szCs w:val="21"/>
        </w:rPr>
        <w:t>法定代表人：                       法定代表人：</w:t>
      </w:r>
    </w:p>
    <w:p>
      <w:pPr>
        <w:autoSpaceDE w:val="0"/>
        <w:autoSpaceDN w:val="0"/>
        <w:adjustRightInd w:val="0"/>
        <w:spacing w:line="360" w:lineRule="auto"/>
        <w:jc w:val="left"/>
        <w:rPr>
          <w:rFonts w:ascii="宋体" w:hAnsi="宋体"/>
          <w:szCs w:val="21"/>
        </w:rPr>
      </w:pPr>
      <w:r>
        <w:rPr>
          <w:rFonts w:ascii="宋体" w:hAnsi="宋体"/>
          <w:szCs w:val="21"/>
        </w:rPr>
        <w:t xml:space="preserve">签订地点：                  </w:t>
      </w:r>
      <w:r>
        <w:rPr>
          <w:rFonts w:hint="eastAsia" w:ascii="宋体" w:hAnsi="宋体"/>
          <w:szCs w:val="21"/>
        </w:rPr>
        <w:t xml:space="preserve">               签订地点：</w:t>
      </w:r>
    </w:p>
    <w:p>
      <w:pPr>
        <w:autoSpaceDE w:val="0"/>
        <w:autoSpaceDN w:val="0"/>
        <w:adjustRightInd w:val="0"/>
        <w:spacing w:line="360" w:lineRule="auto"/>
        <w:jc w:val="left"/>
        <w:rPr>
          <w:rFonts w:ascii="宋体" w:hAnsi="宋体"/>
          <w:szCs w:val="21"/>
        </w:rPr>
      </w:pPr>
      <w:r>
        <w:rPr>
          <w:rFonts w:ascii="宋体" w:hAnsi="宋体"/>
          <w:szCs w:val="21"/>
        </w:rPr>
        <w:t>签订日期：      年  月  日</w:t>
      </w:r>
      <w:r>
        <w:rPr>
          <w:rFonts w:hint="eastAsia" w:ascii="宋体" w:hAnsi="宋体"/>
          <w:szCs w:val="21"/>
        </w:rPr>
        <w:t xml:space="preserve">                 签订日期：      年     月     日  </w:t>
      </w:r>
    </w:p>
    <w:p>
      <w:pPr>
        <w:autoSpaceDE w:val="0"/>
        <w:autoSpaceDN w:val="0"/>
        <w:adjustRightInd w:val="0"/>
        <w:spacing w:line="360" w:lineRule="auto"/>
        <w:jc w:val="left"/>
        <w:rPr>
          <w:rFonts w:ascii="宋体" w:hAnsi="宋体"/>
          <w:szCs w:val="21"/>
        </w:rPr>
      </w:pPr>
    </w:p>
    <w:p>
      <w:pPr>
        <w:autoSpaceDE w:val="0"/>
        <w:autoSpaceDN w:val="0"/>
        <w:adjustRightInd w:val="0"/>
        <w:spacing w:line="360" w:lineRule="auto"/>
        <w:jc w:val="left"/>
        <w:rPr>
          <w:rFonts w:ascii="宋体" w:hAnsi="宋体"/>
          <w:szCs w:val="21"/>
        </w:rPr>
      </w:pPr>
    </w:p>
    <w:p>
      <w:pPr>
        <w:autoSpaceDE w:val="0"/>
        <w:autoSpaceDN w:val="0"/>
        <w:adjustRightInd w:val="0"/>
        <w:spacing w:line="360" w:lineRule="auto"/>
        <w:jc w:val="left"/>
        <w:rPr>
          <w:rFonts w:ascii="宋体" w:hAnsi="宋体"/>
          <w:szCs w:val="21"/>
        </w:rPr>
      </w:pPr>
    </w:p>
    <w:p>
      <w:pPr>
        <w:autoSpaceDE w:val="0"/>
        <w:autoSpaceDN w:val="0"/>
        <w:adjustRightInd w:val="0"/>
        <w:spacing w:line="360" w:lineRule="auto"/>
        <w:jc w:val="left"/>
        <w:rPr>
          <w:rFonts w:ascii="宋体" w:hAnsi="宋体"/>
          <w:szCs w:val="21"/>
        </w:rPr>
      </w:pPr>
    </w:p>
    <w:p>
      <w:pPr>
        <w:autoSpaceDE w:val="0"/>
        <w:autoSpaceDN w:val="0"/>
        <w:adjustRightInd w:val="0"/>
        <w:spacing w:line="360" w:lineRule="auto"/>
        <w:jc w:val="left"/>
        <w:rPr>
          <w:rFonts w:ascii="宋体" w:hAnsi="宋体"/>
          <w:szCs w:val="21"/>
        </w:rPr>
      </w:pPr>
    </w:p>
    <w:p>
      <w:pPr>
        <w:autoSpaceDE w:val="0"/>
        <w:autoSpaceDN w:val="0"/>
        <w:adjustRightInd w:val="0"/>
        <w:spacing w:line="360" w:lineRule="auto"/>
        <w:jc w:val="left"/>
        <w:rPr>
          <w:rFonts w:ascii="宋体" w:hAnsi="宋体"/>
          <w:szCs w:val="21"/>
        </w:rPr>
      </w:pPr>
    </w:p>
    <w:p>
      <w:pPr>
        <w:autoSpaceDE w:val="0"/>
        <w:autoSpaceDN w:val="0"/>
        <w:adjustRightInd w:val="0"/>
        <w:spacing w:line="360" w:lineRule="auto"/>
        <w:jc w:val="left"/>
        <w:rPr>
          <w:rFonts w:ascii="宋体" w:hAnsi="宋体"/>
          <w:szCs w:val="21"/>
        </w:rPr>
      </w:pPr>
    </w:p>
    <w:p>
      <w:pPr>
        <w:pStyle w:val="38"/>
      </w:pPr>
    </w:p>
    <w:p>
      <w:pPr>
        <w:pStyle w:val="38"/>
      </w:pPr>
    </w:p>
    <w:p>
      <w:pPr>
        <w:pStyle w:val="38"/>
      </w:pPr>
    </w:p>
    <w:p>
      <w:pPr>
        <w:pStyle w:val="38"/>
      </w:pPr>
    </w:p>
    <w:p>
      <w:pPr>
        <w:pStyle w:val="38"/>
      </w:pPr>
    </w:p>
    <w:p>
      <w:pPr>
        <w:pStyle w:val="38"/>
      </w:pPr>
    </w:p>
    <w:p>
      <w:pPr>
        <w:keepNext/>
        <w:keepLines/>
        <w:spacing w:before="260" w:after="260" w:line="416" w:lineRule="auto"/>
        <w:jc w:val="center"/>
        <w:outlineLvl w:val="1"/>
        <w:rPr>
          <w:rFonts w:ascii="Cambria" w:hAnsi="Cambria"/>
          <w:b/>
          <w:bCs/>
          <w:sz w:val="32"/>
          <w:szCs w:val="32"/>
        </w:rPr>
      </w:pPr>
      <w:bookmarkStart w:id="238" w:name="_Toc406403000"/>
      <w:bookmarkStart w:id="239" w:name="_Toc119922209"/>
      <w:bookmarkStart w:id="240" w:name="_Toc509308155"/>
      <w:bookmarkStart w:id="241" w:name="_Toc507404972"/>
      <w:r>
        <w:rPr>
          <w:rFonts w:hint="eastAsia" w:ascii="Cambria" w:hAnsi="Cambria"/>
          <w:b/>
          <w:bCs/>
          <w:sz w:val="32"/>
          <w:szCs w:val="32"/>
        </w:rPr>
        <w:t>第六章　投标文件格式</w:t>
      </w:r>
      <w:bookmarkEnd w:id="238"/>
      <w:bookmarkEnd w:id="239"/>
      <w:bookmarkEnd w:id="240"/>
      <w:bookmarkEnd w:id="241"/>
    </w:p>
    <w:p>
      <w:pPr>
        <w:keepNext/>
        <w:keepLines/>
        <w:spacing w:before="260" w:after="260" w:line="320" w:lineRule="exact"/>
        <w:outlineLvl w:val="1"/>
        <w:rPr>
          <w:rFonts w:ascii="宋体" w:hAnsi="宋体"/>
          <w:b/>
          <w:bCs/>
          <w:sz w:val="24"/>
          <w:szCs w:val="32"/>
        </w:rPr>
      </w:pPr>
      <w:bookmarkStart w:id="242" w:name="_Toc119922210"/>
      <w:bookmarkStart w:id="243" w:name="_Toc509308156"/>
      <w:bookmarkStart w:id="244" w:name="_Toc503877073"/>
      <w:bookmarkStart w:id="245" w:name="_Toc424545666"/>
      <w:bookmarkStart w:id="246" w:name="_Toc178668984"/>
      <w:r>
        <w:rPr>
          <w:rFonts w:hint="eastAsia" w:ascii="宋体" w:hAnsi="宋体"/>
          <w:b/>
          <w:bCs/>
          <w:sz w:val="24"/>
          <w:szCs w:val="32"/>
        </w:rPr>
        <w:t>附件1： 资格文件封面格式及目录</w:t>
      </w:r>
      <w:bookmarkEnd w:id="242"/>
      <w:bookmarkEnd w:id="243"/>
      <w:bookmarkEnd w:id="244"/>
      <w:bookmarkEnd w:id="245"/>
    </w:p>
    <w:p>
      <w:pPr>
        <w:snapToGrid w:val="0"/>
        <w:spacing w:beforeLines="50" w:afterLines="50" w:line="400" w:lineRule="atLeast"/>
        <w:rPr>
          <w:rFonts w:ascii="宋体" w:hAnsi="宋体"/>
          <w:sz w:val="32"/>
          <w:szCs w:val="32"/>
        </w:rPr>
      </w:pPr>
      <w:r>
        <w:rPr>
          <w:rFonts w:hint="eastAsia" w:ascii="宋体" w:hAnsi="宋体"/>
          <w:bCs/>
          <w:sz w:val="32"/>
          <w:szCs w:val="32"/>
        </w:rPr>
        <w:t xml:space="preserve"> 正本或副本</w:t>
      </w:r>
    </w:p>
    <w:p>
      <w:pPr>
        <w:ind w:right="-110"/>
        <w:jc w:val="center"/>
        <w:rPr>
          <w:rFonts w:ascii="宋体" w:hAnsi="宋体"/>
          <w:spacing w:val="40"/>
          <w:sz w:val="32"/>
          <w:szCs w:val="32"/>
        </w:rPr>
      </w:pPr>
      <w:r>
        <w:rPr>
          <w:rFonts w:hint="eastAsia" w:ascii="宋体" w:hAnsi="宋体"/>
          <w:spacing w:val="40"/>
          <w:sz w:val="32"/>
          <w:szCs w:val="32"/>
        </w:rPr>
        <w:t>项目名称：×××</w:t>
      </w:r>
    </w:p>
    <w:p>
      <w:pPr>
        <w:ind w:right="-110"/>
        <w:jc w:val="center"/>
        <w:rPr>
          <w:rFonts w:hint="eastAsia" w:ascii="宋体" w:hAnsi="宋体" w:eastAsia="宋体"/>
          <w:spacing w:val="40"/>
          <w:sz w:val="32"/>
          <w:szCs w:val="32"/>
          <w:lang w:eastAsia="zh-CN"/>
        </w:rPr>
      </w:pPr>
      <w:r>
        <w:rPr>
          <w:rFonts w:hint="eastAsia" w:ascii="宋体" w:hAnsi="宋体"/>
          <w:spacing w:val="40"/>
          <w:sz w:val="32"/>
          <w:szCs w:val="32"/>
          <w:lang w:eastAsia="zh-CN"/>
        </w:rPr>
        <w:t>（</w:t>
      </w:r>
      <w:r>
        <w:rPr>
          <w:rFonts w:hint="eastAsia" w:ascii="宋体" w:hAnsi="宋体"/>
          <w:spacing w:val="40"/>
          <w:sz w:val="32"/>
          <w:szCs w:val="32"/>
          <w:lang w:val="en-US" w:eastAsia="zh-CN"/>
        </w:rPr>
        <w:t>标项一或标项二</w:t>
      </w:r>
      <w:r>
        <w:rPr>
          <w:rFonts w:hint="eastAsia" w:ascii="宋体" w:hAnsi="宋体"/>
          <w:spacing w:val="40"/>
          <w:sz w:val="32"/>
          <w:szCs w:val="32"/>
          <w:lang w:eastAsia="zh-CN"/>
        </w:rPr>
        <w:t>）</w:t>
      </w:r>
    </w:p>
    <w:p>
      <w:pPr>
        <w:spacing w:after="100" w:afterAutospacing="1" w:line="800" w:lineRule="exact"/>
        <w:ind w:right="-108"/>
        <w:jc w:val="center"/>
        <w:rPr>
          <w:rFonts w:ascii="宋体" w:hAnsi="宋体"/>
          <w:b/>
          <w:spacing w:val="40"/>
          <w:sz w:val="84"/>
          <w:szCs w:val="84"/>
        </w:rPr>
      </w:pP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资</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格</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文</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件</w:t>
      </w:r>
    </w:p>
    <w:p>
      <w:pPr>
        <w:spacing w:line="500" w:lineRule="exact"/>
        <w:ind w:right="532" w:firstLine="640" w:firstLineChars="200"/>
        <w:rPr>
          <w:rFonts w:ascii="宋体" w:hAnsi="宋体"/>
          <w:sz w:val="32"/>
          <w:szCs w:val="32"/>
        </w:rPr>
      </w:pPr>
      <w:r>
        <w:rPr>
          <w:rFonts w:hint="eastAsia" w:ascii="宋体" w:hAnsi="宋体"/>
          <w:sz w:val="32"/>
          <w:szCs w:val="32"/>
        </w:rPr>
        <w:t>投标人全称（公章）：</w:t>
      </w:r>
    </w:p>
    <w:p>
      <w:pPr>
        <w:wordWrap w:val="0"/>
        <w:spacing w:line="500" w:lineRule="exact"/>
        <w:ind w:right="-108" w:firstLine="640" w:firstLineChars="200"/>
        <w:rPr>
          <w:rFonts w:ascii="宋体" w:hAnsi="宋体"/>
          <w:sz w:val="32"/>
          <w:szCs w:val="32"/>
        </w:rPr>
      </w:pPr>
      <w:r>
        <w:rPr>
          <w:rFonts w:hint="eastAsia" w:ascii="宋体" w:hAnsi="宋体"/>
          <w:sz w:val="32"/>
          <w:szCs w:val="32"/>
        </w:rPr>
        <w:t>地    址：</w:t>
      </w:r>
    </w:p>
    <w:p>
      <w:pPr>
        <w:wordWrap w:val="0"/>
        <w:spacing w:line="500" w:lineRule="exact"/>
        <w:ind w:right="-108" w:firstLine="640" w:firstLineChars="200"/>
        <w:rPr>
          <w:rFonts w:ascii="宋体" w:hAnsi="宋体"/>
          <w:sz w:val="32"/>
          <w:szCs w:val="32"/>
        </w:rPr>
      </w:pPr>
      <w:r>
        <w:rPr>
          <w:rFonts w:hint="eastAsia" w:ascii="宋体" w:hAnsi="宋体"/>
          <w:sz w:val="32"/>
          <w:szCs w:val="32"/>
        </w:rPr>
        <w:t>时    间：</w:t>
      </w:r>
    </w:p>
    <w:p>
      <w:pPr>
        <w:snapToGrid w:val="0"/>
        <w:rPr>
          <w:rFonts w:ascii="宋体" w:hAnsi="宋体"/>
          <w:sz w:val="36"/>
          <w:szCs w:val="36"/>
        </w:rPr>
      </w:pPr>
    </w:p>
    <w:p>
      <w:pPr>
        <w:snapToGrid w:val="0"/>
        <w:ind w:left="3360" w:leftChars="1600"/>
        <w:rPr>
          <w:rFonts w:ascii="宋体" w:hAnsi="宋体"/>
          <w:b/>
          <w:sz w:val="36"/>
          <w:szCs w:val="36"/>
        </w:rPr>
      </w:pPr>
      <w:r>
        <w:rPr>
          <w:rFonts w:hint="eastAsia" w:ascii="宋体" w:hAnsi="宋体"/>
          <w:b/>
          <w:sz w:val="36"/>
          <w:szCs w:val="36"/>
        </w:rPr>
        <w:t>资格文件目录</w:t>
      </w:r>
    </w:p>
    <w:p>
      <w:pPr>
        <w:spacing w:line="400" w:lineRule="exact"/>
        <w:rPr>
          <w:rFonts w:ascii="宋体" w:hAnsi="宋体"/>
          <w:szCs w:val="21"/>
        </w:rPr>
      </w:pPr>
    </w:p>
    <w:p>
      <w:pPr>
        <w:spacing w:line="400" w:lineRule="exact"/>
        <w:ind w:firstLine="420" w:firstLineChars="200"/>
        <w:rPr>
          <w:rFonts w:ascii="宋体" w:hAnsi="宋体"/>
          <w:szCs w:val="21"/>
        </w:rPr>
      </w:pPr>
      <w:r>
        <w:rPr>
          <w:rFonts w:hint="eastAsia" w:ascii="宋体" w:hAnsi="宋体"/>
          <w:szCs w:val="21"/>
        </w:rPr>
        <w:t>1.投标人声明书（附件2）；</w:t>
      </w:r>
    </w:p>
    <w:p>
      <w:pPr>
        <w:spacing w:line="400" w:lineRule="exact"/>
        <w:ind w:firstLine="420" w:firstLineChars="200"/>
        <w:rPr>
          <w:rFonts w:ascii="宋体" w:hAnsi="宋体"/>
          <w:szCs w:val="21"/>
        </w:rPr>
      </w:pPr>
      <w:r>
        <w:rPr>
          <w:rFonts w:hint="eastAsia" w:ascii="宋体" w:hAnsi="宋体"/>
          <w:szCs w:val="21"/>
        </w:rPr>
        <w:t>2.营业执照正本或副本复印件（盖单位公章）；</w:t>
      </w:r>
    </w:p>
    <w:p>
      <w:pPr>
        <w:spacing w:line="400" w:lineRule="exact"/>
        <w:ind w:firstLine="420" w:firstLineChars="200"/>
        <w:rPr>
          <w:rFonts w:ascii="宋体" w:hAnsi="宋体"/>
          <w:szCs w:val="21"/>
        </w:rPr>
      </w:pPr>
      <w:r>
        <w:rPr>
          <w:rFonts w:hint="eastAsia" w:ascii="宋体" w:hAnsi="宋体"/>
          <w:szCs w:val="21"/>
        </w:rPr>
        <w:t>3.税务登记证正本或副本复印件（与营业执照合一的无需提供）（盖单位公章）；</w:t>
      </w:r>
    </w:p>
    <w:p>
      <w:pPr>
        <w:spacing w:line="400" w:lineRule="exact"/>
        <w:ind w:firstLine="420" w:firstLineChars="200"/>
        <w:rPr>
          <w:rFonts w:ascii="宋体" w:hAnsi="宋体"/>
          <w:szCs w:val="21"/>
        </w:rPr>
      </w:pPr>
      <w:r>
        <w:rPr>
          <w:rFonts w:hint="eastAsia" w:ascii="宋体" w:hAnsi="宋体"/>
          <w:szCs w:val="21"/>
        </w:rPr>
        <w:t>4.法定代表人有效身份证件复印件；</w:t>
      </w:r>
    </w:p>
    <w:p>
      <w:pPr>
        <w:spacing w:line="400" w:lineRule="exact"/>
        <w:ind w:firstLine="420" w:firstLineChars="200"/>
        <w:rPr>
          <w:rFonts w:ascii="宋体" w:hAnsi="宋体"/>
          <w:szCs w:val="21"/>
        </w:rPr>
      </w:pPr>
      <w:r>
        <w:rPr>
          <w:rFonts w:hint="eastAsia" w:ascii="宋体" w:hAnsi="宋体"/>
          <w:szCs w:val="21"/>
        </w:rPr>
        <w:t>5.法定代表人授权委托书（附件3）及授权代表有效身份证件复印件（授权代表参加开标的须提供）；</w:t>
      </w:r>
    </w:p>
    <w:p>
      <w:pPr>
        <w:spacing w:line="400" w:lineRule="exact"/>
        <w:ind w:firstLine="420" w:firstLineChars="200"/>
        <w:rPr>
          <w:rFonts w:ascii="宋体" w:hAnsi="宋体"/>
          <w:szCs w:val="21"/>
        </w:rPr>
      </w:pPr>
      <w:r>
        <w:rPr>
          <w:rFonts w:hint="eastAsia" w:ascii="宋体" w:hAnsi="宋体"/>
          <w:szCs w:val="21"/>
        </w:rPr>
        <w:t>6.投标人认为需要提供的其他资料。</w:t>
      </w:r>
    </w:p>
    <w:p>
      <w:pPr>
        <w:spacing w:line="400" w:lineRule="exact"/>
        <w:ind w:left="735"/>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bookmarkEnd w:id="246"/>
    <w:p>
      <w:pPr>
        <w:rPr>
          <w:rFonts w:ascii="宋体" w:hAnsi="宋体"/>
        </w:rPr>
      </w:pPr>
      <w:bookmarkStart w:id="247" w:name="_Toc417633389"/>
    </w:p>
    <w:p>
      <w:pPr>
        <w:keepNext/>
        <w:keepLines/>
        <w:spacing w:before="260" w:after="260" w:line="320" w:lineRule="exact"/>
        <w:outlineLvl w:val="1"/>
        <w:rPr>
          <w:rFonts w:ascii="宋体" w:hAnsi="宋体"/>
          <w:b/>
          <w:bCs/>
          <w:sz w:val="32"/>
          <w:szCs w:val="32"/>
        </w:rPr>
      </w:pPr>
      <w:r>
        <w:rPr>
          <w:rFonts w:ascii="宋体" w:hAnsi="宋体"/>
          <w:b/>
          <w:bCs/>
          <w:sz w:val="24"/>
          <w:szCs w:val="32"/>
        </w:rPr>
        <w:br w:type="page"/>
      </w:r>
      <w:bookmarkStart w:id="248" w:name="_Toc119922211"/>
      <w:bookmarkStart w:id="249" w:name="_Toc503877074"/>
      <w:bookmarkStart w:id="250" w:name="_Toc509308157"/>
      <w:r>
        <w:rPr>
          <w:rFonts w:hint="eastAsia" w:ascii="宋体" w:hAnsi="宋体"/>
          <w:b/>
          <w:bCs/>
          <w:sz w:val="24"/>
          <w:szCs w:val="32"/>
        </w:rPr>
        <w:t>附件2： 投标人声明书</w:t>
      </w:r>
      <w:bookmarkEnd w:id="248"/>
      <w:bookmarkEnd w:id="249"/>
      <w:bookmarkEnd w:id="250"/>
    </w:p>
    <w:p>
      <w:pPr>
        <w:widowControl/>
        <w:spacing w:line="400" w:lineRule="exact"/>
        <w:jc w:val="center"/>
        <w:rPr>
          <w:rFonts w:ascii="宋体" w:hAnsi="宋体"/>
          <w:b/>
          <w:sz w:val="36"/>
          <w:szCs w:val="36"/>
        </w:rPr>
      </w:pPr>
      <w:r>
        <w:rPr>
          <w:rFonts w:ascii="宋体" w:hAnsi="宋体"/>
          <w:b/>
          <w:sz w:val="36"/>
          <w:szCs w:val="36"/>
        </w:rPr>
        <w:t>投标人声明书</w:t>
      </w:r>
    </w:p>
    <w:p>
      <w:pPr>
        <w:widowControl/>
        <w:spacing w:line="432" w:lineRule="auto"/>
        <w:jc w:val="left"/>
        <w:rPr>
          <w:rFonts w:ascii="宋体" w:hAnsi="宋体" w:cs="宋体"/>
          <w:kern w:val="0"/>
          <w:sz w:val="24"/>
        </w:rPr>
      </w:pPr>
      <w:r>
        <w:rPr>
          <w:rFonts w:hint="eastAsia" w:ascii="宋体" w:hAnsi="宋体" w:cs="宋体"/>
          <w:kern w:val="0"/>
          <w:sz w:val="24"/>
          <w:lang w:eastAsia="zh-CN"/>
        </w:rPr>
        <w:t>嘉兴市银建工程咨询评估有限公司</w:t>
      </w:r>
      <w:r>
        <w:rPr>
          <w:rFonts w:ascii="宋体" w:hAnsi="宋体" w:cs="宋体"/>
          <w:kern w:val="0"/>
          <w:sz w:val="24"/>
        </w:rPr>
        <w:t>：</w:t>
      </w:r>
    </w:p>
    <w:p>
      <w:pPr>
        <w:spacing w:line="600" w:lineRule="exact"/>
        <w:ind w:firstLine="482"/>
        <w:rPr>
          <w:rFonts w:ascii="宋体" w:hAnsi="宋体"/>
          <w:sz w:val="24"/>
        </w:rPr>
      </w:pPr>
      <w:r>
        <w:rPr>
          <w:rFonts w:ascii="宋体" w:hAnsi="宋体"/>
          <w:sz w:val="24"/>
        </w:rPr>
        <w:t>本单位自愿参加</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rPr>
        <w:t>项目的投标，并</w:t>
      </w:r>
      <w:r>
        <w:rPr>
          <w:rFonts w:hint="eastAsia" w:ascii="宋体" w:hAnsi="宋体"/>
          <w:sz w:val="24"/>
        </w:rPr>
        <w:t>声明如下：</w:t>
      </w:r>
    </w:p>
    <w:p>
      <w:pPr>
        <w:spacing w:line="600" w:lineRule="exact"/>
        <w:ind w:firstLine="482"/>
        <w:rPr>
          <w:rFonts w:ascii="宋体" w:hAnsi="宋体"/>
          <w:sz w:val="24"/>
        </w:rPr>
      </w:pPr>
      <w:r>
        <w:rPr>
          <w:rFonts w:hint="eastAsia" w:ascii="宋体" w:hAnsi="宋体"/>
          <w:sz w:val="24"/>
        </w:rPr>
        <w:t>1.</w:t>
      </w:r>
      <w:r>
        <w:rPr>
          <w:rFonts w:ascii="宋体" w:hAnsi="宋体"/>
          <w:sz w:val="24"/>
        </w:rPr>
        <w:t>保证投标文件中所列举的投标报价及相关文件和</w:t>
      </w:r>
      <w:r>
        <w:rPr>
          <w:rFonts w:hint="eastAsia" w:ascii="宋体" w:hAnsi="宋体"/>
          <w:sz w:val="24"/>
        </w:rPr>
        <w:t>投标人</w:t>
      </w:r>
      <w:r>
        <w:rPr>
          <w:rFonts w:ascii="宋体" w:hAnsi="宋体"/>
          <w:sz w:val="24"/>
        </w:rPr>
        <w:t>基本情况资料是真实的、合法的。</w:t>
      </w:r>
    </w:p>
    <w:p>
      <w:pPr>
        <w:spacing w:line="600" w:lineRule="exact"/>
        <w:ind w:firstLine="482"/>
        <w:rPr>
          <w:rFonts w:ascii="宋体" w:hAnsi="宋体"/>
          <w:sz w:val="24"/>
        </w:rPr>
      </w:pPr>
      <w:r>
        <w:rPr>
          <w:rFonts w:hint="eastAsia" w:ascii="宋体" w:hAnsi="宋体"/>
          <w:sz w:val="24"/>
        </w:rPr>
        <w:t>2.</w:t>
      </w:r>
      <w:r>
        <w:rPr>
          <w:rFonts w:ascii="宋体" w:hAnsi="宋体"/>
          <w:sz w:val="24"/>
        </w:rPr>
        <w:t>同意此次采购招标文件中的各项内容。</w:t>
      </w:r>
    </w:p>
    <w:p>
      <w:pPr>
        <w:spacing w:line="600" w:lineRule="exact"/>
        <w:ind w:firstLine="482"/>
        <w:rPr>
          <w:rFonts w:ascii="宋体" w:hAnsi="宋体"/>
          <w:sz w:val="24"/>
        </w:rPr>
      </w:pPr>
      <w:r>
        <w:rPr>
          <w:rFonts w:hint="eastAsia" w:ascii="宋体" w:hAnsi="宋体"/>
          <w:sz w:val="24"/>
        </w:rPr>
        <w:t>3.参加采购活动前3年内在经营活动中没有因违法经营受到刑事处罚或者责令停产停业、吊销许可证或者执照、较大数额罚款等行政处罚的重大违法记录。</w:t>
      </w:r>
    </w:p>
    <w:p>
      <w:pPr>
        <w:spacing w:line="600" w:lineRule="exact"/>
        <w:ind w:firstLine="482"/>
        <w:rPr>
          <w:rFonts w:ascii="宋体" w:hAnsi="宋体"/>
          <w:sz w:val="24"/>
        </w:rPr>
      </w:pPr>
      <w:r>
        <w:rPr>
          <w:rFonts w:hint="eastAsia" w:ascii="宋体" w:hAnsi="宋体"/>
          <w:sz w:val="24"/>
        </w:rPr>
        <w:t>4.未为本项目提供整体设计、规范编制或者项目管理、监理、检测等服务。</w:t>
      </w:r>
    </w:p>
    <w:p>
      <w:pPr>
        <w:spacing w:line="600" w:lineRule="exact"/>
        <w:ind w:firstLine="482"/>
        <w:rPr>
          <w:rFonts w:ascii="宋体" w:hAnsi="宋体"/>
          <w:sz w:val="24"/>
        </w:rPr>
      </w:pPr>
      <w:r>
        <w:rPr>
          <w:rFonts w:hint="eastAsia" w:ascii="宋体" w:hAnsi="宋体"/>
          <w:sz w:val="24"/>
        </w:rPr>
        <w:t>5.本单位负责人为同一人或存在直接控股、管理关系的供应商未参加本项目的采购活动。</w:t>
      </w:r>
    </w:p>
    <w:p>
      <w:pPr>
        <w:spacing w:line="600" w:lineRule="exact"/>
        <w:ind w:firstLine="482"/>
        <w:rPr>
          <w:rFonts w:ascii="宋体" w:hAnsi="宋体"/>
          <w:sz w:val="24"/>
        </w:rPr>
      </w:pPr>
      <w:r>
        <w:rPr>
          <w:rFonts w:hint="eastAsia" w:ascii="宋体" w:hAnsi="宋体"/>
          <w:sz w:val="24"/>
        </w:rPr>
        <w:t>6.未组成其他联合体参加本项目的采购活动。（联合体投标的，</w:t>
      </w:r>
      <w:r>
        <w:rPr>
          <w:rFonts w:ascii="宋体" w:hAnsi="宋体"/>
          <w:sz w:val="24"/>
        </w:rPr>
        <w:t>联合体各方不以自己名义单独</w:t>
      </w:r>
      <w:r>
        <w:rPr>
          <w:rFonts w:hint="eastAsia" w:ascii="宋体" w:hAnsi="宋体"/>
          <w:sz w:val="24"/>
        </w:rPr>
        <w:t>、未</w:t>
      </w:r>
      <w:r>
        <w:rPr>
          <w:rFonts w:ascii="宋体" w:hAnsi="宋体"/>
          <w:sz w:val="24"/>
        </w:rPr>
        <w:t>组成或参加其他联合体</w:t>
      </w:r>
      <w:r>
        <w:rPr>
          <w:rFonts w:hint="eastAsia" w:ascii="宋体" w:hAnsi="宋体"/>
          <w:sz w:val="24"/>
        </w:rPr>
        <w:t>参加本项目的采购活动。）</w:t>
      </w:r>
    </w:p>
    <w:p>
      <w:pPr>
        <w:spacing w:line="600" w:lineRule="exact"/>
        <w:ind w:firstLine="482"/>
        <w:rPr>
          <w:rFonts w:ascii="宋体" w:hAnsi="宋体"/>
          <w:b/>
          <w:sz w:val="24"/>
        </w:rPr>
      </w:pPr>
    </w:p>
    <w:p>
      <w:pPr>
        <w:spacing w:line="320" w:lineRule="exact"/>
        <w:rPr>
          <w:rFonts w:ascii="宋体" w:hAnsi="宋体"/>
          <w:b/>
          <w:sz w:val="24"/>
        </w:rPr>
      </w:pPr>
    </w:p>
    <w:p>
      <w:pPr>
        <w:spacing w:line="320" w:lineRule="exact"/>
        <w:rPr>
          <w:rFonts w:ascii="宋体" w:hAnsi="宋体"/>
          <w:b/>
          <w:sz w:val="24"/>
        </w:rPr>
      </w:pPr>
    </w:p>
    <w:p>
      <w:pPr>
        <w:spacing w:line="320" w:lineRule="exact"/>
        <w:rPr>
          <w:rFonts w:ascii="宋体" w:hAnsi="宋体"/>
          <w:b/>
          <w:sz w:val="24"/>
        </w:rPr>
      </w:pPr>
    </w:p>
    <w:p>
      <w:pPr>
        <w:spacing w:line="320" w:lineRule="exact"/>
        <w:rPr>
          <w:rFonts w:ascii="宋体" w:hAnsi="宋体"/>
          <w:b/>
          <w:sz w:val="24"/>
        </w:rPr>
      </w:pPr>
      <w:r>
        <w:rPr>
          <w:rFonts w:hint="eastAsia" w:ascii="宋体" w:hAnsi="宋体"/>
          <w:b/>
          <w:sz w:val="24"/>
        </w:rPr>
        <w:t>投标人（公章）：</w:t>
      </w:r>
    </w:p>
    <w:p>
      <w:pPr>
        <w:spacing w:line="320" w:lineRule="exact"/>
        <w:rPr>
          <w:rFonts w:ascii="宋体" w:hAnsi="宋体"/>
          <w:b/>
          <w:sz w:val="24"/>
        </w:rPr>
      </w:pPr>
    </w:p>
    <w:p>
      <w:pPr>
        <w:spacing w:line="320" w:lineRule="exact"/>
        <w:rPr>
          <w:rFonts w:ascii="宋体" w:hAnsi="宋体"/>
          <w:sz w:val="24"/>
        </w:rPr>
      </w:pPr>
      <w:r>
        <w:rPr>
          <w:rFonts w:hint="eastAsia" w:ascii="宋体" w:hAnsi="宋体"/>
          <w:b/>
          <w:sz w:val="24"/>
        </w:rPr>
        <w:t xml:space="preserve">法定代表人（机构负责人）或授权代表（签字或盖章）： </w:t>
      </w:r>
    </w:p>
    <w:p>
      <w:pPr>
        <w:spacing w:line="320" w:lineRule="exact"/>
        <w:rPr>
          <w:rFonts w:ascii="宋体" w:hAnsi="宋体"/>
          <w:b/>
          <w:sz w:val="24"/>
        </w:rPr>
      </w:pPr>
    </w:p>
    <w:p>
      <w:pPr>
        <w:spacing w:line="480" w:lineRule="auto"/>
        <w:rPr>
          <w:rFonts w:ascii="宋体" w:hAnsi="宋体"/>
          <w:b/>
          <w:sz w:val="24"/>
        </w:rPr>
      </w:pPr>
      <w:r>
        <w:rPr>
          <w:rFonts w:hint="eastAsia" w:ascii="宋体" w:hAnsi="宋体"/>
          <w:b/>
          <w:sz w:val="24"/>
        </w:rPr>
        <w:t>日期：  　年　月　日</w:t>
      </w:r>
    </w:p>
    <w:p>
      <w:pPr>
        <w:spacing w:line="320" w:lineRule="exact"/>
        <w:rPr>
          <w:rFonts w:ascii="宋体" w:hAnsi="宋体"/>
          <w:b/>
          <w:sz w:val="24"/>
        </w:rPr>
      </w:pPr>
    </w:p>
    <w:p>
      <w:pPr>
        <w:pStyle w:val="38"/>
        <w:rPr>
          <w:rFonts w:ascii="宋体" w:hAnsi="宋体"/>
          <w:b/>
          <w:sz w:val="24"/>
        </w:rPr>
      </w:pPr>
    </w:p>
    <w:p>
      <w:pPr>
        <w:pStyle w:val="38"/>
        <w:rPr>
          <w:rFonts w:ascii="宋体" w:hAnsi="宋体"/>
          <w:b/>
          <w:sz w:val="24"/>
        </w:rPr>
      </w:pPr>
    </w:p>
    <w:p>
      <w:pPr>
        <w:keepNext/>
        <w:keepLines/>
        <w:spacing w:before="260" w:after="260" w:line="320" w:lineRule="exact"/>
        <w:outlineLvl w:val="1"/>
        <w:rPr>
          <w:rFonts w:ascii="宋体" w:hAnsi="宋体"/>
          <w:b/>
          <w:bCs/>
          <w:sz w:val="24"/>
          <w:szCs w:val="32"/>
        </w:rPr>
      </w:pPr>
      <w:bookmarkStart w:id="251" w:name="_Toc509308158"/>
      <w:bookmarkStart w:id="252" w:name="_Toc178668986"/>
      <w:bookmarkStart w:id="253" w:name="_Toc417633391"/>
      <w:bookmarkStart w:id="254" w:name="_Toc119922212"/>
      <w:bookmarkStart w:id="255" w:name="_Toc503877075"/>
      <w:r>
        <w:rPr>
          <w:rFonts w:hint="eastAsia" w:ascii="宋体" w:hAnsi="宋体"/>
          <w:b/>
          <w:bCs/>
          <w:sz w:val="24"/>
          <w:szCs w:val="32"/>
        </w:rPr>
        <w:t xml:space="preserve">附件3： </w:t>
      </w:r>
      <w:bookmarkEnd w:id="251"/>
      <w:bookmarkEnd w:id="252"/>
      <w:bookmarkEnd w:id="253"/>
      <w:bookmarkEnd w:id="254"/>
      <w:bookmarkEnd w:id="255"/>
      <w:r>
        <w:rPr>
          <w:rFonts w:hint="eastAsia" w:ascii="宋体" w:hAnsi="宋体"/>
          <w:b/>
          <w:bCs/>
          <w:sz w:val="24"/>
          <w:szCs w:val="32"/>
        </w:rPr>
        <w:t>法定代表人授权委托书</w:t>
      </w:r>
    </w:p>
    <w:p>
      <w:pPr>
        <w:overflowPunct w:val="0"/>
        <w:spacing w:line="320" w:lineRule="exact"/>
        <w:jc w:val="center"/>
        <w:rPr>
          <w:rFonts w:ascii="宋体" w:hAnsi="宋体"/>
          <w:b/>
          <w:bCs/>
          <w:sz w:val="36"/>
        </w:rPr>
      </w:pPr>
    </w:p>
    <w:p>
      <w:pPr>
        <w:widowControl/>
        <w:spacing w:line="400" w:lineRule="exact"/>
        <w:jc w:val="center"/>
        <w:rPr>
          <w:rFonts w:ascii="宋体" w:hAnsi="宋体"/>
          <w:b/>
          <w:sz w:val="36"/>
          <w:szCs w:val="36"/>
        </w:rPr>
      </w:pPr>
      <w:r>
        <w:rPr>
          <w:rFonts w:hint="eastAsia" w:ascii="宋体" w:hAnsi="宋体"/>
          <w:b/>
          <w:sz w:val="36"/>
          <w:szCs w:val="36"/>
        </w:rPr>
        <w:t>法定代表人授权委托书</w:t>
      </w:r>
    </w:p>
    <w:p>
      <w:pPr>
        <w:overflowPunct w:val="0"/>
        <w:spacing w:line="320" w:lineRule="exact"/>
        <w:jc w:val="center"/>
        <w:rPr>
          <w:rFonts w:ascii="宋体" w:hAnsi="宋体"/>
          <w:sz w:val="28"/>
        </w:rPr>
      </w:pPr>
    </w:p>
    <w:p>
      <w:pPr>
        <w:spacing w:line="320" w:lineRule="exact"/>
        <w:ind w:firstLine="480"/>
        <w:rPr>
          <w:rFonts w:ascii="宋体" w:hAnsi="宋体"/>
          <w:sz w:val="24"/>
        </w:rPr>
      </w:pPr>
    </w:p>
    <w:p>
      <w:pPr>
        <w:spacing w:line="400" w:lineRule="exact"/>
        <w:rPr>
          <w:rFonts w:ascii="宋体" w:hAnsi="宋体"/>
          <w:sz w:val="24"/>
        </w:rPr>
      </w:pPr>
      <w:r>
        <w:rPr>
          <w:rFonts w:hint="eastAsia" w:ascii="宋体" w:hAnsi="宋体"/>
          <w:sz w:val="24"/>
        </w:rPr>
        <w:t>致</w:t>
      </w:r>
      <w:r>
        <w:rPr>
          <w:rFonts w:hint="eastAsia" w:ascii="宋体" w:hAnsi="宋体"/>
          <w:sz w:val="24"/>
          <w:u w:val="single"/>
          <w:lang w:eastAsia="zh-CN"/>
        </w:rPr>
        <w:t>嘉兴市银建工程咨询评估有限公司</w:t>
      </w:r>
      <w:r>
        <w:rPr>
          <w:rFonts w:hint="eastAsia" w:ascii="宋体" w:hAnsi="宋体"/>
          <w:sz w:val="24"/>
        </w:rPr>
        <w:t>：</w:t>
      </w:r>
    </w:p>
    <w:p>
      <w:pPr>
        <w:spacing w:line="600" w:lineRule="exact"/>
        <w:ind w:firstLine="482"/>
        <w:rPr>
          <w:rFonts w:ascii="宋体" w:hAnsi="宋体"/>
          <w:sz w:val="24"/>
        </w:rPr>
      </w:pPr>
      <w:r>
        <w:rPr>
          <w:rFonts w:hint="eastAsia" w:ascii="宋体" w:hAnsi="宋体"/>
          <w:sz w:val="24"/>
        </w:rPr>
        <w:t>我</w:t>
      </w:r>
      <w:r>
        <w:rPr>
          <w:rFonts w:hint="eastAsia" w:ascii="宋体" w:hAnsi="宋体"/>
          <w:sz w:val="24"/>
          <w:u w:val="single"/>
        </w:rPr>
        <w:t>_____ __</w:t>
      </w:r>
      <w:r>
        <w:rPr>
          <w:rFonts w:hint="eastAsia" w:ascii="宋体" w:hAnsi="宋体"/>
          <w:sz w:val="24"/>
        </w:rPr>
        <w:t>（姓名）系_</w:t>
      </w:r>
      <w:r>
        <w:rPr>
          <w:rFonts w:hint="eastAsia" w:ascii="宋体" w:hAnsi="宋体"/>
          <w:sz w:val="24"/>
          <w:u w:val="single"/>
        </w:rPr>
        <w:t>_____      _       __</w:t>
      </w:r>
      <w:r>
        <w:rPr>
          <w:rFonts w:hint="eastAsia" w:ascii="宋体" w:hAnsi="宋体"/>
          <w:sz w:val="24"/>
        </w:rPr>
        <w:t>（投标人名称）的法定代表人（机构负责人），现授权委托本单位在职职工（姓名）以我方的名义参加</w:t>
      </w:r>
    </w:p>
    <w:p>
      <w:pPr>
        <w:spacing w:line="600" w:lineRule="exact"/>
        <w:rPr>
          <w:rFonts w:ascii="宋体" w:hAnsi="宋体"/>
          <w:sz w:val="24"/>
          <w:u w:val="single"/>
        </w:rPr>
      </w:pPr>
      <w:r>
        <w:rPr>
          <w:rFonts w:hint="eastAsia" w:ascii="宋体" w:hAnsi="宋体"/>
          <w:sz w:val="24"/>
        </w:rPr>
        <w:t>(项目名称)的投标活动，并代表我方全权办理针对上述项目的投标、开标、评标、签约等具体事务和签署相关文件。</w:t>
      </w:r>
    </w:p>
    <w:p>
      <w:pPr>
        <w:spacing w:line="600" w:lineRule="exact"/>
        <w:ind w:firstLine="482"/>
        <w:rPr>
          <w:rFonts w:ascii="宋体" w:hAnsi="宋体"/>
          <w:sz w:val="24"/>
        </w:rPr>
      </w:pPr>
      <w:r>
        <w:rPr>
          <w:rFonts w:hint="eastAsia" w:ascii="宋体" w:hAnsi="宋体"/>
          <w:sz w:val="24"/>
        </w:rPr>
        <w:t>我方对被授权人的签名事项负全部责任。</w:t>
      </w:r>
    </w:p>
    <w:p>
      <w:pPr>
        <w:spacing w:line="600" w:lineRule="exact"/>
        <w:ind w:firstLine="480" w:firstLineChars="200"/>
        <w:rPr>
          <w:rFonts w:ascii="宋体" w:hAnsi="宋体"/>
          <w:sz w:val="24"/>
        </w:rPr>
      </w:pPr>
      <w:r>
        <w:rPr>
          <w:rFonts w:hint="eastAsia" w:ascii="宋体" w:hAnsi="宋体"/>
          <w:sz w:val="24"/>
        </w:rPr>
        <w:t>在撤销授权的书面通知以前，本授权书一直有效。被授权人在授权书有效期内签署的所有文件不因授权的撤销而失效。</w:t>
      </w:r>
    </w:p>
    <w:p>
      <w:pPr>
        <w:spacing w:line="600" w:lineRule="exact"/>
        <w:ind w:firstLine="482"/>
        <w:rPr>
          <w:rFonts w:ascii="宋体" w:hAnsi="宋体"/>
          <w:sz w:val="24"/>
        </w:rPr>
      </w:pPr>
      <w:r>
        <w:rPr>
          <w:rFonts w:hint="eastAsia" w:ascii="宋体" w:hAnsi="宋体"/>
          <w:sz w:val="24"/>
        </w:rPr>
        <w:t>被授权人无转委托权，特此委托。</w:t>
      </w:r>
    </w:p>
    <w:p>
      <w:pPr>
        <w:spacing w:line="400" w:lineRule="exact"/>
        <w:ind w:firstLine="480"/>
        <w:rPr>
          <w:rFonts w:ascii="宋体" w:hAnsi="宋体"/>
          <w:sz w:val="24"/>
        </w:rPr>
      </w:pPr>
    </w:p>
    <w:p>
      <w:pPr>
        <w:spacing w:line="600" w:lineRule="exact"/>
        <w:ind w:firstLine="482"/>
        <w:rPr>
          <w:rFonts w:ascii="宋体" w:hAnsi="宋体"/>
          <w:sz w:val="24"/>
        </w:rPr>
      </w:pPr>
      <w:r>
        <w:rPr>
          <w:rFonts w:hint="eastAsia" w:ascii="宋体" w:hAnsi="宋体"/>
          <w:sz w:val="24"/>
        </w:rPr>
        <w:t xml:space="preserve">被授权人（签字或盖章）：            法定代表人（机构负责人）(签字或盖章)：    </w:t>
      </w:r>
    </w:p>
    <w:p>
      <w:pPr>
        <w:spacing w:line="600" w:lineRule="exact"/>
        <w:ind w:firstLine="482"/>
        <w:rPr>
          <w:rFonts w:ascii="宋体" w:hAnsi="宋体"/>
          <w:sz w:val="24"/>
        </w:rPr>
      </w:pPr>
      <w:r>
        <w:rPr>
          <w:rFonts w:hint="eastAsia" w:ascii="宋体" w:hAnsi="宋体"/>
          <w:sz w:val="24"/>
        </w:rPr>
        <w:t xml:space="preserve">职务：                                    职务：           </w:t>
      </w:r>
    </w:p>
    <w:p>
      <w:pPr>
        <w:spacing w:line="600" w:lineRule="exact"/>
        <w:ind w:firstLine="482"/>
        <w:rPr>
          <w:rFonts w:ascii="宋体" w:hAnsi="宋体"/>
          <w:sz w:val="24"/>
        </w:rPr>
      </w:pPr>
      <w:r>
        <w:rPr>
          <w:rFonts w:hint="eastAsia" w:ascii="宋体" w:hAnsi="宋体"/>
          <w:sz w:val="24"/>
        </w:rPr>
        <w:t xml:space="preserve">被授权人身份证号码：                                            </w:t>
      </w:r>
    </w:p>
    <w:p>
      <w:pPr>
        <w:spacing w:line="600" w:lineRule="exact"/>
        <w:ind w:firstLine="480"/>
        <w:rPr>
          <w:rFonts w:ascii="宋体" w:hAnsi="宋体"/>
          <w:sz w:val="24"/>
        </w:rPr>
      </w:pPr>
      <w:r>
        <w:rPr>
          <w:rFonts w:hint="eastAsia" w:ascii="宋体" w:hAnsi="宋体"/>
          <w:sz w:val="24"/>
        </w:rPr>
        <w:t>手机：</w:t>
      </w:r>
    </w:p>
    <w:p>
      <w:pPr>
        <w:spacing w:line="320" w:lineRule="exact"/>
        <w:ind w:firstLine="480"/>
        <w:rPr>
          <w:rFonts w:ascii="宋体" w:hAnsi="宋体"/>
          <w:sz w:val="24"/>
        </w:rPr>
      </w:pPr>
    </w:p>
    <w:p>
      <w:pPr>
        <w:spacing w:line="320" w:lineRule="exact"/>
        <w:ind w:firstLine="480"/>
        <w:rPr>
          <w:rFonts w:ascii="宋体" w:hAnsi="宋体"/>
          <w:sz w:val="24"/>
        </w:rPr>
      </w:pPr>
    </w:p>
    <w:p>
      <w:pPr>
        <w:spacing w:line="320" w:lineRule="exact"/>
        <w:ind w:firstLine="480"/>
        <w:rPr>
          <w:rFonts w:ascii="宋体" w:hAnsi="宋体"/>
          <w:sz w:val="24"/>
        </w:rPr>
      </w:pPr>
    </w:p>
    <w:p>
      <w:pPr>
        <w:spacing w:line="320" w:lineRule="exact"/>
        <w:rPr>
          <w:rFonts w:ascii="宋体" w:hAnsi="宋体"/>
          <w:b/>
          <w:bCs/>
          <w:sz w:val="24"/>
        </w:rPr>
      </w:pPr>
      <w:r>
        <w:rPr>
          <w:rFonts w:hint="eastAsia" w:ascii="宋体" w:hAnsi="宋体"/>
          <w:b/>
          <w:bCs/>
          <w:sz w:val="24"/>
        </w:rPr>
        <w:t>投标人（公章）：</w:t>
      </w:r>
    </w:p>
    <w:p>
      <w:pPr>
        <w:spacing w:line="320" w:lineRule="exact"/>
        <w:ind w:firstLine="480"/>
        <w:rPr>
          <w:rFonts w:ascii="宋体" w:hAnsi="宋体"/>
          <w:b/>
          <w:bCs/>
          <w:sz w:val="24"/>
        </w:rPr>
      </w:pPr>
    </w:p>
    <w:p>
      <w:pPr>
        <w:spacing w:line="320" w:lineRule="exact"/>
        <w:rPr>
          <w:rFonts w:ascii="宋体" w:hAnsi="宋体"/>
          <w:b/>
          <w:bCs/>
          <w:sz w:val="24"/>
        </w:rPr>
      </w:pPr>
    </w:p>
    <w:p>
      <w:pPr>
        <w:spacing w:line="320" w:lineRule="exact"/>
        <w:rPr>
          <w:rFonts w:ascii="宋体" w:hAnsi="宋体"/>
          <w:b/>
          <w:bCs/>
          <w:sz w:val="24"/>
        </w:rPr>
      </w:pPr>
    </w:p>
    <w:p>
      <w:pPr>
        <w:spacing w:line="320" w:lineRule="exact"/>
        <w:rPr>
          <w:rFonts w:ascii="宋体" w:hAnsi="宋体"/>
          <w:b/>
          <w:bCs/>
          <w:sz w:val="24"/>
        </w:rPr>
      </w:pPr>
      <w:r>
        <w:rPr>
          <w:rFonts w:hint="eastAsia" w:ascii="宋体" w:hAnsi="宋体"/>
          <w:b/>
          <w:bCs/>
          <w:sz w:val="24"/>
        </w:rPr>
        <w:t>日期：    年    月    日</w:t>
      </w:r>
    </w:p>
    <w:p>
      <w:pPr>
        <w:keepNext/>
        <w:keepLines/>
        <w:spacing w:before="260" w:after="260" w:line="320" w:lineRule="exact"/>
        <w:outlineLvl w:val="1"/>
        <w:rPr>
          <w:rFonts w:ascii="宋体" w:hAnsi="宋体"/>
          <w:b/>
          <w:bCs/>
          <w:sz w:val="24"/>
        </w:rPr>
      </w:pPr>
      <w:r>
        <w:rPr>
          <w:rFonts w:ascii="宋体" w:hAnsi="宋体"/>
          <w:bCs/>
          <w:sz w:val="24"/>
          <w:szCs w:val="32"/>
        </w:rPr>
        <w:br w:type="page"/>
      </w:r>
      <w:bookmarkStart w:id="256" w:name="_Toc503877077"/>
      <w:bookmarkStart w:id="257" w:name="_Toc509308159"/>
      <w:bookmarkStart w:id="258" w:name="_Toc119922213"/>
      <w:r>
        <w:rPr>
          <w:rFonts w:hint="eastAsia" w:ascii="宋体" w:hAnsi="宋体"/>
          <w:b/>
          <w:bCs/>
          <w:sz w:val="24"/>
        </w:rPr>
        <w:t>附件4： 技术商务文件封面格式及目录</w:t>
      </w:r>
      <w:bookmarkEnd w:id="256"/>
      <w:bookmarkEnd w:id="257"/>
      <w:bookmarkEnd w:id="258"/>
    </w:p>
    <w:p>
      <w:pPr>
        <w:snapToGrid w:val="0"/>
        <w:spacing w:beforeLines="50" w:afterLines="50" w:line="400" w:lineRule="atLeast"/>
        <w:jc w:val="right"/>
        <w:rPr>
          <w:rFonts w:ascii="宋体" w:hAnsi="宋体"/>
          <w:bCs/>
          <w:sz w:val="30"/>
          <w:szCs w:val="30"/>
        </w:rPr>
      </w:pPr>
      <w:r>
        <w:rPr>
          <w:rFonts w:hint="eastAsia" w:ascii="宋体" w:hAnsi="宋体"/>
          <w:bCs/>
          <w:sz w:val="30"/>
          <w:szCs w:val="30"/>
        </w:rPr>
        <w:t>正本或副本</w:t>
      </w:r>
    </w:p>
    <w:p>
      <w:pPr>
        <w:snapToGrid w:val="0"/>
        <w:spacing w:beforeLines="50" w:after="50"/>
        <w:rPr>
          <w:rFonts w:ascii="宋体" w:hAnsi="宋体"/>
          <w:bCs/>
          <w:sz w:val="30"/>
          <w:szCs w:val="30"/>
        </w:rPr>
      </w:pPr>
    </w:p>
    <w:p>
      <w:pPr>
        <w:ind w:right="-110"/>
        <w:jc w:val="center"/>
        <w:rPr>
          <w:rFonts w:ascii="宋体" w:hAnsi="宋体"/>
          <w:spacing w:val="40"/>
          <w:sz w:val="32"/>
          <w:szCs w:val="32"/>
        </w:rPr>
      </w:pPr>
      <w:r>
        <w:rPr>
          <w:rFonts w:hint="eastAsia" w:ascii="宋体" w:hAnsi="宋体"/>
          <w:spacing w:val="40"/>
          <w:sz w:val="36"/>
          <w:szCs w:val="36"/>
        </w:rPr>
        <w:t>项目名称：×××</w:t>
      </w:r>
    </w:p>
    <w:p>
      <w:pPr>
        <w:ind w:right="-110"/>
        <w:jc w:val="center"/>
        <w:rPr>
          <w:rFonts w:ascii="宋体" w:hAnsi="宋体"/>
          <w:spacing w:val="40"/>
          <w:sz w:val="36"/>
          <w:szCs w:val="36"/>
        </w:rPr>
      </w:pPr>
      <w:r>
        <w:rPr>
          <w:rFonts w:hint="eastAsia" w:ascii="宋体" w:hAnsi="宋体"/>
          <w:spacing w:val="40"/>
          <w:sz w:val="32"/>
          <w:szCs w:val="32"/>
          <w:lang w:eastAsia="zh-CN"/>
        </w:rPr>
        <w:t>（</w:t>
      </w:r>
      <w:r>
        <w:rPr>
          <w:rFonts w:hint="eastAsia" w:ascii="宋体" w:hAnsi="宋体"/>
          <w:spacing w:val="40"/>
          <w:sz w:val="32"/>
          <w:szCs w:val="32"/>
          <w:lang w:val="en-US" w:eastAsia="zh-CN"/>
        </w:rPr>
        <w:t>标项一或标项二</w:t>
      </w:r>
      <w:r>
        <w:rPr>
          <w:rFonts w:hint="eastAsia" w:ascii="宋体" w:hAnsi="宋体"/>
          <w:spacing w:val="40"/>
          <w:sz w:val="32"/>
          <w:szCs w:val="32"/>
          <w:lang w:eastAsia="zh-CN"/>
        </w:rPr>
        <w:t>）</w:t>
      </w:r>
    </w:p>
    <w:p>
      <w:pPr>
        <w:spacing w:after="100" w:afterAutospacing="1" w:line="800" w:lineRule="exact"/>
        <w:ind w:right="-108"/>
        <w:jc w:val="center"/>
        <w:rPr>
          <w:rFonts w:ascii="宋体" w:hAnsi="宋体"/>
          <w:b/>
          <w:spacing w:val="40"/>
          <w:sz w:val="84"/>
          <w:szCs w:val="84"/>
        </w:rPr>
      </w:pPr>
    </w:p>
    <w:p>
      <w:pPr>
        <w:spacing w:after="100" w:afterAutospacing="1" w:line="700" w:lineRule="exact"/>
        <w:ind w:right="-108"/>
        <w:jc w:val="center"/>
        <w:rPr>
          <w:rFonts w:ascii="宋体" w:hAnsi="宋体"/>
          <w:b/>
          <w:spacing w:val="40"/>
          <w:sz w:val="72"/>
          <w:szCs w:val="72"/>
        </w:rPr>
      </w:pPr>
      <w:r>
        <w:rPr>
          <w:rFonts w:hint="eastAsia" w:ascii="宋体" w:hAnsi="宋体"/>
          <w:b/>
          <w:spacing w:val="40"/>
          <w:sz w:val="72"/>
          <w:szCs w:val="72"/>
        </w:rPr>
        <w:t>技</w:t>
      </w:r>
    </w:p>
    <w:p>
      <w:pPr>
        <w:spacing w:after="100" w:afterAutospacing="1" w:line="700" w:lineRule="exact"/>
        <w:ind w:right="-108"/>
        <w:jc w:val="center"/>
        <w:rPr>
          <w:rFonts w:ascii="宋体" w:hAnsi="宋体"/>
          <w:b/>
          <w:spacing w:val="40"/>
          <w:sz w:val="72"/>
          <w:szCs w:val="72"/>
        </w:rPr>
      </w:pPr>
      <w:r>
        <w:rPr>
          <w:rFonts w:hint="eastAsia" w:ascii="宋体" w:hAnsi="宋体"/>
          <w:b/>
          <w:spacing w:val="40"/>
          <w:sz w:val="72"/>
          <w:szCs w:val="72"/>
        </w:rPr>
        <w:t>术</w:t>
      </w:r>
    </w:p>
    <w:p>
      <w:pPr>
        <w:spacing w:after="100" w:afterAutospacing="1" w:line="700" w:lineRule="exact"/>
        <w:ind w:right="-108"/>
        <w:jc w:val="center"/>
        <w:rPr>
          <w:rFonts w:ascii="宋体" w:hAnsi="宋体"/>
          <w:b/>
          <w:spacing w:val="40"/>
          <w:sz w:val="72"/>
          <w:szCs w:val="72"/>
        </w:rPr>
      </w:pPr>
      <w:r>
        <w:rPr>
          <w:rFonts w:hint="eastAsia" w:ascii="宋体" w:hAnsi="宋体"/>
          <w:b/>
          <w:spacing w:val="40"/>
          <w:sz w:val="72"/>
          <w:szCs w:val="72"/>
        </w:rPr>
        <w:t>商</w:t>
      </w:r>
    </w:p>
    <w:p>
      <w:pPr>
        <w:spacing w:after="100" w:afterAutospacing="1" w:line="700" w:lineRule="exact"/>
        <w:ind w:right="-108"/>
        <w:jc w:val="center"/>
        <w:rPr>
          <w:rFonts w:ascii="宋体" w:hAnsi="宋体"/>
          <w:b/>
          <w:spacing w:val="40"/>
          <w:sz w:val="72"/>
          <w:szCs w:val="72"/>
        </w:rPr>
      </w:pPr>
      <w:r>
        <w:rPr>
          <w:rFonts w:hint="eastAsia" w:ascii="宋体" w:hAnsi="宋体"/>
          <w:b/>
          <w:spacing w:val="40"/>
          <w:sz w:val="72"/>
          <w:szCs w:val="72"/>
        </w:rPr>
        <w:t>务</w:t>
      </w:r>
    </w:p>
    <w:p>
      <w:pPr>
        <w:spacing w:after="100" w:afterAutospacing="1" w:line="700" w:lineRule="exact"/>
        <w:ind w:right="-108"/>
        <w:jc w:val="center"/>
        <w:rPr>
          <w:rFonts w:ascii="宋体" w:hAnsi="宋体"/>
          <w:b/>
          <w:spacing w:val="40"/>
          <w:sz w:val="72"/>
          <w:szCs w:val="72"/>
        </w:rPr>
      </w:pPr>
      <w:r>
        <w:rPr>
          <w:rFonts w:hint="eastAsia" w:ascii="宋体" w:hAnsi="宋体"/>
          <w:b/>
          <w:spacing w:val="40"/>
          <w:sz w:val="72"/>
          <w:szCs w:val="72"/>
        </w:rPr>
        <w:t>文</w:t>
      </w:r>
    </w:p>
    <w:p>
      <w:pPr>
        <w:spacing w:after="100" w:afterAutospacing="1" w:line="700" w:lineRule="exact"/>
        <w:ind w:right="-108"/>
        <w:jc w:val="center"/>
        <w:rPr>
          <w:rFonts w:ascii="宋体" w:hAnsi="宋体"/>
          <w:b/>
          <w:spacing w:val="40"/>
          <w:sz w:val="72"/>
          <w:szCs w:val="72"/>
        </w:rPr>
      </w:pPr>
      <w:r>
        <w:rPr>
          <w:rFonts w:hint="eastAsia" w:ascii="宋体" w:hAnsi="宋体"/>
          <w:b/>
          <w:spacing w:val="40"/>
          <w:sz w:val="72"/>
          <w:szCs w:val="72"/>
        </w:rPr>
        <w:t>件</w:t>
      </w:r>
    </w:p>
    <w:p>
      <w:pPr>
        <w:spacing w:line="600" w:lineRule="exact"/>
        <w:ind w:right="532" w:firstLine="720" w:firstLineChars="200"/>
        <w:rPr>
          <w:rFonts w:ascii="宋体" w:hAnsi="宋体"/>
          <w:sz w:val="36"/>
          <w:szCs w:val="36"/>
        </w:rPr>
      </w:pPr>
    </w:p>
    <w:p>
      <w:pPr>
        <w:spacing w:line="600" w:lineRule="exact"/>
        <w:ind w:right="532" w:firstLine="720" w:firstLineChars="200"/>
        <w:rPr>
          <w:rFonts w:ascii="宋体" w:hAnsi="宋体"/>
          <w:sz w:val="36"/>
          <w:szCs w:val="36"/>
        </w:rPr>
      </w:pPr>
    </w:p>
    <w:p>
      <w:pPr>
        <w:spacing w:line="600" w:lineRule="exact"/>
        <w:ind w:right="532" w:firstLine="640" w:firstLineChars="200"/>
        <w:rPr>
          <w:rFonts w:ascii="宋体" w:hAnsi="宋体"/>
          <w:sz w:val="32"/>
          <w:szCs w:val="32"/>
        </w:rPr>
      </w:pPr>
      <w:r>
        <w:rPr>
          <w:rFonts w:hint="eastAsia" w:ascii="宋体" w:hAnsi="宋体"/>
          <w:sz w:val="32"/>
          <w:szCs w:val="32"/>
        </w:rPr>
        <w:t>投标人全称（公章）：</w:t>
      </w:r>
    </w:p>
    <w:p>
      <w:pPr>
        <w:spacing w:line="600" w:lineRule="exact"/>
        <w:ind w:right="532" w:firstLine="640" w:firstLineChars="200"/>
        <w:rPr>
          <w:rFonts w:ascii="宋体" w:hAnsi="宋体"/>
          <w:sz w:val="32"/>
          <w:szCs w:val="32"/>
        </w:rPr>
      </w:pPr>
      <w:r>
        <w:rPr>
          <w:rFonts w:hint="eastAsia" w:ascii="宋体" w:hAnsi="宋体"/>
          <w:sz w:val="32"/>
          <w:szCs w:val="32"/>
        </w:rPr>
        <w:t>地    址：</w:t>
      </w:r>
    </w:p>
    <w:p>
      <w:pPr>
        <w:spacing w:line="600" w:lineRule="exact"/>
        <w:ind w:right="532" w:firstLine="640" w:firstLineChars="200"/>
        <w:rPr>
          <w:rFonts w:ascii="宋体" w:hAnsi="宋体"/>
          <w:sz w:val="32"/>
          <w:szCs w:val="32"/>
        </w:rPr>
      </w:pPr>
      <w:r>
        <w:rPr>
          <w:rFonts w:hint="eastAsia" w:ascii="宋体" w:hAnsi="宋体"/>
          <w:sz w:val="32"/>
          <w:szCs w:val="32"/>
        </w:rPr>
        <w:t>时    间：</w:t>
      </w:r>
    </w:p>
    <w:p>
      <w:pPr>
        <w:spacing w:line="600" w:lineRule="exact"/>
        <w:ind w:right="532" w:firstLine="720" w:firstLineChars="200"/>
        <w:rPr>
          <w:rFonts w:ascii="宋体" w:hAnsi="宋体"/>
          <w:sz w:val="36"/>
          <w:szCs w:val="36"/>
        </w:rPr>
      </w:pPr>
    </w:p>
    <w:p>
      <w:pPr>
        <w:spacing w:line="600" w:lineRule="exact"/>
        <w:ind w:right="532"/>
        <w:rPr>
          <w:rFonts w:ascii="宋体" w:hAnsi="宋体"/>
          <w:sz w:val="36"/>
          <w:szCs w:val="36"/>
        </w:rPr>
      </w:pPr>
    </w:p>
    <w:p>
      <w:pPr>
        <w:snapToGrid w:val="0"/>
        <w:spacing w:before="50" w:after="50"/>
        <w:jc w:val="center"/>
        <w:rPr>
          <w:rFonts w:ascii="宋体" w:hAnsi="宋体"/>
          <w:b/>
          <w:bCs/>
          <w:sz w:val="36"/>
          <w:szCs w:val="36"/>
        </w:rPr>
      </w:pPr>
      <w:r>
        <w:rPr>
          <w:rFonts w:hint="eastAsia" w:ascii="宋体" w:hAnsi="宋体"/>
          <w:b/>
          <w:bCs/>
          <w:sz w:val="36"/>
          <w:szCs w:val="36"/>
        </w:rPr>
        <w:t>技术商务文件目录</w:t>
      </w:r>
    </w:p>
    <w:p>
      <w:pPr>
        <w:spacing w:line="400" w:lineRule="exact"/>
        <w:rPr>
          <w:rFonts w:ascii="宋体" w:hAnsi="宋体"/>
          <w:szCs w:val="21"/>
        </w:rPr>
      </w:pPr>
    </w:p>
    <w:p>
      <w:pPr>
        <w:spacing w:line="400" w:lineRule="exact"/>
        <w:ind w:firstLine="420" w:firstLineChars="200"/>
        <w:rPr>
          <w:rFonts w:ascii="宋体" w:hAnsi="宋体"/>
          <w:szCs w:val="21"/>
        </w:rPr>
      </w:pPr>
      <w:r>
        <w:rPr>
          <w:rFonts w:hint="eastAsia" w:ascii="宋体" w:hAnsi="宋体"/>
          <w:szCs w:val="21"/>
        </w:rPr>
        <w:t>1.投标人基本情况表（附件5）；</w:t>
      </w:r>
    </w:p>
    <w:p>
      <w:pPr>
        <w:spacing w:line="400" w:lineRule="exact"/>
        <w:ind w:firstLine="420" w:firstLineChars="200"/>
        <w:rPr>
          <w:rFonts w:ascii="宋体" w:hAnsi="宋体"/>
          <w:szCs w:val="21"/>
        </w:rPr>
      </w:pPr>
      <w:r>
        <w:rPr>
          <w:rFonts w:hint="eastAsia" w:ascii="宋体" w:hAnsi="宋体"/>
          <w:szCs w:val="21"/>
        </w:rPr>
        <w:t>2.本项目总体理解、实施方案、组织计划等；</w:t>
      </w:r>
    </w:p>
    <w:p>
      <w:pPr>
        <w:spacing w:line="400" w:lineRule="exact"/>
        <w:ind w:firstLine="420" w:firstLineChars="200"/>
        <w:rPr>
          <w:rFonts w:ascii="宋体" w:hAnsi="宋体"/>
          <w:szCs w:val="21"/>
        </w:rPr>
      </w:pPr>
      <w:r>
        <w:rPr>
          <w:rFonts w:hint="eastAsia" w:ascii="宋体" w:hAnsi="宋体"/>
          <w:szCs w:val="21"/>
        </w:rPr>
        <w:t>3.项目实施人员一览表（附件6）</w:t>
      </w:r>
    </w:p>
    <w:p>
      <w:pPr>
        <w:spacing w:line="400" w:lineRule="exact"/>
        <w:ind w:firstLine="420" w:firstLineChars="200"/>
        <w:rPr>
          <w:rFonts w:ascii="宋体" w:hAnsi="宋体"/>
          <w:szCs w:val="21"/>
        </w:rPr>
      </w:pPr>
      <w:r>
        <w:rPr>
          <w:rFonts w:hint="eastAsia" w:ascii="宋体" w:hAnsi="宋体"/>
          <w:szCs w:val="21"/>
        </w:rPr>
        <w:t>4.同类案例成功的业绩（附件7）；</w:t>
      </w:r>
    </w:p>
    <w:p>
      <w:pPr>
        <w:spacing w:line="400" w:lineRule="exact"/>
        <w:ind w:firstLine="420" w:firstLineChars="200"/>
        <w:rPr>
          <w:rFonts w:ascii="宋体" w:hAnsi="宋体"/>
          <w:szCs w:val="21"/>
        </w:rPr>
      </w:pPr>
      <w:r>
        <w:rPr>
          <w:rFonts w:hint="eastAsia" w:ascii="宋体" w:hAnsi="宋体"/>
          <w:szCs w:val="21"/>
        </w:rPr>
        <w:t>5.服务承诺（附件8）；</w:t>
      </w:r>
    </w:p>
    <w:p>
      <w:pPr>
        <w:spacing w:line="400" w:lineRule="exact"/>
        <w:ind w:firstLine="420" w:firstLineChars="200"/>
        <w:rPr>
          <w:rFonts w:ascii="宋体" w:hAnsi="宋体"/>
          <w:bCs/>
          <w:szCs w:val="21"/>
        </w:rPr>
      </w:pPr>
      <w:r>
        <w:rPr>
          <w:rFonts w:hint="eastAsia" w:ascii="宋体" w:hAnsi="宋体"/>
          <w:szCs w:val="21"/>
        </w:rPr>
        <w:t>6.招标文件需要的其他资料及投标人认为需要提供的其他内容。（参照评标办法）</w:t>
      </w:r>
    </w:p>
    <w:p>
      <w:pPr>
        <w:snapToGrid w:val="0"/>
        <w:spacing w:before="50" w:afterLines="50" w:line="460" w:lineRule="exact"/>
        <w:rPr>
          <w:rFonts w:ascii="宋体" w:hAnsi="宋体"/>
        </w:rPr>
      </w:pPr>
    </w:p>
    <w:p>
      <w:pPr>
        <w:spacing w:line="480" w:lineRule="auto"/>
        <w:rPr>
          <w:rFonts w:ascii="宋体" w:hAnsi="宋体"/>
          <w:b/>
          <w:sz w:val="24"/>
        </w:rPr>
        <w:sectPr>
          <w:pgSz w:w="11905" w:h="16838"/>
          <w:pgMar w:top="1417" w:right="1417" w:bottom="1417" w:left="1417" w:header="851" w:footer="850" w:gutter="0"/>
          <w:pgNumType w:fmt="decimal"/>
          <w:cols w:space="0" w:num="1"/>
          <w:rtlGutter w:val="0"/>
          <w:docGrid w:linePitch="312" w:charSpace="0"/>
        </w:sectPr>
      </w:pPr>
    </w:p>
    <w:p>
      <w:pPr>
        <w:keepNext/>
        <w:keepLines/>
        <w:spacing w:before="260" w:after="260" w:line="320" w:lineRule="exact"/>
        <w:outlineLvl w:val="1"/>
        <w:rPr>
          <w:rFonts w:ascii="宋体" w:hAnsi="宋体"/>
          <w:b/>
          <w:bCs/>
          <w:sz w:val="24"/>
          <w:szCs w:val="32"/>
        </w:rPr>
      </w:pPr>
      <w:bookmarkStart w:id="259" w:name="_Toc503877078"/>
      <w:bookmarkStart w:id="260" w:name="_Toc509308160"/>
      <w:bookmarkStart w:id="261" w:name="_Toc119922214"/>
      <w:bookmarkStart w:id="262" w:name="_Toc427154795"/>
      <w:r>
        <w:rPr>
          <w:rFonts w:hint="eastAsia" w:ascii="宋体" w:hAnsi="宋体"/>
          <w:b/>
          <w:bCs/>
          <w:sz w:val="24"/>
          <w:szCs w:val="32"/>
        </w:rPr>
        <w:t>附件5： 投标人基本情况表</w:t>
      </w:r>
      <w:bookmarkEnd w:id="259"/>
      <w:bookmarkEnd w:id="260"/>
      <w:bookmarkEnd w:id="261"/>
    </w:p>
    <w:p>
      <w:pPr>
        <w:widowControl/>
        <w:spacing w:line="400" w:lineRule="exact"/>
        <w:jc w:val="center"/>
        <w:rPr>
          <w:rFonts w:ascii="宋体" w:hAnsi="宋体"/>
          <w:b/>
          <w:sz w:val="36"/>
          <w:szCs w:val="36"/>
        </w:rPr>
      </w:pPr>
      <w:r>
        <w:rPr>
          <w:rFonts w:hint="eastAsia" w:ascii="宋体" w:hAnsi="宋体"/>
          <w:b/>
          <w:sz w:val="36"/>
          <w:szCs w:val="36"/>
        </w:rPr>
        <w:t>投标人基本情况表</w:t>
      </w:r>
    </w:p>
    <w:tbl>
      <w:tblPr>
        <w:tblStyle w:val="39"/>
        <w:tblW w:w="92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434"/>
        <w:gridCol w:w="1423"/>
        <w:gridCol w:w="1431"/>
        <w:gridCol w:w="1533"/>
        <w:gridCol w:w="308"/>
        <w:gridCol w:w="15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Cs w:val="21"/>
              </w:rPr>
            </w:pPr>
            <w:r>
              <w:rPr>
                <w:rFonts w:hint="eastAsia" w:ascii="宋体" w:hAnsi="宋体"/>
                <w:bCs/>
                <w:szCs w:val="21"/>
              </w:rPr>
              <w:t>投标人名称</w:t>
            </w:r>
          </w:p>
        </w:tc>
        <w:tc>
          <w:tcPr>
            <w:tcW w:w="7700"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320" w:lineRule="exact"/>
              <w:ind w:left="-38" w:leftChars="-51" w:right="-107" w:rightChars="-51" w:hanging="69" w:hangingChars="33"/>
              <w:jc w:val="center"/>
              <w:rPr>
                <w:rFonts w:ascii="宋体" w:hAnsi="宋体"/>
                <w:bCs/>
                <w:szCs w:val="21"/>
              </w:rPr>
            </w:pPr>
            <w:r>
              <w:rPr>
                <w:rFonts w:hint="eastAsia" w:ascii="宋体" w:hAnsi="宋体"/>
                <w:bCs/>
                <w:szCs w:val="21"/>
              </w:rPr>
              <w:t>法定代表人</w:t>
            </w:r>
          </w:p>
        </w:tc>
        <w:tc>
          <w:tcPr>
            <w:tcW w:w="14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Cs/>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20" w:lineRule="exact"/>
              <w:ind w:left="-38" w:leftChars="-51" w:right="-107" w:rightChars="-51" w:hanging="69" w:hangingChars="33"/>
              <w:jc w:val="center"/>
              <w:rPr>
                <w:rFonts w:ascii="宋体" w:hAnsi="宋体"/>
                <w:bCs/>
                <w:szCs w:val="21"/>
              </w:rPr>
            </w:pPr>
            <w:r>
              <w:rPr>
                <w:rFonts w:hint="eastAsia" w:ascii="宋体" w:hAnsi="宋体"/>
                <w:bCs/>
                <w:szCs w:val="21"/>
              </w:rPr>
              <w:t>授权代表人</w:t>
            </w:r>
          </w:p>
        </w:tc>
        <w:tc>
          <w:tcPr>
            <w:tcW w:w="14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Cs/>
                <w:szCs w:val="21"/>
              </w:rPr>
            </w:pPr>
          </w:p>
        </w:tc>
        <w:tc>
          <w:tcPr>
            <w:tcW w:w="153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Cs w:val="21"/>
              </w:rPr>
            </w:pPr>
            <w:r>
              <w:rPr>
                <w:rFonts w:hint="eastAsia" w:ascii="宋体" w:hAnsi="宋体"/>
                <w:bCs/>
                <w:szCs w:val="21"/>
              </w:rPr>
              <w:t>营业（经营）执照号码</w:t>
            </w:r>
          </w:p>
        </w:tc>
        <w:tc>
          <w:tcPr>
            <w:tcW w:w="187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Cs w:val="21"/>
              </w:rPr>
            </w:pPr>
            <w:r>
              <w:rPr>
                <w:rFonts w:hint="eastAsia" w:ascii="宋体" w:hAnsi="宋体"/>
                <w:bCs/>
                <w:szCs w:val="21"/>
              </w:rPr>
              <w:t>职工人数</w:t>
            </w:r>
          </w:p>
        </w:tc>
        <w:tc>
          <w:tcPr>
            <w:tcW w:w="14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Cs/>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Cs w:val="21"/>
              </w:rPr>
            </w:pPr>
            <w:r>
              <w:rPr>
                <w:rFonts w:hint="eastAsia" w:ascii="宋体" w:hAnsi="宋体"/>
                <w:bCs/>
                <w:szCs w:val="21"/>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pPr>
              <w:spacing w:line="240" w:lineRule="exact"/>
              <w:ind w:right="-89"/>
              <w:jc w:val="center"/>
              <w:rPr>
                <w:rFonts w:ascii="宋体" w:hAnsi="宋体"/>
                <w:bCs/>
                <w:szCs w:val="21"/>
              </w:rPr>
            </w:pPr>
          </w:p>
        </w:tc>
        <w:tc>
          <w:tcPr>
            <w:tcW w:w="1533" w:type="dxa"/>
            <w:tcBorders>
              <w:top w:val="single" w:color="auto" w:sz="4" w:space="0"/>
              <w:left w:val="single" w:color="auto" w:sz="4" w:space="0"/>
              <w:bottom w:val="single" w:color="auto" w:sz="4" w:space="0"/>
              <w:right w:val="single" w:color="auto" w:sz="4" w:space="0"/>
            </w:tcBorders>
            <w:vAlign w:val="center"/>
          </w:tcPr>
          <w:p>
            <w:pPr>
              <w:spacing w:line="320" w:lineRule="exact"/>
              <w:ind w:left="-38" w:leftChars="-51" w:hanging="69" w:hangingChars="33"/>
              <w:jc w:val="center"/>
              <w:rPr>
                <w:rFonts w:ascii="宋体" w:hAnsi="宋体"/>
                <w:bCs/>
                <w:szCs w:val="21"/>
              </w:rPr>
            </w:pPr>
            <w:r>
              <w:rPr>
                <w:rFonts w:hint="eastAsia" w:ascii="宋体" w:hAnsi="宋体"/>
                <w:bCs/>
                <w:szCs w:val="21"/>
              </w:rPr>
              <w:t>注册资金</w:t>
            </w:r>
          </w:p>
        </w:tc>
        <w:tc>
          <w:tcPr>
            <w:tcW w:w="187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bCs/>
                <w:szCs w:val="21"/>
              </w:rPr>
            </w:pPr>
            <w:r>
              <w:rPr>
                <w:rFonts w:hint="eastAsia" w:ascii="宋体" w:hAnsi="宋体"/>
                <w:bCs/>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Cs w:val="21"/>
              </w:rPr>
            </w:pPr>
            <w:r>
              <w:rPr>
                <w:rFonts w:hint="eastAsia" w:ascii="宋体" w:hAnsi="宋体"/>
                <w:bCs/>
                <w:szCs w:val="21"/>
              </w:rPr>
              <w:t>地   址</w:t>
            </w:r>
          </w:p>
        </w:tc>
        <w:tc>
          <w:tcPr>
            <w:tcW w:w="7700"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所获资质</w:t>
            </w:r>
          </w:p>
          <w:p>
            <w:pPr>
              <w:spacing w:line="320" w:lineRule="exact"/>
              <w:jc w:val="center"/>
              <w:rPr>
                <w:rFonts w:ascii="宋体" w:hAnsi="宋体"/>
                <w:szCs w:val="21"/>
              </w:rPr>
            </w:pPr>
            <w:r>
              <w:rPr>
                <w:rFonts w:hint="eastAsia" w:ascii="宋体" w:hAnsi="宋体"/>
                <w:szCs w:val="21"/>
              </w:rPr>
              <w:t>或认证</w:t>
            </w:r>
          </w:p>
        </w:tc>
        <w:tc>
          <w:tcPr>
            <w:tcW w:w="1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Cs w:val="21"/>
              </w:rPr>
            </w:pPr>
            <w:r>
              <w:rPr>
                <w:rFonts w:hint="eastAsia" w:ascii="宋体" w:hAnsi="宋体"/>
                <w:bCs/>
                <w:szCs w:val="21"/>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bCs/>
                <w:szCs w:val="21"/>
              </w:rPr>
            </w:pPr>
            <w:r>
              <w:rPr>
                <w:rFonts w:hint="eastAsia" w:ascii="宋体" w:hAnsi="宋体"/>
                <w:bCs/>
                <w:szCs w:val="21"/>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bCs/>
                <w:szCs w:val="21"/>
              </w:rPr>
            </w:pPr>
            <w:r>
              <w:rPr>
                <w:rFonts w:hint="eastAsia" w:ascii="宋体" w:hAnsi="宋体"/>
                <w:bCs/>
                <w:szCs w:val="21"/>
              </w:rPr>
              <w:t>颁发时间</w:t>
            </w:r>
          </w:p>
        </w:tc>
        <w:tc>
          <w:tcPr>
            <w:tcW w:w="157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bCs/>
                <w:szCs w:val="21"/>
              </w:rPr>
            </w:pPr>
            <w:r>
              <w:rPr>
                <w:rFonts w:hint="eastAsia" w:ascii="宋体" w:hAnsi="宋体"/>
                <w:bCs/>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pPr>
              <w:spacing w:line="240" w:lineRule="exact"/>
              <w:jc w:val="center"/>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pPr>
              <w:spacing w:line="240" w:lineRule="exact"/>
              <w:jc w:val="center"/>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pPr>
              <w:spacing w:line="240" w:lineRule="exact"/>
              <w:jc w:val="center"/>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pPr>
              <w:spacing w:line="240" w:lineRule="exact"/>
              <w:jc w:val="center"/>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bCs/>
                <w:szCs w:val="21"/>
              </w:rPr>
              <w:t>所获荣誉</w:t>
            </w:r>
          </w:p>
        </w:tc>
        <w:tc>
          <w:tcPr>
            <w:tcW w:w="1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Cs w:val="21"/>
              </w:rPr>
            </w:pPr>
            <w:r>
              <w:rPr>
                <w:rFonts w:hint="eastAsia" w:ascii="宋体" w:hAnsi="宋体"/>
                <w:bCs/>
                <w:szCs w:val="21"/>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bCs/>
                <w:szCs w:val="21"/>
              </w:rPr>
            </w:pPr>
            <w:r>
              <w:rPr>
                <w:rFonts w:hint="eastAsia" w:ascii="宋体" w:hAnsi="宋体"/>
                <w:bCs/>
                <w:szCs w:val="21"/>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bCs/>
                <w:szCs w:val="21"/>
              </w:rPr>
            </w:pPr>
            <w:r>
              <w:rPr>
                <w:rFonts w:hint="eastAsia" w:ascii="宋体" w:hAnsi="宋体"/>
                <w:bCs/>
                <w:szCs w:val="21"/>
              </w:rPr>
              <w:t>颁发时间</w:t>
            </w:r>
          </w:p>
        </w:tc>
        <w:tc>
          <w:tcPr>
            <w:tcW w:w="157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bCs/>
                <w:szCs w:val="21"/>
              </w:rPr>
            </w:pPr>
            <w:r>
              <w:rPr>
                <w:rFonts w:hint="eastAsia" w:ascii="宋体" w:hAnsi="宋体"/>
                <w:bCs/>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pPr>
              <w:spacing w:line="240" w:lineRule="exact"/>
              <w:jc w:val="center"/>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pPr>
              <w:spacing w:line="240" w:lineRule="exact"/>
              <w:jc w:val="center"/>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Cs w:val="21"/>
              </w:rPr>
            </w:pPr>
            <w:r>
              <w:rPr>
                <w:rFonts w:hint="eastAsia" w:ascii="宋体" w:hAnsi="宋体"/>
                <w:bCs/>
                <w:szCs w:val="21"/>
              </w:rPr>
              <w:t>经营范围</w:t>
            </w:r>
          </w:p>
        </w:tc>
        <w:tc>
          <w:tcPr>
            <w:tcW w:w="7700" w:type="dxa"/>
            <w:gridSpan w:val="6"/>
            <w:tcBorders>
              <w:top w:val="single" w:color="auto" w:sz="4" w:space="0"/>
              <w:left w:val="single" w:color="auto" w:sz="4" w:space="0"/>
              <w:bottom w:val="single" w:color="auto" w:sz="4" w:space="0"/>
              <w:right w:val="single" w:color="auto" w:sz="4" w:space="0"/>
            </w:tcBorders>
            <w:vAlign w:val="center"/>
          </w:tcPr>
          <w:p>
            <w:pPr>
              <w:tabs>
                <w:tab w:val="left" w:pos="1800"/>
                <w:tab w:val="left" w:pos="1980"/>
              </w:tabs>
              <w:spacing w:line="240" w:lineRule="exact"/>
              <w:rPr>
                <w:rFonts w:ascii="宋体" w:hAnsi="宋体"/>
                <w:spacing w:val="-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Cs w:val="21"/>
              </w:rPr>
            </w:pPr>
            <w:r>
              <w:rPr>
                <w:rFonts w:hint="eastAsia" w:ascii="宋体" w:hAnsi="宋体"/>
                <w:bCs/>
                <w:szCs w:val="21"/>
              </w:rPr>
              <w:t>其他</w:t>
            </w:r>
          </w:p>
        </w:tc>
        <w:tc>
          <w:tcPr>
            <w:tcW w:w="7700"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bCs/>
                <w:szCs w:val="21"/>
              </w:rPr>
            </w:pPr>
          </w:p>
        </w:tc>
      </w:tr>
    </w:tbl>
    <w:p>
      <w:pPr>
        <w:spacing w:line="320" w:lineRule="exact"/>
        <w:ind w:firstLine="90"/>
        <w:rPr>
          <w:rFonts w:ascii="宋体" w:hAnsi="宋体"/>
          <w:sz w:val="18"/>
          <w:szCs w:val="18"/>
        </w:rPr>
      </w:pPr>
      <w:r>
        <w:rPr>
          <w:rFonts w:hint="eastAsia" w:ascii="宋体" w:hAnsi="宋体"/>
          <w:sz w:val="18"/>
          <w:szCs w:val="18"/>
        </w:rPr>
        <w:t>注：1.表格内容不够,可另附页。</w:t>
      </w:r>
    </w:p>
    <w:p>
      <w:pPr>
        <w:spacing w:line="320" w:lineRule="exact"/>
        <w:ind w:firstLine="435"/>
        <w:rPr>
          <w:rFonts w:ascii="宋体" w:hAnsi="宋体"/>
          <w:sz w:val="18"/>
          <w:szCs w:val="18"/>
        </w:rPr>
      </w:pPr>
      <w:r>
        <w:rPr>
          <w:rFonts w:hint="eastAsia" w:ascii="宋体" w:hAnsi="宋体"/>
          <w:sz w:val="18"/>
          <w:szCs w:val="18"/>
        </w:rPr>
        <w:t>2.所获认证证书、荣誉资料的复印件附后。</w:t>
      </w:r>
    </w:p>
    <w:p>
      <w:pPr>
        <w:spacing w:line="320" w:lineRule="exact"/>
        <w:rPr>
          <w:rFonts w:ascii="宋体" w:hAnsi="宋体"/>
          <w:b/>
          <w:sz w:val="24"/>
        </w:rPr>
      </w:pPr>
    </w:p>
    <w:p>
      <w:pPr>
        <w:spacing w:line="320" w:lineRule="exact"/>
        <w:ind w:firstLine="480"/>
        <w:rPr>
          <w:rFonts w:ascii="宋体" w:hAnsi="宋体"/>
          <w:b/>
          <w:sz w:val="24"/>
        </w:rPr>
      </w:pPr>
      <w:r>
        <w:rPr>
          <w:rFonts w:hint="eastAsia" w:ascii="宋体" w:hAnsi="宋体"/>
          <w:b/>
          <w:sz w:val="24"/>
        </w:rPr>
        <w:t>投标人（公章）：</w:t>
      </w:r>
    </w:p>
    <w:p>
      <w:pPr>
        <w:spacing w:line="320" w:lineRule="exact"/>
        <w:ind w:firstLine="480"/>
        <w:rPr>
          <w:rFonts w:ascii="宋体" w:hAnsi="宋体"/>
          <w:b/>
          <w:sz w:val="24"/>
        </w:rPr>
      </w:pPr>
    </w:p>
    <w:p>
      <w:pPr>
        <w:spacing w:line="320" w:lineRule="exact"/>
        <w:ind w:firstLine="480"/>
        <w:rPr>
          <w:rFonts w:ascii="宋体" w:hAnsi="宋体"/>
          <w:b/>
          <w:sz w:val="24"/>
        </w:rPr>
      </w:pPr>
      <w:r>
        <w:rPr>
          <w:rFonts w:hint="eastAsia" w:ascii="宋体" w:hAnsi="宋体"/>
          <w:b/>
          <w:sz w:val="24"/>
        </w:rPr>
        <w:t xml:space="preserve">法定代表人（机构负责人）或授权代表（签字或盖章）： </w:t>
      </w:r>
    </w:p>
    <w:p>
      <w:pPr>
        <w:spacing w:line="320" w:lineRule="exact"/>
        <w:ind w:firstLine="480"/>
        <w:rPr>
          <w:rFonts w:ascii="宋体" w:hAnsi="宋体"/>
          <w:b/>
          <w:sz w:val="24"/>
        </w:rPr>
      </w:pPr>
    </w:p>
    <w:p>
      <w:pPr>
        <w:spacing w:line="320" w:lineRule="exact"/>
        <w:ind w:firstLine="480"/>
        <w:rPr>
          <w:rFonts w:ascii="宋体" w:hAnsi="宋体"/>
          <w:b/>
          <w:bCs/>
          <w:sz w:val="24"/>
          <w:szCs w:val="32"/>
        </w:rPr>
      </w:pPr>
      <w:r>
        <w:rPr>
          <w:rFonts w:hint="eastAsia" w:ascii="宋体" w:hAnsi="宋体"/>
          <w:b/>
          <w:sz w:val="24"/>
        </w:rPr>
        <w:t>日期：  　年　月　日</w:t>
      </w:r>
      <w:bookmarkEnd w:id="247"/>
      <w:bookmarkEnd w:id="262"/>
      <w:bookmarkStart w:id="263" w:name="_Toc417633393"/>
      <w:bookmarkStart w:id="264" w:name="_Toc170554915"/>
      <w:bookmarkStart w:id="265" w:name="_Toc509308161"/>
      <w:bookmarkStart w:id="266" w:name="_Toc189451713"/>
      <w:bookmarkStart w:id="267" w:name="_Toc503877081"/>
      <w:bookmarkStart w:id="268" w:name="_Toc256155373"/>
      <w:bookmarkStart w:id="269" w:name="_Toc119922215"/>
      <w:bookmarkStart w:id="270" w:name="_Toc180565966"/>
      <w:bookmarkStart w:id="271" w:name="_Toc202174499"/>
      <w:bookmarkStart w:id="272" w:name="_Toc156101628"/>
      <w:bookmarkStart w:id="273" w:name="_Toc178668988"/>
      <w:bookmarkStart w:id="274" w:name="_Toc146533811"/>
    </w:p>
    <w:p>
      <w:pPr>
        <w:keepNext/>
        <w:keepLines/>
        <w:spacing w:before="260" w:after="260" w:line="320" w:lineRule="exact"/>
        <w:outlineLvl w:val="1"/>
        <w:rPr>
          <w:rFonts w:ascii="宋体" w:hAnsi="宋体"/>
          <w:b/>
          <w:bCs/>
          <w:sz w:val="24"/>
          <w:szCs w:val="32"/>
        </w:rPr>
      </w:pPr>
      <w:r>
        <w:rPr>
          <w:rFonts w:hint="eastAsia" w:ascii="宋体" w:hAnsi="宋体"/>
          <w:b/>
          <w:bCs/>
          <w:sz w:val="24"/>
          <w:szCs w:val="32"/>
        </w:rPr>
        <w:t>附件6：项目实施人员一览表</w:t>
      </w:r>
      <w:bookmarkEnd w:id="263"/>
      <w:bookmarkEnd w:id="264"/>
      <w:bookmarkEnd w:id="265"/>
      <w:bookmarkEnd w:id="266"/>
      <w:bookmarkEnd w:id="267"/>
      <w:bookmarkEnd w:id="268"/>
      <w:bookmarkEnd w:id="269"/>
      <w:bookmarkEnd w:id="270"/>
      <w:bookmarkEnd w:id="271"/>
    </w:p>
    <w:tbl>
      <w:tblPr>
        <w:tblStyle w:val="39"/>
        <w:tblW w:w="934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3420"/>
        <w:gridCol w:w="2340"/>
        <w:gridCol w:w="28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Arial"/>
                <w:szCs w:val="21"/>
              </w:rPr>
            </w:pPr>
            <w:r>
              <w:rPr>
                <w:rFonts w:hint="eastAsia" w:ascii="宋体" w:hAnsi="宋体" w:cs="Arial"/>
                <w:szCs w:val="21"/>
              </w:rPr>
              <w:t>序号</w:t>
            </w: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Arial"/>
                <w:szCs w:val="21"/>
              </w:rPr>
            </w:pPr>
            <w:r>
              <w:rPr>
                <w:rFonts w:hint="eastAsia" w:ascii="宋体" w:hAnsi="宋体" w:cs="Arial"/>
                <w:szCs w:val="21"/>
              </w:rPr>
              <w:t>姓名</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Arial"/>
                <w:szCs w:val="21"/>
              </w:rPr>
            </w:pPr>
            <w:r>
              <w:rPr>
                <w:rFonts w:hint="eastAsia" w:ascii="宋体" w:hAnsi="宋体" w:cs="Arial"/>
                <w:szCs w:val="21"/>
              </w:rPr>
              <w:t>岗位</w:t>
            </w:r>
          </w:p>
        </w:tc>
        <w:tc>
          <w:tcPr>
            <w:tcW w:w="286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Arial"/>
                <w:szCs w:val="21"/>
              </w:rPr>
            </w:pPr>
            <w:r>
              <w:rPr>
                <w:rFonts w:hint="eastAsia" w:ascii="宋体" w:hAnsi="宋体" w:cs="Arial"/>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Arial"/>
                <w:szCs w:val="21"/>
              </w:rPr>
            </w:pPr>
            <w:r>
              <w:rPr>
                <w:rFonts w:hint="eastAsia" w:ascii="宋体" w:hAnsi="宋体" w:cs="Arial"/>
                <w:szCs w:val="21"/>
              </w:rPr>
              <w:t>1</w:t>
            </w: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Arial"/>
                <w:szCs w:val="21"/>
              </w:rPr>
            </w:pPr>
          </w:p>
        </w:tc>
        <w:tc>
          <w:tcPr>
            <w:tcW w:w="2865" w:type="dxa"/>
            <w:tcBorders>
              <w:top w:val="single" w:color="auto" w:sz="4" w:space="0"/>
              <w:left w:val="single" w:color="auto" w:sz="4" w:space="0"/>
            </w:tcBorders>
            <w:vAlign w:val="center"/>
          </w:tcPr>
          <w:p>
            <w:pPr>
              <w:adjustRightInd w:val="0"/>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Arial"/>
                <w:szCs w:val="21"/>
              </w:rPr>
            </w:pPr>
            <w:r>
              <w:rPr>
                <w:rFonts w:hint="eastAsia" w:ascii="宋体" w:hAnsi="宋体" w:cs="Arial"/>
                <w:szCs w:val="21"/>
              </w:rPr>
              <w:t>2</w:t>
            </w: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ascii="宋体" w:hAnsi="宋体" w:cs="Arial"/>
                <w:szCs w:val="21"/>
              </w:rPr>
            </w:pPr>
          </w:p>
        </w:tc>
        <w:tc>
          <w:tcPr>
            <w:tcW w:w="2865" w:type="dxa"/>
            <w:tcBorders>
              <w:left w:val="single" w:color="auto" w:sz="4" w:space="0"/>
            </w:tcBorders>
            <w:vAlign w:val="center"/>
          </w:tcPr>
          <w:p>
            <w:pPr>
              <w:adjustRightInd w:val="0"/>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Arial"/>
                <w:szCs w:val="21"/>
              </w:rPr>
            </w:pPr>
            <w:r>
              <w:rPr>
                <w:rFonts w:hint="eastAsia" w:ascii="宋体" w:hAnsi="宋体" w:cs="Arial"/>
                <w:szCs w:val="21"/>
              </w:rPr>
              <w:t>3</w:t>
            </w: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b/>
                <w:bCs/>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ascii="宋体" w:hAnsi="宋体" w:cs="Arial"/>
                <w:szCs w:val="21"/>
              </w:rPr>
            </w:pPr>
          </w:p>
        </w:tc>
        <w:tc>
          <w:tcPr>
            <w:tcW w:w="2865" w:type="dxa"/>
            <w:tcBorders>
              <w:left w:val="single" w:color="auto" w:sz="4" w:space="0"/>
            </w:tcBorders>
            <w:vAlign w:val="center"/>
          </w:tcPr>
          <w:p>
            <w:pPr>
              <w:adjustRightInd w:val="0"/>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Arial"/>
                <w:szCs w:val="21"/>
              </w:rPr>
            </w:pPr>
            <w:r>
              <w:rPr>
                <w:rFonts w:hint="eastAsia" w:ascii="宋体" w:hAnsi="宋体" w:cs="Arial"/>
                <w:szCs w:val="21"/>
              </w:rPr>
              <w:t>4</w:t>
            </w: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ascii="宋体" w:hAnsi="宋体" w:cs="Arial"/>
                <w:szCs w:val="21"/>
              </w:rPr>
            </w:pPr>
          </w:p>
        </w:tc>
        <w:tc>
          <w:tcPr>
            <w:tcW w:w="2865" w:type="dxa"/>
            <w:tcBorders>
              <w:left w:val="single" w:color="auto" w:sz="4" w:space="0"/>
            </w:tcBorders>
            <w:vAlign w:val="center"/>
          </w:tcPr>
          <w:p>
            <w:pPr>
              <w:adjustRightInd w:val="0"/>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Arial"/>
                <w:szCs w:val="21"/>
              </w:rPr>
            </w:pPr>
            <w:r>
              <w:rPr>
                <w:rFonts w:hint="eastAsia" w:ascii="宋体" w:hAnsi="宋体" w:cs="Arial"/>
                <w:szCs w:val="21"/>
              </w:rPr>
              <w:t>5</w:t>
            </w: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ascii="宋体" w:hAnsi="宋体" w:cs="Arial"/>
                <w:szCs w:val="21"/>
              </w:rPr>
            </w:pPr>
          </w:p>
        </w:tc>
        <w:tc>
          <w:tcPr>
            <w:tcW w:w="2865" w:type="dxa"/>
            <w:tcBorders>
              <w:left w:val="single" w:color="auto" w:sz="4" w:space="0"/>
            </w:tcBorders>
            <w:vAlign w:val="center"/>
          </w:tcPr>
          <w:p>
            <w:pPr>
              <w:adjustRightInd w:val="0"/>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Arial"/>
                <w:szCs w:val="21"/>
              </w:rPr>
            </w:pPr>
            <w:r>
              <w:rPr>
                <w:rFonts w:hint="eastAsia" w:ascii="宋体" w:hAnsi="宋体" w:cs="Arial"/>
                <w:szCs w:val="21"/>
              </w:rPr>
              <w:t>6</w:t>
            </w: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szCs w:val="21"/>
              </w:rPr>
            </w:pPr>
            <w:r>
              <w:rPr>
                <w:rFonts w:hint="eastAsia" w:ascii="宋体" w:hAnsi="宋体"/>
                <w:szCs w:val="21"/>
              </w:rPr>
              <w:t>……</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ascii="宋体" w:hAnsi="宋体" w:cs="Arial"/>
                <w:szCs w:val="21"/>
              </w:rPr>
            </w:pPr>
          </w:p>
        </w:tc>
        <w:tc>
          <w:tcPr>
            <w:tcW w:w="2865" w:type="dxa"/>
            <w:tcBorders>
              <w:left w:val="single" w:color="auto" w:sz="4" w:space="0"/>
            </w:tcBorders>
            <w:vAlign w:val="center"/>
          </w:tcPr>
          <w:p>
            <w:pPr>
              <w:adjustRightInd w:val="0"/>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Arial"/>
                <w:szCs w:val="21"/>
              </w:rPr>
            </w:pPr>
            <w:r>
              <w:rPr>
                <w:rFonts w:hint="eastAsia" w:ascii="宋体" w:hAnsi="宋体" w:cs="Arial"/>
                <w:szCs w:val="21"/>
              </w:rPr>
              <w:t>7</w:t>
            </w: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ascii="宋体" w:hAnsi="宋体" w:cs="Arial"/>
                <w:szCs w:val="21"/>
              </w:rPr>
            </w:pPr>
          </w:p>
        </w:tc>
        <w:tc>
          <w:tcPr>
            <w:tcW w:w="2865" w:type="dxa"/>
            <w:tcBorders>
              <w:left w:val="single" w:color="auto" w:sz="4" w:space="0"/>
            </w:tcBorders>
            <w:vAlign w:val="center"/>
          </w:tcPr>
          <w:p>
            <w:pPr>
              <w:adjustRightInd w:val="0"/>
              <w:spacing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Arial"/>
                <w:szCs w:val="21"/>
              </w:rPr>
            </w:pPr>
            <w:r>
              <w:rPr>
                <w:rFonts w:hint="eastAsia" w:ascii="宋体" w:hAnsi="宋体" w:cs="Arial"/>
                <w:szCs w:val="21"/>
              </w:rPr>
              <w:t>8</w:t>
            </w: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spacing w:val="-2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ascii="宋体" w:hAnsi="宋体" w:cs="Arial"/>
                <w:szCs w:val="21"/>
              </w:rPr>
            </w:pPr>
          </w:p>
        </w:tc>
        <w:tc>
          <w:tcPr>
            <w:tcW w:w="2865" w:type="dxa"/>
            <w:tcBorders>
              <w:left w:val="single" w:color="auto" w:sz="4" w:space="0"/>
            </w:tcBorders>
            <w:vAlign w:val="center"/>
          </w:tcPr>
          <w:p>
            <w:pPr>
              <w:adjustRightInd w:val="0"/>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Arial"/>
                <w:szCs w:val="21"/>
              </w:rPr>
            </w:pPr>
            <w:r>
              <w:rPr>
                <w:rFonts w:hint="eastAsia" w:ascii="宋体" w:hAnsi="宋体" w:cs="Arial"/>
                <w:szCs w:val="21"/>
              </w:rPr>
              <w:t>9</w:t>
            </w: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spacing w:val="-2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ascii="宋体" w:hAnsi="宋体" w:cs="Arial"/>
                <w:szCs w:val="21"/>
              </w:rPr>
            </w:pPr>
          </w:p>
        </w:tc>
        <w:tc>
          <w:tcPr>
            <w:tcW w:w="2865" w:type="dxa"/>
            <w:tcBorders>
              <w:left w:val="single" w:color="auto" w:sz="4" w:space="0"/>
            </w:tcBorders>
            <w:vAlign w:val="center"/>
          </w:tcPr>
          <w:p>
            <w:pPr>
              <w:adjustRightInd w:val="0"/>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Arial"/>
                <w:szCs w:val="21"/>
              </w:rPr>
            </w:pPr>
            <w:r>
              <w:rPr>
                <w:rFonts w:hint="eastAsia" w:ascii="宋体" w:hAnsi="宋体" w:cs="Arial"/>
                <w:szCs w:val="21"/>
              </w:rPr>
              <w:t>10</w:t>
            </w: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ascii="宋体" w:hAnsi="宋体" w:cs="Arial"/>
                <w:szCs w:val="21"/>
              </w:rPr>
            </w:pPr>
          </w:p>
        </w:tc>
        <w:tc>
          <w:tcPr>
            <w:tcW w:w="2865" w:type="dxa"/>
            <w:tcBorders>
              <w:left w:val="single" w:color="auto" w:sz="4" w:space="0"/>
            </w:tcBorders>
            <w:vAlign w:val="center"/>
          </w:tcPr>
          <w:p>
            <w:pPr>
              <w:adjustRightInd w:val="0"/>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Arial"/>
                <w:szCs w:val="21"/>
              </w:rPr>
            </w:pPr>
            <w:r>
              <w:rPr>
                <w:rFonts w:hint="eastAsia" w:ascii="宋体" w:hAnsi="宋体" w:cs="Arial"/>
                <w:szCs w:val="21"/>
              </w:rPr>
              <w:t>11</w:t>
            </w: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szCs w:val="21"/>
              </w:rPr>
            </w:pPr>
            <w:r>
              <w:rPr>
                <w:rFonts w:hint="eastAsia" w:ascii="宋体" w:hAnsi="宋体"/>
                <w:szCs w:val="21"/>
              </w:rPr>
              <w:t>……</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ascii="宋体" w:hAnsi="宋体" w:cs="Arial"/>
                <w:szCs w:val="21"/>
              </w:rPr>
            </w:pPr>
          </w:p>
        </w:tc>
        <w:tc>
          <w:tcPr>
            <w:tcW w:w="2865" w:type="dxa"/>
            <w:tcBorders>
              <w:left w:val="single" w:color="auto" w:sz="4" w:space="0"/>
            </w:tcBorders>
            <w:vAlign w:val="center"/>
          </w:tcPr>
          <w:p>
            <w:pPr>
              <w:adjustRightInd w:val="0"/>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140"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Arial"/>
                <w:b/>
                <w:szCs w:val="21"/>
              </w:rPr>
            </w:pPr>
            <w:r>
              <w:rPr>
                <w:rFonts w:hint="eastAsia" w:ascii="宋体" w:hAnsi="宋体" w:cs="Arial"/>
                <w:b/>
                <w:szCs w:val="21"/>
              </w:rPr>
              <w:t>合计总人数</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Arial"/>
                <w:szCs w:val="21"/>
              </w:rPr>
            </w:pPr>
          </w:p>
        </w:tc>
        <w:tc>
          <w:tcPr>
            <w:tcW w:w="286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Arial"/>
                <w:szCs w:val="21"/>
              </w:rPr>
            </w:pPr>
          </w:p>
        </w:tc>
      </w:tr>
    </w:tbl>
    <w:p>
      <w:pPr>
        <w:adjustRightInd w:val="0"/>
        <w:snapToGrid w:val="0"/>
        <w:spacing w:line="360" w:lineRule="auto"/>
        <w:ind w:left="900"/>
        <w:jc w:val="left"/>
        <w:rPr>
          <w:rFonts w:ascii="宋体" w:hAnsi="宋体"/>
          <w:szCs w:val="21"/>
        </w:rPr>
      </w:pPr>
    </w:p>
    <w:p>
      <w:pPr>
        <w:spacing w:line="320" w:lineRule="exact"/>
        <w:ind w:firstLine="90"/>
        <w:rPr>
          <w:rFonts w:ascii="宋体" w:hAnsi="宋体"/>
          <w:szCs w:val="21"/>
        </w:rPr>
      </w:pPr>
      <w:r>
        <w:rPr>
          <w:rFonts w:hint="eastAsia" w:ascii="宋体" w:hAnsi="宋体"/>
          <w:szCs w:val="21"/>
        </w:rPr>
        <w:t>注：1.表格内容不够,可另附页。</w:t>
      </w:r>
    </w:p>
    <w:p>
      <w:pPr>
        <w:spacing w:line="320" w:lineRule="exact"/>
        <w:ind w:firstLine="435"/>
        <w:rPr>
          <w:rFonts w:ascii="宋体" w:hAnsi="宋体"/>
          <w:szCs w:val="21"/>
        </w:rPr>
      </w:pPr>
      <w:r>
        <w:rPr>
          <w:rFonts w:hint="eastAsia" w:ascii="宋体" w:hAnsi="宋体"/>
          <w:szCs w:val="21"/>
        </w:rPr>
        <w:t xml:space="preserve"> 2.相关人员各类资质证书（如有）、认证证书、荣誉资料的复印件附后。</w:t>
      </w:r>
    </w:p>
    <w:p>
      <w:pPr>
        <w:spacing w:line="320" w:lineRule="exact"/>
        <w:rPr>
          <w:rFonts w:ascii="宋体" w:hAnsi="宋体"/>
          <w:b/>
          <w:sz w:val="24"/>
        </w:rPr>
      </w:pPr>
    </w:p>
    <w:p>
      <w:pPr>
        <w:spacing w:line="360" w:lineRule="auto"/>
        <w:rPr>
          <w:rFonts w:ascii="宋体" w:hAnsi="宋体"/>
          <w:szCs w:val="21"/>
        </w:rPr>
      </w:pPr>
    </w:p>
    <w:p>
      <w:pPr>
        <w:spacing w:line="360" w:lineRule="auto"/>
        <w:ind w:firstLine="500" w:firstLineChars="200"/>
        <w:rPr>
          <w:rFonts w:ascii="宋体" w:hAnsi="宋体"/>
          <w:spacing w:val="20"/>
          <w:szCs w:val="21"/>
          <w:u w:val="single"/>
        </w:rPr>
      </w:pPr>
    </w:p>
    <w:p>
      <w:pPr>
        <w:spacing w:line="480" w:lineRule="auto"/>
        <w:rPr>
          <w:rFonts w:ascii="宋体" w:hAnsi="宋体"/>
          <w:b/>
          <w:sz w:val="24"/>
        </w:rPr>
      </w:pPr>
      <w:r>
        <w:rPr>
          <w:rFonts w:hint="eastAsia" w:ascii="宋体" w:hAnsi="宋体"/>
          <w:b/>
          <w:sz w:val="24"/>
        </w:rPr>
        <w:t>投标人（公章）：</w:t>
      </w:r>
    </w:p>
    <w:p>
      <w:pPr>
        <w:spacing w:line="480" w:lineRule="auto"/>
        <w:rPr>
          <w:rFonts w:ascii="宋体" w:hAnsi="宋体"/>
          <w:b/>
          <w:sz w:val="24"/>
        </w:rPr>
      </w:pPr>
      <w:r>
        <w:rPr>
          <w:rFonts w:hint="eastAsia" w:ascii="宋体" w:hAnsi="宋体"/>
          <w:b/>
          <w:sz w:val="24"/>
        </w:rPr>
        <w:t>法定代表人（机构负责人）或授权代表（签字或盖章）：</w:t>
      </w:r>
    </w:p>
    <w:p>
      <w:pPr>
        <w:spacing w:line="480" w:lineRule="auto"/>
        <w:rPr>
          <w:rFonts w:ascii="宋体" w:hAnsi="宋体"/>
          <w:b/>
          <w:sz w:val="24"/>
        </w:rPr>
      </w:pPr>
      <w:r>
        <w:rPr>
          <w:rFonts w:hint="eastAsia" w:ascii="宋体" w:hAnsi="宋体"/>
          <w:b/>
          <w:sz w:val="24"/>
        </w:rPr>
        <w:t>日期：  　年　月　日</w:t>
      </w:r>
    </w:p>
    <w:p>
      <w:pPr>
        <w:adjustRightInd w:val="0"/>
        <w:snapToGrid w:val="0"/>
        <w:spacing w:line="360" w:lineRule="auto"/>
        <w:jc w:val="left"/>
        <w:rPr>
          <w:rFonts w:ascii="宋体" w:hAnsi="宋体"/>
          <w:b/>
          <w:szCs w:val="21"/>
        </w:rPr>
      </w:pPr>
      <w:bookmarkStart w:id="275" w:name="_Toc202174500"/>
      <w:bookmarkStart w:id="276" w:name="_Toc256155374"/>
      <w:bookmarkStart w:id="277" w:name="_Toc503877082"/>
      <w:bookmarkStart w:id="278" w:name="_Toc417633394"/>
    </w:p>
    <w:p>
      <w:pPr>
        <w:adjustRightInd w:val="0"/>
        <w:snapToGrid w:val="0"/>
        <w:spacing w:line="360" w:lineRule="auto"/>
        <w:jc w:val="left"/>
        <w:rPr>
          <w:rFonts w:ascii="宋体" w:hAnsi="宋体"/>
          <w:b/>
          <w:szCs w:val="21"/>
        </w:rPr>
      </w:pPr>
    </w:p>
    <w:p>
      <w:pPr>
        <w:adjustRightInd w:val="0"/>
        <w:snapToGrid w:val="0"/>
        <w:spacing w:line="360" w:lineRule="auto"/>
        <w:jc w:val="left"/>
        <w:rPr>
          <w:rFonts w:ascii="宋体" w:hAnsi="宋体"/>
          <w:b/>
          <w:szCs w:val="21"/>
        </w:rPr>
      </w:pPr>
    </w:p>
    <w:p>
      <w:pPr>
        <w:adjustRightInd w:val="0"/>
        <w:snapToGrid w:val="0"/>
        <w:spacing w:line="360" w:lineRule="auto"/>
        <w:jc w:val="left"/>
        <w:rPr>
          <w:rFonts w:ascii="宋体" w:hAnsi="宋体"/>
          <w:b/>
          <w:szCs w:val="21"/>
        </w:rPr>
      </w:pPr>
    </w:p>
    <w:p>
      <w:pPr>
        <w:adjustRightInd w:val="0"/>
        <w:snapToGrid w:val="0"/>
        <w:spacing w:line="360" w:lineRule="auto"/>
        <w:jc w:val="left"/>
        <w:rPr>
          <w:rFonts w:ascii="宋体" w:hAnsi="宋体"/>
          <w:b/>
          <w:szCs w:val="21"/>
        </w:rPr>
      </w:pPr>
    </w:p>
    <w:p>
      <w:pPr>
        <w:adjustRightInd w:val="0"/>
        <w:snapToGrid w:val="0"/>
        <w:spacing w:line="360" w:lineRule="auto"/>
        <w:jc w:val="left"/>
        <w:rPr>
          <w:rFonts w:ascii="宋体" w:hAnsi="宋体"/>
          <w:b/>
          <w:szCs w:val="21"/>
        </w:rPr>
      </w:pPr>
    </w:p>
    <w:p>
      <w:pPr>
        <w:keepNext/>
        <w:keepLines/>
        <w:spacing w:before="260" w:after="260" w:line="320" w:lineRule="exact"/>
        <w:outlineLvl w:val="1"/>
        <w:rPr>
          <w:rFonts w:ascii="宋体" w:hAnsi="宋体"/>
          <w:b/>
          <w:bCs/>
          <w:sz w:val="24"/>
          <w:szCs w:val="32"/>
        </w:rPr>
      </w:pPr>
      <w:bookmarkStart w:id="279" w:name="_Toc509308162"/>
      <w:bookmarkStart w:id="280" w:name="_Toc119922216"/>
      <w:r>
        <w:rPr>
          <w:rFonts w:hint="eastAsia" w:ascii="宋体" w:hAnsi="宋体"/>
          <w:b/>
          <w:bCs/>
          <w:sz w:val="24"/>
          <w:szCs w:val="32"/>
        </w:rPr>
        <w:t>附件7：</w:t>
      </w:r>
      <w:bookmarkEnd w:id="279"/>
      <w:r>
        <w:rPr>
          <w:rFonts w:hint="eastAsia" w:ascii="宋体" w:hAnsi="宋体"/>
          <w:b/>
          <w:bCs/>
          <w:sz w:val="24"/>
          <w:szCs w:val="32"/>
        </w:rPr>
        <w:t>同类案例成功的业绩</w:t>
      </w:r>
      <w:bookmarkEnd w:id="280"/>
    </w:p>
    <w:p>
      <w:pPr>
        <w:adjustRightInd w:val="0"/>
        <w:snapToGrid w:val="0"/>
        <w:spacing w:line="360" w:lineRule="auto"/>
        <w:jc w:val="left"/>
        <w:rPr>
          <w:rFonts w:ascii="宋体" w:hAnsi="宋体"/>
          <w:szCs w:val="21"/>
        </w:rPr>
      </w:pPr>
    </w:p>
    <w:tbl>
      <w:tblPr>
        <w:tblStyle w:val="39"/>
        <w:tblW w:w="8817"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172"/>
        <w:gridCol w:w="2083"/>
        <w:gridCol w:w="1155"/>
        <w:gridCol w:w="1258"/>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vAlign w:val="center"/>
          </w:tcPr>
          <w:p>
            <w:pPr>
              <w:spacing w:line="360" w:lineRule="auto"/>
              <w:rPr>
                <w:rFonts w:ascii="宋体" w:hAnsi="宋体"/>
                <w:szCs w:val="21"/>
              </w:rPr>
            </w:pPr>
            <w:r>
              <w:rPr>
                <w:rFonts w:hint="eastAsia" w:ascii="宋体" w:hAnsi="宋体"/>
                <w:szCs w:val="21"/>
              </w:rPr>
              <w:t>项目名称</w:t>
            </w:r>
          </w:p>
        </w:tc>
        <w:tc>
          <w:tcPr>
            <w:tcW w:w="1172" w:type="dxa"/>
            <w:vAlign w:val="center"/>
          </w:tcPr>
          <w:p>
            <w:pPr>
              <w:spacing w:line="360" w:lineRule="auto"/>
              <w:rPr>
                <w:rFonts w:ascii="宋体" w:hAnsi="宋体"/>
                <w:szCs w:val="21"/>
              </w:rPr>
            </w:pPr>
            <w:r>
              <w:rPr>
                <w:rFonts w:hint="eastAsia" w:ascii="宋体" w:hAnsi="宋体"/>
                <w:szCs w:val="21"/>
              </w:rPr>
              <w:t>项目类型</w:t>
            </w:r>
          </w:p>
        </w:tc>
        <w:tc>
          <w:tcPr>
            <w:tcW w:w="2083" w:type="dxa"/>
            <w:vAlign w:val="center"/>
          </w:tcPr>
          <w:p>
            <w:pPr>
              <w:autoSpaceDE w:val="0"/>
              <w:autoSpaceDN w:val="0"/>
              <w:adjustRightInd w:val="0"/>
              <w:snapToGrid w:val="0"/>
              <w:spacing w:line="360" w:lineRule="auto"/>
              <w:rPr>
                <w:rFonts w:ascii="宋体" w:hAnsi="宋体"/>
                <w:szCs w:val="21"/>
                <w:lang w:val="zh-CN"/>
              </w:rPr>
            </w:pPr>
            <w:r>
              <w:rPr>
                <w:rFonts w:hint="eastAsia" w:ascii="宋体" w:hAnsi="宋体"/>
                <w:szCs w:val="21"/>
                <w:lang w:val="zh-CN"/>
              </w:rPr>
              <w:t>项目金额（</w:t>
            </w:r>
            <w:r>
              <w:rPr>
                <w:rFonts w:hint="eastAsia" w:ascii="宋体" w:hAnsi="宋体"/>
                <w:szCs w:val="21"/>
              </w:rPr>
              <w:t>万元）</w:t>
            </w:r>
          </w:p>
        </w:tc>
        <w:tc>
          <w:tcPr>
            <w:tcW w:w="1155" w:type="dxa"/>
            <w:vAlign w:val="center"/>
          </w:tcPr>
          <w:p>
            <w:pPr>
              <w:spacing w:line="360" w:lineRule="auto"/>
              <w:rPr>
                <w:rFonts w:ascii="宋体" w:hAnsi="宋体"/>
                <w:szCs w:val="21"/>
              </w:rPr>
            </w:pPr>
            <w:r>
              <w:rPr>
                <w:rFonts w:hint="eastAsia" w:ascii="宋体" w:hAnsi="宋体"/>
                <w:szCs w:val="21"/>
              </w:rPr>
              <w:t>实施时间</w:t>
            </w:r>
          </w:p>
        </w:tc>
        <w:tc>
          <w:tcPr>
            <w:tcW w:w="1258" w:type="dxa"/>
            <w:vAlign w:val="center"/>
          </w:tcPr>
          <w:p>
            <w:pPr>
              <w:spacing w:line="360" w:lineRule="auto"/>
              <w:rPr>
                <w:rFonts w:ascii="宋体" w:hAnsi="宋体"/>
                <w:szCs w:val="21"/>
              </w:rPr>
            </w:pPr>
            <w:r>
              <w:rPr>
                <w:rFonts w:ascii="宋体" w:hAnsi="宋体"/>
                <w:spacing w:val="20"/>
                <w:szCs w:val="21"/>
              </w:rPr>
              <w:t>联系人</w:t>
            </w:r>
          </w:p>
        </w:tc>
        <w:tc>
          <w:tcPr>
            <w:tcW w:w="1679" w:type="dxa"/>
            <w:vAlign w:val="center"/>
          </w:tcPr>
          <w:p>
            <w:pPr>
              <w:spacing w:line="360" w:lineRule="auto"/>
              <w:rPr>
                <w:rFonts w:ascii="宋体" w:hAnsi="宋体"/>
                <w:szCs w:val="21"/>
              </w:rPr>
            </w:pPr>
            <w:r>
              <w:rPr>
                <w:rFonts w:ascii="宋体" w:hAnsi="宋体"/>
                <w:spacing w:val="2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vAlign w:val="center"/>
          </w:tcPr>
          <w:p>
            <w:pPr>
              <w:spacing w:line="360" w:lineRule="auto"/>
              <w:ind w:firstLine="525" w:firstLineChars="250"/>
              <w:rPr>
                <w:rFonts w:ascii="宋体" w:hAnsi="宋体"/>
                <w:szCs w:val="21"/>
              </w:rPr>
            </w:pPr>
          </w:p>
        </w:tc>
        <w:tc>
          <w:tcPr>
            <w:tcW w:w="1172" w:type="dxa"/>
            <w:vAlign w:val="center"/>
          </w:tcPr>
          <w:p>
            <w:pPr>
              <w:spacing w:line="360" w:lineRule="auto"/>
              <w:ind w:firstLine="525" w:firstLineChars="250"/>
              <w:rPr>
                <w:rFonts w:ascii="宋体" w:hAnsi="宋体"/>
                <w:szCs w:val="21"/>
              </w:rPr>
            </w:pPr>
          </w:p>
        </w:tc>
        <w:tc>
          <w:tcPr>
            <w:tcW w:w="2083" w:type="dxa"/>
            <w:vAlign w:val="center"/>
          </w:tcPr>
          <w:p>
            <w:pPr>
              <w:spacing w:line="360" w:lineRule="auto"/>
              <w:ind w:firstLine="525" w:firstLineChars="250"/>
              <w:rPr>
                <w:rFonts w:ascii="宋体" w:hAnsi="宋体"/>
                <w:szCs w:val="21"/>
              </w:rPr>
            </w:pPr>
          </w:p>
        </w:tc>
        <w:tc>
          <w:tcPr>
            <w:tcW w:w="1155" w:type="dxa"/>
            <w:vAlign w:val="center"/>
          </w:tcPr>
          <w:p>
            <w:pPr>
              <w:spacing w:line="360" w:lineRule="auto"/>
              <w:ind w:firstLine="525" w:firstLineChars="250"/>
              <w:rPr>
                <w:rFonts w:ascii="宋体" w:hAnsi="宋体"/>
                <w:szCs w:val="21"/>
              </w:rPr>
            </w:pPr>
          </w:p>
        </w:tc>
        <w:tc>
          <w:tcPr>
            <w:tcW w:w="1258" w:type="dxa"/>
            <w:vAlign w:val="center"/>
          </w:tcPr>
          <w:p>
            <w:pPr>
              <w:spacing w:line="360" w:lineRule="auto"/>
              <w:ind w:firstLine="525" w:firstLineChars="250"/>
              <w:rPr>
                <w:rFonts w:ascii="宋体" w:hAnsi="宋体"/>
                <w:szCs w:val="21"/>
              </w:rPr>
            </w:pPr>
          </w:p>
        </w:tc>
        <w:tc>
          <w:tcPr>
            <w:tcW w:w="1679" w:type="dxa"/>
            <w:vAlign w:val="center"/>
          </w:tcPr>
          <w:p>
            <w:pPr>
              <w:spacing w:line="360" w:lineRule="auto"/>
              <w:ind w:firstLine="525" w:firstLineChars="2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vAlign w:val="center"/>
          </w:tcPr>
          <w:p>
            <w:pPr>
              <w:spacing w:line="360" w:lineRule="auto"/>
              <w:ind w:firstLine="525" w:firstLineChars="250"/>
              <w:rPr>
                <w:rFonts w:ascii="宋体" w:hAnsi="宋体"/>
                <w:szCs w:val="21"/>
              </w:rPr>
            </w:pPr>
          </w:p>
        </w:tc>
        <w:tc>
          <w:tcPr>
            <w:tcW w:w="1172" w:type="dxa"/>
            <w:vAlign w:val="center"/>
          </w:tcPr>
          <w:p>
            <w:pPr>
              <w:spacing w:line="360" w:lineRule="auto"/>
              <w:ind w:firstLine="525" w:firstLineChars="250"/>
              <w:rPr>
                <w:rFonts w:ascii="宋体" w:hAnsi="宋体"/>
                <w:szCs w:val="21"/>
              </w:rPr>
            </w:pPr>
          </w:p>
        </w:tc>
        <w:tc>
          <w:tcPr>
            <w:tcW w:w="2083" w:type="dxa"/>
            <w:vAlign w:val="center"/>
          </w:tcPr>
          <w:p>
            <w:pPr>
              <w:spacing w:line="360" w:lineRule="auto"/>
              <w:ind w:firstLine="525" w:firstLineChars="250"/>
              <w:rPr>
                <w:rFonts w:ascii="宋体" w:hAnsi="宋体"/>
                <w:szCs w:val="21"/>
              </w:rPr>
            </w:pPr>
          </w:p>
        </w:tc>
        <w:tc>
          <w:tcPr>
            <w:tcW w:w="1155" w:type="dxa"/>
            <w:vAlign w:val="center"/>
          </w:tcPr>
          <w:p>
            <w:pPr>
              <w:spacing w:line="360" w:lineRule="auto"/>
              <w:ind w:firstLine="525" w:firstLineChars="250"/>
              <w:rPr>
                <w:rFonts w:ascii="宋体" w:hAnsi="宋体"/>
                <w:szCs w:val="21"/>
              </w:rPr>
            </w:pPr>
          </w:p>
        </w:tc>
        <w:tc>
          <w:tcPr>
            <w:tcW w:w="1258" w:type="dxa"/>
            <w:vAlign w:val="center"/>
          </w:tcPr>
          <w:p>
            <w:pPr>
              <w:spacing w:line="360" w:lineRule="auto"/>
              <w:ind w:firstLine="525" w:firstLineChars="250"/>
              <w:rPr>
                <w:rFonts w:ascii="宋体" w:hAnsi="宋体"/>
                <w:szCs w:val="21"/>
              </w:rPr>
            </w:pPr>
          </w:p>
        </w:tc>
        <w:tc>
          <w:tcPr>
            <w:tcW w:w="1679" w:type="dxa"/>
            <w:vAlign w:val="center"/>
          </w:tcPr>
          <w:p>
            <w:pPr>
              <w:spacing w:line="360" w:lineRule="auto"/>
              <w:ind w:firstLine="525" w:firstLineChars="2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vAlign w:val="center"/>
          </w:tcPr>
          <w:p>
            <w:pPr>
              <w:spacing w:line="360" w:lineRule="auto"/>
              <w:ind w:firstLine="525" w:firstLineChars="250"/>
              <w:rPr>
                <w:rFonts w:ascii="宋体" w:hAnsi="宋体"/>
                <w:szCs w:val="21"/>
              </w:rPr>
            </w:pPr>
          </w:p>
        </w:tc>
        <w:tc>
          <w:tcPr>
            <w:tcW w:w="1172" w:type="dxa"/>
            <w:vAlign w:val="center"/>
          </w:tcPr>
          <w:p>
            <w:pPr>
              <w:spacing w:line="360" w:lineRule="auto"/>
              <w:ind w:firstLine="525" w:firstLineChars="250"/>
              <w:rPr>
                <w:rFonts w:ascii="宋体" w:hAnsi="宋体"/>
                <w:szCs w:val="21"/>
              </w:rPr>
            </w:pPr>
          </w:p>
        </w:tc>
        <w:tc>
          <w:tcPr>
            <w:tcW w:w="2083" w:type="dxa"/>
            <w:vAlign w:val="center"/>
          </w:tcPr>
          <w:p>
            <w:pPr>
              <w:spacing w:line="360" w:lineRule="auto"/>
              <w:ind w:firstLine="525" w:firstLineChars="250"/>
              <w:rPr>
                <w:rFonts w:ascii="宋体" w:hAnsi="宋体"/>
                <w:szCs w:val="21"/>
              </w:rPr>
            </w:pPr>
          </w:p>
        </w:tc>
        <w:tc>
          <w:tcPr>
            <w:tcW w:w="1155" w:type="dxa"/>
            <w:vAlign w:val="center"/>
          </w:tcPr>
          <w:p>
            <w:pPr>
              <w:spacing w:line="360" w:lineRule="auto"/>
              <w:ind w:firstLine="525" w:firstLineChars="250"/>
              <w:rPr>
                <w:rFonts w:ascii="宋体" w:hAnsi="宋体"/>
                <w:szCs w:val="21"/>
              </w:rPr>
            </w:pPr>
          </w:p>
        </w:tc>
        <w:tc>
          <w:tcPr>
            <w:tcW w:w="1258" w:type="dxa"/>
            <w:vAlign w:val="center"/>
          </w:tcPr>
          <w:p>
            <w:pPr>
              <w:spacing w:line="360" w:lineRule="auto"/>
              <w:ind w:firstLine="525" w:firstLineChars="250"/>
              <w:rPr>
                <w:rFonts w:ascii="宋体" w:hAnsi="宋体"/>
                <w:szCs w:val="21"/>
              </w:rPr>
            </w:pPr>
          </w:p>
        </w:tc>
        <w:tc>
          <w:tcPr>
            <w:tcW w:w="1679" w:type="dxa"/>
            <w:vAlign w:val="center"/>
          </w:tcPr>
          <w:p>
            <w:pPr>
              <w:spacing w:line="360" w:lineRule="auto"/>
              <w:ind w:firstLine="525" w:firstLineChars="2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vAlign w:val="center"/>
          </w:tcPr>
          <w:p>
            <w:pPr>
              <w:spacing w:line="360" w:lineRule="auto"/>
              <w:ind w:firstLine="525" w:firstLineChars="250"/>
              <w:rPr>
                <w:rFonts w:ascii="宋体" w:hAnsi="宋体"/>
                <w:szCs w:val="21"/>
              </w:rPr>
            </w:pPr>
          </w:p>
        </w:tc>
        <w:tc>
          <w:tcPr>
            <w:tcW w:w="1172" w:type="dxa"/>
            <w:vAlign w:val="center"/>
          </w:tcPr>
          <w:p>
            <w:pPr>
              <w:spacing w:line="360" w:lineRule="auto"/>
              <w:ind w:firstLine="525" w:firstLineChars="250"/>
              <w:rPr>
                <w:rFonts w:ascii="宋体" w:hAnsi="宋体"/>
                <w:szCs w:val="21"/>
              </w:rPr>
            </w:pPr>
          </w:p>
        </w:tc>
        <w:tc>
          <w:tcPr>
            <w:tcW w:w="2083" w:type="dxa"/>
            <w:vAlign w:val="center"/>
          </w:tcPr>
          <w:p>
            <w:pPr>
              <w:spacing w:line="360" w:lineRule="auto"/>
              <w:ind w:firstLine="525" w:firstLineChars="250"/>
              <w:rPr>
                <w:rFonts w:ascii="宋体" w:hAnsi="宋体"/>
                <w:szCs w:val="21"/>
              </w:rPr>
            </w:pPr>
          </w:p>
        </w:tc>
        <w:tc>
          <w:tcPr>
            <w:tcW w:w="1155" w:type="dxa"/>
            <w:vAlign w:val="center"/>
          </w:tcPr>
          <w:p>
            <w:pPr>
              <w:spacing w:line="360" w:lineRule="auto"/>
              <w:ind w:firstLine="525" w:firstLineChars="250"/>
              <w:rPr>
                <w:rFonts w:ascii="宋体" w:hAnsi="宋体"/>
                <w:szCs w:val="21"/>
              </w:rPr>
            </w:pPr>
          </w:p>
        </w:tc>
        <w:tc>
          <w:tcPr>
            <w:tcW w:w="1258" w:type="dxa"/>
            <w:vAlign w:val="center"/>
          </w:tcPr>
          <w:p>
            <w:pPr>
              <w:spacing w:line="360" w:lineRule="auto"/>
              <w:ind w:firstLine="525" w:firstLineChars="250"/>
              <w:rPr>
                <w:rFonts w:ascii="宋体" w:hAnsi="宋体"/>
                <w:szCs w:val="21"/>
              </w:rPr>
            </w:pPr>
          </w:p>
        </w:tc>
        <w:tc>
          <w:tcPr>
            <w:tcW w:w="1679" w:type="dxa"/>
            <w:vAlign w:val="center"/>
          </w:tcPr>
          <w:p>
            <w:pPr>
              <w:spacing w:line="360" w:lineRule="auto"/>
              <w:ind w:firstLine="525" w:firstLineChars="2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vAlign w:val="center"/>
          </w:tcPr>
          <w:p>
            <w:pPr>
              <w:spacing w:line="360" w:lineRule="auto"/>
              <w:ind w:firstLine="525" w:firstLineChars="250"/>
              <w:rPr>
                <w:rFonts w:ascii="宋体" w:hAnsi="宋体"/>
                <w:szCs w:val="21"/>
              </w:rPr>
            </w:pPr>
          </w:p>
        </w:tc>
        <w:tc>
          <w:tcPr>
            <w:tcW w:w="1172" w:type="dxa"/>
            <w:vAlign w:val="center"/>
          </w:tcPr>
          <w:p>
            <w:pPr>
              <w:spacing w:line="360" w:lineRule="auto"/>
              <w:ind w:firstLine="525" w:firstLineChars="250"/>
              <w:rPr>
                <w:rFonts w:ascii="宋体" w:hAnsi="宋体"/>
                <w:szCs w:val="21"/>
              </w:rPr>
            </w:pPr>
          </w:p>
        </w:tc>
        <w:tc>
          <w:tcPr>
            <w:tcW w:w="2083" w:type="dxa"/>
            <w:vAlign w:val="center"/>
          </w:tcPr>
          <w:p>
            <w:pPr>
              <w:spacing w:line="360" w:lineRule="auto"/>
              <w:ind w:firstLine="525" w:firstLineChars="250"/>
              <w:rPr>
                <w:rFonts w:ascii="宋体" w:hAnsi="宋体"/>
                <w:szCs w:val="21"/>
              </w:rPr>
            </w:pPr>
          </w:p>
        </w:tc>
        <w:tc>
          <w:tcPr>
            <w:tcW w:w="1155" w:type="dxa"/>
            <w:vAlign w:val="center"/>
          </w:tcPr>
          <w:p>
            <w:pPr>
              <w:spacing w:line="360" w:lineRule="auto"/>
              <w:ind w:firstLine="525" w:firstLineChars="250"/>
              <w:rPr>
                <w:rFonts w:ascii="宋体" w:hAnsi="宋体"/>
                <w:szCs w:val="21"/>
              </w:rPr>
            </w:pPr>
          </w:p>
        </w:tc>
        <w:tc>
          <w:tcPr>
            <w:tcW w:w="1258" w:type="dxa"/>
            <w:vAlign w:val="center"/>
          </w:tcPr>
          <w:p>
            <w:pPr>
              <w:spacing w:line="360" w:lineRule="auto"/>
              <w:ind w:firstLine="525" w:firstLineChars="250"/>
              <w:rPr>
                <w:rFonts w:ascii="宋体" w:hAnsi="宋体"/>
                <w:szCs w:val="21"/>
              </w:rPr>
            </w:pPr>
          </w:p>
        </w:tc>
        <w:tc>
          <w:tcPr>
            <w:tcW w:w="1679" w:type="dxa"/>
            <w:vAlign w:val="center"/>
          </w:tcPr>
          <w:p>
            <w:pPr>
              <w:spacing w:line="360" w:lineRule="auto"/>
              <w:ind w:firstLine="525" w:firstLineChars="2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vAlign w:val="center"/>
          </w:tcPr>
          <w:p>
            <w:pPr>
              <w:spacing w:line="360" w:lineRule="auto"/>
              <w:ind w:firstLine="525" w:firstLineChars="250"/>
              <w:rPr>
                <w:rFonts w:ascii="宋体" w:hAnsi="宋体"/>
                <w:szCs w:val="21"/>
              </w:rPr>
            </w:pPr>
          </w:p>
        </w:tc>
        <w:tc>
          <w:tcPr>
            <w:tcW w:w="1172" w:type="dxa"/>
            <w:vAlign w:val="center"/>
          </w:tcPr>
          <w:p>
            <w:pPr>
              <w:spacing w:line="360" w:lineRule="auto"/>
              <w:ind w:firstLine="525" w:firstLineChars="250"/>
              <w:rPr>
                <w:rFonts w:ascii="宋体" w:hAnsi="宋体"/>
                <w:szCs w:val="21"/>
              </w:rPr>
            </w:pPr>
          </w:p>
        </w:tc>
        <w:tc>
          <w:tcPr>
            <w:tcW w:w="2083" w:type="dxa"/>
            <w:vAlign w:val="center"/>
          </w:tcPr>
          <w:p>
            <w:pPr>
              <w:spacing w:line="360" w:lineRule="auto"/>
              <w:ind w:firstLine="525" w:firstLineChars="250"/>
              <w:rPr>
                <w:rFonts w:ascii="宋体" w:hAnsi="宋体"/>
                <w:szCs w:val="21"/>
              </w:rPr>
            </w:pPr>
          </w:p>
        </w:tc>
        <w:tc>
          <w:tcPr>
            <w:tcW w:w="1155" w:type="dxa"/>
            <w:vAlign w:val="center"/>
          </w:tcPr>
          <w:p>
            <w:pPr>
              <w:spacing w:line="360" w:lineRule="auto"/>
              <w:ind w:firstLine="525" w:firstLineChars="250"/>
              <w:rPr>
                <w:rFonts w:ascii="宋体" w:hAnsi="宋体"/>
                <w:szCs w:val="21"/>
              </w:rPr>
            </w:pPr>
          </w:p>
        </w:tc>
        <w:tc>
          <w:tcPr>
            <w:tcW w:w="1258" w:type="dxa"/>
            <w:vAlign w:val="center"/>
          </w:tcPr>
          <w:p>
            <w:pPr>
              <w:spacing w:line="360" w:lineRule="auto"/>
              <w:ind w:firstLine="525" w:firstLineChars="250"/>
              <w:rPr>
                <w:rFonts w:ascii="宋体" w:hAnsi="宋体"/>
                <w:szCs w:val="21"/>
              </w:rPr>
            </w:pPr>
          </w:p>
        </w:tc>
        <w:tc>
          <w:tcPr>
            <w:tcW w:w="1679" w:type="dxa"/>
            <w:vAlign w:val="center"/>
          </w:tcPr>
          <w:p>
            <w:pPr>
              <w:spacing w:line="360" w:lineRule="auto"/>
              <w:ind w:firstLine="525" w:firstLineChars="2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vAlign w:val="center"/>
          </w:tcPr>
          <w:p>
            <w:pPr>
              <w:spacing w:line="360" w:lineRule="auto"/>
              <w:ind w:firstLine="525" w:firstLineChars="250"/>
              <w:rPr>
                <w:rFonts w:ascii="宋体" w:hAnsi="宋体"/>
                <w:szCs w:val="21"/>
              </w:rPr>
            </w:pPr>
          </w:p>
        </w:tc>
        <w:tc>
          <w:tcPr>
            <w:tcW w:w="1172" w:type="dxa"/>
            <w:vAlign w:val="center"/>
          </w:tcPr>
          <w:p>
            <w:pPr>
              <w:spacing w:line="360" w:lineRule="auto"/>
              <w:ind w:firstLine="525" w:firstLineChars="250"/>
              <w:rPr>
                <w:rFonts w:ascii="宋体" w:hAnsi="宋体"/>
                <w:szCs w:val="21"/>
              </w:rPr>
            </w:pPr>
          </w:p>
        </w:tc>
        <w:tc>
          <w:tcPr>
            <w:tcW w:w="2083" w:type="dxa"/>
            <w:vAlign w:val="center"/>
          </w:tcPr>
          <w:p>
            <w:pPr>
              <w:spacing w:line="360" w:lineRule="auto"/>
              <w:ind w:firstLine="525" w:firstLineChars="250"/>
              <w:rPr>
                <w:rFonts w:ascii="宋体" w:hAnsi="宋体"/>
                <w:szCs w:val="21"/>
              </w:rPr>
            </w:pPr>
          </w:p>
        </w:tc>
        <w:tc>
          <w:tcPr>
            <w:tcW w:w="1155" w:type="dxa"/>
            <w:vAlign w:val="center"/>
          </w:tcPr>
          <w:p>
            <w:pPr>
              <w:spacing w:line="360" w:lineRule="auto"/>
              <w:ind w:firstLine="525" w:firstLineChars="250"/>
              <w:rPr>
                <w:rFonts w:ascii="宋体" w:hAnsi="宋体"/>
                <w:szCs w:val="21"/>
              </w:rPr>
            </w:pPr>
          </w:p>
        </w:tc>
        <w:tc>
          <w:tcPr>
            <w:tcW w:w="1258" w:type="dxa"/>
            <w:vAlign w:val="center"/>
          </w:tcPr>
          <w:p>
            <w:pPr>
              <w:spacing w:line="360" w:lineRule="auto"/>
              <w:ind w:firstLine="525" w:firstLineChars="250"/>
              <w:rPr>
                <w:rFonts w:ascii="宋体" w:hAnsi="宋体"/>
                <w:szCs w:val="21"/>
              </w:rPr>
            </w:pPr>
          </w:p>
        </w:tc>
        <w:tc>
          <w:tcPr>
            <w:tcW w:w="1679" w:type="dxa"/>
            <w:vAlign w:val="center"/>
          </w:tcPr>
          <w:p>
            <w:pPr>
              <w:spacing w:line="360" w:lineRule="auto"/>
              <w:ind w:firstLine="525" w:firstLineChars="250"/>
              <w:rPr>
                <w:rFonts w:ascii="宋体" w:hAnsi="宋体"/>
                <w:szCs w:val="21"/>
              </w:rPr>
            </w:pPr>
          </w:p>
        </w:tc>
      </w:tr>
    </w:tbl>
    <w:p>
      <w:pPr>
        <w:spacing w:line="360" w:lineRule="auto"/>
        <w:jc w:val="center"/>
        <w:rPr>
          <w:rFonts w:ascii="宋体" w:hAnsi="宋体"/>
          <w:b/>
          <w:szCs w:val="21"/>
        </w:rPr>
      </w:pPr>
    </w:p>
    <w:p>
      <w:pPr>
        <w:spacing w:line="360" w:lineRule="auto"/>
        <w:rPr>
          <w:rFonts w:ascii="宋体" w:hAnsi="宋体"/>
          <w:szCs w:val="21"/>
        </w:rPr>
      </w:pPr>
      <w:r>
        <w:rPr>
          <w:rFonts w:hint="eastAsia" w:ascii="宋体" w:hAnsi="宋体"/>
          <w:szCs w:val="21"/>
        </w:rPr>
        <w:t>注：提供合同复印件等资料并加盖投标人公章。</w:t>
      </w:r>
    </w:p>
    <w:p>
      <w:pPr>
        <w:spacing w:line="360" w:lineRule="auto"/>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ind w:firstLine="500" w:firstLineChars="200"/>
        <w:rPr>
          <w:rFonts w:ascii="宋体" w:hAnsi="宋体"/>
          <w:spacing w:val="20"/>
          <w:szCs w:val="21"/>
          <w:u w:val="single"/>
        </w:rPr>
      </w:pPr>
    </w:p>
    <w:p>
      <w:pPr>
        <w:spacing w:line="480" w:lineRule="auto"/>
        <w:rPr>
          <w:rFonts w:ascii="宋体" w:hAnsi="宋体"/>
          <w:b/>
          <w:sz w:val="24"/>
        </w:rPr>
      </w:pPr>
      <w:r>
        <w:rPr>
          <w:rFonts w:hint="eastAsia" w:ascii="宋体" w:hAnsi="宋体"/>
          <w:b/>
          <w:sz w:val="24"/>
        </w:rPr>
        <w:t>投标人（公章）：</w:t>
      </w:r>
    </w:p>
    <w:p>
      <w:pPr>
        <w:spacing w:line="480" w:lineRule="auto"/>
        <w:rPr>
          <w:rFonts w:ascii="宋体" w:hAnsi="宋体"/>
          <w:b/>
          <w:sz w:val="24"/>
        </w:rPr>
      </w:pPr>
      <w:r>
        <w:rPr>
          <w:rFonts w:hint="eastAsia" w:ascii="宋体" w:hAnsi="宋体"/>
          <w:b/>
          <w:sz w:val="24"/>
        </w:rPr>
        <w:t>法定代表人（机构负责人）或授权代表（签字或盖章）：</w:t>
      </w:r>
    </w:p>
    <w:p>
      <w:pPr>
        <w:spacing w:line="480" w:lineRule="auto"/>
        <w:rPr>
          <w:rFonts w:ascii="宋体" w:hAnsi="宋体"/>
          <w:b/>
          <w:sz w:val="24"/>
        </w:rPr>
      </w:pPr>
      <w:r>
        <w:rPr>
          <w:rFonts w:hint="eastAsia" w:ascii="宋体" w:hAnsi="宋体"/>
          <w:b/>
          <w:sz w:val="24"/>
        </w:rPr>
        <w:t>日期：  　年　月　日</w:t>
      </w:r>
    </w:p>
    <w:p>
      <w:pPr>
        <w:adjustRightInd w:val="0"/>
        <w:snapToGrid w:val="0"/>
        <w:spacing w:line="360" w:lineRule="auto"/>
        <w:rPr>
          <w:rFonts w:ascii="宋体" w:hAnsi="宋体"/>
          <w:b/>
          <w:szCs w:val="21"/>
        </w:rPr>
      </w:pPr>
    </w:p>
    <w:p>
      <w:pPr>
        <w:keepNext/>
        <w:keepLines/>
        <w:spacing w:before="260" w:after="260" w:line="320" w:lineRule="exact"/>
        <w:outlineLvl w:val="1"/>
        <w:rPr>
          <w:rFonts w:ascii="宋体" w:hAnsi="宋体"/>
          <w:b/>
          <w:bCs/>
          <w:sz w:val="24"/>
          <w:szCs w:val="32"/>
        </w:rPr>
      </w:pPr>
    </w:p>
    <w:p/>
    <w:p/>
    <w:p/>
    <w:p/>
    <w:p/>
    <w:p/>
    <w:p/>
    <w:p>
      <w:pPr>
        <w:keepNext/>
        <w:keepLines/>
        <w:spacing w:before="260" w:after="260" w:line="320" w:lineRule="exact"/>
        <w:outlineLvl w:val="1"/>
        <w:rPr>
          <w:rFonts w:ascii="宋体" w:hAnsi="宋体"/>
          <w:b/>
          <w:bCs/>
          <w:sz w:val="24"/>
          <w:szCs w:val="32"/>
        </w:rPr>
      </w:pPr>
      <w:bookmarkStart w:id="281" w:name="_Toc509308163"/>
      <w:bookmarkStart w:id="282" w:name="_Toc119922217"/>
      <w:r>
        <w:rPr>
          <w:rFonts w:hint="eastAsia" w:ascii="宋体" w:hAnsi="宋体"/>
          <w:b/>
          <w:bCs/>
          <w:sz w:val="24"/>
          <w:szCs w:val="32"/>
        </w:rPr>
        <w:t>附件8：</w:t>
      </w:r>
      <w:bookmarkEnd w:id="272"/>
      <w:bookmarkEnd w:id="273"/>
      <w:bookmarkEnd w:id="274"/>
      <w:bookmarkEnd w:id="275"/>
      <w:bookmarkEnd w:id="276"/>
      <w:bookmarkEnd w:id="277"/>
      <w:bookmarkEnd w:id="278"/>
      <w:bookmarkEnd w:id="281"/>
      <w:r>
        <w:rPr>
          <w:rFonts w:hint="eastAsia" w:ascii="宋体" w:hAnsi="宋体"/>
          <w:b/>
          <w:bCs/>
          <w:sz w:val="24"/>
          <w:szCs w:val="32"/>
        </w:rPr>
        <w:t>服务承诺</w:t>
      </w:r>
      <w:bookmarkEnd w:id="282"/>
    </w:p>
    <w:p>
      <w:pPr>
        <w:keepNext/>
        <w:keepLines/>
        <w:spacing w:before="260" w:after="260" w:line="320" w:lineRule="exact"/>
        <w:outlineLvl w:val="1"/>
        <w:rPr>
          <w:rFonts w:ascii="宋体" w:hAnsi="宋体"/>
          <w:sz w:val="36"/>
          <w:szCs w:val="36"/>
        </w:rPr>
      </w:pPr>
      <w:bookmarkStart w:id="283" w:name="_Toc119922218"/>
      <w:r>
        <w:rPr>
          <w:rFonts w:hint="eastAsia" w:ascii="宋体" w:hAnsi="宋体"/>
          <w:b/>
          <w:bCs/>
          <w:sz w:val="24"/>
          <w:szCs w:val="32"/>
        </w:rPr>
        <w:t>服务承诺</w:t>
      </w:r>
      <w:bookmarkEnd w:id="283"/>
    </w:p>
    <w:p>
      <w:pPr>
        <w:spacing w:line="360" w:lineRule="exact"/>
        <w:ind w:firstLine="561"/>
        <w:rPr>
          <w:rFonts w:ascii="宋体" w:hAnsi="宋体"/>
          <w:szCs w:val="21"/>
        </w:rPr>
      </w:pPr>
    </w:p>
    <w:p>
      <w:pPr>
        <w:tabs>
          <w:tab w:val="left" w:pos="525"/>
        </w:tabs>
        <w:spacing w:line="380" w:lineRule="exact"/>
        <w:ind w:firstLine="420" w:firstLineChars="200"/>
        <w:rPr>
          <w:rFonts w:ascii="宋体" w:hAnsi="宋体"/>
          <w:szCs w:val="21"/>
        </w:rPr>
      </w:pPr>
      <w:r>
        <w:rPr>
          <w:rFonts w:hint="eastAsia" w:ascii="宋体" w:hAnsi="宋体"/>
          <w:szCs w:val="21"/>
        </w:rPr>
        <w:t>1.我单位承诺，一旦我方中标，我们将根据采购文件的规定，提供不低于招标文件要求的服务和相关规定。</w:t>
      </w:r>
    </w:p>
    <w:p>
      <w:pPr>
        <w:tabs>
          <w:tab w:val="left" w:pos="525"/>
        </w:tabs>
        <w:spacing w:line="380" w:lineRule="exact"/>
        <w:ind w:firstLine="420" w:firstLineChars="200"/>
        <w:rPr>
          <w:rFonts w:ascii="宋体" w:hAnsi="宋体"/>
          <w:szCs w:val="21"/>
        </w:rPr>
      </w:pPr>
      <w:r>
        <w:rPr>
          <w:rFonts w:hint="eastAsia" w:ascii="宋体" w:hAnsi="宋体"/>
          <w:szCs w:val="21"/>
        </w:rPr>
        <w:t>2.其他服务承诺：</w:t>
      </w:r>
    </w:p>
    <w:p>
      <w:pPr>
        <w:spacing w:line="360" w:lineRule="exact"/>
        <w:ind w:firstLine="561"/>
        <w:rPr>
          <w:rFonts w:ascii="宋体" w:hAnsi="宋体"/>
          <w:szCs w:val="21"/>
        </w:rPr>
      </w:pPr>
    </w:p>
    <w:p>
      <w:pPr>
        <w:spacing w:line="360" w:lineRule="exact"/>
        <w:ind w:firstLine="561"/>
        <w:rPr>
          <w:rFonts w:ascii="宋体" w:hAnsi="宋体"/>
          <w:sz w:val="24"/>
        </w:rPr>
      </w:pPr>
    </w:p>
    <w:p>
      <w:pPr>
        <w:spacing w:line="360" w:lineRule="exact"/>
        <w:ind w:firstLine="561"/>
        <w:rPr>
          <w:rFonts w:ascii="宋体" w:hAnsi="宋体"/>
          <w:sz w:val="24"/>
        </w:rPr>
      </w:pPr>
    </w:p>
    <w:p>
      <w:pPr>
        <w:spacing w:line="360" w:lineRule="exact"/>
        <w:ind w:firstLine="561"/>
        <w:rPr>
          <w:rFonts w:ascii="宋体" w:hAnsi="宋体"/>
          <w:sz w:val="24"/>
        </w:rPr>
      </w:pPr>
    </w:p>
    <w:p>
      <w:pPr>
        <w:spacing w:line="360" w:lineRule="exact"/>
        <w:ind w:firstLine="561"/>
        <w:rPr>
          <w:rFonts w:ascii="宋体" w:hAnsi="宋体"/>
          <w:sz w:val="24"/>
        </w:rPr>
      </w:pPr>
    </w:p>
    <w:p>
      <w:pPr>
        <w:spacing w:line="360" w:lineRule="exact"/>
        <w:ind w:firstLine="561"/>
        <w:rPr>
          <w:rFonts w:ascii="宋体" w:hAnsi="宋体"/>
          <w:sz w:val="24"/>
        </w:rPr>
      </w:pPr>
    </w:p>
    <w:p>
      <w:pPr>
        <w:spacing w:line="360" w:lineRule="exact"/>
        <w:ind w:firstLine="561"/>
        <w:rPr>
          <w:rFonts w:ascii="宋体" w:hAnsi="宋体"/>
          <w:sz w:val="24"/>
        </w:rPr>
      </w:pPr>
    </w:p>
    <w:p>
      <w:pPr>
        <w:spacing w:line="360" w:lineRule="exact"/>
        <w:ind w:firstLine="561"/>
        <w:rPr>
          <w:rFonts w:ascii="宋体" w:hAnsi="宋体"/>
          <w:sz w:val="24"/>
        </w:rPr>
      </w:pPr>
    </w:p>
    <w:p>
      <w:pPr>
        <w:spacing w:line="360" w:lineRule="exact"/>
        <w:ind w:firstLine="561"/>
        <w:rPr>
          <w:rFonts w:ascii="宋体" w:hAnsi="宋体"/>
          <w:sz w:val="24"/>
        </w:rPr>
      </w:pPr>
    </w:p>
    <w:p>
      <w:pPr>
        <w:spacing w:line="360" w:lineRule="exact"/>
        <w:ind w:firstLine="561"/>
        <w:rPr>
          <w:rFonts w:ascii="宋体" w:hAnsi="宋体"/>
          <w:sz w:val="24"/>
        </w:rPr>
      </w:pPr>
    </w:p>
    <w:p>
      <w:pPr>
        <w:spacing w:line="360" w:lineRule="exact"/>
        <w:ind w:firstLine="561"/>
        <w:rPr>
          <w:rFonts w:ascii="宋体" w:hAnsi="宋体"/>
          <w:sz w:val="24"/>
        </w:rPr>
      </w:pPr>
    </w:p>
    <w:p>
      <w:pPr>
        <w:spacing w:line="360" w:lineRule="exact"/>
        <w:ind w:firstLine="561"/>
        <w:rPr>
          <w:rFonts w:ascii="宋体" w:hAnsi="宋体"/>
          <w:sz w:val="24"/>
        </w:rPr>
      </w:pPr>
    </w:p>
    <w:p>
      <w:pPr>
        <w:spacing w:line="360" w:lineRule="exact"/>
        <w:ind w:firstLine="561"/>
        <w:rPr>
          <w:rFonts w:ascii="宋体" w:hAnsi="宋体"/>
          <w:sz w:val="24"/>
        </w:rPr>
      </w:pPr>
    </w:p>
    <w:p>
      <w:pPr>
        <w:spacing w:line="360" w:lineRule="exact"/>
        <w:ind w:firstLine="561"/>
        <w:rPr>
          <w:rFonts w:ascii="宋体" w:hAnsi="宋体"/>
          <w:sz w:val="24"/>
        </w:rPr>
      </w:pPr>
    </w:p>
    <w:p>
      <w:pPr>
        <w:spacing w:line="360" w:lineRule="exact"/>
        <w:ind w:firstLine="561"/>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600" w:lineRule="exact"/>
        <w:rPr>
          <w:rFonts w:ascii="宋体" w:hAnsi="宋体"/>
          <w:b/>
          <w:sz w:val="24"/>
        </w:rPr>
      </w:pPr>
      <w:r>
        <w:rPr>
          <w:rFonts w:hint="eastAsia" w:ascii="宋体" w:hAnsi="宋体"/>
          <w:b/>
          <w:sz w:val="24"/>
        </w:rPr>
        <w:t>投标人（公章）：</w:t>
      </w:r>
    </w:p>
    <w:p>
      <w:pPr>
        <w:spacing w:line="600" w:lineRule="exact"/>
        <w:rPr>
          <w:rFonts w:ascii="宋体" w:hAnsi="宋体"/>
          <w:b/>
          <w:spacing w:val="4"/>
          <w:sz w:val="24"/>
        </w:rPr>
      </w:pPr>
      <w:r>
        <w:rPr>
          <w:rFonts w:hint="eastAsia" w:ascii="宋体" w:hAnsi="宋体"/>
          <w:b/>
          <w:sz w:val="24"/>
        </w:rPr>
        <w:t>法定代表人（机构负责人）或</w:t>
      </w:r>
      <w:r>
        <w:rPr>
          <w:rFonts w:hint="eastAsia" w:ascii="宋体" w:hAnsi="宋体"/>
          <w:b/>
          <w:spacing w:val="4"/>
          <w:sz w:val="24"/>
        </w:rPr>
        <w:t>授权代表</w:t>
      </w:r>
      <w:r>
        <w:rPr>
          <w:rFonts w:hint="eastAsia" w:ascii="宋体" w:hAnsi="宋体"/>
          <w:b/>
          <w:sz w:val="24"/>
        </w:rPr>
        <w:t xml:space="preserve">（签字或盖章）：         </w:t>
      </w:r>
    </w:p>
    <w:p>
      <w:pPr>
        <w:spacing w:line="600" w:lineRule="exact"/>
        <w:rPr>
          <w:rFonts w:ascii="宋体" w:hAnsi="宋体"/>
          <w:b/>
          <w:sz w:val="24"/>
        </w:rPr>
      </w:pPr>
      <w:r>
        <w:rPr>
          <w:rFonts w:hint="eastAsia" w:ascii="宋体" w:hAnsi="宋体"/>
          <w:b/>
          <w:sz w:val="24"/>
        </w:rPr>
        <w:t>日  期：  年　 月　 日</w:t>
      </w:r>
    </w:p>
    <w:p>
      <w:pPr>
        <w:pStyle w:val="10"/>
        <w:rPr>
          <w:rFonts w:ascii="宋体" w:hAnsi="宋体"/>
          <w:b/>
          <w:sz w:val="24"/>
        </w:rPr>
      </w:pPr>
    </w:p>
    <w:p>
      <w:pPr>
        <w:rPr>
          <w:rFonts w:ascii="宋体" w:hAnsi="宋体"/>
          <w:b/>
          <w:sz w:val="24"/>
        </w:rPr>
      </w:pPr>
    </w:p>
    <w:p>
      <w:pPr>
        <w:pStyle w:val="10"/>
        <w:rPr>
          <w:rFonts w:ascii="宋体" w:hAnsi="宋体"/>
          <w:b/>
          <w:sz w:val="24"/>
        </w:rPr>
      </w:pPr>
    </w:p>
    <w:p>
      <w:pPr>
        <w:rPr>
          <w:rFonts w:ascii="宋体" w:hAnsi="宋体"/>
          <w:b/>
          <w:sz w:val="24"/>
        </w:rPr>
      </w:pPr>
    </w:p>
    <w:p>
      <w:pPr>
        <w:pStyle w:val="10"/>
        <w:rPr>
          <w:rFonts w:ascii="宋体" w:hAnsi="宋体"/>
          <w:b/>
          <w:sz w:val="24"/>
        </w:rPr>
      </w:pPr>
    </w:p>
    <w:p>
      <w:pPr>
        <w:rPr>
          <w:rFonts w:ascii="宋体" w:hAnsi="宋体"/>
          <w:b/>
          <w:sz w:val="24"/>
        </w:rPr>
      </w:pPr>
    </w:p>
    <w:p>
      <w:pPr>
        <w:pStyle w:val="10"/>
      </w:pPr>
    </w:p>
    <w:p>
      <w:pPr>
        <w:snapToGrid w:val="0"/>
        <w:spacing w:line="500" w:lineRule="exact"/>
        <w:jc w:val="center"/>
        <w:outlineLvl w:val="0"/>
        <w:rPr>
          <w:rStyle w:val="57"/>
          <w:rFonts w:ascii="宋体" w:hAnsi="宋体"/>
        </w:rPr>
      </w:pPr>
      <w:bookmarkStart w:id="284" w:name="_Toc63335028"/>
    </w:p>
    <w:p>
      <w:pPr>
        <w:snapToGrid w:val="0"/>
        <w:spacing w:line="500" w:lineRule="exact"/>
        <w:jc w:val="left"/>
        <w:outlineLvl w:val="0"/>
        <w:rPr>
          <w:rFonts w:ascii="宋体" w:hAnsi="宋体"/>
          <w:b/>
          <w:bCs/>
          <w:sz w:val="24"/>
          <w:szCs w:val="32"/>
        </w:rPr>
      </w:pPr>
    </w:p>
    <w:bookmarkEnd w:id="284"/>
    <w:p>
      <w:pPr>
        <w:spacing w:line="600" w:lineRule="exact"/>
        <w:rPr>
          <w:rFonts w:ascii="宋体" w:hAnsi="宋体"/>
          <w:b/>
          <w:sz w:val="24"/>
        </w:rPr>
      </w:pPr>
      <w:r>
        <w:rPr>
          <w:rFonts w:ascii="宋体" w:hAnsi="宋体"/>
          <w:b/>
          <w:sz w:val="24"/>
        </w:rPr>
        <w:br w:type="page"/>
      </w:r>
      <w:bookmarkStart w:id="285" w:name="_Toc503877084"/>
    </w:p>
    <w:bookmarkEnd w:id="285"/>
    <w:p>
      <w:pPr>
        <w:rPr>
          <w:rFonts w:ascii="宋体" w:hAnsi="宋体"/>
        </w:rPr>
      </w:pPr>
      <w:r>
        <w:rPr>
          <w:rFonts w:hint="eastAsia" w:ascii="宋体" w:hAnsi="宋体"/>
          <w:sz w:val="24"/>
        </w:rPr>
        <w:t>附件9： 报价文件封面格式及目录</w:t>
      </w:r>
    </w:p>
    <w:p>
      <w:pPr>
        <w:snapToGrid w:val="0"/>
        <w:spacing w:beforeLines="50" w:afterLines="50" w:line="400" w:lineRule="atLeast"/>
        <w:rPr>
          <w:rFonts w:ascii="宋体" w:hAnsi="宋体"/>
          <w:sz w:val="30"/>
          <w:szCs w:val="30"/>
        </w:rPr>
      </w:pPr>
      <w:r>
        <w:rPr>
          <w:rFonts w:hint="eastAsia" w:ascii="宋体" w:hAnsi="宋体"/>
          <w:bCs/>
          <w:sz w:val="30"/>
          <w:szCs w:val="30"/>
        </w:rPr>
        <w:t xml:space="preserve">                                             正本或副本</w:t>
      </w:r>
    </w:p>
    <w:p>
      <w:pPr>
        <w:ind w:right="-110"/>
        <w:jc w:val="center"/>
        <w:rPr>
          <w:rFonts w:ascii="宋体" w:hAnsi="宋体"/>
          <w:spacing w:val="40"/>
          <w:sz w:val="32"/>
          <w:szCs w:val="32"/>
        </w:rPr>
      </w:pPr>
      <w:r>
        <w:rPr>
          <w:rFonts w:hint="eastAsia" w:ascii="宋体" w:hAnsi="宋体"/>
          <w:spacing w:val="40"/>
          <w:sz w:val="52"/>
          <w:szCs w:val="52"/>
        </w:rPr>
        <w:t>项目名称：×××</w:t>
      </w:r>
    </w:p>
    <w:p>
      <w:pPr>
        <w:ind w:right="-110"/>
        <w:jc w:val="center"/>
        <w:rPr>
          <w:rFonts w:ascii="宋体" w:hAnsi="宋体"/>
          <w:spacing w:val="40"/>
          <w:sz w:val="52"/>
          <w:szCs w:val="52"/>
        </w:rPr>
      </w:pPr>
      <w:r>
        <w:rPr>
          <w:rFonts w:hint="eastAsia" w:ascii="宋体" w:hAnsi="宋体"/>
          <w:spacing w:val="40"/>
          <w:sz w:val="52"/>
          <w:szCs w:val="52"/>
        </w:rPr>
        <w:t>（标项一）</w:t>
      </w:r>
    </w:p>
    <w:p>
      <w:pPr>
        <w:spacing w:after="100" w:afterAutospacing="1" w:line="800" w:lineRule="exact"/>
        <w:ind w:right="-108"/>
        <w:jc w:val="center"/>
        <w:rPr>
          <w:rFonts w:ascii="宋体" w:hAnsi="宋体"/>
          <w:b/>
          <w:spacing w:val="40"/>
          <w:sz w:val="84"/>
          <w:szCs w:val="84"/>
        </w:rPr>
      </w:pP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报</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价</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文</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件</w:t>
      </w:r>
    </w:p>
    <w:p>
      <w:pPr>
        <w:spacing w:line="500" w:lineRule="exact"/>
        <w:ind w:right="532" w:firstLine="720" w:firstLineChars="200"/>
        <w:rPr>
          <w:rFonts w:ascii="宋体" w:hAnsi="宋体"/>
          <w:sz w:val="36"/>
          <w:szCs w:val="36"/>
        </w:rPr>
      </w:pPr>
      <w:r>
        <w:rPr>
          <w:rFonts w:hint="eastAsia" w:ascii="宋体" w:hAnsi="宋体"/>
          <w:sz w:val="36"/>
          <w:szCs w:val="36"/>
        </w:rPr>
        <w:t>投标人全称（公章）：</w:t>
      </w:r>
    </w:p>
    <w:p>
      <w:pPr>
        <w:wordWrap w:val="0"/>
        <w:spacing w:line="500" w:lineRule="exact"/>
        <w:ind w:right="-108" w:firstLine="720" w:firstLineChars="200"/>
        <w:rPr>
          <w:rFonts w:ascii="宋体" w:hAnsi="宋体"/>
          <w:sz w:val="36"/>
          <w:szCs w:val="36"/>
        </w:rPr>
      </w:pPr>
      <w:r>
        <w:rPr>
          <w:rFonts w:hint="eastAsia" w:ascii="宋体" w:hAnsi="宋体"/>
          <w:sz w:val="36"/>
          <w:szCs w:val="36"/>
        </w:rPr>
        <w:t>地    址：</w:t>
      </w:r>
    </w:p>
    <w:p>
      <w:pPr>
        <w:wordWrap w:val="0"/>
        <w:spacing w:line="500" w:lineRule="exact"/>
        <w:ind w:right="-108" w:firstLine="720" w:firstLineChars="200"/>
        <w:rPr>
          <w:rFonts w:ascii="宋体" w:hAnsi="宋体"/>
          <w:sz w:val="36"/>
          <w:szCs w:val="36"/>
        </w:rPr>
      </w:pPr>
      <w:r>
        <w:rPr>
          <w:rFonts w:hint="eastAsia" w:ascii="宋体" w:hAnsi="宋体"/>
          <w:sz w:val="36"/>
          <w:szCs w:val="36"/>
        </w:rPr>
        <w:t>时    间：</w:t>
      </w:r>
    </w:p>
    <w:p>
      <w:pPr>
        <w:wordWrap w:val="0"/>
        <w:spacing w:line="500" w:lineRule="exact"/>
        <w:ind w:right="-108" w:firstLine="720" w:firstLineChars="200"/>
        <w:rPr>
          <w:rFonts w:ascii="宋体" w:hAnsi="宋体"/>
          <w:sz w:val="36"/>
          <w:szCs w:val="36"/>
        </w:rPr>
      </w:pPr>
    </w:p>
    <w:p>
      <w:pPr>
        <w:snapToGrid w:val="0"/>
        <w:ind w:left="5250" w:leftChars="2500"/>
        <w:rPr>
          <w:rFonts w:ascii="宋体" w:hAnsi="宋体"/>
          <w:sz w:val="36"/>
          <w:szCs w:val="36"/>
        </w:rPr>
      </w:pPr>
    </w:p>
    <w:p>
      <w:pPr>
        <w:snapToGrid w:val="0"/>
        <w:rPr>
          <w:rFonts w:ascii="宋体" w:hAnsi="宋体"/>
          <w:sz w:val="36"/>
          <w:szCs w:val="36"/>
        </w:rPr>
      </w:pPr>
    </w:p>
    <w:p>
      <w:pPr>
        <w:snapToGrid w:val="0"/>
        <w:ind w:left="2520" w:leftChars="1200" w:firstLine="708" w:firstLineChars="196"/>
        <w:rPr>
          <w:rFonts w:ascii="宋体" w:hAnsi="宋体"/>
          <w:b/>
          <w:sz w:val="36"/>
          <w:szCs w:val="36"/>
        </w:rPr>
      </w:pPr>
      <w:r>
        <w:rPr>
          <w:rFonts w:hint="eastAsia" w:ascii="宋体" w:hAnsi="宋体"/>
          <w:b/>
          <w:sz w:val="36"/>
          <w:szCs w:val="36"/>
        </w:rPr>
        <w:t>报价文件目录</w:t>
      </w:r>
    </w:p>
    <w:p>
      <w:pPr>
        <w:rPr>
          <w:rFonts w:ascii="宋体" w:hAnsi="宋体"/>
        </w:rPr>
      </w:pPr>
    </w:p>
    <w:p>
      <w:pPr>
        <w:spacing w:line="400" w:lineRule="exact"/>
        <w:ind w:firstLine="420" w:firstLineChars="200"/>
        <w:rPr>
          <w:rFonts w:ascii="宋体" w:hAnsi="宋体"/>
          <w:szCs w:val="21"/>
        </w:rPr>
      </w:pPr>
    </w:p>
    <w:p>
      <w:pPr>
        <w:numPr>
          <w:ilvl w:val="0"/>
          <w:numId w:val="4"/>
        </w:numPr>
        <w:spacing w:line="400" w:lineRule="exact"/>
        <w:rPr>
          <w:rFonts w:ascii="宋体" w:hAnsi="宋体"/>
          <w:szCs w:val="21"/>
        </w:rPr>
      </w:pPr>
      <w:r>
        <w:rPr>
          <w:rFonts w:hint="eastAsia" w:ascii="宋体" w:hAnsi="宋体"/>
        </w:rPr>
        <w:t>报价一览表（见附件10）；</w:t>
      </w:r>
    </w:p>
    <w:p>
      <w:pPr>
        <w:numPr>
          <w:ilvl w:val="0"/>
          <w:numId w:val="4"/>
        </w:numPr>
        <w:spacing w:line="400" w:lineRule="exact"/>
        <w:rPr>
          <w:rFonts w:ascii="宋体" w:hAnsi="宋体"/>
          <w:szCs w:val="21"/>
        </w:rPr>
      </w:pPr>
      <w:r>
        <w:rPr>
          <w:rFonts w:hint="eastAsia" w:ascii="宋体" w:hAnsi="宋体"/>
        </w:rPr>
        <w:t>报价明细表（见附件11）；</w:t>
      </w:r>
    </w:p>
    <w:p>
      <w:pPr>
        <w:numPr>
          <w:ilvl w:val="0"/>
          <w:numId w:val="4"/>
        </w:numPr>
        <w:spacing w:line="400" w:lineRule="exact"/>
        <w:rPr>
          <w:rFonts w:ascii="宋体" w:hAnsi="宋体"/>
        </w:rPr>
      </w:pPr>
      <w:r>
        <w:rPr>
          <w:rFonts w:hint="eastAsia" w:ascii="宋体" w:hAnsi="宋体"/>
        </w:rPr>
        <w:t>招标文件需要的其他资料及投标人认为需要提供的其他内容。</w:t>
      </w:r>
    </w:p>
    <w:p>
      <w:pPr>
        <w:snapToGrid w:val="0"/>
        <w:spacing w:beforeLines="50" w:afterLines="50" w:line="400" w:lineRule="atLeast"/>
        <w:rPr>
          <w:rFonts w:ascii="宋体" w:hAnsi="宋体"/>
          <w:sz w:val="30"/>
          <w:szCs w:val="30"/>
        </w:rPr>
      </w:pPr>
    </w:p>
    <w:p>
      <w:pPr>
        <w:snapToGrid w:val="0"/>
        <w:spacing w:beforeLines="50" w:afterLines="50" w:line="400" w:lineRule="atLeast"/>
        <w:rPr>
          <w:rFonts w:ascii="宋体" w:hAnsi="宋体"/>
          <w:sz w:val="30"/>
          <w:szCs w:val="30"/>
        </w:rPr>
      </w:pPr>
    </w:p>
    <w:p>
      <w:pPr>
        <w:snapToGrid w:val="0"/>
        <w:spacing w:beforeLines="50" w:afterLines="50" w:line="400" w:lineRule="atLeast"/>
        <w:rPr>
          <w:rFonts w:ascii="宋体" w:hAnsi="宋体"/>
          <w:sz w:val="30"/>
          <w:szCs w:val="30"/>
        </w:rPr>
      </w:pPr>
    </w:p>
    <w:p>
      <w:pPr>
        <w:snapToGrid w:val="0"/>
        <w:spacing w:beforeLines="50" w:afterLines="50" w:line="400" w:lineRule="atLeast"/>
        <w:rPr>
          <w:rFonts w:ascii="宋体" w:hAnsi="宋体"/>
          <w:sz w:val="30"/>
          <w:szCs w:val="30"/>
        </w:rPr>
      </w:pPr>
    </w:p>
    <w:p>
      <w:pPr>
        <w:snapToGrid w:val="0"/>
        <w:spacing w:beforeLines="50" w:afterLines="50" w:line="400" w:lineRule="atLeast"/>
        <w:rPr>
          <w:rFonts w:ascii="宋体" w:hAnsi="宋体"/>
          <w:sz w:val="30"/>
          <w:szCs w:val="30"/>
        </w:rPr>
      </w:pPr>
    </w:p>
    <w:p>
      <w:pPr>
        <w:snapToGrid w:val="0"/>
        <w:spacing w:beforeLines="50" w:afterLines="50" w:line="400" w:lineRule="atLeast"/>
        <w:rPr>
          <w:rFonts w:ascii="宋体" w:hAnsi="宋体"/>
          <w:sz w:val="30"/>
          <w:szCs w:val="30"/>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38"/>
      </w:pPr>
    </w:p>
    <w:p>
      <w:pPr>
        <w:keepNext/>
        <w:keepLines/>
        <w:spacing w:before="260" w:after="260" w:line="320" w:lineRule="exact"/>
        <w:outlineLvl w:val="1"/>
        <w:rPr>
          <w:rFonts w:ascii="宋体" w:hAnsi="宋体"/>
          <w:b/>
          <w:bCs/>
          <w:sz w:val="24"/>
          <w:szCs w:val="32"/>
        </w:rPr>
      </w:pPr>
      <w:bookmarkStart w:id="286" w:name="_Toc509308166"/>
      <w:bookmarkStart w:id="287" w:name="_Toc503877085"/>
      <w:bookmarkStart w:id="288" w:name="_Toc119922219"/>
      <w:r>
        <w:rPr>
          <w:rFonts w:hint="eastAsia" w:ascii="宋体" w:hAnsi="宋体"/>
          <w:b/>
          <w:bCs/>
          <w:sz w:val="24"/>
          <w:szCs w:val="32"/>
        </w:rPr>
        <w:t>附件10： 报价一览表</w:t>
      </w:r>
      <w:bookmarkEnd w:id="286"/>
      <w:bookmarkEnd w:id="287"/>
      <w:bookmarkEnd w:id="288"/>
    </w:p>
    <w:p>
      <w:pPr>
        <w:rPr>
          <w:rFonts w:hint="default" w:ascii="宋体" w:hAnsi="宋体" w:eastAsia="宋体"/>
          <w:b w:val="0"/>
          <w:bCs/>
          <w:sz w:val="24"/>
          <w:szCs w:val="24"/>
          <w:lang w:val="en-US" w:eastAsia="zh-CN"/>
        </w:rPr>
      </w:pPr>
      <w:r>
        <w:rPr>
          <w:rFonts w:hint="eastAsia" w:ascii="宋体" w:hAnsi="宋体"/>
          <w:b w:val="0"/>
          <w:bCs/>
          <w:sz w:val="24"/>
          <w:szCs w:val="24"/>
          <w:lang w:val="en-US" w:eastAsia="zh-CN"/>
        </w:rPr>
        <w:t>项目名称：桐乡市濮院时尚产业发展集团有限公司及下属公司保险集中招标项目</w:t>
      </w:r>
    </w:p>
    <w:tbl>
      <w:tblPr>
        <w:tblStyle w:val="39"/>
        <w:tblW w:w="9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715"/>
        <w:gridCol w:w="1773"/>
        <w:gridCol w:w="2254"/>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40" w:lineRule="exact"/>
              <w:rPr>
                <w:rFonts w:ascii="宋体" w:hAnsi="宋体"/>
                <w:sz w:val="28"/>
                <w:szCs w:val="28"/>
              </w:rPr>
            </w:pPr>
            <w:r>
              <w:rPr>
                <w:rFonts w:hint="eastAsia" w:ascii="宋体" w:hAnsi="宋体"/>
                <w:sz w:val="28"/>
                <w:szCs w:val="28"/>
              </w:rPr>
              <w:t>序号</w:t>
            </w:r>
          </w:p>
        </w:tc>
        <w:tc>
          <w:tcPr>
            <w:tcW w:w="2715" w:type="dxa"/>
            <w:vAlign w:val="center"/>
          </w:tcPr>
          <w:p>
            <w:pPr>
              <w:spacing w:line="440" w:lineRule="exact"/>
              <w:jc w:val="center"/>
              <w:rPr>
                <w:rFonts w:ascii="宋体" w:hAnsi="宋体"/>
                <w:sz w:val="28"/>
                <w:szCs w:val="28"/>
              </w:rPr>
            </w:pPr>
            <w:r>
              <w:rPr>
                <w:rFonts w:hint="eastAsia" w:ascii="宋体" w:hAnsi="宋体"/>
                <w:sz w:val="28"/>
                <w:szCs w:val="28"/>
                <w:lang w:val="en-US" w:eastAsia="zh-CN"/>
              </w:rPr>
              <w:t>标项</w:t>
            </w:r>
            <w:r>
              <w:rPr>
                <w:rFonts w:hint="eastAsia" w:ascii="宋体" w:hAnsi="宋体"/>
                <w:sz w:val="28"/>
                <w:szCs w:val="28"/>
              </w:rPr>
              <w:t>名称</w:t>
            </w:r>
          </w:p>
        </w:tc>
        <w:tc>
          <w:tcPr>
            <w:tcW w:w="1773" w:type="dxa"/>
            <w:vAlign w:val="center"/>
          </w:tcPr>
          <w:p>
            <w:pPr>
              <w:spacing w:line="440" w:lineRule="exact"/>
              <w:jc w:val="center"/>
              <w:rPr>
                <w:rFonts w:ascii="宋体" w:hAnsi="宋体"/>
                <w:sz w:val="28"/>
                <w:szCs w:val="28"/>
              </w:rPr>
            </w:pPr>
            <w:r>
              <w:rPr>
                <w:rFonts w:hint="eastAsia" w:ascii="宋体" w:hAnsi="宋体"/>
                <w:sz w:val="28"/>
                <w:szCs w:val="28"/>
              </w:rPr>
              <w:t>单位</w:t>
            </w:r>
          </w:p>
        </w:tc>
        <w:tc>
          <w:tcPr>
            <w:tcW w:w="2254" w:type="dxa"/>
            <w:tcBorders>
              <w:bottom w:val="single" w:color="auto" w:sz="4" w:space="0"/>
            </w:tcBorders>
            <w:vAlign w:val="center"/>
          </w:tcPr>
          <w:p>
            <w:pPr>
              <w:spacing w:line="440" w:lineRule="exact"/>
              <w:rPr>
                <w:rFonts w:ascii="宋体" w:hAnsi="宋体"/>
                <w:sz w:val="28"/>
                <w:szCs w:val="28"/>
              </w:rPr>
            </w:pPr>
            <w:r>
              <w:rPr>
                <w:rFonts w:hint="eastAsia" w:ascii="宋体" w:hAnsi="宋体"/>
                <w:sz w:val="28"/>
                <w:szCs w:val="28"/>
              </w:rPr>
              <w:t>投标报价（元）</w:t>
            </w:r>
          </w:p>
        </w:tc>
        <w:tc>
          <w:tcPr>
            <w:tcW w:w="2254" w:type="dxa"/>
            <w:tcBorders>
              <w:bottom w:val="single" w:color="auto" w:sz="4" w:space="0"/>
            </w:tcBorders>
            <w:vAlign w:val="center"/>
          </w:tcPr>
          <w:p>
            <w:pPr>
              <w:spacing w:line="440" w:lineRule="exact"/>
              <w:ind w:firstLine="560" w:firstLineChars="200"/>
              <w:rPr>
                <w:rFonts w:hint="default" w:ascii="宋体" w:hAnsi="宋体" w:eastAsia="宋体"/>
                <w:sz w:val="28"/>
                <w:szCs w:val="28"/>
                <w:lang w:val="en-US" w:eastAsia="zh-CN"/>
              </w:rPr>
            </w:pPr>
            <w:r>
              <w:rPr>
                <w:rFonts w:hint="eastAsia" w:ascii="宋体" w:hAnsi="宋体"/>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675" w:type="dxa"/>
            <w:vAlign w:val="center"/>
          </w:tcPr>
          <w:p>
            <w:pPr>
              <w:spacing w:line="440" w:lineRule="exact"/>
              <w:rPr>
                <w:rFonts w:ascii="宋体" w:hAnsi="宋体"/>
                <w:sz w:val="28"/>
                <w:szCs w:val="28"/>
              </w:rPr>
            </w:pPr>
            <w:r>
              <w:rPr>
                <w:rFonts w:hint="eastAsia" w:ascii="宋体" w:hAnsi="宋体"/>
                <w:sz w:val="28"/>
                <w:szCs w:val="28"/>
              </w:rPr>
              <w:t>1</w:t>
            </w:r>
          </w:p>
        </w:tc>
        <w:tc>
          <w:tcPr>
            <w:tcW w:w="2715" w:type="dxa"/>
            <w:vAlign w:val="center"/>
          </w:tcPr>
          <w:p>
            <w:pPr>
              <w:spacing w:line="460" w:lineRule="exact"/>
              <w:rPr>
                <w:rFonts w:hint="eastAsia" w:ascii="宋体" w:hAnsi="宋体" w:eastAsia="宋体"/>
                <w:sz w:val="28"/>
                <w:szCs w:val="28"/>
                <w:lang w:val="en-US" w:eastAsia="zh-CN"/>
              </w:rPr>
            </w:pPr>
            <w:r>
              <w:rPr>
                <w:rFonts w:hint="eastAsia" w:ascii="宋体" w:hAnsi="宋体"/>
                <w:sz w:val="28"/>
                <w:szCs w:val="28"/>
              </w:rPr>
              <w:t xml:space="preserve">   </w:t>
            </w:r>
            <w:r>
              <w:rPr>
                <w:rFonts w:hint="eastAsia" w:ascii="宋体" w:hAnsi="宋体"/>
                <w:sz w:val="28"/>
                <w:szCs w:val="28"/>
                <w:lang w:val="en-US" w:eastAsia="zh-CN"/>
              </w:rPr>
              <w:t xml:space="preserve"> 标项一财产险</w:t>
            </w:r>
          </w:p>
        </w:tc>
        <w:tc>
          <w:tcPr>
            <w:tcW w:w="1773" w:type="dxa"/>
            <w:tcBorders>
              <w:right w:val="single" w:color="auto" w:sz="4" w:space="0"/>
            </w:tcBorders>
            <w:vAlign w:val="center"/>
          </w:tcPr>
          <w:p>
            <w:pPr>
              <w:spacing w:line="440" w:lineRule="exact"/>
              <w:jc w:val="center"/>
              <w:rPr>
                <w:rFonts w:ascii="宋体" w:hAnsi="宋体"/>
                <w:sz w:val="28"/>
                <w:szCs w:val="28"/>
              </w:rPr>
            </w:pPr>
            <w:r>
              <w:rPr>
                <w:rFonts w:hint="eastAsia" w:ascii="宋体" w:hAnsi="宋体"/>
                <w:sz w:val="28"/>
                <w:szCs w:val="28"/>
              </w:rPr>
              <w:t>项</w:t>
            </w:r>
          </w:p>
        </w:tc>
        <w:tc>
          <w:tcPr>
            <w:tcW w:w="2254" w:type="dxa"/>
            <w:tcBorders>
              <w:top w:val="single" w:color="auto" w:sz="4" w:space="0"/>
              <w:left w:val="single" w:color="auto" w:sz="4" w:space="0"/>
              <w:right w:val="single" w:color="auto" w:sz="4" w:space="0"/>
            </w:tcBorders>
            <w:vAlign w:val="center"/>
          </w:tcPr>
          <w:p>
            <w:pPr>
              <w:spacing w:line="440" w:lineRule="exact"/>
              <w:rPr>
                <w:rFonts w:ascii="宋体" w:hAnsi="宋体"/>
                <w:sz w:val="28"/>
                <w:szCs w:val="28"/>
              </w:rPr>
            </w:pPr>
          </w:p>
        </w:tc>
        <w:tc>
          <w:tcPr>
            <w:tcW w:w="2254" w:type="dxa"/>
            <w:tcBorders>
              <w:top w:val="single" w:color="auto" w:sz="4" w:space="0"/>
              <w:left w:val="single" w:color="auto" w:sz="4" w:space="0"/>
              <w:right w:val="single" w:color="auto" w:sz="4" w:space="0"/>
            </w:tcBorders>
            <w:vAlign w:val="center"/>
          </w:tcPr>
          <w:p>
            <w:pPr>
              <w:spacing w:line="44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675" w:type="dxa"/>
            <w:vAlign w:val="center"/>
          </w:tcPr>
          <w:p>
            <w:pPr>
              <w:spacing w:line="440" w:lineRule="exact"/>
              <w:rPr>
                <w:rFonts w:hint="eastAsia" w:ascii="宋体" w:hAnsi="宋体" w:eastAsia="宋体"/>
                <w:sz w:val="28"/>
                <w:szCs w:val="28"/>
                <w:lang w:val="en-US" w:eastAsia="zh-CN"/>
              </w:rPr>
            </w:pPr>
            <w:r>
              <w:rPr>
                <w:rFonts w:hint="eastAsia" w:ascii="宋体" w:hAnsi="宋体"/>
                <w:sz w:val="28"/>
                <w:szCs w:val="28"/>
                <w:lang w:val="en-US" w:eastAsia="zh-CN"/>
              </w:rPr>
              <w:t>2</w:t>
            </w:r>
          </w:p>
        </w:tc>
        <w:tc>
          <w:tcPr>
            <w:tcW w:w="2715" w:type="dxa"/>
            <w:vAlign w:val="center"/>
          </w:tcPr>
          <w:p>
            <w:pPr>
              <w:spacing w:line="460" w:lineRule="exact"/>
              <w:ind w:firstLine="560" w:firstLineChars="200"/>
              <w:rPr>
                <w:rFonts w:hint="eastAsia" w:ascii="宋体" w:hAnsi="宋体"/>
                <w:sz w:val="28"/>
                <w:szCs w:val="28"/>
              </w:rPr>
            </w:pPr>
            <w:r>
              <w:rPr>
                <w:rFonts w:hint="eastAsia" w:ascii="宋体" w:hAnsi="宋体"/>
                <w:sz w:val="28"/>
                <w:szCs w:val="28"/>
                <w:lang w:val="en-US" w:eastAsia="zh-CN"/>
              </w:rPr>
              <w:t>标项一车险</w:t>
            </w:r>
          </w:p>
        </w:tc>
        <w:tc>
          <w:tcPr>
            <w:tcW w:w="1773" w:type="dxa"/>
            <w:tcBorders>
              <w:right w:val="single" w:color="auto" w:sz="4" w:space="0"/>
            </w:tcBorders>
            <w:vAlign w:val="center"/>
          </w:tcPr>
          <w:p>
            <w:pPr>
              <w:spacing w:line="440" w:lineRule="exact"/>
              <w:jc w:val="center"/>
              <w:rPr>
                <w:rFonts w:hint="eastAsia" w:ascii="宋体" w:hAnsi="宋体"/>
                <w:sz w:val="28"/>
                <w:szCs w:val="28"/>
              </w:rPr>
            </w:pPr>
            <w:r>
              <w:rPr>
                <w:rFonts w:hint="eastAsia" w:ascii="宋体" w:hAnsi="宋体"/>
                <w:sz w:val="28"/>
                <w:szCs w:val="28"/>
              </w:rPr>
              <w:t>项</w:t>
            </w:r>
          </w:p>
        </w:tc>
        <w:tc>
          <w:tcPr>
            <w:tcW w:w="2254" w:type="dxa"/>
            <w:tcBorders>
              <w:top w:val="single" w:color="auto" w:sz="4" w:space="0"/>
              <w:left w:val="single" w:color="auto" w:sz="4" w:space="0"/>
              <w:right w:val="single" w:color="auto" w:sz="4" w:space="0"/>
            </w:tcBorders>
            <w:vAlign w:val="center"/>
          </w:tcPr>
          <w:p>
            <w:pPr>
              <w:spacing w:line="440" w:lineRule="exact"/>
              <w:ind w:firstLine="1120" w:firstLineChars="400"/>
              <w:rPr>
                <w:rFonts w:hint="eastAsia" w:ascii="宋体" w:hAnsi="宋体" w:eastAsia="宋体"/>
                <w:sz w:val="28"/>
                <w:szCs w:val="28"/>
                <w:lang w:val="en-US" w:eastAsia="zh-CN"/>
              </w:rPr>
            </w:pPr>
            <w:r>
              <w:rPr>
                <w:rFonts w:hint="eastAsia" w:ascii="宋体" w:hAnsi="宋体"/>
                <w:sz w:val="28"/>
                <w:szCs w:val="28"/>
                <w:lang w:val="en-US" w:eastAsia="zh-CN"/>
              </w:rPr>
              <w:t>/</w:t>
            </w:r>
          </w:p>
        </w:tc>
        <w:tc>
          <w:tcPr>
            <w:tcW w:w="2254" w:type="dxa"/>
            <w:tcBorders>
              <w:top w:val="single" w:color="auto" w:sz="4" w:space="0"/>
              <w:left w:val="single" w:color="auto" w:sz="4" w:space="0"/>
              <w:right w:val="single" w:color="auto" w:sz="4" w:space="0"/>
            </w:tcBorders>
            <w:vAlign w:val="center"/>
          </w:tcPr>
          <w:p>
            <w:pPr>
              <w:spacing w:line="440" w:lineRule="exact"/>
              <w:rPr>
                <w:rFonts w:hint="eastAsia" w:ascii="宋体" w:hAnsi="宋体"/>
                <w:sz w:val="28"/>
                <w:szCs w:val="28"/>
                <w:lang w:val="en-US" w:eastAsia="zh-CN"/>
              </w:rPr>
            </w:pPr>
            <w:r>
              <w:rPr>
                <w:rFonts w:hint="eastAsia" w:ascii="宋体" w:hAnsi="宋体"/>
                <w:sz w:val="18"/>
                <w:szCs w:val="18"/>
                <w:lang w:val="en-US" w:eastAsia="zh-CN"/>
              </w:rPr>
              <w:t>车险总预算10万元，考虑车险报价的特殊性，请各投标单位出具承诺函对我单位所投保的车险进行自主优惠折扣承诺，要求为9.5折（不含电动汽车）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5163" w:type="dxa"/>
            <w:gridSpan w:val="3"/>
            <w:vAlign w:val="center"/>
          </w:tcPr>
          <w:p>
            <w:pPr>
              <w:spacing w:line="440" w:lineRule="exact"/>
              <w:ind w:firstLine="1680" w:firstLineChars="600"/>
              <w:rPr>
                <w:rFonts w:ascii="宋体" w:hAnsi="宋体"/>
                <w:sz w:val="28"/>
                <w:szCs w:val="28"/>
              </w:rPr>
            </w:pPr>
            <w:r>
              <w:rPr>
                <w:rFonts w:hint="eastAsia" w:ascii="宋体" w:hAnsi="宋体"/>
                <w:sz w:val="28"/>
                <w:szCs w:val="28"/>
              </w:rPr>
              <w:t>合计</w:t>
            </w:r>
          </w:p>
        </w:tc>
        <w:tc>
          <w:tcPr>
            <w:tcW w:w="2254" w:type="dxa"/>
            <w:vAlign w:val="center"/>
          </w:tcPr>
          <w:p>
            <w:pPr>
              <w:spacing w:line="440" w:lineRule="exact"/>
              <w:rPr>
                <w:rFonts w:ascii="宋体" w:hAnsi="宋体"/>
                <w:sz w:val="28"/>
                <w:szCs w:val="28"/>
              </w:rPr>
            </w:pPr>
          </w:p>
        </w:tc>
        <w:tc>
          <w:tcPr>
            <w:tcW w:w="2254" w:type="dxa"/>
            <w:vAlign w:val="center"/>
          </w:tcPr>
          <w:p>
            <w:pPr>
              <w:spacing w:line="440" w:lineRule="exact"/>
              <w:rPr>
                <w:rFonts w:ascii="宋体" w:hAnsi="宋体"/>
                <w:sz w:val="28"/>
                <w:szCs w:val="28"/>
              </w:rPr>
            </w:pPr>
          </w:p>
        </w:tc>
      </w:tr>
    </w:tbl>
    <w:p>
      <w:pPr>
        <w:spacing w:line="440" w:lineRule="exact"/>
        <w:rPr>
          <w:rFonts w:ascii="宋体" w:hAnsi="宋体"/>
          <w:bCs/>
          <w:sz w:val="28"/>
          <w:szCs w:val="28"/>
        </w:rPr>
      </w:pPr>
      <w:r>
        <w:rPr>
          <w:rFonts w:hint="eastAsia" w:ascii="宋体" w:hAnsi="宋体"/>
          <w:bCs/>
          <w:sz w:val="28"/>
          <w:szCs w:val="28"/>
        </w:rPr>
        <w:t>注：1、投标总报价必须包含完成该项目所需的一切相关税费及其他费用。</w:t>
      </w:r>
    </w:p>
    <w:p>
      <w:pPr>
        <w:spacing w:line="440" w:lineRule="exact"/>
        <w:rPr>
          <w:rFonts w:ascii="宋体" w:hAnsi="宋体"/>
          <w:bCs/>
          <w:sz w:val="28"/>
          <w:szCs w:val="28"/>
        </w:rPr>
      </w:pPr>
    </w:p>
    <w:p>
      <w:pPr>
        <w:spacing w:line="440" w:lineRule="exact"/>
        <w:rPr>
          <w:rFonts w:ascii="宋体" w:hAnsi="宋体"/>
          <w:bCs/>
          <w:sz w:val="28"/>
          <w:szCs w:val="28"/>
        </w:rPr>
      </w:pPr>
    </w:p>
    <w:p>
      <w:pPr>
        <w:spacing w:line="440" w:lineRule="exact"/>
        <w:rPr>
          <w:rFonts w:ascii="宋体" w:hAnsi="宋体"/>
          <w:bCs/>
          <w:sz w:val="28"/>
          <w:szCs w:val="28"/>
        </w:rPr>
      </w:pPr>
    </w:p>
    <w:p>
      <w:pPr>
        <w:pStyle w:val="180"/>
        <w:jc w:val="left"/>
        <w:rPr>
          <w:rFonts w:ascii="宋体" w:hAnsi="宋体"/>
          <w:sz w:val="28"/>
          <w:szCs w:val="28"/>
        </w:rPr>
      </w:pPr>
      <w:r>
        <w:rPr>
          <w:rFonts w:hint="eastAsia" w:ascii="宋体" w:hAnsi="宋体"/>
          <w:bCs/>
          <w:sz w:val="28"/>
          <w:szCs w:val="28"/>
        </w:rPr>
        <w:t>投标总报价：</w:t>
      </w:r>
      <w:r>
        <w:rPr>
          <w:rFonts w:hint="eastAsia" w:ascii="宋体" w:hAnsi="宋体"/>
          <w:sz w:val="28"/>
          <w:szCs w:val="28"/>
          <w:u w:val="single"/>
        </w:rPr>
        <w:t xml:space="preserve">（小写）                          </w:t>
      </w:r>
    </w:p>
    <w:p>
      <w:pPr>
        <w:spacing w:line="440" w:lineRule="exact"/>
        <w:rPr>
          <w:rFonts w:ascii="宋体" w:hAnsi="宋体"/>
          <w:bCs/>
          <w:sz w:val="28"/>
          <w:szCs w:val="28"/>
        </w:rPr>
      </w:pPr>
    </w:p>
    <w:p>
      <w:pPr>
        <w:spacing w:line="440" w:lineRule="exact"/>
        <w:ind w:firstLine="1540" w:firstLineChars="550"/>
        <w:rPr>
          <w:rFonts w:ascii="宋体" w:hAnsi="宋体"/>
          <w:bCs/>
          <w:sz w:val="28"/>
          <w:szCs w:val="28"/>
        </w:rPr>
      </w:pPr>
      <w:r>
        <w:rPr>
          <w:rFonts w:hint="eastAsia" w:ascii="宋体" w:hAnsi="宋体"/>
          <w:bCs/>
          <w:sz w:val="28"/>
          <w:szCs w:val="28"/>
          <w:u w:val="single"/>
        </w:rPr>
        <w:t xml:space="preserve">（大写)                           </w:t>
      </w:r>
    </w:p>
    <w:p>
      <w:pPr>
        <w:spacing w:line="440" w:lineRule="exact"/>
        <w:rPr>
          <w:rFonts w:ascii="宋体" w:hAnsi="宋体"/>
          <w:sz w:val="28"/>
          <w:szCs w:val="28"/>
        </w:rPr>
      </w:pPr>
      <w:r>
        <w:rPr>
          <w:rFonts w:hint="eastAsia" w:ascii="宋体" w:hAnsi="宋体"/>
          <w:sz w:val="28"/>
          <w:szCs w:val="28"/>
        </w:rPr>
        <w:t>投标人（盖章）：</w:t>
      </w:r>
    </w:p>
    <w:p>
      <w:pPr>
        <w:spacing w:line="440" w:lineRule="exact"/>
        <w:rPr>
          <w:rFonts w:ascii="宋体" w:hAnsi="宋体"/>
          <w:sz w:val="28"/>
          <w:szCs w:val="28"/>
        </w:rPr>
      </w:pPr>
      <w:r>
        <w:rPr>
          <w:rFonts w:hint="eastAsia" w:ascii="宋体" w:hAnsi="宋体"/>
          <w:sz w:val="28"/>
          <w:szCs w:val="28"/>
        </w:rPr>
        <w:t>投标人全权代表（签字）：</w:t>
      </w:r>
    </w:p>
    <w:p>
      <w:pPr>
        <w:spacing w:line="440" w:lineRule="exact"/>
        <w:rPr>
          <w:rFonts w:ascii="宋体" w:hAnsi="宋体"/>
          <w:sz w:val="28"/>
          <w:szCs w:val="28"/>
        </w:rPr>
      </w:pPr>
      <w:r>
        <w:rPr>
          <w:rFonts w:hint="eastAsia" w:ascii="宋体" w:hAnsi="宋体"/>
          <w:sz w:val="28"/>
          <w:szCs w:val="28"/>
        </w:rPr>
        <w:t>日期：</w:t>
      </w: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keepNext/>
        <w:keepLines/>
        <w:spacing w:before="260" w:after="260" w:line="320" w:lineRule="exact"/>
        <w:outlineLvl w:val="1"/>
        <w:rPr>
          <w:rFonts w:hint="eastAsia" w:ascii="宋体" w:hAnsi="宋体"/>
          <w:b/>
          <w:bCs/>
          <w:sz w:val="24"/>
          <w:szCs w:val="32"/>
        </w:rPr>
      </w:pPr>
      <w:bookmarkStart w:id="289" w:name="_Toc119922220"/>
    </w:p>
    <w:p>
      <w:pPr>
        <w:keepNext/>
        <w:keepLines/>
        <w:spacing w:before="260" w:after="260" w:line="320" w:lineRule="exact"/>
        <w:outlineLvl w:val="1"/>
        <w:rPr>
          <w:rFonts w:hint="eastAsia" w:ascii="宋体" w:hAnsi="宋体"/>
          <w:b/>
          <w:bCs/>
          <w:sz w:val="24"/>
          <w:szCs w:val="32"/>
        </w:rPr>
      </w:pPr>
      <w:r>
        <w:rPr>
          <w:rFonts w:hint="eastAsia" w:ascii="宋体" w:hAnsi="宋体"/>
          <w:b/>
          <w:bCs/>
          <w:sz w:val="24"/>
          <w:szCs w:val="32"/>
        </w:rPr>
        <w:t>附件11：报价明细表（格式自拟）</w:t>
      </w:r>
      <w:bookmarkEnd w:id="289"/>
    </w:p>
    <w:p>
      <w:pPr>
        <w:pStyle w:val="38"/>
        <w:rPr>
          <w:rFonts w:hint="eastAsia" w:ascii="宋体" w:hAnsi="宋体"/>
          <w:b/>
          <w:bCs/>
          <w:sz w:val="24"/>
          <w:szCs w:val="32"/>
        </w:rPr>
      </w:pPr>
    </w:p>
    <w:p>
      <w:pPr>
        <w:pStyle w:val="38"/>
        <w:rPr>
          <w:rFonts w:hint="eastAsia" w:ascii="宋体" w:hAnsi="宋体"/>
          <w:b/>
          <w:bCs/>
          <w:sz w:val="24"/>
          <w:szCs w:val="32"/>
        </w:rPr>
      </w:pPr>
    </w:p>
    <w:p>
      <w:pPr>
        <w:pStyle w:val="38"/>
        <w:rPr>
          <w:rFonts w:hint="eastAsia" w:ascii="宋体" w:hAnsi="宋体"/>
          <w:b/>
          <w:bCs/>
          <w:sz w:val="24"/>
          <w:szCs w:val="32"/>
        </w:rPr>
      </w:pPr>
    </w:p>
    <w:p>
      <w:pPr>
        <w:pStyle w:val="38"/>
        <w:rPr>
          <w:rFonts w:hint="eastAsia" w:ascii="宋体" w:hAnsi="宋体"/>
          <w:b/>
          <w:bCs/>
          <w:sz w:val="24"/>
          <w:szCs w:val="32"/>
        </w:rPr>
      </w:pPr>
    </w:p>
    <w:p>
      <w:pPr>
        <w:pStyle w:val="38"/>
        <w:rPr>
          <w:rFonts w:hint="eastAsia" w:ascii="宋体" w:hAnsi="宋体"/>
          <w:b/>
          <w:bCs/>
          <w:sz w:val="24"/>
          <w:szCs w:val="32"/>
        </w:rPr>
      </w:pPr>
    </w:p>
    <w:p>
      <w:pPr>
        <w:pStyle w:val="38"/>
        <w:rPr>
          <w:rFonts w:hint="eastAsia" w:ascii="宋体" w:hAnsi="宋体"/>
          <w:b/>
          <w:bCs/>
          <w:sz w:val="24"/>
          <w:szCs w:val="32"/>
        </w:rPr>
      </w:pPr>
    </w:p>
    <w:p>
      <w:pPr>
        <w:pStyle w:val="38"/>
        <w:rPr>
          <w:rFonts w:hint="eastAsia" w:ascii="宋体" w:hAnsi="宋体"/>
          <w:b/>
          <w:bCs/>
          <w:sz w:val="24"/>
          <w:szCs w:val="32"/>
        </w:rPr>
      </w:pPr>
    </w:p>
    <w:p>
      <w:pPr>
        <w:pStyle w:val="38"/>
        <w:rPr>
          <w:rFonts w:hint="eastAsia" w:ascii="宋体" w:hAnsi="宋体"/>
          <w:b/>
          <w:bCs/>
          <w:sz w:val="24"/>
          <w:szCs w:val="32"/>
        </w:rPr>
      </w:pPr>
    </w:p>
    <w:p>
      <w:pPr>
        <w:pStyle w:val="38"/>
        <w:rPr>
          <w:rFonts w:hint="eastAsia" w:ascii="宋体" w:hAnsi="宋体"/>
          <w:b/>
          <w:bCs/>
          <w:sz w:val="24"/>
          <w:szCs w:val="32"/>
        </w:rPr>
      </w:pPr>
    </w:p>
    <w:p>
      <w:pPr>
        <w:pStyle w:val="38"/>
        <w:rPr>
          <w:rFonts w:hint="eastAsia" w:ascii="宋体" w:hAnsi="宋体"/>
          <w:b/>
          <w:bCs/>
          <w:sz w:val="24"/>
          <w:szCs w:val="32"/>
        </w:rPr>
      </w:pPr>
    </w:p>
    <w:p>
      <w:pPr>
        <w:pStyle w:val="38"/>
        <w:rPr>
          <w:rFonts w:hint="eastAsia" w:ascii="宋体" w:hAnsi="宋体"/>
          <w:b/>
          <w:bCs/>
          <w:sz w:val="24"/>
          <w:szCs w:val="32"/>
        </w:rPr>
      </w:pPr>
    </w:p>
    <w:p>
      <w:pPr>
        <w:pStyle w:val="38"/>
        <w:rPr>
          <w:rFonts w:hint="eastAsia" w:ascii="宋体" w:hAnsi="宋体"/>
          <w:b/>
          <w:bCs/>
          <w:sz w:val="24"/>
          <w:szCs w:val="32"/>
        </w:rPr>
      </w:pPr>
    </w:p>
    <w:p>
      <w:pPr>
        <w:pStyle w:val="38"/>
        <w:rPr>
          <w:rFonts w:hint="eastAsia" w:ascii="宋体" w:hAnsi="宋体"/>
          <w:b/>
          <w:bCs/>
          <w:sz w:val="24"/>
          <w:szCs w:val="32"/>
        </w:rPr>
      </w:pPr>
    </w:p>
    <w:p>
      <w:pPr>
        <w:pStyle w:val="38"/>
        <w:rPr>
          <w:rFonts w:hint="eastAsia" w:ascii="宋体" w:hAnsi="宋体"/>
          <w:b/>
          <w:bCs/>
          <w:sz w:val="24"/>
          <w:szCs w:val="32"/>
        </w:rPr>
      </w:pPr>
    </w:p>
    <w:p>
      <w:pPr>
        <w:pStyle w:val="38"/>
        <w:rPr>
          <w:rFonts w:hint="eastAsia" w:ascii="宋体" w:hAnsi="宋体"/>
          <w:b/>
          <w:bCs/>
          <w:sz w:val="24"/>
          <w:szCs w:val="32"/>
        </w:rPr>
      </w:pPr>
    </w:p>
    <w:p>
      <w:pPr>
        <w:pStyle w:val="38"/>
        <w:rPr>
          <w:rFonts w:hint="eastAsia" w:ascii="宋体" w:hAnsi="宋体"/>
          <w:b/>
          <w:bCs/>
          <w:sz w:val="24"/>
          <w:szCs w:val="32"/>
        </w:rPr>
      </w:pPr>
    </w:p>
    <w:p>
      <w:pPr>
        <w:pStyle w:val="38"/>
        <w:rPr>
          <w:rFonts w:hint="eastAsia" w:ascii="宋体" w:hAnsi="宋体"/>
          <w:b/>
          <w:bCs/>
          <w:sz w:val="24"/>
          <w:szCs w:val="32"/>
        </w:rPr>
      </w:pPr>
    </w:p>
    <w:p>
      <w:pPr>
        <w:pStyle w:val="38"/>
        <w:rPr>
          <w:rFonts w:hint="eastAsia" w:ascii="宋体" w:hAnsi="宋体"/>
          <w:b/>
          <w:bCs/>
          <w:sz w:val="24"/>
          <w:szCs w:val="32"/>
        </w:rPr>
      </w:pPr>
    </w:p>
    <w:p>
      <w:pPr>
        <w:pStyle w:val="38"/>
        <w:rPr>
          <w:rFonts w:hint="eastAsia" w:ascii="宋体" w:hAnsi="宋体"/>
          <w:b/>
          <w:bCs/>
          <w:sz w:val="24"/>
          <w:szCs w:val="32"/>
        </w:rPr>
      </w:pPr>
    </w:p>
    <w:p>
      <w:pPr>
        <w:pStyle w:val="38"/>
        <w:rPr>
          <w:rFonts w:hint="eastAsia" w:ascii="宋体" w:hAnsi="宋体"/>
          <w:b/>
          <w:bCs/>
          <w:sz w:val="24"/>
          <w:szCs w:val="32"/>
        </w:rPr>
      </w:pPr>
    </w:p>
    <w:p>
      <w:pPr>
        <w:pStyle w:val="38"/>
        <w:rPr>
          <w:rFonts w:hint="eastAsia" w:ascii="宋体" w:hAnsi="宋体"/>
          <w:b/>
          <w:bCs/>
          <w:sz w:val="24"/>
          <w:szCs w:val="32"/>
        </w:rPr>
      </w:pPr>
    </w:p>
    <w:p>
      <w:pPr>
        <w:pStyle w:val="38"/>
        <w:rPr>
          <w:rFonts w:hint="eastAsia" w:ascii="宋体" w:hAnsi="宋体"/>
          <w:b/>
          <w:bCs/>
          <w:sz w:val="24"/>
          <w:szCs w:val="32"/>
        </w:rPr>
      </w:pPr>
    </w:p>
    <w:p>
      <w:pPr>
        <w:pStyle w:val="38"/>
        <w:rPr>
          <w:rFonts w:hint="eastAsia" w:ascii="宋体" w:hAnsi="宋体"/>
          <w:b/>
          <w:bCs/>
          <w:sz w:val="24"/>
          <w:szCs w:val="32"/>
        </w:rPr>
      </w:pPr>
    </w:p>
    <w:p>
      <w:pPr>
        <w:pStyle w:val="38"/>
        <w:rPr>
          <w:rFonts w:hint="eastAsia" w:ascii="宋体" w:hAnsi="宋体"/>
          <w:b/>
          <w:bCs/>
          <w:sz w:val="24"/>
          <w:szCs w:val="32"/>
        </w:rPr>
      </w:pPr>
    </w:p>
    <w:p>
      <w:pPr>
        <w:pStyle w:val="38"/>
        <w:rPr>
          <w:rFonts w:hint="eastAsia" w:ascii="宋体" w:hAnsi="宋体"/>
          <w:b/>
          <w:bCs/>
          <w:sz w:val="24"/>
          <w:szCs w:val="32"/>
        </w:rPr>
      </w:pPr>
    </w:p>
    <w:p>
      <w:pPr>
        <w:pStyle w:val="38"/>
        <w:rPr>
          <w:rFonts w:hint="eastAsia" w:ascii="宋体" w:hAnsi="宋体"/>
          <w:b/>
          <w:bCs/>
          <w:sz w:val="24"/>
          <w:szCs w:val="32"/>
        </w:rPr>
      </w:pPr>
    </w:p>
    <w:p>
      <w:pPr>
        <w:pStyle w:val="38"/>
        <w:rPr>
          <w:rFonts w:hint="eastAsia" w:ascii="宋体" w:hAnsi="宋体"/>
          <w:b/>
          <w:bCs/>
          <w:sz w:val="24"/>
          <w:szCs w:val="32"/>
        </w:rPr>
      </w:pPr>
    </w:p>
    <w:p>
      <w:pPr>
        <w:pStyle w:val="38"/>
        <w:rPr>
          <w:rFonts w:hint="eastAsia" w:ascii="宋体" w:hAnsi="宋体"/>
          <w:b/>
          <w:bCs/>
          <w:sz w:val="24"/>
          <w:szCs w:val="32"/>
        </w:rPr>
      </w:pPr>
    </w:p>
    <w:p>
      <w:pPr>
        <w:pStyle w:val="38"/>
        <w:rPr>
          <w:rFonts w:hint="eastAsia" w:ascii="宋体" w:hAnsi="宋体"/>
          <w:b/>
          <w:bCs/>
          <w:sz w:val="24"/>
          <w:szCs w:val="32"/>
        </w:rPr>
      </w:pPr>
    </w:p>
    <w:p>
      <w:pPr>
        <w:pStyle w:val="38"/>
        <w:rPr>
          <w:rFonts w:hint="eastAsia" w:ascii="宋体" w:hAnsi="宋体"/>
          <w:b/>
          <w:bCs/>
          <w:sz w:val="24"/>
          <w:szCs w:val="32"/>
        </w:rPr>
      </w:pPr>
    </w:p>
    <w:p>
      <w:pPr>
        <w:pStyle w:val="38"/>
        <w:rPr>
          <w:rFonts w:hint="eastAsia" w:ascii="宋体" w:hAnsi="宋体"/>
          <w:b/>
          <w:bCs/>
          <w:sz w:val="24"/>
          <w:szCs w:val="32"/>
        </w:rPr>
      </w:pPr>
    </w:p>
    <w:p>
      <w:pPr>
        <w:rPr>
          <w:rFonts w:ascii="宋体" w:hAnsi="宋体"/>
        </w:rPr>
      </w:pPr>
      <w:r>
        <w:rPr>
          <w:rFonts w:hint="eastAsia" w:ascii="宋体" w:hAnsi="宋体"/>
          <w:sz w:val="24"/>
        </w:rPr>
        <w:t>附件</w:t>
      </w:r>
      <w:r>
        <w:rPr>
          <w:rFonts w:hint="eastAsia" w:ascii="宋体" w:hAnsi="宋体"/>
          <w:sz w:val="24"/>
          <w:lang w:val="en-US" w:eastAsia="zh-CN"/>
        </w:rPr>
        <w:t>12</w:t>
      </w:r>
      <w:r>
        <w:rPr>
          <w:rFonts w:hint="eastAsia" w:ascii="宋体" w:hAnsi="宋体"/>
          <w:sz w:val="24"/>
        </w:rPr>
        <w:t>： 报价文件封面格式及目录</w:t>
      </w:r>
    </w:p>
    <w:p>
      <w:pPr>
        <w:snapToGrid w:val="0"/>
        <w:spacing w:beforeLines="50" w:afterLines="50" w:line="400" w:lineRule="atLeast"/>
        <w:rPr>
          <w:rFonts w:ascii="宋体" w:hAnsi="宋体"/>
          <w:sz w:val="30"/>
          <w:szCs w:val="30"/>
        </w:rPr>
      </w:pPr>
      <w:r>
        <w:rPr>
          <w:rFonts w:hint="eastAsia" w:ascii="宋体" w:hAnsi="宋体"/>
          <w:bCs/>
          <w:sz w:val="30"/>
          <w:szCs w:val="30"/>
        </w:rPr>
        <w:t xml:space="preserve">                                             正本或副本</w:t>
      </w:r>
    </w:p>
    <w:p>
      <w:pPr>
        <w:ind w:right="-110"/>
        <w:jc w:val="center"/>
        <w:rPr>
          <w:rFonts w:ascii="宋体" w:hAnsi="宋体"/>
          <w:spacing w:val="40"/>
          <w:sz w:val="32"/>
          <w:szCs w:val="32"/>
        </w:rPr>
      </w:pPr>
      <w:r>
        <w:rPr>
          <w:rFonts w:hint="eastAsia" w:ascii="宋体" w:hAnsi="宋体"/>
          <w:spacing w:val="40"/>
          <w:sz w:val="52"/>
          <w:szCs w:val="52"/>
        </w:rPr>
        <w:t>项目名称：×××</w:t>
      </w:r>
    </w:p>
    <w:p>
      <w:pPr>
        <w:ind w:right="-110"/>
        <w:jc w:val="center"/>
        <w:rPr>
          <w:rFonts w:ascii="宋体" w:hAnsi="宋体"/>
          <w:spacing w:val="40"/>
          <w:sz w:val="52"/>
          <w:szCs w:val="52"/>
        </w:rPr>
      </w:pPr>
      <w:r>
        <w:rPr>
          <w:rFonts w:hint="eastAsia" w:ascii="宋体" w:hAnsi="宋体"/>
          <w:spacing w:val="40"/>
          <w:sz w:val="52"/>
          <w:szCs w:val="52"/>
        </w:rPr>
        <w:t>（标项</w:t>
      </w:r>
      <w:r>
        <w:rPr>
          <w:rFonts w:hint="eastAsia" w:ascii="宋体" w:hAnsi="宋体"/>
          <w:spacing w:val="40"/>
          <w:sz w:val="52"/>
          <w:szCs w:val="52"/>
          <w:lang w:val="en-US" w:eastAsia="zh-CN"/>
        </w:rPr>
        <w:t>二</w:t>
      </w:r>
      <w:r>
        <w:rPr>
          <w:rFonts w:hint="eastAsia" w:ascii="宋体" w:hAnsi="宋体"/>
          <w:spacing w:val="40"/>
          <w:sz w:val="52"/>
          <w:szCs w:val="52"/>
        </w:rPr>
        <w:t>）</w:t>
      </w:r>
    </w:p>
    <w:p>
      <w:pPr>
        <w:spacing w:after="100" w:afterAutospacing="1" w:line="800" w:lineRule="exact"/>
        <w:ind w:right="-108"/>
        <w:jc w:val="center"/>
        <w:rPr>
          <w:rFonts w:ascii="宋体" w:hAnsi="宋体"/>
          <w:b/>
          <w:spacing w:val="40"/>
          <w:sz w:val="84"/>
          <w:szCs w:val="84"/>
        </w:rPr>
      </w:pP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报</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价</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文</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件</w:t>
      </w:r>
    </w:p>
    <w:p>
      <w:pPr>
        <w:spacing w:line="500" w:lineRule="exact"/>
        <w:ind w:right="532" w:firstLine="720" w:firstLineChars="200"/>
        <w:rPr>
          <w:rFonts w:ascii="宋体" w:hAnsi="宋体"/>
          <w:sz w:val="36"/>
          <w:szCs w:val="36"/>
        </w:rPr>
      </w:pPr>
      <w:r>
        <w:rPr>
          <w:rFonts w:hint="eastAsia" w:ascii="宋体" w:hAnsi="宋体"/>
          <w:sz w:val="36"/>
          <w:szCs w:val="36"/>
        </w:rPr>
        <w:t>投标人全称（公章）：</w:t>
      </w:r>
    </w:p>
    <w:p>
      <w:pPr>
        <w:wordWrap w:val="0"/>
        <w:spacing w:line="500" w:lineRule="exact"/>
        <w:ind w:right="-108" w:firstLine="720" w:firstLineChars="200"/>
        <w:rPr>
          <w:rFonts w:ascii="宋体" w:hAnsi="宋体"/>
          <w:sz w:val="36"/>
          <w:szCs w:val="36"/>
        </w:rPr>
      </w:pPr>
      <w:r>
        <w:rPr>
          <w:rFonts w:hint="eastAsia" w:ascii="宋体" w:hAnsi="宋体"/>
          <w:sz w:val="36"/>
          <w:szCs w:val="36"/>
        </w:rPr>
        <w:t>地    址：</w:t>
      </w:r>
    </w:p>
    <w:p>
      <w:pPr>
        <w:wordWrap w:val="0"/>
        <w:spacing w:line="500" w:lineRule="exact"/>
        <w:ind w:right="-108" w:firstLine="720" w:firstLineChars="200"/>
        <w:rPr>
          <w:rFonts w:ascii="宋体" w:hAnsi="宋体"/>
          <w:sz w:val="36"/>
          <w:szCs w:val="36"/>
        </w:rPr>
      </w:pPr>
      <w:r>
        <w:rPr>
          <w:rFonts w:hint="eastAsia" w:ascii="宋体" w:hAnsi="宋体"/>
          <w:sz w:val="36"/>
          <w:szCs w:val="36"/>
        </w:rPr>
        <w:t>时    间：</w:t>
      </w:r>
    </w:p>
    <w:p>
      <w:pPr>
        <w:wordWrap w:val="0"/>
        <w:spacing w:line="500" w:lineRule="exact"/>
        <w:ind w:right="-108" w:firstLine="720" w:firstLineChars="200"/>
        <w:rPr>
          <w:rFonts w:ascii="宋体" w:hAnsi="宋体"/>
          <w:sz w:val="36"/>
          <w:szCs w:val="36"/>
        </w:rPr>
      </w:pPr>
    </w:p>
    <w:p>
      <w:pPr>
        <w:snapToGrid w:val="0"/>
        <w:ind w:left="5250" w:leftChars="2500"/>
        <w:rPr>
          <w:rFonts w:ascii="宋体" w:hAnsi="宋体"/>
          <w:sz w:val="36"/>
          <w:szCs w:val="36"/>
        </w:rPr>
      </w:pPr>
    </w:p>
    <w:p>
      <w:pPr>
        <w:snapToGrid w:val="0"/>
        <w:rPr>
          <w:rFonts w:ascii="宋体" w:hAnsi="宋体"/>
          <w:sz w:val="36"/>
          <w:szCs w:val="36"/>
        </w:rPr>
      </w:pPr>
    </w:p>
    <w:p>
      <w:pPr>
        <w:snapToGrid w:val="0"/>
        <w:ind w:left="2520" w:leftChars="1200" w:firstLine="708" w:firstLineChars="196"/>
        <w:rPr>
          <w:rFonts w:ascii="宋体" w:hAnsi="宋体"/>
          <w:b/>
          <w:sz w:val="36"/>
          <w:szCs w:val="36"/>
        </w:rPr>
      </w:pPr>
      <w:r>
        <w:rPr>
          <w:rFonts w:hint="eastAsia" w:ascii="宋体" w:hAnsi="宋体"/>
          <w:b/>
          <w:sz w:val="36"/>
          <w:szCs w:val="36"/>
        </w:rPr>
        <w:t>报价文件目录</w:t>
      </w:r>
    </w:p>
    <w:p>
      <w:pPr>
        <w:rPr>
          <w:rFonts w:ascii="宋体" w:hAnsi="宋体"/>
        </w:rPr>
      </w:pPr>
    </w:p>
    <w:p>
      <w:pPr>
        <w:spacing w:line="400" w:lineRule="exact"/>
        <w:ind w:firstLine="420" w:firstLineChars="200"/>
        <w:rPr>
          <w:rFonts w:ascii="宋体" w:hAnsi="宋体"/>
          <w:szCs w:val="21"/>
        </w:rPr>
      </w:pPr>
    </w:p>
    <w:p>
      <w:pPr>
        <w:numPr>
          <w:ilvl w:val="0"/>
          <w:numId w:val="4"/>
        </w:numPr>
        <w:spacing w:line="400" w:lineRule="exact"/>
        <w:rPr>
          <w:rFonts w:ascii="宋体" w:hAnsi="宋体"/>
          <w:szCs w:val="21"/>
        </w:rPr>
      </w:pPr>
      <w:r>
        <w:rPr>
          <w:rFonts w:hint="eastAsia" w:ascii="宋体" w:hAnsi="宋体"/>
        </w:rPr>
        <w:t>报价一览表（见附件1</w:t>
      </w:r>
      <w:r>
        <w:rPr>
          <w:rFonts w:hint="eastAsia" w:ascii="宋体" w:hAnsi="宋体"/>
          <w:lang w:val="en-US" w:eastAsia="zh-CN"/>
        </w:rPr>
        <w:t>3</w:t>
      </w:r>
      <w:r>
        <w:rPr>
          <w:rFonts w:hint="eastAsia" w:ascii="宋体" w:hAnsi="宋体"/>
        </w:rPr>
        <w:t>）；</w:t>
      </w:r>
    </w:p>
    <w:p>
      <w:pPr>
        <w:numPr>
          <w:ilvl w:val="0"/>
          <w:numId w:val="4"/>
        </w:numPr>
        <w:spacing w:line="400" w:lineRule="exact"/>
        <w:rPr>
          <w:rFonts w:ascii="宋体" w:hAnsi="宋体"/>
          <w:szCs w:val="21"/>
        </w:rPr>
      </w:pPr>
      <w:r>
        <w:rPr>
          <w:rFonts w:hint="eastAsia" w:ascii="宋体" w:hAnsi="宋体"/>
        </w:rPr>
        <w:t>报价明细表（见附件1</w:t>
      </w:r>
      <w:r>
        <w:rPr>
          <w:rFonts w:hint="eastAsia" w:ascii="宋体" w:hAnsi="宋体"/>
          <w:lang w:val="en-US" w:eastAsia="zh-CN"/>
        </w:rPr>
        <w:t>4</w:t>
      </w:r>
      <w:r>
        <w:rPr>
          <w:rFonts w:hint="eastAsia" w:ascii="宋体" w:hAnsi="宋体"/>
        </w:rPr>
        <w:t>）；</w:t>
      </w:r>
    </w:p>
    <w:p>
      <w:pPr>
        <w:numPr>
          <w:ilvl w:val="0"/>
          <w:numId w:val="4"/>
        </w:numPr>
        <w:spacing w:line="400" w:lineRule="exact"/>
        <w:rPr>
          <w:rFonts w:ascii="宋体" w:hAnsi="宋体"/>
        </w:rPr>
      </w:pPr>
      <w:r>
        <w:rPr>
          <w:rFonts w:hint="eastAsia" w:ascii="宋体" w:hAnsi="宋体"/>
        </w:rPr>
        <w:t>招标文件需要的其他资料及投标人认为需要提供的其他内容。</w:t>
      </w:r>
    </w:p>
    <w:p>
      <w:pPr>
        <w:snapToGrid w:val="0"/>
        <w:spacing w:beforeLines="50" w:afterLines="50" w:line="400" w:lineRule="atLeast"/>
        <w:rPr>
          <w:rFonts w:ascii="宋体" w:hAnsi="宋体"/>
          <w:sz w:val="30"/>
          <w:szCs w:val="30"/>
        </w:rPr>
      </w:pPr>
    </w:p>
    <w:p>
      <w:pPr>
        <w:snapToGrid w:val="0"/>
        <w:spacing w:beforeLines="50" w:afterLines="50" w:line="400" w:lineRule="atLeast"/>
        <w:rPr>
          <w:rFonts w:ascii="宋体" w:hAnsi="宋体"/>
          <w:sz w:val="30"/>
          <w:szCs w:val="30"/>
        </w:rPr>
      </w:pPr>
    </w:p>
    <w:p>
      <w:pPr>
        <w:snapToGrid w:val="0"/>
        <w:spacing w:beforeLines="50" w:afterLines="50" w:line="400" w:lineRule="atLeast"/>
        <w:rPr>
          <w:rFonts w:ascii="宋体" w:hAnsi="宋体"/>
          <w:sz w:val="30"/>
          <w:szCs w:val="30"/>
        </w:rPr>
      </w:pPr>
    </w:p>
    <w:p>
      <w:pPr>
        <w:snapToGrid w:val="0"/>
        <w:spacing w:beforeLines="50" w:afterLines="50" w:line="400" w:lineRule="atLeast"/>
        <w:rPr>
          <w:rFonts w:ascii="宋体" w:hAnsi="宋体"/>
          <w:sz w:val="30"/>
          <w:szCs w:val="30"/>
        </w:rPr>
      </w:pPr>
    </w:p>
    <w:p>
      <w:pPr>
        <w:snapToGrid w:val="0"/>
        <w:spacing w:beforeLines="50" w:afterLines="50" w:line="400" w:lineRule="atLeast"/>
        <w:rPr>
          <w:rFonts w:ascii="宋体" w:hAnsi="宋体"/>
          <w:sz w:val="30"/>
          <w:szCs w:val="30"/>
        </w:rPr>
      </w:pPr>
    </w:p>
    <w:p>
      <w:pPr>
        <w:snapToGrid w:val="0"/>
        <w:spacing w:beforeLines="50" w:afterLines="50" w:line="400" w:lineRule="atLeast"/>
        <w:rPr>
          <w:rFonts w:ascii="宋体" w:hAnsi="宋体"/>
          <w:sz w:val="30"/>
          <w:szCs w:val="30"/>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38"/>
      </w:pPr>
    </w:p>
    <w:p>
      <w:pPr>
        <w:keepNext/>
        <w:keepLines/>
        <w:spacing w:before="260" w:after="260" w:line="320" w:lineRule="exact"/>
        <w:outlineLvl w:val="1"/>
        <w:rPr>
          <w:rFonts w:ascii="宋体" w:hAnsi="宋体"/>
          <w:b/>
          <w:bCs/>
          <w:sz w:val="24"/>
          <w:szCs w:val="32"/>
        </w:rPr>
      </w:pPr>
      <w:r>
        <w:rPr>
          <w:rFonts w:hint="eastAsia" w:ascii="宋体" w:hAnsi="宋体"/>
          <w:b/>
          <w:bCs/>
          <w:sz w:val="24"/>
          <w:szCs w:val="32"/>
        </w:rPr>
        <w:t>附件1</w:t>
      </w:r>
      <w:r>
        <w:rPr>
          <w:rFonts w:hint="eastAsia" w:ascii="宋体" w:hAnsi="宋体"/>
          <w:b/>
          <w:bCs/>
          <w:sz w:val="24"/>
          <w:szCs w:val="32"/>
          <w:lang w:val="en-US" w:eastAsia="zh-CN"/>
        </w:rPr>
        <w:t>3</w:t>
      </w:r>
      <w:r>
        <w:rPr>
          <w:rFonts w:hint="eastAsia" w:ascii="宋体" w:hAnsi="宋体"/>
          <w:b/>
          <w:bCs/>
          <w:sz w:val="24"/>
          <w:szCs w:val="32"/>
        </w:rPr>
        <w:t>： 报价一览表</w:t>
      </w:r>
    </w:p>
    <w:p>
      <w:pPr>
        <w:rPr>
          <w:rFonts w:hint="default" w:ascii="宋体" w:hAnsi="宋体" w:eastAsia="宋体"/>
          <w:b w:val="0"/>
          <w:bCs/>
          <w:sz w:val="24"/>
          <w:szCs w:val="24"/>
          <w:lang w:val="en-US" w:eastAsia="zh-CN"/>
        </w:rPr>
      </w:pPr>
      <w:r>
        <w:rPr>
          <w:rFonts w:hint="eastAsia" w:ascii="宋体" w:hAnsi="宋体"/>
          <w:b w:val="0"/>
          <w:bCs/>
          <w:sz w:val="24"/>
          <w:szCs w:val="24"/>
          <w:lang w:val="en-US" w:eastAsia="zh-CN"/>
        </w:rPr>
        <w:t>项目名称：桐乡市濮院时尚产业发展集团有限公司及下属公司保险集中招标项目</w:t>
      </w:r>
    </w:p>
    <w:tbl>
      <w:tblPr>
        <w:tblStyle w:val="39"/>
        <w:tblW w:w="9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715"/>
        <w:gridCol w:w="1773"/>
        <w:gridCol w:w="2254"/>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40" w:lineRule="exact"/>
              <w:rPr>
                <w:rFonts w:ascii="宋体" w:hAnsi="宋体"/>
                <w:sz w:val="28"/>
                <w:szCs w:val="28"/>
              </w:rPr>
            </w:pPr>
            <w:r>
              <w:rPr>
                <w:rFonts w:hint="eastAsia" w:ascii="宋体" w:hAnsi="宋体"/>
                <w:sz w:val="28"/>
                <w:szCs w:val="28"/>
              </w:rPr>
              <w:t>序号</w:t>
            </w:r>
          </w:p>
        </w:tc>
        <w:tc>
          <w:tcPr>
            <w:tcW w:w="2715" w:type="dxa"/>
            <w:vAlign w:val="center"/>
          </w:tcPr>
          <w:p>
            <w:pPr>
              <w:spacing w:line="440" w:lineRule="exact"/>
              <w:jc w:val="center"/>
              <w:rPr>
                <w:rFonts w:ascii="宋体" w:hAnsi="宋体"/>
                <w:sz w:val="28"/>
                <w:szCs w:val="28"/>
              </w:rPr>
            </w:pPr>
            <w:r>
              <w:rPr>
                <w:rFonts w:hint="eastAsia" w:ascii="宋体" w:hAnsi="宋体"/>
                <w:sz w:val="28"/>
                <w:szCs w:val="28"/>
                <w:lang w:val="en-US" w:eastAsia="zh-CN"/>
              </w:rPr>
              <w:t>标项</w:t>
            </w:r>
            <w:r>
              <w:rPr>
                <w:rFonts w:hint="eastAsia" w:ascii="宋体" w:hAnsi="宋体"/>
                <w:sz w:val="28"/>
                <w:szCs w:val="28"/>
              </w:rPr>
              <w:t>名称</w:t>
            </w:r>
          </w:p>
        </w:tc>
        <w:tc>
          <w:tcPr>
            <w:tcW w:w="1773" w:type="dxa"/>
            <w:vAlign w:val="center"/>
          </w:tcPr>
          <w:p>
            <w:pPr>
              <w:spacing w:line="440" w:lineRule="exact"/>
              <w:jc w:val="center"/>
              <w:rPr>
                <w:rFonts w:ascii="宋体" w:hAnsi="宋体"/>
                <w:sz w:val="28"/>
                <w:szCs w:val="28"/>
              </w:rPr>
            </w:pPr>
            <w:r>
              <w:rPr>
                <w:rFonts w:hint="eastAsia" w:ascii="宋体" w:hAnsi="宋体"/>
                <w:sz w:val="28"/>
                <w:szCs w:val="28"/>
              </w:rPr>
              <w:t>单位</w:t>
            </w:r>
          </w:p>
        </w:tc>
        <w:tc>
          <w:tcPr>
            <w:tcW w:w="2254" w:type="dxa"/>
            <w:tcBorders>
              <w:bottom w:val="single" w:color="auto" w:sz="4" w:space="0"/>
            </w:tcBorders>
            <w:vAlign w:val="center"/>
          </w:tcPr>
          <w:p>
            <w:pPr>
              <w:spacing w:line="440" w:lineRule="exact"/>
              <w:rPr>
                <w:rFonts w:ascii="宋体" w:hAnsi="宋体"/>
                <w:sz w:val="28"/>
                <w:szCs w:val="28"/>
              </w:rPr>
            </w:pPr>
            <w:r>
              <w:rPr>
                <w:rFonts w:hint="eastAsia" w:ascii="宋体" w:hAnsi="宋体"/>
                <w:sz w:val="28"/>
                <w:szCs w:val="28"/>
              </w:rPr>
              <w:t>投标报价（元）</w:t>
            </w:r>
          </w:p>
        </w:tc>
        <w:tc>
          <w:tcPr>
            <w:tcW w:w="2254" w:type="dxa"/>
            <w:tcBorders>
              <w:bottom w:val="single" w:color="auto" w:sz="4" w:space="0"/>
            </w:tcBorders>
            <w:vAlign w:val="center"/>
          </w:tcPr>
          <w:p>
            <w:pPr>
              <w:spacing w:line="440" w:lineRule="exact"/>
              <w:ind w:firstLine="560" w:firstLineChars="200"/>
              <w:rPr>
                <w:rFonts w:hint="default" w:ascii="宋体" w:hAnsi="宋体" w:eastAsia="宋体"/>
                <w:sz w:val="28"/>
                <w:szCs w:val="28"/>
                <w:lang w:val="en-US" w:eastAsia="zh-CN"/>
              </w:rPr>
            </w:pPr>
            <w:r>
              <w:rPr>
                <w:rFonts w:hint="eastAsia" w:ascii="宋体" w:hAnsi="宋体"/>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675" w:type="dxa"/>
            <w:vAlign w:val="center"/>
          </w:tcPr>
          <w:p>
            <w:pPr>
              <w:spacing w:line="440" w:lineRule="exact"/>
              <w:rPr>
                <w:rFonts w:ascii="宋体" w:hAnsi="宋体"/>
                <w:sz w:val="28"/>
                <w:szCs w:val="28"/>
              </w:rPr>
            </w:pPr>
            <w:r>
              <w:rPr>
                <w:rFonts w:hint="eastAsia" w:ascii="宋体" w:hAnsi="宋体"/>
                <w:sz w:val="28"/>
                <w:szCs w:val="28"/>
              </w:rPr>
              <w:t>1</w:t>
            </w:r>
          </w:p>
        </w:tc>
        <w:tc>
          <w:tcPr>
            <w:tcW w:w="2715" w:type="dxa"/>
            <w:vAlign w:val="center"/>
          </w:tcPr>
          <w:p>
            <w:pPr>
              <w:spacing w:line="460" w:lineRule="exact"/>
              <w:rPr>
                <w:rFonts w:hint="default" w:ascii="宋体" w:hAnsi="宋体" w:eastAsia="宋体"/>
                <w:sz w:val="28"/>
                <w:szCs w:val="28"/>
                <w:lang w:val="en-US" w:eastAsia="zh-CN"/>
              </w:rPr>
            </w:pPr>
            <w:r>
              <w:rPr>
                <w:rFonts w:hint="eastAsia" w:ascii="宋体" w:hAnsi="宋体"/>
                <w:sz w:val="28"/>
                <w:szCs w:val="28"/>
                <w:lang w:val="en-US" w:eastAsia="zh-CN"/>
              </w:rPr>
              <w:t>标项二各类意外险和责任险</w:t>
            </w:r>
          </w:p>
        </w:tc>
        <w:tc>
          <w:tcPr>
            <w:tcW w:w="1773" w:type="dxa"/>
            <w:tcBorders>
              <w:right w:val="single" w:color="auto" w:sz="4" w:space="0"/>
            </w:tcBorders>
            <w:vAlign w:val="center"/>
          </w:tcPr>
          <w:p>
            <w:pPr>
              <w:spacing w:line="440" w:lineRule="exact"/>
              <w:jc w:val="center"/>
              <w:rPr>
                <w:rFonts w:ascii="宋体" w:hAnsi="宋体"/>
                <w:sz w:val="28"/>
                <w:szCs w:val="28"/>
              </w:rPr>
            </w:pPr>
            <w:r>
              <w:rPr>
                <w:rFonts w:hint="eastAsia" w:ascii="宋体" w:hAnsi="宋体"/>
                <w:sz w:val="28"/>
                <w:szCs w:val="28"/>
              </w:rPr>
              <w:t>项</w:t>
            </w:r>
          </w:p>
        </w:tc>
        <w:tc>
          <w:tcPr>
            <w:tcW w:w="2254" w:type="dxa"/>
            <w:tcBorders>
              <w:top w:val="single" w:color="auto" w:sz="4" w:space="0"/>
              <w:left w:val="single" w:color="auto" w:sz="4" w:space="0"/>
              <w:right w:val="single" w:color="auto" w:sz="4" w:space="0"/>
            </w:tcBorders>
            <w:vAlign w:val="center"/>
          </w:tcPr>
          <w:p>
            <w:pPr>
              <w:spacing w:line="440" w:lineRule="exact"/>
              <w:rPr>
                <w:rFonts w:ascii="宋体" w:hAnsi="宋体"/>
                <w:sz w:val="28"/>
                <w:szCs w:val="28"/>
              </w:rPr>
            </w:pPr>
          </w:p>
        </w:tc>
        <w:tc>
          <w:tcPr>
            <w:tcW w:w="2254" w:type="dxa"/>
            <w:tcBorders>
              <w:top w:val="single" w:color="auto" w:sz="4" w:space="0"/>
              <w:left w:val="single" w:color="auto" w:sz="4" w:space="0"/>
              <w:right w:val="single" w:color="auto" w:sz="4" w:space="0"/>
            </w:tcBorders>
            <w:vAlign w:val="center"/>
          </w:tcPr>
          <w:p>
            <w:pPr>
              <w:spacing w:line="44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5163" w:type="dxa"/>
            <w:gridSpan w:val="3"/>
            <w:vAlign w:val="center"/>
          </w:tcPr>
          <w:p>
            <w:pPr>
              <w:spacing w:line="440" w:lineRule="exact"/>
              <w:ind w:firstLine="1680" w:firstLineChars="600"/>
              <w:rPr>
                <w:rFonts w:ascii="宋体" w:hAnsi="宋体"/>
                <w:sz w:val="28"/>
                <w:szCs w:val="28"/>
              </w:rPr>
            </w:pPr>
            <w:r>
              <w:rPr>
                <w:rFonts w:hint="eastAsia" w:ascii="宋体" w:hAnsi="宋体"/>
                <w:sz w:val="28"/>
                <w:szCs w:val="28"/>
              </w:rPr>
              <w:t>合计</w:t>
            </w:r>
          </w:p>
        </w:tc>
        <w:tc>
          <w:tcPr>
            <w:tcW w:w="2254" w:type="dxa"/>
            <w:vAlign w:val="center"/>
          </w:tcPr>
          <w:p>
            <w:pPr>
              <w:spacing w:line="440" w:lineRule="exact"/>
              <w:rPr>
                <w:rFonts w:ascii="宋体" w:hAnsi="宋体"/>
                <w:sz w:val="28"/>
                <w:szCs w:val="28"/>
              </w:rPr>
            </w:pPr>
          </w:p>
        </w:tc>
        <w:tc>
          <w:tcPr>
            <w:tcW w:w="2254" w:type="dxa"/>
            <w:vAlign w:val="center"/>
          </w:tcPr>
          <w:p>
            <w:pPr>
              <w:spacing w:line="440" w:lineRule="exact"/>
              <w:rPr>
                <w:rFonts w:ascii="宋体" w:hAnsi="宋体"/>
                <w:sz w:val="28"/>
                <w:szCs w:val="28"/>
              </w:rPr>
            </w:pPr>
          </w:p>
        </w:tc>
      </w:tr>
    </w:tbl>
    <w:p>
      <w:pPr>
        <w:spacing w:line="440" w:lineRule="exact"/>
        <w:rPr>
          <w:rFonts w:ascii="宋体" w:hAnsi="宋体"/>
          <w:bCs/>
          <w:sz w:val="28"/>
          <w:szCs w:val="28"/>
        </w:rPr>
      </w:pPr>
      <w:r>
        <w:rPr>
          <w:rFonts w:hint="eastAsia" w:ascii="宋体" w:hAnsi="宋体"/>
          <w:bCs/>
          <w:sz w:val="28"/>
          <w:szCs w:val="28"/>
        </w:rPr>
        <w:t>注：1、投标总报价必须包含完成该项目所需的一切相关税费及其他费用。</w:t>
      </w:r>
    </w:p>
    <w:p>
      <w:pPr>
        <w:spacing w:line="440" w:lineRule="exact"/>
        <w:rPr>
          <w:rFonts w:ascii="宋体" w:hAnsi="宋体"/>
          <w:bCs/>
          <w:sz w:val="28"/>
          <w:szCs w:val="28"/>
        </w:rPr>
      </w:pPr>
    </w:p>
    <w:p>
      <w:pPr>
        <w:spacing w:line="440" w:lineRule="exact"/>
        <w:rPr>
          <w:rFonts w:ascii="宋体" w:hAnsi="宋体"/>
          <w:bCs/>
          <w:sz w:val="28"/>
          <w:szCs w:val="28"/>
        </w:rPr>
      </w:pPr>
    </w:p>
    <w:p>
      <w:pPr>
        <w:spacing w:line="440" w:lineRule="exact"/>
        <w:rPr>
          <w:rFonts w:ascii="宋体" w:hAnsi="宋体"/>
          <w:bCs/>
          <w:sz w:val="28"/>
          <w:szCs w:val="28"/>
        </w:rPr>
      </w:pPr>
    </w:p>
    <w:p>
      <w:pPr>
        <w:pStyle w:val="180"/>
        <w:jc w:val="left"/>
        <w:rPr>
          <w:rFonts w:ascii="宋体" w:hAnsi="宋体"/>
          <w:sz w:val="28"/>
          <w:szCs w:val="28"/>
        </w:rPr>
      </w:pPr>
      <w:r>
        <w:rPr>
          <w:rFonts w:hint="eastAsia" w:ascii="宋体" w:hAnsi="宋体"/>
          <w:bCs/>
          <w:sz w:val="28"/>
          <w:szCs w:val="28"/>
        </w:rPr>
        <w:t>投标总报价：</w:t>
      </w:r>
      <w:r>
        <w:rPr>
          <w:rFonts w:hint="eastAsia" w:ascii="宋体" w:hAnsi="宋体"/>
          <w:sz w:val="28"/>
          <w:szCs w:val="28"/>
          <w:u w:val="single"/>
        </w:rPr>
        <w:t xml:space="preserve">（小写）                          </w:t>
      </w:r>
    </w:p>
    <w:p>
      <w:pPr>
        <w:spacing w:line="440" w:lineRule="exact"/>
        <w:rPr>
          <w:rFonts w:ascii="宋体" w:hAnsi="宋体"/>
          <w:bCs/>
          <w:sz w:val="28"/>
          <w:szCs w:val="28"/>
        </w:rPr>
      </w:pPr>
    </w:p>
    <w:p>
      <w:pPr>
        <w:spacing w:line="440" w:lineRule="exact"/>
        <w:ind w:firstLine="1540" w:firstLineChars="550"/>
        <w:rPr>
          <w:rFonts w:ascii="宋体" w:hAnsi="宋体"/>
          <w:bCs/>
          <w:sz w:val="28"/>
          <w:szCs w:val="28"/>
        </w:rPr>
      </w:pPr>
      <w:r>
        <w:rPr>
          <w:rFonts w:hint="eastAsia" w:ascii="宋体" w:hAnsi="宋体"/>
          <w:bCs/>
          <w:sz w:val="28"/>
          <w:szCs w:val="28"/>
          <w:u w:val="single"/>
        </w:rPr>
        <w:t xml:space="preserve">（大写)                           </w:t>
      </w:r>
    </w:p>
    <w:p>
      <w:pPr>
        <w:spacing w:line="440" w:lineRule="exact"/>
        <w:rPr>
          <w:rFonts w:ascii="宋体" w:hAnsi="宋体"/>
          <w:sz w:val="28"/>
          <w:szCs w:val="28"/>
        </w:rPr>
      </w:pPr>
      <w:r>
        <w:rPr>
          <w:rFonts w:hint="eastAsia" w:ascii="宋体" w:hAnsi="宋体"/>
          <w:sz w:val="28"/>
          <w:szCs w:val="28"/>
        </w:rPr>
        <w:t>投标人（盖章）：</w:t>
      </w:r>
    </w:p>
    <w:p>
      <w:pPr>
        <w:spacing w:line="440" w:lineRule="exact"/>
        <w:rPr>
          <w:rFonts w:ascii="宋体" w:hAnsi="宋体"/>
          <w:sz w:val="28"/>
          <w:szCs w:val="28"/>
        </w:rPr>
      </w:pPr>
      <w:r>
        <w:rPr>
          <w:rFonts w:hint="eastAsia" w:ascii="宋体" w:hAnsi="宋体"/>
          <w:sz w:val="28"/>
          <w:szCs w:val="28"/>
        </w:rPr>
        <w:t>投标人全权代表（签字）：</w:t>
      </w:r>
    </w:p>
    <w:p>
      <w:pPr>
        <w:spacing w:line="440" w:lineRule="exact"/>
        <w:rPr>
          <w:rFonts w:ascii="宋体" w:hAnsi="宋体"/>
          <w:sz w:val="28"/>
          <w:szCs w:val="28"/>
        </w:rPr>
      </w:pPr>
      <w:r>
        <w:rPr>
          <w:rFonts w:hint="eastAsia" w:ascii="宋体" w:hAnsi="宋体"/>
          <w:sz w:val="28"/>
          <w:szCs w:val="28"/>
        </w:rPr>
        <w:t>日期：</w:t>
      </w: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keepNext/>
        <w:keepLines/>
        <w:spacing w:before="260" w:after="260" w:line="320" w:lineRule="exact"/>
        <w:outlineLvl w:val="1"/>
        <w:rPr>
          <w:rFonts w:ascii="宋体" w:hAnsi="宋体"/>
          <w:b/>
          <w:bCs/>
          <w:sz w:val="24"/>
          <w:szCs w:val="32"/>
        </w:rPr>
      </w:pPr>
    </w:p>
    <w:p>
      <w:pPr>
        <w:pStyle w:val="15"/>
      </w:pPr>
    </w:p>
    <w:p>
      <w:pPr>
        <w:pStyle w:val="15"/>
      </w:pPr>
    </w:p>
    <w:p>
      <w:pPr>
        <w:keepNext/>
        <w:keepLines/>
        <w:spacing w:before="260" w:after="260" w:line="320" w:lineRule="exact"/>
        <w:outlineLvl w:val="1"/>
        <w:rPr>
          <w:rFonts w:ascii="宋体" w:hAnsi="Cambria"/>
          <w:b/>
          <w:bCs/>
          <w:sz w:val="24"/>
          <w:szCs w:val="32"/>
        </w:rPr>
      </w:pPr>
      <w:r>
        <w:rPr>
          <w:rFonts w:hint="eastAsia" w:ascii="宋体" w:hAnsi="宋体"/>
          <w:b/>
          <w:bCs/>
          <w:sz w:val="24"/>
          <w:szCs w:val="32"/>
        </w:rPr>
        <w:t>附件1</w:t>
      </w:r>
      <w:r>
        <w:rPr>
          <w:rFonts w:hint="eastAsia" w:ascii="宋体" w:hAnsi="宋体"/>
          <w:b/>
          <w:bCs/>
          <w:sz w:val="24"/>
          <w:szCs w:val="32"/>
          <w:lang w:val="en-US" w:eastAsia="zh-CN"/>
        </w:rPr>
        <w:t>4</w:t>
      </w:r>
      <w:r>
        <w:rPr>
          <w:rFonts w:hint="eastAsia" w:ascii="宋体" w:hAnsi="宋体"/>
          <w:b/>
          <w:bCs/>
          <w:sz w:val="24"/>
          <w:szCs w:val="32"/>
        </w:rPr>
        <w:t>：报价明细表（格式自拟）</w:t>
      </w:r>
    </w:p>
    <w:p>
      <w:pPr>
        <w:pStyle w:val="38"/>
        <w:ind w:left="0" w:leftChars="0" w:firstLine="0" w:firstLineChars="0"/>
      </w:pPr>
    </w:p>
    <w:p>
      <w:pPr>
        <w:pStyle w:val="38"/>
        <w:ind w:left="0" w:leftChars="0" w:firstLine="0" w:firstLineChars="0"/>
      </w:pPr>
    </w:p>
    <w:sectPr>
      <w:pgSz w:w="11905" w:h="16838"/>
      <w:pgMar w:top="1417" w:right="1417" w:bottom="1417" w:left="1417" w:header="851" w:footer="850"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55"/>
      <w:rPr>
        <w:sz w:val="21"/>
        <w:szCs w:val="21"/>
      </w:rPr>
    </w:pPr>
    <w:r>
      <w:rPr>
        <w:rStyle w:val="43"/>
        <w:rFonts w:hint="eastAsia"/>
        <w:sz w:val="21"/>
        <w:szCs w:val="21"/>
        <w:lang w:eastAsia="zh-CN"/>
      </w:rPr>
      <w:t>嘉兴市银建工程咨询评估有限公司</w:t>
    </w:r>
    <w:r>
      <w:rPr>
        <w:rStyle w:val="43"/>
        <w:rFonts w:hint="eastAsia"/>
        <w:sz w:val="21"/>
        <w:szCs w:val="21"/>
      </w:rPr>
      <w:t xml:space="preserve">  </w:t>
    </w:r>
    <w:r>
      <w:rPr>
        <w:rFonts w:hint="eastAsia" w:ascii="宋体" w:hAnsi="宋体"/>
        <w:sz w:val="21"/>
        <w:szCs w:val="21"/>
      </w:rPr>
      <w:t xml:space="preserve">             </w:t>
    </w:r>
    <w:r>
      <w:rPr>
        <w:rFonts w:ascii="宋体" w:hAnsi="宋体"/>
        <w:sz w:val="21"/>
        <w:szCs w:val="21"/>
      </w:rPr>
      <w:fldChar w:fldCharType="begin"/>
    </w:r>
    <w:r>
      <w:rPr>
        <w:rStyle w:val="43"/>
        <w:rFonts w:ascii="宋体" w:hAnsi="宋体"/>
        <w:sz w:val="21"/>
        <w:szCs w:val="21"/>
      </w:rPr>
      <w:instrText xml:space="preserve"> PAGE </w:instrText>
    </w:r>
    <w:r>
      <w:rPr>
        <w:rFonts w:ascii="宋体" w:hAnsi="宋体"/>
        <w:sz w:val="21"/>
        <w:szCs w:val="21"/>
      </w:rPr>
      <w:fldChar w:fldCharType="separate"/>
    </w:r>
    <w:r>
      <w:rPr>
        <w:rStyle w:val="43"/>
        <w:rFonts w:ascii="宋体" w:hAnsi="宋体"/>
        <w:sz w:val="21"/>
        <w:szCs w:val="21"/>
      </w:rPr>
      <w:t>32</w:t>
    </w:r>
    <w:r>
      <w:rPr>
        <w:rFonts w:ascii="宋体" w:hAnsi="宋体"/>
        <w:sz w:val="21"/>
        <w:szCs w:val="21"/>
      </w:rPr>
      <w:fldChar w:fldCharType="end"/>
    </w:r>
    <w:r>
      <w:rPr>
        <w:rStyle w:val="43"/>
        <w:rFonts w:hint="eastAsia" w:ascii="宋体" w:hAnsi="宋体"/>
        <w:sz w:val="21"/>
        <w:szCs w:val="21"/>
      </w:rPr>
      <w:t xml:space="preserve">              电话（传真）0573-880</w:t>
    </w:r>
    <w:r>
      <w:rPr>
        <w:rStyle w:val="43"/>
        <w:rFonts w:hint="eastAsia" w:ascii="宋体" w:hAnsi="宋体"/>
        <w:sz w:val="21"/>
        <w:szCs w:val="21"/>
        <w:lang w:val="en-US" w:eastAsia="zh-CN"/>
      </w:rPr>
      <w:t>99123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宋体" w:hAnsi="宋体" w:cs="Arial"/>
        <w:bCs/>
        <w:szCs w:val="21"/>
      </w:rPr>
    </w:pPr>
    <w:r>
      <w:rPr>
        <w:rFonts w:hint="eastAsia" w:ascii="宋体" w:hAnsi="宋体" w:cs="Arial"/>
        <w:bCs/>
        <w:szCs w:val="21"/>
        <w:lang w:val="en-US" w:eastAsia="zh-CN"/>
      </w:rPr>
      <w:t xml:space="preserve">                             </w:t>
    </w:r>
    <w:r>
      <w:rPr>
        <w:rFonts w:hint="eastAsia" w:ascii="宋体" w:hAnsi="宋体" w:cs="Arial"/>
        <w:bCs/>
        <w:szCs w:val="21"/>
        <w:lang w:eastAsia="zh-CN"/>
      </w:rPr>
      <w:t>桐乡市濮院时尚产业发展集团有限公司及下属公司保险集中招标项目</w:t>
    </w:r>
    <w:r>
      <w:rPr>
        <w:rFonts w:hint="eastAsia" w:ascii="宋体" w:hAnsi="宋体" w:cs="Arial"/>
        <w:bCs/>
        <w:szCs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B37E6D"/>
    <w:multiLevelType w:val="singleLevel"/>
    <w:tmpl w:val="F7B37E6D"/>
    <w:lvl w:ilvl="0" w:tentative="0">
      <w:start w:val="2"/>
      <w:numFmt w:val="chineseCounting"/>
      <w:suff w:val="nothing"/>
      <w:lvlText w:val="（%1）"/>
      <w:lvlJc w:val="left"/>
      <w:rPr>
        <w:rFonts w:hint="eastAsia"/>
      </w:rPr>
    </w:lvl>
  </w:abstractNum>
  <w:abstractNum w:abstractNumId="1">
    <w:nsid w:val="F967F994"/>
    <w:multiLevelType w:val="singleLevel"/>
    <w:tmpl w:val="F967F994"/>
    <w:lvl w:ilvl="0" w:tentative="0">
      <w:start w:val="2"/>
      <w:numFmt w:val="chineseCounting"/>
      <w:suff w:val="nothing"/>
      <w:lvlText w:val="%1、"/>
      <w:lvlJc w:val="left"/>
      <w:rPr>
        <w:rFonts w:hint="eastAsia"/>
      </w:rPr>
    </w:lvl>
  </w:abstractNum>
  <w:abstractNum w:abstractNumId="2">
    <w:nsid w:val="204A7AE2"/>
    <w:multiLevelType w:val="multilevel"/>
    <w:tmpl w:val="204A7AE2"/>
    <w:lvl w:ilvl="0" w:tentative="0">
      <w:start w:val="1"/>
      <w:numFmt w:val="decimal"/>
      <w:lvlText w:val="%1"/>
      <w:lvlJc w:val="left"/>
      <w:pPr>
        <w:tabs>
          <w:tab w:val="left" w:pos="1095"/>
        </w:tabs>
        <w:ind w:left="1095" w:hanging="360"/>
      </w:pPr>
      <w:rPr>
        <w:rFonts w:hint="default" w:ascii="Times New Roman" w:hAnsi="Times New Roman"/>
      </w:r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3">
    <w:nsid w:val="38EB36A5"/>
    <w:multiLevelType w:val="singleLevel"/>
    <w:tmpl w:val="38EB36A5"/>
    <w:lvl w:ilvl="0" w:tentative="0">
      <w:start w:val="7"/>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zNTE4M2E0ODFjZjFkMDY3ZmE4NWJkMzMwOTgyZWEifQ=="/>
  </w:docVars>
  <w:rsids>
    <w:rsidRoot w:val="00F8315C"/>
    <w:rsid w:val="000001C7"/>
    <w:rsid w:val="00000B45"/>
    <w:rsid w:val="00000C65"/>
    <w:rsid w:val="00001DFE"/>
    <w:rsid w:val="00002C2F"/>
    <w:rsid w:val="00004709"/>
    <w:rsid w:val="00006121"/>
    <w:rsid w:val="0000666F"/>
    <w:rsid w:val="0000741C"/>
    <w:rsid w:val="000078CE"/>
    <w:rsid w:val="000104A4"/>
    <w:rsid w:val="000106C0"/>
    <w:rsid w:val="00010889"/>
    <w:rsid w:val="00010CB4"/>
    <w:rsid w:val="00010CB5"/>
    <w:rsid w:val="0001186E"/>
    <w:rsid w:val="000118D1"/>
    <w:rsid w:val="000123FF"/>
    <w:rsid w:val="00012478"/>
    <w:rsid w:val="00012667"/>
    <w:rsid w:val="0001286C"/>
    <w:rsid w:val="00012E5B"/>
    <w:rsid w:val="00013480"/>
    <w:rsid w:val="000150E8"/>
    <w:rsid w:val="00015BB4"/>
    <w:rsid w:val="00015BFD"/>
    <w:rsid w:val="0001646B"/>
    <w:rsid w:val="00016839"/>
    <w:rsid w:val="000172A6"/>
    <w:rsid w:val="00017B79"/>
    <w:rsid w:val="0002000C"/>
    <w:rsid w:val="00020018"/>
    <w:rsid w:val="00020159"/>
    <w:rsid w:val="00020310"/>
    <w:rsid w:val="000221D8"/>
    <w:rsid w:val="000230B3"/>
    <w:rsid w:val="000230E3"/>
    <w:rsid w:val="0002332F"/>
    <w:rsid w:val="000238F1"/>
    <w:rsid w:val="000241EE"/>
    <w:rsid w:val="0002427E"/>
    <w:rsid w:val="000262D1"/>
    <w:rsid w:val="000268A4"/>
    <w:rsid w:val="00026AF9"/>
    <w:rsid w:val="0002734F"/>
    <w:rsid w:val="00027A95"/>
    <w:rsid w:val="00027E66"/>
    <w:rsid w:val="0003063A"/>
    <w:rsid w:val="00031348"/>
    <w:rsid w:val="000313B3"/>
    <w:rsid w:val="0003152D"/>
    <w:rsid w:val="0003238A"/>
    <w:rsid w:val="00032ED0"/>
    <w:rsid w:val="00033161"/>
    <w:rsid w:val="000338A7"/>
    <w:rsid w:val="00033F25"/>
    <w:rsid w:val="00034043"/>
    <w:rsid w:val="000347A3"/>
    <w:rsid w:val="00035358"/>
    <w:rsid w:val="00035591"/>
    <w:rsid w:val="00035FE0"/>
    <w:rsid w:val="00036C0F"/>
    <w:rsid w:val="000377EC"/>
    <w:rsid w:val="00040159"/>
    <w:rsid w:val="00040E4E"/>
    <w:rsid w:val="00040FC9"/>
    <w:rsid w:val="00042D35"/>
    <w:rsid w:val="00043378"/>
    <w:rsid w:val="000434DB"/>
    <w:rsid w:val="00044313"/>
    <w:rsid w:val="000443D9"/>
    <w:rsid w:val="00045D05"/>
    <w:rsid w:val="00046908"/>
    <w:rsid w:val="0004735B"/>
    <w:rsid w:val="000506E6"/>
    <w:rsid w:val="00051007"/>
    <w:rsid w:val="000511F4"/>
    <w:rsid w:val="000517DA"/>
    <w:rsid w:val="00051923"/>
    <w:rsid w:val="00051E05"/>
    <w:rsid w:val="000520C5"/>
    <w:rsid w:val="00055899"/>
    <w:rsid w:val="00055A1C"/>
    <w:rsid w:val="0005619F"/>
    <w:rsid w:val="00056684"/>
    <w:rsid w:val="00056F17"/>
    <w:rsid w:val="000570E3"/>
    <w:rsid w:val="000575A6"/>
    <w:rsid w:val="0005799B"/>
    <w:rsid w:val="00057F57"/>
    <w:rsid w:val="000604AD"/>
    <w:rsid w:val="00060FAF"/>
    <w:rsid w:val="00061633"/>
    <w:rsid w:val="00061CDA"/>
    <w:rsid w:val="00062AE1"/>
    <w:rsid w:val="00063F3B"/>
    <w:rsid w:val="00065AB1"/>
    <w:rsid w:val="00071627"/>
    <w:rsid w:val="000718E7"/>
    <w:rsid w:val="00071B74"/>
    <w:rsid w:val="0007251C"/>
    <w:rsid w:val="0007253C"/>
    <w:rsid w:val="000736AB"/>
    <w:rsid w:val="0007506D"/>
    <w:rsid w:val="00075EDA"/>
    <w:rsid w:val="00076EC8"/>
    <w:rsid w:val="0007734C"/>
    <w:rsid w:val="00080ECC"/>
    <w:rsid w:val="000812D4"/>
    <w:rsid w:val="00082C66"/>
    <w:rsid w:val="00083155"/>
    <w:rsid w:val="00083FEA"/>
    <w:rsid w:val="0008407F"/>
    <w:rsid w:val="00084592"/>
    <w:rsid w:val="00084DA4"/>
    <w:rsid w:val="0008588F"/>
    <w:rsid w:val="00092079"/>
    <w:rsid w:val="000925A6"/>
    <w:rsid w:val="00093C6B"/>
    <w:rsid w:val="00094305"/>
    <w:rsid w:val="00094472"/>
    <w:rsid w:val="0009476E"/>
    <w:rsid w:val="00095518"/>
    <w:rsid w:val="0009552B"/>
    <w:rsid w:val="00096502"/>
    <w:rsid w:val="000A0F6F"/>
    <w:rsid w:val="000A1DF3"/>
    <w:rsid w:val="000A2B8C"/>
    <w:rsid w:val="000A4468"/>
    <w:rsid w:val="000A4BA9"/>
    <w:rsid w:val="000A66CD"/>
    <w:rsid w:val="000A74F9"/>
    <w:rsid w:val="000B0075"/>
    <w:rsid w:val="000B165B"/>
    <w:rsid w:val="000B19DF"/>
    <w:rsid w:val="000B1CEB"/>
    <w:rsid w:val="000B3052"/>
    <w:rsid w:val="000B3192"/>
    <w:rsid w:val="000B3194"/>
    <w:rsid w:val="000B534C"/>
    <w:rsid w:val="000B5887"/>
    <w:rsid w:val="000B5EB5"/>
    <w:rsid w:val="000B62B3"/>
    <w:rsid w:val="000B6374"/>
    <w:rsid w:val="000B73A0"/>
    <w:rsid w:val="000B742F"/>
    <w:rsid w:val="000B7DE2"/>
    <w:rsid w:val="000C0CED"/>
    <w:rsid w:val="000C21C9"/>
    <w:rsid w:val="000C3072"/>
    <w:rsid w:val="000C4106"/>
    <w:rsid w:val="000C475B"/>
    <w:rsid w:val="000C53B6"/>
    <w:rsid w:val="000D0BCF"/>
    <w:rsid w:val="000D113D"/>
    <w:rsid w:val="000D1206"/>
    <w:rsid w:val="000D1A34"/>
    <w:rsid w:val="000D231B"/>
    <w:rsid w:val="000D4A45"/>
    <w:rsid w:val="000D6096"/>
    <w:rsid w:val="000D69D5"/>
    <w:rsid w:val="000D6F1D"/>
    <w:rsid w:val="000D75F4"/>
    <w:rsid w:val="000E01F1"/>
    <w:rsid w:val="000E0215"/>
    <w:rsid w:val="000E0664"/>
    <w:rsid w:val="000E15C6"/>
    <w:rsid w:val="000E1733"/>
    <w:rsid w:val="000E1A60"/>
    <w:rsid w:val="000E21C4"/>
    <w:rsid w:val="000E36BE"/>
    <w:rsid w:val="000E36FF"/>
    <w:rsid w:val="000E38DF"/>
    <w:rsid w:val="000E44BC"/>
    <w:rsid w:val="000E47C1"/>
    <w:rsid w:val="000E5AB3"/>
    <w:rsid w:val="000E670E"/>
    <w:rsid w:val="000E68BE"/>
    <w:rsid w:val="000E68D6"/>
    <w:rsid w:val="000E6A4D"/>
    <w:rsid w:val="000E7F01"/>
    <w:rsid w:val="000E7F9C"/>
    <w:rsid w:val="000F1704"/>
    <w:rsid w:val="000F1B54"/>
    <w:rsid w:val="000F2A8E"/>
    <w:rsid w:val="000F3627"/>
    <w:rsid w:val="000F4813"/>
    <w:rsid w:val="000F4BC8"/>
    <w:rsid w:val="000F6378"/>
    <w:rsid w:val="000F7C93"/>
    <w:rsid w:val="00101406"/>
    <w:rsid w:val="00101DB4"/>
    <w:rsid w:val="00105786"/>
    <w:rsid w:val="00106549"/>
    <w:rsid w:val="00106C6D"/>
    <w:rsid w:val="001070E3"/>
    <w:rsid w:val="001076DE"/>
    <w:rsid w:val="00111B46"/>
    <w:rsid w:val="00111EF5"/>
    <w:rsid w:val="0011296E"/>
    <w:rsid w:val="00112DE1"/>
    <w:rsid w:val="00112FBD"/>
    <w:rsid w:val="00115CF6"/>
    <w:rsid w:val="001163F5"/>
    <w:rsid w:val="0011725E"/>
    <w:rsid w:val="00117AF5"/>
    <w:rsid w:val="00120661"/>
    <w:rsid w:val="00122072"/>
    <w:rsid w:val="00122548"/>
    <w:rsid w:val="00123080"/>
    <w:rsid w:val="00124A39"/>
    <w:rsid w:val="0012510A"/>
    <w:rsid w:val="001253E9"/>
    <w:rsid w:val="0012630F"/>
    <w:rsid w:val="00126E05"/>
    <w:rsid w:val="00126E0B"/>
    <w:rsid w:val="0012736B"/>
    <w:rsid w:val="0012774A"/>
    <w:rsid w:val="0012794B"/>
    <w:rsid w:val="00130348"/>
    <w:rsid w:val="00131ADA"/>
    <w:rsid w:val="0013286B"/>
    <w:rsid w:val="00132D00"/>
    <w:rsid w:val="001338A5"/>
    <w:rsid w:val="00133DA8"/>
    <w:rsid w:val="00134B8F"/>
    <w:rsid w:val="0013626B"/>
    <w:rsid w:val="00136958"/>
    <w:rsid w:val="00136A4F"/>
    <w:rsid w:val="00140636"/>
    <w:rsid w:val="00140B88"/>
    <w:rsid w:val="00140D58"/>
    <w:rsid w:val="00141D54"/>
    <w:rsid w:val="00144BD2"/>
    <w:rsid w:val="00145091"/>
    <w:rsid w:val="00145251"/>
    <w:rsid w:val="00146697"/>
    <w:rsid w:val="001512B7"/>
    <w:rsid w:val="0015155A"/>
    <w:rsid w:val="00151BA0"/>
    <w:rsid w:val="0015225A"/>
    <w:rsid w:val="001523E6"/>
    <w:rsid w:val="001545D8"/>
    <w:rsid w:val="00154666"/>
    <w:rsid w:val="00154DDF"/>
    <w:rsid w:val="00154F35"/>
    <w:rsid w:val="00155B77"/>
    <w:rsid w:val="0015735F"/>
    <w:rsid w:val="001574D4"/>
    <w:rsid w:val="00160A65"/>
    <w:rsid w:val="001615C7"/>
    <w:rsid w:val="00161880"/>
    <w:rsid w:val="00162326"/>
    <w:rsid w:val="00162CDC"/>
    <w:rsid w:val="001647D9"/>
    <w:rsid w:val="00164EC8"/>
    <w:rsid w:val="00165EAA"/>
    <w:rsid w:val="001664D7"/>
    <w:rsid w:val="00166752"/>
    <w:rsid w:val="00166BF2"/>
    <w:rsid w:val="00167107"/>
    <w:rsid w:val="00167127"/>
    <w:rsid w:val="001671E5"/>
    <w:rsid w:val="00167F98"/>
    <w:rsid w:val="00170BB9"/>
    <w:rsid w:val="00172585"/>
    <w:rsid w:val="00172FD6"/>
    <w:rsid w:val="00173D94"/>
    <w:rsid w:val="00174974"/>
    <w:rsid w:val="00175BE9"/>
    <w:rsid w:val="00176C6D"/>
    <w:rsid w:val="00180976"/>
    <w:rsid w:val="00181668"/>
    <w:rsid w:val="001817F7"/>
    <w:rsid w:val="00182212"/>
    <w:rsid w:val="001830B9"/>
    <w:rsid w:val="0018351C"/>
    <w:rsid w:val="00183F2B"/>
    <w:rsid w:val="0018471C"/>
    <w:rsid w:val="00184CC8"/>
    <w:rsid w:val="00185106"/>
    <w:rsid w:val="00187EC8"/>
    <w:rsid w:val="00190CC5"/>
    <w:rsid w:val="001921EC"/>
    <w:rsid w:val="0019391F"/>
    <w:rsid w:val="0019429D"/>
    <w:rsid w:val="001945AB"/>
    <w:rsid w:val="00194F01"/>
    <w:rsid w:val="001979B1"/>
    <w:rsid w:val="001A1181"/>
    <w:rsid w:val="001A126D"/>
    <w:rsid w:val="001A1941"/>
    <w:rsid w:val="001A1DD4"/>
    <w:rsid w:val="001A39FC"/>
    <w:rsid w:val="001A4277"/>
    <w:rsid w:val="001A445E"/>
    <w:rsid w:val="001A447C"/>
    <w:rsid w:val="001A493A"/>
    <w:rsid w:val="001A4C2A"/>
    <w:rsid w:val="001A545D"/>
    <w:rsid w:val="001A552F"/>
    <w:rsid w:val="001A564A"/>
    <w:rsid w:val="001A6C51"/>
    <w:rsid w:val="001A7615"/>
    <w:rsid w:val="001B0449"/>
    <w:rsid w:val="001B07DA"/>
    <w:rsid w:val="001B10A9"/>
    <w:rsid w:val="001B1938"/>
    <w:rsid w:val="001B1AED"/>
    <w:rsid w:val="001B1F47"/>
    <w:rsid w:val="001B25BC"/>
    <w:rsid w:val="001B2994"/>
    <w:rsid w:val="001B2CC4"/>
    <w:rsid w:val="001B34C4"/>
    <w:rsid w:val="001B43AE"/>
    <w:rsid w:val="001B4720"/>
    <w:rsid w:val="001B655F"/>
    <w:rsid w:val="001B7505"/>
    <w:rsid w:val="001B783F"/>
    <w:rsid w:val="001C0D04"/>
    <w:rsid w:val="001C14BF"/>
    <w:rsid w:val="001C1586"/>
    <w:rsid w:val="001C1F17"/>
    <w:rsid w:val="001C2F43"/>
    <w:rsid w:val="001C3129"/>
    <w:rsid w:val="001C432D"/>
    <w:rsid w:val="001C52B7"/>
    <w:rsid w:val="001C57C7"/>
    <w:rsid w:val="001C5BAC"/>
    <w:rsid w:val="001C63A9"/>
    <w:rsid w:val="001C6DFB"/>
    <w:rsid w:val="001C734A"/>
    <w:rsid w:val="001C737B"/>
    <w:rsid w:val="001C7989"/>
    <w:rsid w:val="001D06B6"/>
    <w:rsid w:val="001D195F"/>
    <w:rsid w:val="001D1F32"/>
    <w:rsid w:val="001D2F2C"/>
    <w:rsid w:val="001D2F7E"/>
    <w:rsid w:val="001D32E2"/>
    <w:rsid w:val="001D3EC8"/>
    <w:rsid w:val="001D4B51"/>
    <w:rsid w:val="001D4E11"/>
    <w:rsid w:val="001D4F35"/>
    <w:rsid w:val="001D51C7"/>
    <w:rsid w:val="001D53F4"/>
    <w:rsid w:val="001D5420"/>
    <w:rsid w:val="001D616A"/>
    <w:rsid w:val="001D62CC"/>
    <w:rsid w:val="001D6532"/>
    <w:rsid w:val="001D71EF"/>
    <w:rsid w:val="001E03CB"/>
    <w:rsid w:val="001E0AED"/>
    <w:rsid w:val="001E10E7"/>
    <w:rsid w:val="001E1C89"/>
    <w:rsid w:val="001E2000"/>
    <w:rsid w:val="001E2269"/>
    <w:rsid w:val="001E3870"/>
    <w:rsid w:val="001E41FA"/>
    <w:rsid w:val="001E46D9"/>
    <w:rsid w:val="001E60D8"/>
    <w:rsid w:val="001E6449"/>
    <w:rsid w:val="001E7379"/>
    <w:rsid w:val="001E7A87"/>
    <w:rsid w:val="001E7BD8"/>
    <w:rsid w:val="001E7BFF"/>
    <w:rsid w:val="001F0B9A"/>
    <w:rsid w:val="001F0F69"/>
    <w:rsid w:val="001F15F3"/>
    <w:rsid w:val="001F1B26"/>
    <w:rsid w:val="001F3866"/>
    <w:rsid w:val="001F3E64"/>
    <w:rsid w:val="001F59B0"/>
    <w:rsid w:val="001F6448"/>
    <w:rsid w:val="00201E58"/>
    <w:rsid w:val="00202280"/>
    <w:rsid w:val="00202C60"/>
    <w:rsid w:val="00203B09"/>
    <w:rsid w:val="002054BF"/>
    <w:rsid w:val="0020606C"/>
    <w:rsid w:val="00206D8A"/>
    <w:rsid w:val="002102CF"/>
    <w:rsid w:val="0021053D"/>
    <w:rsid w:val="002117B5"/>
    <w:rsid w:val="00211CED"/>
    <w:rsid w:val="00211E50"/>
    <w:rsid w:val="0021291A"/>
    <w:rsid w:val="00212B06"/>
    <w:rsid w:val="002144DF"/>
    <w:rsid w:val="002147DA"/>
    <w:rsid w:val="00214BC0"/>
    <w:rsid w:val="00214E76"/>
    <w:rsid w:val="00215B93"/>
    <w:rsid w:val="002169E4"/>
    <w:rsid w:val="00217613"/>
    <w:rsid w:val="0021797C"/>
    <w:rsid w:val="00217E80"/>
    <w:rsid w:val="00220851"/>
    <w:rsid w:val="00220DD1"/>
    <w:rsid w:val="00220F69"/>
    <w:rsid w:val="002215DB"/>
    <w:rsid w:val="002218C4"/>
    <w:rsid w:val="00221A71"/>
    <w:rsid w:val="00221D0A"/>
    <w:rsid w:val="00223FBC"/>
    <w:rsid w:val="0022439A"/>
    <w:rsid w:val="00224E54"/>
    <w:rsid w:val="00225435"/>
    <w:rsid w:val="002302DE"/>
    <w:rsid w:val="00230326"/>
    <w:rsid w:val="00230944"/>
    <w:rsid w:val="00230B51"/>
    <w:rsid w:val="00232510"/>
    <w:rsid w:val="00234DA9"/>
    <w:rsid w:val="00234FBC"/>
    <w:rsid w:val="0023758A"/>
    <w:rsid w:val="002375AB"/>
    <w:rsid w:val="00240581"/>
    <w:rsid w:val="002428E2"/>
    <w:rsid w:val="00242D3F"/>
    <w:rsid w:val="0024315A"/>
    <w:rsid w:val="002443B8"/>
    <w:rsid w:val="002448A7"/>
    <w:rsid w:val="0024576B"/>
    <w:rsid w:val="00246071"/>
    <w:rsid w:val="00246564"/>
    <w:rsid w:val="00247447"/>
    <w:rsid w:val="00247B17"/>
    <w:rsid w:val="00250380"/>
    <w:rsid w:val="002508DF"/>
    <w:rsid w:val="00250D8E"/>
    <w:rsid w:val="0025257C"/>
    <w:rsid w:val="0025329F"/>
    <w:rsid w:val="002537D9"/>
    <w:rsid w:val="00255336"/>
    <w:rsid w:val="00255653"/>
    <w:rsid w:val="00255E7F"/>
    <w:rsid w:val="00256D85"/>
    <w:rsid w:val="002577DF"/>
    <w:rsid w:val="00257C3A"/>
    <w:rsid w:val="00260B8B"/>
    <w:rsid w:val="00260BC2"/>
    <w:rsid w:val="00260D9C"/>
    <w:rsid w:val="00262D7A"/>
    <w:rsid w:val="00262DB7"/>
    <w:rsid w:val="00263FBF"/>
    <w:rsid w:val="00264196"/>
    <w:rsid w:val="00265453"/>
    <w:rsid w:val="00266B3E"/>
    <w:rsid w:val="002678F1"/>
    <w:rsid w:val="00270560"/>
    <w:rsid w:val="0027122D"/>
    <w:rsid w:val="00271F2A"/>
    <w:rsid w:val="00272475"/>
    <w:rsid w:val="00272642"/>
    <w:rsid w:val="002726EE"/>
    <w:rsid w:val="00272FD7"/>
    <w:rsid w:val="00273085"/>
    <w:rsid w:val="0027336F"/>
    <w:rsid w:val="002735F6"/>
    <w:rsid w:val="00273AE4"/>
    <w:rsid w:val="002741EE"/>
    <w:rsid w:val="002745B1"/>
    <w:rsid w:val="00274850"/>
    <w:rsid w:val="002765C5"/>
    <w:rsid w:val="00276D33"/>
    <w:rsid w:val="00277494"/>
    <w:rsid w:val="00280DD0"/>
    <w:rsid w:val="00281970"/>
    <w:rsid w:val="00281BD9"/>
    <w:rsid w:val="00281D0B"/>
    <w:rsid w:val="00282B52"/>
    <w:rsid w:val="00283265"/>
    <w:rsid w:val="00283CD0"/>
    <w:rsid w:val="00285044"/>
    <w:rsid w:val="002853CF"/>
    <w:rsid w:val="00285D59"/>
    <w:rsid w:val="0028677A"/>
    <w:rsid w:val="00286AD6"/>
    <w:rsid w:val="00290575"/>
    <w:rsid w:val="00290F58"/>
    <w:rsid w:val="00291208"/>
    <w:rsid w:val="00291326"/>
    <w:rsid w:val="0029142D"/>
    <w:rsid w:val="002914FE"/>
    <w:rsid w:val="002924F5"/>
    <w:rsid w:val="00292C4A"/>
    <w:rsid w:val="00293031"/>
    <w:rsid w:val="00295CED"/>
    <w:rsid w:val="00296318"/>
    <w:rsid w:val="00296B2D"/>
    <w:rsid w:val="002A0E9A"/>
    <w:rsid w:val="002A11A6"/>
    <w:rsid w:val="002A157A"/>
    <w:rsid w:val="002A16C2"/>
    <w:rsid w:val="002A1B02"/>
    <w:rsid w:val="002A28D4"/>
    <w:rsid w:val="002A2BD6"/>
    <w:rsid w:val="002A456E"/>
    <w:rsid w:val="002A6917"/>
    <w:rsid w:val="002B0055"/>
    <w:rsid w:val="002B00D5"/>
    <w:rsid w:val="002B050B"/>
    <w:rsid w:val="002B10A4"/>
    <w:rsid w:val="002B10D8"/>
    <w:rsid w:val="002B19E5"/>
    <w:rsid w:val="002B1E9C"/>
    <w:rsid w:val="002B2C45"/>
    <w:rsid w:val="002B3377"/>
    <w:rsid w:val="002B3398"/>
    <w:rsid w:val="002B3A54"/>
    <w:rsid w:val="002B3FE7"/>
    <w:rsid w:val="002B412E"/>
    <w:rsid w:val="002B4334"/>
    <w:rsid w:val="002B4A06"/>
    <w:rsid w:val="002B4B77"/>
    <w:rsid w:val="002B512E"/>
    <w:rsid w:val="002B5C42"/>
    <w:rsid w:val="002B62CF"/>
    <w:rsid w:val="002B6314"/>
    <w:rsid w:val="002B69FE"/>
    <w:rsid w:val="002B6D1A"/>
    <w:rsid w:val="002B70CE"/>
    <w:rsid w:val="002B78F0"/>
    <w:rsid w:val="002B7BC0"/>
    <w:rsid w:val="002C0B2A"/>
    <w:rsid w:val="002C0F5E"/>
    <w:rsid w:val="002C165B"/>
    <w:rsid w:val="002C186D"/>
    <w:rsid w:val="002C2359"/>
    <w:rsid w:val="002C28B3"/>
    <w:rsid w:val="002C28DB"/>
    <w:rsid w:val="002C3A98"/>
    <w:rsid w:val="002C41FC"/>
    <w:rsid w:val="002C4246"/>
    <w:rsid w:val="002C4560"/>
    <w:rsid w:val="002C52C4"/>
    <w:rsid w:val="002C580F"/>
    <w:rsid w:val="002D13BE"/>
    <w:rsid w:val="002D2D5D"/>
    <w:rsid w:val="002D2F34"/>
    <w:rsid w:val="002D52C0"/>
    <w:rsid w:val="002D5F5D"/>
    <w:rsid w:val="002D6924"/>
    <w:rsid w:val="002D702C"/>
    <w:rsid w:val="002E0D24"/>
    <w:rsid w:val="002E12D5"/>
    <w:rsid w:val="002E1437"/>
    <w:rsid w:val="002E1EEF"/>
    <w:rsid w:val="002E4150"/>
    <w:rsid w:val="002E485F"/>
    <w:rsid w:val="002E4DFE"/>
    <w:rsid w:val="002E4F9A"/>
    <w:rsid w:val="002E5605"/>
    <w:rsid w:val="002E5A8E"/>
    <w:rsid w:val="002E5EF8"/>
    <w:rsid w:val="002E6119"/>
    <w:rsid w:val="002E766C"/>
    <w:rsid w:val="002E79A6"/>
    <w:rsid w:val="002F05B7"/>
    <w:rsid w:val="002F0669"/>
    <w:rsid w:val="002F13CF"/>
    <w:rsid w:val="002F1480"/>
    <w:rsid w:val="002F14B3"/>
    <w:rsid w:val="002F19C3"/>
    <w:rsid w:val="002F23B4"/>
    <w:rsid w:val="002F3C88"/>
    <w:rsid w:val="002F3FDC"/>
    <w:rsid w:val="002F4E7A"/>
    <w:rsid w:val="002F5232"/>
    <w:rsid w:val="002F5CC0"/>
    <w:rsid w:val="00300317"/>
    <w:rsid w:val="00300C3D"/>
    <w:rsid w:val="00302978"/>
    <w:rsid w:val="00302D82"/>
    <w:rsid w:val="00303376"/>
    <w:rsid w:val="00304563"/>
    <w:rsid w:val="003048F0"/>
    <w:rsid w:val="003049D8"/>
    <w:rsid w:val="003051DC"/>
    <w:rsid w:val="0030522E"/>
    <w:rsid w:val="00305675"/>
    <w:rsid w:val="00305732"/>
    <w:rsid w:val="0030712D"/>
    <w:rsid w:val="0031043F"/>
    <w:rsid w:val="00310F40"/>
    <w:rsid w:val="00312009"/>
    <w:rsid w:val="003126B0"/>
    <w:rsid w:val="003129C1"/>
    <w:rsid w:val="003139CB"/>
    <w:rsid w:val="00313C33"/>
    <w:rsid w:val="003141FB"/>
    <w:rsid w:val="003149CA"/>
    <w:rsid w:val="00315140"/>
    <w:rsid w:val="003154D3"/>
    <w:rsid w:val="00315F3C"/>
    <w:rsid w:val="0031632E"/>
    <w:rsid w:val="0031659A"/>
    <w:rsid w:val="003169C4"/>
    <w:rsid w:val="00322564"/>
    <w:rsid w:val="0032284D"/>
    <w:rsid w:val="003229EC"/>
    <w:rsid w:val="003232A8"/>
    <w:rsid w:val="003242B1"/>
    <w:rsid w:val="00324A36"/>
    <w:rsid w:val="00326358"/>
    <w:rsid w:val="003277A0"/>
    <w:rsid w:val="00330FC4"/>
    <w:rsid w:val="003310E3"/>
    <w:rsid w:val="00331802"/>
    <w:rsid w:val="00331ADD"/>
    <w:rsid w:val="0033362E"/>
    <w:rsid w:val="00334325"/>
    <w:rsid w:val="00334DBD"/>
    <w:rsid w:val="00335083"/>
    <w:rsid w:val="00335519"/>
    <w:rsid w:val="00335C16"/>
    <w:rsid w:val="00337405"/>
    <w:rsid w:val="00340BA5"/>
    <w:rsid w:val="00340F40"/>
    <w:rsid w:val="003421C8"/>
    <w:rsid w:val="00342DEB"/>
    <w:rsid w:val="00343061"/>
    <w:rsid w:val="003439A1"/>
    <w:rsid w:val="00343F2A"/>
    <w:rsid w:val="0034524E"/>
    <w:rsid w:val="00345699"/>
    <w:rsid w:val="0034620A"/>
    <w:rsid w:val="00346350"/>
    <w:rsid w:val="0034792D"/>
    <w:rsid w:val="00347C2C"/>
    <w:rsid w:val="00347DAA"/>
    <w:rsid w:val="00350C49"/>
    <w:rsid w:val="00350E2D"/>
    <w:rsid w:val="0035101C"/>
    <w:rsid w:val="00351EB6"/>
    <w:rsid w:val="00353A11"/>
    <w:rsid w:val="00353A2B"/>
    <w:rsid w:val="00354EF7"/>
    <w:rsid w:val="0035723D"/>
    <w:rsid w:val="003601BD"/>
    <w:rsid w:val="003618C4"/>
    <w:rsid w:val="00361ADF"/>
    <w:rsid w:val="00362632"/>
    <w:rsid w:val="00364AD0"/>
    <w:rsid w:val="00365345"/>
    <w:rsid w:val="003668C6"/>
    <w:rsid w:val="00367C55"/>
    <w:rsid w:val="00367FCE"/>
    <w:rsid w:val="00370538"/>
    <w:rsid w:val="00370935"/>
    <w:rsid w:val="00371F9A"/>
    <w:rsid w:val="0037236F"/>
    <w:rsid w:val="0037296F"/>
    <w:rsid w:val="00373B2B"/>
    <w:rsid w:val="003748C6"/>
    <w:rsid w:val="003771FB"/>
    <w:rsid w:val="00380259"/>
    <w:rsid w:val="0038195C"/>
    <w:rsid w:val="00381FE5"/>
    <w:rsid w:val="00382EFE"/>
    <w:rsid w:val="00383797"/>
    <w:rsid w:val="003838C2"/>
    <w:rsid w:val="00383A5A"/>
    <w:rsid w:val="00383AAB"/>
    <w:rsid w:val="00385726"/>
    <w:rsid w:val="00386F03"/>
    <w:rsid w:val="0038718F"/>
    <w:rsid w:val="00387C6A"/>
    <w:rsid w:val="003923D4"/>
    <w:rsid w:val="00393867"/>
    <w:rsid w:val="00393A1D"/>
    <w:rsid w:val="00393CB6"/>
    <w:rsid w:val="00393CF5"/>
    <w:rsid w:val="0039463D"/>
    <w:rsid w:val="00396897"/>
    <w:rsid w:val="003969AF"/>
    <w:rsid w:val="00396C05"/>
    <w:rsid w:val="0039750E"/>
    <w:rsid w:val="00397879"/>
    <w:rsid w:val="0039790E"/>
    <w:rsid w:val="003A24F2"/>
    <w:rsid w:val="003A3365"/>
    <w:rsid w:val="003A3A97"/>
    <w:rsid w:val="003A3CBB"/>
    <w:rsid w:val="003A4ED9"/>
    <w:rsid w:val="003A5001"/>
    <w:rsid w:val="003A7165"/>
    <w:rsid w:val="003A7C34"/>
    <w:rsid w:val="003B0740"/>
    <w:rsid w:val="003B101C"/>
    <w:rsid w:val="003B13E2"/>
    <w:rsid w:val="003B318B"/>
    <w:rsid w:val="003B3584"/>
    <w:rsid w:val="003B3CD2"/>
    <w:rsid w:val="003B4758"/>
    <w:rsid w:val="003B496A"/>
    <w:rsid w:val="003B5048"/>
    <w:rsid w:val="003B521E"/>
    <w:rsid w:val="003B5995"/>
    <w:rsid w:val="003B60CB"/>
    <w:rsid w:val="003B62C2"/>
    <w:rsid w:val="003B6948"/>
    <w:rsid w:val="003B7FA7"/>
    <w:rsid w:val="003B7FF5"/>
    <w:rsid w:val="003C1078"/>
    <w:rsid w:val="003C2831"/>
    <w:rsid w:val="003C28C2"/>
    <w:rsid w:val="003C2AB8"/>
    <w:rsid w:val="003C348E"/>
    <w:rsid w:val="003C382E"/>
    <w:rsid w:val="003C4515"/>
    <w:rsid w:val="003C46A4"/>
    <w:rsid w:val="003C61A4"/>
    <w:rsid w:val="003C6414"/>
    <w:rsid w:val="003C6DAF"/>
    <w:rsid w:val="003C78E1"/>
    <w:rsid w:val="003C7A47"/>
    <w:rsid w:val="003D0404"/>
    <w:rsid w:val="003D0709"/>
    <w:rsid w:val="003D0895"/>
    <w:rsid w:val="003D0ED5"/>
    <w:rsid w:val="003D13F5"/>
    <w:rsid w:val="003D1A5B"/>
    <w:rsid w:val="003D1B51"/>
    <w:rsid w:val="003D21C2"/>
    <w:rsid w:val="003D40E5"/>
    <w:rsid w:val="003D531B"/>
    <w:rsid w:val="003D558C"/>
    <w:rsid w:val="003D72D6"/>
    <w:rsid w:val="003D72DA"/>
    <w:rsid w:val="003D75B6"/>
    <w:rsid w:val="003D7657"/>
    <w:rsid w:val="003E01BB"/>
    <w:rsid w:val="003E194F"/>
    <w:rsid w:val="003E20DB"/>
    <w:rsid w:val="003E3534"/>
    <w:rsid w:val="003E483D"/>
    <w:rsid w:val="003E496A"/>
    <w:rsid w:val="003E5A1F"/>
    <w:rsid w:val="003E60DA"/>
    <w:rsid w:val="003E7A4A"/>
    <w:rsid w:val="003E7A50"/>
    <w:rsid w:val="003F3354"/>
    <w:rsid w:val="003F349E"/>
    <w:rsid w:val="003F3DF4"/>
    <w:rsid w:val="003F586E"/>
    <w:rsid w:val="003F6505"/>
    <w:rsid w:val="003F6BED"/>
    <w:rsid w:val="003F6D50"/>
    <w:rsid w:val="003F774E"/>
    <w:rsid w:val="00400226"/>
    <w:rsid w:val="00400710"/>
    <w:rsid w:val="00400865"/>
    <w:rsid w:val="004015CE"/>
    <w:rsid w:val="00402860"/>
    <w:rsid w:val="00402EB8"/>
    <w:rsid w:val="00404419"/>
    <w:rsid w:val="004060B0"/>
    <w:rsid w:val="0040660A"/>
    <w:rsid w:val="0040685F"/>
    <w:rsid w:val="0040690B"/>
    <w:rsid w:val="004108E8"/>
    <w:rsid w:val="004117F3"/>
    <w:rsid w:val="00412922"/>
    <w:rsid w:val="004130FB"/>
    <w:rsid w:val="00413823"/>
    <w:rsid w:val="00413989"/>
    <w:rsid w:val="00416479"/>
    <w:rsid w:val="00417023"/>
    <w:rsid w:val="004203E1"/>
    <w:rsid w:val="00420740"/>
    <w:rsid w:val="004207F9"/>
    <w:rsid w:val="0042133C"/>
    <w:rsid w:val="00423EB4"/>
    <w:rsid w:val="00424D04"/>
    <w:rsid w:val="00425730"/>
    <w:rsid w:val="00426F1C"/>
    <w:rsid w:val="00427116"/>
    <w:rsid w:val="00430673"/>
    <w:rsid w:val="00430756"/>
    <w:rsid w:val="00430ECC"/>
    <w:rsid w:val="004311A9"/>
    <w:rsid w:val="00431566"/>
    <w:rsid w:val="004325A4"/>
    <w:rsid w:val="00432C5B"/>
    <w:rsid w:val="00433C2A"/>
    <w:rsid w:val="00436CBF"/>
    <w:rsid w:val="004406A5"/>
    <w:rsid w:val="00440997"/>
    <w:rsid w:val="0044102C"/>
    <w:rsid w:val="00441F2D"/>
    <w:rsid w:val="0044204D"/>
    <w:rsid w:val="004447C4"/>
    <w:rsid w:val="004448B3"/>
    <w:rsid w:val="00444E55"/>
    <w:rsid w:val="004456EE"/>
    <w:rsid w:val="004463C5"/>
    <w:rsid w:val="0044694A"/>
    <w:rsid w:val="00446A11"/>
    <w:rsid w:val="0044716A"/>
    <w:rsid w:val="004509C5"/>
    <w:rsid w:val="004510A6"/>
    <w:rsid w:val="0045115D"/>
    <w:rsid w:val="00451A7F"/>
    <w:rsid w:val="00451FEB"/>
    <w:rsid w:val="004534C8"/>
    <w:rsid w:val="004534FC"/>
    <w:rsid w:val="00456B37"/>
    <w:rsid w:val="00460417"/>
    <w:rsid w:val="004606C2"/>
    <w:rsid w:val="004606D9"/>
    <w:rsid w:val="00461E9F"/>
    <w:rsid w:val="00462717"/>
    <w:rsid w:val="00463003"/>
    <w:rsid w:val="00463709"/>
    <w:rsid w:val="00463B80"/>
    <w:rsid w:val="00464AB0"/>
    <w:rsid w:val="00464E95"/>
    <w:rsid w:val="004654C1"/>
    <w:rsid w:val="00466D89"/>
    <w:rsid w:val="00467442"/>
    <w:rsid w:val="0047034C"/>
    <w:rsid w:val="00470A88"/>
    <w:rsid w:val="00472B97"/>
    <w:rsid w:val="0047356F"/>
    <w:rsid w:val="004737B1"/>
    <w:rsid w:val="00473E38"/>
    <w:rsid w:val="004742B2"/>
    <w:rsid w:val="00474F65"/>
    <w:rsid w:val="004759BE"/>
    <w:rsid w:val="00475A08"/>
    <w:rsid w:val="00477F5F"/>
    <w:rsid w:val="004803A8"/>
    <w:rsid w:val="00480945"/>
    <w:rsid w:val="00483A5D"/>
    <w:rsid w:val="004845D5"/>
    <w:rsid w:val="00485063"/>
    <w:rsid w:val="0048557F"/>
    <w:rsid w:val="00490300"/>
    <w:rsid w:val="00490A52"/>
    <w:rsid w:val="0049157E"/>
    <w:rsid w:val="00491908"/>
    <w:rsid w:val="004928FC"/>
    <w:rsid w:val="00492A3E"/>
    <w:rsid w:val="0049320E"/>
    <w:rsid w:val="004934B5"/>
    <w:rsid w:val="00494702"/>
    <w:rsid w:val="00496486"/>
    <w:rsid w:val="00496BBB"/>
    <w:rsid w:val="00496BED"/>
    <w:rsid w:val="00496F63"/>
    <w:rsid w:val="004A044F"/>
    <w:rsid w:val="004A0D45"/>
    <w:rsid w:val="004A1A17"/>
    <w:rsid w:val="004A3291"/>
    <w:rsid w:val="004A4565"/>
    <w:rsid w:val="004A5589"/>
    <w:rsid w:val="004A58B1"/>
    <w:rsid w:val="004A69F6"/>
    <w:rsid w:val="004A6A94"/>
    <w:rsid w:val="004A7C72"/>
    <w:rsid w:val="004B0C86"/>
    <w:rsid w:val="004B1D6F"/>
    <w:rsid w:val="004B1D72"/>
    <w:rsid w:val="004B248F"/>
    <w:rsid w:val="004B2548"/>
    <w:rsid w:val="004B2732"/>
    <w:rsid w:val="004B3362"/>
    <w:rsid w:val="004B4B94"/>
    <w:rsid w:val="004B4C13"/>
    <w:rsid w:val="004B57A5"/>
    <w:rsid w:val="004B5E4E"/>
    <w:rsid w:val="004B64DF"/>
    <w:rsid w:val="004B7CB5"/>
    <w:rsid w:val="004C03E8"/>
    <w:rsid w:val="004C04DF"/>
    <w:rsid w:val="004C08AD"/>
    <w:rsid w:val="004C3C1F"/>
    <w:rsid w:val="004C5172"/>
    <w:rsid w:val="004C608C"/>
    <w:rsid w:val="004C64B4"/>
    <w:rsid w:val="004C650F"/>
    <w:rsid w:val="004D0047"/>
    <w:rsid w:val="004D1A2D"/>
    <w:rsid w:val="004D26F3"/>
    <w:rsid w:val="004D2FF6"/>
    <w:rsid w:val="004D3223"/>
    <w:rsid w:val="004D39C0"/>
    <w:rsid w:val="004D4584"/>
    <w:rsid w:val="004D5160"/>
    <w:rsid w:val="004D5880"/>
    <w:rsid w:val="004D62CC"/>
    <w:rsid w:val="004D62E6"/>
    <w:rsid w:val="004E0615"/>
    <w:rsid w:val="004E0F40"/>
    <w:rsid w:val="004E19BC"/>
    <w:rsid w:val="004E2023"/>
    <w:rsid w:val="004E21D9"/>
    <w:rsid w:val="004E2B48"/>
    <w:rsid w:val="004E327D"/>
    <w:rsid w:val="004E6C92"/>
    <w:rsid w:val="004E6EDA"/>
    <w:rsid w:val="004F0809"/>
    <w:rsid w:val="004F0A39"/>
    <w:rsid w:val="004F0D33"/>
    <w:rsid w:val="004F139F"/>
    <w:rsid w:val="004F17A6"/>
    <w:rsid w:val="004F4C1A"/>
    <w:rsid w:val="004F505C"/>
    <w:rsid w:val="004F5C6A"/>
    <w:rsid w:val="004F684D"/>
    <w:rsid w:val="004F7403"/>
    <w:rsid w:val="004F7C8A"/>
    <w:rsid w:val="004F7CD0"/>
    <w:rsid w:val="00500340"/>
    <w:rsid w:val="00500499"/>
    <w:rsid w:val="00500A81"/>
    <w:rsid w:val="0050179C"/>
    <w:rsid w:val="00504D54"/>
    <w:rsid w:val="00506521"/>
    <w:rsid w:val="005068B2"/>
    <w:rsid w:val="005074D7"/>
    <w:rsid w:val="00510876"/>
    <w:rsid w:val="00511765"/>
    <w:rsid w:val="0051209F"/>
    <w:rsid w:val="00512B87"/>
    <w:rsid w:val="00512F7F"/>
    <w:rsid w:val="00512F9A"/>
    <w:rsid w:val="00513B3F"/>
    <w:rsid w:val="00514FFF"/>
    <w:rsid w:val="005151AA"/>
    <w:rsid w:val="005161AC"/>
    <w:rsid w:val="00516271"/>
    <w:rsid w:val="00516946"/>
    <w:rsid w:val="00520935"/>
    <w:rsid w:val="00522982"/>
    <w:rsid w:val="00522DB8"/>
    <w:rsid w:val="00523099"/>
    <w:rsid w:val="0052392A"/>
    <w:rsid w:val="00523A35"/>
    <w:rsid w:val="0052489F"/>
    <w:rsid w:val="00524FEC"/>
    <w:rsid w:val="005257E3"/>
    <w:rsid w:val="005268D1"/>
    <w:rsid w:val="00530344"/>
    <w:rsid w:val="00531332"/>
    <w:rsid w:val="0053195E"/>
    <w:rsid w:val="00532546"/>
    <w:rsid w:val="005325CF"/>
    <w:rsid w:val="00532DBC"/>
    <w:rsid w:val="005336F9"/>
    <w:rsid w:val="00534552"/>
    <w:rsid w:val="00534667"/>
    <w:rsid w:val="005349A0"/>
    <w:rsid w:val="00535227"/>
    <w:rsid w:val="005354D2"/>
    <w:rsid w:val="00535BF5"/>
    <w:rsid w:val="0053620E"/>
    <w:rsid w:val="00536F71"/>
    <w:rsid w:val="00540206"/>
    <w:rsid w:val="00540881"/>
    <w:rsid w:val="005411BE"/>
    <w:rsid w:val="005428FA"/>
    <w:rsid w:val="00543885"/>
    <w:rsid w:val="00543A29"/>
    <w:rsid w:val="00544788"/>
    <w:rsid w:val="00545A2A"/>
    <w:rsid w:val="00545B41"/>
    <w:rsid w:val="00545C71"/>
    <w:rsid w:val="0054650E"/>
    <w:rsid w:val="00547332"/>
    <w:rsid w:val="005506E9"/>
    <w:rsid w:val="00550F4D"/>
    <w:rsid w:val="00550F6C"/>
    <w:rsid w:val="0055211E"/>
    <w:rsid w:val="005531D9"/>
    <w:rsid w:val="00553284"/>
    <w:rsid w:val="005534BD"/>
    <w:rsid w:val="0055365C"/>
    <w:rsid w:val="005544EB"/>
    <w:rsid w:val="005549A2"/>
    <w:rsid w:val="00556536"/>
    <w:rsid w:val="0055741E"/>
    <w:rsid w:val="005601AA"/>
    <w:rsid w:val="00560338"/>
    <w:rsid w:val="005605EA"/>
    <w:rsid w:val="005607A0"/>
    <w:rsid w:val="00562218"/>
    <w:rsid w:val="005632AE"/>
    <w:rsid w:val="00563A06"/>
    <w:rsid w:val="0056425A"/>
    <w:rsid w:val="00564792"/>
    <w:rsid w:val="005650FB"/>
    <w:rsid w:val="00565443"/>
    <w:rsid w:val="00565FCD"/>
    <w:rsid w:val="00566244"/>
    <w:rsid w:val="005662E3"/>
    <w:rsid w:val="0056688C"/>
    <w:rsid w:val="00566D54"/>
    <w:rsid w:val="005671A7"/>
    <w:rsid w:val="00567DA7"/>
    <w:rsid w:val="0057095A"/>
    <w:rsid w:val="0057095E"/>
    <w:rsid w:val="00570C8A"/>
    <w:rsid w:val="00572067"/>
    <w:rsid w:val="00572704"/>
    <w:rsid w:val="0057311E"/>
    <w:rsid w:val="00573525"/>
    <w:rsid w:val="00573A38"/>
    <w:rsid w:val="00574067"/>
    <w:rsid w:val="00574222"/>
    <w:rsid w:val="005755A4"/>
    <w:rsid w:val="00576952"/>
    <w:rsid w:val="00577BD8"/>
    <w:rsid w:val="00577F42"/>
    <w:rsid w:val="005807EA"/>
    <w:rsid w:val="0058103E"/>
    <w:rsid w:val="005812EF"/>
    <w:rsid w:val="005818C1"/>
    <w:rsid w:val="00583598"/>
    <w:rsid w:val="00583B5D"/>
    <w:rsid w:val="00583C1E"/>
    <w:rsid w:val="00584292"/>
    <w:rsid w:val="005867DC"/>
    <w:rsid w:val="00586E26"/>
    <w:rsid w:val="00587275"/>
    <w:rsid w:val="005906E4"/>
    <w:rsid w:val="00590D73"/>
    <w:rsid w:val="00591337"/>
    <w:rsid w:val="005915B3"/>
    <w:rsid w:val="00593EA1"/>
    <w:rsid w:val="00594E70"/>
    <w:rsid w:val="00595131"/>
    <w:rsid w:val="005959D6"/>
    <w:rsid w:val="00595C60"/>
    <w:rsid w:val="00596240"/>
    <w:rsid w:val="00596436"/>
    <w:rsid w:val="00597FB4"/>
    <w:rsid w:val="005A0196"/>
    <w:rsid w:val="005A15B5"/>
    <w:rsid w:val="005A2DF4"/>
    <w:rsid w:val="005A35A3"/>
    <w:rsid w:val="005A3FB8"/>
    <w:rsid w:val="005A66B4"/>
    <w:rsid w:val="005A6912"/>
    <w:rsid w:val="005A6922"/>
    <w:rsid w:val="005A70B6"/>
    <w:rsid w:val="005A75BF"/>
    <w:rsid w:val="005A7821"/>
    <w:rsid w:val="005A7F04"/>
    <w:rsid w:val="005B0B63"/>
    <w:rsid w:val="005B1162"/>
    <w:rsid w:val="005B1C54"/>
    <w:rsid w:val="005B1E00"/>
    <w:rsid w:val="005B2BEF"/>
    <w:rsid w:val="005B388C"/>
    <w:rsid w:val="005B4069"/>
    <w:rsid w:val="005B588F"/>
    <w:rsid w:val="005B6A41"/>
    <w:rsid w:val="005B7A0B"/>
    <w:rsid w:val="005C02D7"/>
    <w:rsid w:val="005C0F2A"/>
    <w:rsid w:val="005C11CA"/>
    <w:rsid w:val="005C28F2"/>
    <w:rsid w:val="005C2E65"/>
    <w:rsid w:val="005C329F"/>
    <w:rsid w:val="005C366A"/>
    <w:rsid w:val="005C3D15"/>
    <w:rsid w:val="005C467C"/>
    <w:rsid w:val="005C4A7B"/>
    <w:rsid w:val="005C4BA5"/>
    <w:rsid w:val="005C5975"/>
    <w:rsid w:val="005C6279"/>
    <w:rsid w:val="005C7237"/>
    <w:rsid w:val="005C76A7"/>
    <w:rsid w:val="005D09B6"/>
    <w:rsid w:val="005D3462"/>
    <w:rsid w:val="005D3463"/>
    <w:rsid w:val="005D3507"/>
    <w:rsid w:val="005D3989"/>
    <w:rsid w:val="005D3EBC"/>
    <w:rsid w:val="005D464E"/>
    <w:rsid w:val="005D4AED"/>
    <w:rsid w:val="005D57F7"/>
    <w:rsid w:val="005E03FB"/>
    <w:rsid w:val="005E046E"/>
    <w:rsid w:val="005E05F2"/>
    <w:rsid w:val="005E08D7"/>
    <w:rsid w:val="005E17BF"/>
    <w:rsid w:val="005E1FA1"/>
    <w:rsid w:val="005E20D9"/>
    <w:rsid w:val="005E2630"/>
    <w:rsid w:val="005E4923"/>
    <w:rsid w:val="005E61C1"/>
    <w:rsid w:val="005E6750"/>
    <w:rsid w:val="005E79A9"/>
    <w:rsid w:val="005E7AA7"/>
    <w:rsid w:val="005E7F37"/>
    <w:rsid w:val="005F0370"/>
    <w:rsid w:val="005F5333"/>
    <w:rsid w:val="005F5F75"/>
    <w:rsid w:val="005F6646"/>
    <w:rsid w:val="005F7C7D"/>
    <w:rsid w:val="0060006C"/>
    <w:rsid w:val="00600D43"/>
    <w:rsid w:val="006016BE"/>
    <w:rsid w:val="0060241B"/>
    <w:rsid w:val="00602959"/>
    <w:rsid w:val="00603AE1"/>
    <w:rsid w:val="006040ED"/>
    <w:rsid w:val="00604260"/>
    <w:rsid w:val="006051D4"/>
    <w:rsid w:val="00606663"/>
    <w:rsid w:val="00607C66"/>
    <w:rsid w:val="00610124"/>
    <w:rsid w:val="00611000"/>
    <w:rsid w:val="00611FD8"/>
    <w:rsid w:val="00613281"/>
    <w:rsid w:val="00613E46"/>
    <w:rsid w:val="0061522B"/>
    <w:rsid w:val="00615635"/>
    <w:rsid w:val="00616841"/>
    <w:rsid w:val="00616923"/>
    <w:rsid w:val="00620FFD"/>
    <w:rsid w:val="00621282"/>
    <w:rsid w:val="00621B2C"/>
    <w:rsid w:val="006222A6"/>
    <w:rsid w:val="00622429"/>
    <w:rsid w:val="00622EC7"/>
    <w:rsid w:val="00623425"/>
    <w:rsid w:val="00623A8A"/>
    <w:rsid w:val="006241B8"/>
    <w:rsid w:val="006272D0"/>
    <w:rsid w:val="006278FA"/>
    <w:rsid w:val="00627EEB"/>
    <w:rsid w:val="00630B02"/>
    <w:rsid w:val="00631284"/>
    <w:rsid w:val="0063137A"/>
    <w:rsid w:val="00631CC8"/>
    <w:rsid w:val="00632803"/>
    <w:rsid w:val="0063314E"/>
    <w:rsid w:val="006352C8"/>
    <w:rsid w:val="00635643"/>
    <w:rsid w:val="00635E37"/>
    <w:rsid w:val="00637B8E"/>
    <w:rsid w:val="0064240C"/>
    <w:rsid w:val="006425A6"/>
    <w:rsid w:val="00644222"/>
    <w:rsid w:val="00644CC9"/>
    <w:rsid w:val="0064571A"/>
    <w:rsid w:val="006466C3"/>
    <w:rsid w:val="00646E9E"/>
    <w:rsid w:val="006470EA"/>
    <w:rsid w:val="006506DB"/>
    <w:rsid w:val="00650A15"/>
    <w:rsid w:val="0065256E"/>
    <w:rsid w:val="00652DBA"/>
    <w:rsid w:val="0065384B"/>
    <w:rsid w:val="0065468E"/>
    <w:rsid w:val="0065574A"/>
    <w:rsid w:val="00655805"/>
    <w:rsid w:val="00655CB4"/>
    <w:rsid w:val="006562B4"/>
    <w:rsid w:val="00657253"/>
    <w:rsid w:val="006609EB"/>
    <w:rsid w:val="00662C8B"/>
    <w:rsid w:val="00663245"/>
    <w:rsid w:val="006636A5"/>
    <w:rsid w:val="00663856"/>
    <w:rsid w:val="006679BA"/>
    <w:rsid w:val="006706CD"/>
    <w:rsid w:val="00671977"/>
    <w:rsid w:val="0067287F"/>
    <w:rsid w:val="006729BA"/>
    <w:rsid w:val="00672BE9"/>
    <w:rsid w:val="00673C27"/>
    <w:rsid w:val="00674437"/>
    <w:rsid w:val="006748F8"/>
    <w:rsid w:val="0067491E"/>
    <w:rsid w:val="00674F50"/>
    <w:rsid w:val="006760E4"/>
    <w:rsid w:val="00676129"/>
    <w:rsid w:val="0067722F"/>
    <w:rsid w:val="006774DB"/>
    <w:rsid w:val="006775F4"/>
    <w:rsid w:val="00677AC5"/>
    <w:rsid w:val="00677D01"/>
    <w:rsid w:val="006801C5"/>
    <w:rsid w:val="006809FE"/>
    <w:rsid w:val="006815B6"/>
    <w:rsid w:val="00682327"/>
    <w:rsid w:val="00682524"/>
    <w:rsid w:val="00682638"/>
    <w:rsid w:val="00682D8F"/>
    <w:rsid w:val="00682DC2"/>
    <w:rsid w:val="00682F3F"/>
    <w:rsid w:val="00683437"/>
    <w:rsid w:val="00683AE1"/>
    <w:rsid w:val="00685B98"/>
    <w:rsid w:val="006863DD"/>
    <w:rsid w:val="00686AA4"/>
    <w:rsid w:val="00687D86"/>
    <w:rsid w:val="00690436"/>
    <w:rsid w:val="0069094E"/>
    <w:rsid w:val="00690CD0"/>
    <w:rsid w:val="00692983"/>
    <w:rsid w:val="00692C96"/>
    <w:rsid w:val="00692DB1"/>
    <w:rsid w:val="00692F01"/>
    <w:rsid w:val="006934F3"/>
    <w:rsid w:val="0069553B"/>
    <w:rsid w:val="00695A24"/>
    <w:rsid w:val="00696161"/>
    <w:rsid w:val="006A0B0F"/>
    <w:rsid w:val="006A0FA6"/>
    <w:rsid w:val="006A141E"/>
    <w:rsid w:val="006A4F59"/>
    <w:rsid w:val="006A68C2"/>
    <w:rsid w:val="006A6B65"/>
    <w:rsid w:val="006B006F"/>
    <w:rsid w:val="006B046E"/>
    <w:rsid w:val="006B0EA7"/>
    <w:rsid w:val="006B1803"/>
    <w:rsid w:val="006B1B57"/>
    <w:rsid w:val="006B3861"/>
    <w:rsid w:val="006B39A8"/>
    <w:rsid w:val="006B43D2"/>
    <w:rsid w:val="006B4749"/>
    <w:rsid w:val="006B4C44"/>
    <w:rsid w:val="006B5AC3"/>
    <w:rsid w:val="006B6BB3"/>
    <w:rsid w:val="006B6FBA"/>
    <w:rsid w:val="006B79B7"/>
    <w:rsid w:val="006B7C9F"/>
    <w:rsid w:val="006B7F68"/>
    <w:rsid w:val="006C0DDA"/>
    <w:rsid w:val="006C2DD1"/>
    <w:rsid w:val="006C35C8"/>
    <w:rsid w:val="006C36B8"/>
    <w:rsid w:val="006C3AA0"/>
    <w:rsid w:val="006C43CF"/>
    <w:rsid w:val="006C4DBF"/>
    <w:rsid w:val="006C6AA8"/>
    <w:rsid w:val="006C7B72"/>
    <w:rsid w:val="006D05F1"/>
    <w:rsid w:val="006D2034"/>
    <w:rsid w:val="006D31B8"/>
    <w:rsid w:val="006D3CC0"/>
    <w:rsid w:val="006D4182"/>
    <w:rsid w:val="006D4C18"/>
    <w:rsid w:val="006D5599"/>
    <w:rsid w:val="006D5F7F"/>
    <w:rsid w:val="006D5FE2"/>
    <w:rsid w:val="006D6A61"/>
    <w:rsid w:val="006D7939"/>
    <w:rsid w:val="006E090E"/>
    <w:rsid w:val="006E1A6E"/>
    <w:rsid w:val="006E2451"/>
    <w:rsid w:val="006E2E73"/>
    <w:rsid w:val="006E3650"/>
    <w:rsid w:val="006E55A6"/>
    <w:rsid w:val="006E564F"/>
    <w:rsid w:val="006E5F02"/>
    <w:rsid w:val="006E62FD"/>
    <w:rsid w:val="006E653E"/>
    <w:rsid w:val="006E685A"/>
    <w:rsid w:val="006E758D"/>
    <w:rsid w:val="006E7996"/>
    <w:rsid w:val="006F06EA"/>
    <w:rsid w:val="006F0743"/>
    <w:rsid w:val="006F0FDC"/>
    <w:rsid w:val="006F12D0"/>
    <w:rsid w:val="006F1FBB"/>
    <w:rsid w:val="006F2B5F"/>
    <w:rsid w:val="006F3AB3"/>
    <w:rsid w:val="006F4841"/>
    <w:rsid w:val="006F4BB5"/>
    <w:rsid w:val="006F4FC2"/>
    <w:rsid w:val="006F55C9"/>
    <w:rsid w:val="006F5CCB"/>
    <w:rsid w:val="006F5E09"/>
    <w:rsid w:val="006F6FF5"/>
    <w:rsid w:val="006F757B"/>
    <w:rsid w:val="006F7972"/>
    <w:rsid w:val="006F7CD6"/>
    <w:rsid w:val="007005A5"/>
    <w:rsid w:val="00700748"/>
    <w:rsid w:val="00701102"/>
    <w:rsid w:val="00701571"/>
    <w:rsid w:val="00701999"/>
    <w:rsid w:val="00701F0C"/>
    <w:rsid w:val="00702022"/>
    <w:rsid w:val="007029E0"/>
    <w:rsid w:val="00703857"/>
    <w:rsid w:val="007052A9"/>
    <w:rsid w:val="00706094"/>
    <w:rsid w:val="00706542"/>
    <w:rsid w:val="007069D0"/>
    <w:rsid w:val="00707260"/>
    <w:rsid w:val="00711655"/>
    <w:rsid w:val="00711A70"/>
    <w:rsid w:val="00712773"/>
    <w:rsid w:val="00712A0A"/>
    <w:rsid w:val="00713A4B"/>
    <w:rsid w:val="00713B1A"/>
    <w:rsid w:val="00714858"/>
    <w:rsid w:val="0071787E"/>
    <w:rsid w:val="00717B95"/>
    <w:rsid w:val="00720E7C"/>
    <w:rsid w:val="007211A9"/>
    <w:rsid w:val="007212D6"/>
    <w:rsid w:val="007213AF"/>
    <w:rsid w:val="0072177D"/>
    <w:rsid w:val="00721F50"/>
    <w:rsid w:val="00724644"/>
    <w:rsid w:val="0072483C"/>
    <w:rsid w:val="00724D2B"/>
    <w:rsid w:val="0072651E"/>
    <w:rsid w:val="00726FB1"/>
    <w:rsid w:val="0073134F"/>
    <w:rsid w:val="00732FA4"/>
    <w:rsid w:val="0073327D"/>
    <w:rsid w:val="007334E0"/>
    <w:rsid w:val="00735EF3"/>
    <w:rsid w:val="00735FED"/>
    <w:rsid w:val="00737ED1"/>
    <w:rsid w:val="0074026D"/>
    <w:rsid w:val="007405F1"/>
    <w:rsid w:val="00740A22"/>
    <w:rsid w:val="00741B7D"/>
    <w:rsid w:val="007425DE"/>
    <w:rsid w:val="00742A89"/>
    <w:rsid w:val="00742F77"/>
    <w:rsid w:val="007432A1"/>
    <w:rsid w:val="007435F9"/>
    <w:rsid w:val="00743E27"/>
    <w:rsid w:val="00744337"/>
    <w:rsid w:val="00744DB3"/>
    <w:rsid w:val="00745367"/>
    <w:rsid w:val="00745805"/>
    <w:rsid w:val="007477D6"/>
    <w:rsid w:val="00747855"/>
    <w:rsid w:val="0075056E"/>
    <w:rsid w:val="0075062D"/>
    <w:rsid w:val="007508DE"/>
    <w:rsid w:val="00750A0D"/>
    <w:rsid w:val="00752568"/>
    <w:rsid w:val="007531AC"/>
    <w:rsid w:val="007542F5"/>
    <w:rsid w:val="00754F19"/>
    <w:rsid w:val="00755004"/>
    <w:rsid w:val="00756B7F"/>
    <w:rsid w:val="00760EBE"/>
    <w:rsid w:val="00760EC3"/>
    <w:rsid w:val="00761787"/>
    <w:rsid w:val="00761805"/>
    <w:rsid w:val="00761927"/>
    <w:rsid w:val="00761D59"/>
    <w:rsid w:val="00762DA7"/>
    <w:rsid w:val="00762F46"/>
    <w:rsid w:val="007654E8"/>
    <w:rsid w:val="00766943"/>
    <w:rsid w:val="0076771C"/>
    <w:rsid w:val="0076777D"/>
    <w:rsid w:val="00767B6C"/>
    <w:rsid w:val="007701D5"/>
    <w:rsid w:val="007751E8"/>
    <w:rsid w:val="0077596A"/>
    <w:rsid w:val="00777CF4"/>
    <w:rsid w:val="00780286"/>
    <w:rsid w:val="007802F5"/>
    <w:rsid w:val="00782616"/>
    <w:rsid w:val="007834C2"/>
    <w:rsid w:val="00783B23"/>
    <w:rsid w:val="00784BFD"/>
    <w:rsid w:val="0078649B"/>
    <w:rsid w:val="007866BE"/>
    <w:rsid w:val="00790A96"/>
    <w:rsid w:val="00790B00"/>
    <w:rsid w:val="00790FFD"/>
    <w:rsid w:val="0079183A"/>
    <w:rsid w:val="00791D53"/>
    <w:rsid w:val="00791DE8"/>
    <w:rsid w:val="007924DA"/>
    <w:rsid w:val="00792779"/>
    <w:rsid w:val="00793FA3"/>
    <w:rsid w:val="007960A6"/>
    <w:rsid w:val="0079646C"/>
    <w:rsid w:val="00796BB5"/>
    <w:rsid w:val="007A00AA"/>
    <w:rsid w:val="007A0BDA"/>
    <w:rsid w:val="007A2959"/>
    <w:rsid w:val="007A2BE7"/>
    <w:rsid w:val="007A3F55"/>
    <w:rsid w:val="007A4704"/>
    <w:rsid w:val="007A479E"/>
    <w:rsid w:val="007A4DA6"/>
    <w:rsid w:val="007A7142"/>
    <w:rsid w:val="007A72D9"/>
    <w:rsid w:val="007A785E"/>
    <w:rsid w:val="007B05BD"/>
    <w:rsid w:val="007B0764"/>
    <w:rsid w:val="007B1883"/>
    <w:rsid w:val="007B25E2"/>
    <w:rsid w:val="007B3C1F"/>
    <w:rsid w:val="007B3F6F"/>
    <w:rsid w:val="007B41B1"/>
    <w:rsid w:val="007B422E"/>
    <w:rsid w:val="007B466E"/>
    <w:rsid w:val="007B4F4B"/>
    <w:rsid w:val="007B5019"/>
    <w:rsid w:val="007B5D55"/>
    <w:rsid w:val="007B61BF"/>
    <w:rsid w:val="007B692E"/>
    <w:rsid w:val="007B6CA6"/>
    <w:rsid w:val="007C0446"/>
    <w:rsid w:val="007C0975"/>
    <w:rsid w:val="007C0CCE"/>
    <w:rsid w:val="007C1A52"/>
    <w:rsid w:val="007C2CDE"/>
    <w:rsid w:val="007C342C"/>
    <w:rsid w:val="007C4AE3"/>
    <w:rsid w:val="007C6ACB"/>
    <w:rsid w:val="007C6DD6"/>
    <w:rsid w:val="007C72D5"/>
    <w:rsid w:val="007C7C96"/>
    <w:rsid w:val="007D110D"/>
    <w:rsid w:val="007D2CE6"/>
    <w:rsid w:val="007D3C55"/>
    <w:rsid w:val="007D485A"/>
    <w:rsid w:val="007D4A49"/>
    <w:rsid w:val="007D50F4"/>
    <w:rsid w:val="007D55C7"/>
    <w:rsid w:val="007D69CE"/>
    <w:rsid w:val="007D7326"/>
    <w:rsid w:val="007D7897"/>
    <w:rsid w:val="007D7BD2"/>
    <w:rsid w:val="007E07CD"/>
    <w:rsid w:val="007E1840"/>
    <w:rsid w:val="007E1FEE"/>
    <w:rsid w:val="007E2460"/>
    <w:rsid w:val="007E41BC"/>
    <w:rsid w:val="007E43A1"/>
    <w:rsid w:val="007E668C"/>
    <w:rsid w:val="007E75FF"/>
    <w:rsid w:val="007E7660"/>
    <w:rsid w:val="007F0D39"/>
    <w:rsid w:val="007F0F04"/>
    <w:rsid w:val="007F1691"/>
    <w:rsid w:val="007F16FC"/>
    <w:rsid w:val="007F252D"/>
    <w:rsid w:val="007F254C"/>
    <w:rsid w:val="007F484E"/>
    <w:rsid w:val="007F5696"/>
    <w:rsid w:val="007F6546"/>
    <w:rsid w:val="007F7959"/>
    <w:rsid w:val="0080019A"/>
    <w:rsid w:val="00800EE8"/>
    <w:rsid w:val="00801682"/>
    <w:rsid w:val="00801B8A"/>
    <w:rsid w:val="00802C5E"/>
    <w:rsid w:val="0080365B"/>
    <w:rsid w:val="00803BB9"/>
    <w:rsid w:val="00803E4B"/>
    <w:rsid w:val="00804647"/>
    <w:rsid w:val="008049FF"/>
    <w:rsid w:val="008058A8"/>
    <w:rsid w:val="00805A65"/>
    <w:rsid w:val="008068ED"/>
    <w:rsid w:val="00807514"/>
    <w:rsid w:val="008108D2"/>
    <w:rsid w:val="00810961"/>
    <w:rsid w:val="008114CE"/>
    <w:rsid w:val="008122DC"/>
    <w:rsid w:val="008132A7"/>
    <w:rsid w:val="00813840"/>
    <w:rsid w:val="008159D3"/>
    <w:rsid w:val="00816159"/>
    <w:rsid w:val="0081680E"/>
    <w:rsid w:val="00816F1D"/>
    <w:rsid w:val="00817216"/>
    <w:rsid w:val="00817E5C"/>
    <w:rsid w:val="00820023"/>
    <w:rsid w:val="00821114"/>
    <w:rsid w:val="0082308D"/>
    <w:rsid w:val="0082585B"/>
    <w:rsid w:val="008260F4"/>
    <w:rsid w:val="008326A0"/>
    <w:rsid w:val="00832D0A"/>
    <w:rsid w:val="008334A9"/>
    <w:rsid w:val="00834382"/>
    <w:rsid w:val="008372A4"/>
    <w:rsid w:val="008375DD"/>
    <w:rsid w:val="00837D80"/>
    <w:rsid w:val="00837D90"/>
    <w:rsid w:val="00842464"/>
    <w:rsid w:val="00842D6C"/>
    <w:rsid w:val="00844739"/>
    <w:rsid w:val="00846231"/>
    <w:rsid w:val="00846B8A"/>
    <w:rsid w:val="00846FE4"/>
    <w:rsid w:val="00847E12"/>
    <w:rsid w:val="00850C97"/>
    <w:rsid w:val="008512D5"/>
    <w:rsid w:val="008514B7"/>
    <w:rsid w:val="00852B97"/>
    <w:rsid w:val="00853817"/>
    <w:rsid w:val="008543EE"/>
    <w:rsid w:val="00855588"/>
    <w:rsid w:val="008556A6"/>
    <w:rsid w:val="00857176"/>
    <w:rsid w:val="00860689"/>
    <w:rsid w:val="00861BE6"/>
    <w:rsid w:val="00862151"/>
    <w:rsid w:val="00862BC5"/>
    <w:rsid w:val="00863117"/>
    <w:rsid w:val="00863743"/>
    <w:rsid w:val="00863931"/>
    <w:rsid w:val="00864B6C"/>
    <w:rsid w:val="00864B99"/>
    <w:rsid w:val="00865902"/>
    <w:rsid w:val="00865C04"/>
    <w:rsid w:val="008665EB"/>
    <w:rsid w:val="008677AE"/>
    <w:rsid w:val="00867AB8"/>
    <w:rsid w:val="00870012"/>
    <w:rsid w:val="00870709"/>
    <w:rsid w:val="00872528"/>
    <w:rsid w:val="00872E04"/>
    <w:rsid w:val="0087369F"/>
    <w:rsid w:val="00873B8D"/>
    <w:rsid w:val="0087413F"/>
    <w:rsid w:val="00876273"/>
    <w:rsid w:val="008768BD"/>
    <w:rsid w:val="008815D6"/>
    <w:rsid w:val="00881F0D"/>
    <w:rsid w:val="008820ED"/>
    <w:rsid w:val="008836A5"/>
    <w:rsid w:val="00884EE5"/>
    <w:rsid w:val="00885434"/>
    <w:rsid w:val="00885E9D"/>
    <w:rsid w:val="00886B6B"/>
    <w:rsid w:val="0089058E"/>
    <w:rsid w:val="008906AB"/>
    <w:rsid w:val="00891573"/>
    <w:rsid w:val="008926E6"/>
    <w:rsid w:val="008928DA"/>
    <w:rsid w:val="00892C0E"/>
    <w:rsid w:val="00892CF8"/>
    <w:rsid w:val="00892F34"/>
    <w:rsid w:val="00893C20"/>
    <w:rsid w:val="00893CAC"/>
    <w:rsid w:val="00894060"/>
    <w:rsid w:val="008940D7"/>
    <w:rsid w:val="00895A63"/>
    <w:rsid w:val="00895DE6"/>
    <w:rsid w:val="00896025"/>
    <w:rsid w:val="00896C23"/>
    <w:rsid w:val="0089779A"/>
    <w:rsid w:val="008A070E"/>
    <w:rsid w:val="008A0D39"/>
    <w:rsid w:val="008A0ED0"/>
    <w:rsid w:val="008A10AC"/>
    <w:rsid w:val="008A1471"/>
    <w:rsid w:val="008A16B7"/>
    <w:rsid w:val="008A1764"/>
    <w:rsid w:val="008A239C"/>
    <w:rsid w:val="008A2AF9"/>
    <w:rsid w:val="008A3FF2"/>
    <w:rsid w:val="008A53E2"/>
    <w:rsid w:val="008A559B"/>
    <w:rsid w:val="008A576D"/>
    <w:rsid w:val="008A57DB"/>
    <w:rsid w:val="008A5A50"/>
    <w:rsid w:val="008A63D9"/>
    <w:rsid w:val="008B03A3"/>
    <w:rsid w:val="008B2FE8"/>
    <w:rsid w:val="008B307A"/>
    <w:rsid w:val="008B3264"/>
    <w:rsid w:val="008B32F1"/>
    <w:rsid w:val="008B384C"/>
    <w:rsid w:val="008B3CCD"/>
    <w:rsid w:val="008B4424"/>
    <w:rsid w:val="008B7BF1"/>
    <w:rsid w:val="008C0C0C"/>
    <w:rsid w:val="008C2DEF"/>
    <w:rsid w:val="008C3212"/>
    <w:rsid w:val="008C3A4A"/>
    <w:rsid w:val="008C3C0E"/>
    <w:rsid w:val="008C3D96"/>
    <w:rsid w:val="008C49D3"/>
    <w:rsid w:val="008C7109"/>
    <w:rsid w:val="008C727F"/>
    <w:rsid w:val="008C74CF"/>
    <w:rsid w:val="008C7EB5"/>
    <w:rsid w:val="008C7EDE"/>
    <w:rsid w:val="008D04E6"/>
    <w:rsid w:val="008D160A"/>
    <w:rsid w:val="008D189A"/>
    <w:rsid w:val="008D1CC5"/>
    <w:rsid w:val="008D2080"/>
    <w:rsid w:val="008D3666"/>
    <w:rsid w:val="008D3DB4"/>
    <w:rsid w:val="008D42FB"/>
    <w:rsid w:val="008D4A5F"/>
    <w:rsid w:val="008D5669"/>
    <w:rsid w:val="008D6712"/>
    <w:rsid w:val="008D6AA6"/>
    <w:rsid w:val="008D7112"/>
    <w:rsid w:val="008D71A1"/>
    <w:rsid w:val="008D724D"/>
    <w:rsid w:val="008D72D7"/>
    <w:rsid w:val="008D72FE"/>
    <w:rsid w:val="008D7475"/>
    <w:rsid w:val="008E1564"/>
    <w:rsid w:val="008E20B5"/>
    <w:rsid w:val="008E2A99"/>
    <w:rsid w:val="008E3222"/>
    <w:rsid w:val="008E328E"/>
    <w:rsid w:val="008E41C4"/>
    <w:rsid w:val="008E5621"/>
    <w:rsid w:val="008E6AF5"/>
    <w:rsid w:val="008E7A16"/>
    <w:rsid w:val="008F3B42"/>
    <w:rsid w:val="008F441F"/>
    <w:rsid w:val="0090010C"/>
    <w:rsid w:val="00900C48"/>
    <w:rsid w:val="00901254"/>
    <w:rsid w:val="00901AF3"/>
    <w:rsid w:val="00901C3B"/>
    <w:rsid w:val="00903B8C"/>
    <w:rsid w:val="00904CA1"/>
    <w:rsid w:val="00905535"/>
    <w:rsid w:val="009068E4"/>
    <w:rsid w:val="0090730C"/>
    <w:rsid w:val="009074A0"/>
    <w:rsid w:val="0090792A"/>
    <w:rsid w:val="00910518"/>
    <w:rsid w:val="00911549"/>
    <w:rsid w:val="009126FA"/>
    <w:rsid w:val="0091272F"/>
    <w:rsid w:val="00913A82"/>
    <w:rsid w:val="00914EBC"/>
    <w:rsid w:val="00915C47"/>
    <w:rsid w:val="00917DAD"/>
    <w:rsid w:val="009215E4"/>
    <w:rsid w:val="0092169D"/>
    <w:rsid w:val="009225FD"/>
    <w:rsid w:val="00922BB0"/>
    <w:rsid w:val="00923151"/>
    <w:rsid w:val="009231A7"/>
    <w:rsid w:val="00925E19"/>
    <w:rsid w:val="00925EA6"/>
    <w:rsid w:val="00926107"/>
    <w:rsid w:val="00926D29"/>
    <w:rsid w:val="00927184"/>
    <w:rsid w:val="00927236"/>
    <w:rsid w:val="009308C6"/>
    <w:rsid w:val="00931440"/>
    <w:rsid w:val="009317FF"/>
    <w:rsid w:val="00932767"/>
    <w:rsid w:val="009329C6"/>
    <w:rsid w:val="00933911"/>
    <w:rsid w:val="00933DA0"/>
    <w:rsid w:val="00934F04"/>
    <w:rsid w:val="00936A37"/>
    <w:rsid w:val="00936A72"/>
    <w:rsid w:val="00936EB0"/>
    <w:rsid w:val="00937405"/>
    <w:rsid w:val="00937567"/>
    <w:rsid w:val="00937DD5"/>
    <w:rsid w:val="009401F9"/>
    <w:rsid w:val="00940BB8"/>
    <w:rsid w:val="00941697"/>
    <w:rsid w:val="009439DD"/>
    <w:rsid w:val="009442AE"/>
    <w:rsid w:val="00944C62"/>
    <w:rsid w:val="00945F5B"/>
    <w:rsid w:val="00946DC7"/>
    <w:rsid w:val="00947E48"/>
    <w:rsid w:val="00947E82"/>
    <w:rsid w:val="009503A3"/>
    <w:rsid w:val="009508FE"/>
    <w:rsid w:val="0095091C"/>
    <w:rsid w:val="00951264"/>
    <w:rsid w:val="00952A60"/>
    <w:rsid w:val="00953612"/>
    <w:rsid w:val="0095374E"/>
    <w:rsid w:val="00954025"/>
    <w:rsid w:val="0095535B"/>
    <w:rsid w:val="00956974"/>
    <w:rsid w:val="009571C7"/>
    <w:rsid w:val="00960520"/>
    <w:rsid w:val="00964F4A"/>
    <w:rsid w:val="00965849"/>
    <w:rsid w:val="009662B8"/>
    <w:rsid w:val="009700CA"/>
    <w:rsid w:val="00970393"/>
    <w:rsid w:val="00971355"/>
    <w:rsid w:val="00971435"/>
    <w:rsid w:val="00971817"/>
    <w:rsid w:val="00972463"/>
    <w:rsid w:val="00972AA4"/>
    <w:rsid w:val="00973459"/>
    <w:rsid w:val="00974EB8"/>
    <w:rsid w:val="00975466"/>
    <w:rsid w:val="00975CCC"/>
    <w:rsid w:val="009760BD"/>
    <w:rsid w:val="00976483"/>
    <w:rsid w:val="00976E5C"/>
    <w:rsid w:val="00977027"/>
    <w:rsid w:val="0098051B"/>
    <w:rsid w:val="00980768"/>
    <w:rsid w:val="00980A91"/>
    <w:rsid w:val="00981ADC"/>
    <w:rsid w:val="00981C8E"/>
    <w:rsid w:val="00981DBF"/>
    <w:rsid w:val="00982239"/>
    <w:rsid w:val="009822FE"/>
    <w:rsid w:val="00984044"/>
    <w:rsid w:val="00984567"/>
    <w:rsid w:val="00984D2B"/>
    <w:rsid w:val="0098703D"/>
    <w:rsid w:val="00990C37"/>
    <w:rsid w:val="009918D8"/>
    <w:rsid w:val="00991D26"/>
    <w:rsid w:val="00991F33"/>
    <w:rsid w:val="009921A7"/>
    <w:rsid w:val="0099302E"/>
    <w:rsid w:val="0099427D"/>
    <w:rsid w:val="00995E96"/>
    <w:rsid w:val="009968AE"/>
    <w:rsid w:val="00996B3D"/>
    <w:rsid w:val="00997728"/>
    <w:rsid w:val="00997F6B"/>
    <w:rsid w:val="009A0040"/>
    <w:rsid w:val="009A1663"/>
    <w:rsid w:val="009A2609"/>
    <w:rsid w:val="009A2CDA"/>
    <w:rsid w:val="009A3235"/>
    <w:rsid w:val="009A396E"/>
    <w:rsid w:val="009A560E"/>
    <w:rsid w:val="009A5A76"/>
    <w:rsid w:val="009A5F28"/>
    <w:rsid w:val="009A6885"/>
    <w:rsid w:val="009A6C4A"/>
    <w:rsid w:val="009A73DC"/>
    <w:rsid w:val="009A785A"/>
    <w:rsid w:val="009B1515"/>
    <w:rsid w:val="009B1713"/>
    <w:rsid w:val="009B186A"/>
    <w:rsid w:val="009B1AFB"/>
    <w:rsid w:val="009B1EBF"/>
    <w:rsid w:val="009B3962"/>
    <w:rsid w:val="009B3B1F"/>
    <w:rsid w:val="009B42BA"/>
    <w:rsid w:val="009B5373"/>
    <w:rsid w:val="009B6328"/>
    <w:rsid w:val="009B655C"/>
    <w:rsid w:val="009B6A90"/>
    <w:rsid w:val="009B751E"/>
    <w:rsid w:val="009B7960"/>
    <w:rsid w:val="009C092D"/>
    <w:rsid w:val="009C0DC1"/>
    <w:rsid w:val="009C1803"/>
    <w:rsid w:val="009C2B56"/>
    <w:rsid w:val="009C34B9"/>
    <w:rsid w:val="009C3658"/>
    <w:rsid w:val="009C4C79"/>
    <w:rsid w:val="009C6B84"/>
    <w:rsid w:val="009C6C28"/>
    <w:rsid w:val="009C72D3"/>
    <w:rsid w:val="009D034D"/>
    <w:rsid w:val="009D0AA2"/>
    <w:rsid w:val="009D26FD"/>
    <w:rsid w:val="009D2B00"/>
    <w:rsid w:val="009D2B79"/>
    <w:rsid w:val="009D3EFC"/>
    <w:rsid w:val="009D4325"/>
    <w:rsid w:val="009D45F5"/>
    <w:rsid w:val="009D56BD"/>
    <w:rsid w:val="009D5FDD"/>
    <w:rsid w:val="009D68F3"/>
    <w:rsid w:val="009D7D8D"/>
    <w:rsid w:val="009E0207"/>
    <w:rsid w:val="009E02B2"/>
    <w:rsid w:val="009E1138"/>
    <w:rsid w:val="009E140D"/>
    <w:rsid w:val="009E19D0"/>
    <w:rsid w:val="009E1E95"/>
    <w:rsid w:val="009E2013"/>
    <w:rsid w:val="009E3282"/>
    <w:rsid w:val="009E3808"/>
    <w:rsid w:val="009E5B12"/>
    <w:rsid w:val="009E5D7C"/>
    <w:rsid w:val="009E5D8A"/>
    <w:rsid w:val="009E6693"/>
    <w:rsid w:val="009F0829"/>
    <w:rsid w:val="009F0A65"/>
    <w:rsid w:val="009F0DCC"/>
    <w:rsid w:val="009F2964"/>
    <w:rsid w:val="009F2BE7"/>
    <w:rsid w:val="009F2D54"/>
    <w:rsid w:val="009F4D5D"/>
    <w:rsid w:val="009F694E"/>
    <w:rsid w:val="009F6DB7"/>
    <w:rsid w:val="009F7322"/>
    <w:rsid w:val="00A00FB1"/>
    <w:rsid w:val="00A01BEE"/>
    <w:rsid w:val="00A02685"/>
    <w:rsid w:val="00A03522"/>
    <w:rsid w:val="00A036B5"/>
    <w:rsid w:val="00A0441B"/>
    <w:rsid w:val="00A046D1"/>
    <w:rsid w:val="00A04D42"/>
    <w:rsid w:val="00A061E6"/>
    <w:rsid w:val="00A068AF"/>
    <w:rsid w:val="00A06BB7"/>
    <w:rsid w:val="00A07259"/>
    <w:rsid w:val="00A07291"/>
    <w:rsid w:val="00A10871"/>
    <w:rsid w:val="00A12525"/>
    <w:rsid w:val="00A126AA"/>
    <w:rsid w:val="00A12762"/>
    <w:rsid w:val="00A139D6"/>
    <w:rsid w:val="00A13CC9"/>
    <w:rsid w:val="00A15BEB"/>
    <w:rsid w:val="00A15FB9"/>
    <w:rsid w:val="00A162E2"/>
    <w:rsid w:val="00A164B8"/>
    <w:rsid w:val="00A16C8B"/>
    <w:rsid w:val="00A17298"/>
    <w:rsid w:val="00A17B26"/>
    <w:rsid w:val="00A21638"/>
    <w:rsid w:val="00A21ABC"/>
    <w:rsid w:val="00A231EA"/>
    <w:rsid w:val="00A23A2E"/>
    <w:rsid w:val="00A23A3E"/>
    <w:rsid w:val="00A27A60"/>
    <w:rsid w:val="00A31CDC"/>
    <w:rsid w:val="00A31CFB"/>
    <w:rsid w:val="00A330FD"/>
    <w:rsid w:val="00A3313E"/>
    <w:rsid w:val="00A33813"/>
    <w:rsid w:val="00A33E56"/>
    <w:rsid w:val="00A34349"/>
    <w:rsid w:val="00A35AFD"/>
    <w:rsid w:val="00A3733B"/>
    <w:rsid w:val="00A4005D"/>
    <w:rsid w:val="00A40066"/>
    <w:rsid w:val="00A40729"/>
    <w:rsid w:val="00A414C6"/>
    <w:rsid w:val="00A44CBD"/>
    <w:rsid w:val="00A458C9"/>
    <w:rsid w:val="00A46490"/>
    <w:rsid w:val="00A4675D"/>
    <w:rsid w:val="00A46A4D"/>
    <w:rsid w:val="00A46D29"/>
    <w:rsid w:val="00A50847"/>
    <w:rsid w:val="00A5177A"/>
    <w:rsid w:val="00A52471"/>
    <w:rsid w:val="00A52987"/>
    <w:rsid w:val="00A52BE7"/>
    <w:rsid w:val="00A53512"/>
    <w:rsid w:val="00A5377B"/>
    <w:rsid w:val="00A53D65"/>
    <w:rsid w:val="00A55722"/>
    <w:rsid w:val="00A55967"/>
    <w:rsid w:val="00A561CA"/>
    <w:rsid w:val="00A56967"/>
    <w:rsid w:val="00A5741E"/>
    <w:rsid w:val="00A57B46"/>
    <w:rsid w:val="00A61AC9"/>
    <w:rsid w:val="00A623BD"/>
    <w:rsid w:val="00A634B7"/>
    <w:rsid w:val="00A6351A"/>
    <w:rsid w:val="00A63F51"/>
    <w:rsid w:val="00A645BC"/>
    <w:rsid w:val="00A64D19"/>
    <w:rsid w:val="00A65E24"/>
    <w:rsid w:val="00A65E43"/>
    <w:rsid w:val="00A67575"/>
    <w:rsid w:val="00A67782"/>
    <w:rsid w:val="00A71182"/>
    <w:rsid w:val="00A72512"/>
    <w:rsid w:val="00A73C97"/>
    <w:rsid w:val="00A74FA5"/>
    <w:rsid w:val="00A75690"/>
    <w:rsid w:val="00A7744C"/>
    <w:rsid w:val="00A8036C"/>
    <w:rsid w:val="00A81291"/>
    <w:rsid w:val="00A8182A"/>
    <w:rsid w:val="00A82D81"/>
    <w:rsid w:val="00A83491"/>
    <w:rsid w:val="00A853F6"/>
    <w:rsid w:val="00A85AC9"/>
    <w:rsid w:val="00A85BAF"/>
    <w:rsid w:val="00A86A59"/>
    <w:rsid w:val="00A86C84"/>
    <w:rsid w:val="00A872F2"/>
    <w:rsid w:val="00A90C05"/>
    <w:rsid w:val="00A90DAD"/>
    <w:rsid w:val="00A90FEF"/>
    <w:rsid w:val="00A931EB"/>
    <w:rsid w:val="00A9337E"/>
    <w:rsid w:val="00A937D0"/>
    <w:rsid w:val="00A93921"/>
    <w:rsid w:val="00A9412D"/>
    <w:rsid w:val="00A948A5"/>
    <w:rsid w:val="00A96102"/>
    <w:rsid w:val="00A96A45"/>
    <w:rsid w:val="00AA0D61"/>
    <w:rsid w:val="00AA1513"/>
    <w:rsid w:val="00AA305F"/>
    <w:rsid w:val="00AA3908"/>
    <w:rsid w:val="00AA3E63"/>
    <w:rsid w:val="00AA5759"/>
    <w:rsid w:val="00AA5E8E"/>
    <w:rsid w:val="00AB034C"/>
    <w:rsid w:val="00AB1852"/>
    <w:rsid w:val="00AB4424"/>
    <w:rsid w:val="00AB6F9A"/>
    <w:rsid w:val="00AB7891"/>
    <w:rsid w:val="00AC0725"/>
    <w:rsid w:val="00AC3D79"/>
    <w:rsid w:val="00AC5013"/>
    <w:rsid w:val="00AC53B1"/>
    <w:rsid w:val="00AC6A34"/>
    <w:rsid w:val="00AC6B98"/>
    <w:rsid w:val="00AC6DC7"/>
    <w:rsid w:val="00AC791A"/>
    <w:rsid w:val="00AD01A0"/>
    <w:rsid w:val="00AD03F2"/>
    <w:rsid w:val="00AD0591"/>
    <w:rsid w:val="00AD0BA4"/>
    <w:rsid w:val="00AD0FC9"/>
    <w:rsid w:val="00AD2208"/>
    <w:rsid w:val="00AD22F9"/>
    <w:rsid w:val="00AD2DE9"/>
    <w:rsid w:val="00AD2E0B"/>
    <w:rsid w:val="00AD3E50"/>
    <w:rsid w:val="00AD3F59"/>
    <w:rsid w:val="00AD47D7"/>
    <w:rsid w:val="00AD4943"/>
    <w:rsid w:val="00AD52BC"/>
    <w:rsid w:val="00AD5BD8"/>
    <w:rsid w:val="00AD6629"/>
    <w:rsid w:val="00AD71B7"/>
    <w:rsid w:val="00AD725B"/>
    <w:rsid w:val="00AD7650"/>
    <w:rsid w:val="00AD7B22"/>
    <w:rsid w:val="00AE0A65"/>
    <w:rsid w:val="00AE32E4"/>
    <w:rsid w:val="00AE35E9"/>
    <w:rsid w:val="00AE3A3E"/>
    <w:rsid w:val="00AE41A4"/>
    <w:rsid w:val="00AE52C6"/>
    <w:rsid w:val="00AE5434"/>
    <w:rsid w:val="00AE543E"/>
    <w:rsid w:val="00AF02FB"/>
    <w:rsid w:val="00AF0AAE"/>
    <w:rsid w:val="00AF0CAC"/>
    <w:rsid w:val="00AF26A8"/>
    <w:rsid w:val="00AF26AD"/>
    <w:rsid w:val="00AF355E"/>
    <w:rsid w:val="00AF3944"/>
    <w:rsid w:val="00AF4545"/>
    <w:rsid w:val="00AF4E6C"/>
    <w:rsid w:val="00AF5F11"/>
    <w:rsid w:val="00AF787D"/>
    <w:rsid w:val="00B005F6"/>
    <w:rsid w:val="00B0061B"/>
    <w:rsid w:val="00B00B0E"/>
    <w:rsid w:val="00B011BE"/>
    <w:rsid w:val="00B0131F"/>
    <w:rsid w:val="00B0174B"/>
    <w:rsid w:val="00B01F3F"/>
    <w:rsid w:val="00B025D7"/>
    <w:rsid w:val="00B03282"/>
    <w:rsid w:val="00B04ADB"/>
    <w:rsid w:val="00B0642A"/>
    <w:rsid w:val="00B07A5B"/>
    <w:rsid w:val="00B109F6"/>
    <w:rsid w:val="00B10D19"/>
    <w:rsid w:val="00B14B8E"/>
    <w:rsid w:val="00B14EEE"/>
    <w:rsid w:val="00B15438"/>
    <w:rsid w:val="00B16EFF"/>
    <w:rsid w:val="00B17877"/>
    <w:rsid w:val="00B202E1"/>
    <w:rsid w:val="00B23684"/>
    <w:rsid w:val="00B247B2"/>
    <w:rsid w:val="00B2488F"/>
    <w:rsid w:val="00B25528"/>
    <w:rsid w:val="00B26948"/>
    <w:rsid w:val="00B26975"/>
    <w:rsid w:val="00B26BA4"/>
    <w:rsid w:val="00B26DFC"/>
    <w:rsid w:val="00B26FAE"/>
    <w:rsid w:val="00B2755D"/>
    <w:rsid w:val="00B30186"/>
    <w:rsid w:val="00B30907"/>
    <w:rsid w:val="00B311F7"/>
    <w:rsid w:val="00B31F08"/>
    <w:rsid w:val="00B32474"/>
    <w:rsid w:val="00B329BA"/>
    <w:rsid w:val="00B33214"/>
    <w:rsid w:val="00B34688"/>
    <w:rsid w:val="00B347FB"/>
    <w:rsid w:val="00B34933"/>
    <w:rsid w:val="00B352E1"/>
    <w:rsid w:val="00B353D5"/>
    <w:rsid w:val="00B36963"/>
    <w:rsid w:val="00B41891"/>
    <w:rsid w:val="00B41F6A"/>
    <w:rsid w:val="00B42E79"/>
    <w:rsid w:val="00B44E5E"/>
    <w:rsid w:val="00B4578A"/>
    <w:rsid w:val="00B45DB4"/>
    <w:rsid w:val="00B46F55"/>
    <w:rsid w:val="00B47A49"/>
    <w:rsid w:val="00B50F5B"/>
    <w:rsid w:val="00B5148F"/>
    <w:rsid w:val="00B514B4"/>
    <w:rsid w:val="00B52CB4"/>
    <w:rsid w:val="00B53143"/>
    <w:rsid w:val="00B535DD"/>
    <w:rsid w:val="00B535FA"/>
    <w:rsid w:val="00B537D8"/>
    <w:rsid w:val="00B54646"/>
    <w:rsid w:val="00B548C9"/>
    <w:rsid w:val="00B549A0"/>
    <w:rsid w:val="00B54ACF"/>
    <w:rsid w:val="00B552C7"/>
    <w:rsid w:val="00B562BC"/>
    <w:rsid w:val="00B56FBE"/>
    <w:rsid w:val="00B57954"/>
    <w:rsid w:val="00B57AF7"/>
    <w:rsid w:val="00B60C8F"/>
    <w:rsid w:val="00B61994"/>
    <w:rsid w:val="00B62053"/>
    <w:rsid w:val="00B628E0"/>
    <w:rsid w:val="00B64197"/>
    <w:rsid w:val="00B643C5"/>
    <w:rsid w:val="00B645C5"/>
    <w:rsid w:val="00B664DB"/>
    <w:rsid w:val="00B66727"/>
    <w:rsid w:val="00B668AB"/>
    <w:rsid w:val="00B66B55"/>
    <w:rsid w:val="00B67387"/>
    <w:rsid w:val="00B703ED"/>
    <w:rsid w:val="00B713C1"/>
    <w:rsid w:val="00B71AF6"/>
    <w:rsid w:val="00B7206D"/>
    <w:rsid w:val="00B735DE"/>
    <w:rsid w:val="00B73B7A"/>
    <w:rsid w:val="00B73C78"/>
    <w:rsid w:val="00B74B43"/>
    <w:rsid w:val="00B76018"/>
    <w:rsid w:val="00B77111"/>
    <w:rsid w:val="00B77526"/>
    <w:rsid w:val="00B81BB9"/>
    <w:rsid w:val="00B82204"/>
    <w:rsid w:val="00B823C3"/>
    <w:rsid w:val="00B82C5C"/>
    <w:rsid w:val="00B83C95"/>
    <w:rsid w:val="00B83D6B"/>
    <w:rsid w:val="00B844FE"/>
    <w:rsid w:val="00B858B1"/>
    <w:rsid w:val="00B85F82"/>
    <w:rsid w:val="00B86A26"/>
    <w:rsid w:val="00B86F43"/>
    <w:rsid w:val="00B8746B"/>
    <w:rsid w:val="00B90743"/>
    <w:rsid w:val="00B91253"/>
    <w:rsid w:val="00B914EC"/>
    <w:rsid w:val="00B91A93"/>
    <w:rsid w:val="00B92A5A"/>
    <w:rsid w:val="00B94943"/>
    <w:rsid w:val="00B951E9"/>
    <w:rsid w:val="00B97A4F"/>
    <w:rsid w:val="00BA05E9"/>
    <w:rsid w:val="00BA2A2E"/>
    <w:rsid w:val="00BA31E5"/>
    <w:rsid w:val="00BA3B62"/>
    <w:rsid w:val="00BA4186"/>
    <w:rsid w:val="00BA4F2F"/>
    <w:rsid w:val="00BA50E3"/>
    <w:rsid w:val="00BA5732"/>
    <w:rsid w:val="00BA7BE5"/>
    <w:rsid w:val="00BB0316"/>
    <w:rsid w:val="00BB1959"/>
    <w:rsid w:val="00BB1997"/>
    <w:rsid w:val="00BB19E3"/>
    <w:rsid w:val="00BB26AA"/>
    <w:rsid w:val="00BB2912"/>
    <w:rsid w:val="00BB3A54"/>
    <w:rsid w:val="00BB61A0"/>
    <w:rsid w:val="00BB704B"/>
    <w:rsid w:val="00BB7396"/>
    <w:rsid w:val="00BB7552"/>
    <w:rsid w:val="00BB78FE"/>
    <w:rsid w:val="00BB7917"/>
    <w:rsid w:val="00BC09E6"/>
    <w:rsid w:val="00BC0E60"/>
    <w:rsid w:val="00BC2BB9"/>
    <w:rsid w:val="00BC2FA4"/>
    <w:rsid w:val="00BC3147"/>
    <w:rsid w:val="00BC332D"/>
    <w:rsid w:val="00BC3726"/>
    <w:rsid w:val="00BC3745"/>
    <w:rsid w:val="00BC38AB"/>
    <w:rsid w:val="00BC3E6D"/>
    <w:rsid w:val="00BC407C"/>
    <w:rsid w:val="00BC5605"/>
    <w:rsid w:val="00BC59CB"/>
    <w:rsid w:val="00BC6328"/>
    <w:rsid w:val="00BC6BCC"/>
    <w:rsid w:val="00BC728A"/>
    <w:rsid w:val="00BC7669"/>
    <w:rsid w:val="00BC7BF9"/>
    <w:rsid w:val="00BD046D"/>
    <w:rsid w:val="00BD0765"/>
    <w:rsid w:val="00BD07CB"/>
    <w:rsid w:val="00BD1466"/>
    <w:rsid w:val="00BD1975"/>
    <w:rsid w:val="00BD2BBE"/>
    <w:rsid w:val="00BD3064"/>
    <w:rsid w:val="00BD3505"/>
    <w:rsid w:val="00BD3D7B"/>
    <w:rsid w:val="00BD3F85"/>
    <w:rsid w:val="00BD5A0D"/>
    <w:rsid w:val="00BD6193"/>
    <w:rsid w:val="00BD61D8"/>
    <w:rsid w:val="00BD78B0"/>
    <w:rsid w:val="00BD7B40"/>
    <w:rsid w:val="00BD7DA8"/>
    <w:rsid w:val="00BE072C"/>
    <w:rsid w:val="00BE116D"/>
    <w:rsid w:val="00BE127C"/>
    <w:rsid w:val="00BE1682"/>
    <w:rsid w:val="00BE1CF4"/>
    <w:rsid w:val="00BE3091"/>
    <w:rsid w:val="00BE32AF"/>
    <w:rsid w:val="00BE366A"/>
    <w:rsid w:val="00BE4951"/>
    <w:rsid w:val="00BE6684"/>
    <w:rsid w:val="00BE684D"/>
    <w:rsid w:val="00BE6E52"/>
    <w:rsid w:val="00BF0EB3"/>
    <w:rsid w:val="00BF2290"/>
    <w:rsid w:val="00BF3502"/>
    <w:rsid w:val="00BF38F9"/>
    <w:rsid w:val="00BF4C05"/>
    <w:rsid w:val="00BF4F3C"/>
    <w:rsid w:val="00BF5489"/>
    <w:rsid w:val="00BF5B6F"/>
    <w:rsid w:val="00BF601B"/>
    <w:rsid w:val="00BF6833"/>
    <w:rsid w:val="00BF69F2"/>
    <w:rsid w:val="00BF6BE6"/>
    <w:rsid w:val="00C013C0"/>
    <w:rsid w:val="00C018F3"/>
    <w:rsid w:val="00C01BE4"/>
    <w:rsid w:val="00C02140"/>
    <w:rsid w:val="00C02746"/>
    <w:rsid w:val="00C02AC7"/>
    <w:rsid w:val="00C032DD"/>
    <w:rsid w:val="00C0385B"/>
    <w:rsid w:val="00C04E21"/>
    <w:rsid w:val="00C0580C"/>
    <w:rsid w:val="00C0662E"/>
    <w:rsid w:val="00C07112"/>
    <w:rsid w:val="00C0797A"/>
    <w:rsid w:val="00C111A7"/>
    <w:rsid w:val="00C12C04"/>
    <w:rsid w:val="00C12C84"/>
    <w:rsid w:val="00C1301D"/>
    <w:rsid w:val="00C13CC2"/>
    <w:rsid w:val="00C14171"/>
    <w:rsid w:val="00C149D7"/>
    <w:rsid w:val="00C15B94"/>
    <w:rsid w:val="00C16A82"/>
    <w:rsid w:val="00C17D45"/>
    <w:rsid w:val="00C21279"/>
    <w:rsid w:val="00C21316"/>
    <w:rsid w:val="00C232D8"/>
    <w:rsid w:val="00C23659"/>
    <w:rsid w:val="00C24660"/>
    <w:rsid w:val="00C24F1C"/>
    <w:rsid w:val="00C25236"/>
    <w:rsid w:val="00C25374"/>
    <w:rsid w:val="00C264F5"/>
    <w:rsid w:val="00C269AD"/>
    <w:rsid w:val="00C26C22"/>
    <w:rsid w:val="00C271BC"/>
    <w:rsid w:val="00C273F2"/>
    <w:rsid w:val="00C3116C"/>
    <w:rsid w:val="00C31B31"/>
    <w:rsid w:val="00C320AA"/>
    <w:rsid w:val="00C3309B"/>
    <w:rsid w:val="00C33431"/>
    <w:rsid w:val="00C33F65"/>
    <w:rsid w:val="00C340C1"/>
    <w:rsid w:val="00C350F5"/>
    <w:rsid w:val="00C3565C"/>
    <w:rsid w:val="00C36057"/>
    <w:rsid w:val="00C37E5C"/>
    <w:rsid w:val="00C40717"/>
    <w:rsid w:val="00C4180C"/>
    <w:rsid w:val="00C41A28"/>
    <w:rsid w:val="00C41B21"/>
    <w:rsid w:val="00C43992"/>
    <w:rsid w:val="00C44662"/>
    <w:rsid w:val="00C451DB"/>
    <w:rsid w:val="00C459D7"/>
    <w:rsid w:val="00C45A9E"/>
    <w:rsid w:val="00C45AA6"/>
    <w:rsid w:val="00C45BAD"/>
    <w:rsid w:val="00C45C06"/>
    <w:rsid w:val="00C45DB6"/>
    <w:rsid w:val="00C46E30"/>
    <w:rsid w:val="00C47FB1"/>
    <w:rsid w:val="00C514FE"/>
    <w:rsid w:val="00C51EE5"/>
    <w:rsid w:val="00C51F98"/>
    <w:rsid w:val="00C5218E"/>
    <w:rsid w:val="00C52FB8"/>
    <w:rsid w:val="00C5303E"/>
    <w:rsid w:val="00C53C2D"/>
    <w:rsid w:val="00C5427F"/>
    <w:rsid w:val="00C54387"/>
    <w:rsid w:val="00C5647A"/>
    <w:rsid w:val="00C56F14"/>
    <w:rsid w:val="00C57806"/>
    <w:rsid w:val="00C57EE2"/>
    <w:rsid w:val="00C60D8E"/>
    <w:rsid w:val="00C61934"/>
    <w:rsid w:val="00C61B2A"/>
    <w:rsid w:val="00C628C7"/>
    <w:rsid w:val="00C63053"/>
    <w:rsid w:val="00C630BE"/>
    <w:rsid w:val="00C64676"/>
    <w:rsid w:val="00C65F19"/>
    <w:rsid w:val="00C65FEC"/>
    <w:rsid w:val="00C66D13"/>
    <w:rsid w:val="00C67A3C"/>
    <w:rsid w:val="00C67B94"/>
    <w:rsid w:val="00C70901"/>
    <w:rsid w:val="00C70E7F"/>
    <w:rsid w:val="00C716C3"/>
    <w:rsid w:val="00C7290B"/>
    <w:rsid w:val="00C73A37"/>
    <w:rsid w:val="00C747C1"/>
    <w:rsid w:val="00C773C4"/>
    <w:rsid w:val="00C774EB"/>
    <w:rsid w:val="00C802BD"/>
    <w:rsid w:val="00C806CF"/>
    <w:rsid w:val="00C80BF2"/>
    <w:rsid w:val="00C814F0"/>
    <w:rsid w:val="00C81888"/>
    <w:rsid w:val="00C81EC5"/>
    <w:rsid w:val="00C82A80"/>
    <w:rsid w:val="00C82EF9"/>
    <w:rsid w:val="00C8341F"/>
    <w:rsid w:val="00C836CE"/>
    <w:rsid w:val="00C86215"/>
    <w:rsid w:val="00C86BE4"/>
    <w:rsid w:val="00C87CB0"/>
    <w:rsid w:val="00C87E9A"/>
    <w:rsid w:val="00C90E5E"/>
    <w:rsid w:val="00C91909"/>
    <w:rsid w:val="00C94653"/>
    <w:rsid w:val="00C95FB5"/>
    <w:rsid w:val="00C9603E"/>
    <w:rsid w:val="00C97260"/>
    <w:rsid w:val="00CA0330"/>
    <w:rsid w:val="00CA048C"/>
    <w:rsid w:val="00CA0571"/>
    <w:rsid w:val="00CA06D6"/>
    <w:rsid w:val="00CA1430"/>
    <w:rsid w:val="00CA1F48"/>
    <w:rsid w:val="00CA3CB5"/>
    <w:rsid w:val="00CA3D92"/>
    <w:rsid w:val="00CA4A0A"/>
    <w:rsid w:val="00CA50D7"/>
    <w:rsid w:val="00CA5472"/>
    <w:rsid w:val="00CA58C3"/>
    <w:rsid w:val="00CA6449"/>
    <w:rsid w:val="00CA6FE0"/>
    <w:rsid w:val="00CA7A2D"/>
    <w:rsid w:val="00CA7C6C"/>
    <w:rsid w:val="00CB0120"/>
    <w:rsid w:val="00CB05CC"/>
    <w:rsid w:val="00CB0CA5"/>
    <w:rsid w:val="00CB158F"/>
    <w:rsid w:val="00CB2B1F"/>
    <w:rsid w:val="00CB4002"/>
    <w:rsid w:val="00CB40BB"/>
    <w:rsid w:val="00CB47A8"/>
    <w:rsid w:val="00CB4D64"/>
    <w:rsid w:val="00CB55B2"/>
    <w:rsid w:val="00CB5A15"/>
    <w:rsid w:val="00CB643C"/>
    <w:rsid w:val="00CB66B0"/>
    <w:rsid w:val="00CB6B61"/>
    <w:rsid w:val="00CB7F23"/>
    <w:rsid w:val="00CC04C2"/>
    <w:rsid w:val="00CC0B70"/>
    <w:rsid w:val="00CC0BA6"/>
    <w:rsid w:val="00CC11A1"/>
    <w:rsid w:val="00CC27D0"/>
    <w:rsid w:val="00CC4453"/>
    <w:rsid w:val="00CC4A10"/>
    <w:rsid w:val="00CC4B03"/>
    <w:rsid w:val="00CC4E61"/>
    <w:rsid w:val="00CC5018"/>
    <w:rsid w:val="00CC51B0"/>
    <w:rsid w:val="00CC52CC"/>
    <w:rsid w:val="00CC5F22"/>
    <w:rsid w:val="00CC60F8"/>
    <w:rsid w:val="00CC64E4"/>
    <w:rsid w:val="00CD001B"/>
    <w:rsid w:val="00CD1AAB"/>
    <w:rsid w:val="00CD1BDD"/>
    <w:rsid w:val="00CD2009"/>
    <w:rsid w:val="00CD2EFD"/>
    <w:rsid w:val="00CD37A9"/>
    <w:rsid w:val="00CD5673"/>
    <w:rsid w:val="00CD5850"/>
    <w:rsid w:val="00CD6694"/>
    <w:rsid w:val="00CD6E3B"/>
    <w:rsid w:val="00CE0303"/>
    <w:rsid w:val="00CE0888"/>
    <w:rsid w:val="00CE2453"/>
    <w:rsid w:val="00CE2667"/>
    <w:rsid w:val="00CE2E7B"/>
    <w:rsid w:val="00CE3ACC"/>
    <w:rsid w:val="00CE4554"/>
    <w:rsid w:val="00CE4F0E"/>
    <w:rsid w:val="00CE5CE6"/>
    <w:rsid w:val="00CE7524"/>
    <w:rsid w:val="00CF112F"/>
    <w:rsid w:val="00CF1AAD"/>
    <w:rsid w:val="00CF2CF7"/>
    <w:rsid w:val="00CF3061"/>
    <w:rsid w:val="00CF41C3"/>
    <w:rsid w:val="00CF42CB"/>
    <w:rsid w:val="00CF4B6A"/>
    <w:rsid w:val="00CF5479"/>
    <w:rsid w:val="00CF5480"/>
    <w:rsid w:val="00CF6434"/>
    <w:rsid w:val="00CF6A2B"/>
    <w:rsid w:val="00CF73FB"/>
    <w:rsid w:val="00CF7EF8"/>
    <w:rsid w:val="00D009E4"/>
    <w:rsid w:val="00D02C32"/>
    <w:rsid w:val="00D030F3"/>
    <w:rsid w:val="00D03917"/>
    <w:rsid w:val="00D04496"/>
    <w:rsid w:val="00D04D54"/>
    <w:rsid w:val="00D056FF"/>
    <w:rsid w:val="00D05802"/>
    <w:rsid w:val="00D05C65"/>
    <w:rsid w:val="00D05CBF"/>
    <w:rsid w:val="00D0620D"/>
    <w:rsid w:val="00D063DA"/>
    <w:rsid w:val="00D06A9D"/>
    <w:rsid w:val="00D07401"/>
    <w:rsid w:val="00D07CC6"/>
    <w:rsid w:val="00D10FF9"/>
    <w:rsid w:val="00D132B3"/>
    <w:rsid w:val="00D13ED4"/>
    <w:rsid w:val="00D14B39"/>
    <w:rsid w:val="00D14B53"/>
    <w:rsid w:val="00D15749"/>
    <w:rsid w:val="00D20333"/>
    <w:rsid w:val="00D20977"/>
    <w:rsid w:val="00D211F7"/>
    <w:rsid w:val="00D2159C"/>
    <w:rsid w:val="00D22A83"/>
    <w:rsid w:val="00D22B1B"/>
    <w:rsid w:val="00D236ED"/>
    <w:rsid w:val="00D23CCB"/>
    <w:rsid w:val="00D24F9E"/>
    <w:rsid w:val="00D256CF"/>
    <w:rsid w:val="00D26308"/>
    <w:rsid w:val="00D26B43"/>
    <w:rsid w:val="00D27353"/>
    <w:rsid w:val="00D276DA"/>
    <w:rsid w:val="00D27D89"/>
    <w:rsid w:val="00D3034B"/>
    <w:rsid w:val="00D30524"/>
    <w:rsid w:val="00D32C80"/>
    <w:rsid w:val="00D3398D"/>
    <w:rsid w:val="00D34B13"/>
    <w:rsid w:val="00D34B1D"/>
    <w:rsid w:val="00D35B98"/>
    <w:rsid w:val="00D35F0D"/>
    <w:rsid w:val="00D3733B"/>
    <w:rsid w:val="00D37E6B"/>
    <w:rsid w:val="00D4056B"/>
    <w:rsid w:val="00D40AE9"/>
    <w:rsid w:val="00D4105F"/>
    <w:rsid w:val="00D413A4"/>
    <w:rsid w:val="00D41445"/>
    <w:rsid w:val="00D414D2"/>
    <w:rsid w:val="00D414E8"/>
    <w:rsid w:val="00D41695"/>
    <w:rsid w:val="00D416F9"/>
    <w:rsid w:val="00D419D6"/>
    <w:rsid w:val="00D42440"/>
    <w:rsid w:val="00D427CE"/>
    <w:rsid w:val="00D42981"/>
    <w:rsid w:val="00D43961"/>
    <w:rsid w:val="00D44723"/>
    <w:rsid w:val="00D46C59"/>
    <w:rsid w:val="00D47D5A"/>
    <w:rsid w:val="00D50C36"/>
    <w:rsid w:val="00D50DA9"/>
    <w:rsid w:val="00D51344"/>
    <w:rsid w:val="00D53B85"/>
    <w:rsid w:val="00D53EF9"/>
    <w:rsid w:val="00D55E58"/>
    <w:rsid w:val="00D5656E"/>
    <w:rsid w:val="00D56FF4"/>
    <w:rsid w:val="00D578BF"/>
    <w:rsid w:val="00D578DE"/>
    <w:rsid w:val="00D5792C"/>
    <w:rsid w:val="00D633AE"/>
    <w:rsid w:val="00D65142"/>
    <w:rsid w:val="00D65415"/>
    <w:rsid w:val="00D655E9"/>
    <w:rsid w:val="00D65879"/>
    <w:rsid w:val="00D65C70"/>
    <w:rsid w:val="00D65ED6"/>
    <w:rsid w:val="00D66390"/>
    <w:rsid w:val="00D67FD3"/>
    <w:rsid w:val="00D70B2E"/>
    <w:rsid w:val="00D7111B"/>
    <w:rsid w:val="00D71C2F"/>
    <w:rsid w:val="00D726DE"/>
    <w:rsid w:val="00D73215"/>
    <w:rsid w:val="00D74249"/>
    <w:rsid w:val="00D74A0A"/>
    <w:rsid w:val="00D74D3B"/>
    <w:rsid w:val="00D75199"/>
    <w:rsid w:val="00D7561B"/>
    <w:rsid w:val="00D75788"/>
    <w:rsid w:val="00D76394"/>
    <w:rsid w:val="00D7737B"/>
    <w:rsid w:val="00D77DAD"/>
    <w:rsid w:val="00D811D7"/>
    <w:rsid w:val="00D8182D"/>
    <w:rsid w:val="00D821D3"/>
    <w:rsid w:val="00D82305"/>
    <w:rsid w:val="00D82B41"/>
    <w:rsid w:val="00D82C5F"/>
    <w:rsid w:val="00D835FD"/>
    <w:rsid w:val="00D841AE"/>
    <w:rsid w:val="00D908DD"/>
    <w:rsid w:val="00D91B04"/>
    <w:rsid w:val="00D92394"/>
    <w:rsid w:val="00D928EB"/>
    <w:rsid w:val="00D92FA8"/>
    <w:rsid w:val="00D93E0B"/>
    <w:rsid w:val="00D94B47"/>
    <w:rsid w:val="00D95420"/>
    <w:rsid w:val="00D95CE9"/>
    <w:rsid w:val="00D966A8"/>
    <w:rsid w:val="00D96973"/>
    <w:rsid w:val="00D96984"/>
    <w:rsid w:val="00D9752C"/>
    <w:rsid w:val="00D9754B"/>
    <w:rsid w:val="00D9780F"/>
    <w:rsid w:val="00D97D0E"/>
    <w:rsid w:val="00D97EAD"/>
    <w:rsid w:val="00DA0096"/>
    <w:rsid w:val="00DA0310"/>
    <w:rsid w:val="00DA1497"/>
    <w:rsid w:val="00DA248C"/>
    <w:rsid w:val="00DA3444"/>
    <w:rsid w:val="00DA3AC5"/>
    <w:rsid w:val="00DA4745"/>
    <w:rsid w:val="00DA548C"/>
    <w:rsid w:val="00DA5B6A"/>
    <w:rsid w:val="00DA5BC1"/>
    <w:rsid w:val="00DA6503"/>
    <w:rsid w:val="00DA6B8C"/>
    <w:rsid w:val="00DA7476"/>
    <w:rsid w:val="00DA7ACC"/>
    <w:rsid w:val="00DA7C89"/>
    <w:rsid w:val="00DB2146"/>
    <w:rsid w:val="00DB48ED"/>
    <w:rsid w:val="00DB4BAD"/>
    <w:rsid w:val="00DB4EA0"/>
    <w:rsid w:val="00DB6B0A"/>
    <w:rsid w:val="00DB6C48"/>
    <w:rsid w:val="00DB6DF4"/>
    <w:rsid w:val="00DC0835"/>
    <w:rsid w:val="00DC0E51"/>
    <w:rsid w:val="00DC0F27"/>
    <w:rsid w:val="00DC3526"/>
    <w:rsid w:val="00DC362B"/>
    <w:rsid w:val="00DC36C9"/>
    <w:rsid w:val="00DC4018"/>
    <w:rsid w:val="00DC4E5F"/>
    <w:rsid w:val="00DC5F88"/>
    <w:rsid w:val="00DC6373"/>
    <w:rsid w:val="00DC66EC"/>
    <w:rsid w:val="00DC6D5A"/>
    <w:rsid w:val="00DC6E30"/>
    <w:rsid w:val="00DC6E6B"/>
    <w:rsid w:val="00DC7A28"/>
    <w:rsid w:val="00DD0832"/>
    <w:rsid w:val="00DD11B8"/>
    <w:rsid w:val="00DD2D3B"/>
    <w:rsid w:val="00DD3553"/>
    <w:rsid w:val="00DD5609"/>
    <w:rsid w:val="00DD5C93"/>
    <w:rsid w:val="00DD5E30"/>
    <w:rsid w:val="00DD6116"/>
    <w:rsid w:val="00DD640A"/>
    <w:rsid w:val="00DE0C2A"/>
    <w:rsid w:val="00DE0FF1"/>
    <w:rsid w:val="00DE17DB"/>
    <w:rsid w:val="00DE2ED9"/>
    <w:rsid w:val="00DE35C6"/>
    <w:rsid w:val="00DE375F"/>
    <w:rsid w:val="00DE385C"/>
    <w:rsid w:val="00DE3F57"/>
    <w:rsid w:val="00DE5A40"/>
    <w:rsid w:val="00DE66DE"/>
    <w:rsid w:val="00DE6DA5"/>
    <w:rsid w:val="00DE745F"/>
    <w:rsid w:val="00DE7E66"/>
    <w:rsid w:val="00DF1582"/>
    <w:rsid w:val="00DF1747"/>
    <w:rsid w:val="00DF1B7D"/>
    <w:rsid w:val="00DF1E45"/>
    <w:rsid w:val="00DF2167"/>
    <w:rsid w:val="00DF271D"/>
    <w:rsid w:val="00DF27BF"/>
    <w:rsid w:val="00DF29A9"/>
    <w:rsid w:val="00DF375C"/>
    <w:rsid w:val="00DF4295"/>
    <w:rsid w:val="00DF44CF"/>
    <w:rsid w:val="00DF4EAA"/>
    <w:rsid w:val="00DF53A6"/>
    <w:rsid w:val="00DF5F75"/>
    <w:rsid w:val="00DF7E2A"/>
    <w:rsid w:val="00E0106B"/>
    <w:rsid w:val="00E0118C"/>
    <w:rsid w:val="00E01716"/>
    <w:rsid w:val="00E023D3"/>
    <w:rsid w:val="00E02490"/>
    <w:rsid w:val="00E02927"/>
    <w:rsid w:val="00E036BD"/>
    <w:rsid w:val="00E03DC5"/>
    <w:rsid w:val="00E05D82"/>
    <w:rsid w:val="00E06CDF"/>
    <w:rsid w:val="00E07DB8"/>
    <w:rsid w:val="00E1147A"/>
    <w:rsid w:val="00E120EC"/>
    <w:rsid w:val="00E1290D"/>
    <w:rsid w:val="00E129F6"/>
    <w:rsid w:val="00E13D85"/>
    <w:rsid w:val="00E13FF1"/>
    <w:rsid w:val="00E144DE"/>
    <w:rsid w:val="00E14EAA"/>
    <w:rsid w:val="00E1541B"/>
    <w:rsid w:val="00E161BD"/>
    <w:rsid w:val="00E16BCD"/>
    <w:rsid w:val="00E17A63"/>
    <w:rsid w:val="00E202B2"/>
    <w:rsid w:val="00E204C5"/>
    <w:rsid w:val="00E20C1E"/>
    <w:rsid w:val="00E20D6B"/>
    <w:rsid w:val="00E223D8"/>
    <w:rsid w:val="00E23B5C"/>
    <w:rsid w:val="00E242D4"/>
    <w:rsid w:val="00E24C6F"/>
    <w:rsid w:val="00E2565A"/>
    <w:rsid w:val="00E26402"/>
    <w:rsid w:val="00E27908"/>
    <w:rsid w:val="00E3048A"/>
    <w:rsid w:val="00E31DC7"/>
    <w:rsid w:val="00E331D3"/>
    <w:rsid w:val="00E34977"/>
    <w:rsid w:val="00E3573A"/>
    <w:rsid w:val="00E35E57"/>
    <w:rsid w:val="00E364C3"/>
    <w:rsid w:val="00E36B16"/>
    <w:rsid w:val="00E36FF7"/>
    <w:rsid w:val="00E3713E"/>
    <w:rsid w:val="00E373ED"/>
    <w:rsid w:val="00E3744F"/>
    <w:rsid w:val="00E41618"/>
    <w:rsid w:val="00E416ED"/>
    <w:rsid w:val="00E426B6"/>
    <w:rsid w:val="00E4271F"/>
    <w:rsid w:val="00E4305E"/>
    <w:rsid w:val="00E43CDF"/>
    <w:rsid w:val="00E44DB6"/>
    <w:rsid w:val="00E4626F"/>
    <w:rsid w:val="00E462EA"/>
    <w:rsid w:val="00E46A27"/>
    <w:rsid w:val="00E47B96"/>
    <w:rsid w:val="00E47C50"/>
    <w:rsid w:val="00E50379"/>
    <w:rsid w:val="00E52B70"/>
    <w:rsid w:val="00E5337B"/>
    <w:rsid w:val="00E54BC6"/>
    <w:rsid w:val="00E55606"/>
    <w:rsid w:val="00E56A2A"/>
    <w:rsid w:val="00E60EC1"/>
    <w:rsid w:val="00E61DE4"/>
    <w:rsid w:val="00E627A4"/>
    <w:rsid w:val="00E62C45"/>
    <w:rsid w:val="00E63D9F"/>
    <w:rsid w:val="00E65999"/>
    <w:rsid w:val="00E66297"/>
    <w:rsid w:val="00E66A59"/>
    <w:rsid w:val="00E67E7C"/>
    <w:rsid w:val="00E7125C"/>
    <w:rsid w:val="00E7175D"/>
    <w:rsid w:val="00E71878"/>
    <w:rsid w:val="00E71F33"/>
    <w:rsid w:val="00E735CF"/>
    <w:rsid w:val="00E75802"/>
    <w:rsid w:val="00E759FD"/>
    <w:rsid w:val="00E762B7"/>
    <w:rsid w:val="00E76B01"/>
    <w:rsid w:val="00E806F5"/>
    <w:rsid w:val="00E80EDB"/>
    <w:rsid w:val="00E81058"/>
    <w:rsid w:val="00E812AC"/>
    <w:rsid w:val="00E81FFF"/>
    <w:rsid w:val="00E82A3B"/>
    <w:rsid w:val="00E82DCF"/>
    <w:rsid w:val="00E82EBA"/>
    <w:rsid w:val="00E8351E"/>
    <w:rsid w:val="00E836D4"/>
    <w:rsid w:val="00E83846"/>
    <w:rsid w:val="00E849F6"/>
    <w:rsid w:val="00E87726"/>
    <w:rsid w:val="00E921E0"/>
    <w:rsid w:val="00E92B27"/>
    <w:rsid w:val="00E93215"/>
    <w:rsid w:val="00E93FF1"/>
    <w:rsid w:val="00E95073"/>
    <w:rsid w:val="00E95124"/>
    <w:rsid w:val="00E95179"/>
    <w:rsid w:val="00E956C9"/>
    <w:rsid w:val="00E96048"/>
    <w:rsid w:val="00E96B79"/>
    <w:rsid w:val="00E9739F"/>
    <w:rsid w:val="00E977CD"/>
    <w:rsid w:val="00EA147B"/>
    <w:rsid w:val="00EA195C"/>
    <w:rsid w:val="00EA1B0E"/>
    <w:rsid w:val="00EA2937"/>
    <w:rsid w:val="00EA29C8"/>
    <w:rsid w:val="00EA3BCE"/>
    <w:rsid w:val="00EA42B0"/>
    <w:rsid w:val="00EA4773"/>
    <w:rsid w:val="00EA4F15"/>
    <w:rsid w:val="00EA51D6"/>
    <w:rsid w:val="00EA5D8A"/>
    <w:rsid w:val="00EA6401"/>
    <w:rsid w:val="00EA68C3"/>
    <w:rsid w:val="00EA7D99"/>
    <w:rsid w:val="00EB1932"/>
    <w:rsid w:val="00EB22CE"/>
    <w:rsid w:val="00EB32D4"/>
    <w:rsid w:val="00EB4A85"/>
    <w:rsid w:val="00EB4B42"/>
    <w:rsid w:val="00EB5162"/>
    <w:rsid w:val="00EB521E"/>
    <w:rsid w:val="00EB71BF"/>
    <w:rsid w:val="00EB749D"/>
    <w:rsid w:val="00EB7B9C"/>
    <w:rsid w:val="00EC035C"/>
    <w:rsid w:val="00EC0483"/>
    <w:rsid w:val="00EC1616"/>
    <w:rsid w:val="00EC25D7"/>
    <w:rsid w:val="00EC3153"/>
    <w:rsid w:val="00EC3BCE"/>
    <w:rsid w:val="00EC679E"/>
    <w:rsid w:val="00ED0B6C"/>
    <w:rsid w:val="00ED1BB2"/>
    <w:rsid w:val="00ED20ED"/>
    <w:rsid w:val="00ED20FA"/>
    <w:rsid w:val="00ED2736"/>
    <w:rsid w:val="00ED392A"/>
    <w:rsid w:val="00ED5EA2"/>
    <w:rsid w:val="00ED66A8"/>
    <w:rsid w:val="00ED70C7"/>
    <w:rsid w:val="00ED7C19"/>
    <w:rsid w:val="00EE0418"/>
    <w:rsid w:val="00EE07BA"/>
    <w:rsid w:val="00EE08A6"/>
    <w:rsid w:val="00EE0DFA"/>
    <w:rsid w:val="00EE1512"/>
    <w:rsid w:val="00EE3558"/>
    <w:rsid w:val="00EE4C11"/>
    <w:rsid w:val="00EE4D58"/>
    <w:rsid w:val="00EE4F4A"/>
    <w:rsid w:val="00EE75E7"/>
    <w:rsid w:val="00EE7755"/>
    <w:rsid w:val="00EF0311"/>
    <w:rsid w:val="00EF0880"/>
    <w:rsid w:val="00EF1C4D"/>
    <w:rsid w:val="00EF36B4"/>
    <w:rsid w:val="00EF470E"/>
    <w:rsid w:val="00EF4936"/>
    <w:rsid w:val="00EF4ACF"/>
    <w:rsid w:val="00EF5608"/>
    <w:rsid w:val="00EF5765"/>
    <w:rsid w:val="00EF7920"/>
    <w:rsid w:val="00EF7BFD"/>
    <w:rsid w:val="00F00666"/>
    <w:rsid w:val="00F00C6F"/>
    <w:rsid w:val="00F031D9"/>
    <w:rsid w:val="00F067F2"/>
    <w:rsid w:val="00F068EC"/>
    <w:rsid w:val="00F07825"/>
    <w:rsid w:val="00F1052C"/>
    <w:rsid w:val="00F106C1"/>
    <w:rsid w:val="00F10A11"/>
    <w:rsid w:val="00F136EA"/>
    <w:rsid w:val="00F14899"/>
    <w:rsid w:val="00F149A8"/>
    <w:rsid w:val="00F151EA"/>
    <w:rsid w:val="00F216CF"/>
    <w:rsid w:val="00F21934"/>
    <w:rsid w:val="00F2271C"/>
    <w:rsid w:val="00F23808"/>
    <w:rsid w:val="00F23EDB"/>
    <w:rsid w:val="00F24E3E"/>
    <w:rsid w:val="00F273B1"/>
    <w:rsid w:val="00F307F0"/>
    <w:rsid w:val="00F30A4B"/>
    <w:rsid w:val="00F311F3"/>
    <w:rsid w:val="00F319BC"/>
    <w:rsid w:val="00F335D0"/>
    <w:rsid w:val="00F33B61"/>
    <w:rsid w:val="00F33DA6"/>
    <w:rsid w:val="00F34BBD"/>
    <w:rsid w:val="00F34F35"/>
    <w:rsid w:val="00F363A2"/>
    <w:rsid w:val="00F36D05"/>
    <w:rsid w:val="00F37809"/>
    <w:rsid w:val="00F4183E"/>
    <w:rsid w:val="00F42424"/>
    <w:rsid w:val="00F4300F"/>
    <w:rsid w:val="00F443FE"/>
    <w:rsid w:val="00F44621"/>
    <w:rsid w:val="00F45BEC"/>
    <w:rsid w:val="00F45DE9"/>
    <w:rsid w:val="00F47301"/>
    <w:rsid w:val="00F4777C"/>
    <w:rsid w:val="00F50D80"/>
    <w:rsid w:val="00F50EC2"/>
    <w:rsid w:val="00F51959"/>
    <w:rsid w:val="00F54F61"/>
    <w:rsid w:val="00F5504F"/>
    <w:rsid w:val="00F564D3"/>
    <w:rsid w:val="00F56596"/>
    <w:rsid w:val="00F566FF"/>
    <w:rsid w:val="00F56A79"/>
    <w:rsid w:val="00F57801"/>
    <w:rsid w:val="00F608B8"/>
    <w:rsid w:val="00F60CA7"/>
    <w:rsid w:val="00F60D22"/>
    <w:rsid w:val="00F613A5"/>
    <w:rsid w:val="00F615C9"/>
    <w:rsid w:val="00F61EFF"/>
    <w:rsid w:val="00F629C0"/>
    <w:rsid w:val="00F6328E"/>
    <w:rsid w:val="00F638EC"/>
    <w:rsid w:val="00F649C0"/>
    <w:rsid w:val="00F64B20"/>
    <w:rsid w:val="00F65503"/>
    <w:rsid w:val="00F65C49"/>
    <w:rsid w:val="00F663CF"/>
    <w:rsid w:val="00F666AA"/>
    <w:rsid w:val="00F6720D"/>
    <w:rsid w:val="00F67213"/>
    <w:rsid w:val="00F6766A"/>
    <w:rsid w:val="00F6791F"/>
    <w:rsid w:val="00F70788"/>
    <w:rsid w:val="00F708DF"/>
    <w:rsid w:val="00F71605"/>
    <w:rsid w:val="00F71898"/>
    <w:rsid w:val="00F726B1"/>
    <w:rsid w:val="00F72A52"/>
    <w:rsid w:val="00F72E54"/>
    <w:rsid w:val="00F7384E"/>
    <w:rsid w:val="00F74D5F"/>
    <w:rsid w:val="00F75225"/>
    <w:rsid w:val="00F761BA"/>
    <w:rsid w:val="00F76654"/>
    <w:rsid w:val="00F7693F"/>
    <w:rsid w:val="00F77A07"/>
    <w:rsid w:val="00F80E85"/>
    <w:rsid w:val="00F81CE2"/>
    <w:rsid w:val="00F821DC"/>
    <w:rsid w:val="00F8315C"/>
    <w:rsid w:val="00F83178"/>
    <w:rsid w:val="00F84729"/>
    <w:rsid w:val="00F84B04"/>
    <w:rsid w:val="00F85131"/>
    <w:rsid w:val="00F857BA"/>
    <w:rsid w:val="00F85D7A"/>
    <w:rsid w:val="00F863F0"/>
    <w:rsid w:val="00F90059"/>
    <w:rsid w:val="00F91E28"/>
    <w:rsid w:val="00F923DB"/>
    <w:rsid w:val="00F92978"/>
    <w:rsid w:val="00F92991"/>
    <w:rsid w:val="00F92B7E"/>
    <w:rsid w:val="00F93569"/>
    <w:rsid w:val="00F93E19"/>
    <w:rsid w:val="00F940A9"/>
    <w:rsid w:val="00F945EF"/>
    <w:rsid w:val="00F945F0"/>
    <w:rsid w:val="00F95A00"/>
    <w:rsid w:val="00F95EAC"/>
    <w:rsid w:val="00F95F18"/>
    <w:rsid w:val="00F96105"/>
    <w:rsid w:val="00F9674D"/>
    <w:rsid w:val="00F9691C"/>
    <w:rsid w:val="00F97D96"/>
    <w:rsid w:val="00FA09C6"/>
    <w:rsid w:val="00FA0F60"/>
    <w:rsid w:val="00FA103D"/>
    <w:rsid w:val="00FA244A"/>
    <w:rsid w:val="00FA3541"/>
    <w:rsid w:val="00FA6818"/>
    <w:rsid w:val="00FA6C1A"/>
    <w:rsid w:val="00FA72BE"/>
    <w:rsid w:val="00FB007B"/>
    <w:rsid w:val="00FB12D1"/>
    <w:rsid w:val="00FB3232"/>
    <w:rsid w:val="00FB3ED2"/>
    <w:rsid w:val="00FB4B95"/>
    <w:rsid w:val="00FB7EA1"/>
    <w:rsid w:val="00FC027F"/>
    <w:rsid w:val="00FC1E37"/>
    <w:rsid w:val="00FC3CEC"/>
    <w:rsid w:val="00FC3E8E"/>
    <w:rsid w:val="00FC4C8C"/>
    <w:rsid w:val="00FC5107"/>
    <w:rsid w:val="00FC5CDC"/>
    <w:rsid w:val="00FC6BE7"/>
    <w:rsid w:val="00FC777E"/>
    <w:rsid w:val="00FD0917"/>
    <w:rsid w:val="00FD1611"/>
    <w:rsid w:val="00FD1D73"/>
    <w:rsid w:val="00FD3024"/>
    <w:rsid w:val="00FD44B4"/>
    <w:rsid w:val="00FD46BA"/>
    <w:rsid w:val="00FD5110"/>
    <w:rsid w:val="00FD5301"/>
    <w:rsid w:val="00FD59ED"/>
    <w:rsid w:val="00FD5C62"/>
    <w:rsid w:val="00FD5DB8"/>
    <w:rsid w:val="00FD67F5"/>
    <w:rsid w:val="00FD6E45"/>
    <w:rsid w:val="00FD73C7"/>
    <w:rsid w:val="00FD7C6E"/>
    <w:rsid w:val="00FE07F9"/>
    <w:rsid w:val="00FE1C43"/>
    <w:rsid w:val="00FE212C"/>
    <w:rsid w:val="00FE214A"/>
    <w:rsid w:val="00FE32BD"/>
    <w:rsid w:val="00FE39B5"/>
    <w:rsid w:val="00FE3B94"/>
    <w:rsid w:val="00FE3D0D"/>
    <w:rsid w:val="00FE49F5"/>
    <w:rsid w:val="00FE52E7"/>
    <w:rsid w:val="00FE549D"/>
    <w:rsid w:val="00FE773B"/>
    <w:rsid w:val="00FE7D3F"/>
    <w:rsid w:val="00FF14B0"/>
    <w:rsid w:val="00FF2367"/>
    <w:rsid w:val="00FF29B3"/>
    <w:rsid w:val="00FF2B83"/>
    <w:rsid w:val="00FF4FDB"/>
    <w:rsid w:val="00FF5365"/>
    <w:rsid w:val="00FF60D9"/>
    <w:rsid w:val="00FF6304"/>
    <w:rsid w:val="00FF67B6"/>
    <w:rsid w:val="00FF6859"/>
    <w:rsid w:val="00FF6B8E"/>
    <w:rsid w:val="00FF6C30"/>
    <w:rsid w:val="00FF7771"/>
    <w:rsid w:val="011078C7"/>
    <w:rsid w:val="013A3FC1"/>
    <w:rsid w:val="01694E3C"/>
    <w:rsid w:val="01785BFE"/>
    <w:rsid w:val="01987FE8"/>
    <w:rsid w:val="01DB7ED5"/>
    <w:rsid w:val="0276195D"/>
    <w:rsid w:val="027B2455"/>
    <w:rsid w:val="028B7BFF"/>
    <w:rsid w:val="02922F6E"/>
    <w:rsid w:val="038720C2"/>
    <w:rsid w:val="0388568B"/>
    <w:rsid w:val="03A67BD0"/>
    <w:rsid w:val="03B07EA0"/>
    <w:rsid w:val="03C9092D"/>
    <w:rsid w:val="03E7021C"/>
    <w:rsid w:val="03EB73DB"/>
    <w:rsid w:val="04331B81"/>
    <w:rsid w:val="046214CB"/>
    <w:rsid w:val="049B4F9A"/>
    <w:rsid w:val="05476ED2"/>
    <w:rsid w:val="055603F3"/>
    <w:rsid w:val="05D11D1B"/>
    <w:rsid w:val="05E01475"/>
    <w:rsid w:val="063A78C0"/>
    <w:rsid w:val="064A5629"/>
    <w:rsid w:val="06F74F8E"/>
    <w:rsid w:val="06FC6923"/>
    <w:rsid w:val="07054321"/>
    <w:rsid w:val="073E7F7D"/>
    <w:rsid w:val="07570140"/>
    <w:rsid w:val="07D119D9"/>
    <w:rsid w:val="085D0282"/>
    <w:rsid w:val="08950566"/>
    <w:rsid w:val="08BB3EDC"/>
    <w:rsid w:val="097D32A4"/>
    <w:rsid w:val="0A334D52"/>
    <w:rsid w:val="0A454A85"/>
    <w:rsid w:val="0A8D6331"/>
    <w:rsid w:val="0B0003C8"/>
    <w:rsid w:val="0B392E91"/>
    <w:rsid w:val="0B5F1B77"/>
    <w:rsid w:val="0BE2789A"/>
    <w:rsid w:val="0C851169"/>
    <w:rsid w:val="0CB16402"/>
    <w:rsid w:val="0D2164A1"/>
    <w:rsid w:val="0D470492"/>
    <w:rsid w:val="0D6E51A3"/>
    <w:rsid w:val="0DD908C2"/>
    <w:rsid w:val="0E024BAE"/>
    <w:rsid w:val="0E463169"/>
    <w:rsid w:val="0E497FFD"/>
    <w:rsid w:val="0EE228A3"/>
    <w:rsid w:val="0F53EB9B"/>
    <w:rsid w:val="0FCA7DFA"/>
    <w:rsid w:val="109C59E4"/>
    <w:rsid w:val="10D10A01"/>
    <w:rsid w:val="10D12BCF"/>
    <w:rsid w:val="11AE6C6B"/>
    <w:rsid w:val="11FC011F"/>
    <w:rsid w:val="12125842"/>
    <w:rsid w:val="125C471A"/>
    <w:rsid w:val="12753A2E"/>
    <w:rsid w:val="127C685A"/>
    <w:rsid w:val="12D544CC"/>
    <w:rsid w:val="12D55EC9"/>
    <w:rsid w:val="12E83FD3"/>
    <w:rsid w:val="13B2334D"/>
    <w:rsid w:val="13B23782"/>
    <w:rsid w:val="13E67280"/>
    <w:rsid w:val="13EF6BBB"/>
    <w:rsid w:val="14397409"/>
    <w:rsid w:val="14757D15"/>
    <w:rsid w:val="14DC2CD6"/>
    <w:rsid w:val="150E4F8E"/>
    <w:rsid w:val="153B2D0D"/>
    <w:rsid w:val="15455939"/>
    <w:rsid w:val="156E2E8C"/>
    <w:rsid w:val="161449CC"/>
    <w:rsid w:val="163559AE"/>
    <w:rsid w:val="1649588E"/>
    <w:rsid w:val="165465C7"/>
    <w:rsid w:val="166E2C6E"/>
    <w:rsid w:val="168555FF"/>
    <w:rsid w:val="16D916EA"/>
    <w:rsid w:val="16FB6D9B"/>
    <w:rsid w:val="17375756"/>
    <w:rsid w:val="17A34B99"/>
    <w:rsid w:val="17BB1EE3"/>
    <w:rsid w:val="17BF5E77"/>
    <w:rsid w:val="18276FF5"/>
    <w:rsid w:val="185A5BA0"/>
    <w:rsid w:val="189C7F66"/>
    <w:rsid w:val="196B4C98"/>
    <w:rsid w:val="19CE0BFB"/>
    <w:rsid w:val="1A4F781B"/>
    <w:rsid w:val="1AC81AE5"/>
    <w:rsid w:val="1B3A4F48"/>
    <w:rsid w:val="1BCD69CF"/>
    <w:rsid w:val="1C163B8C"/>
    <w:rsid w:val="1C754344"/>
    <w:rsid w:val="1CD6638A"/>
    <w:rsid w:val="1CF42738"/>
    <w:rsid w:val="1D702D6A"/>
    <w:rsid w:val="1DFB6CC4"/>
    <w:rsid w:val="1E114F52"/>
    <w:rsid w:val="1E4C7D38"/>
    <w:rsid w:val="1EA01E32"/>
    <w:rsid w:val="1F0E1DBD"/>
    <w:rsid w:val="1F1E0F19"/>
    <w:rsid w:val="1F36100F"/>
    <w:rsid w:val="1F380266"/>
    <w:rsid w:val="1F6D440A"/>
    <w:rsid w:val="1F811C64"/>
    <w:rsid w:val="1FB65EA1"/>
    <w:rsid w:val="1FB94DC1"/>
    <w:rsid w:val="20297E66"/>
    <w:rsid w:val="20427645"/>
    <w:rsid w:val="207D228B"/>
    <w:rsid w:val="20F13A12"/>
    <w:rsid w:val="210448FA"/>
    <w:rsid w:val="2166295E"/>
    <w:rsid w:val="217B3757"/>
    <w:rsid w:val="21F91F85"/>
    <w:rsid w:val="22AC524A"/>
    <w:rsid w:val="22C95DFC"/>
    <w:rsid w:val="22DD18A7"/>
    <w:rsid w:val="234F124D"/>
    <w:rsid w:val="23B4085A"/>
    <w:rsid w:val="23C06BC8"/>
    <w:rsid w:val="24502D30"/>
    <w:rsid w:val="24DB0068"/>
    <w:rsid w:val="255A0F8D"/>
    <w:rsid w:val="26185DE1"/>
    <w:rsid w:val="265F0E78"/>
    <w:rsid w:val="26B1249E"/>
    <w:rsid w:val="26F64CE5"/>
    <w:rsid w:val="27214404"/>
    <w:rsid w:val="277E3704"/>
    <w:rsid w:val="27A40BE5"/>
    <w:rsid w:val="27CF57BD"/>
    <w:rsid w:val="27E6053F"/>
    <w:rsid w:val="28235FAE"/>
    <w:rsid w:val="288D4298"/>
    <w:rsid w:val="28966909"/>
    <w:rsid w:val="28A6273B"/>
    <w:rsid w:val="28C634FB"/>
    <w:rsid w:val="297340CA"/>
    <w:rsid w:val="29986528"/>
    <w:rsid w:val="29BE2509"/>
    <w:rsid w:val="29C916E9"/>
    <w:rsid w:val="29F43A2A"/>
    <w:rsid w:val="2A1E76E6"/>
    <w:rsid w:val="2AAB4039"/>
    <w:rsid w:val="2B6E5792"/>
    <w:rsid w:val="2BDB094E"/>
    <w:rsid w:val="2C030C39"/>
    <w:rsid w:val="2C4D00EB"/>
    <w:rsid w:val="2C4E5303"/>
    <w:rsid w:val="2C5D22A0"/>
    <w:rsid w:val="2C610E53"/>
    <w:rsid w:val="2C9F197B"/>
    <w:rsid w:val="2E236C60"/>
    <w:rsid w:val="2EA25595"/>
    <w:rsid w:val="2EA73455"/>
    <w:rsid w:val="2F0F01C0"/>
    <w:rsid w:val="30180B3C"/>
    <w:rsid w:val="308E2433"/>
    <w:rsid w:val="30C95219"/>
    <w:rsid w:val="31322DBE"/>
    <w:rsid w:val="31332937"/>
    <w:rsid w:val="315216B2"/>
    <w:rsid w:val="316F4E16"/>
    <w:rsid w:val="31BB2399"/>
    <w:rsid w:val="321A3876"/>
    <w:rsid w:val="323A3D66"/>
    <w:rsid w:val="325F05F3"/>
    <w:rsid w:val="32EB1476"/>
    <w:rsid w:val="339868AB"/>
    <w:rsid w:val="33B969DC"/>
    <w:rsid w:val="33F51635"/>
    <w:rsid w:val="343D21A6"/>
    <w:rsid w:val="34677222"/>
    <w:rsid w:val="34F531FB"/>
    <w:rsid w:val="35B80FB5"/>
    <w:rsid w:val="35CA1113"/>
    <w:rsid w:val="35F06330"/>
    <w:rsid w:val="3648295F"/>
    <w:rsid w:val="36621630"/>
    <w:rsid w:val="3676199F"/>
    <w:rsid w:val="36E508D2"/>
    <w:rsid w:val="3726753F"/>
    <w:rsid w:val="373B6744"/>
    <w:rsid w:val="376405AC"/>
    <w:rsid w:val="37C9183B"/>
    <w:rsid w:val="38571D22"/>
    <w:rsid w:val="390239BE"/>
    <w:rsid w:val="39616936"/>
    <w:rsid w:val="398856C8"/>
    <w:rsid w:val="39F7307F"/>
    <w:rsid w:val="3A79380C"/>
    <w:rsid w:val="3A8904A6"/>
    <w:rsid w:val="3A8A41C8"/>
    <w:rsid w:val="3AA12C6E"/>
    <w:rsid w:val="3AB64A60"/>
    <w:rsid w:val="3AB72586"/>
    <w:rsid w:val="3B35076B"/>
    <w:rsid w:val="3BD043F2"/>
    <w:rsid w:val="3BEE647B"/>
    <w:rsid w:val="3C140102"/>
    <w:rsid w:val="3C2A0B28"/>
    <w:rsid w:val="3C350E1F"/>
    <w:rsid w:val="3CCC5ACF"/>
    <w:rsid w:val="3CD72A6B"/>
    <w:rsid w:val="3D801355"/>
    <w:rsid w:val="3DE7ED15"/>
    <w:rsid w:val="3E7F33BB"/>
    <w:rsid w:val="3ED454B4"/>
    <w:rsid w:val="3F343DDF"/>
    <w:rsid w:val="3F595C80"/>
    <w:rsid w:val="3F6BEB0F"/>
    <w:rsid w:val="3F6EB6C6"/>
    <w:rsid w:val="3FF83425"/>
    <w:rsid w:val="3FFF2FE8"/>
    <w:rsid w:val="40104C12"/>
    <w:rsid w:val="40436D96"/>
    <w:rsid w:val="404D4928"/>
    <w:rsid w:val="40B337AE"/>
    <w:rsid w:val="41064154"/>
    <w:rsid w:val="41B94E35"/>
    <w:rsid w:val="42470693"/>
    <w:rsid w:val="425F2F15"/>
    <w:rsid w:val="429107EC"/>
    <w:rsid w:val="42A33B1C"/>
    <w:rsid w:val="43574906"/>
    <w:rsid w:val="436F6652"/>
    <w:rsid w:val="43743DA5"/>
    <w:rsid w:val="43F860E9"/>
    <w:rsid w:val="442944F4"/>
    <w:rsid w:val="44496945"/>
    <w:rsid w:val="444B13DD"/>
    <w:rsid w:val="44515FAE"/>
    <w:rsid w:val="448434D9"/>
    <w:rsid w:val="4497145E"/>
    <w:rsid w:val="452B429C"/>
    <w:rsid w:val="457C2402"/>
    <w:rsid w:val="45992FB4"/>
    <w:rsid w:val="46D83FB0"/>
    <w:rsid w:val="477F51F1"/>
    <w:rsid w:val="479E6A21"/>
    <w:rsid w:val="47D80BCE"/>
    <w:rsid w:val="47E04ECA"/>
    <w:rsid w:val="47E8569A"/>
    <w:rsid w:val="488241D3"/>
    <w:rsid w:val="48D569F9"/>
    <w:rsid w:val="48DD765B"/>
    <w:rsid w:val="494B267F"/>
    <w:rsid w:val="49DE18DD"/>
    <w:rsid w:val="4A4A6F73"/>
    <w:rsid w:val="4AA76173"/>
    <w:rsid w:val="4AFA44F5"/>
    <w:rsid w:val="4B0A73C2"/>
    <w:rsid w:val="4B75781C"/>
    <w:rsid w:val="4B8D2E22"/>
    <w:rsid w:val="4BB672A9"/>
    <w:rsid w:val="4BBE70D8"/>
    <w:rsid w:val="4C530FB2"/>
    <w:rsid w:val="4D471547"/>
    <w:rsid w:val="4D7979FF"/>
    <w:rsid w:val="4DF3347D"/>
    <w:rsid w:val="4DF9516D"/>
    <w:rsid w:val="4E93057B"/>
    <w:rsid w:val="4F003BFF"/>
    <w:rsid w:val="4F234D1D"/>
    <w:rsid w:val="50296092"/>
    <w:rsid w:val="514D72CC"/>
    <w:rsid w:val="516C77CE"/>
    <w:rsid w:val="519F5DF6"/>
    <w:rsid w:val="524B588B"/>
    <w:rsid w:val="52C8137C"/>
    <w:rsid w:val="53106D69"/>
    <w:rsid w:val="53153242"/>
    <w:rsid w:val="534A7FE3"/>
    <w:rsid w:val="535F3A8F"/>
    <w:rsid w:val="53A545DD"/>
    <w:rsid w:val="54036D0E"/>
    <w:rsid w:val="54372316"/>
    <w:rsid w:val="544B35B6"/>
    <w:rsid w:val="549F7E20"/>
    <w:rsid w:val="55287DCD"/>
    <w:rsid w:val="55A162DB"/>
    <w:rsid w:val="55C62DB3"/>
    <w:rsid w:val="55E213DD"/>
    <w:rsid w:val="55EE7E40"/>
    <w:rsid w:val="561B6F4E"/>
    <w:rsid w:val="564423A6"/>
    <w:rsid w:val="56657940"/>
    <w:rsid w:val="5714693E"/>
    <w:rsid w:val="576B3358"/>
    <w:rsid w:val="57957AC1"/>
    <w:rsid w:val="57B6003F"/>
    <w:rsid w:val="57DD7A32"/>
    <w:rsid w:val="58207E23"/>
    <w:rsid w:val="58266274"/>
    <w:rsid w:val="58535244"/>
    <w:rsid w:val="587B3E58"/>
    <w:rsid w:val="58E15B00"/>
    <w:rsid w:val="58E95BA9"/>
    <w:rsid w:val="58F5279F"/>
    <w:rsid w:val="5A47527D"/>
    <w:rsid w:val="5A5779DA"/>
    <w:rsid w:val="5A93134D"/>
    <w:rsid w:val="5AC87F7F"/>
    <w:rsid w:val="5ACE32A8"/>
    <w:rsid w:val="5ACF1902"/>
    <w:rsid w:val="5AFA66CE"/>
    <w:rsid w:val="5B361466"/>
    <w:rsid w:val="5BCA46E7"/>
    <w:rsid w:val="5BD963A8"/>
    <w:rsid w:val="5C030D02"/>
    <w:rsid w:val="5C5263B9"/>
    <w:rsid w:val="5CA72002"/>
    <w:rsid w:val="5CB97F85"/>
    <w:rsid w:val="5CC06C1C"/>
    <w:rsid w:val="5D82291B"/>
    <w:rsid w:val="5D9422B8"/>
    <w:rsid w:val="5DCD1034"/>
    <w:rsid w:val="5DD5494D"/>
    <w:rsid w:val="5DE52DE2"/>
    <w:rsid w:val="5F122FE2"/>
    <w:rsid w:val="5F3C2ED6"/>
    <w:rsid w:val="60374440"/>
    <w:rsid w:val="606C0F88"/>
    <w:rsid w:val="607448F1"/>
    <w:rsid w:val="60911000"/>
    <w:rsid w:val="609851D5"/>
    <w:rsid w:val="61B9080E"/>
    <w:rsid w:val="61CE7B94"/>
    <w:rsid w:val="61DC4D2D"/>
    <w:rsid w:val="61DD3343"/>
    <w:rsid w:val="62015D11"/>
    <w:rsid w:val="6299419B"/>
    <w:rsid w:val="62DB23CE"/>
    <w:rsid w:val="62E25B42"/>
    <w:rsid w:val="635B1539"/>
    <w:rsid w:val="638F67EC"/>
    <w:rsid w:val="639563F8"/>
    <w:rsid w:val="63A252D2"/>
    <w:rsid w:val="63F3D139"/>
    <w:rsid w:val="64195594"/>
    <w:rsid w:val="648F3AA8"/>
    <w:rsid w:val="64B654D9"/>
    <w:rsid w:val="64C13116"/>
    <w:rsid w:val="64DE2339"/>
    <w:rsid w:val="655169B2"/>
    <w:rsid w:val="65AD68DC"/>
    <w:rsid w:val="66630734"/>
    <w:rsid w:val="66CF2146"/>
    <w:rsid w:val="66E63727"/>
    <w:rsid w:val="67050051"/>
    <w:rsid w:val="67CA6980"/>
    <w:rsid w:val="67F3434E"/>
    <w:rsid w:val="681317F8"/>
    <w:rsid w:val="68614A7D"/>
    <w:rsid w:val="689E69AF"/>
    <w:rsid w:val="689F6284"/>
    <w:rsid w:val="68BF33C7"/>
    <w:rsid w:val="68C87339"/>
    <w:rsid w:val="69A77D7A"/>
    <w:rsid w:val="69B55DF5"/>
    <w:rsid w:val="6A80346D"/>
    <w:rsid w:val="6A9C1F21"/>
    <w:rsid w:val="6AB57305"/>
    <w:rsid w:val="6B2E4A86"/>
    <w:rsid w:val="6B3E61CD"/>
    <w:rsid w:val="6BAA11C7"/>
    <w:rsid w:val="6BAE64BE"/>
    <w:rsid w:val="6C4433CA"/>
    <w:rsid w:val="6C53544A"/>
    <w:rsid w:val="6C6C7D24"/>
    <w:rsid w:val="6CA024E5"/>
    <w:rsid w:val="6CF87248"/>
    <w:rsid w:val="6D06067F"/>
    <w:rsid w:val="6D124667"/>
    <w:rsid w:val="6D4F64CA"/>
    <w:rsid w:val="6D557496"/>
    <w:rsid w:val="6D771841"/>
    <w:rsid w:val="6DA02ED2"/>
    <w:rsid w:val="6EC1305B"/>
    <w:rsid w:val="6F9E4489"/>
    <w:rsid w:val="6FBD1615"/>
    <w:rsid w:val="702C2AF3"/>
    <w:rsid w:val="70657B45"/>
    <w:rsid w:val="709934FD"/>
    <w:rsid w:val="70A57E9C"/>
    <w:rsid w:val="713E621A"/>
    <w:rsid w:val="714D2D21"/>
    <w:rsid w:val="716D0CB9"/>
    <w:rsid w:val="71D3381F"/>
    <w:rsid w:val="73326D4C"/>
    <w:rsid w:val="7367AB98"/>
    <w:rsid w:val="737C6F5E"/>
    <w:rsid w:val="73B2330F"/>
    <w:rsid w:val="73BB6668"/>
    <w:rsid w:val="7450031A"/>
    <w:rsid w:val="74513001"/>
    <w:rsid w:val="74620891"/>
    <w:rsid w:val="75FDDCF2"/>
    <w:rsid w:val="760C31AA"/>
    <w:rsid w:val="7667329E"/>
    <w:rsid w:val="76AA651F"/>
    <w:rsid w:val="771542E1"/>
    <w:rsid w:val="7782124A"/>
    <w:rsid w:val="77905781"/>
    <w:rsid w:val="77A61873"/>
    <w:rsid w:val="789102D2"/>
    <w:rsid w:val="79CF115C"/>
    <w:rsid w:val="79D33FDF"/>
    <w:rsid w:val="7A282B4F"/>
    <w:rsid w:val="7A320AE0"/>
    <w:rsid w:val="7A5D0169"/>
    <w:rsid w:val="7AA03EC1"/>
    <w:rsid w:val="7AFBC8E1"/>
    <w:rsid w:val="7BC02341"/>
    <w:rsid w:val="7BC2430B"/>
    <w:rsid w:val="7BFF2EB6"/>
    <w:rsid w:val="7C574A54"/>
    <w:rsid w:val="7C9C690A"/>
    <w:rsid w:val="7CD4028F"/>
    <w:rsid w:val="7CDC4B37"/>
    <w:rsid w:val="7D547CF3"/>
    <w:rsid w:val="7D753C76"/>
    <w:rsid w:val="7E33517B"/>
    <w:rsid w:val="7E7062A0"/>
    <w:rsid w:val="7EB67D63"/>
    <w:rsid w:val="7EE822DB"/>
    <w:rsid w:val="7EEF4173"/>
    <w:rsid w:val="7F7C98E4"/>
    <w:rsid w:val="7F7DFA69"/>
    <w:rsid w:val="7F9658C9"/>
    <w:rsid w:val="7FAE9153"/>
    <w:rsid w:val="7FBB1BD1"/>
    <w:rsid w:val="7FDD68C4"/>
    <w:rsid w:val="7FF61E1A"/>
    <w:rsid w:val="7FFA2B57"/>
    <w:rsid w:val="92BFC124"/>
    <w:rsid w:val="9DDFDBAD"/>
    <w:rsid w:val="AFFFFD89"/>
    <w:rsid w:val="B4EBA15C"/>
    <w:rsid w:val="B7F5B7BC"/>
    <w:rsid w:val="BAFB83B5"/>
    <w:rsid w:val="BBFDD4A4"/>
    <w:rsid w:val="BBFFE8FD"/>
    <w:rsid w:val="BDFA9698"/>
    <w:rsid w:val="BDFFB030"/>
    <w:rsid w:val="BFFFFA58"/>
    <w:rsid w:val="D17FB115"/>
    <w:rsid w:val="DBBD3EE1"/>
    <w:rsid w:val="DEE71909"/>
    <w:rsid w:val="DFCB1AA7"/>
    <w:rsid w:val="E9F56C03"/>
    <w:rsid w:val="EF7D0A26"/>
    <w:rsid w:val="EF7F1751"/>
    <w:rsid w:val="F77D20EC"/>
    <w:rsid w:val="F7FE1AAE"/>
    <w:rsid w:val="FBFBC98E"/>
    <w:rsid w:val="FDED42B7"/>
    <w:rsid w:val="FEFBC46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8"/>
    <w:qFormat/>
    <w:uiPriority w:val="0"/>
    <w:pPr>
      <w:keepNext/>
      <w:keepLines/>
      <w:spacing w:before="280" w:after="290" w:line="376" w:lineRule="auto"/>
      <w:outlineLvl w:val="4"/>
    </w:pPr>
    <w:rPr>
      <w:b/>
      <w:bCs/>
      <w:sz w:val="28"/>
      <w:szCs w:val="28"/>
    </w:rPr>
  </w:style>
  <w:style w:type="paragraph" w:styleId="7">
    <w:name w:val="heading 6"/>
    <w:basedOn w:val="1"/>
    <w:next w:val="1"/>
    <w:link w:val="59"/>
    <w:autoRedefine/>
    <w:qFormat/>
    <w:uiPriority w:val="0"/>
    <w:pPr>
      <w:keepNext/>
      <w:keepLines/>
      <w:spacing w:before="240" w:after="64" w:line="320" w:lineRule="auto"/>
      <w:outlineLvl w:val="5"/>
    </w:pPr>
    <w:rPr>
      <w:rFonts w:ascii="Arial" w:hAnsi="Arial" w:eastAsia="黑体"/>
      <w:b/>
      <w:bCs/>
      <w:sz w:val="24"/>
    </w:rPr>
  </w:style>
  <w:style w:type="character" w:default="1" w:styleId="41">
    <w:name w:val="Default Paragraph Font"/>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styleId="8">
    <w:name w:val="List 3"/>
    <w:basedOn w:val="1"/>
    <w:qFormat/>
    <w:uiPriority w:val="0"/>
    <w:pPr>
      <w:ind w:left="1260" w:hanging="420"/>
    </w:pPr>
    <w:rPr>
      <w:szCs w:val="20"/>
    </w:rPr>
  </w:style>
  <w:style w:type="paragraph" w:styleId="9">
    <w:name w:val="List Number"/>
    <w:basedOn w:val="1"/>
    <w:qFormat/>
    <w:uiPriority w:val="0"/>
    <w:pPr>
      <w:tabs>
        <w:tab w:val="left" w:pos="360"/>
      </w:tabs>
      <w:ind w:left="360" w:hanging="360"/>
    </w:pPr>
    <w:rPr>
      <w:szCs w:val="20"/>
    </w:rPr>
  </w:style>
  <w:style w:type="paragraph" w:styleId="10">
    <w:name w:val="Normal Indent"/>
    <w:basedOn w:val="1"/>
    <w:next w:val="1"/>
    <w:link w:val="75"/>
    <w:qFormat/>
    <w:uiPriority w:val="0"/>
    <w:pPr>
      <w:ind w:firstLine="420"/>
    </w:pPr>
    <w:rPr>
      <w:szCs w:val="20"/>
    </w:rPr>
  </w:style>
  <w:style w:type="paragraph" w:styleId="11">
    <w:name w:val="caption"/>
    <w:basedOn w:val="1"/>
    <w:next w:val="1"/>
    <w:autoRedefine/>
    <w:qFormat/>
    <w:uiPriority w:val="0"/>
    <w:pPr>
      <w:spacing w:before="152" w:after="160"/>
    </w:pPr>
    <w:rPr>
      <w:rFonts w:ascii="Arial" w:hAnsi="Arial" w:eastAsia="黑体" w:cs="Arial"/>
      <w:sz w:val="20"/>
      <w:szCs w:val="20"/>
    </w:rPr>
  </w:style>
  <w:style w:type="paragraph" w:styleId="12">
    <w:name w:val="Document Map"/>
    <w:basedOn w:val="1"/>
    <w:link w:val="84"/>
    <w:qFormat/>
    <w:uiPriority w:val="99"/>
    <w:pPr>
      <w:shd w:val="clear" w:color="auto" w:fill="000080"/>
    </w:pPr>
  </w:style>
  <w:style w:type="paragraph" w:styleId="13">
    <w:name w:val="annotation text"/>
    <w:basedOn w:val="1"/>
    <w:link w:val="139"/>
    <w:qFormat/>
    <w:uiPriority w:val="0"/>
    <w:pPr>
      <w:jc w:val="left"/>
    </w:pPr>
  </w:style>
  <w:style w:type="paragraph" w:styleId="14">
    <w:name w:val="Body Text 3"/>
    <w:basedOn w:val="1"/>
    <w:link w:val="90"/>
    <w:qFormat/>
    <w:uiPriority w:val="0"/>
    <w:pPr>
      <w:snapToGrid w:val="0"/>
      <w:spacing w:before="50" w:after="50"/>
    </w:pPr>
  </w:style>
  <w:style w:type="paragraph" w:styleId="15">
    <w:name w:val="Body Text"/>
    <w:basedOn w:val="1"/>
    <w:link w:val="85"/>
    <w:qFormat/>
    <w:uiPriority w:val="99"/>
    <w:pPr>
      <w:jc w:val="center"/>
    </w:pPr>
    <w:rPr>
      <w:sz w:val="28"/>
      <w:szCs w:val="20"/>
    </w:rPr>
  </w:style>
  <w:style w:type="paragraph" w:styleId="16">
    <w:name w:val="Body Text Indent"/>
    <w:basedOn w:val="1"/>
    <w:next w:val="1"/>
    <w:link w:val="185"/>
    <w:autoRedefine/>
    <w:qFormat/>
    <w:uiPriority w:val="99"/>
    <w:pPr>
      <w:ind w:firstLine="540"/>
    </w:pPr>
    <w:rPr>
      <w:rFonts w:ascii="宋体"/>
      <w:sz w:val="28"/>
      <w:szCs w:val="20"/>
    </w:rPr>
  </w:style>
  <w:style w:type="paragraph" w:styleId="17">
    <w:name w:val="List Number 3"/>
    <w:basedOn w:val="1"/>
    <w:qFormat/>
    <w:uiPriority w:val="0"/>
    <w:pPr>
      <w:tabs>
        <w:tab w:val="left" w:pos="1200"/>
      </w:tabs>
      <w:ind w:left="1200" w:hanging="360"/>
    </w:pPr>
  </w:style>
  <w:style w:type="paragraph" w:styleId="18">
    <w:name w:val="List 2"/>
    <w:basedOn w:val="1"/>
    <w:qFormat/>
    <w:uiPriority w:val="0"/>
    <w:pPr>
      <w:ind w:left="840" w:hanging="420"/>
    </w:pPr>
    <w:rPr>
      <w:szCs w:val="20"/>
    </w:rPr>
  </w:style>
  <w:style w:type="paragraph" w:styleId="19">
    <w:name w:val="Block Text"/>
    <w:basedOn w:val="1"/>
    <w:qFormat/>
    <w:uiPriority w:val="0"/>
    <w:pPr>
      <w:spacing w:line="400" w:lineRule="exact"/>
      <w:ind w:left="1153" w:leftChars="549" w:right="1753" w:rightChars="835"/>
    </w:pPr>
    <w:rPr>
      <w:rFonts w:ascii="楷体_GB2312" w:hAnsi="宋体" w:eastAsia="楷体_GB2312"/>
      <w:b/>
      <w:szCs w:val="21"/>
    </w:rPr>
  </w:style>
  <w:style w:type="paragraph" w:styleId="20">
    <w:name w:val="toc 5"/>
    <w:basedOn w:val="1"/>
    <w:next w:val="1"/>
    <w:qFormat/>
    <w:uiPriority w:val="0"/>
    <w:pPr>
      <w:ind w:left="1680" w:leftChars="800"/>
    </w:pPr>
    <w:rPr>
      <w:szCs w:val="22"/>
    </w:rPr>
  </w:style>
  <w:style w:type="paragraph" w:styleId="21">
    <w:name w:val="toc 3"/>
    <w:basedOn w:val="1"/>
    <w:next w:val="1"/>
    <w:qFormat/>
    <w:uiPriority w:val="39"/>
    <w:pPr>
      <w:ind w:left="840" w:leftChars="400"/>
    </w:pPr>
  </w:style>
  <w:style w:type="paragraph" w:styleId="22">
    <w:name w:val="Plain Text"/>
    <w:basedOn w:val="1"/>
    <w:link w:val="76"/>
    <w:qFormat/>
    <w:uiPriority w:val="0"/>
    <w:rPr>
      <w:rFonts w:ascii="宋体" w:hAnsi="Courier New"/>
      <w:szCs w:val="20"/>
    </w:rPr>
  </w:style>
  <w:style w:type="paragraph" w:styleId="23">
    <w:name w:val="Date"/>
    <w:basedOn w:val="1"/>
    <w:next w:val="1"/>
    <w:qFormat/>
    <w:uiPriority w:val="0"/>
    <w:rPr>
      <w:szCs w:val="20"/>
    </w:rPr>
  </w:style>
  <w:style w:type="paragraph" w:styleId="24">
    <w:name w:val="Body Text Indent 2"/>
    <w:basedOn w:val="1"/>
    <w:qFormat/>
    <w:uiPriority w:val="0"/>
    <w:pPr>
      <w:spacing w:after="120" w:line="480" w:lineRule="auto"/>
      <w:ind w:left="420"/>
    </w:pPr>
    <w:rPr>
      <w:szCs w:val="20"/>
    </w:rPr>
  </w:style>
  <w:style w:type="paragraph" w:styleId="25">
    <w:name w:val="Balloon Text"/>
    <w:basedOn w:val="1"/>
    <w:link w:val="116"/>
    <w:qFormat/>
    <w:uiPriority w:val="0"/>
    <w:rPr>
      <w:sz w:val="18"/>
      <w:szCs w:val="18"/>
    </w:rPr>
  </w:style>
  <w:style w:type="paragraph" w:styleId="26">
    <w:name w:val="footer"/>
    <w:basedOn w:val="1"/>
    <w:link w:val="68"/>
    <w:autoRedefine/>
    <w:qFormat/>
    <w:uiPriority w:val="99"/>
    <w:pPr>
      <w:tabs>
        <w:tab w:val="center" w:pos="4153"/>
        <w:tab w:val="right" w:pos="8306"/>
      </w:tabs>
      <w:snapToGrid w:val="0"/>
      <w:jc w:val="left"/>
    </w:pPr>
    <w:rPr>
      <w:sz w:val="18"/>
      <w:szCs w:val="20"/>
    </w:rPr>
  </w:style>
  <w:style w:type="paragraph" w:styleId="27">
    <w:name w:val="header"/>
    <w:basedOn w:val="1"/>
    <w:link w:val="72"/>
    <w:autoRedefine/>
    <w:qFormat/>
    <w:uiPriority w:val="99"/>
    <w:pPr>
      <w:pBdr>
        <w:bottom w:val="single" w:color="auto" w:sz="6" w:space="1"/>
      </w:pBdr>
      <w:tabs>
        <w:tab w:val="center" w:pos="4153"/>
        <w:tab w:val="right" w:pos="8306"/>
      </w:tabs>
      <w:snapToGrid w:val="0"/>
      <w:jc w:val="center"/>
    </w:pPr>
    <w:rPr>
      <w:sz w:val="18"/>
      <w:szCs w:val="20"/>
    </w:rPr>
  </w:style>
  <w:style w:type="paragraph" w:styleId="28">
    <w:name w:val="toc 1"/>
    <w:basedOn w:val="1"/>
    <w:next w:val="1"/>
    <w:autoRedefine/>
    <w:qFormat/>
    <w:uiPriority w:val="39"/>
    <w:pPr>
      <w:tabs>
        <w:tab w:val="right" w:leader="dot" w:pos="8820"/>
      </w:tabs>
      <w:spacing w:before="120" w:after="120" w:line="480" w:lineRule="auto"/>
      <w:jc w:val="center"/>
    </w:pPr>
    <w:rPr>
      <w:rFonts w:eastAsia="楷体_GB2312"/>
      <w:b/>
      <w:bCs/>
      <w:caps/>
      <w:sz w:val="24"/>
    </w:rPr>
  </w:style>
  <w:style w:type="paragraph" w:styleId="29">
    <w:name w:val="Subtitle"/>
    <w:basedOn w:val="1"/>
    <w:next w:val="1"/>
    <w:link w:val="140"/>
    <w:autoRedefine/>
    <w:qFormat/>
    <w:uiPriority w:val="0"/>
    <w:pPr>
      <w:spacing w:before="240" w:after="60" w:line="312" w:lineRule="auto"/>
      <w:jc w:val="center"/>
      <w:outlineLvl w:val="1"/>
    </w:pPr>
    <w:rPr>
      <w:rFonts w:ascii="Cambria" w:hAnsi="Cambria"/>
      <w:b/>
      <w:bCs/>
      <w:kern w:val="28"/>
      <w:sz w:val="32"/>
      <w:szCs w:val="32"/>
    </w:rPr>
  </w:style>
  <w:style w:type="paragraph" w:styleId="30">
    <w:name w:val="List"/>
    <w:basedOn w:val="1"/>
    <w:link w:val="126"/>
    <w:autoRedefine/>
    <w:qFormat/>
    <w:uiPriority w:val="0"/>
    <w:pPr>
      <w:ind w:left="420" w:hanging="420"/>
    </w:pPr>
    <w:rPr>
      <w:szCs w:val="20"/>
    </w:rPr>
  </w:style>
  <w:style w:type="paragraph" w:styleId="31">
    <w:name w:val="Body Text Indent 3"/>
    <w:basedOn w:val="1"/>
    <w:autoRedefine/>
    <w:qFormat/>
    <w:uiPriority w:val="0"/>
    <w:pPr>
      <w:adjustRightInd w:val="0"/>
      <w:spacing w:line="312" w:lineRule="atLeast"/>
      <w:ind w:left="574"/>
      <w:textAlignment w:val="baseline"/>
    </w:pPr>
    <w:rPr>
      <w:rFonts w:ascii="宋体"/>
      <w:kern w:val="0"/>
      <w:sz w:val="28"/>
      <w:szCs w:val="20"/>
    </w:rPr>
  </w:style>
  <w:style w:type="paragraph" w:styleId="32">
    <w:name w:val="toc 2"/>
    <w:basedOn w:val="1"/>
    <w:next w:val="1"/>
    <w:autoRedefine/>
    <w:qFormat/>
    <w:uiPriority w:val="39"/>
    <w:pPr>
      <w:ind w:left="210"/>
      <w:jc w:val="left"/>
    </w:pPr>
    <w:rPr>
      <w:smallCaps/>
      <w:sz w:val="20"/>
      <w:szCs w:val="20"/>
    </w:rPr>
  </w:style>
  <w:style w:type="paragraph" w:styleId="33">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3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5">
    <w:name w:val="Title"/>
    <w:basedOn w:val="1"/>
    <w:link w:val="102"/>
    <w:qFormat/>
    <w:uiPriority w:val="0"/>
    <w:pPr>
      <w:spacing w:before="240" w:after="60"/>
      <w:jc w:val="center"/>
      <w:outlineLvl w:val="0"/>
    </w:pPr>
    <w:rPr>
      <w:rFonts w:ascii="Arial" w:hAnsi="Arial" w:cs="Arial"/>
      <w:b/>
      <w:bCs/>
      <w:sz w:val="32"/>
      <w:szCs w:val="32"/>
    </w:rPr>
  </w:style>
  <w:style w:type="paragraph" w:styleId="36">
    <w:name w:val="annotation subject"/>
    <w:basedOn w:val="13"/>
    <w:next w:val="13"/>
    <w:link w:val="141"/>
    <w:qFormat/>
    <w:uiPriority w:val="0"/>
    <w:rPr>
      <w:b/>
      <w:bCs/>
    </w:rPr>
  </w:style>
  <w:style w:type="paragraph" w:styleId="37">
    <w:name w:val="Body Text First Indent"/>
    <w:basedOn w:val="15"/>
    <w:link w:val="123"/>
    <w:qFormat/>
    <w:uiPriority w:val="0"/>
    <w:pPr>
      <w:spacing w:after="120"/>
      <w:ind w:firstLine="420"/>
      <w:jc w:val="both"/>
    </w:pPr>
    <w:rPr>
      <w:sz w:val="21"/>
    </w:rPr>
  </w:style>
  <w:style w:type="paragraph" w:styleId="38">
    <w:name w:val="Body Text First Indent 2"/>
    <w:basedOn w:val="16"/>
    <w:link w:val="89"/>
    <w:qFormat/>
    <w:uiPriority w:val="99"/>
    <w:pPr>
      <w:spacing w:after="120"/>
      <w:ind w:left="420" w:firstLine="420"/>
    </w:pPr>
    <w:rPr>
      <w:rFonts w:ascii="Times New Roman"/>
      <w:sz w:val="21"/>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basedOn w:val="41"/>
    <w:qFormat/>
    <w:uiPriority w:val="0"/>
    <w:rPr>
      <w:b/>
      <w:bCs/>
    </w:rPr>
  </w:style>
  <w:style w:type="character" w:styleId="43">
    <w:name w:val="page number"/>
    <w:basedOn w:val="41"/>
    <w:autoRedefine/>
    <w:qFormat/>
    <w:uiPriority w:val="0"/>
  </w:style>
  <w:style w:type="character" w:styleId="44">
    <w:name w:val="FollowedHyperlink"/>
    <w:basedOn w:val="41"/>
    <w:autoRedefine/>
    <w:qFormat/>
    <w:uiPriority w:val="99"/>
    <w:rPr>
      <w:color w:val="333333"/>
      <w:u w:val="none"/>
    </w:rPr>
  </w:style>
  <w:style w:type="character" w:styleId="45">
    <w:name w:val="Emphasis"/>
    <w:autoRedefine/>
    <w:qFormat/>
    <w:uiPriority w:val="0"/>
    <w:rPr>
      <w:color w:val="CC0000"/>
    </w:rPr>
  </w:style>
  <w:style w:type="character" w:styleId="46">
    <w:name w:val="HTML Definition"/>
    <w:basedOn w:val="41"/>
    <w:qFormat/>
    <w:uiPriority w:val="0"/>
  </w:style>
  <w:style w:type="character" w:styleId="47">
    <w:name w:val="HTML Typewriter"/>
    <w:basedOn w:val="41"/>
    <w:qFormat/>
    <w:uiPriority w:val="0"/>
    <w:rPr>
      <w:rFonts w:ascii="宋体" w:hAnsi="宋体" w:eastAsia="宋体" w:cs="宋体"/>
      <w:sz w:val="18"/>
      <w:szCs w:val="18"/>
    </w:rPr>
  </w:style>
  <w:style w:type="character" w:styleId="48">
    <w:name w:val="HTML Acronym"/>
    <w:basedOn w:val="41"/>
    <w:qFormat/>
    <w:uiPriority w:val="0"/>
  </w:style>
  <w:style w:type="character" w:styleId="49">
    <w:name w:val="HTML Variable"/>
    <w:basedOn w:val="41"/>
    <w:qFormat/>
    <w:uiPriority w:val="0"/>
  </w:style>
  <w:style w:type="character" w:styleId="50">
    <w:name w:val="Hyperlink"/>
    <w:basedOn w:val="41"/>
    <w:qFormat/>
    <w:uiPriority w:val="99"/>
    <w:rPr>
      <w:color w:val="333333"/>
      <w:u w:val="none"/>
    </w:rPr>
  </w:style>
  <w:style w:type="character" w:styleId="51">
    <w:name w:val="HTML Code"/>
    <w:basedOn w:val="41"/>
    <w:qFormat/>
    <w:uiPriority w:val="0"/>
    <w:rPr>
      <w:rFonts w:hint="default" w:ascii="monospace" w:hAnsi="monospace" w:eastAsia="monospace" w:cs="monospace"/>
      <w:sz w:val="20"/>
    </w:rPr>
  </w:style>
  <w:style w:type="character" w:styleId="52">
    <w:name w:val="annotation reference"/>
    <w:qFormat/>
    <w:uiPriority w:val="0"/>
    <w:rPr>
      <w:sz w:val="21"/>
      <w:szCs w:val="21"/>
    </w:rPr>
  </w:style>
  <w:style w:type="character" w:styleId="53">
    <w:name w:val="HTML Cite"/>
    <w:basedOn w:val="41"/>
    <w:qFormat/>
    <w:uiPriority w:val="0"/>
  </w:style>
  <w:style w:type="character" w:styleId="54">
    <w:name w:val="HTML Keyboard"/>
    <w:basedOn w:val="41"/>
    <w:qFormat/>
    <w:uiPriority w:val="0"/>
    <w:rPr>
      <w:rFonts w:ascii="monospace" w:hAnsi="monospace" w:eastAsia="monospace" w:cs="monospace"/>
      <w:sz w:val="20"/>
    </w:rPr>
  </w:style>
  <w:style w:type="character" w:styleId="55">
    <w:name w:val="HTML Sample"/>
    <w:basedOn w:val="41"/>
    <w:autoRedefine/>
    <w:qFormat/>
    <w:uiPriority w:val="0"/>
    <w:rPr>
      <w:rFonts w:hint="default" w:ascii="monospace" w:hAnsi="monospace" w:eastAsia="monospace" w:cs="monospace"/>
    </w:rPr>
  </w:style>
  <w:style w:type="character" w:customStyle="1" w:styleId="56">
    <w:name w:val="标题 1 Char"/>
    <w:basedOn w:val="41"/>
    <w:link w:val="2"/>
    <w:qFormat/>
    <w:uiPriority w:val="9"/>
    <w:rPr>
      <w:rFonts w:eastAsia="宋体"/>
      <w:b/>
      <w:bCs/>
      <w:kern w:val="44"/>
      <w:sz w:val="44"/>
      <w:szCs w:val="44"/>
      <w:lang w:val="en-US" w:eastAsia="zh-CN" w:bidi="ar-SA"/>
    </w:rPr>
  </w:style>
  <w:style w:type="character" w:customStyle="1" w:styleId="57">
    <w:name w:val="标题 2 Char"/>
    <w:basedOn w:val="41"/>
    <w:link w:val="3"/>
    <w:qFormat/>
    <w:uiPriority w:val="0"/>
    <w:rPr>
      <w:rFonts w:ascii="Arial" w:hAnsi="Arial" w:eastAsia="黑体"/>
      <w:b/>
      <w:bCs/>
      <w:kern w:val="2"/>
      <w:sz w:val="32"/>
      <w:szCs w:val="32"/>
      <w:lang w:val="en-US" w:eastAsia="zh-CN" w:bidi="ar-SA"/>
    </w:rPr>
  </w:style>
  <w:style w:type="character" w:customStyle="1" w:styleId="58">
    <w:name w:val="标题 5 Char"/>
    <w:basedOn w:val="41"/>
    <w:link w:val="6"/>
    <w:qFormat/>
    <w:uiPriority w:val="0"/>
    <w:rPr>
      <w:b/>
      <w:bCs/>
      <w:kern w:val="2"/>
      <w:sz w:val="28"/>
      <w:szCs w:val="28"/>
    </w:rPr>
  </w:style>
  <w:style w:type="character" w:customStyle="1" w:styleId="59">
    <w:name w:val="标题 6 Char"/>
    <w:basedOn w:val="41"/>
    <w:link w:val="7"/>
    <w:qFormat/>
    <w:uiPriority w:val="0"/>
    <w:rPr>
      <w:rFonts w:ascii="Arial" w:hAnsi="Arial" w:eastAsia="黑体"/>
      <w:b/>
      <w:bCs/>
      <w:kern w:val="2"/>
      <w:sz w:val="24"/>
      <w:szCs w:val="24"/>
    </w:rPr>
  </w:style>
  <w:style w:type="character" w:customStyle="1" w:styleId="60">
    <w:name w:val="font01"/>
    <w:basedOn w:val="41"/>
    <w:qFormat/>
    <w:uiPriority w:val="0"/>
    <w:rPr>
      <w:rFonts w:hint="eastAsia" w:ascii="宋体" w:hAnsi="宋体" w:eastAsia="宋体" w:cs="宋体"/>
      <w:color w:val="000000"/>
      <w:sz w:val="20"/>
      <w:szCs w:val="20"/>
      <w:u w:val="none"/>
    </w:rPr>
  </w:style>
  <w:style w:type="character" w:customStyle="1" w:styleId="61">
    <w:name w:val="wenzi1"/>
    <w:basedOn w:val="41"/>
    <w:autoRedefine/>
    <w:qFormat/>
    <w:uiPriority w:val="0"/>
    <w:rPr>
      <w:color w:val="000000"/>
      <w:sz w:val="18"/>
      <w:szCs w:val="18"/>
    </w:rPr>
  </w:style>
  <w:style w:type="character" w:customStyle="1" w:styleId="62">
    <w:name w:val="para1"/>
    <w:basedOn w:val="41"/>
    <w:qFormat/>
    <w:uiPriority w:val="0"/>
    <w:rPr>
      <w:rFonts w:hint="default" w:ascii="Arial" w:hAnsi="Arial" w:cs="Arial"/>
      <w:sz w:val="18"/>
      <w:szCs w:val="18"/>
    </w:rPr>
  </w:style>
  <w:style w:type="character" w:customStyle="1" w:styleId="63">
    <w:name w:val="bulletintext1"/>
    <w:basedOn w:val="41"/>
    <w:qFormat/>
    <w:uiPriority w:val="0"/>
    <w:rPr>
      <w:color w:val="000000"/>
      <w:sz w:val="18"/>
      <w:szCs w:val="18"/>
    </w:rPr>
  </w:style>
  <w:style w:type="character" w:customStyle="1" w:styleId="64">
    <w:name w:val="size31"/>
    <w:basedOn w:val="41"/>
    <w:qFormat/>
    <w:uiPriority w:val="0"/>
    <w:rPr>
      <w:rFonts w:hint="default" w:ascii="Arial" w:hAnsi="Arial" w:cs="Arial"/>
      <w:color w:val="2D2D2D"/>
      <w:sz w:val="18"/>
      <w:szCs w:val="18"/>
    </w:rPr>
  </w:style>
  <w:style w:type="character" w:customStyle="1" w:styleId="65">
    <w:name w:val="Char Char2"/>
    <w:basedOn w:val="41"/>
    <w:qFormat/>
    <w:uiPriority w:val="0"/>
    <w:rPr>
      <w:rFonts w:ascii="Arial" w:hAnsi="Arial" w:eastAsia="黑体"/>
      <w:b/>
      <w:bCs/>
      <w:kern w:val="2"/>
      <w:sz w:val="32"/>
      <w:szCs w:val="32"/>
      <w:lang w:val="en-US" w:eastAsia="zh-CN" w:bidi="ar-SA"/>
    </w:rPr>
  </w:style>
  <w:style w:type="character" w:customStyle="1" w:styleId="66">
    <w:name w:val="h2 Char"/>
    <w:basedOn w:val="41"/>
    <w:qFormat/>
    <w:uiPriority w:val="0"/>
    <w:rPr>
      <w:rFonts w:ascii="Arial" w:hAnsi="Arial" w:eastAsia="黑体"/>
      <w:b/>
      <w:bCs/>
      <w:kern w:val="2"/>
      <w:sz w:val="32"/>
      <w:szCs w:val="32"/>
      <w:lang w:val="en-US" w:eastAsia="zh-CN" w:bidi="ar-SA"/>
    </w:rPr>
  </w:style>
  <w:style w:type="character" w:customStyle="1" w:styleId="67">
    <w:name w:val="h2 Char1"/>
    <w:autoRedefine/>
    <w:qFormat/>
    <w:uiPriority w:val="0"/>
    <w:rPr>
      <w:rFonts w:ascii="Arial" w:hAnsi="Arial" w:eastAsia="黑体"/>
      <w:b/>
      <w:bCs/>
      <w:kern w:val="2"/>
      <w:sz w:val="32"/>
      <w:szCs w:val="32"/>
      <w:lang w:val="en-US" w:eastAsia="zh-CN" w:bidi="ar-SA"/>
    </w:rPr>
  </w:style>
  <w:style w:type="character" w:customStyle="1" w:styleId="68">
    <w:name w:val="页脚 Char"/>
    <w:basedOn w:val="41"/>
    <w:link w:val="26"/>
    <w:qFormat/>
    <w:uiPriority w:val="99"/>
    <w:rPr>
      <w:rFonts w:eastAsia="宋体"/>
      <w:kern w:val="2"/>
      <w:sz w:val="18"/>
      <w:lang w:val="en-US" w:eastAsia="zh-CN" w:bidi="ar-SA"/>
    </w:rPr>
  </w:style>
  <w:style w:type="character" w:customStyle="1" w:styleId="69">
    <w:name w:val="表格 Char Char"/>
    <w:basedOn w:val="41"/>
    <w:link w:val="70"/>
    <w:qFormat/>
    <w:uiPriority w:val="0"/>
    <w:rPr>
      <w:rFonts w:ascii="宋体" w:hAnsi="宋体" w:eastAsia="宋体"/>
      <w:lang w:val="en-US" w:eastAsia="zh-CN" w:bidi="ar-SA"/>
    </w:rPr>
  </w:style>
  <w:style w:type="paragraph" w:customStyle="1" w:styleId="70">
    <w:name w:val="表格"/>
    <w:basedOn w:val="1"/>
    <w:link w:val="69"/>
    <w:qFormat/>
    <w:uiPriority w:val="0"/>
    <w:pPr>
      <w:snapToGrid w:val="0"/>
      <w:ind w:firstLine="42" w:firstLineChars="21"/>
    </w:pPr>
    <w:rPr>
      <w:rFonts w:ascii="宋体" w:hAnsi="宋体"/>
      <w:kern w:val="0"/>
      <w:sz w:val="20"/>
      <w:szCs w:val="20"/>
    </w:rPr>
  </w:style>
  <w:style w:type="character" w:customStyle="1" w:styleId="71">
    <w:name w:val="标题 1 Char Char"/>
    <w:basedOn w:val="41"/>
    <w:qFormat/>
    <w:uiPriority w:val="0"/>
    <w:rPr>
      <w:rFonts w:eastAsia="宋体"/>
      <w:b/>
      <w:spacing w:val="-2"/>
      <w:sz w:val="24"/>
      <w:lang w:val="en-US" w:eastAsia="zh-CN" w:bidi="ar-SA"/>
    </w:rPr>
  </w:style>
  <w:style w:type="character" w:customStyle="1" w:styleId="72">
    <w:name w:val="页眉 Char"/>
    <w:basedOn w:val="41"/>
    <w:link w:val="27"/>
    <w:qFormat/>
    <w:uiPriority w:val="99"/>
    <w:rPr>
      <w:rFonts w:eastAsia="宋体"/>
      <w:kern w:val="2"/>
      <w:sz w:val="18"/>
      <w:lang w:val="en-US" w:eastAsia="zh-CN" w:bidi="ar-SA"/>
    </w:rPr>
  </w:style>
  <w:style w:type="character" w:customStyle="1" w:styleId="73">
    <w:name w:val="普通文字 Char2"/>
    <w:basedOn w:val="41"/>
    <w:qFormat/>
    <w:locked/>
    <w:uiPriority w:val="0"/>
    <w:rPr>
      <w:rFonts w:ascii="宋体" w:hAnsi="Courier New" w:eastAsia="宋体"/>
      <w:kern w:val="2"/>
      <w:sz w:val="21"/>
      <w:lang w:val="en-US" w:eastAsia="zh-CN" w:bidi="ar-SA"/>
    </w:rPr>
  </w:style>
  <w:style w:type="character" w:customStyle="1" w:styleId="74">
    <w:name w:val="newsitemtitle1"/>
    <w:qFormat/>
    <w:uiPriority w:val="0"/>
    <w:rPr>
      <w:b/>
      <w:bCs/>
      <w:color w:val="0000CD"/>
      <w:sz w:val="30"/>
      <w:szCs w:val="30"/>
    </w:rPr>
  </w:style>
  <w:style w:type="character" w:customStyle="1" w:styleId="75">
    <w:name w:val="正文缩进 Char"/>
    <w:basedOn w:val="41"/>
    <w:link w:val="10"/>
    <w:qFormat/>
    <w:uiPriority w:val="0"/>
    <w:rPr>
      <w:rFonts w:eastAsia="宋体"/>
      <w:kern w:val="2"/>
      <w:sz w:val="21"/>
      <w:lang w:val="en-US" w:eastAsia="zh-CN" w:bidi="ar-SA"/>
    </w:rPr>
  </w:style>
  <w:style w:type="character" w:customStyle="1" w:styleId="76">
    <w:name w:val="纯文本 Char"/>
    <w:basedOn w:val="41"/>
    <w:link w:val="22"/>
    <w:qFormat/>
    <w:uiPriority w:val="0"/>
    <w:rPr>
      <w:rFonts w:ascii="宋体" w:hAnsi="Courier New" w:eastAsia="宋体"/>
      <w:kern w:val="2"/>
      <w:sz w:val="21"/>
      <w:lang w:val="en-US" w:eastAsia="zh-CN" w:bidi="ar-SA"/>
    </w:rPr>
  </w:style>
  <w:style w:type="character" w:customStyle="1" w:styleId="77">
    <w:name w:val="Normal Indent Char Char"/>
    <w:basedOn w:val="41"/>
    <w:autoRedefine/>
    <w:qFormat/>
    <w:uiPriority w:val="0"/>
    <w:rPr>
      <w:rFonts w:eastAsia="宋体"/>
      <w:sz w:val="24"/>
      <w:lang w:val="en-US" w:eastAsia="zh-CN" w:bidi="ar-SA"/>
    </w:rPr>
  </w:style>
  <w:style w:type="paragraph" w:customStyle="1" w:styleId="78">
    <w:name w:val="表格正文"/>
    <w:basedOn w:val="1"/>
    <w:qFormat/>
    <w:uiPriority w:val="0"/>
    <w:pPr>
      <w:spacing w:line="240" w:lineRule="atLeast"/>
    </w:pPr>
    <w:rPr>
      <w:rFonts w:eastAsia="楷体_GB2312"/>
      <w:sz w:val="24"/>
    </w:rPr>
  </w:style>
  <w:style w:type="paragraph" w:customStyle="1" w:styleId="79">
    <w:name w:val="Char4 Char Char1 Char"/>
    <w:basedOn w:val="1"/>
    <w:qFormat/>
    <w:uiPriority w:val="0"/>
    <w:rPr>
      <w:rFonts w:ascii="Tahoma" w:hAnsi="Tahoma"/>
      <w:sz w:val="24"/>
      <w:szCs w:val="20"/>
    </w:rPr>
  </w:style>
  <w:style w:type="paragraph" w:customStyle="1" w:styleId="80">
    <w:name w:val="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
    <w:name w:val="纯文本1"/>
    <w:basedOn w:val="1"/>
    <w:qFormat/>
    <w:uiPriority w:val="0"/>
    <w:pPr>
      <w:adjustRightInd w:val="0"/>
      <w:textAlignment w:val="baseline"/>
    </w:pPr>
    <w:rPr>
      <w:rFonts w:ascii="宋体" w:hAnsi="Courier New" w:eastAsia="楷体_GB2312"/>
      <w:sz w:val="28"/>
      <w:szCs w:val="20"/>
    </w:rPr>
  </w:style>
  <w:style w:type="paragraph" w:customStyle="1" w:styleId="82">
    <w:name w:val="正文段"/>
    <w:basedOn w:val="1"/>
    <w:qFormat/>
    <w:uiPriority w:val="0"/>
    <w:pPr>
      <w:widowControl/>
      <w:snapToGrid w:val="0"/>
      <w:spacing w:afterLines="50"/>
      <w:ind w:firstLine="200" w:firstLineChars="200"/>
    </w:pPr>
    <w:rPr>
      <w:kern w:val="0"/>
      <w:sz w:val="24"/>
      <w:szCs w:val="20"/>
    </w:rPr>
  </w:style>
  <w:style w:type="character" w:customStyle="1" w:styleId="83">
    <w:name w:val="正文文本缩进 Char"/>
    <w:qFormat/>
    <w:locked/>
    <w:uiPriority w:val="99"/>
    <w:rPr>
      <w:rFonts w:ascii="宋体"/>
      <w:kern w:val="2"/>
      <w:sz w:val="28"/>
    </w:rPr>
  </w:style>
  <w:style w:type="character" w:customStyle="1" w:styleId="84">
    <w:name w:val="文档结构图 Char"/>
    <w:link w:val="12"/>
    <w:qFormat/>
    <w:uiPriority w:val="99"/>
    <w:rPr>
      <w:kern w:val="2"/>
      <w:sz w:val="21"/>
      <w:szCs w:val="24"/>
      <w:shd w:val="clear" w:color="auto" w:fill="000080"/>
    </w:rPr>
  </w:style>
  <w:style w:type="character" w:customStyle="1" w:styleId="85">
    <w:name w:val="正文文本 Char"/>
    <w:link w:val="15"/>
    <w:qFormat/>
    <w:uiPriority w:val="99"/>
    <w:rPr>
      <w:kern w:val="2"/>
      <w:sz w:val="28"/>
    </w:rPr>
  </w:style>
  <w:style w:type="paragraph" w:customStyle="1" w:styleId="86">
    <w:name w:val="正文－恩普"/>
    <w:basedOn w:val="10"/>
    <w:autoRedefine/>
    <w:qFormat/>
    <w:uiPriority w:val="0"/>
    <w:pPr>
      <w:framePr w:wrap="around" w:vAnchor="text" w:hAnchor="text" w:y="1"/>
      <w:spacing w:line="360" w:lineRule="auto"/>
      <w:ind w:firstLine="200" w:firstLineChars="200"/>
    </w:pPr>
    <w:rPr>
      <w:sz w:val="24"/>
      <w:szCs w:val="24"/>
    </w:rPr>
  </w:style>
  <w:style w:type="paragraph" w:customStyle="1" w:styleId="87">
    <w:name w:val="font9"/>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88">
    <w:name w:val="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89">
    <w:name w:val="正文首行缩进 2 Char"/>
    <w:basedOn w:val="83"/>
    <w:link w:val="38"/>
    <w:qFormat/>
    <w:uiPriority w:val="99"/>
    <w:rPr>
      <w:rFonts w:ascii="宋体"/>
      <w:kern w:val="2"/>
      <w:sz w:val="21"/>
    </w:rPr>
  </w:style>
  <w:style w:type="character" w:customStyle="1" w:styleId="90">
    <w:name w:val="正文文本 3 Char"/>
    <w:link w:val="14"/>
    <w:qFormat/>
    <w:uiPriority w:val="0"/>
    <w:rPr>
      <w:kern w:val="2"/>
      <w:sz w:val="21"/>
      <w:szCs w:val="24"/>
    </w:rPr>
  </w:style>
  <w:style w:type="paragraph" w:customStyle="1" w:styleId="91">
    <w:name w:val="xl71"/>
    <w:basedOn w:val="1"/>
    <w:qFormat/>
    <w:uiPriority w:val="0"/>
    <w:pPr>
      <w:widowControl/>
      <w:spacing w:before="100" w:beforeAutospacing="1" w:after="100" w:afterAutospacing="1"/>
      <w:jc w:val="left"/>
    </w:pPr>
    <w:rPr>
      <w:rFonts w:ascii="Arial" w:hAnsi="Arial" w:cs="Arial"/>
      <w:kern w:val="0"/>
      <w:szCs w:val="21"/>
    </w:rPr>
  </w:style>
  <w:style w:type="paragraph" w:customStyle="1" w:styleId="92">
    <w:name w:val="xl75"/>
    <w:basedOn w:val="1"/>
    <w:qFormat/>
    <w:uiPriority w:val="0"/>
    <w:pPr>
      <w:widowControl/>
      <w:spacing w:before="100" w:beforeAutospacing="1" w:after="100" w:afterAutospacing="1"/>
      <w:textAlignment w:val="center"/>
    </w:pPr>
    <w:rPr>
      <w:rFonts w:ascii="宋体" w:hAnsi="宋体" w:cs="宋体"/>
      <w:color w:val="000000"/>
      <w:kern w:val="0"/>
      <w:szCs w:val="21"/>
    </w:rPr>
  </w:style>
  <w:style w:type="paragraph" w:customStyle="1" w:styleId="93">
    <w:name w:val="文件标题"/>
    <w:basedOn w:val="1"/>
    <w:autoRedefine/>
    <w:qFormat/>
    <w:uiPriority w:val="0"/>
    <w:pPr>
      <w:autoSpaceDE w:val="0"/>
      <w:autoSpaceDN w:val="0"/>
      <w:adjustRightInd w:val="0"/>
      <w:spacing w:after="240"/>
      <w:jc w:val="center"/>
    </w:pPr>
    <w:rPr>
      <w:rFonts w:ascii="Arial Black" w:hAnsi="Arial Black"/>
      <w:kern w:val="0"/>
      <w:sz w:val="48"/>
      <w:szCs w:val="20"/>
    </w:rPr>
  </w:style>
  <w:style w:type="paragraph" w:customStyle="1" w:styleId="94">
    <w:name w:val="xl66"/>
    <w:basedOn w:val="1"/>
    <w:autoRedefine/>
    <w:qFormat/>
    <w:uiPriority w:val="0"/>
    <w:pPr>
      <w:widowControl/>
      <w:spacing w:before="100" w:beforeAutospacing="1" w:after="100" w:afterAutospacing="1"/>
      <w:jc w:val="left"/>
      <w:textAlignment w:val="center"/>
    </w:pPr>
    <w:rPr>
      <w:rFonts w:ascii="宋体" w:hAnsi="宋体" w:cs="宋体"/>
      <w:kern w:val="0"/>
      <w:szCs w:val="21"/>
    </w:rPr>
  </w:style>
  <w:style w:type="paragraph" w:customStyle="1" w:styleId="95">
    <w:name w:val="font11"/>
    <w:basedOn w:val="1"/>
    <w:autoRedefine/>
    <w:qFormat/>
    <w:uiPriority w:val="0"/>
    <w:pPr>
      <w:widowControl/>
      <w:spacing w:before="100" w:beforeAutospacing="1" w:after="100" w:afterAutospacing="1"/>
      <w:jc w:val="left"/>
    </w:pPr>
    <w:rPr>
      <w:color w:val="000000"/>
      <w:kern w:val="0"/>
      <w:szCs w:val="21"/>
    </w:rPr>
  </w:style>
  <w:style w:type="paragraph" w:customStyle="1" w:styleId="96">
    <w:name w:val="font7"/>
    <w:basedOn w:val="1"/>
    <w:autoRedefine/>
    <w:qFormat/>
    <w:uiPriority w:val="0"/>
    <w:pPr>
      <w:widowControl/>
      <w:spacing w:before="100" w:beforeAutospacing="1" w:after="100" w:afterAutospacing="1"/>
      <w:jc w:val="left"/>
    </w:pPr>
    <w:rPr>
      <w:rFonts w:hint="eastAsia" w:ascii="宋体" w:hAnsi="宋体" w:cs="Arial Unicode MS"/>
      <w:b/>
      <w:bCs/>
      <w:kern w:val="0"/>
      <w:sz w:val="24"/>
    </w:rPr>
  </w:style>
  <w:style w:type="paragraph" w:customStyle="1" w:styleId="97">
    <w:name w:val="xl69"/>
    <w:basedOn w:val="1"/>
    <w:autoRedefine/>
    <w:qFormat/>
    <w:uiPriority w:val="0"/>
    <w:pPr>
      <w:widowControl/>
      <w:spacing w:before="100" w:beforeAutospacing="1" w:after="100" w:afterAutospacing="1"/>
      <w:jc w:val="left"/>
    </w:pPr>
    <w:rPr>
      <w:rFonts w:ascii="宋体" w:hAnsi="宋体" w:cs="宋体"/>
      <w:kern w:val="0"/>
      <w:szCs w:val="21"/>
    </w:rPr>
  </w:style>
  <w:style w:type="paragraph" w:customStyle="1" w:styleId="98">
    <w:name w:val="Char Char1 Char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99">
    <w:name w:val="font8"/>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00">
    <w:name w:val="xl7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1">
    <w:name w:val="xl65"/>
    <w:basedOn w:val="1"/>
    <w:qFormat/>
    <w:uiPriority w:val="0"/>
    <w:pPr>
      <w:widowControl/>
      <w:spacing w:before="100" w:beforeAutospacing="1" w:after="100" w:afterAutospacing="1"/>
      <w:jc w:val="left"/>
    </w:pPr>
    <w:rPr>
      <w:rFonts w:ascii="宋体" w:hAnsi="宋体" w:cs="宋体"/>
      <w:kern w:val="0"/>
      <w:szCs w:val="21"/>
    </w:rPr>
  </w:style>
  <w:style w:type="character" w:customStyle="1" w:styleId="102">
    <w:name w:val="标题 Char"/>
    <w:link w:val="35"/>
    <w:autoRedefine/>
    <w:qFormat/>
    <w:uiPriority w:val="0"/>
    <w:rPr>
      <w:rFonts w:ascii="Arial" w:hAnsi="Arial" w:cs="Arial"/>
      <w:b/>
      <w:bCs/>
      <w:kern w:val="2"/>
      <w:sz w:val="32"/>
      <w:szCs w:val="32"/>
    </w:rPr>
  </w:style>
  <w:style w:type="paragraph" w:customStyle="1" w:styleId="103">
    <w:name w:val="p0"/>
    <w:basedOn w:val="1"/>
    <w:autoRedefine/>
    <w:qFormat/>
    <w:uiPriority w:val="0"/>
    <w:pPr>
      <w:widowControl/>
    </w:pPr>
    <w:rPr>
      <w:kern w:val="0"/>
      <w:szCs w:val="20"/>
    </w:rPr>
  </w:style>
  <w:style w:type="paragraph" w:customStyle="1" w:styleId="104">
    <w:name w:val="列表内容"/>
    <w:basedOn w:val="1"/>
    <w:next w:val="1"/>
    <w:qFormat/>
    <w:uiPriority w:val="0"/>
    <w:pPr>
      <w:widowControl/>
      <w:tabs>
        <w:tab w:val="left" w:pos="840"/>
      </w:tabs>
      <w:ind w:left="840" w:hanging="420"/>
      <w:jc w:val="left"/>
    </w:pPr>
    <w:rPr>
      <w:kern w:val="0"/>
      <w:sz w:val="18"/>
    </w:rPr>
  </w:style>
  <w:style w:type="paragraph" w:customStyle="1" w:styleId="105">
    <w:name w:val="xl70"/>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06">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07">
    <w:name w:val="列出段落1"/>
    <w:basedOn w:val="1"/>
    <w:link w:val="108"/>
    <w:autoRedefine/>
    <w:qFormat/>
    <w:uiPriority w:val="34"/>
    <w:pPr>
      <w:ind w:firstLine="420" w:firstLineChars="200"/>
    </w:pPr>
    <w:rPr>
      <w:rFonts w:ascii="Calibri" w:hAnsi="Calibri"/>
      <w:szCs w:val="22"/>
    </w:rPr>
  </w:style>
  <w:style w:type="character" w:customStyle="1" w:styleId="108">
    <w:name w:val="列出段落 Char"/>
    <w:link w:val="107"/>
    <w:qFormat/>
    <w:uiPriority w:val="34"/>
    <w:rPr>
      <w:rFonts w:ascii="Calibri" w:hAnsi="Calibri"/>
      <w:kern w:val="2"/>
      <w:sz w:val="21"/>
      <w:szCs w:val="22"/>
    </w:rPr>
  </w:style>
  <w:style w:type="paragraph" w:customStyle="1" w:styleId="109">
    <w:name w:val="font10"/>
    <w:basedOn w:val="1"/>
    <w:qFormat/>
    <w:uiPriority w:val="0"/>
    <w:pPr>
      <w:widowControl/>
      <w:spacing w:before="100" w:beforeAutospacing="1" w:after="100" w:afterAutospacing="1"/>
      <w:jc w:val="left"/>
    </w:pPr>
    <w:rPr>
      <w:rFonts w:ascii="Arial" w:hAnsi="Arial" w:cs="Arial"/>
      <w:color w:val="000000"/>
      <w:kern w:val="0"/>
      <w:szCs w:val="21"/>
    </w:rPr>
  </w:style>
  <w:style w:type="paragraph" w:customStyle="1" w:styleId="110">
    <w:name w:val="xl64"/>
    <w:basedOn w:val="1"/>
    <w:qFormat/>
    <w:uiPriority w:val="0"/>
    <w:pPr>
      <w:widowControl/>
      <w:spacing w:before="100" w:beforeAutospacing="1" w:after="100" w:afterAutospacing="1"/>
      <w:jc w:val="center"/>
      <w:textAlignment w:val="center"/>
    </w:pPr>
    <w:rPr>
      <w:rFonts w:ascii="宋体" w:hAnsi="宋体" w:cs="宋体"/>
      <w:kern w:val="0"/>
      <w:szCs w:val="21"/>
    </w:rPr>
  </w:style>
  <w:style w:type="paragraph" w:customStyle="1" w:styleId="111">
    <w:name w:val="xl74"/>
    <w:basedOn w:val="1"/>
    <w:autoRedefine/>
    <w:qFormat/>
    <w:uiPriority w:val="0"/>
    <w:pPr>
      <w:widowControl/>
      <w:spacing w:before="100" w:beforeAutospacing="1" w:after="100" w:afterAutospacing="1"/>
      <w:jc w:val="left"/>
      <w:textAlignment w:val="center"/>
    </w:pPr>
    <w:rPr>
      <w:rFonts w:ascii="宋体" w:hAnsi="宋体" w:cs="宋体"/>
      <w:kern w:val="0"/>
      <w:szCs w:val="21"/>
    </w:rPr>
  </w:style>
  <w:style w:type="paragraph" w:customStyle="1" w:styleId="112">
    <w:name w:val="默认段落字体 Para Char Char Char Char Char Char Char Char Char1 Char Char Char Char"/>
    <w:basedOn w:val="1"/>
    <w:autoRedefine/>
    <w:qFormat/>
    <w:uiPriority w:val="0"/>
    <w:rPr>
      <w:rFonts w:ascii="Tahoma" w:hAnsi="Tahoma"/>
      <w:sz w:val="24"/>
      <w:szCs w:val="20"/>
    </w:rPr>
  </w:style>
  <w:style w:type="paragraph" w:customStyle="1" w:styleId="113">
    <w:name w:val="Char Char2 Char"/>
    <w:basedOn w:val="1"/>
    <w:autoRedefine/>
    <w:qFormat/>
    <w:uiPriority w:val="0"/>
    <w:pPr>
      <w:keepNext/>
      <w:keepLines/>
      <w:pageBreakBefore/>
      <w:tabs>
        <w:tab w:val="left" w:pos="845"/>
      </w:tabs>
      <w:ind w:left="845" w:hanging="420"/>
    </w:pPr>
    <w:rPr>
      <w:rFonts w:ascii="Tahoma" w:hAnsi="Tahoma"/>
      <w:sz w:val="24"/>
      <w:szCs w:val="20"/>
    </w:rPr>
  </w:style>
  <w:style w:type="paragraph" w:customStyle="1" w:styleId="1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15">
    <w:name w:val="xl76"/>
    <w:basedOn w:val="1"/>
    <w:qFormat/>
    <w:uiPriority w:val="0"/>
    <w:pPr>
      <w:widowControl/>
      <w:spacing w:before="100" w:beforeAutospacing="1" w:after="100" w:afterAutospacing="1"/>
      <w:textAlignment w:val="center"/>
    </w:pPr>
    <w:rPr>
      <w:rFonts w:ascii="Arial" w:hAnsi="Arial" w:cs="Arial"/>
      <w:color w:val="000000"/>
      <w:kern w:val="0"/>
      <w:szCs w:val="21"/>
    </w:rPr>
  </w:style>
  <w:style w:type="character" w:customStyle="1" w:styleId="116">
    <w:name w:val="批注框文本 Char"/>
    <w:link w:val="25"/>
    <w:qFormat/>
    <w:locked/>
    <w:uiPriority w:val="0"/>
    <w:rPr>
      <w:kern w:val="2"/>
      <w:sz w:val="18"/>
      <w:szCs w:val="18"/>
    </w:rPr>
  </w:style>
  <w:style w:type="paragraph" w:customStyle="1" w:styleId="117">
    <w:name w:val="xl68"/>
    <w:basedOn w:val="1"/>
    <w:qFormat/>
    <w:uiPriority w:val="0"/>
    <w:pPr>
      <w:widowControl/>
      <w:spacing w:before="100" w:beforeAutospacing="1" w:after="100" w:afterAutospacing="1"/>
      <w:textAlignment w:val="center"/>
    </w:pPr>
    <w:rPr>
      <w:rFonts w:ascii="宋体" w:hAnsi="宋体" w:cs="宋体"/>
      <w:kern w:val="0"/>
      <w:szCs w:val="21"/>
    </w:rPr>
  </w:style>
  <w:style w:type="paragraph" w:customStyle="1" w:styleId="118">
    <w:name w:val="文章正文"/>
    <w:basedOn w:val="1"/>
    <w:next w:val="1"/>
    <w:qFormat/>
    <w:uiPriority w:val="0"/>
    <w:pPr>
      <w:widowControl/>
      <w:tabs>
        <w:tab w:val="center" w:pos="4153"/>
        <w:tab w:val="right" w:pos="8306"/>
      </w:tabs>
      <w:snapToGrid w:val="0"/>
      <w:spacing w:line="360" w:lineRule="auto"/>
      <w:ind w:firstLine="480" w:firstLineChars="200"/>
      <w:jc w:val="left"/>
    </w:pPr>
    <w:rPr>
      <w:rFonts w:cs="宋体"/>
      <w:kern w:val="0"/>
      <w:sz w:val="24"/>
      <w:szCs w:val="20"/>
    </w:rPr>
  </w:style>
  <w:style w:type="paragraph" w:customStyle="1" w:styleId="119">
    <w:name w:val="font5"/>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20">
    <w:name w:val="正文2"/>
    <w:basedOn w:val="1"/>
    <w:qFormat/>
    <w:uiPriority w:val="0"/>
    <w:pPr>
      <w:spacing w:before="156" w:line="360" w:lineRule="auto"/>
      <w:ind w:firstLine="510" w:firstLineChars="200"/>
    </w:pPr>
    <w:rPr>
      <w:sz w:val="24"/>
      <w:szCs w:val="20"/>
    </w:rPr>
  </w:style>
  <w:style w:type="paragraph" w:customStyle="1" w:styleId="121">
    <w:name w:val="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22">
    <w:name w:val="正文首行缩进3"/>
    <w:basedOn w:val="1"/>
    <w:next w:val="1"/>
    <w:qFormat/>
    <w:uiPriority w:val="0"/>
    <w:pPr>
      <w:widowControl/>
      <w:spacing w:before="120" w:after="120" w:line="360" w:lineRule="auto"/>
    </w:pPr>
    <w:rPr>
      <w:rFonts w:ascii="宋体" w:hAnsi="宋体"/>
      <w:bCs/>
      <w:kern w:val="0"/>
      <w:sz w:val="24"/>
      <w:szCs w:val="21"/>
    </w:rPr>
  </w:style>
  <w:style w:type="character" w:customStyle="1" w:styleId="123">
    <w:name w:val="正文首行缩进 Char"/>
    <w:link w:val="37"/>
    <w:qFormat/>
    <w:uiPriority w:val="0"/>
    <w:rPr>
      <w:kern w:val="2"/>
      <w:sz w:val="21"/>
    </w:rPr>
  </w:style>
  <w:style w:type="paragraph" w:customStyle="1" w:styleId="124">
    <w:name w:val="Char Char2 Char1"/>
    <w:basedOn w:val="1"/>
    <w:qFormat/>
    <w:uiPriority w:val="0"/>
    <w:pPr>
      <w:keepNext/>
      <w:keepLines/>
      <w:pageBreakBefore/>
      <w:tabs>
        <w:tab w:val="left" w:pos="845"/>
      </w:tabs>
      <w:ind w:left="845" w:hanging="420"/>
    </w:pPr>
    <w:rPr>
      <w:rFonts w:ascii="Tahoma" w:hAnsi="Tahoma"/>
      <w:sz w:val="24"/>
      <w:szCs w:val="20"/>
    </w:rPr>
  </w:style>
  <w:style w:type="paragraph" w:customStyle="1" w:styleId="125">
    <w:name w:val="文档正文"/>
    <w:basedOn w:val="1"/>
    <w:qFormat/>
    <w:uiPriority w:val="0"/>
    <w:pPr>
      <w:adjustRightInd w:val="0"/>
      <w:spacing w:line="440" w:lineRule="exact"/>
      <w:ind w:firstLine="567"/>
      <w:textAlignment w:val="baseline"/>
    </w:pPr>
    <w:rPr>
      <w:rFonts w:ascii="Arial Narrow" w:hAnsi="Arial Narrow"/>
      <w:kern w:val="0"/>
      <w:sz w:val="24"/>
    </w:rPr>
  </w:style>
  <w:style w:type="character" w:customStyle="1" w:styleId="126">
    <w:name w:val="列表 Char"/>
    <w:link w:val="30"/>
    <w:qFormat/>
    <w:uiPriority w:val="0"/>
    <w:rPr>
      <w:kern w:val="2"/>
      <w:sz w:val="21"/>
    </w:rPr>
  </w:style>
  <w:style w:type="paragraph" w:customStyle="1" w:styleId="127">
    <w:name w:val="xl67"/>
    <w:basedOn w:val="1"/>
    <w:qFormat/>
    <w:uiPriority w:val="0"/>
    <w:pPr>
      <w:widowControl/>
      <w:spacing w:before="100" w:beforeAutospacing="1" w:after="100" w:afterAutospacing="1"/>
      <w:jc w:val="left"/>
      <w:textAlignment w:val="center"/>
    </w:pPr>
    <w:rPr>
      <w:rFonts w:ascii="宋体" w:hAnsi="宋体" w:cs="宋体"/>
      <w:kern w:val="0"/>
      <w:szCs w:val="21"/>
    </w:rPr>
  </w:style>
  <w:style w:type="paragraph" w:customStyle="1" w:styleId="128">
    <w:name w:val="xl27"/>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129">
    <w:name w:val="Char Char Char Char Char Char Char"/>
    <w:basedOn w:val="1"/>
    <w:qFormat/>
    <w:uiPriority w:val="0"/>
    <w:rPr>
      <w:rFonts w:ascii="仿宋_GB2312" w:eastAsia="仿宋_GB2312"/>
      <w:b/>
      <w:sz w:val="32"/>
      <w:szCs w:val="32"/>
    </w:rPr>
  </w:style>
  <w:style w:type="paragraph" w:customStyle="1" w:styleId="130">
    <w:name w:val="xl73"/>
    <w:basedOn w:val="1"/>
    <w:qFormat/>
    <w:uiPriority w:val="0"/>
    <w:pPr>
      <w:widowControl/>
      <w:spacing w:before="100" w:beforeAutospacing="1" w:after="100" w:afterAutospacing="1"/>
      <w:jc w:val="left"/>
      <w:textAlignment w:val="center"/>
    </w:pPr>
    <w:rPr>
      <w:rFonts w:ascii="宋体" w:hAnsi="宋体" w:cs="宋体"/>
      <w:kern w:val="0"/>
      <w:szCs w:val="21"/>
    </w:rPr>
  </w:style>
  <w:style w:type="paragraph" w:customStyle="1" w:styleId="131">
    <w:name w:val="简单回函地址"/>
    <w:basedOn w:val="1"/>
    <w:qFormat/>
    <w:uiPriority w:val="0"/>
    <w:rPr>
      <w:szCs w:val="20"/>
    </w:rPr>
  </w:style>
  <w:style w:type="paragraph" w:customStyle="1" w:styleId="1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4">
    <w:name w:val="Char2 Char Char Char"/>
    <w:basedOn w:val="1"/>
    <w:qFormat/>
    <w:uiPriority w:val="0"/>
    <w:rPr>
      <w:rFonts w:ascii="仿宋_GB2312" w:eastAsia="仿宋_GB2312"/>
      <w:b/>
      <w:sz w:val="32"/>
      <w:szCs w:val="32"/>
    </w:rPr>
  </w:style>
  <w:style w:type="paragraph" w:customStyle="1" w:styleId="135">
    <w:name w:val="xl72"/>
    <w:basedOn w:val="1"/>
    <w:qFormat/>
    <w:uiPriority w:val="0"/>
    <w:pPr>
      <w:widowControl/>
      <w:spacing w:before="100" w:beforeAutospacing="1" w:after="100" w:afterAutospacing="1"/>
      <w:jc w:val="left"/>
    </w:pPr>
    <w:rPr>
      <w:rFonts w:ascii="Arial" w:hAnsi="Arial" w:cs="Arial"/>
      <w:kern w:val="0"/>
      <w:szCs w:val="21"/>
    </w:rPr>
  </w:style>
  <w:style w:type="paragraph" w:customStyle="1" w:styleId="136">
    <w:name w:val="中文正文"/>
    <w:basedOn w:val="1"/>
    <w:qFormat/>
    <w:uiPriority w:val="0"/>
    <w:pPr>
      <w:spacing w:beforeLines="50" w:afterLines="50" w:line="360" w:lineRule="auto"/>
      <w:ind w:firstLine="480" w:firstLineChars="200"/>
    </w:pPr>
    <w:rPr>
      <w:sz w:val="24"/>
      <w:szCs w:val="20"/>
    </w:rPr>
  </w:style>
  <w:style w:type="paragraph" w:customStyle="1" w:styleId="137">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38">
    <w:name w:val="表内文字"/>
    <w:basedOn w:val="1"/>
    <w:qFormat/>
    <w:uiPriority w:val="0"/>
    <w:pPr>
      <w:tabs>
        <w:tab w:val="left" w:pos="1418"/>
      </w:tabs>
      <w:spacing w:line="360" w:lineRule="auto"/>
      <w:jc w:val="center"/>
    </w:pPr>
    <w:rPr>
      <w:rFonts w:ascii="仿宋_GB2312" w:eastAsia="仿宋_GB2312"/>
      <w:spacing w:val="-20"/>
      <w:kern w:val="0"/>
      <w:sz w:val="24"/>
    </w:rPr>
  </w:style>
  <w:style w:type="character" w:customStyle="1" w:styleId="139">
    <w:name w:val="批注文字 Char"/>
    <w:basedOn w:val="41"/>
    <w:link w:val="13"/>
    <w:qFormat/>
    <w:uiPriority w:val="0"/>
    <w:rPr>
      <w:kern w:val="2"/>
      <w:sz w:val="21"/>
      <w:szCs w:val="24"/>
    </w:rPr>
  </w:style>
  <w:style w:type="character" w:customStyle="1" w:styleId="140">
    <w:name w:val="副标题 Char"/>
    <w:basedOn w:val="41"/>
    <w:link w:val="29"/>
    <w:qFormat/>
    <w:uiPriority w:val="0"/>
    <w:rPr>
      <w:rFonts w:ascii="Cambria" w:hAnsi="Cambria"/>
      <w:b/>
      <w:bCs/>
      <w:kern w:val="28"/>
      <w:sz w:val="32"/>
      <w:szCs w:val="32"/>
    </w:rPr>
  </w:style>
  <w:style w:type="character" w:customStyle="1" w:styleId="141">
    <w:name w:val="批注主题 Char"/>
    <w:basedOn w:val="139"/>
    <w:link w:val="36"/>
    <w:qFormat/>
    <w:uiPriority w:val="0"/>
    <w:rPr>
      <w:b/>
      <w:bCs/>
      <w:kern w:val="2"/>
      <w:sz w:val="21"/>
      <w:szCs w:val="24"/>
    </w:rPr>
  </w:style>
  <w:style w:type="character" w:customStyle="1" w:styleId="142">
    <w:name w:val="纯文本 字符"/>
    <w:qFormat/>
    <w:uiPriority w:val="0"/>
    <w:rPr>
      <w:rFonts w:ascii="宋体" w:hAnsi="Courier New" w:eastAsia="宋体"/>
      <w:kern w:val="2"/>
      <w:sz w:val="24"/>
      <w:szCs w:val="24"/>
      <w:lang w:val="en-US" w:eastAsia="zh-CN" w:bidi="ar-SA"/>
    </w:rPr>
  </w:style>
  <w:style w:type="character" w:customStyle="1" w:styleId="143">
    <w:name w:val="BZ_三级标题 Char"/>
    <w:link w:val="144"/>
    <w:qFormat/>
    <w:uiPriority w:val="0"/>
    <w:rPr>
      <w:b/>
      <w:bCs/>
      <w:kern w:val="2"/>
      <w:sz w:val="21"/>
      <w:szCs w:val="28"/>
    </w:rPr>
  </w:style>
  <w:style w:type="paragraph" w:customStyle="1" w:styleId="144">
    <w:name w:val="BZ_三级标题"/>
    <w:basedOn w:val="4"/>
    <w:next w:val="145"/>
    <w:link w:val="143"/>
    <w:qFormat/>
    <w:uiPriority w:val="0"/>
    <w:pPr>
      <w:tabs>
        <w:tab w:val="left" w:pos="1260"/>
      </w:tabs>
      <w:spacing w:beforeLines="50" w:afterLines="50" w:line="240" w:lineRule="auto"/>
      <w:ind w:left="1260" w:hanging="420"/>
    </w:pPr>
    <w:rPr>
      <w:sz w:val="21"/>
      <w:szCs w:val="28"/>
    </w:rPr>
  </w:style>
  <w:style w:type="paragraph" w:customStyle="1" w:styleId="145">
    <w:name w:val="BZ_正文"/>
    <w:basedOn w:val="1"/>
    <w:link w:val="146"/>
    <w:qFormat/>
    <w:uiPriority w:val="0"/>
    <w:pPr>
      <w:spacing w:line="360" w:lineRule="auto"/>
      <w:ind w:firstLine="200" w:firstLineChars="200"/>
    </w:pPr>
    <w:rPr>
      <w:sz w:val="24"/>
    </w:rPr>
  </w:style>
  <w:style w:type="character" w:customStyle="1" w:styleId="146">
    <w:name w:val="BZ_正文 Char"/>
    <w:link w:val="145"/>
    <w:qFormat/>
    <w:uiPriority w:val="0"/>
    <w:rPr>
      <w:kern w:val="2"/>
      <w:sz w:val="24"/>
      <w:szCs w:val="24"/>
    </w:rPr>
  </w:style>
  <w:style w:type="character" w:customStyle="1" w:styleId="147">
    <w:name w:val="样式 小四"/>
    <w:qFormat/>
    <w:uiPriority w:val="0"/>
    <w:rPr>
      <w:rFonts w:eastAsia="宋体"/>
      <w:sz w:val="24"/>
    </w:rPr>
  </w:style>
  <w:style w:type="character" w:customStyle="1" w:styleId="148">
    <w:name w:val="apple-style-span"/>
    <w:qFormat/>
    <w:uiPriority w:val="0"/>
  </w:style>
  <w:style w:type="character" w:customStyle="1" w:styleId="149">
    <w:name w:val="BZ_二级标题 Char"/>
    <w:link w:val="150"/>
    <w:qFormat/>
    <w:uiPriority w:val="0"/>
    <w:rPr>
      <w:b/>
      <w:bCs/>
      <w:kern w:val="2"/>
      <w:sz w:val="21"/>
      <w:szCs w:val="32"/>
    </w:rPr>
  </w:style>
  <w:style w:type="paragraph" w:customStyle="1" w:styleId="150">
    <w:name w:val="BZ_二级标题"/>
    <w:basedOn w:val="3"/>
    <w:next w:val="145"/>
    <w:link w:val="149"/>
    <w:qFormat/>
    <w:uiPriority w:val="0"/>
    <w:pPr>
      <w:tabs>
        <w:tab w:val="left" w:pos="840"/>
      </w:tabs>
      <w:spacing w:beforeLines="50" w:afterLines="50" w:line="240" w:lineRule="auto"/>
      <w:ind w:left="840" w:hanging="420"/>
    </w:pPr>
    <w:rPr>
      <w:rFonts w:ascii="Times New Roman" w:hAnsi="Times New Roman" w:eastAsia="宋体"/>
      <w:sz w:val="21"/>
    </w:rPr>
  </w:style>
  <w:style w:type="character" w:customStyle="1" w:styleId="151">
    <w:name w:val="样式 标题 3 + 小四 Char Char"/>
    <w:qFormat/>
    <w:uiPriority w:val="0"/>
    <w:rPr>
      <w:rFonts w:ascii="宋体" w:hAnsi="宋体" w:eastAsia="宋体" w:cs="Arial"/>
      <w:b/>
      <w:bCs/>
      <w:smallCaps/>
      <w:kern w:val="2"/>
      <w:sz w:val="24"/>
      <w:szCs w:val="24"/>
      <w:lang w:val="en-US" w:eastAsia="zh-CN"/>
    </w:rPr>
  </w:style>
  <w:style w:type="character" w:customStyle="1" w:styleId="152">
    <w:name w:val="hik 正文 Char"/>
    <w:link w:val="153"/>
    <w:qFormat/>
    <w:uiPriority w:val="0"/>
    <w:rPr>
      <w:sz w:val="24"/>
      <w:szCs w:val="24"/>
    </w:rPr>
  </w:style>
  <w:style w:type="paragraph" w:customStyle="1" w:styleId="153">
    <w:name w:val="hik 正文"/>
    <w:basedOn w:val="1"/>
    <w:link w:val="152"/>
    <w:qFormat/>
    <w:uiPriority w:val="0"/>
    <w:pPr>
      <w:spacing w:line="360" w:lineRule="auto"/>
      <w:ind w:firstLine="480" w:firstLineChars="200"/>
    </w:pPr>
    <w:rPr>
      <w:kern w:val="0"/>
      <w:sz w:val="24"/>
    </w:rPr>
  </w:style>
  <w:style w:type="paragraph" w:customStyle="1" w:styleId="154">
    <w:name w:val="BZ_五级标题"/>
    <w:basedOn w:val="6"/>
    <w:next w:val="145"/>
    <w:qFormat/>
    <w:uiPriority w:val="0"/>
    <w:pPr>
      <w:tabs>
        <w:tab w:val="left" w:pos="2100"/>
      </w:tabs>
      <w:spacing w:beforeLines="50" w:afterLines="50" w:line="240" w:lineRule="auto"/>
      <w:ind w:left="2100" w:hanging="420"/>
    </w:pPr>
    <w:rPr>
      <w:rFonts w:eastAsia="黑体"/>
      <w:b w:val="0"/>
      <w:sz w:val="24"/>
      <w:szCs w:val="24"/>
    </w:rPr>
  </w:style>
  <w:style w:type="paragraph" w:customStyle="1" w:styleId="155">
    <w:name w:val="BZ_四级标题"/>
    <w:basedOn w:val="5"/>
    <w:next w:val="145"/>
    <w:qFormat/>
    <w:uiPriority w:val="0"/>
    <w:pPr>
      <w:tabs>
        <w:tab w:val="left" w:pos="1680"/>
      </w:tabs>
      <w:spacing w:beforeLines="50" w:afterLines="50" w:line="240" w:lineRule="auto"/>
      <w:ind w:left="1680" w:hanging="420"/>
    </w:pPr>
    <w:rPr>
      <w:rFonts w:ascii="Times New Roman" w:hAnsi="Times New Roman"/>
      <w:b w:val="0"/>
      <w:sz w:val="24"/>
    </w:rPr>
  </w:style>
  <w:style w:type="paragraph" w:customStyle="1" w:styleId="156">
    <w:name w:val="正文1"/>
    <w:basedOn w:val="1"/>
    <w:qFormat/>
    <w:uiPriority w:val="0"/>
    <w:pPr>
      <w:spacing w:line="360" w:lineRule="auto"/>
      <w:ind w:firstLine="490" w:firstLineChars="204"/>
    </w:pPr>
    <w:rPr>
      <w:rFonts w:ascii="宋体" w:hAnsi="宋体"/>
      <w:sz w:val="24"/>
      <w:szCs w:val="28"/>
    </w:rPr>
  </w:style>
  <w:style w:type="paragraph" w:customStyle="1" w:styleId="157">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58">
    <w:name w:val="正文1.25"/>
    <w:basedOn w:val="1"/>
    <w:qFormat/>
    <w:uiPriority w:val="0"/>
    <w:pPr>
      <w:spacing w:line="300" w:lineRule="auto"/>
      <w:ind w:firstLine="480" w:firstLineChars="200"/>
    </w:pPr>
    <w:rPr>
      <w:sz w:val="24"/>
      <w:szCs w:val="20"/>
    </w:rPr>
  </w:style>
  <w:style w:type="paragraph" w:customStyle="1" w:styleId="159">
    <w:name w:val="正文_0_0"/>
    <w:qFormat/>
    <w:uiPriority w:val="0"/>
    <w:pPr>
      <w:widowControl w:val="0"/>
      <w:jc w:val="both"/>
    </w:pPr>
    <w:rPr>
      <w:rFonts w:ascii="Calibri" w:hAnsi="Calibri" w:eastAsia="宋体" w:cs="Times New Roman"/>
      <w:kern w:val="2"/>
      <w:sz w:val="21"/>
      <w:lang w:val="en-US" w:eastAsia="zh-CN" w:bidi="ar-SA"/>
    </w:rPr>
  </w:style>
  <w:style w:type="paragraph" w:customStyle="1" w:styleId="160">
    <w:name w:val="列出段落2"/>
    <w:basedOn w:val="1"/>
    <w:qFormat/>
    <w:uiPriority w:val="0"/>
    <w:pPr>
      <w:ind w:firstLine="420" w:firstLineChars="200"/>
    </w:pPr>
    <w:rPr>
      <w:rFonts w:ascii="Calibri" w:hAnsi="Calibri"/>
      <w:kern w:val="0"/>
      <w:sz w:val="20"/>
      <w:szCs w:val="20"/>
    </w:rPr>
  </w:style>
  <w:style w:type="paragraph" w:customStyle="1" w:styleId="161">
    <w:name w:val="BZ_一级标题"/>
    <w:basedOn w:val="2"/>
    <w:next w:val="145"/>
    <w:qFormat/>
    <w:uiPriority w:val="0"/>
    <w:pPr>
      <w:tabs>
        <w:tab w:val="left" w:pos="840"/>
      </w:tabs>
      <w:spacing w:beforeLines="50" w:afterLines="50" w:line="240" w:lineRule="auto"/>
      <w:ind w:left="840" w:hanging="420"/>
    </w:pPr>
    <w:rPr>
      <w:sz w:val="21"/>
      <w:szCs w:val="36"/>
    </w:rPr>
  </w:style>
  <w:style w:type="paragraph" w:customStyle="1" w:styleId="162">
    <w:name w:val="Table Paragraph"/>
    <w:basedOn w:val="1"/>
    <w:qFormat/>
    <w:uiPriority w:val="1"/>
    <w:rPr>
      <w:rFonts w:ascii="宋体" w:hAnsi="宋体" w:cs="宋体"/>
      <w:szCs w:val="22"/>
      <w:lang w:val="zh-CN" w:bidi="zh-CN"/>
    </w:rPr>
  </w:style>
  <w:style w:type="paragraph" w:customStyle="1" w:styleId="163">
    <w:name w:val="BZ_六级标题"/>
    <w:basedOn w:val="7"/>
    <w:next w:val="145"/>
    <w:qFormat/>
    <w:uiPriority w:val="0"/>
    <w:pPr>
      <w:tabs>
        <w:tab w:val="left" w:pos="2520"/>
      </w:tabs>
      <w:spacing w:beforeLines="50" w:afterLines="50" w:line="240" w:lineRule="auto"/>
      <w:ind w:left="2520" w:hanging="420"/>
    </w:pPr>
    <w:rPr>
      <w:rFonts w:ascii="Times New Roman" w:hAnsi="Times New Roman"/>
      <w:b w:val="0"/>
    </w:rPr>
  </w:style>
  <w:style w:type="paragraph" w:customStyle="1" w:styleId="164">
    <w:name w:val="??¡§???¡§????¨¬?¡§¡§??¡§?o??????¨¬?¡§¡§?"/>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65">
    <w:name w:val="正文文本 21"/>
    <w:basedOn w:val="1"/>
    <w:qFormat/>
    <w:uiPriority w:val="0"/>
    <w:pPr>
      <w:spacing w:after="120" w:line="480" w:lineRule="auto"/>
    </w:pPr>
    <w:rPr>
      <w:rFonts w:ascii="Calibri" w:hAnsi="Calibri"/>
      <w:kern w:val="0"/>
      <w:sz w:val="20"/>
    </w:rPr>
  </w:style>
  <w:style w:type="paragraph" w:customStyle="1" w:styleId="166">
    <w:name w:val="列出段落11"/>
    <w:basedOn w:val="1"/>
    <w:qFormat/>
    <w:uiPriority w:val="34"/>
    <w:pPr>
      <w:ind w:firstLine="420" w:firstLineChars="200"/>
    </w:pPr>
  </w:style>
  <w:style w:type="paragraph" w:customStyle="1" w:styleId="167">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68">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169">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黑体" w:hAnsi="黑体" w:eastAsia="黑体" w:cs="宋体"/>
      <w:kern w:val="0"/>
      <w:sz w:val="20"/>
      <w:szCs w:val="20"/>
    </w:rPr>
  </w:style>
  <w:style w:type="paragraph" w:customStyle="1" w:styleId="170">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1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kern w:val="0"/>
      <w:sz w:val="20"/>
      <w:szCs w:val="20"/>
    </w:rPr>
  </w:style>
  <w:style w:type="paragraph" w:customStyle="1" w:styleId="172">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黑体" w:hAnsi="黑体" w:eastAsia="黑体" w:cs="宋体"/>
      <w:kern w:val="0"/>
      <w:sz w:val="20"/>
      <w:szCs w:val="20"/>
    </w:rPr>
  </w:style>
  <w:style w:type="paragraph" w:customStyle="1" w:styleId="17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17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kern w:val="0"/>
      <w:sz w:val="20"/>
      <w:szCs w:val="20"/>
    </w:rPr>
  </w:style>
  <w:style w:type="paragraph" w:customStyle="1" w:styleId="17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kern w:val="0"/>
      <w:sz w:val="18"/>
      <w:szCs w:val="18"/>
    </w:rPr>
  </w:style>
  <w:style w:type="paragraph" w:customStyle="1" w:styleId="17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kern w:val="0"/>
      <w:sz w:val="24"/>
    </w:rPr>
  </w:style>
  <w:style w:type="paragraph" w:customStyle="1" w:styleId="17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黑体" w:hAnsi="黑体" w:eastAsia="黑体" w:cs="宋体"/>
      <w:kern w:val="0"/>
      <w:sz w:val="24"/>
    </w:rPr>
  </w:style>
  <w:style w:type="paragraph" w:customStyle="1" w:styleId="178">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kern w:val="0"/>
      <w:sz w:val="24"/>
    </w:rPr>
  </w:style>
  <w:style w:type="paragraph" w:customStyle="1" w:styleId="179">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kern w:val="0"/>
      <w:sz w:val="28"/>
      <w:szCs w:val="28"/>
    </w:rPr>
  </w:style>
  <w:style w:type="paragraph" w:customStyle="1" w:styleId="18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1">
    <w:name w:val="15"/>
    <w:qFormat/>
    <w:uiPriority w:val="0"/>
    <w:rPr>
      <w:rFonts w:hint="default" w:ascii="Times New Roman" w:hAnsi="Times New Roman" w:cs="Times New Roman"/>
      <w:color w:val="000000"/>
      <w:sz w:val="18"/>
      <w:szCs w:val="18"/>
    </w:rPr>
  </w:style>
  <w:style w:type="paragraph" w:customStyle="1" w:styleId="182">
    <w:name w:val="正文缩进2格"/>
    <w:basedOn w:val="1"/>
    <w:qFormat/>
    <w:uiPriority w:val="0"/>
    <w:pPr>
      <w:widowControl/>
      <w:spacing w:line="600" w:lineRule="exact"/>
      <w:ind w:firstLine="639" w:firstLineChars="206"/>
      <w:jc w:val="left"/>
    </w:pPr>
    <w:rPr>
      <w:rFonts w:ascii="仿宋_GB2312" w:hAnsi="宋体" w:eastAsia="仿宋_GB2312"/>
      <w:kern w:val="0"/>
      <w:sz w:val="31"/>
      <w:szCs w:val="28"/>
    </w:rPr>
  </w:style>
  <w:style w:type="paragraph" w:customStyle="1" w:styleId="183">
    <w:name w:val="正文(首行缩2字符)"/>
    <w:basedOn w:val="1"/>
    <w:qFormat/>
    <w:uiPriority w:val="0"/>
    <w:pPr>
      <w:tabs>
        <w:tab w:val="left" w:pos="3894"/>
      </w:tabs>
      <w:spacing w:beforeLines="100" w:afterLines="50"/>
      <w:ind w:left="200" w:leftChars="200"/>
    </w:pPr>
    <w:rPr>
      <w:rFonts w:eastAsia="仿宋_GB2312"/>
      <w:sz w:val="28"/>
    </w:rPr>
  </w:style>
  <w:style w:type="character" w:customStyle="1" w:styleId="184">
    <w:name w:val="正文文本首行缩进 2 字符"/>
    <w:basedOn w:val="185"/>
    <w:qFormat/>
    <w:uiPriority w:val="0"/>
    <w:rPr>
      <w:kern w:val="2"/>
      <w:sz w:val="21"/>
      <w:szCs w:val="22"/>
    </w:rPr>
  </w:style>
  <w:style w:type="character" w:customStyle="1" w:styleId="185">
    <w:name w:val="正文文本缩进 Char1"/>
    <w:basedOn w:val="41"/>
    <w:link w:val="16"/>
    <w:qFormat/>
    <w:uiPriority w:val="0"/>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7E368703-B43E-482A-A471-F047606460B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43</Pages>
  <Words>17182</Words>
  <Characters>18472</Characters>
  <Lines>142</Lines>
  <Paragraphs>40</Paragraphs>
  <TotalTime>35</TotalTime>
  <ScaleCrop>false</ScaleCrop>
  <LinksUpToDate>false</LinksUpToDate>
  <CharactersWithSpaces>19385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2023-01-30T09:16:00Z</dcterms:created>
  <dc:creator>User</dc:creator>
  <cp:lastModifiedBy>WPS_1607824881</cp:lastModifiedBy>
  <cp:lastPrinted>2022-11-23T03:21:00Z</cp:lastPrinted>
  <dcterms:modified xsi:type="dcterms:W3CDTF">2024-06-04T09:46:36Z</dcterms:modified>
  <dc:title>附件1：海宁市政府采购普通项目招标文件范本（试行）</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F7A37C0CFD1C4D2C8278B7A0613892B3_13</vt:lpwstr>
  </property>
</Properties>
</file>