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90AABF">
      <w:pPr>
        <w:spacing w:line="360" w:lineRule="auto"/>
        <w:jc w:val="center"/>
        <w:rPr>
          <w:rFonts w:hint="eastAsia" w:ascii="仿宋" w:hAnsi="仿宋" w:eastAsia="仿宋" w:cs="仿宋"/>
          <w:b/>
          <w:color w:val="auto"/>
          <w:sz w:val="24"/>
          <w:highlight w:val="none"/>
        </w:rPr>
      </w:pPr>
    </w:p>
    <w:p w14:paraId="26B20195">
      <w:pPr>
        <w:adjustRightInd/>
        <w:spacing w:line="360" w:lineRule="auto"/>
        <w:rPr>
          <w:rFonts w:hint="eastAsia" w:ascii="仿宋" w:hAnsi="仿宋" w:eastAsia="仿宋" w:cs="仿宋"/>
          <w:b/>
          <w:color w:val="auto"/>
          <w:sz w:val="44"/>
          <w:szCs w:val="44"/>
          <w:highlight w:val="none"/>
        </w:rPr>
      </w:pPr>
    </w:p>
    <w:p w14:paraId="33974D97">
      <w:pPr>
        <w:spacing w:line="360" w:lineRule="auto"/>
        <w:jc w:val="center"/>
        <w:rPr>
          <w:rFonts w:hint="eastAsia" w:ascii="仿宋" w:hAnsi="仿宋" w:eastAsia="仿宋" w:cs="仿宋"/>
          <w:b/>
          <w:color w:val="auto"/>
          <w:sz w:val="40"/>
          <w:szCs w:val="40"/>
          <w:highlight w:val="none"/>
          <w:lang w:eastAsia="zh-CN"/>
        </w:rPr>
      </w:pPr>
      <w:r>
        <w:rPr>
          <w:rFonts w:hint="eastAsia" w:ascii="仿宋" w:hAnsi="仿宋" w:eastAsia="仿宋" w:cs="仿宋"/>
          <w:b/>
          <w:color w:val="auto"/>
          <w:sz w:val="40"/>
          <w:szCs w:val="40"/>
          <w:highlight w:val="none"/>
          <w:lang w:eastAsia="zh-CN"/>
        </w:rPr>
        <w:t>2025-2026年度镇村两级及其下属国有企业招标代理咨询机构框架协议采购项目（封闭式）（重招）</w:t>
      </w:r>
    </w:p>
    <w:p w14:paraId="33153735">
      <w:pPr>
        <w:spacing w:line="360" w:lineRule="auto"/>
        <w:jc w:val="center"/>
        <w:rPr>
          <w:rFonts w:hint="eastAsia" w:ascii="仿宋" w:hAnsi="仿宋" w:eastAsia="仿宋" w:cs="仿宋"/>
          <w:color w:val="auto"/>
          <w:sz w:val="30"/>
          <w:szCs w:val="30"/>
          <w:highlight w:val="none"/>
        </w:rPr>
      </w:pPr>
    </w:p>
    <w:p w14:paraId="73A15D4E">
      <w:pPr>
        <w:spacing w:line="360" w:lineRule="auto"/>
        <w:jc w:val="center"/>
        <w:rPr>
          <w:rFonts w:hint="eastAsia" w:ascii="仿宋" w:hAnsi="仿宋" w:eastAsia="仿宋" w:cs="仿宋"/>
          <w:color w:val="auto"/>
          <w:sz w:val="30"/>
          <w:szCs w:val="30"/>
          <w:highlight w:val="none"/>
        </w:rPr>
      </w:pPr>
    </w:p>
    <w:p w14:paraId="722CDC1D">
      <w:pPr>
        <w:spacing w:line="360" w:lineRule="auto"/>
        <w:jc w:val="center"/>
        <w:rPr>
          <w:rFonts w:hint="eastAsia" w:ascii="仿宋" w:hAnsi="仿宋" w:eastAsia="仿宋" w:cs="仿宋"/>
          <w:b/>
          <w:color w:val="auto"/>
          <w:sz w:val="44"/>
          <w:szCs w:val="44"/>
          <w:highlight w:val="none"/>
          <w:lang w:eastAsia="zh-CN"/>
        </w:rPr>
      </w:pPr>
      <w:r>
        <w:rPr>
          <w:rFonts w:hint="eastAsia" w:ascii="仿宋" w:hAnsi="仿宋" w:eastAsia="仿宋" w:cs="仿宋"/>
          <w:color w:val="auto"/>
          <w:sz w:val="30"/>
          <w:szCs w:val="30"/>
          <w:highlight w:val="none"/>
        </w:rPr>
        <w:t xml:space="preserve">项目编号: </w:t>
      </w:r>
      <w:r>
        <w:rPr>
          <w:rFonts w:hint="eastAsia" w:ascii="仿宋" w:hAnsi="仿宋" w:eastAsia="仿宋" w:cs="仿宋"/>
          <w:color w:val="auto"/>
          <w:sz w:val="30"/>
          <w:szCs w:val="30"/>
          <w:highlight w:val="none"/>
          <w:lang w:eastAsia="zh-CN"/>
        </w:rPr>
        <w:t>绍柯采[2025]147号-1</w:t>
      </w:r>
    </w:p>
    <w:p w14:paraId="66F59595">
      <w:pPr>
        <w:spacing w:line="360" w:lineRule="auto"/>
        <w:jc w:val="center"/>
        <w:rPr>
          <w:rFonts w:hint="eastAsia" w:ascii="仿宋" w:hAnsi="仿宋" w:eastAsia="仿宋" w:cs="仿宋"/>
          <w:b/>
          <w:color w:val="auto"/>
          <w:sz w:val="44"/>
          <w:szCs w:val="44"/>
          <w:highlight w:val="none"/>
        </w:rPr>
      </w:pPr>
    </w:p>
    <w:p w14:paraId="61192626">
      <w:pPr>
        <w:jc w:val="center"/>
        <w:outlineLvl w:val="0"/>
        <w:rPr>
          <w:rFonts w:hint="eastAsia" w:ascii="仿宋" w:hAnsi="仿宋" w:eastAsia="仿宋" w:cs="仿宋"/>
          <w:b/>
          <w:color w:val="auto"/>
          <w:sz w:val="56"/>
          <w:szCs w:val="56"/>
          <w:highlight w:val="none"/>
        </w:rPr>
      </w:pPr>
      <w:r>
        <w:rPr>
          <w:rFonts w:hint="eastAsia" w:ascii="仿宋" w:hAnsi="仿宋" w:eastAsia="仿宋" w:cs="仿宋"/>
          <w:b/>
          <w:color w:val="auto"/>
          <w:sz w:val="56"/>
          <w:szCs w:val="56"/>
          <w:highlight w:val="none"/>
        </w:rPr>
        <w:t>公开征集文件</w:t>
      </w:r>
    </w:p>
    <w:p w14:paraId="0A6B3AD3">
      <w:pPr>
        <w:pStyle w:val="3"/>
        <w:numPr>
          <w:ilvl w:val="0"/>
          <w:numId w:val="0"/>
        </w:numPr>
        <w:rPr>
          <w:rFonts w:hint="eastAsia" w:ascii="仿宋" w:eastAsia="仿宋" w:cs="仿宋"/>
          <w:b w:val="0"/>
          <w:color w:val="auto"/>
          <w:sz w:val="56"/>
          <w:szCs w:val="56"/>
          <w:highlight w:val="none"/>
        </w:rPr>
      </w:pPr>
    </w:p>
    <w:p w14:paraId="17063B02">
      <w:pPr>
        <w:jc w:val="center"/>
        <w:rPr>
          <w:rFonts w:hint="eastAsia" w:ascii="仿宋" w:hAnsi="仿宋" w:eastAsia="仿宋" w:cs="仿宋"/>
          <w:color w:val="auto"/>
          <w:highlight w:val="none"/>
        </w:rPr>
      </w:pPr>
      <w:r>
        <w:rPr>
          <w:rFonts w:hint="eastAsia" w:ascii="仿宋" w:hAnsi="仿宋" w:eastAsia="仿宋" w:cs="仿宋"/>
          <w:b/>
          <w:color w:val="auto"/>
          <w:sz w:val="44"/>
          <w:szCs w:val="44"/>
          <w:highlight w:val="none"/>
        </w:rPr>
        <w:t>（电子招投标）</w:t>
      </w:r>
    </w:p>
    <w:p w14:paraId="4C13E3ED">
      <w:pPr>
        <w:spacing w:line="360" w:lineRule="auto"/>
        <w:jc w:val="center"/>
        <w:rPr>
          <w:rFonts w:hint="eastAsia" w:ascii="仿宋" w:hAnsi="仿宋" w:eastAsia="仿宋" w:cs="仿宋"/>
          <w:b/>
          <w:color w:val="auto"/>
          <w:sz w:val="24"/>
          <w:highlight w:val="none"/>
        </w:rPr>
      </w:pPr>
    </w:p>
    <w:p w14:paraId="4FDE6FDE">
      <w:pPr>
        <w:spacing w:line="360" w:lineRule="auto"/>
        <w:jc w:val="center"/>
        <w:rPr>
          <w:rFonts w:hint="eastAsia" w:ascii="仿宋" w:hAnsi="仿宋" w:eastAsia="仿宋" w:cs="仿宋"/>
          <w:b/>
          <w:color w:val="auto"/>
          <w:sz w:val="24"/>
          <w:highlight w:val="none"/>
        </w:rPr>
      </w:pPr>
    </w:p>
    <w:p w14:paraId="46E7FABE">
      <w:pPr>
        <w:pStyle w:val="3"/>
        <w:numPr>
          <w:ilvl w:val="0"/>
          <w:numId w:val="0"/>
        </w:numPr>
        <w:rPr>
          <w:rFonts w:hint="eastAsia" w:ascii="仿宋" w:eastAsia="仿宋" w:cs="仿宋"/>
          <w:color w:val="auto"/>
          <w:highlight w:val="none"/>
        </w:rPr>
      </w:pPr>
    </w:p>
    <w:p w14:paraId="31C1E417">
      <w:pPr>
        <w:rPr>
          <w:rFonts w:hint="eastAsia" w:ascii="仿宋" w:hAnsi="仿宋" w:eastAsia="仿宋" w:cs="仿宋"/>
          <w:b/>
          <w:color w:val="auto"/>
          <w:sz w:val="24"/>
          <w:highlight w:val="none"/>
        </w:rPr>
      </w:pPr>
    </w:p>
    <w:p w14:paraId="1FF49409">
      <w:pPr>
        <w:rPr>
          <w:rFonts w:hint="eastAsia" w:ascii="仿宋" w:hAnsi="仿宋" w:eastAsia="仿宋" w:cs="仿宋"/>
          <w:b/>
          <w:color w:val="auto"/>
          <w:sz w:val="24"/>
          <w:highlight w:val="none"/>
        </w:rPr>
      </w:pPr>
    </w:p>
    <w:p w14:paraId="4B0ABB8E">
      <w:pPr>
        <w:rPr>
          <w:rFonts w:hint="eastAsia" w:ascii="仿宋" w:hAnsi="仿宋" w:eastAsia="仿宋" w:cs="仿宋"/>
          <w:b/>
          <w:color w:val="auto"/>
          <w:sz w:val="24"/>
          <w:highlight w:val="none"/>
        </w:rPr>
      </w:pPr>
    </w:p>
    <w:p w14:paraId="37A36493">
      <w:pPr>
        <w:rPr>
          <w:rFonts w:hint="eastAsia" w:ascii="仿宋" w:hAnsi="仿宋" w:eastAsia="仿宋" w:cs="仿宋"/>
          <w:color w:val="auto"/>
          <w:highlight w:val="none"/>
        </w:rPr>
      </w:pPr>
    </w:p>
    <w:p w14:paraId="0BE69837">
      <w:pPr>
        <w:spacing w:line="360" w:lineRule="auto"/>
        <w:jc w:val="center"/>
        <w:rPr>
          <w:rFonts w:hint="eastAsia" w:ascii="仿宋" w:hAnsi="仿宋" w:eastAsia="仿宋" w:cs="仿宋"/>
          <w:b/>
          <w:color w:val="auto"/>
          <w:sz w:val="24"/>
          <w:highlight w:val="none"/>
        </w:rPr>
      </w:pPr>
    </w:p>
    <w:p w14:paraId="7C316478">
      <w:pPr>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采购单位（征集人）：</w:t>
      </w:r>
      <w:r>
        <w:rPr>
          <w:rFonts w:hint="eastAsia" w:ascii="仿宋" w:hAnsi="仿宋" w:eastAsia="仿宋" w:cs="仿宋"/>
          <w:color w:val="auto"/>
          <w:sz w:val="32"/>
          <w:szCs w:val="32"/>
          <w:highlight w:val="none"/>
          <w:lang w:eastAsia="zh-CN"/>
        </w:rPr>
        <w:t>柯桥区平水镇人民政府</w:t>
      </w:r>
    </w:p>
    <w:p w14:paraId="06921636">
      <w:pPr>
        <w:spacing w:line="360" w:lineRule="auto"/>
        <w:jc w:val="center"/>
        <w:rPr>
          <w:rFonts w:hint="eastAsia" w:ascii="仿宋" w:hAnsi="仿宋" w:eastAsia="仿宋" w:cs="仿宋"/>
          <w:bCs/>
          <w:color w:val="auto"/>
          <w:sz w:val="32"/>
          <w:szCs w:val="32"/>
          <w:highlight w:val="none"/>
          <w:lang w:val="en-US" w:eastAsia="zh-CN"/>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val="en-US" w:eastAsia="zh-CN"/>
        </w:rPr>
        <w:t>浙江国华工程管理有限公司</w:t>
      </w:r>
    </w:p>
    <w:p w14:paraId="70B418AD">
      <w:pPr>
        <w:spacing w:line="360" w:lineRule="auto"/>
        <w:jc w:val="center"/>
        <w:rPr>
          <w:rFonts w:hint="default" w:ascii="仿宋" w:hAnsi="仿宋" w:eastAsia="仿宋" w:cs="仿宋"/>
          <w:bCs/>
          <w:color w:val="auto"/>
          <w:sz w:val="32"/>
          <w:szCs w:val="32"/>
          <w:highlight w:val="none"/>
          <w:lang w:val="en-US" w:eastAsia="zh-CN"/>
        </w:rPr>
      </w:pPr>
      <w:r>
        <w:rPr>
          <w:rFonts w:hint="eastAsia" w:ascii="仿宋" w:hAnsi="仿宋" w:eastAsia="仿宋" w:cs="仿宋"/>
          <w:bCs/>
          <w:color w:val="auto"/>
          <w:sz w:val="32"/>
          <w:szCs w:val="32"/>
          <w:highlight w:val="none"/>
        </w:rPr>
        <w:t xml:space="preserve"> 202</w:t>
      </w:r>
      <w:r>
        <w:rPr>
          <w:rFonts w:hint="eastAsia" w:ascii="仿宋" w:hAnsi="仿宋" w:eastAsia="仿宋" w:cs="仿宋"/>
          <w:bCs/>
          <w:color w:val="auto"/>
          <w:sz w:val="32"/>
          <w:szCs w:val="32"/>
          <w:highlight w:val="none"/>
          <w:lang w:val="en-US" w:eastAsia="zh-CN"/>
        </w:rPr>
        <w:t>5</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3</w:t>
      </w:r>
      <w:r>
        <w:rPr>
          <w:rFonts w:hint="eastAsia" w:ascii="仿宋" w:hAnsi="仿宋" w:eastAsia="仿宋" w:cs="仿宋"/>
          <w:bCs/>
          <w:color w:val="auto"/>
          <w:sz w:val="32"/>
          <w:szCs w:val="32"/>
          <w:highlight w:val="none"/>
        </w:rPr>
        <w:t>月</w:t>
      </w:r>
    </w:p>
    <w:p w14:paraId="4871DEA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732FB0E5">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7CDD7852">
      <w:pPr>
        <w:spacing w:line="360" w:lineRule="auto"/>
        <w:rPr>
          <w:rFonts w:hint="eastAsia" w:ascii="仿宋" w:hAnsi="仿宋" w:eastAsia="仿宋" w:cs="仿宋"/>
          <w:color w:val="auto"/>
          <w:sz w:val="32"/>
          <w:szCs w:val="32"/>
          <w:highlight w:val="none"/>
        </w:rPr>
      </w:pPr>
    </w:p>
    <w:p w14:paraId="57CABA84">
      <w:pPr>
        <w:spacing w:line="360" w:lineRule="auto"/>
        <w:rPr>
          <w:rFonts w:hint="eastAsia" w:ascii="仿宋" w:hAnsi="仿宋" w:eastAsia="仿宋" w:cs="仿宋"/>
          <w:color w:val="auto"/>
          <w:sz w:val="32"/>
          <w:szCs w:val="32"/>
          <w:highlight w:val="none"/>
        </w:rPr>
      </w:pPr>
    </w:p>
    <w:p w14:paraId="25A5047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征集公告</w:t>
      </w:r>
    </w:p>
    <w:p w14:paraId="589ECA2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7951DC5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172A38B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评标方法及评分标准</w:t>
      </w:r>
    </w:p>
    <w:p w14:paraId="2AA93A2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011D255D">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4A35A317">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510BBA3E">
      <w:pPr>
        <w:spacing w:line="360" w:lineRule="auto"/>
        <w:ind w:firstLine="549" w:firstLineChars="229"/>
        <w:rPr>
          <w:rFonts w:hint="eastAsia" w:ascii="仿宋" w:hAnsi="仿宋" w:eastAsia="仿宋" w:cs="仿宋"/>
          <w:color w:val="auto"/>
          <w:sz w:val="24"/>
          <w:highlight w:val="none"/>
        </w:rPr>
      </w:pPr>
    </w:p>
    <w:p w14:paraId="27058D1C">
      <w:pPr>
        <w:spacing w:line="360" w:lineRule="auto"/>
        <w:ind w:firstLine="549" w:firstLineChars="229"/>
        <w:rPr>
          <w:rFonts w:hint="eastAsia" w:ascii="仿宋" w:hAnsi="仿宋" w:eastAsia="仿宋" w:cs="仿宋"/>
          <w:color w:val="auto"/>
          <w:sz w:val="24"/>
          <w:highlight w:val="none"/>
        </w:rPr>
      </w:pPr>
    </w:p>
    <w:p w14:paraId="3823F474">
      <w:pPr>
        <w:spacing w:line="360" w:lineRule="auto"/>
        <w:ind w:firstLine="549" w:firstLineChars="229"/>
        <w:rPr>
          <w:rFonts w:hint="eastAsia" w:ascii="仿宋" w:hAnsi="仿宋" w:eastAsia="仿宋" w:cs="仿宋"/>
          <w:color w:val="auto"/>
          <w:sz w:val="24"/>
          <w:highlight w:val="none"/>
        </w:rPr>
      </w:pPr>
    </w:p>
    <w:p w14:paraId="7D3FE557">
      <w:pPr>
        <w:spacing w:line="360" w:lineRule="auto"/>
        <w:ind w:firstLine="549" w:firstLineChars="229"/>
        <w:rPr>
          <w:rFonts w:hint="eastAsia" w:ascii="仿宋" w:hAnsi="仿宋" w:eastAsia="仿宋" w:cs="仿宋"/>
          <w:color w:val="auto"/>
          <w:sz w:val="24"/>
          <w:highlight w:val="none"/>
        </w:rPr>
      </w:pPr>
    </w:p>
    <w:p w14:paraId="44D75248">
      <w:pPr>
        <w:spacing w:line="360" w:lineRule="auto"/>
        <w:ind w:firstLine="549" w:firstLineChars="229"/>
        <w:rPr>
          <w:rFonts w:hint="eastAsia" w:ascii="仿宋" w:hAnsi="仿宋" w:eastAsia="仿宋" w:cs="仿宋"/>
          <w:color w:val="auto"/>
          <w:sz w:val="24"/>
          <w:highlight w:val="none"/>
        </w:rPr>
      </w:pPr>
    </w:p>
    <w:p w14:paraId="4FC6C60C">
      <w:pPr>
        <w:spacing w:line="360" w:lineRule="auto"/>
        <w:ind w:firstLine="549" w:firstLineChars="229"/>
        <w:rPr>
          <w:rFonts w:hint="eastAsia" w:ascii="仿宋" w:hAnsi="仿宋" w:eastAsia="仿宋" w:cs="仿宋"/>
          <w:color w:val="auto"/>
          <w:sz w:val="24"/>
          <w:highlight w:val="none"/>
        </w:rPr>
      </w:pPr>
    </w:p>
    <w:p w14:paraId="2559916A">
      <w:pPr>
        <w:spacing w:line="360" w:lineRule="auto"/>
        <w:ind w:firstLine="549" w:firstLineChars="229"/>
        <w:rPr>
          <w:rFonts w:hint="eastAsia" w:ascii="仿宋" w:hAnsi="仿宋" w:eastAsia="仿宋" w:cs="仿宋"/>
          <w:color w:val="auto"/>
          <w:sz w:val="24"/>
          <w:highlight w:val="none"/>
        </w:rPr>
      </w:pPr>
    </w:p>
    <w:p w14:paraId="4B33462C">
      <w:pPr>
        <w:spacing w:line="360" w:lineRule="auto"/>
        <w:ind w:firstLine="549" w:firstLineChars="229"/>
        <w:rPr>
          <w:rFonts w:hint="eastAsia" w:ascii="仿宋" w:hAnsi="仿宋" w:eastAsia="仿宋" w:cs="仿宋"/>
          <w:color w:val="auto"/>
          <w:sz w:val="24"/>
          <w:highlight w:val="none"/>
        </w:rPr>
      </w:pPr>
    </w:p>
    <w:p w14:paraId="6231BF98">
      <w:pPr>
        <w:spacing w:line="360" w:lineRule="auto"/>
        <w:ind w:firstLine="549" w:firstLineChars="229"/>
        <w:rPr>
          <w:rFonts w:hint="eastAsia" w:ascii="仿宋" w:hAnsi="仿宋" w:eastAsia="仿宋" w:cs="仿宋"/>
          <w:color w:val="auto"/>
          <w:sz w:val="24"/>
          <w:highlight w:val="none"/>
        </w:rPr>
      </w:pPr>
    </w:p>
    <w:p w14:paraId="57E348E6">
      <w:pPr>
        <w:spacing w:line="360" w:lineRule="auto"/>
        <w:ind w:firstLine="549" w:firstLineChars="229"/>
        <w:rPr>
          <w:rFonts w:hint="eastAsia" w:ascii="仿宋" w:hAnsi="仿宋" w:eastAsia="仿宋" w:cs="仿宋"/>
          <w:color w:val="auto"/>
          <w:sz w:val="24"/>
          <w:highlight w:val="none"/>
        </w:rPr>
      </w:pPr>
    </w:p>
    <w:p w14:paraId="53B17480">
      <w:pPr>
        <w:spacing w:line="360" w:lineRule="auto"/>
        <w:ind w:firstLine="549" w:firstLineChars="229"/>
        <w:rPr>
          <w:rFonts w:hint="eastAsia" w:ascii="仿宋" w:hAnsi="仿宋" w:eastAsia="仿宋" w:cs="仿宋"/>
          <w:color w:val="auto"/>
          <w:sz w:val="24"/>
          <w:highlight w:val="none"/>
        </w:rPr>
      </w:pPr>
    </w:p>
    <w:p w14:paraId="403EC378">
      <w:pPr>
        <w:spacing w:line="360" w:lineRule="auto"/>
        <w:ind w:firstLine="549" w:firstLineChars="229"/>
        <w:rPr>
          <w:rFonts w:hint="eastAsia" w:ascii="仿宋" w:hAnsi="仿宋" w:eastAsia="仿宋" w:cs="仿宋"/>
          <w:color w:val="auto"/>
          <w:sz w:val="24"/>
          <w:highlight w:val="none"/>
        </w:rPr>
      </w:pPr>
    </w:p>
    <w:p w14:paraId="37FE581B">
      <w:pPr>
        <w:spacing w:line="360" w:lineRule="auto"/>
        <w:rPr>
          <w:rFonts w:hint="eastAsia" w:ascii="仿宋" w:hAnsi="仿宋" w:eastAsia="仿宋" w:cs="仿宋"/>
          <w:color w:val="auto"/>
          <w:sz w:val="24"/>
          <w:highlight w:val="none"/>
        </w:rPr>
      </w:pPr>
    </w:p>
    <w:p w14:paraId="1A3DE865">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征集公告</w:t>
      </w:r>
    </w:p>
    <w:p w14:paraId="33A83C51">
      <w:pPr>
        <w:pBdr>
          <w:top w:val="single" w:color="auto" w:sz="4" w:space="1"/>
          <w:left w:val="single" w:color="auto" w:sz="4" w:space="4"/>
          <w:bottom w:val="single" w:color="auto" w:sz="4" w:space="1"/>
          <w:right w:val="single" w:color="auto" w:sz="4" w:space="4"/>
        </w:pBdr>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项目概况</w:t>
      </w:r>
    </w:p>
    <w:p w14:paraId="6072D872">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lang w:eastAsia="zh-CN"/>
        </w:rPr>
        <w:t>2025-2026年度镇村两级及其下属国有企业招标代理咨询机构框架协议采购项目（封闭式）（重招）</w:t>
      </w:r>
      <w:r>
        <w:rPr>
          <w:rFonts w:hint="eastAsia" w:ascii="仿宋" w:hAnsi="仿宋" w:eastAsia="仿宋" w:cs="仿宋"/>
          <w:color w:val="auto"/>
          <w:sz w:val="24"/>
          <w:szCs w:val="28"/>
          <w:highlight w:val="none"/>
        </w:rPr>
        <w:t>招标项目的潜在投标人应在</w:t>
      </w:r>
      <w:r>
        <w:rPr>
          <w:rFonts w:hint="eastAsia" w:ascii="仿宋" w:hAnsi="仿宋" w:eastAsia="仿宋" w:cs="仿宋"/>
          <w:color w:val="auto"/>
          <w:sz w:val="24"/>
          <w:szCs w:val="28"/>
          <w:highlight w:val="none"/>
          <w:u w:val="single"/>
        </w:rPr>
        <w:t>政采云系统在线</w:t>
      </w:r>
      <w:r>
        <w:rPr>
          <w:rFonts w:hint="eastAsia" w:ascii="仿宋" w:hAnsi="仿宋" w:eastAsia="仿宋" w:cs="仿宋"/>
          <w:color w:val="auto"/>
          <w:sz w:val="24"/>
          <w:szCs w:val="28"/>
          <w:highlight w:val="none"/>
        </w:rPr>
        <w:t>获取征集文件，并于</w:t>
      </w:r>
      <w:r>
        <w:rPr>
          <w:rFonts w:hint="eastAsia" w:ascii="仿宋" w:hAnsi="仿宋" w:eastAsia="仿宋" w:cs="仿宋"/>
          <w:color w:val="auto"/>
          <w:sz w:val="24"/>
          <w:szCs w:val="28"/>
          <w:highlight w:val="none"/>
          <w:u w:val="single"/>
          <w:lang w:eastAsia="zh-CN"/>
        </w:rPr>
        <w:t>2025年4月15日</w:t>
      </w:r>
      <w:r>
        <w:rPr>
          <w:rFonts w:hint="eastAsia" w:ascii="仿宋" w:hAnsi="仿宋" w:eastAsia="仿宋" w:cs="仿宋"/>
          <w:bCs/>
          <w:color w:val="auto"/>
          <w:sz w:val="24"/>
          <w:szCs w:val="28"/>
          <w:highlight w:val="none"/>
          <w:u w:val="single"/>
          <w:lang w:val="en-US" w:eastAsia="zh-CN"/>
        </w:rPr>
        <w:t>09</w:t>
      </w:r>
      <w:r>
        <w:rPr>
          <w:rFonts w:hint="eastAsia" w:ascii="仿宋" w:hAnsi="仿宋" w:eastAsia="仿宋" w:cs="仿宋"/>
          <w:bCs/>
          <w:color w:val="auto"/>
          <w:sz w:val="24"/>
          <w:szCs w:val="28"/>
          <w:highlight w:val="none"/>
          <w:u w:val="single"/>
        </w:rPr>
        <w:t>点</w:t>
      </w:r>
      <w:r>
        <w:rPr>
          <w:rFonts w:hint="eastAsia" w:ascii="仿宋" w:hAnsi="仿宋" w:eastAsia="仿宋" w:cs="仿宋"/>
          <w:bCs/>
          <w:color w:val="auto"/>
          <w:sz w:val="24"/>
          <w:szCs w:val="28"/>
          <w:highlight w:val="none"/>
          <w:u w:val="single"/>
          <w:lang w:val="en-US" w:eastAsia="zh-CN"/>
        </w:rPr>
        <w:t>0</w:t>
      </w:r>
      <w:r>
        <w:rPr>
          <w:rFonts w:hint="eastAsia" w:ascii="仿宋" w:hAnsi="仿宋" w:eastAsia="仿宋" w:cs="仿宋"/>
          <w:bCs/>
          <w:color w:val="auto"/>
          <w:sz w:val="24"/>
          <w:szCs w:val="28"/>
          <w:highlight w:val="none"/>
          <w:u w:val="single"/>
        </w:rPr>
        <w:t>0分（</w:t>
      </w:r>
      <w:r>
        <w:rPr>
          <w:rFonts w:hint="eastAsia" w:ascii="仿宋" w:hAnsi="仿宋" w:eastAsia="仿宋" w:cs="仿宋"/>
          <w:bCs/>
          <w:color w:val="auto"/>
          <w:sz w:val="24"/>
          <w:szCs w:val="28"/>
          <w:highlight w:val="none"/>
        </w:rPr>
        <w:t>北京时间）前递交响应文件</w:t>
      </w:r>
      <w:r>
        <w:rPr>
          <w:rFonts w:hint="eastAsia" w:ascii="仿宋" w:hAnsi="仿宋" w:eastAsia="仿宋" w:cs="仿宋"/>
          <w:color w:val="auto"/>
          <w:sz w:val="24"/>
          <w:szCs w:val="28"/>
          <w:highlight w:val="none"/>
        </w:rPr>
        <w:t>。</w:t>
      </w:r>
    </w:p>
    <w:p w14:paraId="5083232B">
      <w:pPr>
        <w:rPr>
          <w:rFonts w:hint="eastAsia" w:ascii="仿宋" w:hAnsi="仿宋" w:eastAsia="仿宋" w:cs="仿宋"/>
          <w:color w:val="auto"/>
          <w:sz w:val="24"/>
          <w:szCs w:val="28"/>
          <w:highlight w:val="none"/>
        </w:rPr>
      </w:pPr>
    </w:p>
    <w:p w14:paraId="769CF99A">
      <w:pPr>
        <w:pStyle w:val="3"/>
        <w:numPr>
          <w:ilvl w:val="0"/>
          <w:numId w:val="0"/>
        </w:numPr>
        <w:rPr>
          <w:rFonts w:hint="eastAsia" w:ascii="仿宋" w:eastAsia="仿宋" w:cs="仿宋"/>
          <w:color w:val="auto"/>
          <w:sz w:val="24"/>
          <w:szCs w:val="28"/>
          <w:highlight w:val="none"/>
        </w:rPr>
      </w:pPr>
      <w:bookmarkStart w:id="11" w:name="_Toc35393790"/>
      <w:bookmarkStart w:id="12" w:name="_Toc28359002"/>
      <w:bookmarkStart w:id="13" w:name="_Toc28359079"/>
      <w:bookmarkStart w:id="14" w:name="_Toc35393621"/>
      <w:bookmarkStart w:id="15" w:name="_Hlk24379207"/>
      <w:r>
        <w:rPr>
          <w:rFonts w:hint="eastAsia" w:ascii="仿宋" w:eastAsia="仿宋" w:cs="仿宋"/>
          <w:color w:val="auto"/>
          <w:sz w:val="24"/>
          <w:szCs w:val="28"/>
          <w:highlight w:val="none"/>
        </w:rPr>
        <w:t>一、项目基本情况</w:t>
      </w:r>
      <w:bookmarkEnd w:id="11"/>
      <w:bookmarkEnd w:id="12"/>
      <w:bookmarkEnd w:id="13"/>
      <w:bookmarkEnd w:id="14"/>
    </w:p>
    <w:bookmarkEnd w:id="15"/>
    <w:p w14:paraId="6A3DA5D9">
      <w:pPr>
        <w:spacing w:line="360" w:lineRule="auto"/>
        <w:ind w:left="420" w:leftChars="200"/>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项目编号：</w:t>
      </w:r>
      <w:r>
        <w:rPr>
          <w:rFonts w:hint="eastAsia" w:ascii="仿宋" w:hAnsi="仿宋" w:eastAsia="仿宋" w:cs="仿宋"/>
          <w:color w:val="auto"/>
          <w:sz w:val="24"/>
          <w:szCs w:val="28"/>
          <w:highlight w:val="none"/>
          <w:lang w:eastAsia="zh-CN"/>
        </w:rPr>
        <w:t>绍柯采[2025]147号-1</w:t>
      </w:r>
    </w:p>
    <w:p w14:paraId="4F03049D">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项目名称：</w:t>
      </w:r>
      <w:r>
        <w:rPr>
          <w:rFonts w:hint="eastAsia" w:ascii="仿宋" w:hAnsi="仿宋" w:eastAsia="仿宋" w:cs="仿宋"/>
          <w:color w:val="auto"/>
          <w:sz w:val="24"/>
          <w:szCs w:val="28"/>
          <w:highlight w:val="none"/>
          <w:lang w:eastAsia="zh-CN"/>
        </w:rPr>
        <w:t>2025-2026年度镇村两级及其下属国有企业招标代理咨询机构框架协议采购项目（封闭式）（重招）</w:t>
      </w:r>
      <w:r>
        <w:rPr>
          <w:rFonts w:hint="eastAsia" w:ascii="仿宋" w:hAnsi="仿宋" w:eastAsia="仿宋" w:cs="仿宋"/>
          <w:color w:val="auto"/>
          <w:sz w:val="24"/>
          <w:szCs w:val="28"/>
          <w:highlight w:val="none"/>
        </w:rPr>
        <w:t xml:space="preserve"> </w:t>
      </w:r>
    </w:p>
    <w:p w14:paraId="4D8B9764">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预算金额（元）： 2</w:t>
      </w:r>
      <w:r>
        <w:rPr>
          <w:rFonts w:hint="eastAsia" w:ascii="仿宋" w:hAnsi="仿宋" w:eastAsia="仿宋" w:cs="仿宋"/>
          <w:color w:val="auto"/>
          <w:sz w:val="24"/>
          <w:szCs w:val="28"/>
          <w:highlight w:val="none"/>
          <w:lang w:val="en-US" w:eastAsia="zh-CN"/>
        </w:rPr>
        <w:t>8</w:t>
      </w:r>
      <w:r>
        <w:rPr>
          <w:rFonts w:hint="eastAsia" w:ascii="仿宋" w:hAnsi="仿宋" w:eastAsia="仿宋" w:cs="仿宋"/>
          <w:color w:val="auto"/>
          <w:sz w:val="24"/>
          <w:szCs w:val="28"/>
          <w:highlight w:val="none"/>
        </w:rPr>
        <w:t>00000</w:t>
      </w:r>
    </w:p>
    <w:p w14:paraId="39A24AA3">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最高限价（元）： </w:t>
      </w:r>
      <w:r>
        <w:rPr>
          <w:rFonts w:hint="eastAsia" w:ascii="仿宋" w:hAnsi="仿宋" w:eastAsia="仿宋" w:cs="仿宋"/>
          <w:color w:val="auto"/>
          <w:sz w:val="24"/>
          <w:szCs w:val="28"/>
          <w:highlight w:val="none"/>
          <w:lang w:val="en-US" w:eastAsia="zh-CN"/>
        </w:rPr>
        <w:t>28</w:t>
      </w:r>
      <w:r>
        <w:rPr>
          <w:rFonts w:hint="eastAsia" w:ascii="仿宋" w:hAnsi="仿宋" w:eastAsia="仿宋" w:cs="仿宋"/>
          <w:color w:val="auto"/>
          <w:sz w:val="24"/>
          <w:szCs w:val="28"/>
          <w:highlight w:val="none"/>
        </w:rPr>
        <w:t>00000；投标折扣率最高限价：</w:t>
      </w:r>
      <w:r>
        <w:rPr>
          <w:rFonts w:hint="eastAsia" w:ascii="仿宋" w:hAnsi="仿宋" w:eastAsia="仿宋" w:cs="仿宋"/>
          <w:color w:val="auto"/>
          <w:sz w:val="24"/>
          <w:szCs w:val="28"/>
          <w:highlight w:val="none"/>
          <w:lang w:val="en-US" w:eastAsia="zh-CN"/>
        </w:rPr>
        <w:t>90%</w:t>
      </w:r>
    </w:p>
    <w:p w14:paraId="5E556BBE">
      <w:pPr>
        <w:spacing w:line="360" w:lineRule="auto"/>
        <w:ind w:left="420" w:leftChars="200"/>
        <w:jc w:val="left"/>
        <w:rPr>
          <w:rFonts w:hint="eastAsia" w:ascii="仿宋" w:hAnsi="仿宋" w:eastAsia="仿宋" w:cs="仿宋"/>
          <w:b/>
          <w:color w:val="auto"/>
          <w:sz w:val="24"/>
          <w:szCs w:val="28"/>
          <w:highlight w:val="none"/>
        </w:rPr>
      </w:pPr>
      <w:r>
        <w:rPr>
          <w:rFonts w:hint="eastAsia" w:ascii="仿宋" w:hAnsi="仿宋" w:eastAsia="仿宋" w:cs="仿宋"/>
          <w:color w:val="auto"/>
          <w:sz w:val="24"/>
          <w:szCs w:val="28"/>
          <w:highlight w:val="none"/>
        </w:rPr>
        <w:t xml:space="preserve">采购需求： </w:t>
      </w:r>
    </w:p>
    <w:p w14:paraId="5B371A47">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标项一：</w:t>
      </w:r>
    </w:p>
    <w:p w14:paraId="3D4964A8">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标项名称：</w:t>
      </w:r>
      <w:r>
        <w:rPr>
          <w:rFonts w:hint="eastAsia" w:ascii="仿宋" w:hAnsi="仿宋" w:eastAsia="仿宋" w:cs="仿宋"/>
          <w:color w:val="auto"/>
          <w:sz w:val="24"/>
          <w:szCs w:val="28"/>
          <w:highlight w:val="none"/>
          <w:lang w:eastAsia="zh-CN"/>
        </w:rPr>
        <w:t>2025-2026年度镇村两级及其下属国有企业招标代理咨询机构框架协议采购项目（封闭式）（重招）</w:t>
      </w:r>
    </w:p>
    <w:p w14:paraId="2F2CC28D">
      <w:pPr>
        <w:spacing w:line="360" w:lineRule="auto"/>
        <w:ind w:left="420" w:leftChars="200"/>
        <w:jc w:val="left"/>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数量： 不限</w:t>
      </w:r>
    </w:p>
    <w:p w14:paraId="45F910DB">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预算金额（元）: 2</w:t>
      </w:r>
      <w:r>
        <w:rPr>
          <w:rFonts w:hint="eastAsia" w:ascii="仿宋" w:hAnsi="仿宋" w:eastAsia="仿宋" w:cs="仿宋"/>
          <w:color w:val="auto"/>
          <w:sz w:val="24"/>
          <w:szCs w:val="28"/>
          <w:highlight w:val="none"/>
          <w:lang w:val="en-US" w:eastAsia="zh-CN"/>
        </w:rPr>
        <w:t>8</w:t>
      </w:r>
      <w:r>
        <w:rPr>
          <w:rFonts w:hint="eastAsia" w:ascii="仿宋" w:hAnsi="仿宋" w:eastAsia="仿宋" w:cs="仿宋"/>
          <w:color w:val="auto"/>
          <w:sz w:val="24"/>
          <w:szCs w:val="28"/>
          <w:highlight w:val="none"/>
        </w:rPr>
        <w:t>00000</w:t>
      </w:r>
    </w:p>
    <w:p w14:paraId="1E64278D">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简要规格描述或项目基本概况介绍、用途：</w:t>
      </w:r>
      <w:r>
        <w:rPr>
          <w:rFonts w:hint="eastAsia" w:ascii="仿宋" w:hAnsi="仿宋" w:eastAsia="仿宋" w:cs="仿宋"/>
          <w:color w:val="auto"/>
          <w:sz w:val="24"/>
          <w:szCs w:val="28"/>
          <w:highlight w:val="none"/>
          <w:u w:val="single"/>
          <w:lang w:eastAsia="zh-CN"/>
        </w:rPr>
        <w:t>2025-2026年度镇村两级及其下属国有企业招标代理咨询机构框架协议采购项目（封闭式）（重招）</w:t>
      </w:r>
      <w:r>
        <w:rPr>
          <w:rFonts w:hint="eastAsia" w:ascii="仿宋" w:hAnsi="仿宋" w:eastAsia="仿宋" w:cs="仿宋"/>
          <w:color w:val="auto"/>
          <w:sz w:val="24"/>
          <w:szCs w:val="28"/>
          <w:highlight w:val="none"/>
          <w:u w:val="single"/>
        </w:rPr>
        <w:t>，公开征集</w:t>
      </w:r>
      <w:r>
        <w:rPr>
          <w:rFonts w:hint="eastAsia" w:ascii="仿宋" w:hAnsi="仿宋" w:eastAsia="仿宋" w:cs="仿宋"/>
          <w:color w:val="auto"/>
          <w:sz w:val="24"/>
          <w:szCs w:val="28"/>
          <w:highlight w:val="none"/>
          <w:u w:val="single"/>
          <w:lang w:val="en-US" w:eastAsia="zh-CN"/>
        </w:rPr>
        <w:t>8</w:t>
      </w:r>
      <w:r>
        <w:rPr>
          <w:rFonts w:hint="eastAsia" w:ascii="仿宋" w:hAnsi="仿宋" w:eastAsia="仿宋" w:cs="仿宋"/>
          <w:color w:val="auto"/>
          <w:sz w:val="24"/>
          <w:szCs w:val="28"/>
          <w:highlight w:val="none"/>
          <w:u w:val="single"/>
        </w:rPr>
        <w:t>家供应商。</w:t>
      </w:r>
    </w:p>
    <w:p w14:paraId="4F106024">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备注：无。</w:t>
      </w:r>
    </w:p>
    <w:p w14:paraId="26B60B31">
      <w:pPr>
        <w:spacing w:line="360" w:lineRule="auto"/>
        <w:ind w:left="420" w:leftChars="200"/>
        <w:jc w:val="left"/>
        <w:rPr>
          <w:rFonts w:hint="eastAsia" w:ascii="仿宋" w:hAnsi="仿宋" w:eastAsia="仿宋" w:cs="仿宋"/>
          <w:color w:val="auto"/>
          <w:sz w:val="24"/>
          <w:szCs w:val="28"/>
          <w:highlight w:val="none"/>
          <w:u w:val="single"/>
        </w:rPr>
      </w:pPr>
      <w:r>
        <w:rPr>
          <w:rFonts w:hint="eastAsia" w:ascii="仿宋" w:hAnsi="仿宋" w:eastAsia="仿宋" w:cs="仿宋"/>
          <w:color w:val="auto"/>
          <w:sz w:val="24"/>
          <w:szCs w:val="28"/>
          <w:highlight w:val="none"/>
        </w:rPr>
        <w:t>合同履行期限：详见征集文件。</w:t>
      </w:r>
    </w:p>
    <w:p w14:paraId="575F2B81">
      <w:pPr>
        <w:spacing w:line="360" w:lineRule="auto"/>
        <w:ind w:left="420" w:left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本项目</w:t>
      </w:r>
      <w:r>
        <w:rPr>
          <w:rFonts w:hint="eastAsia" w:ascii="仿宋" w:hAnsi="仿宋" w:eastAsia="仿宋" w:cs="仿宋"/>
          <w:b/>
          <w:color w:val="auto"/>
          <w:sz w:val="24"/>
          <w:szCs w:val="28"/>
          <w:highlight w:val="none"/>
        </w:rPr>
        <w:t>（</w:t>
      </w:r>
      <w:r>
        <w:rPr>
          <w:rFonts w:hint="eastAsia" w:ascii="仿宋" w:hAnsi="仿宋" w:eastAsia="仿宋" w:cs="仿宋"/>
          <w:b/>
          <w:i/>
          <w:color w:val="auto"/>
          <w:sz w:val="24"/>
          <w:szCs w:val="28"/>
          <w:highlight w:val="none"/>
        </w:rPr>
        <w:t>否</w:t>
      </w:r>
      <w:r>
        <w:rPr>
          <w:rFonts w:hint="eastAsia" w:ascii="仿宋" w:hAnsi="仿宋" w:eastAsia="仿宋" w:cs="仿宋"/>
          <w:b/>
          <w:color w:val="auto"/>
          <w:sz w:val="24"/>
          <w:szCs w:val="28"/>
          <w:highlight w:val="none"/>
        </w:rPr>
        <w:t>）</w:t>
      </w:r>
      <w:r>
        <w:rPr>
          <w:rFonts w:hint="eastAsia" w:ascii="仿宋" w:hAnsi="仿宋" w:eastAsia="仿宋" w:cs="仿宋"/>
          <w:color w:val="auto"/>
          <w:sz w:val="24"/>
          <w:szCs w:val="28"/>
          <w:highlight w:val="none"/>
        </w:rPr>
        <w:t>接受联合体投标。</w:t>
      </w:r>
    </w:p>
    <w:p w14:paraId="749344FD">
      <w:pPr>
        <w:pStyle w:val="3"/>
        <w:numPr>
          <w:ilvl w:val="0"/>
          <w:numId w:val="0"/>
        </w:numPr>
        <w:rPr>
          <w:rFonts w:hint="eastAsia" w:ascii="仿宋" w:eastAsia="仿宋" w:cs="仿宋"/>
          <w:color w:val="auto"/>
          <w:sz w:val="24"/>
          <w:szCs w:val="28"/>
          <w:highlight w:val="none"/>
        </w:rPr>
      </w:pPr>
      <w:bookmarkStart w:id="16" w:name="_Toc35393622"/>
      <w:bookmarkStart w:id="17" w:name="_Toc35393791"/>
      <w:bookmarkStart w:id="18" w:name="_Toc28359003"/>
      <w:bookmarkStart w:id="19" w:name="_Toc28359080"/>
      <w:r>
        <w:rPr>
          <w:rFonts w:hint="eastAsia" w:ascii="仿宋" w:eastAsia="仿宋" w:cs="仿宋"/>
          <w:color w:val="auto"/>
          <w:sz w:val="24"/>
          <w:szCs w:val="28"/>
          <w:highlight w:val="none"/>
        </w:rPr>
        <w:t>二、申请人的资格要求：</w:t>
      </w:r>
      <w:bookmarkEnd w:id="16"/>
      <w:bookmarkEnd w:id="17"/>
      <w:bookmarkEnd w:id="18"/>
      <w:bookmarkEnd w:id="19"/>
    </w:p>
    <w:p w14:paraId="61AE0433">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满足《中华人民共和国政府采购法》第二十二条规定；且未被“信用中国”（www.creditchina.gov.cn）、中国政府采购网（www.ccgp.gov.cn）列入失信被执行人、重大税收违法案件当事人名单、政府采购严重违法失信行为记录名单；</w:t>
      </w:r>
    </w:p>
    <w:p w14:paraId="6C35C6F7">
      <w:pPr>
        <w:spacing w:line="360" w:lineRule="auto"/>
        <w:ind w:firstLine="480" w:firstLineChars="200"/>
        <w:jc w:val="left"/>
        <w:rPr>
          <w:rFonts w:hint="eastAsia" w:ascii="仿宋" w:hAnsi="仿宋" w:eastAsia="仿宋" w:cs="仿宋"/>
          <w:color w:val="auto"/>
          <w:sz w:val="24"/>
          <w:szCs w:val="28"/>
          <w:highlight w:val="none"/>
        </w:rPr>
      </w:pPr>
      <w:bookmarkStart w:id="20" w:name="_Toc28359004"/>
      <w:bookmarkStart w:id="21" w:name="_Toc28359081"/>
      <w:r>
        <w:rPr>
          <w:rFonts w:hint="eastAsia" w:ascii="仿宋" w:hAnsi="仿宋" w:eastAsia="仿宋" w:cs="仿宋"/>
          <w:color w:val="auto"/>
          <w:sz w:val="24"/>
          <w:szCs w:val="28"/>
          <w:highlight w:val="none"/>
        </w:rPr>
        <w:t>落实政府采购政策需满足的资格要求：</w:t>
      </w:r>
    </w:p>
    <w:p w14:paraId="1E815C67">
      <w:pPr>
        <w:spacing w:line="360" w:lineRule="auto"/>
        <w:ind w:firstLine="480" w:firstLineChars="200"/>
        <w:rPr>
          <w:rFonts w:hint="eastAsia" w:ascii="仿宋" w:hAnsi="仿宋" w:eastAsia="仿宋" w:cs="仿宋"/>
          <w:color w:val="auto"/>
          <w:sz w:val="24"/>
          <w:highlight w:val="none"/>
        </w:rPr>
      </w:pPr>
      <w:r>
        <w:rPr>
          <w:rFonts w:hint="eastAsia" w:ascii="MS Mincho" w:hAnsi="MS Mincho" w:eastAsia="MS Mincho" w:cs="MS Mincho"/>
          <w:color w:val="auto"/>
          <w:kern w:val="0"/>
          <w:sz w:val="24"/>
          <w:highlight w:val="none"/>
        </w:rPr>
        <w:t>☑</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506EF2C1">
      <w:pPr>
        <w:spacing w:line="360" w:lineRule="auto"/>
        <w:ind w:firstLine="897" w:firstLineChars="374"/>
        <w:rPr>
          <w:rFonts w:hint="eastAsia" w:ascii="仿宋" w:hAnsi="仿宋" w:eastAsia="仿宋" w:cs="仿宋"/>
          <w:color w:val="auto"/>
          <w:sz w:val="24"/>
          <w:highlight w:val="none"/>
          <w:u w:val="singl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货物全部由符合政策要求的中小企业制造，提供中小企业声明函；</w:t>
      </w:r>
    </w:p>
    <w:p w14:paraId="493142DC">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货物全部由符合政策要求的小微企业制造，提供中小企业声明函；</w:t>
      </w:r>
    </w:p>
    <w:p w14:paraId="21A99758">
      <w:pPr>
        <w:spacing w:line="360" w:lineRule="auto"/>
        <w:ind w:firstLine="897" w:firstLineChars="374"/>
        <w:rPr>
          <w:rFonts w:hint="eastAsia" w:ascii="仿宋" w:hAnsi="仿宋" w:eastAsia="仿宋" w:cs="仿宋"/>
          <w:color w:val="auto"/>
          <w:sz w:val="24"/>
          <w:highlight w:val="none"/>
        </w:rPr>
      </w:pPr>
      <w:r>
        <w:rPr>
          <w:rFonts w:hint="eastAsia" w:ascii="MS Mincho" w:hAnsi="MS Mincho" w:eastAsia="MS Mincho" w:cs="MS Mincho"/>
          <w:color w:val="auto"/>
          <w:kern w:val="0"/>
          <w:sz w:val="24"/>
          <w:highlight w:val="none"/>
        </w:rPr>
        <w:t>☑</w:t>
      </w:r>
      <w:r>
        <w:rPr>
          <w:rFonts w:hint="eastAsia" w:ascii="仿宋" w:hAnsi="仿宋" w:eastAsia="仿宋" w:cs="仿宋"/>
          <w:color w:val="auto"/>
          <w:sz w:val="24"/>
          <w:highlight w:val="none"/>
        </w:rPr>
        <w:t>服务全部由符合政策要求的中小企业承接，提供中小企业声明函；</w:t>
      </w:r>
    </w:p>
    <w:p w14:paraId="189BCDF7">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服务全部由符合政策要求的小微企业承接，提供中小企业声明函；</w:t>
      </w:r>
    </w:p>
    <w:p w14:paraId="70EF612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bookmarkStart w:id="22" w:name="_Hlk101132524"/>
      <w:r>
        <w:rPr>
          <w:rFonts w:hint="eastAsia" w:ascii="仿宋" w:hAnsi="仿宋" w:eastAsia="仿宋" w:cs="仿宋"/>
          <w:color w:val="auto"/>
          <w:sz w:val="24"/>
          <w:highlight w:val="none"/>
        </w:rPr>
        <w:t>要求以联合体形式参加，提供联合协议和中小企业声明函，联合体协议书中中小企业合同金额应当达到__%，其中小微企业合同金额应当达到__%;</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22"/>
    <w:p w14:paraId="3B51144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要求合同分包，提供分包意向协议和中小企业声明函，分包意向协议中中小企业合同金额应当达到达到__% ，其中小微企业合同金额应当达到__%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4A28005D">
      <w:pPr>
        <w:tabs>
          <w:tab w:val="center" w:pos="4535"/>
        </w:tabs>
        <w:spacing w:line="360" w:lineRule="auto"/>
        <w:ind w:firstLine="480" w:firstLineChars="200"/>
        <w:jc w:val="left"/>
        <w:rPr>
          <w:rFonts w:hint="eastAsia" w:ascii="仿宋" w:hAnsi="仿宋" w:eastAsia="仿宋" w:cs="仿宋"/>
          <w:i/>
          <w:iCs/>
          <w:color w:val="auto"/>
          <w:sz w:val="24"/>
          <w:szCs w:val="28"/>
          <w:highlight w:val="none"/>
          <w:u w:val="single"/>
        </w:rPr>
      </w:pP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szCs w:val="28"/>
          <w:highlight w:val="none"/>
        </w:rPr>
        <w:t>。</w:t>
      </w:r>
      <w:r>
        <w:rPr>
          <w:rFonts w:hint="eastAsia" w:ascii="仿宋" w:hAnsi="仿宋" w:eastAsia="仿宋" w:cs="仿宋"/>
          <w:color w:val="auto"/>
          <w:sz w:val="24"/>
          <w:szCs w:val="28"/>
          <w:highlight w:val="none"/>
        </w:rPr>
        <w:tab/>
      </w:r>
    </w:p>
    <w:p w14:paraId="4AE48B9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C8CE694">
      <w:pPr>
        <w:pStyle w:val="3"/>
        <w:numPr>
          <w:ilvl w:val="0"/>
          <w:numId w:val="0"/>
        </w:numPr>
        <w:rPr>
          <w:rFonts w:hint="eastAsia" w:ascii="仿宋" w:eastAsia="仿宋" w:cs="仿宋"/>
          <w:color w:val="auto"/>
          <w:sz w:val="24"/>
          <w:szCs w:val="28"/>
          <w:highlight w:val="none"/>
        </w:rPr>
      </w:pPr>
      <w:bookmarkStart w:id="23" w:name="_Toc35393792"/>
      <w:bookmarkStart w:id="24" w:name="_Toc35393623"/>
      <w:r>
        <w:rPr>
          <w:rFonts w:hint="eastAsia" w:ascii="仿宋" w:eastAsia="仿宋" w:cs="仿宋"/>
          <w:color w:val="auto"/>
          <w:sz w:val="24"/>
          <w:szCs w:val="28"/>
          <w:highlight w:val="none"/>
        </w:rPr>
        <w:t>三、获取</w:t>
      </w:r>
      <w:bookmarkEnd w:id="20"/>
      <w:bookmarkEnd w:id="21"/>
      <w:bookmarkEnd w:id="23"/>
      <w:bookmarkEnd w:id="24"/>
      <w:r>
        <w:rPr>
          <w:rFonts w:hint="eastAsia" w:ascii="仿宋" w:eastAsia="仿宋" w:cs="仿宋"/>
          <w:color w:val="auto"/>
          <w:sz w:val="24"/>
          <w:szCs w:val="28"/>
          <w:highlight w:val="none"/>
        </w:rPr>
        <w:t>征集文件</w:t>
      </w:r>
    </w:p>
    <w:p w14:paraId="79E78AF9">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时间：/至</w:t>
      </w:r>
      <w:r>
        <w:rPr>
          <w:rFonts w:hint="eastAsia" w:ascii="仿宋" w:hAnsi="仿宋" w:eastAsia="仿宋" w:cs="仿宋"/>
          <w:color w:val="auto"/>
          <w:sz w:val="24"/>
          <w:szCs w:val="28"/>
          <w:highlight w:val="none"/>
          <w:u w:val="single"/>
          <w:lang w:eastAsia="zh-CN"/>
        </w:rPr>
        <w:t>2025年4月15日</w:t>
      </w:r>
      <w:r>
        <w:rPr>
          <w:rFonts w:hint="eastAsia" w:ascii="仿宋" w:hAnsi="仿宋" w:eastAsia="仿宋" w:cs="仿宋"/>
          <w:color w:val="auto"/>
          <w:sz w:val="24"/>
          <w:szCs w:val="28"/>
          <w:highlight w:val="none"/>
        </w:rPr>
        <w:t>，每天上午</w:t>
      </w:r>
      <w:r>
        <w:rPr>
          <w:rFonts w:hint="eastAsia" w:ascii="仿宋" w:hAnsi="仿宋" w:eastAsia="仿宋" w:cs="仿宋"/>
          <w:snapToGrid w:val="0"/>
          <w:color w:val="auto"/>
          <w:sz w:val="24"/>
          <w:szCs w:val="28"/>
          <w:highlight w:val="none"/>
        </w:rPr>
        <w:t>00:00至12:00</w:t>
      </w:r>
      <w:r>
        <w:rPr>
          <w:rFonts w:hint="eastAsia" w:ascii="仿宋" w:hAnsi="仿宋" w:eastAsia="仿宋" w:cs="仿宋"/>
          <w:color w:val="auto"/>
          <w:sz w:val="24"/>
          <w:szCs w:val="28"/>
          <w:highlight w:val="none"/>
        </w:rPr>
        <w:t> ，下午</w:t>
      </w:r>
      <w:r>
        <w:rPr>
          <w:rFonts w:hint="eastAsia" w:ascii="仿宋" w:hAnsi="仿宋" w:eastAsia="仿宋" w:cs="仿宋"/>
          <w:snapToGrid w:val="0"/>
          <w:color w:val="auto"/>
          <w:sz w:val="24"/>
          <w:szCs w:val="28"/>
          <w:highlight w:val="none"/>
        </w:rPr>
        <w:t>12:00至23:59</w:t>
      </w:r>
      <w:r>
        <w:rPr>
          <w:rFonts w:hint="eastAsia" w:ascii="仿宋" w:hAnsi="仿宋" w:eastAsia="仿宋" w:cs="仿宋"/>
          <w:color w:val="auto"/>
          <w:sz w:val="24"/>
          <w:szCs w:val="28"/>
          <w:highlight w:val="none"/>
        </w:rPr>
        <w:t>（北京时间，线上获取法定节假日均可，线下获取文件法定节假日除外）</w:t>
      </w:r>
    </w:p>
    <w:p w14:paraId="29BCEC9E">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地点（网址）：</w:t>
      </w:r>
      <w:r>
        <w:rPr>
          <w:rFonts w:hint="eastAsia" w:ascii="仿宋" w:hAnsi="仿宋" w:eastAsia="仿宋" w:cs="仿宋"/>
          <w:snapToGrid w:val="0"/>
          <w:color w:val="auto"/>
          <w:sz w:val="24"/>
          <w:szCs w:val="28"/>
          <w:highlight w:val="none"/>
        </w:rPr>
        <w:t>浙江政府采购网（</w:t>
      </w:r>
      <w:r>
        <w:rPr>
          <w:rFonts w:hint="eastAsia" w:ascii="仿宋" w:hAnsi="仿宋" w:eastAsia="仿宋" w:cs="仿宋"/>
          <w:snapToGrid w:val="0"/>
          <w:color w:val="auto"/>
          <w:sz w:val="24"/>
          <w:szCs w:val="28"/>
          <w:highlight w:val="none"/>
        </w:rPr>
        <w:fldChar w:fldCharType="begin"/>
      </w:r>
      <w:r>
        <w:rPr>
          <w:rFonts w:hint="eastAsia" w:ascii="仿宋" w:hAnsi="仿宋" w:eastAsia="仿宋" w:cs="仿宋"/>
          <w:snapToGrid w:val="0"/>
          <w:color w:val="auto"/>
          <w:sz w:val="24"/>
          <w:szCs w:val="28"/>
          <w:highlight w:val="none"/>
        </w:rPr>
        <w:instrText xml:space="preserve"> HYPERLINK "http://zfcg.czt.zj.gov.cn/" </w:instrText>
      </w:r>
      <w:r>
        <w:rPr>
          <w:rFonts w:hint="eastAsia" w:ascii="仿宋" w:hAnsi="仿宋" w:eastAsia="仿宋" w:cs="仿宋"/>
          <w:snapToGrid w:val="0"/>
          <w:color w:val="auto"/>
          <w:sz w:val="24"/>
          <w:szCs w:val="28"/>
          <w:highlight w:val="none"/>
        </w:rPr>
        <w:fldChar w:fldCharType="separate"/>
      </w:r>
      <w:r>
        <w:rPr>
          <w:rStyle w:val="68"/>
          <w:rFonts w:hint="eastAsia" w:ascii="仿宋" w:hAnsi="仿宋" w:eastAsia="仿宋" w:cs="仿宋"/>
          <w:color w:val="auto"/>
          <w:kern w:val="2"/>
          <w:sz w:val="24"/>
          <w:szCs w:val="28"/>
          <w:highlight w:val="none"/>
        </w:rPr>
        <w:t>http://zfcg.czt.zj.gov.cn/</w:t>
      </w:r>
      <w:r>
        <w:rPr>
          <w:rFonts w:hint="eastAsia" w:ascii="仿宋" w:hAnsi="仿宋" w:eastAsia="仿宋" w:cs="仿宋"/>
          <w:snapToGrid w:val="0"/>
          <w:color w:val="auto"/>
          <w:sz w:val="24"/>
          <w:szCs w:val="28"/>
          <w:highlight w:val="none"/>
        </w:rPr>
        <w:fldChar w:fldCharType="end"/>
      </w:r>
      <w:r>
        <w:rPr>
          <w:rFonts w:hint="eastAsia" w:ascii="仿宋" w:hAnsi="仿宋" w:eastAsia="仿宋" w:cs="仿宋"/>
          <w:snapToGrid w:val="0"/>
          <w:color w:val="auto"/>
          <w:sz w:val="24"/>
          <w:szCs w:val="28"/>
          <w:highlight w:val="none"/>
        </w:rPr>
        <w:t>）</w:t>
      </w:r>
      <w:r>
        <w:rPr>
          <w:rFonts w:hint="eastAsia" w:ascii="仿宋" w:hAnsi="仿宋" w:eastAsia="仿宋" w:cs="仿宋"/>
          <w:color w:val="auto"/>
          <w:sz w:val="24"/>
          <w:szCs w:val="28"/>
          <w:highlight w:val="none"/>
        </w:rPr>
        <w:t>；</w:t>
      </w:r>
    </w:p>
    <w:p w14:paraId="4FEA6058">
      <w:pPr>
        <w:spacing w:line="360" w:lineRule="auto"/>
        <w:ind w:firstLine="480" w:firstLineChars="200"/>
        <w:jc w:val="left"/>
        <w:rPr>
          <w:rFonts w:hint="eastAsia" w:ascii="仿宋" w:hAnsi="仿宋" w:eastAsia="仿宋" w:cs="仿宋"/>
          <w:color w:val="auto"/>
          <w:sz w:val="24"/>
          <w:szCs w:val="28"/>
          <w:highlight w:val="none"/>
          <w:u w:val="single"/>
        </w:rPr>
      </w:pPr>
      <w:r>
        <w:rPr>
          <w:rFonts w:hint="eastAsia" w:ascii="仿宋" w:hAnsi="仿宋" w:eastAsia="仿宋" w:cs="仿宋"/>
          <w:color w:val="auto"/>
          <w:sz w:val="24"/>
          <w:szCs w:val="28"/>
          <w:highlight w:val="none"/>
        </w:rPr>
        <w:t>方式：供应商登录政采云平台http://www.zcygov.cn/，在线申请获取征集文件（进入“项目采购”应用，在获取征集文件菜单中选择项目，申请获取征集文件）。公告页面附件征集文件可以下载，仅供浏览使用；</w:t>
      </w:r>
    </w:p>
    <w:p w14:paraId="371DA581">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售价：0。</w:t>
      </w:r>
    </w:p>
    <w:p w14:paraId="13B6CD27">
      <w:pPr>
        <w:pStyle w:val="3"/>
        <w:numPr>
          <w:ilvl w:val="0"/>
          <w:numId w:val="0"/>
        </w:numPr>
        <w:rPr>
          <w:rFonts w:hint="eastAsia" w:ascii="仿宋" w:eastAsia="仿宋" w:cs="仿宋"/>
          <w:color w:val="auto"/>
          <w:sz w:val="24"/>
          <w:szCs w:val="28"/>
          <w:highlight w:val="none"/>
        </w:rPr>
      </w:pPr>
      <w:bookmarkStart w:id="25" w:name="_Toc28359082"/>
      <w:bookmarkStart w:id="26" w:name="_Toc28359005"/>
      <w:bookmarkStart w:id="27" w:name="_Toc35393624"/>
      <w:bookmarkStart w:id="28" w:name="_Toc35393793"/>
      <w:r>
        <w:rPr>
          <w:rFonts w:hint="eastAsia" w:ascii="仿宋" w:eastAsia="仿宋" w:cs="仿宋"/>
          <w:color w:val="auto"/>
          <w:sz w:val="24"/>
          <w:szCs w:val="28"/>
          <w:highlight w:val="none"/>
        </w:rPr>
        <w:t>四、提交</w:t>
      </w:r>
      <w:bookmarkEnd w:id="25"/>
      <w:bookmarkEnd w:id="26"/>
      <w:r>
        <w:rPr>
          <w:rFonts w:hint="eastAsia" w:ascii="仿宋" w:eastAsia="仿宋" w:cs="仿宋"/>
          <w:color w:val="auto"/>
          <w:sz w:val="24"/>
          <w:szCs w:val="28"/>
          <w:highlight w:val="none"/>
        </w:rPr>
        <w:t>响应文件截止时间、开标时间和地点</w:t>
      </w:r>
      <w:bookmarkEnd w:id="27"/>
      <w:bookmarkEnd w:id="28"/>
    </w:p>
    <w:p w14:paraId="16ABDDEC">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提交响应文件截止时间： </w:t>
      </w:r>
      <w:r>
        <w:rPr>
          <w:rFonts w:hint="eastAsia" w:ascii="仿宋" w:hAnsi="仿宋" w:eastAsia="仿宋" w:cs="仿宋"/>
          <w:color w:val="auto"/>
          <w:sz w:val="24"/>
          <w:szCs w:val="28"/>
          <w:highlight w:val="none"/>
          <w:u w:val="single"/>
          <w:lang w:eastAsia="zh-CN"/>
        </w:rPr>
        <w:t>2025年4月15日</w:t>
      </w:r>
      <w:r>
        <w:rPr>
          <w:rFonts w:hint="eastAsia" w:ascii="仿宋" w:hAnsi="仿宋" w:eastAsia="仿宋" w:cs="仿宋"/>
          <w:bCs/>
          <w:color w:val="auto"/>
          <w:sz w:val="24"/>
          <w:szCs w:val="28"/>
          <w:highlight w:val="none"/>
          <w:u w:val="single"/>
          <w:lang w:val="en-US" w:eastAsia="zh-CN"/>
        </w:rPr>
        <w:t>09</w:t>
      </w:r>
      <w:r>
        <w:rPr>
          <w:rFonts w:hint="eastAsia" w:ascii="仿宋" w:hAnsi="仿宋" w:eastAsia="仿宋" w:cs="仿宋"/>
          <w:bCs/>
          <w:color w:val="auto"/>
          <w:sz w:val="24"/>
          <w:szCs w:val="28"/>
          <w:highlight w:val="none"/>
          <w:u w:val="single"/>
        </w:rPr>
        <w:t>:</w:t>
      </w:r>
      <w:r>
        <w:rPr>
          <w:rFonts w:hint="eastAsia" w:ascii="仿宋" w:hAnsi="仿宋" w:eastAsia="仿宋" w:cs="仿宋"/>
          <w:bCs/>
          <w:color w:val="auto"/>
          <w:sz w:val="24"/>
          <w:szCs w:val="28"/>
          <w:highlight w:val="none"/>
          <w:u w:val="single"/>
          <w:lang w:val="en-US" w:eastAsia="zh-CN"/>
        </w:rPr>
        <w:t>0</w:t>
      </w:r>
      <w:r>
        <w:rPr>
          <w:rFonts w:hint="eastAsia" w:ascii="仿宋" w:hAnsi="仿宋" w:eastAsia="仿宋" w:cs="仿宋"/>
          <w:bCs/>
          <w:color w:val="auto"/>
          <w:sz w:val="24"/>
          <w:szCs w:val="28"/>
          <w:highlight w:val="none"/>
          <w:u w:val="single"/>
        </w:rPr>
        <w:t>0</w:t>
      </w:r>
      <w:r>
        <w:rPr>
          <w:rFonts w:hint="eastAsia" w:ascii="仿宋" w:hAnsi="仿宋" w:eastAsia="仿宋" w:cs="仿宋"/>
          <w:bCs/>
          <w:color w:val="auto"/>
          <w:sz w:val="24"/>
          <w:szCs w:val="28"/>
          <w:highlight w:val="none"/>
        </w:rPr>
        <w:t>（北京时间）</w:t>
      </w:r>
    </w:p>
    <w:p w14:paraId="598A8B0A">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投标地点（网址）：政府采购云平台（https://www.zcygov.cn）</w:t>
      </w:r>
    </w:p>
    <w:p w14:paraId="0CE3A09E">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开标时间：</w:t>
      </w:r>
      <w:r>
        <w:rPr>
          <w:rFonts w:hint="eastAsia" w:ascii="仿宋" w:hAnsi="仿宋" w:eastAsia="仿宋" w:cs="仿宋"/>
          <w:color w:val="auto"/>
          <w:sz w:val="24"/>
          <w:szCs w:val="28"/>
          <w:highlight w:val="none"/>
          <w:u w:val="single"/>
          <w:lang w:eastAsia="zh-CN"/>
        </w:rPr>
        <w:t>2025年4月15日</w:t>
      </w:r>
      <w:r>
        <w:rPr>
          <w:rFonts w:hint="eastAsia" w:ascii="仿宋" w:hAnsi="仿宋" w:eastAsia="仿宋" w:cs="仿宋"/>
          <w:bCs/>
          <w:color w:val="auto"/>
          <w:sz w:val="24"/>
          <w:szCs w:val="28"/>
          <w:highlight w:val="none"/>
          <w:u w:val="single"/>
          <w:lang w:val="en-US" w:eastAsia="zh-CN"/>
        </w:rPr>
        <w:t>09</w:t>
      </w:r>
      <w:r>
        <w:rPr>
          <w:rFonts w:hint="eastAsia" w:ascii="仿宋" w:hAnsi="仿宋" w:eastAsia="仿宋" w:cs="仿宋"/>
          <w:bCs/>
          <w:color w:val="auto"/>
          <w:sz w:val="24"/>
          <w:szCs w:val="28"/>
          <w:highlight w:val="none"/>
          <w:u w:val="single"/>
        </w:rPr>
        <w:t>:</w:t>
      </w:r>
      <w:r>
        <w:rPr>
          <w:rFonts w:hint="eastAsia" w:ascii="仿宋" w:hAnsi="仿宋" w:eastAsia="仿宋" w:cs="仿宋"/>
          <w:bCs/>
          <w:color w:val="auto"/>
          <w:sz w:val="24"/>
          <w:szCs w:val="28"/>
          <w:highlight w:val="none"/>
          <w:u w:val="single"/>
          <w:lang w:val="en-US" w:eastAsia="zh-CN"/>
        </w:rPr>
        <w:t>0</w:t>
      </w:r>
      <w:r>
        <w:rPr>
          <w:rFonts w:hint="eastAsia" w:ascii="仿宋" w:hAnsi="仿宋" w:eastAsia="仿宋" w:cs="仿宋"/>
          <w:bCs/>
          <w:color w:val="auto"/>
          <w:sz w:val="24"/>
          <w:szCs w:val="28"/>
          <w:highlight w:val="none"/>
          <w:u w:val="single"/>
        </w:rPr>
        <w:t>0</w:t>
      </w:r>
    </w:p>
    <w:p w14:paraId="01231DA4">
      <w:pPr>
        <w:spacing w:line="360" w:lineRule="auto"/>
        <w:ind w:firstLine="480" w:firstLineChars="2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开标地点（网址）：</w:t>
      </w:r>
      <w:r>
        <w:rPr>
          <w:rFonts w:hint="eastAsia" w:ascii="仿宋" w:hAnsi="仿宋" w:eastAsia="仿宋" w:cs="仿宋"/>
          <w:color w:val="auto"/>
          <w:sz w:val="24"/>
          <w:szCs w:val="28"/>
          <w:highlight w:val="none"/>
          <w:lang w:eastAsia="zh-CN"/>
        </w:rPr>
        <w:t>柯桥区行政服务中心平水分中心一楼交易大厅</w:t>
      </w:r>
      <w:r>
        <w:rPr>
          <w:rFonts w:hint="eastAsia" w:ascii="仿宋" w:hAnsi="仿宋" w:eastAsia="仿宋" w:cs="仿宋"/>
          <w:color w:val="auto"/>
          <w:sz w:val="24"/>
          <w:szCs w:val="28"/>
          <w:highlight w:val="none"/>
        </w:rPr>
        <w:t>，通过政府采购云平台（https://www.zcygov.cn）在线开标。</w:t>
      </w:r>
    </w:p>
    <w:p w14:paraId="5C2373CC">
      <w:pPr>
        <w:pStyle w:val="3"/>
        <w:numPr>
          <w:ilvl w:val="0"/>
          <w:numId w:val="0"/>
        </w:numPr>
        <w:rPr>
          <w:rFonts w:hint="eastAsia" w:ascii="仿宋" w:eastAsia="仿宋" w:cs="仿宋"/>
          <w:color w:val="auto"/>
          <w:sz w:val="24"/>
          <w:szCs w:val="28"/>
          <w:highlight w:val="none"/>
        </w:rPr>
      </w:pPr>
      <w:bookmarkStart w:id="29" w:name="_Toc28359007"/>
      <w:bookmarkStart w:id="30" w:name="_Toc28359084"/>
      <w:bookmarkStart w:id="31" w:name="_Toc35393625"/>
      <w:bookmarkStart w:id="32" w:name="_Toc35393794"/>
      <w:r>
        <w:rPr>
          <w:rFonts w:hint="eastAsia" w:ascii="仿宋" w:eastAsia="仿宋" w:cs="仿宋"/>
          <w:color w:val="auto"/>
          <w:sz w:val="24"/>
          <w:szCs w:val="28"/>
          <w:highlight w:val="none"/>
        </w:rPr>
        <w:t>五、公告期限</w:t>
      </w:r>
      <w:bookmarkEnd w:id="29"/>
      <w:bookmarkEnd w:id="30"/>
      <w:bookmarkEnd w:id="31"/>
      <w:bookmarkEnd w:id="32"/>
    </w:p>
    <w:p w14:paraId="5A64BBCD">
      <w:pPr>
        <w:spacing w:line="360" w:lineRule="auto"/>
        <w:ind w:firstLine="480" w:firstLineChars="200"/>
        <w:jc w:val="left"/>
        <w:rPr>
          <w:rFonts w:hint="eastAsia" w:ascii="仿宋" w:hAnsi="仿宋" w:eastAsia="仿宋" w:cs="仿宋"/>
          <w:color w:val="auto"/>
          <w:kern w:val="0"/>
          <w:sz w:val="24"/>
          <w:szCs w:val="28"/>
          <w:highlight w:val="none"/>
        </w:rPr>
      </w:pPr>
      <w:r>
        <w:rPr>
          <w:rFonts w:hint="eastAsia" w:ascii="仿宋" w:hAnsi="仿宋" w:eastAsia="仿宋" w:cs="仿宋"/>
          <w:color w:val="auto"/>
          <w:kern w:val="0"/>
          <w:sz w:val="24"/>
          <w:szCs w:val="28"/>
          <w:highlight w:val="none"/>
        </w:rPr>
        <w:t>自本公告发布之日起5个工作日。</w:t>
      </w:r>
    </w:p>
    <w:p w14:paraId="45B09C02">
      <w:pPr>
        <w:pStyle w:val="3"/>
        <w:numPr>
          <w:ilvl w:val="0"/>
          <w:numId w:val="0"/>
        </w:numPr>
        <w:rPr>
          <w:rFonts w:hint="eastAsia" w:ascii="仿宋" w:eastAsia="仿宋" w:cs="仿宋"/>
          <w:color w:val="auto"/>
          <w:sz w:val="24"/>
          <w:szCs w:val="28"/>
          <w:highlight w:val="none"/>
        </w:rPr>
      </w:pPr>
      <w:bookmarkStart w:id="33" w:name="_Toc35393626"/>
      <w:bookmarkStart w:id="34" w:name="_Toc35393795"/>
      <w:r>
        <w:rPr>
          <w:rFonts w:hint="eastAsia" w:ascii="仿宋" w:eastAsia="仿宋" w:cs="仿宋"/>
          <w:color w:val="auto"/>
          <w:sz w:val="24"/>
          <w:szCs w:val="28"/>
          <w:highlight w:val="none"/>
        </w:rPr>
        <w:t>六、其他补充事宜</w:t>
      </w:r>
      <w:bookmarkEnd w:id="33"/>
      <w:bookmarkEnd w:id="34"/>
    </w:p>
    <w:p w14:paraId="4A9BD058">
      <w:pPr>
        <w:spacing w:line="360" w:lineRule="auto"/>
        <w:ind w:firstLine="480" w:firstLineChars="200"/>
        <w:rPr>
          <w:rFonts w:hint="eastAsia" w:ascii="仿宋" w:hAnsi="仿宋" w:eastAsia="仿宋" w:cs="仿宋"/>
          <w:color w:val="auto"/>
          <w:sz w:val="24"/>
          <w:highlight w:val="none"/>
        </w:rPr>
      </w:pPr>
      <w:bookmarkStart w:id="35" w:name="_Toc28359008"/>
      <w:bookmarkStart w:id="36" w:name="_Toc35393796"/>
      <w:bookmarkStart w:id="37" w:name="_Toc28359085"/>
      <w:bookmarkStart w:id="38" w:name="_Toc35393627"/>
      <w:r>
        <w:rPr>
          <w:rFonts w:hint="eastAsia" w:ascii="仿宋" w:hAnsi="仿宋" w:eastAsia="仿宋" w:cs="仿宋"/>
          <w:color w:val="auto"/>
          <w:sz w:val="24"/>
          <w:highlight w:val="none"/>
        </w:rPr>
        <w:t>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F812C7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w:t>
      </w:r>
      <w:r>
        <w:rPr>
          <w:rFonts w:hint="eastAsia" w:ascii="仿宋" w:hAnsi="仿宋" w:eastAsia="仿宋" w:cs="仿宋"/>
          <w:color w:val="auto"/>
          <w:sz w:val="24"/>
          <w:highlight w:val="none"/>
          <w:lang w:eastAsia="zh-CN"/>
        </w:rPr>
        <w:t>浙江政务服务网</w:t>
      </w:r>
      <w:r>
        <w:rPr>
          <w:rFonts w:hint="eastAsia" w:ascii="仿宋" w:hAnsi="仿宋" w:eastAsia="仿宋" w:cs="仿宋"/>
          <w:color w:val="auto"/>
          <w:sz w:val="24"/>
          <w:highlight w:val="none"/>
        </w:rPr>
        <w:t>-政府采购投诉处理-在线办理。</w:t>
      </w:r>
    </w:p>
    <w:p w14:paraId="72AC88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征集文件使自己的权益受到损害的，可以自获取征集文件之日或者征集文件公告期限届满之日（公告期限届满后获取征集文件的，以公告期限届满之日为准）起7个工作日内，以书面形式向征集人和采购代理机构提出质疑。质疑供应商对征集人、采购代理机构的答复不满意或者征集人、采购代理机构未在规定的时间内作出答复的，可以在答复期满后十五个工作日内向同级政府采购监督管理部门投诉。质疑函范本、投诉书范本请到浙江政府采购网下载专区下载。</w:t>
      </w:r>
    </w:p>
    <w:p w14:paraId="60FEF81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征集文件的第二部分总则。（2）电子招投标的说明：①电子招投标：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征集文件的获取：使用账号登录或者使用CA登录政采云平台；进入“项目采购”应用，在获取征集文件菜单中选择项目，获取征集文件；④响应文件的制作：在“政采云电子交易客户端”中完成“填写基本信息”、“导入响应文件”、“标书关联”、“标书检查”、“电子签名”、“生成电子标书”等操作；⑤征集人、采购代理机构将依托政采云平台完成本项目的电子交易活动，平台不接受未按上述方式获取征集文件的供应商进行投标活动； ⑥对未按上述方式获取征集文件的供应商对该文件提出的质疑，征集人或采购代理机构将不予处理；⑦不提供征集文件纸质版；⑧响应文件的传输递交：投标人在投标截止时间前将加密的响应文件上传至政府采购云平台，还可以在投标截止时间前直接提交或者以邮政快递方式递交备份响应文件1份。备份响应文件的制作、存储、密封详见征集文件第二部分第15点—“备份响应文件”；⑨响应文件的解密：投标人按照平台提示和征集文件的规定在半小时内完成在线解密。通过“政府采购云平台”上传递交的响应文件无法按时解密，投标供应商递交了备份响应文件的，以备份响应文件为依据，否则视为响应文件撤回。通过“政府采购云平台”上传递交的响应文件已按时解密的，备份响应文件自动失效。投标人仅提交备份响应文件，未在电子交易平台传输递交响应文件的，投标无效；⑩具体操作指南：详见政采云平台“服务中心-帮助文档-项目采购-操作流程-电子招投标-政府采购项目电子交易管理操作指南-供应商”。（3）征集文件公告期限与征集公告的公告期限一致。</w:t>
      </w:r>
    </w:p>
    <w:p w14:paraId="3F21CA31">
      <w:pPr>
        <w:pStyle w:val="3"/>
        <w:numPr>
          <w:ilvl w:val="0"/>
          <w:numId w:val="0"/>
        </w:numPr>
        <w:rPr>
          <w:rFonts w:hint="eastAsia" w:ascii="仿宋" w:eastAsia="仿宋" w:cs="仿宋"/>
          <w:color w:val="auto"/>
          <w:sz w:val="24"/>
          <w:szCs w:val="28"/>
          <w:highlight w:val="none"/>
        </w:rPr>
      </w:pPr>
      <w:r>
        <w:rPr>
          <w:rFonts w:hint="eastAsia" w:ascii="仿宋" w:eastAsia="仿宋" w:cs="仿宋"/>
          <w:color w:val="auto"/>
          <w:sz w:val="24"/>
          <w:szCs w:val="28"/>
          <w:highlight w:val="none"/>
        </w:rPr>
        <w:t>七、对本次采购提出询问、质疑、投诉，请按以下方式联系。</w:t>
      </w:r>
      <w:bookmarkEnd w:id="35"/>
      <w:bookmarkEnd w:id="36"/>
      <w:bookmarkEnd w:id="37"/>
      <w:bookmarkEnd w:id="38"/>
    </w:p>
    <w:p w14:paraId="26FAC787">
      <w:pPr>
        <w:widowControl/>
        <w:spacing w:line="360" w:lineRule="auto"/>
        <w:ind w:firstLine="240" w:firstLineChars="1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1.征集人信息</w:t>
      </w:r>
    </w:p>
    <w:p w14:paraId="0B047649">
      <w:pPr>
        <w:widowControl/>
        <w:spacing w:line="360" w:lineRule="auto"/>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   名称：</w:t>
      </w:r>
      <w:r>
        <w:rPr>
          <w:rFonts w:hint="eastAsia" w:ascii="仿宋" w:hAnsi="仿宋" w:eastAsia="仿宋" w:cs="仿宋"/>
          <w:color w:val="auto"/>
          <w:sz w:val="24"/>
          <w:szCs w:val="28"/>
          <w:highlight w:val="none"/>
          <w:lang w:eastAsia="zh-CN"/>
        </w:rPr>
        <w:t>柯桥区平水镇人民政府</w:t>
      </w:r>
    </w:p>
    <w:p w14:paraId="65D6350A">
      <w:pPr>
        <w:widowControl/>
        <w:spacing w:line="360" w:lineRule="auto"/>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   地址：</w:t>
      </w:r>
      <w:r>
        <w:rPr>
          <w:rFonts w:hint="eastAsia" w:ascii="仿宋" w:hAnsi="仿宋" w:eastAsia="仿宋" w:cs="仿宋"/>
          <w:color w:val="auto"/>
          <w:sz w:val="24"/>
          <w:szCs w:val="28"/>
          <w:highlight w:val="none"/>
          <w:lang w:eastAsia="zh-CN"/>
        </w:rPr>
        <w:t>柯桥区平水镇</w:t>
      </w:r>
    </w:p>
    <w:p w14:paraId="320A44C4">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传真：/</w:t>
      </w:r>
    </w:p>
    <w:p w14:paraId="4FCF6F60">
      <w:pPr>
        <w:widowControl/>
        <w:spacing w:line="360" w:lineRule="auto"/>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   项目联系人（询问）：</w:t>
      </w:r>
      <w:r>
        <w:rPr>
          <w:rFonts w:hint="eastAsia" w:ascii="仿宋" w:hAnsi="仿宋" w:eastAsia="仿宋" w:cs="仿宋"/>
          <w:color w:val="auto"/>
          <w:sz w:val="24"/>
          <w:szCs w:val="28"/>
          <w:highlight w:val="none"/>
          <w:lang w:eastAsia="zh-CN"/>
        </w:rPr>
        <w:t>孙吉利</w:t>
      </w:r>
    </w:p>
    <w:p w14:paraId="021DE47F">
      <w:pPr>
        <w:widowControl/>
        <w:spacing w:line="360" w:lineRule="auto"/>
        <w:ind w:firstLine="240" w:firstLineChars="100"/>
        <w:jc w:val="left"/>
        <w:rPr>
          <w:rFonts w:hint="default"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 项目联系方式（询问）：0575-</w:t>
      </w:r>
      <w:r>
        <w:rPr>
          <w:rFonts w:hint="eastAsia" w:ascii="仿宋" w:hAnsi="仿宋" w:eastAsia="仿宋" w:cs="仿宋"/>
          <w:color w:val="auto"/>
          <w:sz w:val="24"/>
          <w:szCs w:val="28"/>
          <w:highlight w:val="none"/>
          <w:lang w:val="en-US" w:eastAsia="zh-CN"/>
        </w:rPr>
        <w:t>85766801</w:t>
      </w:r>
    </w:p>
    <w:p w14:paraId="3F8A2523">
      <w:pPr>
        <w:widowControl/>
        <w:spacing w:line="360" w:lineRule="auto"/>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   质疑联系人：</w:t>
      </w:r>
      <w:r>
        <w:rPr>
          <w:rFonts w:hint="eastAsia" w:ascii="仿宋" w:hAnsi="仿宋" w:eastAsia="仿宋" w:cs="仿宋"/>
          <w:color w:val="auto"/>
          <w:sz w:val="24"/>
          <w:szCs w:val="28"/>
          <w:highlight w:val="none"/>
          <w:lang w:eastAsia="zh-CN"/>
        </w:rPr>
        <w:t>许盈</w:t>
      </w:r>
    </w:p>
    <w:p w14:paraId="6A749D52">
      <w:pPr>
        <w:widowControl/>
        <w:spacing w:line="360" w:lineRule="auto"/>
        <w:ind w:firstLine="240" w:firstLineChars="100"/>
        <w:jc w:val="left"/>
        <w:rPr>
          <w:rFonts w:hint="default" w:ascii="仿宋" w:hAnsi="仿宋" w:eastAsia="仿宋" w:cs="仿宋"/>
          <w:snapToGrid w:val="0"/>
          <w:color w:val="auto"/>
          <w:kern w:val="0"/>
          <w:sz w:val="24"/>
          <w:szCs w:val="28"/>
          <w:highlight w:val="none"/>
          <w:lang w:val="en-US" w:eastAsia="zh-CN"/>
        </w:rPr>
      </w:pPr>
      <w:r>
        <w:rPr>
          <w:rFonts w:hint="eastAsia" w:ascii="仿宋" w:hAnsi="仿宋" w:eastAsia="仿宋" w:cs="仿宋"/>
          <w:color w:val="auto"/>
          <w:sz w:val="24"/>
          <w:szCs w:val="28"/>
          <w:highlight w:val="none"/>
        </w:rPr>
        <w:t>质疑联系方式：</w:t>
      </w:r>
      <w:r>
        <w:rPr>
          <w:rFonts w:hint="eastAsia" w:ascii="仿宋" w:hAnsi="仿宋" w:eastAsia="仿宋" w:cs="仿宋"/>
          <w:color w:val="auto"/>
          <w:sz w:val="24"/>
          <w:szCs w:val="28"/>
          <w:highlight w:val="none"/>
          <w:lang w:val="en-US" w:eastAsia="zh-CN"/>
        </w:rPr>
        <w:t>0575-85768998</w:t>
      </w:r>
    </w:p>
    <w:p w14:paraId="42B205D9">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lang w:val="en-US" w:eastAsia="zh-CN"/>
        </w:rPr>
        <w:t xml:space="preserve"> </w:t>
      </w:r>
      <w:r>
        <w:rPr>
          <w:rFonts w:hint="eastAsia" w:ascii="仿宋" w:hAnsi="仿宋" w:eastAsia="仿宋" w:cs="仿宋"/>
          <w:color w:val="auto"/>
          <w:sz w:val="24"/>
          <w:szCs w:val="28"/>
          <w:highlight w:val="none"/>
        </w:rPr>
        <w:t>2.采购代理机构信息</w:t>
      </w:r>
    </w:p>
    <w:p w14:paraId="5C19B381">
      <w:pPr>
        <w:widowControl/>
        <w:spacing w:line="360" w:lineRule="auto"/>
        <w:jc w:val="left"/>
        <w:rPr>
          <w:rFonts w:hint="eastAsia" w:ascii="仿宋" w:hAnsi="仿宋" w:eastAsia="仿宋" w:cs="仿宋"/>
          <w:snapToGrid w:val="0"/>
          <w:color w:val="auto"/>
          <w:kern w:val="0"/>
          <w:sz w:val="24"/>
          <w:szCs w:val="28"/>
          <w:highlight w:val="none"/>
          <w:lang w:eastAsia="zh-CN"/>
        </w:rPr>
      </w:pPr>
      <w:r>
        <w:rPr>
          <w:rFonts w:hint="eastAsia" w:ascii="仿宋" w:hAnsi="仿宋" w:eastAsia="仿宋" w:cs="仿宋"/>
          <w:color w:val="auto"/>
          <w:sz w:val="24"/>
          <w:szCs w:val="28"/>
          <w:highlight w:val="none"/>
        </w:rPr>
        <w:t>   名称：</w:t>
      </w:r>
      <w:r>
        <w:rPr>
          <w:rFonts w:hint="eastAsia" w:ascii="仿宋" w:hAnsi="仿宋" w:eastAsia="仿宋" w:cs="仿宋"/>
          <w:snapToGrid w:val="0"/>
          <w:color w:val="auto"/>
          <w:kern w:val="0"/>
          <w:sz w:val="24"/>
          <w:szCs w:val="28"/>
          <w:highlight w:val="none"/>
          <w:lang w:val="en-US" w:eastAsia="zh-CN"/>
        </w:rPr>
        <w:t>浙江国华工程管理有限公司</w:t>
      </w:r>
    </w:p>
    <w:p w14:paraId="0414A9B2">
      <w:pPr>
        <w:widowControl/>
        <w:spacing w:line="360" w:lineRule="auto"/>
        <w:jc w:val="left"/>
        <w:rPr>
          <w:rFonts w:hint="default"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   地址：绍兴市越城区</w:t>
      </w:r>
      <w:r>
        <w:rPr>
          <w:rFonts w:hint="eastAsia" w:ascii="仿宋" w:hAnsi="仿宋" w:eastAsia="仿宋" w:cs="仿宋"/>
          <w:color w:val="auto"/>
          <w:sz w:val="24"/>
          <w:szCs w:val="28"/>
          <w:highlight w:val="none"/>
          <w:lang w:val="en-US" w:eastAsia="zh-CN"/>
        </w:rPr>
        <w:t>五泄路90号</w:t>
      </w:r>
    </w:p>
    <w:p w14:paraId="05AB9CD1">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传真：/</w:t>
      </w:r>
    </w:p>
    <w:p w14:paraId="5EA2FF35">
      <w:pPr>
        <w:widowControl/>
        <w:spacing w:line="360" w:lineRule="auto"/>
        <w:jc w:val="left"/>
        <w:rPr>
          <w:rFonts w:hint="eastAsia" w:ascii="宋体" w:hAnsi="宋体" w:eastAsia="仿宋" w:cs="宋体"/>
          <w:color w:val="auto"/>
          <w:sz w:val="24"/>
          <w:szCs w:val="24"/>
          <w:highlight w:val="none"/>
          <w:lang w:eastAsia="zh-CN"/>
        </w:rPr>
      </w:pPr>
      <w:r>
        <w:rPr>
          <w:rFonts w:hint="eastAsia" w:ascii="仿宋" w:hAnsi="仿宋" w:eastAsia="仿宋" w:cs="仿宋"/>
          <w:color w:val="auto"/>
          <w:sz w:val="24"/>
          <w:szCs w:val="28"/>
          <w:highlight w:val="none"/>
        </w:rPr>
        <w:t>   项目联系人（询问）：</w:t>
      </w:r>
      <w:r>
        <w:rPr>
          <w:rFonts w:hint="eastAsia" w:ascii="仿宋" w:hAnsi="仿宋" w:eastAsia="仿宋" w:cs="仿宋"/>
          <w:snapToGrid w:val="0"/>
          <w:color w:val="auto"/>
          <w:kern w:val="0"/>
          <w:sz w:val="24"/>
          <w:szCs w:val="28"/>
          <w:highlight w:val="none"/>
          <w:lang w:val="en-US" w:eastAsia="zh-CN"/>
        </w:rPr>
        <w:t>黄慧琳</w:t>
      </w:r>
    </w:p>
    <w:p w14:paraId="624253B4">
      <w:pPr>
        <w:widowControl/>
        <w:spacing w:line="360" w:lineRule="auto"/>
        <w:jc w:val="left"/>
        <w:rPr>
          <w:rFonts w:hint="eastAsia"/>
          <w:color w:val="auto"/>
          <w:highlight w:val="none"/>
        </w:rPr>
      </w:pPr>
      <w:r>
        <w:rPr>
          <w:rFonts w:hint="eastAsia" w:ascii="仿宋" w:hAnsi="仿宋" w:eastAsia="仿宋" w:cs="仿宋"/>
          <w:color w:val="auto"/>
          <w:sz w:val="24"/>
          <w:szCs w:val="28"/>
          <w:highlight w:val="none"/>
        </w:rPr>
        <w:t>   项目联系方式（询问）：</w:t>
      </w:r>
      <w:r>
        <w:rPr>
          <w:rFonts w:hint="eastAsia" w:ascii="仿宋" w:hAnsi="仿宋" w:eastAsia="仿宋" w:cs="宋体"/>
          <w:color w:val="auto"/>
          <w:sz w:val="24"/>
          <w:szCs w:val="28"/>
          <w:highlight w:val="none"/>
          <w:lang w:val="en-US" w:eastAsia="zh-CN"/>
        </w:rPr>
        <w:t>15088536902</w:t>
      </w:r>
      <w:r>
        <w:rPr>
          <w:rFonts w:hint="eastAsia" w:ascii="仿宋" w:hAnsi="仿宋" w:eastAsia="仿宋" w:cs="仿宋"/>
          <w:snapToGrid w:val="0"/>
          <w:color w:val="auto"/>
          <w:kern w:val="0"/>
          <w:sz w:val="24"/>
          <w:szCs w:val="28"/>
          <w:highlight w:val="none"/>
        </w:rPr>
        <w:t xml:space="preserve"> </w:t>
      </w:r>
    </w:p>
    <w:p w14:paraId="1E0C8B30">
      <w:pPr>
        <w:widowControl/>
        <w:spacing w:line="360" w:lineRule="auto"/>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   质疑联系人：</w:t>
      </w:r>
      <w:r>
        <w:rPr>
          <w:rFonts w:hint="eastAsia" w:ascii="仿宋" w:hAnsi="仿宋" w:eastAsia="仿宋" w:cs="仿宋"/>
          <w:color w:val="auto"/>
          <w:sz w:val="24"/>
          <w:szCs w:val="28"/>
          <w:highlight w:val="none"/>
          <w:lang w:val="en-US" w:eastAsia="zh-CN"/>
        </w:rPr>
        <w:t>姜加平</w:t>
      </w:r>
    </w:p>
    <w:p w14:paraId="70A969F5">
      <w:pPr>
        <w:widowControl/>
        <w:spacing w:line="360" w:lineRule="auto"/>
        <w:jc w:val="left"/>
        <w:rPr>
          <w:rFonts w:hint="default"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   质疑联系方式：0575-</w:t>
      </w:r>
      <w:r>
        <w:rPr>
          <w:rFonts w:hint="eastAsia" w:ascii="仿宋" w:hAnsi="仿宋" w:eastAsia="仿宋" w:cs="仿宋"/>
          <w:color w:val="auto"/>
          <w:sz w:val="24"/>
          <w:szCs w:val="28"/>
          <w:highlight w:val="none"/>
          <w:lang w:val="en-US" w:eastAsia="zh-CN"/>
        </w:rPr>
        <w:t>81160177</w:t>
      </w:r>
    </w:p>
    <w:p w14:paraId="1C655133">
      <w:pPr>
        <w:widowControl/>
        <w:spacing w:line="360" w:lineRule="auto"/>
        <w:ind w:firstLine="240" w:firstLineChars="100"/>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lang w:val="en-US" w:eastAsia="zh-CN"/>
        </w:rPr>
        <w:t>3</w:t>
      </w:r>
      <w:r>
        <w:rPr>
          <w:rFonts w:hint="eastAsia" w:ascii="仿宋" w:hAnsi="仿宋" w:eastAsia="仿宋" w:cs="仿宋"/>
          <w:color w:val="auto"/>
          <w:sz w:val="24"/>
          <w:szCs w:val="28"/>
          <w:highlight w:val="none"/>
        </w:rPr>
        <w:t xml:space="preserve">.同级政府采购监督管理部门 </w:t>
      </w:r>
    </w:p>
    <w:p w14:paraId="1AB75A2F">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名称：</w:t>
      </w:r>
      <w:r>
        <w:rPr>
          <w:rFonts w:hint="eastAsia" w:ascii="仿宋" w:hAnsi="仿宋" w:eastAsia="仿宋" w:cs="仿宋"/>
          <w:snapToGrid w:val="0"/>
          <w:color w:val="auto"/>
          <w:kern w:val="0"/>
          <w:sz w:val="24"/>
          <w:szCs w:val="28"/>
          <w:highlight w:val="none"/>
        </w:rPr>
        <w:t>绍兴市柯桥区财政局</w:t>
      </w:r>
    </w:p>
    <w:p w14:paraId="5A39989A">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lang w:val="en-US" w:eastAsia="zh-CN"/>
        </w:rPr>
        <w:t xml:space="preserve"> </w:t>
      </w:r>
      <w:r>
        <w:rPr>
          <w:rFonts w:hint="eastAsia" w:ascii="仿宋" w:hAnsi="仿宋" w:eastAsia="仿宋" w:cs="仿宋"/>
          <w:color w:val="auto"/>
          <w:sz w:val="24"/>
          <w:szCs w:val="28"/>
          <w:highlight w:val="none"/>
        </w:rPr>
        <w:t>地址：</w:t>
      </w:r>
      <w:r>
        <w:rPr>
          <w:rFonts w:hint="eastAsia" w:ascii="仿宋" w:hAnsi="仿宋" w:eastAsia="仿宋" w:cs="仿宋"/>
          <w:color w:val="auto"/>
          <w:sz w:val="24"/>
          <w:highlight w:val="none"/>
        </w:rPr>
        <w:t>绍兴市柯桥区育才路财税大楼</w:t>
      </w:r>
    </w:p>
    <w:p w14:paraId="1018F03F">
      <w:pPr>
        <w:widowControl/>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lang w:val="en-US" w:eastAsia="zh-CN"/>
        </w:rPr>
        <w:t xml:space="preserve"> </w:t>
      </w:r>
      <w:r>
        <w:rPr>
          <w:rFonts w:hint="eastAsia" w:ascii="仿宋" w:hAnsi="仿宋" w:eastAsia="仿宋" w:cs="仿宋"/>
          <w:color w:val="auto"/>
          <w:sz w:val="24"/>
          <w:szCs w:val="28"/>
          <w:highlight w:val="none"/>
        </w:rPr>
        <w:t xml:space="preserve"> 传真：</w:t>
      </w:r>
      <w:r>
        <w:rPr>
          <w:rFonts w:hint="eastAsia" w:ascii="仿宋" w:hAnsi="仿宋" w:eastAsia="仿宋" w:cs="仿宋"/>
          <w:snapToGrid w:val="0"/>
          <w:color w:val="auto"/>
          <w:kern w:val="0"/>
          <w:sz w:val="24"/>
          <w:szCs w:val="28"/>
          <w:highlight w:val="none"/>
        </w:rPr>
        <w:t>/</w:t>
      </w:r>
      <w:r>
        <w:rPr>
          <w:rFonts w:hint="eastAsia" w:ascii="仿宋" w:hAnsi="仿宋" w:eastAsia="仿宋" w:cs="仿宋"/>
          <w:color w:val="auto"/>
          <w:sz w:val="24"/>
          <w:szCs w:val="28"/>
          <w:highlight w:val="none"/>
        </w:rPr>
        <w:t> </w:t>
      </w:r>
    </w:p>
    <w:p w14:paraId="55673EA3">
      <w:pPr>
        <w:widowControl/>
        <w:adjustRightInd/>
        <w:spacing w:line="360" w:lineRule="auto"/>
        <w:ind w:firstLine="480" w:firstLineChars="200"/>
        <w:jc w:val="left"/>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联系人：</w:t>
      </w:r>
      <w:r>
        <w:rPr>
          <w:rFonts w:hint="eastAsia" w:ascii="仿宋" w:hAnsi="仿宋" w:eastAsia="仿宋" w:cs="仿宋"/>
          <w:snapToGrid w:val="0"/>
          <w:color w:val="auto"/>
          <w:kern w:val="0"/>
          <w:sz w:val="24"/>
          <w:szCs w:val="28"/>
          <w:highlight w:val="none"/>
          <w:lang w:eastAsia="zh-CN"/>
        </w:rPr>
        <w:t>王涛</w:t>
      </w:r>
    </w:p>
    <w:p w14:paraId="586689FB">
      <w:pPr>
        <w:adjustRightInd/>
        <w:spacing w:line="360" w:lineRule="auto"/>
        <w:ind w:firstLine="480" w:firstLineChars="200"/>
        <w:jc w:val="left"/>
        <w:rPr>
          <w:rFonts w:hint="eastAsia" w:ascii="仿宋" w:hAnsi="仿宋" w:eastAsia="仿宋" w:cs="仿宋"/>
          <w:snapToGrid w:val="0"/>
          <w:color w:val="auto"/>
          <w:kern w:val="0"/>
          <w:sz w:val="24"/>
          <w:szCs w:val="28"/>
          <w:highlight w:val="none"/>
        </w:rPr>
      </w:pPr>
      <w:r>
        <w:rPr>
          <w:rFonts w:hint="eastAsia" w:ascii="仿宋" w:hAnsi="仿宋" w:eastAsia="仿宋" w:cs="仿宋"/>
          <w:color w:val="auto"/>
          <w:sz w:val="24"/>
          <w:szCs w:val="28"/>
          <w:highlight w:val="none"/>
        </w:rPr>
        <w:t xml:space="preserve">监督投诉电话：0575-85672135 </w:t>
      </w:r>
      <w:r>
        <w:rPr>
          <w:rFonts w:hint="eastAsia" w:ascii="仿宋" w:hAnsi="仿宋" w:eastAsia="仿宋" w:cs="仿宋"/>
          <w:snapToGrid w:val="0"/>
          <w:color w:val="auto"/>
          <w:kern w:val="0"/>
          <w:sz w:val="24"/>
          <w:szCs w:val="28"/>
          <w:highlight w:val="none"/>
        </w:rPr>
        <w:t xml:space="preserve"> </w:t>
      </w:r>
    </w:p>
    <w:p w14:paraId="5522582D">
      <w:pPr>
        <w:adjustRightInd/>
        <w:spacing w:line="360" w:lineRule="auto"/>
        <w:ind w:firstLine="480" w:firstLineChars="200"/>
        <w:jc w:val="left"/>
        <w:rPr>
          <w:rFonts w:hint="eastAsia" w:ascii="仿宋" w:hAnsi="仿宋" w:eastAsia="仿宋" w:cs="仿宋"/>
          <w:snapToGrid w:val="0"/>
          <w:color w:val="auto"/>
          <w:kern w:val="0"/>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snapToGrid w:val="0"/>
          <w:color w:val="auto"/>
          <w:kern w:val="0"/>
          <w:sz w:val="24"/>
          <w:szCs w:val="28"/>
          <w:highlight w:val="none"/>
        </w:rPr>
        <w:t xml:space="preserve"> </w:t>
      </w:r>
    </w:p>
    <w:p w14:paraId="74F2CA91">
      <w:pPr>
        <w:spacing w:line="360" w:lineRule="auto"/>
        <w:jc w:val="left"/>
        <w:rPr>
          <w:rFonts w:hint="eastAsia" w:ascii="仿宋" w:hAnsi="仿宋" w:eastAsia="仿宋" w:cs="仿宋"/>
          <w:color w:val="auto"/>
          <w:sz w:val="24"/>
          <w:szCs w:val="28"/>
          <w:highlight w:val="none"/>
          <w:u w:val="single"/>
        </w:rPr>
      </w:pPr>
    </w:p>
    <w:p w14:paraId="3B5CFF1A">
      <w:pPr>
        <w:widowControl/>
        <w:adjustRightInd/>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若对项目采购电子交易系统操作有疑问，可登录政采云（https://www.zcygov.cn/），点击右侧咨询小采，获取采小蜜智能服务管家帮助，或拨打政采云服务热线95763获取热线服务帮助。       </w:t>
      </w:r>
    </w:p>
    <w:p w14:paraId="2E63901B">
      <w:pPr>
        <w:widowControl/>
        <w:adjustRightInd/>
        <w:ind w:firstLine="420" w:firstLineChars="200"/>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CA问题联系电话（人工）：汇信CA 400-888-4636；天谷CA 400-087-8198。</w:t>
      </w:r>
    </w:p>
    <w:p w14:paraId="6D62D63D">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540F86D9">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0"/>
        <w:tblW w:w="965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7183"/>
      </w:tblGrid>
      <w:tr w14:paraId="7FD86B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629" w:type="dxa"/>
            <w:tcBorders>
              <w:top w:val="single" w:color="auto" w:sz="4" w:space="0"/>
              <w:left w:val="single" w:color="auto" w:sz="4" w:space="0"/>
              <w:bottom w:val="single" w:color="auto" w:sz="4" w:space="0"/>
              <w:right w:val="single" w:color="auto" w:sz="4" w:space="0"/>
            </w:tcBorders>
            <w:noWrap w:val="0"/>
            <w:vAlign w:val="center"/>
          </w:tcPr>
          <w:p w14:paraId="71245CA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072252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4DBE0F43">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1F8A3F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2C959C9E">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0BEBB2B8">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43687D48">
            <w:pPr>
              <w:snapToGrid w:val="0"/>
              <w:spacing w:line="3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固定价格采购，价格不列为评审因素。投标折扣率最高限价：90%，有关本项目开展所需人员工资、福利、工具、利润、税金、保险及不可预见费用等均计入报价。招标文件未列明，而投标人认为必需的费用也需列入报价。</w:t>
            </w:r>
          </w:p>
        </w:tc>
      </w:tr>
      <w:tr w14:paraId="4A92B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70FF9CD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860973D">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项目采购类型</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073547E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本项目为</w:t>
            </w:r>
            <w:r>
              <w:rPr>
                <w:rFonts w:hint="eastAsia" w:ascii="仿宋" w:hAnsi="仿宋" w:eastAsia="仿宋" w:cs="仿宋"/>
                <w:color w:val="auto"/>
                <w:sz w:val="24"/>
                <w:highlight w:val="none"/>
                <w:u w:val="single"/>
              </w:rPr>
              <w:t>服务类</w:t>
            </w:r>
            <w:r>
              <w:rPr>
                <w:rFonts w:hint="eastAsia" w:ascii="仿宋" w:hAnsi="仿宋" w:eastAsia="仿宋" w:cs="仿宋"/>
                <w:color w:val="auto"/>
                <w:sz w:val="24"/>
                <w:highlight w:val="none"/>
              </w:rPr>
              <w:t>采购项目</w:t>
            </w:r>
          </w:p>
        </w:tc>
      </w:tr>
      <w:tr w14:paraId="1CC96C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3609E2C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A45D568">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分包或转包</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53BDBA3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（1）征集人不同意分包。</w:t>
            </w:r>
          </w:p>
          <w:p w14:paraId="1FC955A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（2）本项目不得转包。</w:t>
            </w:r>
          </w:p>
        </w:tc>
      </w:tr>
      <w:tr w14:paraId="3C5DF6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722DCBD9">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E490A85">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中小企业划分标准所属行业</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4691FBD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（1）采购标的：</w:t>
            </w:r>
            <w:r>
              <w:rPr>
                <w:rFonts w:hint="eastAsia" w:ascii="仿宋" w:hAnsi="仿宋" w:eastAsia="仿宋" w:cs="仿宋"/>
                <w:color w:val="auto"/>
                <w:sz w:val="24"/>
                <w:szCs w:val="28"/>
                <w:highlight w:val="none"/>
                <w:lang w:eastAsia="zh-CN"/>
              </w:rPr>
              <w:t>2025-2026年度镇村两级及其下属国有企业招标代理咨询机构框架协议采购项目（封闭式）（重招）</w:t>
            </w:r>
          </w:p>
          <w:p w14:paraId="32FBFDB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（2）所属行业：</w:t>
            </w:r>
            <w:r>
              <w:rPr>
                <w:rFonts w:hint="eastAsia" w:ascii="仿宋" w:hAnsi="仿宋" w:eastAsia="仿宋" w:cs="仿宋"/>
                <w:color w:val="auto"/>
                <w:sz w:val="24"/>
                <w:szCs w:val="20"/>
                <w:highlight w:val="none"/>
              </w:rPr>
              <w:t>其他未列明行业。</w:t>
            </w:r>
          </w:p>
        </w:tc>
      </w:tr>
      <w:tr w14:paraId="35A918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4AA6315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000F12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5B37B655">
            <w:pPr>
              <w:pStyle w:val="31"/>
              <w:spacing w:line="360" w:lineRule="auto"/>
              <w:rPr>
                <w:rFonts w:hint="eastAsia" w:ascii="仿宋" w:hAnsi="仿宋" w:eastAsia="仿宋" w:cs="仿宋"/>
                <w:snapToGrid/>
                <w:color w:val="auto"/>
                <w:sz w:val="24"/>
                <w:szCs w:val="20"/>
                <w:highlight w:val="none"/>
              </w:rPr>
            </w:pPr>
            <w:r>
              <w:rPr>
                <w:rFonts w:hint="eastAsia" w:ascii="仿宋" w:hAnsi="仿宋" w:eastAsia="仿宋" w:cs="仿宋"/>
                <w:b/>
                <w:snapToGrid/>
                <w:color w:val="auto"/>
                <w:sz w:val="24"/>
                <w:szCs w:val="20"/>
                <w:highlight w:val="none"/>
              </w:rPr>
              <w:t>不组织。</w:t>
            </w:r>
          </w:p>
        </w:tc>
      </w:tr>
      <w:tr w14:paraId="3E3690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639D22E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66B2D32E">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341349B8">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3880C7DF">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☐B要求提供，</w:t>
            </w:r>
          </w:p>
          <w:p w14:paraId="2D92A72C">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样品：______</w:t>
            </w:r>
            <w:r>
              <w:rPr>
                <w:rFonts w:hint="eastAsia" w:ascii="仿宋" w:hAnsi="仿宋" w:eastAsia="仿宋" w:cs="仿宋"/>
                <w:color w:val="auto"/>
                <w:kern w:val="0"/>
                <w:sz w:val="24"/>
                <w:highlight w:val="none"/>
              </w:rPr>
              <w:t>；</w:t>
            </w:r>
          </w:p>
          <w:p w14:paraId="2C52DAF1">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样品制作的标准和要求：______</w:t>
            </w:r>
            <w:r>
              <w:rPr>
                <w:rFonts w:hint="eastAsia" w:ascii="仿宋" w:hAnsi="仿宋" w:eastAsia="仿宋" w:cs="仿宋"/>
                <w:color w:val="auto"/>
                <w:kern w:val="0"/>
                <w:sz w:val="24"/>
                <w:highlight w:val="none"/>
              </w:rPr>
              <w:t>；</w:t>
            </w:r>
          </w:p>
          <w:p w14:paraId="6167BB6C">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2E0B0453">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（4）是否需要随样品提交检测报告：☐否；☐是，检测机构的要求：________；检测内容：________。</w:t>
            </w:r>
          </w:p>
          <w:p w14:paraId="3142E3E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snapToGrid w:val="0"/>
                <w:color w:val="auto"/>
                <w:kern w:val="28"/>
                <w:sz w:val="24"/>
                <w:highlight w:val="none"/>
              </w:rPr>
              <w:t>______</w:t>
            </w:r>
            <w:r>
              <w:rPr>
                <w:rFonts w:hint="eastAsia" w:ascii="仿宋" w:hAnsi="仿宋" w:eastAsia="仿宋" w:cs="仿宋"/>
                <w:color w:val="auto"/>
                <w:kern w:val="0"/>
                <w:sz w:val="24"/>
                <w:highlight w:val="none"/>
              </w:rPr>
              <w:t>；地点：</w:t>
            </w:r>
            <w:r>
              <w:rPr>
                <w:rFonts w:hint="eastAsia" w:ascii="仿宋" w:hAnsi="仿宋" w:eastAsia="仿宋" w:cs="仿宋"/>
                <w:snapToGrid w:val="0"/>
                <w:color w:val="auto"/>
                <w:kern w:val="28"/>
                <w:sz w:val="24"/>
                <w:highlight w:val="none"/>
              </w:rPr>
              <w:t>______</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snapToGrid w:val="0"/>
                <w:color w:val="auto"/>
                <w:kern w:val="28"/>
                <w:sz w:val="24"/>
                <w:highlight w:val="none"/>
              </w:rPr>
              <w:t>______</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snapToGrid w:val="0"/>
                <w:color w:val="auto"/>
                <w:kern w:val="28"/>
                <w:sz w:val="24"/>
                <w:highlight w:val="none"/>
              </w:rPr>
              <w:t>______</w:t>
            </w:r>
            <w:r>
              <w:rPr>
                <w:rFonts w:hint="eastAsia" w:ascii="仿宋" w:hAnsi="仿宋" w:eastAsia="仿宋" w:cs="仿宋"/>
                <w:color w:val="auto"/>
                <w:sz w:val="24"/>
                <w:highlight w:val="none"/>
              </w:rPr>
              <w:t>。请投标人在上述时间内提供样品并按规定位置安装完毕。超过截止时间的，征集人或采购代理机构将不予接收，并将清场并封闭样品现场。</w:t>
            </w:r>
          </w:p>
          <w:p w14:paraId="6E18281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6）采购活动结束后，对于未中标人提供的样品，征集人、采购代理机构将通知未中标人在规定的时间内取回，逾期未取回的，征集人、采购代理机构不负保管义务；对于中标人提供的样品，征集人将进行保管、封存，并作为履约验收的参考。</w:t>
            </w:r>
          </w:p>
          <w:p w14:paraId="2364519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13455F1F">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snapToGrid w:val="0"/>
                <w:color w:val="auto"/>
                <w:kern w:val="28"/>
                <w:sz w:val="24"/>
                <w:highlight w:val="none"/>
              </w:rPr>
              <w:t>对未提供样品或提供样品不满足采购需求实质性条件，投标无效。</w:t>
            </w:r>
          </w:p>
        </w:tc>
      </w:tr>
      <w:tr w14:paraId="7B9D97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638A853D">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EA3CBCC">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演示</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4BB087FA">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4A8FF4FA">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☐B组织。</w:t>
            </w:r>
          </w:p>
          <w:p w14:paraId="3F58477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（1）在评标时安排每个投标人进行演示。每个投标人时间不超过</w:t>
            </w:r>
            <w:r>
              <w:rPr>
                <w:rFonts w:hint="eastAsia" w:ascii="仿宋" w:hAnsi="仿宋" w:eastAsia="仿宋" w:cs="仿宋"/>
                <w:color w:val="auto"/>
                <w:kern w:val="0"/>
                <w:sz w:val="24"/>
                <w:highlight w:val="none"/>
                <w:u w:val="single"/>
              </w:rPr>
              <w:t>20（编制时可根据项目情况进行调整）</w:t>
            </w:r>
            <w:r>
              <w:rPr>
                <w:rFonts w:hint="eastAsia" w:ascii="仿宋" w:hAnsi="仿宋" w:eastAsia="仿宋" w:cs="仿宋"/>
                <w:color w:val="auto"/>
                <w:kern w:val="0"/>
                <w:sz w:val="24"/>
                <w:highlight w:val="none"/>
              </w:rPr>
              <w:t>分钟，讲解次序以响应文件解密时间先后次序为准，讲解演示人员不超过</w:t>
            </w:r>
            <w:r>
              <w:rPr>
                <w:rFonts w:hint="eastAsia" w:ascii="仿宋" w:hAnsi="仿宋" w:eastAsia="仿宋" w:cs="仿宋"/>
                <w:color w:val="auto"/>
                <w:kern w:val="0"/>
                <w:sz w:val="24"/>
                <w:highlight w:val="none"/>
                <w:u w:val="single"/>
              </w:rPr>
              <w:t>3（编制时可根据项目情况进行调整）</w:t>
            </w:r>
            <w:r>
              <w:rPr>
                <w:rFonts w:hint="eastAsia" w:ascii="仿宋" w:hAnsi="仿宋" w:eastAsia="仿宋" w:cs="仿宋"/>
                <w:color w:val="auto"/>
                <w:kern w:val="0"/>
                <w:sz w:val="24"/>
                <w:highlight w:val="none"/>
              </w:rPr>
              <w:t>人。讲解演示结束后按要求解答评标委员会提问。</w:t>
            </w:r>
          </w:p>
          <w:p w14:paraId="1CD4F0F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（2）方案讲解演示可选择以下其中一种方式：</w:t>
            </w:r>
          </w:p>
          <w:p w14:paraId="0D2FB766">
            <w:pPr>
              <w:pStyle w:val="3"/>
              <w:numPr>
                <w:ilvl w:val="0"/>
                <w:numId w:val="0"/>
              </w:numPr>
              <w:rPr>
                <w:rFonts w:hint="eastAsia" w:ascii="仿宋" w:eastAsia="仿宋" w:cs="仿宋"/>
                <w:b w:val="0"/>
                <w:bCs w:val="0"/>
                <w:color w:val="auto"/>
                <w:kern w:val="0"/>
                <w:sz w:val="24"/>
                <w:szCs w:val="24"/>
                <w:highlight w:val="none"/>
                <w:lang w:val="en-US"/>
              </w:rPr>
            </w:pPr>
            <w:r>
              <w:rPr>
                <w:rFonts w:hint="eastAsia" w:ascii="仿宋" w:eastAsia="仿宋" w:cs="仿宋"/>
                <w:b w:val="0"/>
                <w:bCs w:val="0"/>
                <w:color w:val="auto"/>
                <w:kern w:val="0"/>
                <w:sz w:val="24"/>
                <w:szCs w:val="24"/>
                <w:highlight w:val="none"/>
                <w:lang w:val="en-US"/>
              </w:rPr>
              <w:t>方式一：视频演示。投标人根据交易中心操作要求做好准备工作，提前完善软硬件配置环境。</w:t>
            </w:r>
          </w:p>
          <w:p w14:paraId="36DA025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方式二：政采云平台在线讲解演示。政采云平台在线讲解需投标人根据政采云平台操作要求做好准备工作，提前完善软硬件配置环境。</w:t>
            </w:r>
          </w:p>
          <w:p w14:paraId="08F915A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方式三：现场讲解演示。现场讲解地点为____，讲解演示所用电脑等设备由投标人自备。现场讲解演示人员须携带授权委托书及身份证明，委托书格式详见征集文件格式范例附件1，否则不得讲解演示。</w:t>
            </w:r>
          </w:p>
          <w:p w14:paraId="5E651E17">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3279E7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top"/>
          </w:tcPr>
          <w:p w14:paraId="09CC7E80">
            <w:pPr>
              <w:snapToGrid w:val="0"/>
              <w:spacing w:line="360" w:lineRule="auto"/>
              <w:jc w:val="center"/>
              <w:rPr>
                <w:rFonts w:hint="eastAsia" w:ascii="仿宋" w:hAnsi="仿宋" w:eastAsia="仿宋" w:cs="仿宋"/>
                <w:color w:val="auto"/>
                <w:sz w:val="24"/>
                <w:highlight w:val="none"/>
              </w:rPr>
            </w:pPr>
          </w:p>
          <w:p w14:paraId="59AFA170">
            <w:pPr>
              <w:snapToGrid w:val="0"/>
              <w:spacing w:line="360" w:lineRule="auto"/>
              <w:jc w:val="center"/>
              <w:rPr>
                <w:rFonts w:hint="eastAsia" w:ascii="仿宋" w:hAnsi="仿宋" w:eastAsia="仿宋" w:cs="仿宋"/>
                <w:color w:val="auto"/>
                <w:sz w:val="24"/>
                <w:highlight w:val="none"/>
              </w:rPr>
            </w:pPr>
          </w:p>
          <w:p w14:paraId="078D049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5E16DC2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2DE768D4">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征集人拟采购的产品属于品目清单范围的，征集人及其委托的采购代理机构将依据国家确定的认证机构出具的、处于有效期之内的节能产品、环境标志产品认证证书，对获得证书的产品实施政府优先采购或强制采购。</w:t>
            </w:r>
          </w:p>
        </w:tc>
      </w:tr>
      <w:tr w14:paraId="1C727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40F21AE9">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2153FFD7">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采购代理机构代理费用</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4C9BC16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采购人支付。</w:t>
            </w:r>
          </w:p>
        </w:tc>
      </w:tr>
      <w:tr w14:paraId="7799A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5242EC6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1774C65B">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投标保证金缴纳</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31DA02F3">
            <w:pPr>
              <w:pStyle w:val="15"/>
              <w:spacing w:line="360" w:lineRule="auto"/>
              <w:ind w:firstLine="434" w:firstLineChars="181"/>
              <w:rPr>
                <w:rFonts w:hint="eastAsia" w:ascii="仿宋" w:hAnsi="仿宋" w:eastAsia="仿宋" w:cs="仿宋"/>
                <w:color w:val="auto"/>
                <w:sz w:val="24"/>
                <w:highlight w:val="none"/>
              </w:rPr>
            </w:pPr>
            <w:r>
              <w:rPr>
                <w:rFonts w:hint="eastAsia" w:ascii="仿宋" w:hAnsi="仿宋" w:eastAsia="仿宋" w:cs="仿宋"/>
                <w:color w:val="auto"/>
                <w:sz w:val="24"/>
                <w:highlight w:val="none"/>
              </w:rPr>
              <w:t>不收取投标保证金</w:t>
            </w:r>
          </w:p>
        </w:tc>
      </w:tr>
      <w:tr w14:paraId="70B2B7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7FC8D70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3BDA200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履约保证金金额</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45B398FE">
            <w:pPr>
              <w:pStyle w:val="15"/>
              <w:spacing w:line="360" w:lineRule="auto"/>
              <w:ind w:firstLine="434" w:firstLineChars="181"/>
              <w:rPr>
                <w:rFonts w:hint="eastAsia" w:ascii="仿宋" w:hAnsi="仿宋" w:eastAsia="仿宋" w:cs="仿宋"/>
                <w:color w:val="auto"/>
                <w:sz w:val="24"/>
                <w:highlight w:val="none"/>
              </w:rPr>
            </w:pPr>
            <w:r>
              <w:rPr>
                <w:rFonts w:hint="eastAsia" w:ascii="仿宋" w:hAnsi="仿宋" w:eastAsia="仿宋" w:cs="仿宋"/>
                <w:color w:val="auto"/>
                <w:sz w:val="24"/>
                <w:highlight w:val="none"/>
              </w:rPr>
              <w:t>无。</w:t>
            </w:r>
          </w:p>
        </w:tc>
      </w:tr>
      <w:tr w14:paraId="78BE98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7E2D55BB">
            <w:pPr>
              <w:snapToGrid w:val="0"/>
              <w:spacing w:line="360" w:lineRule="auto"/>
              <w:jc w:val="center"/>
              <w:rPr>
                <w:rFonts w:hint="eastAsia" w:ascii="仿宋" w:hAnsi="仿宋" w:eastAsia="仿宋" w:cs="仿宋"/>
                <w:color w:val="auto"/>
                <w:sz w:val="24"/>
                <w:highlight w:val="none"/>
              </w:rPr>
            </w:pPr>
          </w:p>
          <w:p w14:paraId="087D0E9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5BF5433">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2AE9796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1778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noWrap w:val="0"/>
            <w:vAlign w:val="center"/>
          </w:tcPr>
          <w:p w14:paraId="643DFBD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31EF560C">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备份响应文件送达地点和签收人员 </w:t>
            </w:r>
          </w:p>
        </w:tc>
        <w:tc>
          <w:tcPr>
            <w:tcW w:w="7183" w:type="dxa"/>
            <w:tcBorders>
              <w:top w:val="single" w:color="auto" w:sz="4" w:space="0"/>
              <w:left w:val="single" w:color="auto" w:sz="4" w:space="0"/>
              <w:bottom w:val="single" w:color="auto" w:sz="4" w:space="0"/>
              <w:right w:val="single" w:color="auto" w:sz="4" w:space="0"/>
            </w:tcBorders>
            <w:noWrap w:val="0"/>
            <w:vAlign w:val="center"/>
          </w:tcPr>
          <w:p w14:paraId="3C035365">
            <w:pPr>
              <w:pStyle w:val="31"/>
              <w:spacing w:line="360" w:lineRule="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备份响应文件送达地点：同开标地点；备份响应文件签收人员联系电话：</w:t>
            </w:r>
            <w:r>
              <w:rPr>
                <w:rFonts w:hint="eastAsia" w:ascii="仿宋" w:hAnsi="仿宋" w:eastAsia="仿宋" w:cs="仿宋"/>
                <w:color w:val="auto"/>
                <w:sz w:val="24"/>
                <w:szCs w:val="28"/>
                <w:highlight w:val="none"/>
                <w:lang w:val="en-US" w:eastAsia="zh-CN"/>
              </w:rPr>
              <w:t>15088536902</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征集人、采购代理机构不强制或变相强制投标人提交备份响应文件。</w:t>
            </w:r>
          </w:p>
        </w:tc>
      </w:tr>
    </w:tbl>
    <w:p w14:paraId="6B651B02">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注：本项目通用总则条款与前附表等专用特别规定有冲突之处，以专用条款（特别规定）为准</w:t>
      </w:r>
    </w:p>
    <w:p w14:paraId="76DF3108">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bookmarkEnd w:id="10"/>
      <w:bookmarkStart w:id="39" w:name="第三部分"/>
      <w:bookmarkStart w:id="40" w:name="_Toc164416483"/>
      <w:r>
        <w:rPr>
          <w:rFonts w:hint="eastAsia" w:ascii="仿宋" w:hAnsi="仿宋" w:eastAsia="仿宋" w:cs="仿宋"/>
          <w:b/>
          <w:color w:val="auto"/>
          <w:sz w:val="32"/>
          <w:szCs w:val="20"/>
          <w:highlight w:val="none"/>
        </w:rPr>
        <w:t>一、总则</w:t>
      </w:r>
    </w:p>
    <w:p w14:paraId="20FF7B7E">
      <w:pPr>
        <w:snapToGrid w:val="0"/>
        <w:spacing w:line="360" w:lineRule="auto"/>
        <w:ind w:firstLine="482" w:firstLineChars="20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31CC1B8A">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本征集文件适用于该项目的招标、投标、开标、资格审查及信用信息查询、评标、定标、合同、验收等行为（法律、法规另有规定的，从其规定）。</w:t>
      </w:r>
    </w:p>
    <w:p w14:paraId="741B3C3F">
      <w:pPr>
        <w:adjustRightInd/>
        <w:spacing w:line="360" w:lineRule="auto"/>
        <w:ind w:firstLine="482" w:firstLineChars="200"/>
        <w:jc w:val="left"/>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A747DF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 “征集人”系指征集公告中载明的本项目的征集人。</w:t>
      </w:r>
    </w:p>
    <w:p w14:paraId="2338673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“采购代理机构”系指征集公告中载明的本项目的采购代理机构。</w:t>
      </w:r>
    </w:p>
    <w:p w14:paraId="2A125CD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8C926B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01405AC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w:t>
      </w:r>
    </w:p>
    <w:p w14:paraId="0DF5884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2.6“电子交易平台”系指本项目政府采购活动所依托的政府采购云平台（https://www.zcygov.cn/）。</w:t>
      </w:r>
    </w:p>
    <w:p w14:paraId="730050A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 系指适用本项目的要求，“</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 系指不适用本项目的要求，“★”系产品采购项目中单一产品或核心产品。</w:t>
      </w:r>
    </w:p>
    <w:p w14:paraId="579C8A9D">
      <w:pP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0FFDFE4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征集人采购进口产品，已经在采购活动开始前向财政部门提出申请并获得财政部门审核同意，且在采购需求中明确规定可以采购进口产品（但如果因信息不对称等原因，仍有满足需求的国内产品要求参与采购竞争的，征集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3EAC29A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766CC3D7">
      <w:pP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3.2.1根据财政部、发展改革委、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14:paraId="6218ABAA">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▲征集人拟采购的产品属于政府强制采购的节能产品品目清单范围的，投标人相应的投标产品未获得国家确定的认证机构出具的、处于有效期之内的节能产品认证证书的，投标无效。</w:t>
      </w:r>
    </w:p>
    <w:p w14:paraId="3D209E6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3.2.2投标人提供产品如是节能（环境标志）产品，应当优先提供《关于印发环境标志产品政府采购品目清单的通知》财库〔2019〕18号和《关于印发节能产品政府采购品目清单的通知》财库〔2019〕19号）内产品，涉及项目评分条款加分项时，请提供节能（环境标志）政府采购清单页及国家确定的认证机构出具的、处于有效期之内节能（环境标志）产品认证证书或规定网站证书查询截图。</w:t>
      </w:r>
    </w:p>
    <w:p w14:paraId="68DC9BA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3.2.3参与实施政府采购节能（环境标志）产品认证机构详见《市场监管总局关于发布参与实施政府采购节能产品、环境标志产品认证机构名录的公告》（2019第16号）。</w:t>
      </w:r>
    </w:p>
    <w:p w14:paraId="6C2A736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纳入政府采购管理的修缮、装修类项目采购建材的，鼓励采购单位将绿色建材性能、指标等作为实质性条件纳入征集文件和合同，具体性能指标要求参考相关绿色建材政府采购需求标准。</w:t>
      </w:r>
    </w:p>
    <w:p w14:paraId="4B5D0E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3.2.5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18366D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3.2.6 鼓励供应商在参加政府采购过程中开展绿色设计、选择绿色材料、打造绿色制造工艺、开展绿色运输、做好废弃产品回收处理，实现产品全周期的绿色环保。</w:t>
      </w:r>
    </w:p>
    <w:p w14:paraId="6761621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523C1A8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E29B64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79BEEA9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3.3.2在政府采购活动中，投标人提供的货物、工程或者服务符合下列情形的，享受中小企业扶持政策：</w:t>
      </w:r>
    </w:p>
    <w:p w14:paraId="17E6C80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（1）在货物采购项目中，货物由中小企业制造，即货物由中小企业生产且使用该中小企业商号或者注册商标；</w:t>
      </w:r>
    </w:p>
    <w:p w14:paraId="7DDE039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（2）在工程采购项目中，工程由中小企业承建，即工程施工单位为中小企业；</w:t>
      </w:r>
    </w:p>
    <w:p w14:paraId="678D9F4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（3）在服务采购项目中，服务由中小企业承接，即提供服务的人员为中小企业依照《中华人民共和国民法典》订立劳动合同的从业人员。</w:t>
      </w:r>
    </w:p>
    <w:p w14:paraId="0DB40774">
      <w:pP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在货物采购项目中，投标人提供的货物既有中小企业制造货物，也有大型企业制造货物的，不享受中小企业扶持政策。</w:t>
      </w:r>
    </w:p>
    <w:p w14:paraId="0B1BD49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以联合体形式参加政府采购活动，联合体各方均为中小企业的，联合体视同中小企业。其中，联合体各方均为小微企业的，联合体视同小微企业。</w:t>
      </w:r>
    </w:p>
    <w:p w14:paraId="38581AD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b/>
          <w:color w:val="auto"/>
          <w:sz w:val="24"/>
          <w:highlight w:val="none"/>
        </w:rPr>
        <w:t>10%</w:t>
      </w:r>
      <w:r>
        <w:rPr>
          <w:rFonts w:hint="eastAsia" w:ascii="仿宋" w:hAnsi="仿宋" w:eastAsia="仿宋" w:cs="仿宋"/>
          <w:color w:val="auto"/>
          <w:sz w:val="24"/>
          <w:highlight w:val="none"/>
        </w:rPr>
        <w:t>的扣除，用扣除后的价格参与评审。</w:t>
      </w:r>
    </w:p>
    <w:p w14:paraId="53EAC4B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b/>
          <w:bCs/>
          <w:color w:val="auto"/>
          <w:sz w:val="24"/>
          <w:highlight w:val="none"/>
        </w:rPr>
        <w:t>4%</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3C3D4FE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3.3.5符合《关于促进残疾人就业政府采购政策的通知》（财库〔2017〕141号）规定的条件并提供《残疾人福利性单位声明函》的残疾人福利性单位视同小型、微型企业；</w:t>
      </w:r>
    </w:p>
    <w:p w14:paraId="7B3E252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3.3.6符合《关于政府采购支持监狱企业发展有关问题的通知》（财库[2014]68号）规定的监狱企业并提供由省级以上监狱管理局、戒毒管理局（含新疆生产建设兵团）出具的属于监狱企业证明文件的，视同为小型、微型企业。</w:t>
      </w:r>
    </w:p>
    <w:p w14:paraId="32514F1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3.3.7可享受中小企业扶持政策的投标人应按照征集文件格式要求提供《中小企业声明函》。</w:t>
      </w:r>
    </w:p>
    <w:p w14:paraId="6BCA79C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3.3.8中小企业享受扶持政策获得政府采购合同的，小微企业不得将合同分包给大中型企业，中型企业不得将合同分包给大型企业。</w:t>
      </w:r>
    </w:p>
    <w:p w14:paraId="18FD306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5A942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征集人优先采购被认定为首台套产品和“制造精品”的自主创新产品。</w:t>
      </w:r>
    </w:p>
    <w:p w14:paraId="785C89C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0F1E217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1AF7ED8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0EDA0E6">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询问、质疑、投诉</w:t>
      </w:r>
    </w:p>
    <w:p w14:paraId="6F287CE3">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4.1在线询问、质疑、投诉</w:t>
      </w:r>
    </w:p>
    <w:p w14:paraId="53CE1BD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lang w:val="zh-CN"/>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val="zh-CN"/>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0BCFF6A">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583D64DB">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征集人或者采购代理机构应当在收到供应商询问后3个工作日内对供应商依法提出的询问作出答复，但答复的内容不得涉及商业秘密。供应商提出的询问超出征集人对采购代理机构委托授权范围的，采购代理机构应当告知供应商向征集人提出。</w:t>
      </w:r>
    </w:p>
    <w:p w14:paraId="1E5DA808">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599984AC">
      <w:pPr>
        <w:pStyle w:val="3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sz w:val="24"/>
          <w:szCs w:val="24"/>
          <w:highlight w:val="none"/>
        </w:rPr>
        <w:t>.1提出质疑的供应商应当是参与所质疑项目采购活动的供应商。潜在供应商已依法获取其可质疑的征集文件的，可以对该文件提出质疑。</w:t>
      </w:r>
    </w:p>
    <w:p w14:paraId="27EACA63">
      <w:pPr>
        <w:pStyle w:val="3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4.3</w:t>
      </w:r>
      <w:r>
        <w:rPr>
          <w:rFonts w:hint="eastAsia" w:ascii="仿宋" w:hAnsi="仿宋" w:eastAsia="仿宋" w:cs="仿宋"/>
          <w:color w:val="auto"/>
          <w:sz w:val="24"/>
          <w:szCs w:val="24"/>
          <w:highlight w:val="none"/>
        </w:rPr>
        <w:t>.2供应商认为征集文件、采购过程和中标结果使自己的权益受到损害的，可以在知道或者应知其权益受到损害之日起七个工作日内，以书面形式向征集人或者采购代理机构提出质疑，否则，征集人或者采购代理机构不予受理：</w:t>
      </w:r>
    </w:p>
    <w:p w14:paraId="38F276AC">
      <w:pPr>
        <w:pStyle w:val="15"/>
        <w:spacing w:line="360" w:lineRule="auto"/>
        <w:ind w:firstLine="480" w:firstLineChars="200"/>
        <w:rPr>
          <w:rFonts w:hint="eastAsia" w:ascii="仿宋" w:hAnsi="仿宋" w:eastAsia="仿宋" w:cs="仿宋"/>
          <w:snapToGrid/>
          <w:color w:val="auto"/>
          <w:kern w:val="2"/>
          <w:sz w:val="24"/>
          <w:szCs w:val="24"/>
          <w:highlight w:val="none"/>
        </w:rPr>
      </w:pPr>
      <w:r>
        <w:rPr>
          <w:rFonts w:hint="eastAsia" w:ascii="仿宋" w:hAnsi="仿宋" w:eastAsia="仿宋" w:cs="仿宋"/>
          <w:snapToGrid/>
          <w:color w:val="auto"/>
          <w:kern w:val="2"/>
          <w:sz w:val="24"/>
          <w:szCs w:val="24"/>
          <w:highlight w:val="none"/>
        </w:rPr>
        <w:t>4.3.2.1对征集文件提出质疑的，质疑期限为供应商获得征集文件之日或者征集文件公告期限届满之日起计算。</w:t>
      </w:r>
      <w:r>
        <w:rPr>
          <w:rFonts w:hint="eastAsia" w:ascii="仿宋" w:hAnsi="仿宋" w:eastAsia="仿宋" w:cs="仿宋"/>
          <w:color w:val="auto"/>
          <w:sz w:val="24"/>
          <w:szCs w:val="24"/>
          <w:highlight w:val="none"/>
        </w:rPr>
        <w:t>征集文件在公告期限届满之日后获得的，应当自征集文件公告期限届满之日起计算，且应当在采购响应截止时间之前提出。</w:t>
      </w:r>
    </w:p>
    <w:p w14:paraId="10D7870C">
      <w:pPr>
        <w:pStyle w:val="31"/>
        <w:spacing w:line="360" w:lineRule="auto"/>
        <w:ind w:left="479" w:leftChars="22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4.3.2.2对采购过程提出质疑的，质疑期限为各采购程序环节结束之日起计算。4.3.2.3对采购结果提出质疑的，质疑期限自采购结果公告期限届满之日起计算。</w:t>
      </w:r>
    </w:p>
    <w:p w14:paraId="2A22F52C">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w:t>
      </w:r>
      <w:r>
        <w:rPr>
          <w:rFonts w:hint="eastAsia" w:ascii="仿宋" w:hAnsi="仿宋" w:eastAsia="仿宋" w:cs="仿宋"/>
          <w:color w:val="auto"/>
          <w:sz w:val="24"/>
          <w:szCs w:val="24"/>
          <w:highlight w:val="none"/>
        </w:rPr>
        <w:t>供应商提出质疑应当提交质疑函和必要的证明材料。质疑函应当包括下列内容：</w:t>
      </w:r>
    </w:p>
    <w:p w14:paraId="571C90AA">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4.3.3.1供应商的姓名或者名称、地址、邮编、联系人及联系电话；</w:t>
      </w:r>
    </w:p>
    <w:p w14:paraId="02702D1E">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4.3.3.2质疑项目的名称、编号；</w:t>
      </w:r>
    </w:p>
    <w:p w14:paraId="3ED8B9F0">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4.3.3.3具体、明确的质疑事项和与质疑事项相关的请求；</w:t>
      </w:r>
    </w:p>
    <w:p w14:paraId="41037895">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4.3.3.4事实依据；</w:t>
      </w:r>
    </w:p>
    <w:p w14:paraId="2AE6096F">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4.3.3.5必要的法律依据；</w:t>
      </w:r>
    </w:p>
    <w:p w14:paraId="736348F2">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4.3.3.6提出质疑的日期。</w:t>
      </w:r>
    </w:p>
    <w:p w14:paraId="3D27163C">
      <w:pPr>
        <w:pStyle w:val="3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37E82155">
      <w:pPr>
        <w:pStyle w:val="31"/>
        <w:spacing w:line="360" w:lineRule="auto"/>
        <w:ind w:firstLine="420" w:firstLineChars="200"/>
        <w:rPr>
          <w:rFonts w:hint="eastAsia" w:ascii="仿宋" w:hAnsi="仿宋" w:eastAsia="仿宋" w:cs="仿宋"/>
          <w:i/>
          <w:color w:val="auto"/>
          <w:highlight w:val="none"/>
        </w:rPr>
      </w:pPr>
      <w:r>
        <w:rPr>
          <w:rFonts w:hint="eastAsia" w:ascii="仿宋" w:hAnsi="仿宋" w:eastAsia="仿宋" w:cs="仿宋"/>
          <w:i/>
          <w:color w:val="auto"/>
          <w:highlight w:val="none"/>
        </w:rPr>
        <w:t>质疑函范本及制作说明详见附件2。</w:t>
      </w:r>
    </w:p>
    <w:p w14:paraId="1B8F0656">
      <w:pPr>
        <w:pStyle w:val="31"/>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rPr>
        <w:t>4.3.4对同一采购程序环节的质疑，供应商须在法定质疑期内一次性提出。</w:t>
      </w:r>
    </w:p>
    <w:p w14:paraId="5457D5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4.3</w:t>
      </w:r>
      <w:r>
        <w:rPr>
          <w:rFonts w:hint="eastAsia" w:ascii="仿宋" w:hAnsi="仿宋" w:eastAsia="仿宋" w:cs="仿宋"/>
          <w:color w:val="auto"/>
          <w:sz w:val="24"/>
          <w:highlight w:val="none"/>
        </w:rPr>
        <w:t>.5征集人或者采购代理机构应当在收到供应商的书面质疑后七个工作日内作出答复，并以书面形式通知质疑供应商和其他与质疑处理结果有利害关系的政府采购当事人，但答复的内容不得涉及商业秘密。征集人或者采购代理机构将质疑答复内容及时在浙江政府采购网的“其他公告”栏目公开质疑答复，答复内容应当完整，但涉及国家秘密、个人隐私、商业秘密以及法律、法规规定应予保密的信息内容除外。</w:t>
      </w:r>
    </w:p>
    <w:p w14:paraId="1B13822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4.3</w:t>
      </w:r>
      <w:r>
        <w:rPr>
          <w:rFonts w:hint="eastAsia" w:ascii="仿宋" w:hAnsi="仿宋" w:eastAsia="仿宋" w:cs="仿宋"/>
          <w:color w:val="auto"/>
          <w:sz w:val="24"/>
          <w:highlight w:val="none"/>
        </w:rPr>
        <w:t>.6询问或者质疑事项可能影响采购结果的，征集人应当暂停签订合同，已经签订合同的，应当中止履行合同。</w:t>
      </w:r>
    </w:p>
    <w:p w14:paraId="5AFE40F7">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4.4供应商投诉</w:t>
      </w:r>
    </w:p>
    <w:p w14:paraId="701BABE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4.4.1质疑供应商对征集人、采购代理机构的答复不满意或者征集人、采购代理机构未在规定的时间内作出答复的，可以在答复期满后十五个工作日内向同级政府采购监督管理部门提出投诉。</w:t>
      </w:r>
    </w:p>
    <w:p w14:paraId="0C54C6A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w:t>
      </w: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供应商投诉的事项不得超出已质疑事项的范围，基于质疑答复内容提出的投诉事项除外。</w:t>
      </w:r>
    </w:p>
    <w:p w14:paraId="389369C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4.4.3供应商投诉应当有明确的请求和必要的证明材料。</w:t>
      </w:r>
    </w:p>
    <w:p w14:paraId="4BF205E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4.4.4 以联合体形式参加政府采购活动的，其投诉应当由组成联合体的所有供应商共同提出。</w:t>
      </w:r>
    </w:p>
    <w:p w14:paraId="62824E2D">
      <w:pPr>
        <w:spacing w:line="360" w:lineRule="auto"/>
        <w:ind w:left="420" w:leftChars="200"/>
        <w:rPr>
          <w:rFonts w:hint="eastAsia" w:ascii="仿宋" w:hAnsi="仿宋" w:eastAsia="仿宋" w:cs="仿宋"/>
          <w:i/>
          <w:color w:val="auto"/>
          <w:sz w:val="32"/>
          <w:szCs w:val="32"/>
          <w:highlight w:val="none"/>
        </w:rPr>
      </w:pPr>
      <w:r>
        <w:rPr>
          <w:rFonts w:hint="eastAsia" w:ascii="仿宋" w:hAnsi="仿宋" w:eastAsia="仿宋" w:cs="仿宋"/>
          <w:i/>
          <w:color w:val="auto"/>
          <w:highlight w:val="none"/>
        </w:rPr>
        <w:t>投诉书范本及制作说明详见附件3。</w:t>
      </w:r>
    </w:p>
    <w:p w14:paraId="15867406">
      <w:pPr>
        <w:adjustRightInd/>
        <w:spacing w:line="360" w:lineRule="auto"/>
        <w:jc w:val="center"/>
        <w:outlineLvl w:val="0"/>
        <w:rPr>
          <w:rFonts w:hint="eastAsia" w:ascii="仿宋" w:hAnsi="仿宋" w:eastAsia="仿宋" w:cs="仿宋"/>
          <w:b/>
          <w:color w:val="auto"/>
          <w:sz w:val="32"/>
          <w:szCs w:val="20"/>
          <w:highlight w:val="none"/>
        </w:rPr>
      </w:pPr>
      <w:bookmarkStart w:id="41" w:name="_Hlt74729768"/>
      <w:bookmarkEnd w:id="41"/>
      <w:bookmarkStart w:id="42" w:name="_Hlt74730295"/>
      <w:bookmarkEnd w:id="42"/>
      <w:bookmarkStart w:id="43" w:name="_Hlt74707468"/>
      <w:bookmarkEnd w:id="43"/>
      <w:bookmarkStart w:id="44" w:name="_Hlt68072990"/>
      <w:bookmarkEnd w:id="44"/>
      <w:bookmarkStart w:id="45" w:name="_Hlt68057669"/>
      <w:bookmarkEnd w:id="45"/>
      <w:bookmarkStart w:id="46" w:name="_Hlt74714665"/>
      <w:bookmarkEnd w:id="46"/>
      <w:bookmarkStart w:id="47" w:name="_Hlt75236290"/>
      <w:bookmarkEnd w:id="47"/>
      <w:bookmarkStart w:id="48" w:name="_Toc91899879"/>
    </w:p>
    <w:p w14:paraId="153E95CE">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w:t>
      </w:r>
      <w:bookmarkEnd w:id="48"/>
      <w:r>
        <w:rPr>
          <w:rFonts w:hint="eastAsia" w:ascii="仿宋" w:hAnsi="仿宋" w:eastAsia="仿宋" w:cs="仿宋"/>
          <w:b/>
          <w:color w:val="auto"/>
          <w:sz w:val="32"/>
          <w:szCs w:val="20"/>
          <w:highlight w:val="none"/>
        </w:rPr>
        <w:t>征集文件的构成、澄清、修改</w:t>
      </w:r>
    </w:p>
    <w:p w14:paraId="27A3DE83">
      <w:pPr>
        <w:pStyle w:val="31"/>
        <w:spacing w:line="360" w:lineRule="auto"/>
        <w:ind w:firstLine="482" w:firstLineChars="200"/>
        <w:rPr>
          <w:rFonts w:hint="eastAsia" w:ascii="仿宋" w:hAnsi="仿宋" w:eastAsia="仿宋" w:cs="仿宋"/>
          <w:b/>
          <w:color w:val="auto"/>
          <w:sz w:val="24"/>
          <w:szCs w:val="24"/>
          <w:highlight w:val="none"/>
        </w:rPr>
      </w:pPr>
      <w:bookmarkStart w:id="49" w:name="_Toc91899880"/>
      <w:bookmarkStart w:id="50" w:name="_Hlt74730307"/>
      <w:r>
        <w:rPr>
          <w:rFonts w:hint="eastAsia" w:ascii="仿宋" w:hAnsi="仿宋" w:eastAsia="仿宋" w:cs="仿宋"/>
          <w:b/>
          <w:color w:val="auto"/>
          <w:sz w:val="24"/>
          <w:szCs w:val="24"/>
          <w:highlight w:val="none"/>
        </w:rPr>
        <w:t>5．征集文件的构成</w:t>
      </w:r>
      <w:bookmarkEnd w:id="49"/>
    </w:p>
    <w:bookmarkEnd w:id="50"/>
    <w:p w14:paraId="5EE7B22A">
      <w:pPr>
        <w:pStyle w:val="31"/>
        <w:spacing w:line="360" w:lineRule="auto"/>
        <w:ind w:right="-512"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征集文件包括下列文件及附件</w:t>
      </w:r>
    </w:p>
    <w:p w14:paraId="1B57121C">
      <w:pPr>
        <w:pStyle w:val="31"/>
        <w:numPr>
          <w:ilvl w:val="0"/>
          <w:numId w:val="4"/>
        </w:numPr>
        <w:spacing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第一部分 征集公告</w:t>
      </w:r>
    </w:p>
    <w:p w14:paraId="0C823CC6">
      <w:pPr>
        <w:pStyle w:val="31"/>
        <w:numPr>
          <w:ilvl w:val="0"/>
          <w:numId w:val="4"/>
        </w:numPr>
        <w:spacing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第二部分 投标人须知</w:t>
      </w:r>
    </w:p>
    <w:p w14:paraId="60B97954">
      <w:pPr>
        <w:pStyle w:val="31"/>
        <w:numPr>
          <w:ilvl w:val="0"/>
          <w:numId w:val="4"/>
        </w:numPr>
        <w:spacing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第三部分 采购需求</w:t>
      </w:r>
    </w:p>
    <w:p w14:paraId="7B2D3936">
      <w:pPr>
        <w:pStyle w:val="31"/>
        <w:numPr>
          <w:ilvl w:val="0"/>
          <w:numId w:val="4"/>
        </w:numPr>
        <w:spacing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第四部分 评标方法及评分标准</w:t>
      </w:r>
    </w:p>
    <w:p w14:paraId="103C6E5A">
      <w:pPr>
        <w:pStyle w:val="31"/>
        <w:numPr>
          <w:ilvl w:val="0"/>
          <w:numId w:val="4"/>
        </w:numPr>
        <w:spacing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第五部分 拟签订的合同文本</w:t>
      </w:r>
    </w:p>
    <w:p w14:paraId="4A020A4F">
      <w:pPr>
        <w:pStyle w:val="31"/>
        <w:numPr>
          <w:ilvl w:val="0"/>
          <w:numId w:val="4"/>
        </w:numPr>
        <w:spacing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第六部分 应提交的有关格式范例</w:t>
      </w:r>
    </w:p>
    <w:p w14:paraId="56EE0E26">
      <w:pPr>
        <w:spacing w:line="360" w:lineRule="auto"/>
        <w:ind w:firstLine="480" w:firstLineChars="200"/>
        <w:jc w:val="left"/>
        <w:rPr>
          <w:rFonts w:hint="eastAsia" w:ascii="仿宋" w:hAnsi="仿宋" w:eastAsia="仿宋" w:cs="仿宋"/>
          <w:bCs/>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澄清或者修改等公告内容亦为征集文件的组成部分，投标人须自行于征集公告所在网站获取相关信息（浙江政府采购网网址http://www.zjzfcg.gov.cn）</w:t>
      </w:r>
      <w:r>
        <w:rPr>
          <w:rFonts w:hint="eastAsia" w:ascii="仿宋" w:hAnsi="仿宋" w:eastAsia="仿宋" w:cs="仿宋"/>
          <w:color w:val="auto"/>
          <w:sz w:val="24"/>
          <w:highlight w:val="none"/>
        </w:rPr>
        <w:t>。</w:t>
      </w:r>
    </w:p>
    <w:p w14:paraId="43D2515B">
      <w:pPr>
        <w:pStyle w:val="31"/>
        <w:spacing w:line="360"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征集文件的澄清、修改</w:t>
      </w:r>
    </w:p>
    <w:p w14:paraId="1E37CBE7">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征集人或者采购代理机构如对已发出的征集文件进行必要澄清或者修改的，将在发布征集公告的网站上发布更正、澄清（修改）公告，同时视情况延长投标截止时间和开标时间。该公告澄清或者修改的内容为征集文件的组成部分。</w:t>
      </w:r>
    </w:p>
    <w:p w14:paraId="676076D1">
      <w:pPr>
        <w:adjustRightInd/>
        <w:spacing w:line="360" w:lineRule="auto"/>
        <w:jc w:val="center"/>
        <w:outlineLvl w:val="0"/>
        <w:rPr>
          <w:rFonts w:hint="eastAsia" w:ascii="仿宋" w:hAnsi="仿宋" w:eastAsia="仿宋" w:cs="仿宋"/>
          <w:b/>
          <w:color w:val="auto"/>
          <w:sz w:val="32"/>
          <w:szCs w:val="20"/>
          <w:highlight w:val="none"/>
        </w:rPr>
      </w:pPr>
      <w:bookmarkStart w:id="51" w:name="_Hlt75236011"/>
      <w:bookmarkEnd w:id="51"/>
      <w:bookmarkStart w:id="52" w:name="_Toc91899884"/>
    </w:p>
    <w:p w14:paraId="5B6F6F09">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三、投标</w:t>
      </w:r>
      <w:bookmarkEnd w:id="52"/>
    </w:p>
    <w:p w14:paraId="48139EE5">
      <w:pPr>
        <w:pStyle w:val="31"/>
        <w:spacing w:line="360" w:lineRule="auto"/>
        <w:ind w:firstLine="482" w:firstLineChars="200"/>
        <w:rPr>
          <w:rFonts w:hint="eastAsia" w:ascii="仿宋" w:hAnsi="仿宋" w:eastAsia="仿宋" w:cs="仿宋"/>
          <w:b/>
          <w:color w:val="auto"/>
          <w:sz w:val="24"/>
          <w:szCs w:val="24"/>
          <w:highlight w:val="none"/>
        </w:rPr>
      </w:pPr>
      <w:bookmarkStart w:id="53" w:name="_Toc86216991"/>
      <w:bookmarkStart w:id="54" w:name="_Toc91899892"/>
      <w:r>
        <w:rPr>
          <w:rFonts w:hint="eastAsia" w:ascii="仿宋" w:hAnsi="仿宋" w:eastAsia="仿宋" w:cs="仿宋"/>
          <w:b/>
          <w:color w:val="auto"/>
          <w:sz w:val="24"/>
          <w:szCs w:val="24"/>
          <w:highlight w:val="none"/>
        </w:rPr>
        <w:t>7.征集文件的获取</w:t>
      </w:r>
    </w:p>
    <w:p w14:paraId="650DF993">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详见征集公告中获取征集文件的时间期限、地点、方式。附件中直接下载仅供浏览使用。</w:t>
      </w:r>
    </w:p>
    <w:p w14:paraId="75E23ED3">
      <w:pPr>
        <w:pStyle w:val="31"/>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32DACBA0">
      <w:pPr>
        <w:pStyle w:val="3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征集人视采购项目的具体情况，如果征集人组织潜在投标人现场考察或者召开开标前答疑会的，潜在投标人按前附表的规定参加现场考察或者开标前答疑会。</w:t>
      </w:r>
    </w:p>
    <w:p w14:paraId="7C50D39A">
      <w:pPr>
        <w:pStyle w:val="31"/>
        <w:spacing w:line="360" w:lineRule="auto"/>
        <w:ind w:firstLine="482" w:firstLineChars="200"/>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1A527447">
      <w:pPr>
        <w:pStyle w:val="234"/>
        <w:snapToGrid w:val="0"/>
        <w:spacing w:before="0"/>
        <w:ind w:firstLine="480"/>
        <w:rPr>
          <w:rFonts w:hint="eastAsia" w:ascii="仿宋" w:hAnsi="仿宋" w:eastAsia="仿宋" w:cs="仿宋"/>
          <w:color w:val="auto"/>
          <w:highlight w:val="none"/>
          <w:lang w:val="zh-CN"/>
        </w:rPr>
      </w:pPr>
      <w:r>
        <w:rPr>
          <w:rFonts w:hint="eastAsia" w:ascii="仿宋" w:hAnsi="仿宋" w:eastAsia="仿宋" w:cs="仿宋"/>
          <w:color w:val="auto"/>
          <w:highlight w:val="none"/>
        </w:rPr>
        <w:t>本项目不收取投标保证金。</w:t>
      </w:r>
    </w:p>
    <w:p w14:paraId="5A068490">
      <w:pPr>
        <w:pStyle w:val="31"/>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响应文件的语言</w:t>
      </w:r>
    </w:p>
    <w:p w14:paraId="1E76D2FC">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响应文件及投标人与采购有关的来往通知、函件和文件均应使用中文。</w:t>
      </w:r>
    </w:p>
    <w:p w14:paraId="5C2D7131">
      <w:pPr>
        <w:pStyle w:val="31"/>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响应文件的组成</w:t>
      </w:r>
    </w:p>
    <w:p w14:paraId="0633FA82">
      <w:pPr>
        <w:pStyle w:val="31"/>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响应文件应当包括以下主要内容：</w:t>
      </w:r>
      <w:r>
        <w:rPr>
          <w:rFonts w:hint="eastAsia" w:ascii="仿宋" w:hAnsi="仿宋" w:eastAsia="仿宋" w:cs="仿宋"/>
          <w:b/>
          <w:color w:val="auto"/>
          <w:sz w:val="24"/>
          <w:szCs w:val="24"/>
          <w:highlight w:val="none"/>
        </w:rPr>
        <w:t>资格文件、商务技术文件、报价文件。</w:t>
      </w:r>
      <w:r>
        <w:rPr>
          <w:rFonts w:hint="eastAsia" w:ascii="仿宋" w:hAnsi="仿宋" w:eastAsia="仿宋" w:cs="仿宋"/>
          <w:color w:val="auto"/>
          <w:sz w:val="24"/>
          <w:szCs w:val="24"/>
          <w:highlight w:val="none"/>
        </w:rPr>
        <w:t>响应文件应当对征集文件提出的要求和条件作出明确响应。</w:t>
      </w:r>
    </w:p>
    <w:p w14:paraId="3A7A7C66">
      <w:pPr>
        <w:snapToGrid w:val="0"/>
        <w:spacing w:line="360" w:lineRule="auto"/>
        <w:ind w:firstLine="480" w:firstLineChars="200"/>
        <w:rPr>
          <w:rFonts w:hint="eastAsia" w:ascii="仿宋" w:hAnsi="仿宋" w:eastAsia="仿宋" w:cs="仿宋"/>
          <w:b/>
          <w:strike/>
          <w:color w:val="auto"/>
          <w:kern w:val="0"/>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应包括以下内容：</w:t>
      </w:r>
      <w:r>
        <w:rPr>
          <w:rFonts w:hint="eastAsia" w:ascii="仿宋" w:hAnsi="仿宋" w:eastAsia="仿宋" w:cs="仿宋"/>
          <w:color w:val="auto"/>
          <w:kern w:val="0"/>
          <w:sz w:val="24"/>
          <w:highlight w:val="none"/>
        </w:rPr>
        <w:t>证明其符合《中华人民共和国政府采购法》规定的供应商基本条件和采购项目对供应商的特定条件</w:t>
      </w:r>
      <w:r>
        <w:rPr>
          <w:rFonts w:hint="eastAsia" w:ascii="仿宋" w:hAnsi="仿宋" w:eastAsia="仿宋" w:cs="仿宋"/>
          <w:color w:val="auto"/>
          <w:sz w:val="24"/>
          <w:highlight w:val="none"/>
        </w:rPr>
        <w:t>（如果项目要求）</w:t>
      </w:r>
      <w:r>
        <w:rPr>
          <w:rFonts w:hint="eastAsia" w:ascii="仿宋" w:hAnsi="仿宋" w:eastAsia="仿宋" w:cs="仿宋"/>
          <w:color w:val="auto"/>
          <w:kern w:val="0"/>
          <w:sz w:val="24"/>
          <w:highlight w:val="none"/>
        </w:rPr>
        <w:t>的有关资格证明文件。</w:t>
      </w:r>
      <w:r>
        <w:rPr>
          <w:rFonts w:hint="eastAsia" w:ascii="仿宋" w:hAnsi="仿宋" w:eastAsia="仿宋" w:cs="仿宋"/>
          <w:b/>
          <w:color w:val="auto"/>
          <w:kern w:val="0"/>
          <w:sz w:val="24"/>
          <w:highlight w:val="none"/>
        </w:rPr>
        <w:t>（以联合体形式进行政府采购的，参加联合体的供应商均应当提供）</w:t>
      </w:r>
    </w:p>
    <w:p w14:paraId="3BC4B77C">
      <w:pPr>
        <w:pStyle w:val="31"/>
        <w:spacing w:line="360" w:lineRule="auto"/>
        <w:ind w:firstLine="480" w:firstLineChars="200"/>
        <w:rPr>
          <w:rFonts w:hint="eastAsia" w:ascii="仿宋" w:hAnsi="仿宋" w:eastAsia="仿宋" w:cs="仿宋"/>
          <w:color w:val="auto"/>
          <w:sz w:val="24"/>
          <w:highlight w:val="none"/>
        </w:rPr>
      </w:pPr>
      <w:bookmarkStart w:id="55" w:name="_Hlt68403820"/>
      <w:bookmarkEnd w:id="55"/>
      <w:bookmarkStart w:id="56" w:name="_Hlt68073093"/>
      <w:bookmarkEnd w:id="56"/>
      <w:bookmarkStart w:id="57" w:name="_Hlt68072998"/>
      <w:bookmarkEnd w:id="57"/>
      <w:r>
        <w:rPr>
          <w:rFonts w:hint="eastAsia" w:ascii="仿宋" w:hAnsi="仿宋" w:eastAsia="仿宋" w:cs="仿宋"/>
          <w:color w:val="auto"/>
          <w:sz w:val="24"/>
          <w:highlight w:val="none"/>
        </w:rPr>
        <w:t>11.1.1营业执照(或事业法人登记证或其他工商等登记证明材料)复印件（投标人为自然人的，提供自然人的身份证明）</w:t>
      </w:r>
      <w:r>
        <w:rPr>
          <w:rFonts w:hint="eastAsia" w:ascii="仿宋" w:hAnsi="仿宋" w:eastAsia="仿宋" w:cs="仿宋"/>
          <w:b/>
          <w:color w:val="auto"/>
          <w:sz w:val="24"/>
          <w:highlight w:val="none"/>
        </w:rPr>
        <w:t>；</w:t>
      </w:r>
    </w:p>
    <w:p w14:paraId="7EEDDA65">
      <w:pPr>
        <w:pStyle w:val="31"/>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4E7B5B60">
      <w:pPr>
        <w:pStyle w:val="31"/>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11.1.2投标声明函；</w:t>
      </w:r>
    </w:p>
    <w:p w14:paraId="62A0DC5E">
      <w:pPr>
        <w:pStyle w:val="31"/>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11.1.3联合体协议书（如有）；</w:t>
      </w:r>
    </w:p>
    <w:p w14:paraId="7EB43AF4">
      <w:pPr>
        <w:pStyle w:val="31"/>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如以联合体形式参加政府采购活动的，</w:t>
      </w:r>
      <w:r>
        <w:rPr>
          <w:rFonts w:hint="eastAsia" w:ascii="仿宋" w:hAnsi="仿宋" w:eastAsia="仿宋" w:cs="仿宋"/>
          <w:color w:val="auto"/>
          <w:sz w:val="24"/>
          <w:szCs w:val="24"/>
          <w:highlight w:val="none"/>
        </w:rPr>
        <w:t>联合体各方应当指定牵头人，授权其代表所有联合体成员负责投标和合同实施阶段的主办、协调工作，并应当</w:t>
      </w:r>
      <w:r>
        <w:rPr>
          <w:rFonts w:hint="eastAsia" w:ascii="仿宋" w:hAnsi="仿宋" w:eastAsia="仿宋" w:cs="仿宋"/>
          <w:color w:val="auto"/>
          <w:sz w:val="24"/>
          <w:highlight w:val="none"/>
        </w:rPr>
        <w:t>提交联合体协议书，载明联合体各方承担的工作和义务；</w:t>
      </w:r>
    </w:p>
    <w:p w14:paraId="75C35A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11.1.4法定代表人授权书；</w:t>
      </w:r>
    </w:p>
    <w:p w14:paraId="4986B22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如以联合体形式参加政府采购活动的，只需提供联合体牵头人法定代表人授权委托书；如投标人代表系法定代表人，无需提供法定代表人授权委托书；</w:t>
      </w:r>
    </w:p>
    <w:p w14:paraId="638217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11.1.5法定代表人及其授权代表的身份证复印件（正反面复印件）；如投标人代表系法定代表人，只需提供其身份证复印件（正反面复印件）；</w:t>
      </w:r>
    </w:p>
    <w:p w14:paraId="740F9959">
      <w:pPr>
        <w:pStyle w:val="3"/>
        <w:numPr>
          <w:ilvl w:val="0"/>
          <w:numId w:val="0"/>
        </w:numPr>
        <w:ind w:firstLine="480" w:firstLineChars="200"/>
        <w:rPr>
          <w:rFonts w:hint="eastAsia" w:eastAsia="仿宋"/>
          <w:b w:val="0"/>
          <w:bCs w:val="0"/>
          <w:color w:val="auto"/>
          <w:highlight w:val="none"/>
        </w:rPr>
      </w:pPr>
      <w:r>
        <w:rPr>
          <w:rFonts w:hint="eastAsia" w:ascii="仿宋" w:eastAsia="仿宋" w:cs="仿宋"/>
          <w:b w:val="0"/>
          <w:bCs w:val="0"/>
          <w:color w:val="auto"/>
          <w:kern w:val="0"/>
          <w:sz w:val="24"/>
          <w:highlight w:val="none"/>
          <w:lang w:val="en-US"/>
        </w:rPr>
        <w:t>11.1.6</w:t>
      </w:r>
      <w:r>
        <w:rPr>
          <w:rFonts w:hint="eastAsia" w:ascii="仿宋" w:eastAsia="仿宋" w:cs="仿宋"/>
          <w:b w:val="0"/>
          <w:bCs w:val="0"/>
          <w:color w:val="auto"/>
          <w:kern w:val="0"/>
          <w:sz w:val="24"/>
          <w:highlight w:val="none"/>
        </w:rPr>
        <w:t>符合特定资格条件（如有）；</w:t>
      </w:r>
    </w:p>
    <w:p w14:paraId="4CB13EF9">
      <w:pPr>
        <w:pStyle w:val="234"/>
        <w:snapToGrid w:val="0"/>
        <w:spacing w:before="0"/>
        <w:ind w:firstLine="480"/>
        <w:outlineLvl w:val="0"/>
        <w:rPr>
          <w:rFonts w:hint="eastAsia" w:ascii="仿宋" w:hAnsi="仿宋" w:eastAsia="仿宋" w:cs="仿宋"/>
          <w:color w:val="auto"/>
          <w:highlight w:val="none"/>
        </w:rPr>
      </w:pPr>
      <w:r>
        <w:rPr>
          <w:rFonts w:hint="eastAsia" w:ascii="仿宋" w:hAnsi="仿宋" w:eastAsia="仿宋" w:cs="仿宋"/>
          <w:color w:val="auto"/>
          <w:highlight w:val="none"/>
        </w:rPr>
        <w:t>11.1.7中小企业声明函；</w:t>
      </w:r>
    </w:p>
    <w:p w14:paraId="55E4ED2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11.1.8残疾人福利性单位声明函（如有）； </w:t>
      </w:r>
    </w:p>
    <w:p w14:paraId="07F663C8">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 投标人的</w:t>
      </w:r>
      <w:r>
        <w:rPr>
          <w:rFonts w:hint="eastAsia" w:ascii="仿宋" w:hAnsi="仿宋" w:eastAsia="仿宋" w:cs="仿宋"/>
          <w:b/>
          <w:color w:val="auto"/>
          <w:sz w:val="24"/>
          <w:highlight w:val="none"/>
        </w:rPr>
        <w:t>商务技术</w:t>
      </w:r>
      <w:r>
        <w:rPr>
          <w:rFonts w:hint="eastAsia" w:ascii="仿宋" w:hAnsi="仿宋" w:eastAsia="仿宋" w:cs="仿宋"/>
          <w:b/>
          <w:color w:val="auto"/>
          <w:kern w:val="0"/>
          <w:sz w:val="24"/>
          <w:highlight w:val="none"/>
          <w:lang w:val="zh-CN"/>
        </w:rPr>
        <w:t>文件</w:t>
      </w:r>
      <w:r>
        <w:rPr>
          <w:rFonts w:hint="eastAsia" w:ascii="仿宋" w:hAnsi="仿宋" w:eastAsia="仿宋" w:cs="仿宋"/>
          <w:color w:val="auto"/>
          <w:kern w:val="0"/>
          <w:sz w:val="24"/>
          <w:highlight w:val="none"/>
          <w:lang w:val="zh-CN"/>
        </w:rPr>
        <w:t>应包括以下内容：</w:t>
      </w:r>
    </w:p>
    <w:p w14:paraId="2D9C549A">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11.2.1 投标函；</w:t>
      </w:r>
    </w:p>
    <w:p w14:paraId="7E2307B9">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11.2.2</w:t>
      </w:r>
      <w:r>
        <w:rPr>
          <w:rFonts w:hint="eastAsia" w:ascii="仿宋" w:hAnsi="仿宋" w:eastAsia="仿宋" w:cs="仿宋"/>
          <w:snapToGrid w:val="0"/>
          <w:color w:val="auto"/>
          <w:kern w:val="0"/>
          <w:sz w:val="24"/>
          <w:szCs w:val="21"/>
          <w:highlight w:val="none"/>
          <w:lang w:val="zh-CN"/>
        </w:rPr>
        <w:t>评分对应表；如果本项目评标办法采用综合评审法，投标人需在商务技术文件中提供此评分对应表，供评标委员会评审时使用。</w:t>
      </w:r>
    </w:p>
    <w:p w14:paraId="7E5D509E">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11.2.3技术响应表；</w:t>
      </w:r>
    </w:p>
    <w:p w14:paraId="34B853FB">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w:t>
      </w: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商务响应表；</w:t>
      </w:r>
    </w:p>
    <w:p w14:paraId="5E71104E">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11.2.5</w:t>
      </w:r>
      <w:r>
        <w:rPr>
          <w:rFonts w:hint="eastAsia" w:ascii="仿宋" w:hAnsi="仿宋" w:eastAsia="仿宋" w:cs="仿宋"/>
          <w:color w:val="auto"/>
          <w:kern w:val="0"/>
          <w:sz w:val="24"/>
          <w:highlight w:val="none"/>
          <w:lang w:val="zh-CN"/>
        </w:rPr>
        <w:t>项目组织实施方案;项目组织实施方案包括但不限于以下内容：组织机构、工作时间进度表、工作程序和步骤、管理和协调方法、关键步骤的思路和要点；</w:t>
      </w:r>
    </w:p>
    <w:p w14:paraId="29E08B3C">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w:t>
      </w:r>
      <w:r>
        <w:rPr>
          <w:rFonts w:hint="eastAsia" w:ascii="仿宋" w:hAnsi="仿宋" w:eastAsia="仿宋" w:cs="仿宋"/>
          <w:color w:val="auto"/>
          <w:kern w:val="0"/>
          <w:sz w:val="24"/>
          <w:highlight w:val="none"/>
        </w:rPr>
        <w:t>6</w:t>
      </w:r>
      <w:r>
        <w:rPr>
          <w:rFonts w:hint="eastAsia" w:ascii="仿宋" w:hAnsi="仿宋" w:eastAsia="仿宋" w:cs="仿宋"/>
          <w:color w:val="auto"/>
          <w:kern w:val="0"/>
          <w:sz w:val="24"/>
          <w:highlight w:val="none"/>
          <w:lang w:val="zh-CN"/>
        </w:rPr>
        <w:t>项目负责人情况表；</w:t>
      </w:r>
    </w:p>
    <w:p w14:paraId="2FF917E9">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11.2.</w:t>
      </w:r>
      <w:r>
        <w:rPr>
          <w:rFonts w:hint="eastAsia" w:ascii="仿宋" w:hAnsi="仿宋" w:eastAsia="仿宋" w:cs="仿宋"/>
          <w:color w:val="auto"/>
          <w:kern w:val="0"/>
          <w:sz w:val="24"/>
          <w:highlight w:val="none"/>
        </w:rPr>
        <w:t>7</w:t>
      </w:r>
      <w:r>
        <w:rPr>
          <w:rFonts w:hint="eastAsia" w:ascii="仿宋" w:hAnsi="仿宋" w:eastAsia="仿宋" w:cs="仿宋"/>
          <w:color w:val="auto"/>
          <w:kern w:val="0"/>
          <w:sz w:val="24"/>
          <w:highlight w:val="none"/>
          <w:lang w:val="zh-CN"/>
        </w:rPr>
        <w:t>项目组人员名单；</w:t>
      </w:r>
    </w:p>
    <w:p w14:paraId="0F477BEE">
      <w:pPr>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val="zh-CN"/>
        </w:rPr>
        <w:t>11.2.</w:t>
      </w:r>
      <w:r>
        <w:rPr>
          <w:rFonts w:hint="eastAsia" w:ascii="仿宋" w:hAnsi="仿宋" w:eastAsia="仿宋" w:cs="仿宋"/>
          <w:color w:val="auto"/>
          <w:sz w:val="24"/>
          <w:highlight w:val="none"/>
        </w:rPr>
        <w:t>8</w:t>
      </w:r>
      <w:r>
        <w:rPr>
          <w:rFonts w:hint="eastAsia" w:ascii="仿宋" w:hAnsi="仿宋" w:eastAsia="仿宋" w:cs="仿宋"/>
          <w:color w:val="auto"/>
          <w:kern w:val="0"/>
          <w:sz w:val="24"/>
          <w:highlight w:val="none"/>
          <w:lang w:val="zh-CN"/>
        </w:rPr>
        <w:t>售后服务方案（如有）。售后服务方案可包含且不限于对售后服务机构设置、驻点人员情况等。服务承诺未明示可能涉及的前提设定和费用，视为是无条件和免费的；</w:t>
      </w:r>
    </w:p>
    <w:p w14:paraId="2D1C577C">
      <w:pPr>
        <w:tabs>
          <w:tab w:val="left" w:pos="0"/>
          <w:tab w:val="left" w:pos="840"/>
        </w:tabs>
        <w:autoSpaceDE w:val="0"/>
        <w:autoSpaceDN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val="zh-CN"/>
        </w:rPr>
        <w:t>11.2.</w:t>
      </w:r>
      <w:r>
        <w:rPr>
          <w:rFonts w:hint="eastAsia" w:ascii="仿宋" w:hAnsi="仿宋" w:eastAsia="仿宋" w:cs="仿宋"/>
          <w:color w:val="auto"/>
          <w:sz w:val="24"/>
          <w:highlight w:val="none"/>
        </w:rPr>
        <w:t>9</w:t>
      </w:r>
      <w:r>
        <w:rPr>
          <w:rFonts w:hint="eastAsia" w:ascii="仿宋" w:hAnsi="仿宋" w:eastAsia="仿宋" w:cs="仿宋"/>
          <w:color w:val="auto"/>
          <w:kern w:val="0"/>
          <w:sz w:val="24"/>
          <w:highlight w:val="none"/>
          <w:lang w:val="zh-CN"/>
        </w:rPr>
        <w:t>优惠条件及特殊承诺（如有）；</w:t>
      </w:r>
    </w:p>
    <w:p w14:paraId="339D100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11.2.</w:t>
      </w:r>
      <w:r>
        <w:rPr>
          <w:rFonts w:hint="eastAsia" w:ascii="仿宋" w:hAnsi="仿宋" w:eastAsia="仿宋" w:cs="仿宋"/>
          <w:color w:val="auto"/>
          <w:sz w:val="24"/>
          <w:highlight w:val="none"/>
        </w:rPr>
        <w:t>10</w:t>
      </w:r>
      <w:r>
        <w:rPr>
          <w:rFonts w:hint="eastAsia" w:ascii="仿宋" w:hAnsi="仿宋" w:eastAsia="仿宋" w:cs="仿宋"/>
          <w:color w:val="auto"/>
          <w:kern w:val="0"/>
          <w:sz w:val="24"/>
          <w:highlight w:val="none"/>
          <w:lang w:val="zh-CN"/>
        </w:rPr>
        <w:t>投标人认为需要的其他商务技术文件或说明</w:t>
      </w:r>
      <w:r>
        <w:rPr>
          <w:rFonts w:hint="eastAsia" w:ascii="仿宋" w:hAnsi="仿宋" w:eastAsia="仿宋" w:cs="仿宋"/>
          <w:snapToGrid w:val="0"/>
          <w:color w:val="auto"/>
          <w:kern w:val="0"/>
          <w:sz w:val="24"/>
          <w:highlight w:val="none"/>
          <w:lang w:val="zh-CN"/>
        </w:rPr>
        <w:t>。</w:t>
      </w:r>
    </w:p>
    <w:p w14:paraId="6CE67863">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 xml:space="preserve">11.3 </w:t>
      </w:r>
      <w:r>
        <w:rPr>
          <w:rFonts w:hint="eastAsia" w:ascii="仿宋" w:hAnsi="仿宋" w:eastAsia="仿宋" w:cs="仿宋"/>
          <w:color w:val="auto"/>
          <w:sz w:val="24"/>
          <w:highlight w:val="none"/>
        </w:rPr>
        <w:t>投标人的</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应包括以下内容：</w:t>
      </w:r>
    </w:p>
    <w:p w14:paraId="371C9F57">
      <w:pPr>
        <w:pStyle w:val="234"/>
        <w:snapToGrid w:val="0"/>
        <w:spacing w:before="0"/>
        <w:ind w:firstLine="480"/>
        <w:outlineLvl w:val="0"/>
        <w:rPr>
          <w:rFonts w:hint="eastAsia" w:ascii="仿宋" w:hAnsi="仿宋" w:eastAsia="仿宋" w:cs="仿宋"/>
          <w:color w:val="auto"/>
          <w:highlight w:val="none"/>
        </w:rPr>
      </w:pPr>
      <w:r>
        <w:rPr>
          <w:rFonts w:hint="eastAsia" w:ascii="仿宋" w:hAnsi="仿宋" w:eastAsia="仿宋" w:cs="仿宋"/>
          <w:color w:val="auto"/>
          <w:highlight w:val="none"/>
        </w:rPr>
        <w:t>1</w:t>
      </w:r>
      <w:bookmarkStart w:id="58" w:name="_Toc91899887"/>
      <w:r>
        <w:rPr>
          <w:rFonts w:hint="eastAsia" w:ascii="仿宋" w:hAnsi="仿宋" w:eastAsia="仿宋" w:cs="仿宋"/>
          <w:color w:val="auto"/>
          <w:highlight w:val="none"/>
        </w:rPr>
        <w:t>1.3.1投标(开标)一览表；</w:t>
      </w:r>
    </w:p>
    <w:p w14:paraId="5F15FCBF">
      <w:pPr>
        <w:pStyle w:val="234"/>
        <w:snapToGrid w:val="0"/>
        <w:spacing w:before="0"/>
        <w:ind w:firstLine="482"/>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响应文件的编制</w:t>
      </w:r>
    </w:p>
    <w:p w14:paraId="42D4568E">
      <w:pPr>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▲响应文件未按本条规定的格式编制的，投标无效；</w:t>
      </w:r>
    </w:p>
    <w:p w14:paraId="2F36B3D2">
      <w:pPr>
        <w:spacing w:line="360" w:lineRule="auto"/>
        <w:ind w:firstLine="482" w:firstLineChars="20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12.1响应文件分为资格文件、商务技术文件、报价文件三部分。各投标人在编制响应文件时请按照征集文件第六部分规定的格式进行，“商务技术文件”可在征集文件规定的格式基础上适当调整，以使内容更加完备，混乱的编排导致响应文件被误读或评标委员会查找不到有效文件是投标人的风险。</w:t>
      </w:r>
    </w:p>
    <w:p w14:paraId="12D391EF">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12.2投标人进行电子投标应安装客户端软件—“政采云电子交易客户端”，并按照征集文件和电子交易平台的要求编制并加密响应文件。投标人未按规定加密的响应文件，电子交易平台将拒收并提示。</w:t>
      </w:r>
    </w:p>
    <w:bookmarkEnd w:id="58"/>
    <w:p w14:paraId="0855D94B">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587C93E1">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13.响应文件的签署、盖章</w:t>
      </w:r>
    </w:p>
    <w:p w14:paraId="1C226EAD">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szCs w:val="24"/>
          <w:highlight w:val="none"/>
        </w:rPr>
        <w:t>13.1响应文件按照征集文件第六部分格式要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szCs w:val="24"/>
          <w:highlight w:val="none"/>
        </w:rPr>
        <w:t>其中电子响应文件中所需加盖公章部分均应采用电子签章（联合体投标的，投标人可加盖实体印章）</w:t>
      </w:r>
    </w:p>
    <w:p w14:paraId="56B87297">
      <w:pPr>
        <w:pStyle w:val="234"/>
        <w:snapToGrid w:val="0"/>
        <w:spacing w:before="0"/>
        <w:ind w:firstLine="482"/>
        <w:rPr>
          <w:rFonts w:hint="eastAsia" w:ascii="仿宋" w:hAnsi="仿宋" w:eastAsia="仿宋" w:cs="仿宋"/>
          <w:b/>
          <w:color w:val="auto"/>
          <w:highlight w:val="none"/>
        </w:rPr>
      </w:pPr>
      <w:r>
        <w:rPr>
          <w:rFonts w:hint="eastAsia" w:ascii="仿宋" w:hAnsi="仿宋" w:eastAsia="仿宋" w:cs="仿宋"/>
          <w:b/>
          <w:color w:val="auto"/>
          <w:highlight w:val="none"/>
        </w:rPr>
        <w:t>▲投标人的响应文件未按照征集文件要求签署、盖章的，其投标无效</w:t>
      </w:r>
      <w:r>
        <w:rPr>
          <w:rFonts w:hint="eastAsia" w:ascii="仿宋" w:hAnsi="仿宋" w:eastAsia="仿宋" w:cs="仿宋"/>
          <w:color w:val="auto"/>
          <w:szCs w:val="24"/>
          <w:highlight w:val="none"/>
        </w:rPr>
        <w:t>。</w:t>
      </w:r>
    </w:p>
    <w:p w14:paraId="1DCBD3B9">
      <w:pPr>
        <w:pStyle w:val="234"/>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bookmarkEnd w:id="53"/>
    <w:bookmarkEnd w:id="54"/>
    <w:p w14:paraId="6F32124F">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14. 响应文件的提交、补充、修改、撤回</w:t>
      </w:r>
    </w:p>
    <w:p w14:paraId="73A92A8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14.1 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566E4538">
      <w:pPr>
        <w:pStyle w:val="234"/>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14.2电子交易平台收到响应文件，将妥善保存并即时向供应商发出确认回执通知。在投标截止时间前，除供应商补充、修改或者撤回响应文件外，任何单位和个人不得解密或提取响应文件。</w:t>
      </w:r>
    </w:p>
    <w:p w14:paraId="509E125A">
      <w:pPr>
        <w:pStyle w:val="234"/>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14.3征集人、代理机构可以视情况延长响应文件提交的截止时间。在上述情况下，采购代理机构与投标人以前在投标截止期方面的全部权利、责任和义务，将适用于延长至新的投标截止期。</w:t>
      </w:r>
    </w:p>
    <w:p w14:paraId="024136A4">
      <w:pPr>
        <w:pStyle w:val="31"/>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15.备份响应文件</w:t>
      </w:r>
    </w:p>
    <w:p w14:paraId="6F66B223">
      <w:pPr>
        <w:pStyle w:val="31"/>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15.1投标人在电子交易平台传输递交响应文件后，还可以在投标截止时间前直接提交或者以邮政快递方式递交备份响应文件1份，</w:t>
      </w:r>
      <w:r>
        <w:rPr>
          <w:rFonts w:hint="eastAsia" w:ascii="仿宋" w:hAnsi="仿宋" w:eastAsia="仿宋" w:cs="仿宋"/>
          <w:b/>
          <w:color w:val="auto"/>
          <w:sz w:val="24"/>
          <w:szCs w:val="24"/>
          <w:highlight w:val="none"/>
        </w:rPr>
        <w:t>但征集人、采购代理机构不强制或变相强制投标人提交备份响应文件。</w:t>
      </w:r>
    </w:p>
    <w:p w14:paraId="7ED1B1F8">
      <w:pPr>
        <w:pStyle w:val="31"/>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15.2备份响应文件须在“政采云投标客户端”制作生成，并储存在</w:t>
      </w:r>
      <w:r>
        <w:rPr>
          <w:rFonts w:hint="eastAsia" w:ascii="仿宋" w:hAnsi="仿宋" w:eastAsia="仿宋" w:cs="仿宋"/>
          <w:color w:val="auto"/>
          <w:sz w:val="24"/>
          <w:highlight w:val="none"/>
        </w:rPr>
        <w:t>DVD光盘等存储介质</w:t>
      </w:r>
      <w:r>
        <w:rPr>
          <w:rFonts w:hint="eastAsia" w:ascii="仿宋" w:hAnsi="仿宋" w:eastAsia="仿宋" w:cs="仿宋"/>
          <w:color w:val="auto"/>
          <w:sz w:val="24"/>
          <w:szCs w:val="24"/>
          <w:highlight w:val="none"/>
        </w:rPr>
        <w:t>中。备份响应文件应当密封包装并在包装上加盖公章并注明投标项目名称，投标人名称(联合体投标的，包装物封面需注明联合体投标，并注明联合体成员各方的名称和联合协议中约定的牵头人的名称)。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存储、密封规定的备份响应文件将被视为无效或者被拒绝接收。</w:t>
      </w:r>
    </w:p>
    <w:p w14:paraId="3EC67450">
      <w:pPr>
        <w:pStyle w:val="3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15.3直接提交备份响应文件的，投标人应于投标截止时间前在征集公告中载明的开标地点将备份响应文件提交给采购代理机构，采购代理机构将拒绝接受逾期送达的备份响应文件。</w:t>
      </w:r>
    </w:p>
    <w:p w14:paraId="40EA9D8D">
      <w:pPr>
        <w:pStyle w:val="31"/>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15.4以邮政快递方式递交备份响应文件的，投标人应先将备份响应文件按要求密封和标记，再进行邮政快递包装后邮寄。备份响应文件须在投标截止时间之前送达</w:t>
      </w:r>
      <w:r>
        <w:rPr>
          <w:rFonts w:hint="eastAsia" w:ascii="仿宋" w:hAnsi="仿宋" w:eastAsia="仿宋" w:cs="仿宋"/>
          <w:snapToGrid/>
          <w:color w:val="auto"/>
          <w:sz w:val="24"/>
          <w:szCs w:val="24"/>
          <w:highlight w:val="none"/>
        </w:rPr>
        <w:t>征集文件第二部分投标人须知前附表规定的备份响应文件送达地点；</w:t>
      </w:r>
      <w:r>
        <w:rPr>
          <w:rFonts w:hint="eastAsia" w:ascii="仿宋" w:hAnsi="仿宋" w:eastAsia="仿宋" w:cs="仿宋"/>
          <w:color w:val="auto"/>
          <w:sz w:val="24"/>
          <w:szCs w:val="24"/>
          <w:highlight w:val="none"/>
        </w:rPr>
        <w:t>送达时间以签收人签收时间为准。采购代理机构将拒绝接受逾期送达的备份响应文件。邮寄过程中，电子备份响应文件发生泄露、遗失、损坏或延期送达等情况的，由投标人自行负责。</w:t>
      </w:r>
    </w:p>
    <w:p w14:paraId="04D290F6">
      <w:pPr>
        <w:pStyle w:val="234"/>
        <w:spacing w:before="0"/>
        <w:ind w:firstLine="482"/>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15.5投标人仅提交备份响应文件，未在电子交易平台传输递交响应文件的，投标无效。</w:t>
      </w:r>
    </w:p>
    <w:p w14:paraId="368BEE9A">
      <w:pPr>
        <w:pStyle w:val="234"/>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16.响应文件的无效处理</w:t>
      </w:r>
    </w:p>
    <w:p w14:paraId="1B1289B7">
      <w:pPr>
        <w:pStyle w:val="23"/>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w:t>
      </w:r>
      <w:r>
        <w:rPr>
          <w:rFonts w:hint="eastAsia" w:ascii="仿宋" w:hAnsi="仿宋" w:eastAsia="仿宋" w:cs="仿宋"/>
          <w:color w:val="auto"/>
          <w:szCs w:val="21"/>
          <w:highlight w:val="none"/>
          <w:lang w:eastAsia="zh-CN"/>
        </w:rPr>
        <w:t>征集文件第四部分 “投标无效”章节</w:t>
      </w:r>
      <w:r>
        <w:rPr>
          <w:rFonts w:hint="eastAsia" w:ascii="仿宋" w:hAnsi="仿宋" w:eastAsia="仿宋" w:cs="仿宋"/>
          <w:color w:val="auto"/>
          <w:highlight w:val="none"/>
        </w:rPr>
        <w:t>规定</w:t>
      </w:r>
      <w:r>
        <w:rPr>
          <w:rFonts w:hint="eastAsia" w:ascii="仿宋" w:hAnsi="仿宋" w:eastAsia="仿宋" w:cs="仿宋"/>
          <w:color w:val="auto"/>
          <w:szCs w:val="21"/>
          <w:highlight w:val="none"/>
        </w:rPr>
        <w:t>的情形之一的，投标无效：</w:t>
      </w:r>
    </w:p>
    <w:p w14:paraId="389ADA27">
      <w:pPr>
        <w:pStyle w:val="234"/>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50D52DF2">
      <w:pPr>
        <w:spacing w:line="360" w:lineRule="auto"/>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17.1投标有效期为从提交响应文件的截止之日起90天。</w:t>
      </w:r>
    </w:p>
    <w:p w14:paraId="70F1ECC6">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w:t>
      </w:r>
      <w:r>
        <w:rPr>
          <w:rFonts w:hint="eastAsia" w:ascii="仿宋" w:hAnsi="仿宋" w:eastAsia="仿宋" w:cs="仿宋"/>
          <w:b/>
          <w:color w:val="auto"/>
          <w:sz w:val="24"/>
          <w:szCs w:val="20"/>
          <w:highlight w:val="none"/>
        </w:rPr>
        <w:t>投标人的响应文件中承</w:t>
      </w:r>
      <w:r>
        <w:rPr>
          <w:rFonts w:hint="eastAsia" w:ascii="仿宋" w:hAnsi="仿宋" w:eastAsia="仿宋" w:cs="仿宋"/>
          <w:b/>
          <w:color w:val="auto"/>
          <w:sz w:val="24"/>
          <w:szCs w:val="21"/>
          <w:highlight w:val="none"/>
        </w:rPr>
        <w:t>诺的投标有效期少于征集文件中载明的投标有效期的，投标无效。</w:t>
      </w:r>
    </w:p>
    <w:p w14:paraId="0EC46267">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17.2响应文件合格投递后，自投标截止日期起，在投标有效期内有效。投标有效期内，投标人不得撤销或更换响应文件。</w:t>
      </w:r>
    </w:p>
    <w:p w14:paraId="7A780CC1">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17.3在原定投标有效期满之前，如果出现特殊情况，采购代理机构可以以公告形式通知投标人延长投标有效期。投标人同意延长的，不得要求或被允许修改其响应文件，投标人拒绝延长的，其投标无效。</w:t>
      </w:r>
    </w:p>
    <w:p w14:paraId="545DC774">
      <w:pPr>
        <w:pStyle w:val="234"/>
        <w:spacing w:before="0"/>
        <w:ind w:firstLine="643"/>
        <w:rPr>
          <w:rFonts w:hint="eastAsia" w:ascii="仿宋" w:hAnsi="仿宋" w:eastAsia="仿宋" w:cs="仿宋"/>
          <w:b/>
          <w:color w:val="auto"/>
          <w:sz w:val="32"/>
          <w:highlight w:val="none"/>
        </w:rPr>
      </w:pPr>
      <w:bookmarkStart w:id="59" w:name="_Toc91899897"/>
    </w:p>
    <w:p w14:paraId="0ABC7D07">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四、开标</w:t>
      </w:r>
      <w:bookmarkEnd w:id="59"/>
      <w:r>
        <w:rPr>
          <w:rFonts w:hint="eastAsia" w:ascii="仿宋" w:hAnsi="仿宋" w:eastAsia="仿宋" w:cs="仿宋"/>
          <w:b/>
          <w:color w:val="auto"/>
          <w:sz w:val="32"/>
          <w:szCs w:val="20"/>
          <w:highlight w:val="none"/>
        </w:rPr>
        <w:t>、资格审查与信用信息查询</w:t>
      </w:r>
    </w:p>
    <w:p w14:paraId="406F7585">
      <w:pPr>
        <w:pStyle w:val="450"/>
        <w:spacing w:before="0" w:line="360" w:lineRule="auto"/>
        <w:ind w:left="0" w:firstLine="482" w:firstLineChars="2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30C259F3">
      <w:pPr>
        <w:pStyle w:val="450"/>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18.1采购代理机构按照征集文件规定的时间通过电子交易平台组织开标，所有投标人均应当准时在线参加。投标人不足3家的，不得开标。</w:t>
      </w:r>
    </w:p>
    <w:p w14:paraId="0BBE068E">
      <w:pPr>
        <w:pStyle w:val="450"/>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18.2开标时，电子交易平台按开标时间自动提取所有响应文件。采购代理机构依托电子交易平台发起开始解密指令，投标人按照平台提示和征集文件的规定在30分钟内完成在线解密。</w:t>
      </w:r>
    </w:p>
    <w:p w14:paraId="57D08C6C">
      <w:pPr>
        <w:pStyle w:val="450"/>
        <w:spacing w:before="0" w:line="360" w:lineRule="auto"/>
        <w:ind w:left="0" w:firstLine="482" w:firstLineChars="200"/>
        <w:contextualSpacing/>
        <w:rPr>
          <w:rFonts w:hint="eastAsia" w:ascii="仿宋" w:hAnsi="仿宋" w:eastAsia="仿宋" w:cs="仿宋"/>
          <w:color w:val="auto"/>
          <w:sz w:val="24"/>
          <w:highlight w:val="none"/>
        </w:rPr>
      </w:pPr>
      <w:r>
        <w:rPr>
          <w:rFonts w:hint="eastAsia" w:ascii="仿宋" w:hAnsi="仿宋" w:eastAsia="仿宋" w:cs="仿宋"/>
          <w:b/>
          <w:color w:val="auto"/>
          <w:sz w:val="24"/>
          <w:highlight w:val="none"/>
        </w:rPr>
        <w:t>19、资格审查</w:t>
      </w:r>
    </w:p>
    <w:p w14:paraId="1E4C8BC6">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19.1开标后，征集人或采购代理机构将依法对投标人的资格进行审查。</w:t>
      </w:r>
    </w:p>
    <w:p w14:paraId="2355263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征集人或采购代理机构依据法律法规和征集文件的规定，对投标人的基本资格条件、特定资格条件进行审查。</w:t>
      </w:r>
    </w:p>
    <w:p w14:paraId="7FBFCBF3">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19.3投标人未按照征集文件要求提供与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投标人不具备征集文件中规定的资格要求，其投标无效。</w:t>
      </w:r>
    </w:p>
    <w:p w14:paraId="480421F8">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19.4对未通过资格审查的投标人，征集人或采购代理机构告知其未通过的原因。</w:t>
      </w:r>
    </w:p>
    <w:p w14:paraId="52CDBBF2">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19.5合格投标人不足3家的，不再评标。</w:t>
      </w:r>
    </w:p>
    <w:p w14:paraId="525818CF">
      <w:pPr>
        <w:pStyle w:val="234"/>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215B7F5C">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20.1信用信息查询渠道及截止时间：征集人或采购代理机构将通过“信用中国”网站(www.creditchina.gov.cn)、中国政府采购网(www.ccgp.gov.cn)渠道查询投标人投标截止时间当天的信用记录。</w:t>
      </w:r>
    </w:p>
    <w:p w14:paraId="10617FA9">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20.2信用信息查询记录和证据留存的具体方式：现场查询的投标人的信用记录、查询结果经确认后将与征集文件一起存档。</w:t>
      </w:r>
    </w:p>
    <w:p w14:paraId="1C6DD98E">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FB6018F">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5E24952A">
      <w:pPr>
        <w:pStyle w:val="234"/>
        <w:spacing w:before="0"/>
        <w:ind w:firstLine="0" w:firstLineChars="0"/>
        <w:rPr>
          <w:rFonts w:hint="eastAsia" w:ascii="仿宋" w:hAnsi="仿宋" w:eastAsia="仿宋" w:cs="仿宋"/>
          <w:color w:val="auto"/>
          <w:kern w:val="0"/>
          <w:szCs w:val="24"/>
          <w:highlight w:val="none"/>
        </w:rPr>
      </w:pPr>
    </w:p>
    <w:p w14:paraId="07D2D07D">
      <w:pPr>
        <w:adjustRightInd/>
        <w:spacing w:line="360" w:lineRule="auto"/>
        <w:jc w:val="center"/>
        <w:outlineLvl w:val="0"/>
        <w:rPr>
          <w:rFonts w:hint="eastAsia" w:ascii="仿宋" w:hAnsi="仿宋" w:eastAsia="仿宋" w:cs="仿宋"/>
          <w:b/>
          <w:color w:val="auto"/>
          <w:sz w:val="32"/>
          <w:szCs w:val="20"/>
          <w:highlight w:val="none"/>
        </w:rPr>
      </w:pPr>
      <w:bookmarkStart w:id="60" w:name="_Hlt75236101"/>
      <w:bookmarkEnd w:id="60"/>
      <w:bookmarkStart w:id="61" w:name="_Toc91899902"/>
      <w:r>
        <w:rPr>
          <w:rFonts w:hint="eastAsia" w:ascii="仿宋" w:hAnsi="仿宋" w:eastAsia="仿宋" w:cs="仿宋"/>
          <w:b/>
          <w:color w:val="auto"/>
          <w:sz w:val="32"/>
          <w:szCs w:val="20"/>
          <w:highlight w:val="none"/>
        </w:rPr>
        <w:t>五、评标</w:t>
      </w:r>
      <w:bookmarkEnd w:id="61"/>
    </w:p>
    <w:p w14:paraId="30FBBBD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详见征集文件第四部分“评标方法及评分标准”。</w:t>
      </w:r>
    </w:p>
    <w:p w14:paraId="0AFF1AB5">
      <w:pPr>
        <w:spacing w:line="360" w:lineRule="auto"/>
        <w:rPr>
          <w:rFonts w:hint="eastAsia" w:ascii="仿宋" w:hAnsi="仿宋" w:eastAsia="仿宋" w:cs="仿宋"/>
          <w:b/>
          <w:color w:val="auto"/>
          <w:sz w:val="24"/>
          <w:highlight w:val="none"/>
        </w:rPr>
      </w:pPr>
    </w:p>
    <w:p w14:paraId="582092D4">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六、定标</w:t>
      </w:r>
    </w:p>
    <w:p w14:paraId="276863F5">
      <w:pPr>
        <w:pStyle w:val="23"/>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lang w:eastAsia="zh-CN"/>
        </w:rPr>
        <w:t>22</w:t>
      </w:r>
      <w:r>
        <w:rPr>
          <w:rFonts w:hint="eastAsia" w:ascii="仿宋" w:hAnsi="仿宋" w:eastAsia="仿宋" w:cs="仿宋"/>
          <w:b/>
          <w:color w:val="auto"/>
          <w:highlight w:val="none"/>
        </w:rPr>
        <w:t>. 确定中标供应商</w:t>
      </w:r>
    </w:p>
    <w:p w14:paraId="01698F1B">
      <w:pPr>
        <w:pStyle w:val="234"/>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征集人。采购单位应当自收到评审报告之日起2个工作日内在线确定中标或者成交供应商。中标、成交通知书和中标、成交结果公告应当在规定时间内同时发出。</w:t>
      </w:r>
    </w:p>
    <w:p w14:paraId="4CDD5CED">
      <w:pPr>
        <w:pStyle w:val="234"/>
        <w:snapToGrid w:val="0"/>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中标通知书与中标结果公告</w:t>
      </w:r>
    </w:p>
    <w:p w14:paraId="59DEE777">
      <w:pPr>
        <w:widowControl/>
        <w:shd w:val="clear" w:color="auto" w:fill="FFFFFF"/>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23.1采购代理机构将在自中标人确定之日起2个工作日内，发布征集公告的网站上公告中标结果，同时发出中标通知书（中标人可在政采云平台自行下载中标通知书）。</w:t>
      </w:r>
    </w:p>
    <w:p w14:paraId="22AAE39C">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征集人及其委托的采购代理机构的名称、地址、联系方式，项目名称和项目编号，中标人名称、地址和中标金额，主要中标标的的名称、规格型号、数量、单价、服务要求，开标记录、资格审查情况、评审专家抽取规则、符合性审查情况、中标公告期限、评审专家名单、评分汇总及明细等。</w:t>
      </w:r>
    </w:p>
    <w:p w14:paraId="42B6032C">
      <w:pPr>
        <w:widowControl/>
        <w:shd w:val="clear" w:color="auto" w:fill="FFFFFF"/>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69C09353">
      <w:pPr>
        <w:tabs>
          <w:tab w:val="left" w:pos="0"/>
        </w:tabs>
        <w:spacing w:line="360" w:lineRule="auto"/>
        <w:rPr>
          <w:rFonts w:hint="eastAsia" w:ascii="仿宋" w:hAnsi="仿宋" w:eastAsia="仿宋" w:cs="仿宋"/>
          <w:color w:val="auto"/>
          <w:sz w:val="24"/>
          <w:highlight w:val="none"/>
        </w:rPr>
      </w:pPr>
    </w:p>
    <w:p w14:paraId="716C8C95">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七、电子交易活动的中止</w:t>
      </w:r>
    </w:p>
    <w:p w14:paraId="16869C85">
      <w:pPr>
        <w:pStyle w:val="234"/>
        <w:snapToGrid w:val="0"/>
        <w:spacing w:before="0"/>
        <w:ind w:firstLine="482"/>
        <w:rPr>
          <w:rFonts w:hint="eastAsia" w:ascii="仿宋" w:hAnsi="仿宋" w:eastAsia="仿宋" w:cs="仿宋"/>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szCs w:val="24"/>
          <w:highlight w:val="none"/>
        </w:rPr>
        <w:t>4.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14:paraId="30C352C7">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24.1电子交易平台发生故障而无法登录访问的； </w:t>
      </w:r>
    </w:p>
    <w:p w14:paraId="183BB9A2">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24.2电子交易平台应用或数据库出现错误，不能进行正常操作的；</w:t>
      </w:r>
    </w:p>
    <w:p w14:paraId="07A44BA7">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24.3电子交易平台发现严重安全漏洞，有潜在泄密危险的；</w:t>
      </w:r>
    </w:p>
    <w:p w14:paraId="6664CB0C">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24.4病毒发作导致不能进行正常操作的； </w:t>
      </w:r>
    </w:p>
    <w:p w14:paraId="324FAEC8">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24.5其他无法保证电子交易的公平、公正和安全的情况。</w:t>
      </w:r>
    </w:p>
    <w:p w14:paraId="76ACD23B">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4C9385B6">
      <w:pPr>
        <w:pStyle w:val="234"/>
        <w:snapToGrid w:val="0"/>
        <w:spacing w:before="0"/>
        <w:ind w:firstLine="480"/>
        <w:rPr>
          <w:rFonts w:hint="eastAsia" w:ascii="仿宋" w:hAnsi="仿宋" w:eastAsia="仿宋" w:cs="仿宋"/>
          <w:color w:val="auto"/>
          <w:highlight w:val="none"/>
        </w:rPr>
      </w:pPr>
    </w:p>
    <w:p w14:paraId="46E70094">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八、合同授予</w:t>
      </w:r>
    </w:p>
    <w:p w14:paraId="39FB4B39">
      <w:pPr>
        <w:pStyle w:val="23"/>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eastAsia="zh-CN"/>
        </w:rPr>
        <w:t>5</w:t>
      </w:r>
      <w:r>
        <w:rPr>
          <w:rFonts w:hint="eastAsia" w:ascii="仿宋" w:hAnsi="仿宋" w:eastAsia="仿宋" w:cs="仿宋"/>
          <w:b/>
          <w:color w:val="auto"/>
          <w:highlight w:val="none"/>
        </w:rPr>
        <w:t xml:space="preserve">. </w:t>
      </w:r>
      <w:r>
        <w:rPr>
          <w:rFonts w:hint="eastAsia" w:ascii="仿宋" w:hAnsi="仿宋" w:eastAsia="仿宋" w:cs="仿宋"/>
          <w:color w:val="auto"/>
          <w:highlight w:val="none"/>
        </w:rPr>
        <w:t>合同主要条款详见第五部分拟签订的合同文本。</w:t>
      </w:r>
    </w:p>
    <w:p w14:paraId="55CA5925">
      <w:pPr>
        <w:pStyle w:val="23"/>
        <w:spacing w:line="360" w:lineRule="auto"/>
        <w:ind w:firstLine="482"/>
        <w:rPr>
          <w:rFonts w:hint="eastAsia" w:ascii="仿宋" w:hAnsi="仿宋" w:eastAsia="仿宋" w:cs="仿宋"/>
          <w:b/>
          <w:color w:val="auto"/>
          <w:highlight w:val="none"/>
          <w:lang w:eastAsia="zh-CN"/>
        </w:rPr>
      </w:pPr>
      <w:r>
        <w:rPr>
          <w:rFonts w:hint="eastAsia" w:ascii="仿宋" w:hAnsi="仿宋" w:eastAsia="仿宋" w:cs="仿宋"/>
          <w:b/>
          <w:color w:val="auto"/>
          <w:highlight w:val="none"/>
        </w:rPr>
        <w:t>2</w:t>
      </w:r>
      <w:r>
        <w:rPr>
          <w:rFonts w:hint="eastAsia" w:ascii="仿宋" w:hAnsi="仿宋" w:eastAsia="仿宋" w:cs="仿宋"/>
          <w:b/>
          <w:color w:val="auto"/>
          <w:highlight w:val="none"/>
          <w:lang w:eastAsia="zh-CN"/>
        </w:rPr>
        <w:t>6</w:t>
      </w:r>
      <w:r>
        <w:rPr>
          <w:rFonts w:hint="eastAsia" w:ascii="仿宋" w:hAnsi="仿宋" w:eastAsia="仿宋" w:cs="仿宋"/>
          <w:b/>
          <w:color w:val="auto"/>
          <w:highlight w:val="none"/>
        </w:rPr>
        <w:t>. 合同的签订</w:t>
      </w:r>
    </w:p>
    <w:p w14:paraId="3D443CE5">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26.1</w:t>
      </w:r>
      <w:r>
        <w:rPr>
          <w:rFonts w:hint="eastAsia" w:ascii="仿宋" w:hAnsi="仿宋" w:eastAsia="仿宋" w:cs="仿宋"/>
          <w:color w:val="auto"/>
          <w:kern w:val="0"/>
          <w:sz w:val="24"/>
          <w:highlight w:val="none"/>
        </w:rPr>
        <w:t xml:space="preserve"> 征集人与中标人应当通过电子交易平台在中标通知书发出之日起三十日内，按照征集文件确定的事项签订政府采购合同。鼓励征集人视情况缩减采购合同签订时限，提高采购效率，杜绝“冷、硬、横、推”等不当行为。除不可抗力等特殊情况外，原则上征集人应当在中标通知书发出之日起十日内，与中标供应商按照征集文件确定的事项签订政府采购合同。</w:t>
      </w:r>
    </w:p>
    <w:p w14:paraId="62C9ECFD">
      <w:pPr>
        <w:pStyle w:val="234"/>
        <w:snapToGrid w:val="0"/>
        <w:spacing w:before="0"/>
        <w:ind w:firstLine="480"/>
        <w:rPr>
          <w:rFonts w:hint="eastAsia" w:ascii="仿宋" w:hAnsi="仿宋" w:eastAsia="仿宋" w:cs="仿宋"/>
          <w:color w:val="auto"/>
          <w:kern w:val="0"/>
          <w:highlight w:val="none"/>
          <w:lang w:val="zh-CN"/>
        </w:rPr>
      </w:pPr>
      <w:r>
        <w:rPr>
          <w:rFonts w:hint="eastAsia" w:ascii="仿宋" w:hAnsi="仿宋" w:eastAsia="仿宋" w:cs="仿宋"/>
          <w:color w:val="auto"/>
          <w:kern w:val="0"/>
          <w:highlight w:val="none"/>
          <w:lang w:val="zh-CN"/>
        </w:rPr>
        <w:t>26.2中标人按规定的时间、地点，由法定代表人或其授权代表与征集人代表签订合同。如中标人为联合体的，由联合体成员各方法定代表人或其授权代表与征集人代表签订合同。</w:t>
      </w:r>
    </w:p>
    <w:p w14:paraId="2640242F">
      <w:pPr>
        <w:spacing w:line="360" w:lineRule="auto"/>
        <w:ind w:firstLine="480" w:firstLineChars="200"/>
        <w:rPr>
          <w:rFonts w:hint="eastAsia" w:ascii="仿宋" w:hAnsi="仿宋" w:eastAsia="仿宋" w:cs="仿宋"/>
          <w:color w:val="auto"/>
          <w:kern w:val="0"/>
          <w:sz w:val="24"/>
          <w:szCs w:val="20"/>
          <w:highlight w:val="none"/>
          <w:lang w:val="zh-CN"/>
        </w:rPr>
      </w:pPr>
      <w:r>
        <w:rPr>
          <w:rFonts w:hint="eastAsia" w:ascii="仿宋" w:hAnsi="仿宋" w:eastAsia="仿宋" w:cs="仿宋"/>
          <w:color w:val="auto"/>
          <w:kern w:val="0"/>
          <w:sz w:val="24"/>
          <w:szCs w:val="20"/>
          <w:highlight w:val="none"/>
          <w:lang w:val="zh-CN"/>
        </w:rPr>
        <w:t>26.3征集人或中标人不得向另一方提出超出征集文件及投标响应文件以外的任何要求作为签订合同的条件，不得订立背离征集文件确定的合同文本以及采购标的、规格型号、采购金额、采购数量、技术和服务等实质性内容的协议。如果中标人不能按照征集文件要求及其响应文件的承诺签订合同或其响应文件与事实不符，影响采购合同的实施，损害征集人利益，征集人有权拒绝签订合同，并报采购监督部门处理。</w:t>
      </w:r>
    </w:p>
    <w:p w14:paraId="08BF0EB7">
      <w:pPr>
        <w:pStyle w:val="234"/>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26.4鼓励征集人与中标供应商根据征集文件、响应文件等内容通过政府采购电子交易平台在线签订合同，自动备案。</w:t>
      </w:r>
    </w:p>
    <w:p w14:paraId="03EBAD63">
      <w:pPr>
        <w:pStyle w:val="23"/>
        <w:tabs>
          <w:tab w:val="left" w:pos="2760"/>
        </w:tabs>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eastAsia="zh-CN"/>
        </w:rPr>
        <w:t>7</w:t>
      </w:r>
      <w:r>
        <w:rPr>
          <w:rFonts w:hint="eastAsia" w:ascii="仿宋" w:hAnsi="仿宋" w:eastAsia="仿宋" w:cs="仿宋"/>
          <w:b/>
          <w:color w:val="auto"/>
          <w:highlight w:val="none"/>
        </w:rPr>
        <w:t>. 履约保证金</w:t>
      </w:r>
      <w:r>
        <w:rPr>
          <w:rFonts w:hint="eastAsia" w:ascii="仿宋" w:hAnsi="仿宋" w:eastAsia="仿宋" w:cs="仿宋"/>
          <w:b/>
          <w:color w:val="auto"/>
          <w:highlight w:val="none"/>
        </w:rPr>
        <w:tab/>
      </w:r>
    </w:p>
    <w:p w14:paraId="0815D6BD">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b/>
          <w:color w:val="auto"/>
          <w:sz w:val="24"/>
          <w:highlight w:val="none"/>
        </w:rPr>
        <w:t>0.5</w:t>
      </w:r>
      <w:r>
        <w:rPr>
          <w:rFonts w:hint="eastAsia" w:ascii="仿宋" w:hAnsi="仿宋" w:eastAsia="仿宋" w:cs="仿宋"/>
          <w:color w:val="auto"/>
          <w:sz w:val="24"/>
          <w:highlight w:val="none"/>
        </w:rPr>
        <w:t>%，鼓励征集人根据项目特点、供应商诚信等因素免收履约保证金或降低缴纳比例。鼓励和支持供应商以银行、保险公司出具的保函形式提供履约保证金。征集人不得拒收履约保函，项目验收结束后应及时退还，延迟退还的，应当按照合同约定和法律规定承担相应的赔偿责任。</w:t>
      </w:r>
    </w:p>
    <w:p w14:paraId="6B1BB78B">
      <w:pPr>
        <w:pStyle w:val="3"/>
        <w:numPr>
          <w:ilvl w:val="0"/>
          <w:numId w:val="0"/>
        </w:numPr>
        <w:ind w:firstLine="480" w:firstLineChars="200"/>
        <w:rPr>
          <w:rFonts w:hint="eastAsia" w:ascii="仿宋" w:eastAsia="仿宋" w:cs="仿宋"/>
          <w:b w:val="0"/>
          <w:bCs w:val="0"/>
          <w:snapToGrid w:val="0"/>
          <w:color w:val="auto"/>
          <w:kern w:val="28"/>
          <w:sz w:val="24"/>
          <w:highlight w:val="none"/>
        </w:rPr>
      </w:pPr>
      <w:r>
        <w:rPr>
          <w:rFonts w:hint="eastAsia" w:ascii="仿宋" w:eastAsia="仿宋" w:cs="仿宋"/>
          <w:b w:val="0"/>
          <w:bCs w:val="0"/>
          <w:snapToGrid w:val="0"/>
          <w:color w:val="auto"/>
          <w:kern w:val="28"/>
          <w:sz w:val="24"/>
          <w:highlight w:val="none"/>
        </w:rPr>
        <w:t>供应商</w:t>
      </w:r>
      <w:r>
        <w:rPr>
          <w:rFonts w:hint="eastAsia" w:ascii="仿宋" w:eastAsia="仿宋" w:cs="仿宋"/>
          <w:b w:val="0"/>
          <w:bCs w:val="0"/>
          <w:snapToGrid w:val="0"/>
          <w:color w:val="auto"/>
          <w:kern w:val="28"/>
          <w:sz w:val="24"/>
          <w:highlight w:val="none"/>
          <w:lang w:val="en-US"/>
        </w:rPr>
        <w:t>可</w:t>
      </w:r>
      <w:r>
        <w:rPr>
          <w:rFonts w:hint="eastAsia" w:asci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B76774A">
      <w:pPr>
        <w:pStyle w:val="23"/>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lang w:eastAsia="zh-CN"/>
        </w:rPr>
        <w:t>28</w:t>
      </w:r>
      <w:r>
        <w:rPr>
          <w:rFonts w:hint="eastAsia" w:ascii="仿宋" w:hAnsi="仿宋" w:eastAsia="仿宋" w:cs="仿宋"/>
          <w:b/>
          <w:color w:val="auto"/>
          <w:highlight w:val="none"/>
        </w:rPr>
        <w:t>.预付款</w:t>
      </w:r>
    </w:p>
    <w:p w14:paraId="359D9DA3">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金额的70%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A7D4B08">
      <w:pPr>
        <w:adjustRightInd/>
        <w:spacing w:line="360" w:lineRule="auto"/>
        <w:outlineLvl w:val="0"/>
        <w:rPr>
          <w:rFonts w:hint="eastAsia" w:ascii="仿宋" w:hAnsi="仿宋" w:eastAsia="仿宋" w:cs="仿宋"/>
          <w:b/>
          <w:color w:val="auto"/>
          <w:sz w:val="32"/>
          <w:szCs w:val="20"/>
          <w:highlight w:val="none"/>
        </w:rPr>
      </w:pPr>
    </w:p>
    <w:p w14:paraId="151CC13E">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九、履约验收</w:t>
      </w:r>
    </w:p>
    <w:p w14:paraId="28172007">
      <w:pPr>
        <w:pStyle w:val="23"/>
        <w:spacing w:line="360" w:lineRule="auto"/>
        <w:ind w:firstLine="482"/>
        <w:rPr>
          <w:rFonts w:hint="eastAsia" w:ascii="仿宋" w:hAnsi="仿宋" w:eastAsia="仿宋" w:cs="仿宋"/>
          <w:b/>
          <w:color w:val="auto"/>
          <w:highlight w:val="none"/>
          <w:lang w:eastAsia="zh-CN"/>
        </w:rPr>
      </w:pPr>
      <w:r>
        <w:rPr>
          <w:rFonts w:hint="eastAsia" w:ascii="仿宋" w:hAnsi="仿宋" w:eastAsia="仿宋" w:cs="仿宋"/>
          <w:b/>
          <w:color w:val="auto"/>
          <w:highlight w:val="none"/>
          <w:lang w:val="en-US" w:eastAsia="zh-CN"/>
        </w:rPr>
        <w:t>29</w:t>
      </w:r>
      <w:r>
        <w:rPr>
          <w:rFonts w:hint="eastAsia" w:ascii="仿宋" w:hAnsi="仿宋" w:eastAsia="仿宋" w:cs="仿宋"/>
          <w:b/>
          <w:color w:val="auto"/>
          <w:highlight w:val="none"/>
        </w:rPr>
        <w:t>.</w:t>
      </w:r>
      <w:r>
        <w:rPr>
          <w:rFonts w:hint="eastAsia" w:ascii="仿宋" w:hAnsi="仿宋" w:eastAsia="仿宋" w:cs="仿宋"/>
          <w:b/>
          <w:color w:val="auto"/>
          <w:highlight w:val="none"/>
          <w:lang w:eastAsia="zh-CN"/>
        </w:rPr>
        <w:t>履约验收</w:t>
      </w:r>
    </w:p>
    <w:p w14:paraId="729C81C4">
      <w:pPr>
        <w:tabs>
          <w:tab w:val="left" w:pos="0"/>
        </w:tabs>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29.1征集人自行组织或委托采购代理机构对供应商进行履约验收，出具验收书，存档备查。如果发现与合同中要求不符，供应商须承担由此发生的一切损失和费用，并承担相应的法律责任。</w:t>
      </w:r>
    </w:p>
    <w:p w14:paraId="787763B4">
      <w:pPr>
        <w:tabs>
          <w:tab w:val="left" w:pos="0"/>
        </w:tabs>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77C170BB">
      <w:pPr>
        <w:tabs>
          <w:tab w:val="left" w:pos="0"/>
        </w:tabs>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29.3征集人可以邀请参加本项目的其他投标人或者第三方机构参与验收。参与验收的投标人或者第三方机构的意见作为验收书的参考资料一并存档。</w:t>
      </w:r>
    </w:p>
    <w:p w14:paraId="0C6C8B4B">
      <w:pPr>
        <w:tabs>
          <w:tab w:val="left" w:pos="0"/>
        </w:tabs>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29.4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14:paraId="4C5770DF">
      <w:pPr>
        <w:tabs>
          <w:tab w:val="left" w:pos="0"/>
        </w:tabs>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29.5 采购合同的履行、违约责任和解决争议的方式等适用《中华人民共和国民法典》。</w:t>
      </w:r>
    </w:p>
    <w:p w14:paraId="003083E5">
      <w:pPr>
        <w:tabs>
          <w:tab w:val="left" w:pos="0"/>
        </w:tabs>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29.6供应商在履约过程中有政府采购法律法规规定的违法违规情形的，征集人应当及时报告本级财政部门。</w:t>
      </w:r>
    </w:p>
    <w:p w14:paraId="3E3AE97C">
      <w:pPr>
        <w:tabs>
          <w:tab w:val="left" w:pos="0"/>
        </w:tabs>
        <w:spacing w:line="360" w:lineRule="auto"/>
        <w:jc w:val="left"/>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134" w:bottom="468" w:left="1134" w:header="851" w:footer="992" w:gutter="0"/>
          <w:cols w:space="720" w:num="1"/>
          <w:titlePg/>
          <w:docGrid w:linePitch="312" w:charSpace="0"/>
        </w:sectPr>
      </w:pPr>
    </w:p>
    <w:bookmarkEnd w:id="39"/>
    <w:bookmarkEnd w:id="40"/>
    <w:p w14:paraId="6A5C82F1">
      <w:pPr>
        <w:spacing w:line="360" w:lineRule="auto"/>
        <w:jc w:val="center"/>
        <w:outlineLvl w:val="0"/>
        <w:rPr>
          <w:rFonts w:hint="eastAsia" w:ascii="仿宋" w:hAnsi="仿宋" w:eastAsia="仿宋" w:cs="仿宋"/>
          <w:b/>
          <w:color w:val="auto"/>
          <w:sz w:val="36"/>
          <w:szCs w:val="36"/>
          <w:highlight w:val="none"/>
        </w:rPr>
      </w:pPr>
      <w:bookmarkStart w:id="62" w:name="第四部分"/>
      <w:r>
        <w:rPr>
          <w:rFonts w:hint="eastAsia" w:ascii="仿宋" w:hAnsi="仿宋" w:eastAsia="仿宋" w:cs="仿宋"/>
          <w:b/>
          <w:color w:val="auto"/>
          <w:sz w:val="36"/>
          <w:szCs w:val="36"/>
          <w:highlight w:val="none"/>
        </w:rPr>
        <w:t>第三部分   采购需求</w:t>
      </w:r>
    </w:p>
    <w:p w14:paraId="5F8B3C58">
      <w:pPr>
        <w:snapToGrid w:val="0"/>
        <w:spacing w:line="360" w:lineRule="auto"/>
        <w:jc w:val="left"/>
        <w:rPr>
          <w:rFonts w:hint="eastAsia" w:ascii="仿宋" w:hAnsi="仿宋" w:eastAsia="仿宋" w:cs="仿宋"/>
          <w:b/>
          <w:i/>
          <w:color w:val="auto"/>
          <w:sz w:val="22"/>
          <w:szCs w:val="36"/>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b/>
          <w:color w:val="auto"/>
          <w:sz w:val="32"/>
          <w:szCs w:val="32"/>
          <w:highlight w:val="none"/>
        </w:rPr>
        <w:t xml:space="preserve">  </w:t>
      </w:r>
    </w:p>
    <w:p w14:paraId="4BA035D0">
      <w:pPr>
        <w:snapToGrid w:val="0"/>
        <w:spacing w:before="120" w:beforeLines="50" w:after="120" w:after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特别说明：</w:t>
      </w:r>
    </w:p>
    <w:p w14:paraId="4A9643C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1.需求中不允许偏离的实质性要求和条件，以“▲”号标明。</w:t>
      </w:r>
    </w:p>
    <w:p w14:paraId="354377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2.单一产品采购项目中的该产品或者非单一产品采购项目的核心产品，以“★”标明。</w:t>
      </w:r>
    </w:p>
    <w:p w14:paraId="2F17698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征集文件如涉及各类品牌、型号，则所述品牌、型号是结合实际现有情况的推荐性参考方案，投标方也可根据征集文件的要求提供性能相当或高于、服务条款相等或高于、符合招标方实际业务需求其它同档次优质品牌的产品参加投标。</w:t>
      </w:r>
    </w:p>
    <w:p w14:paraId="501970A7">
      <w:pPr>
        <w:snapToGrid w:val="0"/>
        <w:spacing w:line="360" w:lineRule="auto"/>
        <w:rPr>
          <w:rFonts w:hint="eastAsia" w:ascii="仿宋" w:hAnsi="仿宋" w:eastAsia="仿宋" w:cs="仿宋"/>
          <w:color w:val="auto"/>
          <w:kern w:val="0"/>
          <w:sz w:val="24"/>
          <w:highlight w:val="none"/>
        </w:rPr>
      </w:pPr>
    </w:p>
    <w:p w14:paraId="171DF5E7">
      <w:pPr>
        <w:snapToGrid w:val="0"/>
        <w:spacing w:line="360" w:lineRule="auto"/>
        <w:rPr>
          <w:rFonts w:hint="eastAsia" w:ascii="仿宋" w:hAnsi="仿宋" w:eastAsia="仿宋" w:cs="仿宋"/>
          <w:color w:val="auto"/>
          <w:kern w:val="0"/>
          <w:sz w:val="24"/>
          <w:highlight w:val="none"/>
        </w:rPr>
      </w:pPr>
    </w:p>
    <w:p w14:paraId="12AB82D5">
      <w:pPr>
        <w:snapToGrid w:val="0"/>
        <w:spacing w:line="360" w:lineRule="auto"/>
        <w:rPr>
          <w:rFonts w:hint="eastAsia" w:ascii="仿宋" w:hAnsi="仿宋" w:eastAsia="仿宋" w:cs="仿宋"/>
          <w:color w:val="auto"/>
          <w:kern w:val="0"/>
          <w:sz w:val="24"/>
          <w:highlight w:val="none"/>
        </w:rPr>
      </w:pPr>
    </w:p>
    <w:p w14:paraId="1FB317F5">
      <w:pPr>
        <w:snapToGrid w:val="0"/>
        <w:spacing w:line="360" w:lineRule="auto"/>
        <w:rPr>
          <w:rFonts w:hint="eastAsia" w:ascii="仿宋" w:hAnsi="仿宋" w:eastAsia="仿宋" w:cs="仿宋"/>
          <w:color w:val="auto"/>
          <w:kern w:val="0"/>
          <w:sz w:val="24"/>
          <w:highlight w:val="none"/>
        </w:rPr>
      </w:pPr>
    </w:p>
    <w:p w14:paraId="5954C9B4">
      <w:pPr>
        <w:snapToGrid w:val="0"/>
        <w:spacing w:line="360" w:lineRule="auto"/>
        <w:rPr>
          <w:rFonts w:hint="eastAsia" w:ascii="仿宋" w:hAnsi="仿宋" w:eastAsia="仿宋" w:cs="仿宋"/>
          <w:color w:val="auto"/>
          <w:kern w:val="0"/>
          <w:sz w:val="24"/>
          <w:highlight w:val="none"/>
        </w:rPr>
      </w:pPr>
    </w:p>
    <w:p w14:paraId="27C1A822">
      <w:pPr>
        <w:snapToGrid w:val="0"/>
        <w:spacing w:line="360" w:lineRule="auto"/>
        <w:rPr>
          <w:rFonts w:hint="eastAsia" w:ascii="仿宋" w:hAnsi="仿宋" w:eastAsia="仿宋" w:cs="仿宋"/>
          <w:color w:val="auto"/>
          <w:kern w:val="0"/>
          <w:sz w:val="24"/>
          <w:highlight w:val="none"/>
        </w:rPr>
      </w:pPr>
    </w:p>
    <w:p w14:paraId="3B61A6B0">
      <w:pPr>
        <w:snapToGrid w:val="0"/>
        <w:spacing w:line="360" w:lineRule="auto"/>
        <w:rPr>
          <w:rFonts w:hint="eastAsia" w:ascii="仿宋" w:hAnsi="仿宋" w:eastAsia="仿宋" w:cs="仿宋"/>
          <w:color w:val="auto"/>
          <w:kern w:val="0"/>
          <w:sz w:val="24"/>
          <w:highlight w:val="none"/>
        </w:rPr>
      </w:pPr>
    </w:p>
    <w:p w14:paraId="148A55A9">
      <w:pPr>
        <w:snapToGrid w:val="0"/>
        <w:spacing w:line="360" w:lineRule="auto"/>
        <w:rPr>
          <w:rFonts w:hint="eastAsia" w:ascii="仿宋" w:hAnsi="仿宋" w:eastAsia="仿宋" w:cs="仿宋"/>
          <w:color w:val="auto"/>
          <w:kern w:val="0"/>
          <w:sz w:val="24"/>
          <w:highlight w:val="none"/>
        </w:rPr>
      </w:pPr>
    </w:p>
    <w:p w14:paraId="61C11BFA">
      <w:pPr>
        <w:snapToGrid w:val="0"/>
        <w:spacing w:line="360" w:lineRule="auto"/>
        <w:rPr>
          <w:rFonts w:hint="eastAsia" w:ascii="仿宋" w:hAnsi="仿宋" w:eastAsia="仿宋" w:cs="仿宋"/>
          <w:color w:val="auto"/>
          <w:kern w:val="0"/>
          <w:sz w:val="24"/>
          <w:highlight w:val="none"/>
        </w:rPr>
      </w:pPr>
    </w:p>
    <w:p w14:paraId="1F33BC5E">
      <w:pPr>
        <w:snapToGrid w:val="0"/>
        <w:spacing w:line="360" w:lineRule="auto"/>
        <w:rPr>
          <w:rFonts w:hint="eastAsia" w:ascii="仿宋" w:hAnsi="仿宋" w:eastAsia="仿宋" w:cs="仿宋"/>
          <w:color w:val="auto"/>
          <w:kern w:val="0"/>
          <w:sz w:val="24"/>
          <w:highlight w:val="none"/>
        </w:rPr>
      </w:pPr>
    </w:p>
    <w:p w14:paraId="167DCC42">
      <w:pPr>
        <w:snapToGrid w:val="0"/>
        <w:spacing w:line="360" w:lineRule="auto"/>
        <w:rPr>
          <w:rFonts w:hint="eastAsia" w:ascii="仿宋" w:hAnsi="仿宋" w:eastAsia="仿宋" w:cs="仿宋"/>
          <w:color w:val="auto"/>
          <w:kern w:val="0"/>
          <w:sz w:val="24"/>
          <w:highlight w:val="none"/>
        </w:rPr>
      </w:pPr>
    </w:p>
    <w:p w14:paraId="061EB553">
      <w:pPr>
        <w:snapToGrid w:val="0"/>
        <w:spacing w:line="360" w:lineRule="auto"/>
        <w:rPr>
          <w:rFonts w:hint="eastAsia" w:ascii="仿宋" w:hAnsi="仿宋" w:eastAsia="仿宋" w:cs="仿宋"/>
          <w:color w:val="auto"/>
          <w:kern w:val="0"/>
          <w:sz w:val="24"/>
          <w:highlight w:val="none"/>
        </w:rPr>
      </w:pPr>
    </w:p>
    <w:p w14:paraId="634B79A5">
      <w:pPr>
        <w:snapToGrid w:val="0"/>
        <w:spacing w:line="360" w:lineRule="auto"/>
        <w:rPr>
          <w:rFonts w:hint="eastAsia" w:ascii="仿宋" w:hAnsi="仿宋" w:eastAsia="仿宋" w:cs="仿宋"/>
          <w:color w:val="auto"/>
          <w:kern w:val="0"/>
          <w:sz w:val="24"/>
          <w:highlight w:val="none"/>
        </w:rPr>
      </w:pPr>
    </w:p>
    <w:p w14:paraId="51A84CE6">
      <w:pPr>
        <w:snapToGrid w:val="0"/>
        <w:spacing w:line="360" w:lineRule="auto"/>
        <w:rPr>
          <w:rFonts w:hint="eastAsia" w:ascii="仿宋" w:hAnsi="仿宋" w:eastAsia="仿宋" w:cs="仿宋"/>
          <w:color w:val="auto"/>
          <w:kern w:val="0"/>
          <w:sz w:val="24"/>
          <w:highlight w:val="none"/>
        </w:rPr>
      </w:pPr>
    </w:p>
    <w:p w14:paraId="57734934">
      <w:pPr>
        <w:pStyle w:val="97"/>
        <w:rPr>
          <w:rFonts w:hint="eastAsia"/>
          <w:color w:val="auto"/>
          <w:highlight w:val="none"/>
        </w:rPr>
      </w:pPr>
    </w:p>
    <w:p w14:paraId="240C9E6C">
      <w:pPr>
        <w:snapToGrid w:val="0"/>
        <w:spacing w:line="360" w:lineRule="auto"/>
        <w:rPr>
          <w:rFonts w:hint="eastAsia" w:ascii="仿宋" w:hAnsi="仿宋" w:eastAsia="仿宋" w:cs="仿宋"/>
          <w:color w:val="auto"/>
          <w:kern w:val="0"/>
          <w:sz w:val="24"/>
          <w:highlight w:val="none"/>
        </w:rPr>
      </w:pPr>
    </w:p>
    <w:p w14:paraId="47A17CE5">
      <w:pPr>
        <w:snapToGrid w:val="0"/>
        <w:spacing w:line="360" w:lineRule="auto"/>
        <w:rPr>
          <w:rFonts w:hint="eastAsia" w:ascii="仿宋" w:hAnsi="仿宋" w:eastAsia="仿宋" w:cs="仿宋"/>
          <w:color w:val="auto"/>
          <w:kern w:val="0"/>
          <w:sz w:val="24"/>
          <w:highlight w:val="none"/>
        </w:rPr>
      </w:pPr>
    </w:p>
    <w:p w14:paraId="4E206F1B">
      <w:pPr>
        <w:snapToGrid w:val="0"/>
        <w:spacing w:line="360" w:lineRule="auto"/>
        <w:rPr>
          <w:rFonts w:hint="eastAsia" w:ascii="仿宋" w:hAnsi="仿宋" w:eastAsia="仿宋" w:cs="仿宋"/>
          <w:color w:val="auto"/>
          <w:kern w:val="0"/>
          <w:sz w:val="24"/>
          <w:highlight w:val="none"/>
        </w:rPr>
      </w:pPr>
    </w:p>
    <w:p w14:paraId="21FE4CAF">
      <w:pPr>
        <w:snapToGrid w:val="0"/>
        <w:spacing w:line="360" w:lineRule="auto"/>
        <w:rPr>
          <w:rFonts w:hint="eastAsia" w:ascii="仿宋" w:hAnsi="仿宋" w:eastAsia="仿宋" w:cs="仿宋"/>
          <w:color w:val="auto"/>
          <w:kern w:val="0"/>
          <w:sz w:val="24"/>
          <w:highlight w:val="none"/>
        </w:rPr>
      </w:pPr>
    </w:p>
    <w:p w14:paraId="69222981">
      <w:pPr>
        <w:snapToGrid w:val="0"/>
        <w:spacing w:line="360" w:lineRule="auto"/>
        <w:rPr>
          <w:rFonts w:hint="eastAsia" w:ascii="仿宋" w:hAnsi="仿宋" w:eastAsia="仿宋" w:cs="仿宋"/>
          <w:color w:val="auto"/>
          <w:kern w:val="0"/>
          <w:sz w:val="24"/>
          <w:highlight w:val="none"/>
        </w:rPr>
      </w:pPr>
    </w:p>
    <w:p w14:paraId="6B9CE4AF">
      <w:pPr>
        <w:snapToGrid w:val="0"/>
        <w:spacing w:line="360" w:lineRule="auto"/>
        <w:rPr>
          <w:rFonts w:hint="eastAsia" w:ascii="仿宋" w:hAnsi="仿宋" w:eastAsia="仿宋" w:cs="仿宋"/>
          <w:color w:val="auto"/>
          <w:kern w:val="0"/>
          <w:sz w:val="24"/>
          <w:highlight w:val="none"/>
        </w:rPr>
      </w:pPr>
    </w:p>
    <w:p w14:paraId="6899759F">
      <w:pPr>
        <w:numPr>
          <w:ilvl w:val="0"/>
          <w:numId w:val="7"/>
        </w:num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服务清单及要求</w:t>
      </w:r>
    </w:p>
    <w:p w14:paraId="2A0B3246">
      <w:pPr>
        <w:shd w:val="clear" w:color="auto" w:fill="auto"/>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一、项目概况：</w:t>
      </w:r>
    </w:p>
    <w:p w14:paraId="2C9C4886">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2025-2026年度镇村两级及其下属国有企业招标代理咨询机构框架协议采购项目（封闭式)</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重招</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，公开征集8家中介机构。适用对象为柯桥区平水镇</w:t>
      </w:r>
      <w:r>
        <w:rPr>
          <w:rFonts w:hint="eastAsia" w:ascii="仿宋" w:hAnsi="仿宋" w:eastAsia="仿宋" w:cs="仿宋"/>
          <w:color w:val="auto"/>
          <w:kern w:val="0"/>
          <w:sz w:val="24"/>
          <w:szCs w:val="24"/>
          <w:highlight w:val="none"/>
          <w:lang w:eastAsia="zh-CN"/>
        </w:rPr>
        <w:t>人民</w:t>
      </w:r>
      <w:r>
        <w:rPr>
          <w:rFonts w:hint="eastAsia" w:ascii="仿宋" w:hAnsi="仿宋" w:eastAsia="仿宋" w:cs="仿宋"/>
          <w:color w:val="auto"/>
          <w:kern w:val="0"/>
          <w:sz w:val="24"/>
          <w:szCs w:val="24"/>
          <w:highlight w:val="none"/>
        </w:rPr>
        <w:t>政府及所辖区下属单位。</w:t>
      </w:r>
    </w:p>
    <w:p w14:paraId="33650BBF">
      <w:pPr>
        <w:pStyle w:val="31"/>
        <w:tabs>
          <w:tab w:val="left" w:pos="840"/>
        </w:tabs>
        <w:spacing w:line="360" w:lineRule="auto"/>
        <w:ind w:firstLine="482" w:firstLineChars="20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二、服务要求、范围</w:t>
      </w:r>
    </w:p>
    <w:p w14:paraId="7EC3B79F">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平水镇范围内镇（村）及其下属国有企业委托的a、标底编制及招标代理工作；b、标底审核工作，各工程的标底</w:t>
      </w:r>
      <w:r>
        <w:rPr>
          <w:rFonts w:hint="eastAsia" w:ascii="仿宋" w:hAnsi="仿宋" w:eastAsia="仿宋" w:cs="仿宋"/>
          <w:color w:val="FF0000"/>
          <w:kern w:val="0"/>
          <w:sz w:val="24"/>
          <w:szCs w:val="24"/>
          <w:highlight w:val="none"/>
          <w:lang w:val="en-US" w:eastAsia="zh-CN"/>
        </w:rPr>
        <w:t>编制</w:t>
      </w:r>
      <w:r>
        <w:rPr>
          <w:rFonts w:hint="eastAsia" w:ascii="仿宋" w:hAnsi="仿宋" w:eastAsia="仿宋" w:cs="仿宋"/>
          <w:color w:val="FF0000"/>
          <w:kern w:val="0"/>
          <w:sz w:val="24"/>
          <w:szCs w:val="24"/>
          <w:highlight w:val="none"/>
        </w:rPr>
        <w:t>、审核、招标文件编制(包括标底编制时材料价格的市场询价)、</w:t>
      </w:r>
      <w:r>
        <w:rPr>
          <w:rFonts w:hint="eastAsia" w:ascii="仿宋" w:hAnsi="仿宋" w:eastAsia="仿宋" w:cs="仿宋"/>
          <w:color w:val="FF0000"/>
          <w:kern w:val="0"/>
          <w:sz w:val="24"/>
          <w:szCs w:val="24"/>
          <w:highlight w:val="none"/>
          <w:lang w:val="en-US" w:eastAsia="zh-CN"/>
        </w:rPr>
        <w:t>入围</w:t>
      </w:r>
      <w:r>
        <w:rPr>
          <w:rFonts w:hint="eastAsia" w:ascii="仿宋" w:hAnsi="仿宋" w:eastAsia="仿宋" w:cs="仿宋"/>
          <w:color w:val="FF0000"/>
          <w:kern w:val="0"/>
          <w:sz w:val="24"/>
          <w:szCs w:val="24"/>
          <w:highlight w:val="none"/>
        </w:rPr>
        <w:t>单位商务标的复核及审定、标底中发现漏项缺项等差错的复核、招投标资料整理等全过程招标代理服务和变更联系单的造价费用复核等</w:t>
      </w:r>
      <w:r>
        <w:rPr>
          <w:rFonts w:hint="eastAsia" w:ascii="仿宋" w:hAnsi="仿宋" w:eastAsia="仿宋" w:cs="仿宋"/>
          <w:color w:val="FF0000"/>
          <w:kern w:val="0"/>
          <w:sz w:val="24"/>
          <w:szCs w:val="24"/>
          <w:highlight w:val="none"/>
          <w:lang w:eastAsia="zh-CN"/>
        </w:rPr>
        <w:t>。</w:t>
      </w:r>
    </w:p>
    <w:p w14:paraId="7E7124B3">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按照行业规范要求履行</w:t>
      </w:r>
      <w:r>
        <w:rPr>
          <w:rFonts w:hint="eastAsia" w:ascii="仿宋" w:hAnsi="仿宋" w:eastAsia="仿宋" w:cs="仿宋"/>
          <w:color w:val="auto"/>
          <w:kern w:val="0"/>
          <w:sz w:val="24"/>
          <w:szCs w:val="24"/>
          <w:highlight w:val="none"/>
          <w:lang w:eastAsia="zh-CN"/>
        </w:rPr>
        <w:t>招标代理及标底编制、标底审核</w:t>
      </w:r>
      <w:r>
        <w:rPr>
          <w:rFonts w:hint="eastAsia" w:ascii="仿宋" w:hAnsi="仿宋" w:eastAsia="仿宋" w:cs="仿宋"/>
          <w:color w:val="auto"/>
          <w:kern w:val="0"/>
          <w:sz w:val="24"/>
          <w:szCs w:val="24"/>
          <w:highlight w:val="none"/>
        </w:rPr>
        <w:t>职责，按</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要求按时完成交办任务并提交相应成果。</w:t>
      </w:r>
    </w:p>
    <w:p w14:paraId="6706BFD9">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招标工作在业主的牵头下，按招标投标法律法规和业主的要求，组织实施工程全程招标工作。招标组织工作：包括招标实施（含招标进度计划）方案制定、招标公告、招标文件的拟定、标底编制（含标底报审和提供钢筋翻样及预埋件重量计算书、汇总表及工程量清单计算稿和汇总表）、现场踏看、投标报名、抽签入围、招标答疑、开标评标、中标单位商务标复核及审定、标底中发现漏项缺项等差错的复核（若有）、参与工程施工合同的拟定等服务工作，并出具相关的成果文件。</w:t>
      </w:r>
    </w:p>
    <w:p w14:paraId="054045C7">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FF0000"/>
          <w:kern w:val="0"/>
          <w:sz w:val="24"/>
          <w:szCs w:val="24"/>
          <w:highlight w:val="none"/>
          <w:lang w:val="en-US" w:eastAsia="zh-CN"/>
        </w:rPr>
        <w:t>造价咨询</w:t>
      </w:r>
      <w:r>
        <w:rPr>
          <w:rFonts w:hint="eastAsia" w:ascii="仿宋" w:hAnsi="仿宋" w:eastAsia="仿宋" w:cs="仿宋"/>
          <w:color w:val="FF0000"/>
          <w:kern w:val="0"/>
          <w:sz w:val="24"/>
          <w:szCs w:val="24"/>
          <w:highlight w:val="none"/>
        </w:rPr>
        <w:t>人员要配备业务素质好、应急能力强、工作能力强</w:t>
      </w:r>
      <w:bookmarkStart w:id="450" w:name="_GoBack"/>
      <w:bookmarkEnd w:id="450"/>
      <w:r>
        <w:rPr>
          <w:rFonts w:hint="eastAsia" w:ascii="仿宋" w:hAnsi="仿宋" w:eastAsia="仿宋" w:cs="仿宋"/>
          <w:color w:val="FF0000"/>
          <w:kern w:val="0"/>
          <w:sz w:val="24"/>
          <w:szCs w:val="24"/>
          <w:highlight w:val="none"/>
        </w:rPr>
        <w:t>的各专业注册造价师若干；招标代理人员需配备不少于2名业务素质好、应急能力强、工作能力强且需具有招标代理经验的人员</w:t>
      </w:r>
      <w:r>
        <w:rPr>
          <w:rFonts w:hint="eastAsia" w:ascii="仿宋" w:hAnsi="仿宋" w:eastAsia="仿宋" w:cs="仿宋"/>
          <w:color w:val="auto"/>
          <w:kern w:val="0"/>
          <w:sz w:val="24"/>
          <w:szCs w:val="24"/>
          <w:highlight w:val="none"/>
        </w:rPr>
        <w:t>；项目负责人需具有注册造价师资格，并能带领团队为业主提供全方位咨询代办服务，做好业主的参谋，克服在招标工作和合同签订过程中的各种困难；遵循节约建设费用，控制工程造价，避免可能发生的超额费用支出的原则。相关配置人员必须做到随叫随到，不得影响业主招标进度，如业主要求增加代理人员，</w:t>
      </w:r>
      <w:r>
        <w:rPr>
          <w:rFonts w:hint="eastAsia" w:ascii="仿宋" w:hAnsi="仿宋" w:eastAsia="仿宋" w:cs="仿宋"/>
          <w:color w:val="auto"/>
          <w:szCs w:val="24"/>
          <w:highlight w:val="none"/>
          <w:lang w:val="en-US" w:eastAsia="zh-CN"/>
        </w:rPr>
        <w:t>入围</w:t>
      </w:r>
      <w:r>
        <w:rPr>
          <w:rFonts w:hint="eastAsia" w:ascii="仿宋" w:hAnsi="仿宋" w:eastAsia="仿宋" w:cs="仿宋"/>
          <w:color w:val="auto"/>
          <w:kern w:val="0"/>
          <w:sz w:val="24"/>
          <w:szCs w:val="24"/>
          <w:highlight w:val="none"/>
        </w:rPr>
        <w:t>单位需无条件配合。</w:t>
      </w:r>
    </w:p>
    <w:p w14:paraId="240B9048">
      <w:pPr>
        <w:pStyle w:val="31"/>
        <w:shd w:val="clear" w:color="auto" w:fill="auto"/>
        <w:tabs>
          <w:tab w:val="left" w:pos="840"/>
        </w:tabs>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本次招标属于入围招标，根据以上定标方式确定的中标候选人，单项工程代理编标审标费在3万元（含）以下项目，征集人有权自行分配项目确定服务单位；单项工程代理编标审标费在3万元以上项目，由征集人抽签确定服务单位；遇特殊情况，征集人有权自行另行委托。如服务过程中出现质量、效率、发生重大差错、推诿任务项目、对项目 “挑肥拣瘦”等问题，业主有权进行处罚，如累计处罚超过3次(含3次)将排除入围名单，投标单位在投标时需充分考虑这一因素，风险自行考虑。</w:t>
      </w:r>
    </w:p>
    <w:p w14:paraId="340AC8D5">
      <w:pPr>
        <w:pStyle w:val="31"/>
        <w:shd w:val="clear" w:color="auto" w:fill="auto"/>
        <w:tabs>
          <w:tab w:val="left" w:pos="840"/>
        </w:tabs>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三</w:t>
      </w:r>
      <w:r>
        <w:rPr>
          <w:rFonts w:hint="eastAsia" w:ascii="仿宋" w:hAnsi="仿宋" w:eastAsia="仿宋" w:cs="仿宋"/>
          <w:b/>
          <w:color w:val="auto"/>
          <w:kern w:val="0"/>
          <w:sz w:val="24"/>
          <w:szCs w:val="24"/>
          <w:highlight w:val="none"/>
        </w:rPr>
        <w:t>、框架协议期限</w:t>
      </w:r>
    </w:p>
    <w:p w14:paraId="455DBDE2">
      <w:pPr>
        <w:widowControl/>
        <w:shd w:val="clear" w:color="auto" w:fill="auto"/>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本协议期限2年。从</w:t>
      </w:r>
      <w:r>
        <w:rPr>
          <w:rFonts w:hint="eastAsia" w:ascii="仿宋" w:hAnsi="仿宋" w:eastAsia="仿宋" w:cs="仿宋"/>
          <w:color w:val="auto"/>
          <w:kern w:val="0"/>
          <w:sz w:val="24"/>
          <w:highlight w:val="none"/>
          <w:lang w:eastAsia="zh-CN"/>
        </w:rPr>
        <w:t>合同签订之日起</w:t>
      </w:r>
      <w:r>
        <w:rPr>
          <w:rFonts w:hint="eastAsia" w:ascii="仿宋" w:hAnsi="仿宋" w:eastAsia="仿宋" w:cs="仿宋"/>
          <w:color w:val="auto"/>
          <w:kern w:val="0"/>
          <w:sz w:val="24"/>
          <w:highlight w:val="none"/>
        </w:rPr>
        <w:t>至2026年12月31日止</w:t>
      </w:r>
      <w:r>
        <w:rPr>
          <w:rFonts w:hint="eastAsia" w:ascii="仿宋" w:hAnsi="仿宋" w:eastAsia="仿宋" w:cs="仿宋"/>
          <w:color w:val="auto"/>
          <w:sz w:val="24"/>
          <w:highlight w:val="none"/>
        </w:rPr>
        <w:t>。</w:t>
      </w:r>
    </w:p>
    <w:p w14:paraId="277FA651">
      <w:pPr>
        <w:pStyle w:val="31"/>
        <w:shd w:val="clear" w:color="auto" w:fill="auto"/>
        <w:tabs>
          <w:tab w:val="left" w:pos="840"/>
        </w:tabs>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四</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eastAsia="zh-CN"/>
        </w:rPr>
        <w:t>采购人</w:t>
      </w:r>
      <w:r>
        <w:rPr>
          <w:rFonts w:hint="eastAsia" w:ascii="仿宋" w:hAnsi="仿宋" w:eastAsia="仿宋" w:cs="仿宋"/>
          <w:b/>
          <w:color w:val="auto"/>
          <w:kern w:val="0"/>
          <w:sz w:val="24"/>
          <w:szCs w:val="24"/>
          <w:highlight w:val="none"/>
        </w:rPr>
        <w:t xml:space="preserve">的权利和义务 </w:t>
      </w:r>
    </w:p>
    <w:p w14:paraId="58DD81F4">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1、负责选定第二阶段成交供应商。 </w:t>
      </w:r>
    </w:p>
    <w:p w14:paraId="3C5D6FF9">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 xml:space="preserve">2、负责对入围单位进行考核管理。根据项目情况对入围单位进行考核管理。 </w:t>
      </w:r>
    </w:p>
    <w:p w14:paraId="2E9B7D55">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FF0000"/>
          <w:kern w:val="0"/>
          <w:sz w:val="24"/>
          <w:szCs w:val="24"/>
          <w:highlight w:val="none"/>
        </w:rPr>
        <w:t>3、负责对</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及其派出人员完成的事项及工作结果进行验收评价。</w:t>
      </w:r>
      <w:r>
        <w:rPr>
          <w:rFonts w:hint="eastAsia" w:ascii="仿宋" w:hAnsi="仿宋" w:eastAsia="仿宋" w:cs="仿宋"/>
          <w:color w:val="auto"/>
          <w:kern w:val="0"/>
          <w:sz w:val="24"/>
          <w:szCs w:val="24"/>
          <w:highlight w:val="none"/>
        </w:rPr>
        <w:t xml:space="preserve"> </w:t>
      </w:r>
    </w:p>
    <w:p w14:paraId="670B8356">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4、有权要求</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派出投标书所列人员。</w:t>
      </w:r>
    </w:p>
    <w:p w14:paraId="2EC87CCA">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5、若</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未按要求派出投标书中项目负责人及项目组成员或未经</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同意更换人员，</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有权在业务分配中进行合理调整，取消</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当轮业务资格及下一轮业务安排资格。</w:t>
      </w:r>
    </w:p>
    <w:p w14:paraId="481B69AD">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6、根据</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的有关要求，协调处理项目实施中的相关事宜。</w:t>
      </w:r>
    </w:p>
    <w:p w14:paraId="04C2EB52">
      <w:pPr>
        <w:shd w:val="clear" w:color="auto" w:fill="auto"/>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7、其他应该由</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履行的义务和承担的责任</w:t>
      </w:r>
      <w:r>
        <w:rPr>
          <w:rFonts w:hint="eastAsia" w:ascii="仿宋" w:hAnsi="仿宋" w:eastAsia="仿宋" w:cs="仿宋"/>
          <w:color w:val="auto"/>
          <w:sz w:val="24"/>
          <w:highlight w:val="none"/>
        </w:rPr>
        <w:t>。</w:t>
      </w:r>
    </w:p>
    <w:p w14:paraId="6B478F47">
      <w:pPr>
        <w:pStyle w:val="31"/>
        <w:shd w:val="clear" w:color="auto" w:fill="auto"/>
        <w:tabs>
          <w:tab w:val="left" w:pos="840"/>
        </w:tabs>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五</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eastAsia="zh-CN"/>
        </w:rPr>
        <w:t>入围供应商</w:t>
      </w:r>
      <w:r>
        <w:rPr>
          <w:rFonts w:hint="eastAsia" w:ascii="仿宋" w:hAnsi="仿宋" w:eastAsia="仿宋" w:cs="仿宋"/>
          <w:b/>
          <w:color w:val="auto"/>
          <w:kern w:val="0"/>
          <w:sz w:val="24"/>
          <w:szCs w:val="24"/>
          <w:highlight w:val="none"/>
        </w:rPr>
        <w:t>的权利和义务</w:t>
      </w:r>
    </w:p>
    <w:p w14:paraId="46AC36C6">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可以要求</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提供与委托内容有关的资料。</w:t>
      </w:r>
    </w:p>
    <w:p w14:paraId="16B4E102">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可以要求</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对有关问题作出解释和补充有关资料。</w:t>
      </w:r>
    </w:p>
    <w:p w14:paraId="44CDBC71">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3.</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在服务过程中应遵守</w:t>
      </w:r>
      <w:r>
        <w:rPr>
          <w:rFonts w:hint="eastAsia" w:ascii="仿宋" w:hAnsi="仿宋" w:eastAsia="仿宋" w:cs="仿宋"/>
          <w:color w:val="FF0000"/>
          <w:kern w:val="0"/>
          <w:sz w:val="24"/>
          <w:szCs w:val="24"/>
          <w:highlight w:val="none"/>
          <w:lang w:val="en-US" w:eastAsia="zh-CN"/>
        </w:rPr>
        <w:t>相关</w:t>
      </w:r>
      <w:r>
        <w:rPr>
          <w:rFonts w:hint="eastAsia" w:ascii="仿宋" w:hAnsi="仿宋" w:eastAsia="仿宋" w:cs="仿宋"/>
          <w:color w:val="FF0000"/>
          <w:kern w:val="0"/>
          <w:sz w:val="24"/>
          <w:szCs w:val="24"/>
          <w:highlight w:val="none"/>
        </w:rPr>
        <w:t>纪律、规范行为，严格按照行业规范要求开展工作。</w:t>
      </w:r>
    </w:p>
    <w:p w14:paraId="3D5F5772">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lang w:eastAsia="zh-CN"/>
        </w:rPr>
      </w:pPr>
      <w:r>
        <w:rPr>
          <w:rFonts w:hint="eastAsia" w:ascii="仿宋" w:hAnsi="仿宋" w:eastAsia="仿宋" w:cs="仿宋"/>
          <w:color w:val="FF0000"/>
          <w:kern w:val="0"/>
          <w:sz w:val="24"/>
          <w:szCs w:val="24"/>
          <w:highlight w:val="none"/>
        </w:rPr>
        <w:t>4.</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应严格按照</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的有关规定和要求实施服务，接受</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的监督，并按期完成服务任务，并确保结果真实、合法和准确</w:t>
      </w:r>
      <w:r>
        <w:rPr>
          <w:rFonts w:hint="eastAsia" w:ascii="仿宋" w:hAnsi="仿宋" w:eastAsia="仿宋" w:cs="仿宋"/>
          <w:color w:val="FF0000"/>
          <w:kern w:val="0"/>
          <w:sz w:val="24"/>
          <w:szCs w:val="24"/>
          <w:highlight w:val="none"/>
          <w:lang w:eastAsia="zh-CN"/>
        </w:rPr>
        <w:t>。</w:t>
      </w:r>
    </w:p>
    <w:p w14:paraId="68F06D55">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5.在合同履行期间，</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应按</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要求开展工作，在工作中遵循公平、公正、公开、合法、独立的原则，认真、细致、周到的进行服务。</w:t>
      </w:r>
    </w:p>
    <w:p w14:paraId="2DA30F42">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6.相关资料移交给</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后，</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有义务对所有资料进行妥善保管，确保</w:t>
      </w:r>
      <w:r>
        <w:rPr>
          <w:rFonts w:hint="eastAsia" w:ascii="仿宋" w:hAnsi="仿宋" w:eastAsia="仿宋" w:cs="仿宋"/>
          <w:color w:val="FF0000"/>
          <w:kern w:val="0"/>
          <w:sz w:val="24"/>
          <w:szCs w:val="24"/>
          <w:highlight w:val="none"/>
          <w:lang w:val="en-US" w:eastAsia="zh-CN"/>
        </w:rPr>
        <w:t>项目</w:t>
      </w:r>
      <w:r>
        <w:rPr>
          <w:rFonts w:hint="eastAsia" w:ascii="仿宋" w:hAnsi="仿宋" w:eastAsia="仿宋" w:cs="仿宋"/>
          <w:color w:val="FF0000"/>
          <w:kern w:val="0"/>
          <w:sz w:val="24"/>
          <w:szCs w:val="24"/>
          <w:highlight w:val="none"/>
        </w:rPr>
        <w:t>结束后完整移交</w:t>
      </w:r>
      <w:r>
        <w:rPr>
          <w:rFonts w:hint="eastAsia" w:ascii="仿宋" w:hAnsi="仿宋" w:eastAsia="仿宋" w:cs="仿宋"/>
          <w:color w:val="FF0000"/>
          <w:kern w:val="0"/>
          <w:sz w:val="24"/>
          <w:szCs w:val="24"/>
          <w:highlight w:val="none"/>
          <w:lang w:val="en-US" w:eastAsia="zh-CN"/>
        </w:rPr>
        <w:t>相关</w:t>
      </w:r>
      <w:r>
        <w:rPr>
          <w:rFonts w:hint="eastAsia" w:ascii="仿宋" w:hAnsi="仿宋" w:eastAsia="仿宋" w:cs="仿宋"/>
          <w:color w:val="FF0000"/>
          <w:kern w:val="0"/>
          <w:sz w:val="24"/>
          <w:szCs w:val="24"/>
          <w:highlight w:val="none"/>
        </w:rPr>
        <w:t>资料。</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及其派出人员不得使用</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委托事项的资料和结果，用于与委托事项无关的目的。</w:t>
      </w:r>
    </w:p>
    <w:p w14:paraId="5FEDD405">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7.入围供应商无正当理由，不得主动放弃入围资格或者退出框架协议。</w:t>
      </w:r>
    </w:p>
    <w:p w14:paraId="2FDDA64C">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有义务在本单位中选派投标书中所列的项目组成员（必须要有项目负责人带队）参与服务工作，在本协议履行期间不得自行更换服务人员。</w:t>
      </w:r>
    </w:p>
    <w:p w14:paraId="02681B43">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对其出具的成果报告真实性、合法性负责。</w:t>
      </w:r>
    </w:p>
    <w:p w14:paraId="144FDB8D">
      <w:pPr>
        <w:pStyle w:val="31"/>
        <w:shd w:val="clear" w:color="auto" w:fill="auto"/>
        <w:tabs>
          <w:tab w:val="left" w:pos="840"/>
        </w:tabs>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六</w:t>
      </w:r>
      <w:r>
        <w:rPr>
          <w:rFonts w:hint="eastAsia" w:ascii="仿宋" w:hAnsi="仿宋" w:eastAsia="仿宋" w:cs="仿宋"/>
          <w:b/>
          <w:color w:val="auto"/>
          <w:kern w:val="0"/>
          <w:sz w:val="24"/>
          <w:szCs w:val="24"/>
          <w:highlight w:val="none"/>
        </w:rPr>
        <w:t xml:space="preserve">、入围供应商的清退和补充规则 </w:t>
      </w:r>
    </w:p>
    <w:p w14:paraId="7735FC58">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1、清退规则：在下列情形下</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有权清退入围供应商，而不需要承担任何责任：</w:t>
      </w:r>
    </w:p>
    <w:p w14:paraId="0C60B6BA">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1）入围供应商实质性违反本协议约定的；</w:t>
      </w:r>
    </w:p>
    <w:p w14:paraId="0D20D2BA">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2）入围供应商有违反合同约定或其职责、义务的行为，在采购人指定期限内未予以纠正或补救的； </w:t>
      </w:r>
    </w:p>
    <w:p w14:paraId="5D59D4A9">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3）入围供应商资质吊销或注销的；</w:t>
      </w:r>
    </w:p>
    <w:p w14:paraId="269BCA17">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4）入围供应商未严格执行保密制度，泄漏委托方的秘密或与第三方串通损害采购人利益的；由此造成的经济损失，入围方应予赔偿；存在违法违规行为的，由相关部门进行处理；</w:t>
      </w:r>
    </w:p>
    <w:p w14:paraId="73A02019">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5）采购人针对项目服务时限、质量有权提出要求并进行考核，由于入围供应商原因，项目服务时限超出委托时限或质量不合格的；</w:t>
      </w:r>
    </w:p>
    <w:p w14:paraId="3ED7B9A8">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6）入围供应商与项目相关单位或个人私下交易，接受财物、吃请等违纪行为经查实的；存在违法违规行为的，由相关部门进行处理；</w:t>
      </w:r>
    </w:p>
    <w:p w14:paraId="3BFB7CD5">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7）入围供应商在</w:t>
      </w:r>
      <w:r>
        <w:rPr>
          <w:rFonts w:hint="eastAsia" w:ascii="仿宋" w:hAnsi="仿宋" w:eastAsia="仿宋" w:cs="仿宋"/>
          <w:color w:val="FF0000"/>
          <w:kern w:val="0"/>
          <w:sz w:val="24"/>
          <w:szCs w:val="24"/>
          <w:highlight w:val="none"/>
          <w:lang w:val="en-US" w:eastAsia="zh-CN"/>
        </w:rPr>
        <w:t>服务</w:t>
      </w:r>
      <w:r>
        <w:rPr>
          <w:rFonts w:hint="eastAsia" w:ascii="仿宋" w:hAnsi="仿宋" w:eastAsia="仿宋" w:cs="仿宋"/>
          <w:color w:val="FF0000"/>
          <w:kern w:val="0"/>
          <w:sz w:val="24"/>
          <w:szCs w:val="24"/>
          <w:highlight w:val="none"/>
        </w:rPr>
        <w:t>过程中将</w:t>
      </w:r>
      <w:r>
        <w:rPr>
          <w:rFonts w:hint="eastAsia" w:ascii="仿宋" w:hAnsi="仿宋" w:eastAsia="仿宋" w:cs="仿宋"/>
          <w:color w:val="FF0000"/>
          <w:kern w:val="0"/>
          <w:sz w:val="24"/>
          <w:szCs w:val="24"/>
          <w:highlight w:val="none"/>
          <w:lang w:val="en-US" w:eastAsia="zh-CN"/>
        </w:rPr>
        <w:t>相关</w:t>
      </w:r>
      <w:r>
        <w:rPr>
          <w:rFonts w:hint="eastAsia" w:ascii="仿宋" w:hAnsi="仿宋" w:eastAsia="仿宋" w:cs="仿宋"/>
          <w:color w:val="FF0000"/>
          <w:kern w:val="0"/>
          <w:sz w:val="24"/>
          <w:szCs w:val="24"/>
          <w:highlight w:val="none"/>
        </w:rPr>
        <w:t>资料丢失的；由此造成的经济损失，入围供应商应予赔偿；存在违法违规行为的，由相关部门进行处理；</w:t>
      </w:r>
    </w:p>
    <w:p w14:paraId="22E8C29A">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8）在入围供应商违约情形下，采购人有权对本项目合同进行必要的变更。 因入围供应商违约导致合同解除的，入围供应商应按本项目正常计算酬金的 20%支付违约金。</w:t>
      </w:r>
    </w:p>
    <w:p w14:paraId="17962A30">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9）入围供应商提供服务时，需按委托人要求时限完成，无正当理由，未按时完成的将解除合同。</w:t>
      </w:r>
    </w:p>
    <w:p w14:paraId="5EF11B14">
      <w:pPr>
        <w:pStyle w:val="31"/>
        <w:shd w:val="clear" w:color="auto" w:fill="auto"/>
        <w:tabs>
          <w:tab w:val="left" w:pos="840"/>
        </w:tabs>
        <w:spacing w:line="36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10）执行纠错机制，即因</w:t>
      </w:r>
      <w:r>
        <w:rPr>
          <w:rFonts w:hint="eastAsia" w:ascii="仿宋" w:hAnsi="仿宋" w:eastAsia="仿宋" w:cs="仿宋"/>
          <w:color w:val="FF0000"/>
          <w:kern w:val="0"/>
          <w:sz w:val="24"/>
          <w:szCs w:val="24"/>
          <w:highlight w:val="none"/>
          <w:lang w:eastAsia="zh-CN"/>
        </w:rPr>
        <w:t>标底</w:t>
      </w:r>
      <w:r>
        <w:rPr>
          <w:rFonts w:hint="eastAsia" w:ascii="仿宋" w:hAnsi="仿宋" w:eastAsia="仿宋" w:cs="仿宋"/>
          <w:color w:val="FF0000"/>
          <w:kern w:val="0"/>
          <w:sz w:val="24"/>
          <w:szCs w:val="24"/>
          <w:highlight w:val="none"/>
        </w:rPr>
        <w:t>存在较大争议，相关单位提出投诉，并确认入围供应商为责任方的，采购人有权终止合同。</w:t>
      </w:r>
    </w:p>
    <w:p w14:paraId="4A67E43D">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确定入围供应商后，采购人有权对入围供应商提供的人员名单、注册证明、执业资格、人事关系、业绩材料等相关资料到相关部门和相关渠道进行核实，如投标文件存在虚假情况，则取消中标候选人的中标资格，存在违法违规行为的，由相关部门进行处理；</w:t>
      </w:r>
    </w:p>
    <w:p w14:paraId="6F071F38">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12）如遇到政策变化或者其他不可抗力因素，本协议自动解除。</w:t>
      </w:r>
    </w:p>
    <w:p w14:paraId="65AE6E48">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13）本协议有效期2年，到期后自动终止。</w:t>
      </w:r>
    </w:p>
    <w:p w14:paraId="51A97EF9">
      <w:pPr>
        <w:pStyle w:val="31"/>
        <w:shd w:val="clear" w:color="auto" w:fill="auto"/>
        <w:tabs>
          <w:tab w:val="left" w:pos="840"/>
        </w:tabs>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szCs w:val="24"/>
          <w:highlight w:val="none"/>
        </w:rPr>
        <w:t>2、补充规则：在框架协议有效期内，不再补充征集供应商</w:t>
      </w:r>
      <w:r>
        <w:rPr>
          <w:rFonts w:hint="eastAsia" w:ascii="仿宋" w:hAnsi="仿宋" w:eastAsia="仿宋" w:cs="仿宋"/>
          <w:color w:val="auto"/>
          <w:kern w:val="0"/>
          <w:sz w:val="24"/>
          <w:highlight w:val="none"/>
        </w:rPr>
        <w:t>。</w:t>
      </w:r>
    </w:p>
    <w:p w14:paraId="0E948CD6">
      <w:pPr>
        <w:pStyle w:val="31"/>
        <w:shd w:val="clear" w:color="auto" w:fill="auto"/>
        <w:tabs>
          <w:tab w:val="left" w:pos="840"/>
        </w:tabs>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七</w:t>
      </w:r>
      <w:r>
        <w:rPr>
          <w:rFonts w:hint="eastAsia" w:ascii="仿宋" w:hAnsi="仿宋" w:eastAsia="仿宋" w:cs="仿宋"/>
          <w:b/>
          <w:color w:val="auto"/>
          <w:kern w:val="0"/>
          <w:sz w:val="24"/>
          <w:szCs w:val="24"/>
          <w:highlight w:val="none"/>
        </w:rPr>
        <w:t>、其他要求</w:t>
      </w:r>
    </w:p>
    <w:p w14:paraId="60B824DA">
      <w:pPr>
        <w:pStyle w:val="31"/>
        <w:shd w:val="clear" w:color="auto" w:fill="auto"/>
        <w:tabs>
          <w:tab w:val="left" w:pos="840"/>
        </w:tabs>
        <w:spacing w:line="360" w:lineRule="auto"/>
        <w:ind w:firstLine="480" w:firstLineChars="200"/>
        <w:rPr>
          <w:rFonts w:hint="eastAsia" w:ascii="仿宋" w:hAnsi="仿宋" w:eastAsia="仿宋" w:cs="仿宋"/>
          <w:b w:val="0"/>
          <w:bCs w:val="0"/>
          <w:i w:val="0"/>
          <w:iCs w:val="0"/>
          <w:color w:val="FF0000"/>
          <w:kern w:val="0"/>
          <w:sz w:val="24"/>
          <w:szCs w:val="24"/>
          <w:highlight w:val="none"/>
        </w:rPr>
      </w:pPr>
      <w:r>
        <w:rPr>
          <w:rFonts w:hint="eastAsia" w:ascii="仿宋" w:hAnsi="仿宋" w:eastAsia="仿宋" w:cs="仿宋"/>
          <w:b w:val="0"/>
          <w:bCs w:val="0"/>
          <w:i w:val="0"/>
          <w:iCs w:val="0"/>
          <w:color w:val="FF0000"/>
          <w:kern w:val="0"/>
          <w:sz w:val="24"/>
          <w:szCs w:val="24"/>
          <w:highlight w:val="none"/>
        </w:rPr>
        <w:t xml:space="preserve">1.第二阶段成交供应商确定：直接选定。采购人根据内部管理规定直接选定或抽签决定入围供应商，并签订合同。 </w:t>
      </w:r>
    </w:p>
    <w:p w14:paraId="45BB9DB8">
      <w:pPr>
        <w:pStyle w:val="31"/>
        <w:shd w:val="clear" w:color="auto" w:fill="auto"/>
        <w:tabs>
          <w:tab w:val="left" w:pos="840"/>
        </w:tabs>
        <w:spacing w:line="360" w:lineRule="auto"/>
        <w:ind w:firstLine="480" w:firstLineChars="200"/>
        <w:rPr>
          <w:rFonts w:hint="eastAsia" w:ascii="仿宋" w:hAnsi="仿宋" w:eastAsia="仿宋" w:cs="仿宋"/>
          <w:b w:val="0"/>
          <w:bCs w:val="0"/>
          <w:i w:val="0"/>
          <w:iCs w:val="0"/>
          <w:color w:val="FF0000"/>
          <w:kern w:val="0"/>
          <w:sz w:val="24"/>
          <w:szCs w:val="24"/>
          <w:highlight w:val="none"/>
        </w:rPr>
      </w:pPr>
      <w:r>
        <w:rPr>
          <w:rFonts w:hint="eastAsia" w:ascii="仿宋" w:hAnsi="仿宋" w:eastAsia="仿宋" w:cs="仿宋"/>
          <w:b w:val="0"/>
          <w:bCs w:val="0"/>
          <w:i w:val="0"/>
          <w:iCs w:val="0"/>
          <w:color w:val="FF0000"/>
          <w:kern w:val="0"/>
          <w:sz w:val="24"/>
          <w:szCs w:val="24"/>
          <w:highlight w:val="none"/>
        </w:rPr>
        <w:t>2.集中办公要求：采购人要求项目供应商进行集中办公，入围供应商须无条件配合。若入围供应商未按采购人要求实施集中办公，采购人有权取消入围供应商的第二阶段成交供应商选定资格。</w:t>
      </w:r>
    </w:p>
    <w:p w14:paraId="0FDCA09A">
      <w:pPr>
        <w:snapToGrid w:val="0"/>
        <w:spacing w:line="360" w:lineRule="auto"/>
        <w:rPr>
          <w:rFonts w:hint="eastAsia" w:ascii="仿宋" w:hAnsi="仿宋" w:eastAsia="仿宋" w:cs="仿宋"/>
          <w:b/>
          <w:color w:val="auto"/>
          <w:sz w:val="32"/>
          <w:highlight w:val="none"/>
        </w:rPr>
      </w:pPr>
    </w:p>
    <w:p w14:paraId="226998AB">
      <w:p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二、商务要求</w:t>
      </w:r>
    </w:p>
    <w:p w14:paraId="4C94AD88">
      <w:pPr>
        <w:widowControl/>
        <w:snapToGrid w:val="0"/>
        <w:spacing w:line="360" w:lineRule="auto"/>
        <w:rPr>
          <w:rFonts w:hint="eastAsia" w:ascii="仿宋" w:hAnsi="仿宋" w:eastAsia="仿宋" w:cs="仿宋"/>
          <w:b/>
          <w:bCs/>
          <w:color w:val="auto"/>
          <w:kern w:val="0"/>
          <w:sz w:val="24"/>
          <w:highlight w:val="none"/>
        </w:rPr>
      </w:pPr>
      <w:r>
        <w:rPr>
          <w:rFonts w:hint="eastAsia" w:ascii="仿宋" w:hAnsi="仿宋" w:eastAsia="仿宋" w:cs="仿宋"/>
          <w:color w:val="auto"/>
          <w:sz w:val="24"/>
          <w:highlight w:val="none"/>
        </w:rPr>
        <w:t>▲1、</w:t>
      </w:r>
      <w:r>
        <w:rPr>
          <w:rFonts w:hint="eastAsia" w:ascii="仿宋" w:hAnsi="仿宋" w:eastAsia="仿宋" w:cs="仿宋"/>
          <w:b/>
          <w:bCs/>
          <w:color w:val="auto"/>
          <w:kern w:val="0"/>
          <w:sz w:val="24"/>
          <w:highlight w:val="none"/>
        </w:rPr>
        <w:t>服务期限</w:t>
      </w:r>
    </w:p>
    <w:p w14:paraId="32422F95">
      <w:pPr>
        <w:pStyle w:val="31"/>
        <w:tabs>
          <w:tab w:val="left" w:pos="840"/>
        </w:tabs>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本协议期限2年。从</w:t>
      </w:r>
      <w:r>
        <w:rPr>
          <w:rFonts w:hint="eastAsia" w:ascii="仿宋" w:hAnsi="仿宋" w:eastAsia="仿宋" w:cs="仿宋"/>
          <w:color w:val="auto"/>
          <w:kern w:val="0"/>
          <w:sz w:val="24"/>
          <w:szCs w:val="24"/>
          <w:highlight w:val="none"/>
          <w:lang w:eastAsia="zh-CN"/>
        </w:rPr>
        <w:t>合同签订之</w:t>
      </w:r>
      <w:r>
        <w:rPr>
          <w:rFonts w:hint="eastAsia" w:ascii="仿宋" w:hAnsi="仿宋" w:eastAsia="仿宋" w:cs="仿宋"/>
          <w:color w:val="auto"/>
          <w:kern w:val="0"/>
          <w:sz w:val="24"/>
          <w:szCs w:val="24"/>
          <w:highlight w:val="none"/>
        </w:rPr>
        <w:t>日至2026年12月31日止。</w:t>
      </w:r>
    </w:p>
    <w:p w14:paraId="0F73DA75">
      <w:pPr>
        <w:widowControl/>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▲2、质量要求</w:t>
      </w:r>
    </w:p>
    <w:p w14:paraId="7A5D91ED">
      <w:pPr>
        <w:widowControl/>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优质服务且必须符合国家法律法规、行业标准及本表文所有条款要求。</w:t>
      </w:r>
    </w:p>
    <w:p w14:paraId="51BBD9D2">
      <w:pPr>
        <w:widowControl/>
        <w:shd w:val="clear" w:color="auto" w:fill="auto"/>
        <w:snapToGrid w:val="0"/>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3、数量调整</w:t>
      </w:r>
    </w:p>
    <w:p w14:paraId="36E75069">
      <w:pPr>
        <w:widowControl/>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3.1中标</w:t>
      </w:r>
      <w:r>
        <w:rPr>
          <w:rFonts w:hint="eastAsia" w:ascii="仿宋" w:hAnsi="仿宋" w:eastAsia="仿宋" w:cs="仿宋"/>
          <w:color w:val="auto"/>
          <w:kern w:val="0"/>
          <w:sz w:val="24"/>
          <w:highlight w:val="none"/>
          <w:lang w:eastAsia="zh-CN"/>
        </w:rPr>
        <w:t>折扣率</w:t>
      </w:r>
      <w:r>
        <w:rPr>
          <w:rFonts w:hint="eastAsia" w:ascii="仿宋" w:hAnsi="仿宋" w:eastAsia="仿宋" w:cs="仿宋"/>
          <w:color w:val="auto"/>
          <w:kern w:val="0"/>
          <w:sz w:val="24"/>
          <w:highlight w:val="none"/>
        </w:rPr>
        <w:t>一次性包死，不再调整。</w:t>
      </w:r>
    </w:p>
    <w:p w14:paraId="5B1627E7">
      <w:pPr>
        <w:widowControl/>
        <w:shd w:val="clear" w:color="auto" w:fill="auto"/>
        <w:snapToGrid w:val="0"/>
        <w:spacing w:line="360" w:lineRule="auto"/>
        <w:rPr>
          <w:rFonts w:hint="eastAsia" w:ascii="仿宋" w:hAnsi="仿宋" w:eastAsia="仿宋" w:cs="仿宋"/>
          <w:b/>
          <w:bCs/>
          <w:color w:val="auto"/>
          <w:kern w:val="0"/>
          <w:sz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kern w:val="0"/>
          <w:sz w:val="24"/>
          <w:highlight w:val="none"/>
        </w:rPr>
        <w:t>4、付款方式</w:t>
      </w:r>
    </w:p>
    <w:p w14:paraId="7370FFDC">
      <w:pPr>
        <w:widowControl/>
        <w:shd w:val="clear" w:color="auto" w:fill="auto"/>
        <w:snapToGrid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en-US" w:eastAsia="zh-CN"/>
        </w:rPr>
        <w:t>4.1</w:t>
      </w:r>
      <w:r>
        <w:rPr>
          <w:rFonts w:hint="eastAsia" w:ascii="仿宋" w:hAnsi="仿宋" w:eastAsia="仿宋" w:cs="仿宋"/>
          <w:color w:val="auto"/>
          <w:sz w:val="24"/>
          <w:highlight w:val="none"/>
        </w:rPr>
        <w:t>招标代理、标底(预算）编制等均不支付预付款；</w:t>
      </w:r>
      <w:r>
        <w:rPr>
          <w:rFonts w:hint="eastAsia" w:ascii="仿宋" w:hAnsi="仿宋" w:eastAsia="仿宋" w:cs="仿宋"/>
          <w:color w:val="auto"/>
          <w:sz w:val="24"/>
          <w:highlight w:val="none"/>
        </w:rPr>
        <w:t>每</w:t>
      </w:r>
      <w:r>
        <w:rPr>
          <w:rFonts w:hint="eastAsia" w:ascii="仿宋" w:hAnsi="仿宋" w:eastAsia="仿宋" w:cs="仿宋"/>
          <w:color w:val="auto"/>
          <w:sz w:val="24"/>
          <w:highlight w:val="none"/>
          <w:lang w:val="en-US" w:eastAsia="zh-CN"/>
        </w:rPr>
        <w:t>1年</w:t>
      </w:r>
      <w:r>
        <w:rPr>
          <w:rFonts w:hint="eastAsia" w:ascii="仿宋" w:hAnsi="仿宋" w:eastAsia="仿宋" w:cs="仿宋"/>
          <w:color w:val="auto"/>
          <w:sz w:val="24"/>
          <w:highlight w:val="none"/>
        </w:rPr>
        <w:t>结算一次。</w:t>
      </w:r>
    </w:p>
    <w:p w14:paraId="6EEF073D">
      <w:pPr>
        <w:widowControl/>
        <w:shd w:val="clear" w:color="auto" w:fill="auto"/>
        <w:snapToGrid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4.2</w:t>
      </w:r>
      <w:r>
        <w:rPr>
          <w:rFonts w:hint="eastAsia" w:ascii="仿宋" w:hAnsi="仿宋" w:eastAsia="仿宋" w:cs="仿宋"/>
          <w:color w:val="auto"/>
          <w:sz w:val="24"/>
          <w:highlight w:val="none"/>
        </w:rPr>
        <w:t>招标代理费：招标完成，提供完整的招标代理资料</w:t>
      </w:r>
      <w:r>
        <w:rPr>
          <w:rFonts w:hint="eastAsia" w:ascii="仿宋" w:hAnsi="仿宋" w:eastAsia="仿宋" w:cs="仿宋"/>
          <w:color w:val="auto"/>
          <w:sz w:val="24"/>
          <w:highlight w:val="none"/>
          <w:lang w:eastAsia="zh-CN"/>
        </w:rPr>
        <w:t>（镇级招标代理资料</w:t>
      </w:r>
      <w:r>
        <w:rPr>
          <w:rFonts w:hint="eastAsia" w:ascii="仿宋" w:hAnsi="仿宋" w:eastAsia="仿宋" w:cs="仿宋"/>
          <w:color w:val="auto"/>
          <w:sz w:val="24"/>
          <w:highlight w:val="none"/>
          <w:lang w:val="en-US" w:eastAsia="zh-CN"/>
        </w:rPr>
        <w:t>5套，村级</w:t>
      </w:r>
      <w:r>
        <w:rPr>
          <w:rFonts w:hint="eastAsia" w:ascii="仿宋" w:hAnsi="仿宋" w:eastAsia="仿宋" w:cs="仿宋"/>
          <w:color w:val="auto"/>
          <w:sz w:val="24"/>
          <w:highlight w:val="none"/>
          <w:lang w:eastAsia="zh-CN"/>
        </w:rPr>
        <w:t>招标代理</w:t>
      </w:r>
      <w:r>
        <w:rPr>
          <w:rFonts w:hint="eastAsia" w:ascii="仿宋" w:hAnsi="仿宋" w:eastAsia="仿宋" w:cs="仿宋"/>
          <w:color w:val="auto"/>
          <w:sz w:val="24"/>
          <w:highlight w:val="none"/>
          <w:lang w:val="en-US" w:eastAsia="zh-CN"/>
        </w:rPr>
        <w:t>资料4套</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且完成所有招标流程后，经业主审核且审批通过后一次性付清。</w:t>
      </w:r>
    </w:p>
    <w:p w14:paraId="74FDC936">
      <w:pPr>
        <w:widowControl/>
        <w:shd w:val="clear" w:color="auto" w:fill="auto"/>
        <w:snapToGrid w:val="0"/>
        <w:spacing w:line="360" w:lineRule="auto"/>
        <w:ind w:firstLine="480"/>
        <w:rPr>
          <w:rFonts w:hint="eastAsia" w:ascii="仿宋" w:hAnsi="仿宋" w:eastAsia="仿宋" w:cs="仿宋"/>
          <w:color w:val="FF0000"/>
          <w:sz w:val="24"/>
          <w:highlight w:val="none"/>
        </w:rPr>
      </w:pPr>
      <w:r>
        <w:rPr>
          <w:rFonts w:hint="eastAsia" w:ascii="仿宋" w:hAnsi="仿宋" w:eastAsia="仿宋" w:cs="仿宋"/>
          <w:color w:val="FF0000"/>
          <w:sz w:val="24"/>
          <w:highlight w:val="none"/>
          <w:lang w:val="en-US" w:eastAsia="zh-CN"/>
        </w:rPr>
        <w:t>4.3</w:t>
      </w:r>
      <w:r>
        <w:rPr>
          <w:rFonts w:hint="eastAsia" w:ascii="仿宋" w:hAnsi="仿宋" w:eastAsia="仿宋" w:cs="仿宋"/>
          <w:color w:val="FF0000"/>
          <w:sz w:val="24"/>
          <w:highlight w:val="none"/>
        </w:rPr>
        <w:t>编制、审核费用：1、若标底审定造价＜400万元，在标底（预算）编制及审标完成，中标通知书签发后，工程中标单位无异议或有差错的与工程中标单位核对完成且经业主、编标单位、</w:t>
      </w:r>
      <w:r>
        <w:rPr>
          <w:rFonts w:hint="eastAsia" w:ascii="仿宋" w:hAnsi="仿宋" w:eastAsia="仿宋" w:cs="仿宋"/>
          <w:color w:val="FF0000"/>
          <w:sz w:val="24"/>
          <w:highlight w:val="none"/>
          <w:lang w:val="en-US" w:eastAsia="zh-CN"/>
        </w:rPr>
        <w:t>审标</w:t>
      </w:r>
      <w:r>
        <w:rPr>
          <w:rFonts w:hint="eastAsia" w:ascii="仿宋" w:hAnsi="仿宋" w:eastAsia="仿宋" w:cs="仿宋"/>
          <w:color w:val="FF0000"/>
          <w:sz w:val="24"/>
          <w:highlight w:val="none"/>
        </w:rPr>
        <w:t>单位三方认可后，经业主审核且审批同意后付清；2、若标底审定造价≥400万元，编制费用在标底（预算）编制及柯桥区审核中心审标完成，中标通知书签发后，工程中标单位无异议或有差错的与工程中标单位核对完成且经业主、柯桥区审核中心、编标单位、</w:t>
      </w:r>
      <w:r>
        <w:rPr>
          <w:rFonts w:hint="eastAsia" w:ascii="仿宋" w:hAnsi="仿宋" w:eastAsia="仿宋" w:cs="仿宋"/>
          <w:color w:val="FF0000"/>
          <w:sz w:val="24"/>
          <w:highlight w:val="none"/>
          <w:lang w:val="en-US" w:eastAsia="zh-CN"/>
        </w:rPr>
        <w:t>审标</w:t>
      </w:r>
      <w:r>
        <w:rPr>
          <w:rFonts w:hint="eastAsia" w:ascii="仿宋" w:hAnsi="仿宋" w:eastAsia="仿宋" w:cs="仿宋"/>
          <w:color w:val="FF0000"/>
          <w:sz w:val="24"/>
          <w:highlight w:val="none"/>
        </w:rPr>
        <w:t>单位四方认可后，经业主审核且审批同意后付清。</w:t>
      </w:r>
    </w:p>
    <w:p w14:paraId="72D8EF5C">
      <w:pPr>
        <w:pStyle w:val="22"/>
        <w:shd w:val="clear" w:color="auto" w:fill="auto"/>
        <w:ind w:firstLine="482" w:firstLineChars="200"/>
        <w:rPr>
          <w:rFonts w:hint="eastAsia" w:ascii="仿宋" w:hAnsi="仿宋" w:eastAsia="仿宋" w:cs="仿宋"/>
          <w:b/>
          <w:bCs/>
          <w:color w:val="auto"/>
          <w:szCs w:val="24"/>
          <w:highlight w:val="none"/>
        </w:rPr>
      </w:pPr>
      <w:r>
        <w:rPr>
          <w:rFonts w:hint="eastAsia" w:ascii="仿宋" w:hAnsi="仿宋" w:eastAsia="仿宋" w:cs="仿宋"/>
          <w:b/>
          <w:bCs/>
          <w:snapToGrid w:val="0"/>
          <w:color w:val="auto"/>
          <w:kern w:val="2"/>
          <w:sz w:val="24"/>
          <w:szCs w:val="21"/>
          <w:highlight w:val="none"/>
          <w:lang w:val="zh-CN" w:eastAsia="zh-CN" w:bidi="ar-SA"/>
        </w:rPr>
        <w:t>注：</w:t>
      </w:r>
      <w:r>
        <w:rPr>
          <w:rFonts w:hint="eastAsia" w:ascii="仿宋" w:hAnsi="仿宋" w:eastAsia="仿宋" w:cs="仿宋"/>
          <w:b/>
          <w:bCs/>
          <w:color w:val="auto"/>
          <w:szCs w:val="24"/>
          <w:highlight w:val="none"/>
        </w:rPr>
        <w:t>涉及中小企业合同的，付款根据浙财采监〔2022〕3号文件相关规定执行。</w:t>
      </w:r>
    </w:p>
    <w:p w14:paraId="48408204">
      <w:pPr>
        <w:pStyle w:val="31"/>
        <w:shd w:val="clear" w:color="auto" w:fill="auto"/>
        <w:tabs>
          <w:tab w:val="left" w:pos="840"/>
        </w:tabs>
        <w:spacing w:line="360" w:lineRule="auto"/>
        <w:rPr>
          <w:rFonts w:hint="eastAsia" w:ascii="仿宋" w:hAnsi="仿宋" w:eastAsia="仿宋" w:cs="仿宋"/>
          <w:color w:val="auto"/>
          <w:kern w:val="0"/>
          <w:sz w:val="24"/>
          <w:szCs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hAnsi="宋体" w:cs="仿宋"/>
          <w:color w:val="auto"/>
          <w:kern w:val="0"/>
          <w:sz w:val="24"/>
          <w:szCs w:val="24"/>
          <w:highlight w:val="none"/>
        </w:rPr>
        <w:t>、</w:t>
      </w:r>
      <w:r>
        <w:rPr>
          <w:rFonts w:hint="eastAsia" w:ascii="仿宋" w:hAnsi="仿宋" w:eastAsia="仿宋" w:cs="仿宋"/>
          <w:color w:val="auto"/>
          <w:kern w:val="0"/>
          <w:sz w:val="24"/>
          <w:szCs w:val="24"/>
          <w:highlight w:val="none"/>
        </w:rPr>
        <w:t>收费标准</w:t>
      </w:r>
    </w:p>
    <w:p w14:paraId="043F1629">
      <w:pPr>
        <w:tabs>
          <w:tab w:val="left" w:pos="540"/>
          <w:tab w:val="left" w:pos="900"/>
        </w:tabs>
        <w:adjustRightInd/>
        <w:spacing w:line="440" w:lineRule="exact"/>
        <w:ind w:firstLine="480" w:firstLineChars="200"/>
        <w:rPr>
          <w:rFonts w:hint="eastAsia" w:ascii="仿宋" w:eastAsia="仿宋"/>
          <w:color w:val="auto"/>
          <w:sz w:val="24"/>
          <w:highlight w:val="none"/>
          <w:lang w:val="en-US" w:eastAsia="zh-CN"/>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.1招标代理：按附表1《招标代理服务收费标准》×0.56×中标折扣率。单笔招标代理费不足</w:t>
      </w:r>
      <w:r>
        <w:rPr>
          <w:rFonts w:hint="eastAsia" w:ascii="仿宋" w:hAnsi="仿宋" w:eastAsia="仿宋" w:cs="仿宋"/>
          <w:color w:val="auto"/>
          <w:kern w:val="0"/>
          <w:sz w:val="24"/>
          <w:highlight w:val="none"/>
          <w:lang w:val="en-US" w:eastAsia="zh-CN"/>
        </w:rPr>
        <w:t>3000元的按3000元计（包含餐费）</w:t>
      </w:r>
      <w:r>
        <w:rPr>
          <w:rFonts w:hint="eastAsia" w:ascii="仿宋" w:hAnsi="仿宋" w:eastAsia="仿宋" w:cs="仿宋"/>
          <w:color w:val="auto"/>
          <w:kern w:val="0"/>
          <w:sz w:val="24"/>
          <w:highlight w:val="none"/>
        </w:rPr>
        <w:t>；同一只项目重新招标代理费只计一次；以上采用最低收费时，不再进行浮动。</w:t>
      </w:r>
    </w:p>
    <w:p w14:paraId="333A6D64">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.2造价咨询：</w:t>
      </w:r>
    </w:p>
    <w:p w14:paraId="774CE78B">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2.1、标底编制费：标底编制费：按附表2《建设工程造价咨询服务收费标准》×0.65×中标折扣率。单笔标底（预算）编制费不足2000元的按2000元计。标底（预算）编制费收费其中如有以下情况按以下处理：工程标底（预算）编制中，如有多幢建筑物系造价相同、建筑相同、套用重复的，多幢相同建筑物的标底造价编制费计取基数按照“单幢建筑物造价与其余相同重复建筑物造价的40%之和”确定。工程标底（预算）编制中需钢筋翻样及预埋件重量计算的，其费用已包含在上述支付标准中，不另计。</w:t>
      </w:r>
    </w:p>
    <w:p w14:paraId="2A2DFD54">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.2.2、标底审核费：按附表2《建设工程造价咨询服务收费标准》×0.4×中标折扣率。单笔标底（预算）审核费不足2000元的按2000元计。</w:t>
      </w:r>
    </w:p>
    <w:p w14:paraId="3C5982F3">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.2.3、开工后的联系单如需估价，费用单独计取：每份联系单造价绝对值相加在10万元以下按600元/份计取，10万元至50万元按800元/份计取，50万元以上按造价的2.0‰计取。</w:t>
      </w:r>
    </w:p>
    <w:p w14:paraId="7AAA5F7C">
      <w:pPr>
        <w:snapToGrid w:val="0"/>
        <w:spacing w:line="360" w:lineRule="auto"/>
        <w:ind w:firstLine="480" w:firstLineChars="20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.3 造价咨询（含标底编制、标底审核）以出具报告为准，业主按4.2支付服务费，如服务过程中经业主通知不再进行下一步工作，则不支付服务费；</w:t>
      </w:r>
    </w:p>
    <w:p w14:paraId="606C3694">
      <w:pPr>
        <w:snapToGrid w:val="0"/>
        <w:spacing w:line="360" w:lineRule="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eastAsia="zh-CN"/>
        </w:rPr>
        <w:t>附表</w:t>
      </w:r>
      <w:r>
        <w:rPr>
          <w:rFonts w:hint="eastAsia" w:ascii="仿宋" w:hAnsi="仿宋" w:eastAsia="仿宋" w:cs="仿宋"/>
          <w:color w:val="auto"/>
          <w:kern w:val="0"/>
          <w:sz w:val="24"/>
          <w:highlight w:val="none"/>
          <w:lang w:val="en-US" w:eastAsia="zh-CN"/>
        </w:rPr>
        <w:t xml:space="preserve">1：      </w:t>
      </w:r>
    </w:p>
    <w:p w14:paraId="341440C3">
      <w:pPr>
        <w:snapToGrid w:val="0"/>
        <w:spacing w:line="360" w:lineRule="auto"/>
        <w:ind w:firstLine="2400" w:firstLineChars="1000"/>
        <w:rPr>
          <w:rFonts w:hint="default" w:ascii="仿宋" w:hAnsi="仿宋" w:eastAsia="仿宋" w:cs="仿宋"/>
          <w:color w:val="auto"/>
          <w:kern w:val="0"/>
          <w:sz w:val="24"/>
          <w:highlight w:val="none"/>
          <w:lang w:val="en-US" w:eastAsia="zh-CN"/>
        </w:rPr>
      </w:pPr>
      <w:r>
        <w:rPr>
          <w:rFonts w:hint="eastAsia" w:ascii="仿宋" w:hAnsi="仿宋" w:eastAsia="仿宋" w:cs="仿宋"/>
          <w:color w:val="auto"/>
          <w:sz w:val="24"/>
          <w:szCs w:val="28"/>
          <w:highlight w:val="none"/>
        </w:rPr>
        <w:t>《</w:t>
      </w:r>
      <w:r>
        <w:rPr>
          <w:rFonts w:hint="eastAsia" w:ascii="仿宋" w:hAnsi="仿宋" w:eastAsia="仿宋" w:cs="仿宋"/>
          <w:color w:val="auto"/>
          <w:sz w:val="24"/>
          <w:szCs w:val="28"/>
          <w:highlight w:val="none"/>
          <w:lang w:eastAsia="zh-CN"/>
        </w:rPr>
        <w:t>招标代理</w:t>
      </w:r>
      <w:r>
        <w:rPr>
          <w:rFonts w:hint="eastAsia" w:ascii="仿宋" w:hAnsi="仿宋" w:eastAsia="仿宋" w:cs="仿宋"/>
          <w:color w:val="auto"/>
          <w:sz w:val="24"/>
          <w:szCs w:val="28"/>
          <w:highlight w:val="none"/>
        </w:rPr>
        <w:t>服务收费标准》</w:t>
      </w:r>
    </w:p>
    <w:tbl>
      <w:tblPr>
        <w:tblStyle w:val="6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30"/>
        <w:gridCol w:w="2130"/>
        <w:gridCol w:w="2131"/>
        <w:gridCol w:w="2131"/>
      </w:tblGrid>
      <w:tr w14:paraId="0C6C25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3F9B3B1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金额（万元）</w:t>
            </w:r>
          </w:p>
        </w:tc>
        <w:tc>
          <w:tcPr>
            <w:tcW w:w="2130" w:type="dxa"/>
            <w:noWrap w:val="0"/>
            <w:vAlign w:val="center"/>
          </w:tcPr>
          <w:p w14:paraId="41C6B09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货物招标</w:t>
            </w:r>
          </w:p>
        </w:tc>
        <w:tc>
          <w:tcPr>
            <w:tcW w:w="2131" w:type="dxa"/>
            <w:noWrap w:val="0"/>
            <w:vAlign w:val="center"/>
          </w:tcPr>
          <w:p w14:paraId="47A71BD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服务招标</w:t>
            </w:r>
          </w:p>
        </w:tc>
        <w:tc>
          <w:tcPr>
            <w:tcW w:w="2131" w:type="dxa"/>
            <w:noWrap w:val="0"/>
            <w:vAlign w:val="center"/>
          </w:tcPr>
          <w:p w14:paraId="2D268D6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工程招标</w:t>
            </w:r>
          </w:p>
        </w:tc>
      </w:tr>
      <w:tr w14:paraId="052EC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6886D63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100以下</w:t>
            </w:r>
          </w:p>
        </w:tc>
        <w:tc>
          <w:tcPr>
            <w:tcW w:w="2130" w:type="dxa"/>
            <w:noWrap w:val="0"/>
            <w:vAlign w:val="center"/>
          </w:tcPr>
          <w:p w14:paraId="5A289FB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2131" w:type="dxa"/>
            <w:noWrap w:val="0"/>
            <w:vAlign w:val="center"/>
          </w:tcPr>
          <w:p w14:paraId="3D4E45C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2131" w:type="dxa"/>
            <w:noWrap w:val="0"/>
            <w:vAlign w:val="center"/>
          </w:tcPr>
          <w:p w14:paraId="43CF230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r>
      <w:tr w14:paraId="1793E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691F8DB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100-500</w:t>
            </w:r>
          </w:p>
        </w:tc>
        <w:tc>
          <w:tcPr>
            <w:tcW w:w="2130" w:type="dxa"/>
            <w:noWrap w:val="0"/>
            <w:vAlign w:val="center"/>
          </w:tcPr>
          <w:p w14:paraId="093BB10D">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2131" w:type="dxa"/>
            <w:noWrap w:val="0"/>
            <w:vAlign w:val="center"/>
          </w:tcPr>
          <w:p w14:paraId="303EFB4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0.8%</w:t>
            </w:r>
          </w:p>
        </w:tc>
        <w:tc>
          <w:tcPr>
            <w:tcW w:w="2131" w:type="dxa"/>
            <w:noWrap w:val="0"/>
            <w:vAlign w:val="center"/>
          </w:tcPr>
          <w:p w14:paraId="6D0D792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0.7%</w:t>
            </w:r>
          </w:p>
        </w:tc>
      </w:tr>
      <w:tr w14:paraId="26E77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7FA50C79">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500-1000</w:t>
            </w:r>
          </w:p>
        </w:tc>
        <w:tc>
          <w:tcPr>
            <w:tcW w:w="2130" w:type="dxa"/>
            <w:noWrap w:val="0"/>
            <w:vAlign w:val="center"/>
          </w:tcPr>
          <w:p w14:paraId="0CD0615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0.8%</w:t>
            </w:r>
          </w:p>
        </w:tc>
        <w:tc>
          <w:tcPr>
            <w:tcW w:w="2131" w:type="dxa"/>
            <w:noWrap w:val="0"/>
            <w:vAlign w:val="center"/>
          </w:tcPr>
          <w:p w14:paraId="3250119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0.45%</w:t>
            </w:r>
          </w:p>
        </w:tc>
        <w:tc>
          <w:tcPr>
            <w:tcW w:w="2131" w:type="dxa"/>
            <w:noWrap w:val="0"/>
            <w:vAlign w:val="center"/>
          </w:tcPr>
          <w:p w14:paraId="6E0560A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0.55%</w:t>
            </w:r>
          </w:p>
        </w:tc>
      </w:tr>
      <w:tr w14:paraId="260620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4FC8097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1000-5000</w:t>
            </w:r>
          </w:p>
        </w:tc>
        <w:tc>
          <w:tcPr>
            <w:tcW w:w="2130" w:type="dxa"/>
            <w:noWrap w:val="0"/>
            <w:vAlign w:val="center"/>
          </w:tcPr>
          <w:p w14:paraId="3BE2228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0.5%</w:t>
            </w:r>
          </w:p>
        </w:tc>
        <w:tc>
          <w:tcPr>
            <w:tcW w:w="2131" w:type="dxa"/>
            <w:noWrap w:val="0"/>
            <w:vAlign w:val="center"/>
          </w:tcPr>
          <w:p w14:paraId="60A7FF0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0.25%</w:t>
            </w:r>
          </w:p>
        </w:tc>
        <w:tc>
          <w:tcPr>
            <w:tcW w:w="2131" w:type="dxa"/>
            <w:noWrap w:val="0"/>
            <w:vAlign w:val="center"/>
          </w:tcPr>
          <w:p w14:paraId="0C0E585D">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0.35%</w:t>
            </w:r>
          </w:p>
        </w:tc>
      </w:tr>
      <w:tr w14:paraId="6ECB32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7F8B570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5000-10000</w:t>
            </w:r>
          </w:p>
        </w:tc>
        <w:tc>
          <w:tcPr>
            <w:tcW w:w="2130" w:type="dxa"/>
            <w:noWrap w:val="0"/>
            <w:vAlign w:val="center"/>
          </w:tcPr>
          <w:p w14:paraId="28B00DB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0.25%</w:t>
            </w:r>
          </w:p>
        </w:tc>
        <w:tc>
          <w:tcPr>
            <w:tcW w:w="2131" w:type="dxa"/>
            <w:noWrap w:val="0"/>
            <w:vAlign w:val="center"/>
          </w:tcPr>
          <w:p w14:paraId="5DEB60A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0.1%</w:t>
            </w:r>
          </w:p>
        </w:tc>
        <w:tc>
          <w:tcPr>
            <w:tcW w:w="2131" w:type="dxa"/>
            <w:noWrap w:val="0"/>
            <w:vAlign w:val="center"/>
          </w:tcPr>
          <w:p w14:paraId="58B88C7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0.2%</w:t>
            </w:r>
          </w:p>
        </w:tc>
      </w:tr>
      <w:tr w14:paraId="6C5B5E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18C8292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10000-100000</w:t>
            </w:r>
          </w:p>
        </w:tc>
        <w:tc>
          <w:tcPr>
            <w:tcW w:w="2130" w:type="dxa"/>
            <w:noWrap w:val="0"/>
            <w:vAlign w:val="center"/>
          </w:tcPr>
          <w:p w14:paraId="111741C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0.05%</w:t>
            </w:r>
          </w:p>
        </w:tc>
        <w:tc>
          <w:tcPr>
            <w:tcW w:w="2131" w:type="dxa"/>
            <w:noWrap w:val="0"/>
            <w:vAlign w:val="center"/>
          </w:tcPr>
          <w:p w14:paraId="632BC26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0.05%</w:t>
            </w:r>
          </w:p>
        </w:tc>
        <w:tc>
          <w:tcPr>
            <w:tcW w:w="2131" w:type="dxa"/>
            <w:noWrap w:val="0"/>
            <w:vAlign w:val="center"/>
          </w:tcPr>
          <w:p w14:paraId="0989D77B">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0.05%</w:t>
            </w:r>
          </w:p>
        </w:tc>
      </w:tr>
      <w:tr w14:paraId="7D8A0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130" w:type="dxa"/>
            <w:noWrap w:val="0"/>
            <w:vAlign w:val="center"/>
          </w:tcPr>
          <w:p w14:paraId="30E846C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1000000以上</w:t>
            </w:r>
          </w:p>
        </w:tc>
        <w:tc>
          <w:tcPr>
            <w:tcW w:w="2130" w:type="dxa"/>
            <w:noWrap w:val="0"/>
            <w:vAlign w:val="center"/>
          </w:tcPr>
          <w:p w14:paraId="571358C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0.01%</w:t>
            </w:r>
          </w:p>
        </w:tc>
        <w:tc>
          <w:tcPr>
            <w:tcW w:w="2131" w:type="dxa"/>
            <w:noWrap w:val="0"/>
            <w:vAlign w:val="center"/>
          </w:tcPr>
          <w:p w14:paraId="48E77319">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0.01%</w:t>
            </w:r>
          </w:p>
        </w:tc>
        <w:tc>
          <w:tcPr>
            <w:tcW w:w="2131" w:type="dxa"/>
            <w:noWrap w:val="0"/>
            <w:vAlign w:val="center"/>
          </w:tcPr>
          <w:p w14:paraId="1E79019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0.01%</w:t>
            </w:r>
          </w:p>
        </w:tc>
      </w:tr>
    </w:tbl>
    <w:p w14:paraId="77B06C32">
      <w:pPr>
        <w:snapToGrid w:val="0"/>
        <w:spacing w:line="360" w:lineRule="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eastAsia="zh-CN"/>
        </w:rPr>
        <w:t>附表</w:t>
      </w:r>
      <w:r>
        <w:rPr>
          <w:rFonts w:hint="eastAsia" w:ascii="仿宋" w:hAnsi="仿宋" w:eastAsia="仿宋" w:cs="仿宋"/>
          <w:color w:val="auto"/>
          <w:kern w:val="0"/>
          <w:sz w:val="24"/>
          <w:highlight w:val="none"/>
          <w:lang w:val="en-US" w:eastAsia="zh-CN"/>
        </w:rPr>
        <w:t>2：</w:t>
      </w:r>
    </w:p>
    <w:p w14:paraId="0D2784D8">
      <w:pPr>
        <w:snapToGrid w:val="0"/>
        <w:spacing w:line="360" w:lineRule="auto"/>
        <w:ind w:firstLine="2160" w:firstLineChars="900"/>
        <w:rPr>
          <w:rFonts w:hint="eastAsia" w:ascii="仿宋" w:hAnsi="仿宋" w:eastAsia="仿宋" w:cs="仿宋"/>
          <w:color w:val="auto"/>
          <w:kern w:val="0"/>
          <w:sz w:val="24"/>
          <w:highlight w:val="none"/>
          <w:lang w:eastAsia="zh-CN"/>
        </w:rPr>
      </w:pPr>
      <w:r>
        <w:rPr>
          <w:rFonts w:hint="eastAsia" w:ascii="仿宋" w:hAnsi="仿宋" w:eastAsia="仿宋" w:cs="仿宋"/>
          <w:color w:val="auto"/>
          <w:sz w:val="24"/>
          <w:szCs w:val="28"/>
          <w:highlight w:val="none"/>
        </w:rPr>
        <w:t>《建设工程造价咨询服务收费标准》</w:t>
      </w:r>
    </w:p>
    <w:tbl>
      <w:tblPr>
        <w:tblStyle w:val="6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794"/>
        <w:gridCol w:w="4252"/>
      </w:tblGrid>
      <w:tr w14:paraId="11F8B1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6" w:hRule="atLeast"/>
        </w:trPr>
        <w:tc>
          <w:tcPr>
            <w:tcW w:w="3794" w:type="dxa"/>
            <w:noWrap w:val="0"/>
            <w:vAlign w:val="center"/>
          </w:tcPr>
          <w:p w14:paraId="7419AF4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建安工程造价</w:t>
            </w:r>
          </w:p>
        </w:tc>
        <w:tc>
          <w:tcPr>
            <w:tcW w:w="4252" w:type="dxa"/>
            <w:noWrap w:val="0"/>
            <w:vAlign w:val="center"/>
          </w:tcPr>
          <w:p w14:paraId="3EB5C7A9">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标 准</w:t>
            </w:r>
          </w:p>
        </w:tc>
      </w:tr>
      <w:tr w14:paraId="02566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45B45DBA">
            <w:pPr>
              <w:jc w:val="center"/>
              <w:rPr>
                <w:rFonts w:hint="eastAsia" w:ascii="仿宋" w:hAnsi="仿宋" w:eastAsia="仿宋" w:cs="仿宋"/>
                <w:color w:val="auto"/>
                <w:sz w:val="24"/>
                <w:highlight w:val="none"/>
              </w:rPr>
            </w:pPr>
            <w:r>
              <w:rPr>
                <w:rFonts w:hint="eastAsia" w:ascii="仿宋" w:hAnsi="仿宋" w:eastAsia="仿宋" w:cs="仿宋"/>
                <w:color w:val="FF0000"/>
                <w:sz w:val="24"/>
                <w:highlight w:val="none"/>
                <w:lang w:val="en-US" w:eastAsia="zh-CN"/>
              </w:rPr>
              <w:t>1</w:t>
            </w:r>
            <w:r>
              <w:rPr>
                <w:rFonts w:hint="eastAsia" w:ascii="仿宋" w:hAnsi="仿宋" w:eastAsia="仿宋" w:cs="仿宋"/>
                <w:color w:val="FF0000"/>
                <w:sz w:val="24"/>
                <w:highlight w:val="none"/>
                <w:lang w:eastAsia="zh-CN"/>
              </w:rPr>
              <w:t>00万</w:t>
            </w:r>
            <w:r>
              <w:rPr>
                <w:rFonts w:hint="eastAsia" w:ascii="仿宋" w:hAnsi="仿宋" w:eastAsia="仿宋" w:cs="仿宋"/>
                <w:color w:val="FF0000"/>
                <w:sz w:val="24"/>
                <w:highlight w:val="none"/>
              </w:rPr>
              <w:t>元以内</w:t>
            </w:r>
          </w:p>
        </w:tc>
        <w:tc>
          <w:tcPr>
            <w:tcW w:w="4252" w:type="dxa"/>
            <w:noWrap w:val="0"/>
            <w:vAlign w:val="center"/>
          </w:tcPr>
          <w:p w14:paraId="0F6FE52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3.6‰</w:t>
            </w:r>
          </w:p>
        </w:tc>
      </w:tr>
      <w:tr w14:paraId="0C7F3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5B59E6B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101-500万元</w:t>
            </w:r>
          </w:p>
        </w:tc>
        <w:tc>
          <w:tcPr>
            <w:tcW w:w="4252" w:type="dxa"/>
            <w:noWrap w:val="0"/>
            <w:vAlign w:val="center"/>
          </w:tcPr>
          <w:p w14:paraId="0FD8E6FD">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p>
        </w:tc>
      </w:tr>
      <w:tr w14:paraId="77232C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62BB7CB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501-1000万元</w:t>
            </w:r>
          </w:p>
        </w:tc>
        <w:tc>
          <w:tcPr>
            <w:tcW w:w="4252" w:type="dxa"/>
            <w:noWrap w:val="0"/>
            <w:vAlign w:val="center"/>
          </w:tcPr>
          <w:p w14:paraId="4C33CE8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3.0‰</w:t>
            </w:r>
          </w:p>
        </w:tc>
      </w:tr>
      <w:tr w14:paraId="23070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51D2BE1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1001-2000万元</w:t>
            </w:r>
          </w:p>
        </w:tc>
        <w:tc>
          <w:tcPr>
            <w:tcW w:w="4252" w:type="dxa"/>
            <w:noWrap w:val="0"/>
            <w:vAlign w:val="center"/>
          </w:tcPr>
          <w:p w14:paraId="392EFC7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p>
        </w:tc>
      </w:tr>
      <w:tr w14:paraId="3C299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3DBB3DC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2001-5000万元</w:t>
            </w:r>
          </w:p>
        </w:tc>
        <w:tc>
          <w:tcPr>
            <w:tcW w:w="4252" w:type="dxa"/>
            <w:noWrap w:val="0"/>
            <w:vAlign w:val="center"/>
          </w:tcPr>
          <w:p w14:paraId="1050CE42">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2.4‰</w:t>
            </w:r>
          </w:p>
        </w:tc>
      </w:tr>
      <w:tr w14:paraId="6438D9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783F5D7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5001-10000万元</w:t>
            </w:r>
          </w:p>
        </w:tc>
        <w:tc>
          <w:tcPr>
            <w:tcW w:w="4252" w:type="dxa"/>
            <w:noWrap w:val="0"/>
            <w:vAlign w:val="center"/>
          </w:tcPr>
          <w:p w14:paraId="431E60F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p>
        </w:tc>
      </w:tr>
      <w:tr w14:paraId="3CA641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1AC04954">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10000万元以上</w:t>
            </w:r>
          </w:p>
        </w:tc>
        <w:tc>
          <w:tcPr>
            <w:tcW w:w="4252" w:type="dxa"/>
            <w:noWrap w:val="0"/>
            <w:vAlign w:val="center"/>
          </w:tcPr>
          <w:p w14:paraId="14ACEF4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1.8‰</w:t>
            </w:r>
          </w:p>
        </w:tc>
      </w:tr>
    </w:tbl>
    <w:p w14:paraId="5E643C6F">
      <w:pPr>
        <w:widowControl/>
        <w:spacing w:line="360" w:lineRule="auto"/>
        <w:rPr>
          <w:rFonts w:hint="eastAsia" w:ascii="仿宋" w:hAnsi="仿宋" w:eastAsia="仿宋" w:cs="仿宋"/>
          <w:b/>
          <w:bCs/>
          <w:color w:val="auto"/>
          <w:kern w:val="0"/>
          <w:sz w:val="24"/>
          <w:highlight w:val="none"/>
        </w:rPr>
      </w:pPr>
    </w:p>
    <w:p w14:paraId="45FE1283">
      <w:pPr>
        <w:widowControl/>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lang w:val="en-US" w:eastAsia="zh-CN"/>
        </w:rPr>
        <w:t>6</w:t>
      </w:r>
      <w:r>
        <w:rPr>
          <w:rFonts w:hint="eastAsia" w:ascii="仿宋" w:hAnsi="仿宋" w:eastAsia="仿宋" w:cs="仿宋"/>
          <w:b/>
          <w:bCs/>
          <w:color w:val="auto"/>
          <w:kern w:val="0"/>
          <w:sz w:val="24"/>
          <w:highlight w:val="none"/>
        </w:rPr>
        <w:t>、交货和提供服务的时间</w:t>
      </w:r>
    </w:p>
    <w:p w14:paraId="7E89C58B">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6</w:t>
      </w:r>
      <w:r>
        <w:rPr>
          <w:rFonts w:hint="eastAsia" w:ascii="仿宋" w:hAnsi="仿宋" w:eastAsia="仿宋" w:cs="仿宋"/>
          <w:color w:val="auto"/>
          <w:szCs w:val="24"/>
          <w:highlight w:val="none"/>
          <w:lang w:val="en-US"/>
        </w:rPr>
        <w:t>.1：各工程类、采购类、服务类（</w:t>
      </w:r>
      <w:r>
        <w:rPr>
          <w:rFonts w:hint="eastAsia" w:ascii="仿宋" w:hAnsi="仿宋" w:eastAsia="仿宋" w:cs="仿宋"/>
          <w:color w:val="auto"/>
          <w:szCs w:val="24"/>
          <w:highlight w:val="none"/>
          <w:lang w:val="en-US" w:eastAsia="zh-CN"/>
        </w:rPr>
        <w:t>包括政采云、政企云</w:t>
      </w:r>
      <w:r>
        <w:rPr>
          <w:rFonts w:hint="eastAsia" w:ascii="仿宋" w:hAnsi="仿宋" w:eastAsia="仿宋" w:cs="仿宋"/>
          <w:color w:val="auto"/>
          <w:szCs w:val="24"/>
          <w:highlight w:val="none"/>
          <w:lang w:val="en-US"/>
        </w:rPr>
        <w:t>）等项目的标底、招标文件编制（包括标底编制时材料价格的市场询价）、招投标流程操作（</w:t>
      </w:r>
      <w:r>
        <w:rPr>
          <w:rFonts w:hint="eastAsia" w:ascii="仿宋" w:hAnsi="仿宋" w:eastAsia="仿宋" w:cs="仿宋"/>
          <w:color w:val="auto"/>
          <w:szCs w:val="24"/>
          <w:highlight w:val="none"/>
          <w:lang w:val="en-US" w:eastAsia="zh-CN"/>
        </w:rPr>
        <w:t>包括政采云、政企云</w:t>
      </w:r>
      <w:r>
        <w:rPr>
          <w:rFonts w:hint="eastAsia" w:ascii="仿宋" w:hAnsi="仿宋" w:eastAsia="仿宋" w:cs="仿宋"/>
          <w:color w:val="auto"/>
          <w:szCs w:val="24"/>
          <w:highlight w:val="none"/>
          <w:lang w:val="en-US"/>
        </w:rPr>
        <w:t>）、中标单位商务标的复核及审定、标底中发现漏项缺项等差错的复核（若有）、招投标资料整理制作、上传等全过程招标代理服务。</w:t>
      </w:r>
    </w:p>
    <w:p w14:paraId="2FE5EFB0">
      <w:pPr>
        <w:pStyle w:val="22"/>
        <w:ind w:firstLine="480" w:firstLineChars="200"/>
        <w:rPr>
          <w:rFonts w:hint="eastAsia" w:ascii="仿宋" w:hAnsi="仿宋" w:eastAsia="仿宋" w:cs="仿宋"/>
          <w:color w:val="FF0000"/>
          <w:szCs w:val="24"/>
          <w:highlight w:val="none"/>
          <w:lang w:val="en-US"/>
        </w:rPr>
      </w:pPr>
      <w:r>
        <w:rPr>
          <w:rFonts w:hint="eastAsia" w:ascii="仿宋" w:hAnsi="仿宋" w:eastAsia="仿宋" w:cs="仿宋"/>
          <w:color w:val="FF0000"/>
          <w:szCs w:val="24"/>
          <w:highlight w:val="none"/>
          <w:lang w:val="en-US" w:eastAsia="zh-CN"/>
        </w:rPr>
        <w:t>6</w:t>
      </w:r>
      <w:r>
        <w:rPr>
          <w:rFonts w:hint="eastAsia" w:ascii="仿宋" w:hAnsi="仿宋" w:eastAsia="仿宋" w:cs="仿宋"/>
          <w:color w:val="FF0000"/>
          <w:szCs w:val="24"/>
          <w:highlight w:val="none"/>
          <w:lang w:val="en-US"/>
        </w:rPr>
        <w:t>.2标底编制(审核）时间按照业主要求。在接到业主通知</w:t>
      </w:r>
      <w:r>
        <w:rPr>
          <w:rFonts w:hint="eastAsia" w:ascii="仿宋" w:hAnsi="仿宋" w:eastAsia="仿宋" w:cs="仿宋"/>
          <w:color w:val="FF0000"/>
          <w:szCs w:val="24"/>
          <w:highlight w:val="none"/>
          <w:lang w:val="en-US" w:eastAsia="zh-CN"/>
        </w:rPr>
        <w:t>5</w:t>
      </w:r>
      <w:r>
        <w:rPr>
          <w:rFonts w:hint="eastAsia" w:ascii="仿宋" w:hAnsi="仿宋" w:eastAsia="仿宋" w:cs="仿宋"/>
          <w:color w:val="FF0000"/>
          <w:szCs w:val="24"/>
          <w:highlight w:val="none"/>
          <w:lang w:val="en-US"/>
        </w:rPr>
        <w:t>天内完成招标（采购）文件的编制。建设工程标底编制、标底审核全部完成合计时间在10天内（收到编标图纸开始计时起算）完成并出具报告，代理工作必须同步进行。从收到编标图纸日起算到开标日结束总计不得超过20天。</w:t>
      </w:r>
    </w:p>
    <w:p w14:paraId="4614D028">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6</w:t>
      </w:r>
      <w:r>
        <w:rPr>
          <w:rFonts w:hint="eastAsia" w:ascii="仿宋" w:hAnsi="仿宋" w:eastAsia="仿宋" w:cs="仿宋"/>
          <w:color w:val="auto"/>
          <w:szCs w:val="24"/>
          <w:highlight w:val="none"/>
          <w:lang w:val="en-US"/>
        </w:rPr>
        <w:t>.3项目招标工作在业主的牵头下，按招标投标法律法规和业主的要求，组织实施工程全程招标代理及造价咨询工作。招标代理工作包括招标（含招标进度计划）方案、公告、招标文件的拟定、招标答疑、开标评标、中标单位商务标复核及审定等；标底编制（含标底报审和提供钢筋翻样及预埋件重量计算书、汇总表及工程量清单计算稿和汇总表）、现场踏看及审核工作包括无价材料采价、报审等、标底中发现漏项缺项等差错的复核（若有）等并出具成果文件；负责做好有关编标、审标资料收集移交工作，其中至少制作招标代理资料（</w:t>
      </w:r>
      <w:r>
        <w:rPr>
          <w:rFonts w:hint="eastAsia" w:ascii="仿宋" w:hAnsi="仿宋" w:eastAsia="仿宋" w:cs="仿宋"/>
          <w:color w:val="auto"/>
          <w:sz w:val="24"/>
          <w:highlight w:val="none"/>
          <w:lang w:eastAsia="zh-CN"/>
        </w:rPr>
        <w:t>镇级招标代理资料</w:t>
      </w:r>
      <w:r>
        <w:rPr>
          <w:rFonts w:hint="eastAsia" w:ascii="仿宋" w:hAnsi="仿宋" w:eastAsia="仿宋" w:cs="仿宋"/>
          <w:color w:val="auto"/>
          <w:sz w:val="24"/>
          <w:highlight w:val="none"/>
          <w:lang w:val="en-US" w:eastAsia="zh-CN"/>
        </w:rPr>
        <w:t>5套，村级</w:t>
      </w:r>
      <w:r>
        <w:rPr>
          <w:rFonts w:hint="eastAsia" w:ascii="仿宋" w:hAnsi="仿宋" w:eastAsia="仿宋" w:cs="仿宋"/>
          <w:color w:val="auto"/>
          <w:sz w:val="24"/>
          <w:highlight w:val="none"/>
          <w:lang w:eastAsia="zh-CN"/>
        </w:rPr>
        <w:t>招标代理</w:t>
      </w:r>
      <w:r>
        <w:rPr>
          <w:rFonts w:hint="eastAsia" w:ascii="仿宋" w:hAnsi="仿宋" w:eastAsia="仿宋" w:cs="仿宋"/>
          <w:color w:val="auto"/>
          <w:sz w:val="24"/>
          <w:highlight w:val="none"/>
          <w:lang w:val="en-US" w:eastAsia="zh-CN"/>
        </w:rPr>
        <w:t>资料4套</w:t>
      </w:r>
      <w:r>
        <w:rPr>
          <w:rFonts w:hint="eastAsia" w:ascii="仿宋" w:hAnsi="仿宋" w:eastAsia="仿宋" w:cs="仿宋"/>
          <w:color w:val="auto"/>
          <w:szCs w:val="24"/>
          <w:highlight w:val="none"/>
          <w:lang w:val="en-US"/>
        </w:rPr>
        <w:t>）及电子档案；参与工程施工合同的拟定。</w:t>
      </w:r>
    </w:p>
    <w:p w14:paraId="62081A30">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6</w:t>
      </w:r>
      <w:r>
        <w:rPr>
          <w:rFonts w:hint="eastAsia" w:ascii="仿宋" w:hAnsi="仿宋" w:eastAsia="仿宋" w:cs="仿宋"/>
          <w:color w:val="auto"/>
          <w:szCs w:val="24"/>
          <w:highlight w:val="none"/>
          <w:lang w:val="en-US"/>
        </w:rPr>
        <w:t>.4</w:t>
      </w:r>
      <w:r>
        <w:rPr>
          <w:rFonts w:hint="eastAsia" w:ascii="仿宋" w:hAnsi="仿宋" w:eastAsia="仿宋" w:cs="仿宋"/>
          <w:color w:val="auto"/>
          <w:szCs w:val="24"/>
          <w:highlight w:val="none"/>
          <w:lang w:val="en-US" w:eastAsia="zh-CN"/>
        </w:rPr>
        <w:t>入围</w:t>
      </w:r>
      <w:r>
        <w:rPr>
          <w:rFonts w:hint="eastAsia" w:ascii="仿宋" w:hAnsi="仿宋" w:eastAsia="仿宋" w:cs="仿宋"/>
          <w:color w:val="auto"/>
          <w:szCs w:val="24"/>
          <w:highlight w:val="none"/>
          <w:lang w:val="en-US"/>
        </w:rPr>
        <w:t>单位要配备相应专业人员，为业主提供全方位咨询代办服务，做好业主的参谋，提出方案，克服在招标工作、合同签订过程中的困难；协助业主按市场竞争机制原则，合理选择参与投标的施工单位；遵循节约建设费用，控制工程造价，避免可能发生的超额费用支出的原则。</w:t>
      </w:r>
    </w:p>
    <w:p w14:paraId="6D0F01CA">
      <w:pPr>
        <w:pStyle w:val="22"/>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rPr>
        <w:t>▲</w:t>
      </w: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、违约责任及处罚措施：</w:t>
      </w:r>
    </w:p>
    <w:p w14:paraId="7E0C1671">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.1</w:t>
      </w:r>
      <w:r>
        <w:rPr>
          <w:rFonts w:hint="eastAsia" w:ascii="仿宋" w:hAnsi="仿宋" w:eastAsia="仿宋" w:cs="仿宋"/>
          <w:color w:val="auto"/>
          <w:szCs w:val="24"/>
          <w:highlight w:val="none"/>
          <w:lang w:val="en-US" w:eastAsia="zh-CN"/>
        </w:rPr>
        <w:t>入围</w:t>
      </w:r>
      <w:r>
        <w:rPr>
          <w:rFonts w:hint="eastAsia" w:ascii="仿宋" w:hAnsi="仿宋" w:eastAsia="仿宋" w:cs="仿宋"/>
          <w:color w:val="auto"/>
          <w:szCs w:val="24"/>
          <w:highlight w:val="none"/>
          <w:lang w:val="en-US"/>
        </w:rPr>
        <w:t>单位必须按业主制定的考核标准要求组织标底编制、招标代理、标底审核，如过程中出现延期、错误等情况，业主有权进行处罚，若在咨询服务中出现重大错误而引起纠纷，给业主带来损失的取消其在</w:t>
      </w:r>
      <w:r>
        <w:rPr>
          <w:rFonts w:hint="eastAsia" w:ascii="仿宋" w:hAnsi="仿宋" w:eastAsia="仿宋" w:cs="仿宋"/>
          <w:color w:val="auto"/>
          <w:szCs w:val="24"/>
          <w:highlight w:val="none"/>
          <w:lang w:val="en-US" w:eastAsia="zh-CN"/>
        </w:rPr>
        <w:t>平水镇范围内镇（村）</w:t>
      </w:r>
      <w:r>
        <w:rPr>
          <w:rFonts w:hint="eastAsia" w:ascii="仿宋" w:hAnsi="仿宋" w:eastAsia="仿宋" w:cs="仿宋"/>
          <w:color w:val="auto"/>
          <w:szCs w:val="24"/>
          <w:highlight w:val="none"/>
          <w:lang w:val="en-US"/>
        </w:rPr>
        <w:t>承接项目的资格，并报区公管办备案。代理单位需严格按照要求配置人员，如相关人员工作能力无法满足业主，业主有权要求更换相关人员，若更换超过2次，代理单位即停止承接本年度项目。若对工作人员因故调整，需经委托方确认；否则委托方有权处以罚款。</w:t>
      </w:r>
    </w:p>
    <w:p w14:paraId="0452D333">
      <w:pPr>
        <w:pStyle w:val="22"/>
        <w:ind w:firstLine="480" w:firstLineChars="200"/>
        <w:rPr>
          <w:rFonts w:hint="eastAsia" w:ascii="仿宋" w:hAnsi="仿宋" w:eastAsia="仿宋" w:cs="仿宋"/>
          <w:color w:val="FF0000"/>
          <w:szCs w:val="24"/>
          <w:highlight w:val="none"/>
          <w:lang w:val="en-US"/>
        </w:rPr>
      </w:pPr>
      <w:r>
        <w:rPr>
          <w:rFonts w:hint="eastAsia" w:ascii="仿宋" w:hAnsi="仿宋" w:eastAsia="仿宋" w:cs="仿宋"/>
          <w:color w:val="FF0000"/>
          <w:szCs w:val="24"/>
          <w:highlight w:val="none"/>
          <w:lang w:val="en-US" w:eastAsia="zh-CN"/>
        </w:rPr>
        <w:t>7</w:t>
      </w:r>
      <w:r>
        <w:rPr>
          <w:rFonts w:hint="eastAsia" w:ascii="仿宋" w:hAnsi="仿宋" w:eastAsia="仿宋" w:cs="仿宋"/>
          <w:color w:val="FF0000"/>
          <w:szCs w:val="24"/>
          <w:highlight w:val="none"/>
          <w:lang w:val="en-US"/>
        </w:rPr>
        <w:t>.2预算编制、询价时间：业主提供给</w:t>
      </w:r>
      <w:r>
        <w:rPr>
          <w:rFonts w:hint="eastAsia" w:ascii="仿宋" w:hAnsi="仿宋" w:eastAsia="仿宋" w:cs="仿宋"/>
          <w:color w:val="FF0000"/>
          <w:szCs w:val="24"/>
          <w:highlight w:val="none"/>
          <w:lang w:val="en-US" w:eastAsia="zh-CN"/>
        </w:rPr>
        <w:t>入围</w:t>
      </w:r>
      <w:r>
        <w:rPr>
          <w:rFonts w:hint="eastAsia" w:ascii="仿宋" w:hAnsi="仿宋" w:eastAsia="仿宋" w:cs="仿宋"/>
          <w:color w:val="FF0000"/>
          <w:szCs w:val="24"/>
          <w:highlight w:val="none"/>
          <w:lang w:val="en-US"/>
        </w:rPr>
        <w:t>单位施工图纸及图审文件后，</w:t>
      </w:r>
      <w:r>
        <w:rPr>
          <w:rFonts w:hint="eastAsia" w:ascii="仿宋" w:hAnsi="仿宋" w:eastAsia="仿宋" w:cs="仿宋"/>
          <w:color w:val="FF0000"/>
          <w:szCs w:val="24"/>
          <w:highlight w:val="none"/>
          <w:lang w:val="en-US" w:eastAsia="zh-CN"/>
        </w:rPr>
        <w:t>入围</w:t>
      </w:r>
      <w:r>
        <w:rPr>
          <w:rFonts w:hint="eastAsia" w:ascii="仿宋" w:hAnsi="仿宋" w:eastAsia="仿宋" w:cs="仿宋"/>
          <w:color w:val="FF0000"/>
          <w:szCs w:val="24"/>
          <w:highlight w:val="none"/>
          <w:lang w:val="en-US"/>
        </w:rPr>
        <w:t>单位按以下时间完成工作：限额以下工程类项目预算编制</w:t>
      </w:r>
      <w:r>
        <w:rPr>
          <w:rFonts w:hint="eastAsia" w:ascii="仿宋" w:hAnsi="仿宋" w:eastAsia="仿宋" w:cs="仿宋"/>
          <w:color w:val="FF0000"/>
          <w:szCs w:val="24"/>
          <w:highlight w:val="none"/>
          <w:lang w:val="en-US" w:eastAsia="zh-CN"/>
        </w:rPr>
        <w:t>五</w:t>
      </w:r>
      <w:r>
        <w:rPr>
          <w:rFonts w:hint="eastAsia" w:ascii="仿宋" w:hAnsi="仿宋" w:eastAsia="仿宋" w:cs="仿宋"/>
          <w:color w:val="FF0000"/>
          <w:szCs w:val="24"/>
          <w:highlight w:val="none"/>
          <w:lang w:val="en-US"/>
        </w:rPr>
        <w:t>天内完成、限额以下采购、服务类项目询价</w:t>
      </w:r>
      <w:r>
        <w:rPr>
          <w:rFonts w:hint="eastAsia" w:ascii="仿宋" w:hAnsi="仿宋" w:eastAsia="仿宋" w:cs="仿宋"/>
          <w:color w:val="FF0000"/>
          <w:szCs w:val="24"/>
          <w:highlight w:val="none"/>
          <w:lang w:val="en-US" w:eastAsia="zh-CN"/>
        </w:rPr>
        <w:t>三</w:t>
      </w:r>
      <w:r>
        <w:rPr>
          <w:rFonts w:hint="eastAsia" w:ascii="仿宋" w:hAnsi="仿宋" w:eastAsia="仿宋" w:cs="仿宋"/>
          <w:color w:val="FF0000"/>
          <w:szCs w:val="24"/>
          <w:highlight w:val="none"/>
          <w:lang w:val="en-US"/>
        </w:rPr>
        <w:t>天内完成；限额以上工程类项目预算编制</w:t>
      </w:r>
      <w:r>
        <w:rPr>
          <w:rFonts w:hint="eastAsia" w:ascii="仿宋" w:hAnsi="仿宋" w:eastAsia="仿宋" w:cs="仿宋"/>
          <w:color w:val="FF0000"/>
          <w:szCs w:val="24"/>
          <w:highlight w:val="none"/>
          <w:lang w:val="en-US" w:eastAsia="zh-CN"/>
        </w:rPr>
        <w:t>十</w:t>
      </w:r>
      <w:r>
        <w:rPr>
          <w:rFonts w:hint="eastAsia" w:ascii="仿宋" w:hAnsi="仿宋" w:eastAsia="仿宋" w:cs="仿宋"/>
          <w:color w:val="FF0000"/>
          <w:szCs w:val="24"/>
          <w:highlight w:val="none"/>
          <w:lang w:val="en-US"/>
        </w:rPr>
        <w:t>天内完成、限额以上采购、服务类项目询价五天内完成。未在规定时间未能完成预算编制工作的，每延迟一天扣1000元。（注：如遇项目较大、情况较复杂，经业主确认合理时间后，按业主规定的时间执行）。</w:t>
      </w:r>
    </w:p>
    <w:p w14:paraId="4D559998">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3工程类在完成标底，采购、服务类等完成询价经业主确认后，需根据业主指令在网上发布公告或进区财政、区公管办办理相关手续，每延迟一天扣1000元；招标文件初稿需在标底、询价完成后两天内编制完成，每延迟一天扣1000元。</w:t>
      </w:r>
    </w:p>
    <w:p w14:paraId="70278A0C">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.4开标完成后</w:t>
      </w:r>
      <w:r>
        <w:rPr>
          <w:rFonts w:hint="eastAsia" w:ascii="仿宋" w:hAnsi="仿宋" w:eastAsia="仿宋" w:cs="仿宋"/>
          <w:color w:val="auto"/>
          <w:szCs w:val="24"/>
          <w:highlight w:val="none"/>
          <w:lang w:val="en-US" w:eastAsia="zh-CN"/>
        </w:rPr>
        <w:t>3</w:t>
      </w:r>
      <w:r>
        <w:rPr>
          <w:rFonts w:hint="eastAsia" w:ascii="仿宋" w:hAnsi="仿宋" w:eastAsia="仿宋" w:cs="仿宋"/>
          <w:color w:val="auto"/>
          <w:szCs w:val="24"/>
          <w:highlight w:val="none"/>
          <w:lang w:val="en-US"/>
        </w:rPr>
        <w:t>0天内提交业主招投标档案资料及完成网上资料上传（合同除外），每延迟一天扣1000元。</w:t>
      </w:r>
    </w:p>
    <w:p w14:paraId="0A9821C3">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.5抽签入围、开标等现场必须保证至少两位工作人员（代理项目负责人必须到场、工作人员需持证上岗）到场，如发现人员不到位，每发现一次扣1000元。</w:t>
      </w:r>
    </w:p>
    <w:p w14:paraId="5B52D50F">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.6如标底编制、公告起草、招标文件起草、资格审核、开标、中标公示、中标通知书发放等代理服务过程中出现错误，业主根据严重程度扣1000-5000元。</w:t>
      </w:r>
    </w:p>
    <w:p w14:paraId="2EDFC0D2">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.7网上操作出现亮灯督办等情况，业主根据严重程度每发生一次扣2000-5000元。</w:t>
      </w:r>
    </w:p>
    <w:p w14:paraId="21ACFF17">
      <w:pPr>
        <w:pStyle w:val="22"/>
        <w:ind w:firstLine="480" w:firstLineChars="200"/>
        <w:rPr>
          <w:rFonts w:hint="eastAsia" w:ascii="仿宋" w:hAnsi="仿宋" w:eastAsia="仿宋" w:cs="仿宋"/>
          <w:color w:val="FF0000"/>
          <w:szCs w:val="24"/>
          <w:highlight w:val="none"/>
          <w:lang w:val="en-US"/>
        </w:rPr>
      </w:pPr>
      <w:r>
        <w:rPr>
          <w:rFonts w:hint="eastAsia" w:ascii="仿宋" w:hAnsi="仿宋" w:eastAsia="仿宋" w:cs="仿宋"/>
          <w:color w:val="FF0000"/>
          <w:szCs w:val="24"/>
          <w:highlight w:val="none"/>
          <w:lang w:val="en-US" w:eastAsia="zh-CN"/>
        </w:rPr>
        <w:t>7</w:t>
      </w:r>
      <w:r>
        <w:rPr>
          <w:rFonts w:hint="eastAsia" w:ascii="仿宋" w:hAnsi="仿宋" w:eastAsia="仿宋" w:cs="仿宋"/>
          <w:color w:val="FF0000"/>
          <w:szCs w:val="24"/>
          <w:highlight w:val="none"/>
          <w:lang w:val="en-US"/>
        </w:rPr>
        <w:t>.8不进入区公管办招标项目的标底审核需在收到预算标底及图纸送达后</w:t>
      </w:r>
      <w:r>
        <w:rPr>
          <w:rFonts w:hint="eastAsia" w:ascii="仿宋" w:hAnsi="仿宋" w:eastAsia="仿宋" w:cs="仿宋"/>
          <w:color w:val="FF0000"/>
          <w:szCs w:val="24"/>
          <w:highlight w:val="none"/>
          <w:lang w:val="en-US" w:eastAsia="zh-CN"/>
        </w:rPr>
        <w:t>三</w:t>
      </w:r>
      <w:r>
        <w:rPr>
          <w:rFonts w:hint="eastAsia" w:ascii="仿宋" w:hAnsi="仿宋" w:eastAsia="仿宋" w:cs="仿宋"/>
          <w:color w:val="FF0000"/>
          <w:szCs w:val="24"/>
          <w:highlight w:val="none"/>
          <w:lang w:val="en-US"/>
        </w:rPr>
        <w:t>天内完成标底审核工作，每延迟一天扣1000元。</w:t>
      </w:r>
    </w:p>
    <w:p w14:paraId="54587998">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9（1）因工程标底编制出现明显错误、漏项或工程量计算差错、综合单价明显计算错误，编制误差大于标底1%的，扣工程标底编制费用的20%；编制误差在2.5%以上，扣工程标底编制费用的30%；编制误差超过5%的，扣工程标底编制费用的50%；（2）工程标底材料定价与市场实际价差距较大（差额绝对值大于10%）的，每发生一项，处以2000元的罚款。（3）由于标底编制较大错误导致业主招标失败或者遭到投诉，将扣除本次编标费用的50%，且不退换保证金。（4）因代理机构原因引起招标投诉或重新招标的，将扣除本次招标代理服务费的50%。（5）由于代理单位原因导致业主被区公共资源交易中心年度考核扣分、招标失败等造成业主损失的，业主将实行一票否决制，年底总代理费用结算打七折，并在三年内不得参加业主的代理项目投标。</w:t>
      </w:r>
    </w:p>
    <w:p w14:paraId="637FB5DF">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.10</w:t>
      </w:r>
      <w:r>
        <w:rPr>
          <w:rFonts w:hint="eastAsia" w:ascii="仿宋" w:hAnsi="仿宋" w:eastAsia="仿宋" w:cs="仿宋"/>
          <w:color w:val="auto"/>
          <w:szCs w:val="24"/>
          <w:highlight w:val="none"/>
          <w:lang w:val="en-US" w:eastAsia="zh-CN"/>
        </w:rPr>
        <w:t>入围</w:t>
      </w:r>
      <w:r>
        <w:rPr>
          <w:rFonts w:hint="eastAsia" w:ascii="仿宋" w:hAnsi="仿宋" w:eastAsia="仿宋" w:cs="仿宋"/>
          <w:color w:val="auto"/>
          <w:szCs w:val="24"/>
          <w:highlight w:val="none"/>
          <w:lang w:val="en-US"/>
        </w:rPr>
        <w:t>单位被扣款次数累计达到3次，业主有权中止合同，由于业主原因导致无法按规定完成的经业主确认后可以不被处罚。</w:t>
      </w:r>
    </w:p>
    <w:p w14:paraId="32BFCABE">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11投标方应当保质守时完成服务任务并出具正式报告，并对该报告的真实性、完整性、合法性负责。对未按规定执行或出现服务不当行为的（包括投标方未尽义务或侵害招标方权利），招标方有权按本招标文件、中华人民共和国</w:t>
      </w:r>
      <w:r>
        <w:rPr>
          <w:rFonts w:hint="eastAsia" w:ascii="仿宋" w:hAnsi="仿宋" w:eastAsia="仿宋" w:cs="仿宋"/>
          <w:color w:val="auto"/>
          <w:szCs w:val="24"/>
          <w:highlight w:val="none"/>
          <w:lang w:val="en-US" w:eastAsia="zh-CN"/>
        </w:rPr>
        <w:t>民法典</w:t>
      </w:r>
      <w:r>
        <w:rPr>
          <w:rFonts w:hint="eastAsia" w:ascii="仿宋" w:hAnsi="仿宋" w:eastAsia="仿宋" w:cs="仿宋"/>
          <w:color w:val="auto"/>
          <w:szCs w:val="24"/>
          <w:highlight w:val="none"/>
          <w:lang w:val="en-US"/>
        </w:rPr>
        <w:t>、政府及其部门有关规定处理。</w:t>
      </w:r>
    </w:p>
    <w:p w14:paraId="041C9DD1">
      <w:pPr>
        <w:pStyle w:val="22"/>
        <w:ind w:firstLine="480" w:firstLineChars="20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eastAsia="zh-CN"/>
        </w:rPr>
        <w:t>7</w:t>
      </w:r>
      <w:r>
        <w:rPr>
          <w:rFonts w:hint="eastAsia" w:ascii="仿宋" w:hAnsi="仿宋" w:eastAsia="仿宋" w:cs="仿宋"/>
          <w:color w:val="auto"/>
          <w:szCs w:val="24"/>
          <w:highlight w:val="none"/>
          <w:lang w:val="en-US"/>
        </w:rPr>
        <w:t>.12违约责任及处罚措施包含且不仅仅包含以上内容，最终解释权属于业主。</w:t>
      </w:r>
    </w:p>
    <w:p w14:paraId="58890C59">
      <w:pPr>
        <w:snapToGrid w:val="0"/>
        <w:spacing w:line="360" w:lineRule="auto"/>
        <w:ind w:firstLine="482" w:firstLineChars="200"/>
        <w:jc w:val="left"/>
        <w:rPr>
          <w:rFonts w:hint="eastAsia" w:ascii="仿宋" w:hAnsi="仿宋" w:eastAsia="仿宋" w:cs="仿宋"/>
          <w:b/>
          <w:color w:val="auto"/>
          <w:sz w:val="36"/>
          <w:szCs w:val="36"/>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z w:val="24"/>
          <w:highlight w:val="none"/>
        </w:rPr>
        <w:t xml:space="preserve">                </w:t>
      </w:r>
      <w:r>
        <w:rPr>
          <w:rFonts w:hint="eastAsia" w:ascii="仿宋" w:hAnsi="仿宋" w:eastAsia="仿宋" w:cs="仿宋"/>
          <w:b/>
          <w:color w:val="auto"/>
          <w:sz w:val="36"/>
          <w:szCs w:val="36"/>
          <w:highlight w:val="none"/>
        </w:rPr>
        <w:t xml:space="preserve">第四部分   </w:t>
      </w:r>
      <w:bookmarkStart w:id="63" w:name="_Toc184310307"/>
      <w:bookmarkEnd w:id="63"/>
      <w:bookmarkStart w:id="64" w:name="_Toc184308091"/>
      <w:bookmarkEnd w:id="64"/>
      <w:bookmarkStart w:id="65" w:name="_Toc184314431"/>
      <w:bookmarkEnd w:id="65"/>
      <w:bookmarkStart w:id="66" w:name="_Toc184313286"/>
      <w:bookmarkEnd w:id="66"/>
      <w:bookmarkStart w:id="67" w:name="_Toc184313250"/>
      <w:bookmarkEnd w:id="67"/>
      <w:bookmarkStart w:id="68" w:name="_Toc184312126"/>
      <w:bookmarkEnd w:id="68"/>
      <w:bookmarkStart w:id="69" w:name="_Toc184308047"/>
      <w:bookmarkEnd w:id="69"/>
      <w:bookmarkStart w:id="70" w:name="_Toc184314476"/>
      <w:bookmarkEnd w:id="70"/>
      <w:bookmarkStart w:id="71" w:name="_Toc184308089"/>
      <w:bookmarkEnd w:id="71"/>
      <w:bookmarkStart w:id="72" w:name="_Toc184314468"/>
      <w:bookmarkEnd w:id="72"/>
      <w:bookmarkStart w:id="73" w:name="_Toc184312096"/>
      <w:bookmarkEnd w:id="73"/>
      <w:bookmarkStart w:id="74" w:name="_Toc184312130"/>
      <w:bookmarkEnd w:id="74"/>
      <w:bookmarkStart w:id="75" w:name="_Toc184312093"/>
      <w:bookmarkEnd w:id="75"/>
      <w:bookmarkStart w:id="76" w:name="_Toc184310341"/>
      <w:bookmarkEnd w:id="76"/>
      <w:bookmarkStart w:id="77" w:name="_Toc184313288"/>
      <w:bookmarkEnd w:id="77"/>
      <w:bookmarkStart w:id="78" w:name="_Toc184313258"/>
      <w:bookmarkEnd w:id="78"/>
      <w:bookmarkStart w:id="79" w:name="_Toc184312071"/>
      <w:bookmarkEnd w:id="79"/>
      <w:bookmarkStart w:id="80" w:name="_Toc184308041"/>
      <w:bookmarkEnd w:id="80"/>
      <w:bookmarkStart w:id="81" w:name="_Toc184314482"/>
      <w:bookmarkEnd w:id="81"/>
      <w:bookmarkStart w:id="82" w:name="_Toc184308039"/>
      <w:bookmarkEnd w:id="82"/>
      <w:bookmarkStart w:id="83" w:name="_Toc184308079"/>
      <w:bookmarkEnd w:id="83"/>
      <w:bookmarkStart w:id="84" w:name="_Toc184312115"/>
      <w:bookmarkEnd w:id="84"/>
      <w:bookmarkStart w:id="85" w:name="_Toc184314445"/>
      <w:bookmarkEnd w:id="85"/>
      <w:bookmarkStart w:id="86" w:name="_Toc184313291"/>
      <w:bookmarkEnd w:id="86"/>
      <w:bookmarkStart w:id="87" w:name="_Toc184313296"/>
      <w:bookmarkEnd w:id="87"/>
      <w:bookmarkStart w:id="88" w:name="_Toc184314452"/>
      <w:bookmarkEnd w:id="88"/>
      <w:bookmarkStart w:id="89" w:name="_Toc184314437"/>
      <w:bookmarkEnd w:id="89"/>
      <w:bookmarkStart w:id="90" w:name="_Toc184313276"/>
      <w:bookmarkEnd w:id="90"/>
      <w:bookmarkStart w:id="91" w:name="_Toc184313240"/>
      <w:bookmarkEnd w:id="91"/>
      <w:bookmarkStart w:id="92" w:name="_Toc184313301"/>
      <w:bookmarkEnd w:id="92"/>
      <w:bookmarkStart w:id="93" w:name="_Toc184310336"/>
      <w:bookmarkEnd w:id="93"/>
      <w:bookmarkStart w:id="94" w:name="_Toc184308108"/>
      <w:bookmarkEnd w:id="94"/>
      <w:bookmarkStart w:id="95" w:name="_Toc184308038"/>
      <w:bookmarkEnd w:id="95"/>
      <w:bookmarkStart w:id="96" w:name="_Toc184312087"/>
      <w:bookmarkEnd w:id="96"/>
      <w:bookmarkStart w:id="97" w:name="_Toc184314447"/>
      <w:bookmarkEnd w:id="97"/>
      <w:bookmarkStart w:id="98" w:name="_Toc184313267"/>
      <w:bookmarkEnd w:id="98"/>
      <w:bookmarkStart w:id="99" w:name="_Toc184308104"/>
      <w:bookmarkEnd w:id="99"/>
      <w:bookmarkStart w:id="100" w:name="_Toc184313275"/>
      <w:bookmarkEnd w:id="100"/>
      <w:bookmarkStart w:id="101" w:name="_Toc184308066"/>
      <w:bookmarkEnd w:id="101"/>
      <w:bookmarkStart w:id="102" w:name="_Toc184308083"/>
      <w:bookmarkEnd w:id="102"/>
      <w:bookmarkStart w:id="103" w:name="_Toc184314451"/>
      <w:bookmarkEnd w:id="103"/>
      <w:bookmarkStart w:id="104" w:name="_Toc184312116"/>
      <w:bookmarkEnd w:id="104"/>
      <w:bookmarkStart w:id="105" w:name="_Toc184312068"/>
      <w:bookmarkEnd w:id="105"/>
      <w:bookmarkStart w:id="106" w:name="_Toc184312125"/>
      <w:bookmarkEnd w:id="106"/>
      <w:bookmarkStart w:id="107" w:name="_Toc184308053"/>
      <w:bookmarkEnd w:id="107"/>
      <w:bookmarkStart w:id="108" w:name="_Toc184310313"/>
      <w:bookmarkEnd w:id="108"/>
      <w:bookmarkStart w:id="109" w:name="_Toc184310338"/>
      <w:bookmarkEnd w:id="109"/>
      <w:bookmarkStart w:id="110" w:name="_Toc184314442"/>
      <w:bookmarkEnd w:id="110"/>
      <w:bookmarkStart w:id="111" w:name="_Toc184314414"/>
      <w:bookmarkEnd w:id="111"/>
      <w:bookmarkStart w:id="112" w:name="_Toc184312111"/>
      <w:bookmarkEnd w:id="112"/>
      <w:bookmarkStart w:id="113" w:name="_Toc184313273"/>
      <w:bookmarkEnd w:id="113"/>
      <w:bookmarkStart w:id="114" w:name="_Toc184308092"/>
      <w:bookmarkEnd w:id="114"/>
      <w:bookmarkStart w:id="115" w:name="_Toc184312136"/>
      <w:bookmarkEnd w:id="115"/>
      <w:bookmarkStart w:id="116" w:name="_Toc184313308"/>
      <w:bookmarkEnd w:id="116"/>
      <w:bookmarkStart w:id="117" w:name="_Toc184310277"/>
      <w:bookmarkEnd w:id="117"/>
      <w:bookmarkStart w:id="118" w:name="_Toc184313253"/>
      <w:bookmarkEnd w:id="118"/>
      <w:bookmarkStart w:id="119" w:name="_Toc184313242"/>
      <w:bookmarkEnd w:id="119"/>
      <w:bookmarkStart w:id="120" w:name="_Toc184310324"/>
      <w:bookmarkEnd w:id="120"/>
      <w:bookmarkStart w:id="121" w:name="_Toc184314432"/>
      <w:bookmarkEnd w:id="121"/>
      <w:bookmarkStart w:id="122" w:name="_Toc184308088"/>
      <w:bookmarkEnd w:id="122"/>
      <w:bookmarkStart w:id="123" w:name="_Toc184313309"/>
      <w:bookmarkEnd w:id="123"/>
      <w:bookmarkStart w:id="124" w:name="_Toc184313292"/>
      <w:bookmarkEnd w:id="124"/>
      <w:bookmarkStart w:id="125" w:name="_Toc184310288"/>
      <w:bookmarkEnd w:id="125"/>
      <w:bookmarkStart w:id="126" w:name="_Toc184314478"/>
      <w:bookmarkEnd w:id="126"/>
      <w:bookmarkStart w:id="127" w:name="_Toc184313252"/>
      <w:bookmarkEnd w:id="127"/>
      <w:bookmarkStart w:id="128" w:name="_Toc184308082"/>
      <w:bookmarkEnd w:id="128"/>
      <w:bookmarkStart w:id="129" w:name="_Toc184312092"/>
      <w:bookmarkEnd w:id="129"/>
      <w:bookmarkStart w:id="130" w:name="_Toc184313239"/>
      <w:bookmarkEnd w:id="130"/>
      <w:bookmarkStart w:id="131" w:name="_Toc184313300"/>
      <w:bookmarkEnd w:id="131"/>
      <w:bookmarkStart w:id="132" w:name="_Toc184314419"/>
      <w:bookmarkEnd w:id="132"/>
      <w:bookmarkStart w:id="133" w:name="_Toc184308100"/>
      <w:bookmarkEnd w:id="133"/>
      <w:bookmarkStart w:id="134" w:name="_Toc184310296"/>
      <w:bookmarkEnd w:id="134"/>
      <w:bookmarkStart w:id="135" w:name="_Toc184308086"/>
      <w:bookmarkEnd w:id="135"/>
      <w:bookmarkStart w:id="136" w:name="_Toc184310312"/>
      <w:bookmarkEnd w:id="136"/>
      <w:bookmarkStart w:id="137" w:name="_Toc184312138"/>
      <w:bookmarkEnd w:id="137"/>
      <w:bookmarkStart w:id="138" w:name="_Toc184313262"/>
      <w:bookmarkEnd w:id="138"/>
      <w:bookmarkStart w:id="139" w:name="_Toc184312069"/>
      <w:bookmarkEnd w:id="139"/>
      <w:bookmarkStart w:id="140" w:name="_Toc184313245"/>
      <w:bookmarkEnd w:id="140"/>
      <w:bookmarkStart w:id="141" w:name="_Toc184314477"/>
      <w:bookmarkEnd w:id="141"/>
      <w:bookmarkStart w:id="142" w:name="_Toc184310306"/>
      <w:bookmarkEnd w:id="142"/>
      <w:bookmarkStart w:id="143" w:name="_Toc184313274"/>
      <w:bookmarkEnd w:id="143"/>
      <w:bookmarkStart w:id="144" w:name="_Toc184310323"/>
      <w:bookmarkEnd w:id="144"/>
      <w:bookmarkStart w:id="145" w:name="_Toc184314457"/>
      <w:bookmarkEnd w:id="145"/>
      <w:bookmarkStart w:id="146" w:name="_Toc184312124"/>
      <w:bookmarkEnd w:id="146"/>
      <w:bookmarkStart w:id="147" w:name="_Toc184314411"/>
      <w:bookmarkEnd w:id="147"/>
      <w:bookmarkStart w:id="148" w:name="_Toc184310291"/>
      <w:bookmarkEnd w:id="148"/>
      <w:bookmarkStart w:id="149" w:name="_Toc184314463"/>
      <w:bookmarkEnd w:id="149"/>
      <w:bookmarkStart w:id="150" w:name="_Toc184314479"/>
      <w:bookmarkEnd w:id="150"/>
      <w:bookmarkStart w:id="151" w:name="_Toc184314422"/>
      <w:bookmarkEnd w:id="151"/>
      <w:bookmarkStart w:id="152" w:name="_Toc184314438"/>
      <w:bookmarkEnd w:id="152"/>
      <w:bookmarkStart w:id="153" w:name="_Toc184310283"/>
      <w:bookmarkEnd w:id="153"/>
      <w:bookmarkStart w:id="154" w:name="_Toc184310287"/>
      <w:bookmarkEnd w:id="154"/>
      <w:bookmarkStart w:id="155" w:name="_Toc184310327"/>
      <w:bookmarkEnd w:id="155"/>
      <w:bookmarkStart w:id="156" w:name="_Toc184310305"/>
      <w:bookmarkEnd w:id="156"/>
      <w:bookmarkStart w:id="157" w:name="_Toc184308095"/>
      <w:bookmarkEnd w:id="157"/>
      <w:bookmarkStart w:id="158" w:name="_Toc184312132"/>
      <w:bookmarkEnd w:id="158"/>
      <w:bookmarkStart w:id="159" w:name="_Toc184314450"/>
      <w:bookmarkEnd w:id="159"/>
      <w:bookmarkStart w:id="160" w:name="_Toc184310325"/>
      <w:bookmarkEnd w:id="160"/>
      <w:bookmarkStart w:id="161" w:name="_Toc184314410"/>
      <w:bookmarkEnd w:id="161"/>
      <w:bookmarkStart w:id="162" w:name="_Toc184314427"/>
      <w:bookmarkEnd w:id="162"/>
      <w:bookmarkStart w:id="163" w:name="_Toc184312105"/>
      <w:bookmarkEnd w:id="163"/>
      <w:bookmarkStart w:id="164" w:name="_Toc184308056"/>
      <w:bookmarkEnd w:id="164"/>
      <w:bookmarkStart w:id="165" w:name="_Toc184314459"/>
      <w:bookmarkEnd w:id="165"/>
      <w:bookmarkStart w:id="166" w:name="_Toc184308081"/>
      <w:bookmarkEnd w:id="166"/>
      <w:bookmarkStart w:id="167" w:name="_Toc184313297"/>
      <w:bookmarkEnd w:id="167"/>
      <w:bookmarkStart w:id="168" w:name="_Toc184314465"/>
      <w:bookmarkEnd w:id="168"/>
      <w:bookmarkStart w:id="169" w:name="_Toc184312135"/>
      <w:bookmarkEnd w:id="169"/>
      <w:bookmarkStart w:id="170" w:name="_Toc184314424"/>
      <w:bookmarkEnd w:id="170"/>
      <w:bookmarkStart w:id="171" w:name="_Toc184314440"/>
      <w:bookmarkEnd w:id="171"/>
      <w:bookmarkStart w:id="172" w:name="_Toc184308096"/>
      <w:bookmarkEnd w:id="172"/>
      <w:bookmarkStart w:id="173" w:name="_Toc184313303"/>
      <w:bookmarkEnd w:id="173"/>
      <w:bookmarkStart w:id="174" w:name="_Toc184312076"/>
      <w:bookmarkEnd w:id="174"/>
      <w:bookmarkStart w:id="175" w:name="_Toc184314441"/>
      <w:bookmarkEnd w:id="175"/>
      <w:bookmarkStart w:id="176" w:name="_Toc184308065"/>
      <w:bookmarkEnd w:id="176"/>
      <w:bookmarkStart w:id="177" w:name="_Toc184312114"/>
      <w:bookmarkEnd w:id="177"/>
      <w:bookmarkStart w:id="178" w:name="_Toc184314481"/>
      <w:bookmarkEnd w:id="178"/>
      <w:bookmarkStart w:id="179" w:name="_Toc184313243"/>
      <w:bookmarkEnd w:id="179"/>
      <w:bookmarkStart w:id="180" w:name="_Toc184310332"/>
      <w:bookmarkEnd w:id="180"/>
      <w:bookmarkStart w:id="181" w:name="_Toc184310314"/>
      <w:bookmarkEnd w:id="181"/>
      <w:bookmarkStart w:id="182" w:name="_Toc184312080"/>
      <w:bookmarkEnd w:id="182"/>
      <w:bookmarkStart w:id="183" w:name="_Toc184310330"/>
      <w:bookmarkEnd w:id="183"/>
      <w:bookmarkStart w:id="184" w:name="_Toc184313299"/>
      <w:bookmarkEnd w:id="184"/>
      <w:bookmarkStart w:id="185" w:name="_Toc184308040"/>
      <w:bookmarkEnd w:id="185"/>
      <w:bookmarkStart w:id="186" w:name="_Toc184314460"/>
      <w:bookmarkEnd w:id="186"/>
      <w:bookmarkStart w:id="187" w:name="_Toc184312083"/>
      <w:bookmarkEnd w:id="187"/>
      <w:bookmarkStart w:id="188" w:name="_Toc184314469"/>
      <w:bookmarkEnd w:id="188"/>
      <w:bookmarkStart w:id="189" w:name="_Toc184310289"/>
      <w:bookmarkEnd w:id="189"/>
      <w:bookmarkStart w:id="190" w:name="_Toc184313254"/>
      <w:bookmarkEnd w:id="190"/>
      <w:bookmarkStart w:id="191" w:name="_Toc184314449"/>
      <w:bookmarkEnd w:id="191"/>
      <w:bookmarkStart w:id="192" w:name="_Toc184308050"/>
      <w:bookmarkEnd w:id="192"/>
      <w:bookmarkStart w:id="193" w:name="_Toc184313256"/>
      <w:bookmarkEnd w:id="193"/>
      <w:bookmarkStart w:id="194" w:name="_Toc184314418"/>
      <w:bookmarkEnd w:id="194"/>
      <w:bookmarkStart w:id="195" w:name="_Toc184310320"/>
      <w:bookmarkEnd w:id="195"/>
      <w:bookmarkStart w:id="196" w:name="_Toc184308106"/>
      <w:bookmarkEnd w:id="196"/>
      <w:bookmarkStart w:id="197" w:name="_Toc184308105"/>
      <w:bookmarkEnd w:id="197"/>
      <w:bookmarkStart w:id="198" w:name="_Toc184310276"/>
      <w:bookmarkEnd w:id="198"/>
      <w:bookmarkStart w:id="199" w:name="_Toc184310304"/>
      <w:bookmarkEnd w:id="199"/>
      <w:bookmarkStart w:id="200" w:name="_Toc184312086"/>
      <w:bookmarkEnd w:id="200"/>
      <w:bookmarkStart w:id="201" w:name="_Toc184310343"/>
      <w:bookmarkEnd w:id="201"/>
      <w:bookmarkStart w:id="202" w:name="_Toc184314435"/>
      <w:bookmarkEnd w:id="202"/>
      <w:bookmarkStart w:id="203" w:name="_Toc184313298"/>
      <w:bookmarkEnd w:id="203"/>
      <w:bookmarkStart w:id="204" w:name="_Toc184314416"/>
      <w:bookmarkEnd w:id="204"/>
      <w:bookmarkStart w:id="205" w:name="_Toc184314458"/>
      <w:bookmarkEnd w:id="205"/>
      <w:bookmarkStart w:id="206" w:name="_Toc184308075"/>
      <w:bookmarkEnd w:id="206"/>
      <w:bookmarkStart w:id="207" w:name="_Toc184310344"/>
      <w:bookmarkEnd w:id="207"/>
      <w:bookmarkStart w:id="208" w:name="_Toc184308068"/>
      <w:bookmarkEnd w:id="208"/>
      <w:bookmarkStart w:id="209" w:name="_Toc184312082"/>
      <w:bookmarkEnd w:id="209"/>
      <w:bookmarkStart w:id="210" w:name="_Toc184308059"/>
      <w:bookmarkEnd w:id="210"/>
      <w:bookmarkStart w:id="211" w:name="_Toc184313287"/>
      <w:bookmarkEnd w:id="211"/>
      <w:bookmarkStart w:id="212" w:name="_Toc184314423"/>
      <w:bookmarkEnd w:id="212"/>
      <w:bookmarkStart w:id="213" w:name="_Toc184310334"/>
      <w:bookmarkEnd w:id="213"/>
      <w:bookmarkStart w:id="214" w:name="_Toc184310301"/>
      <w:bookmarkEnd w:id="214"/>
      <w:bookmarkStart w:id="215" w:name="_Toc184308072"/>
      <w:bookmarkEnd w:id="215"/>
      <w:bookmarkStart w:id="216" w:name="_Toc184310310"/>
      <w:bookmarkEnd w:id="216"/>
      <w:bookmarkStart w:id="217" w:name="_Toc184310333"/>
      <w:bookmarkEnd w:id="217"/>
      <w:bookmarkStart w:id="218" w:name="_Toc184312109"/>
      <w:bookmarkEnd w:id="218"/>
      <w:bookmarkStart w:id="219" w:name="_Toc184312123"/>
      <w:bookmarkEnd w:id="219"/>
      <w:bookmarkStart w:id="220" w:name="_Toc184308051"/>
      <w:bookmarkEnd w:id="220"/>
      <w:bookmarkStart w:id="221" w:name="_Toc184312099"/>
      <w:bookmarkEnd w:id="221"/>
      <w:bookmarkStart w:id="222" w:name="_Toc184314466"/>
      <w:bookmarkEnd w:id="222"/>
      <w:bookmarkStart w:id="223" w:name="_Toc184314415"/>
      <w:bookmarkEnd w:id="223"/>
      <w:bookmarkStart w:id="224" w:name="_Toc184310335"/>
      <w:bookmarkEnd w:id="224"/>
      <w:bookmarkStart w:id="225" w:name="_Toc184308042"/>
      <w:bookmarkEnd w:id="225"/>
      <w:bookmarkStart w:id="226" w:name="_Toc184308087"/>
      <w:bookmarkEnd w:id="226"/>
      <w:bookmarkStart w:id="227" w:name="_Toc184308063"/>
      <w:bookmarkEnd w:id="227"/>
      <w:bookmarkStart w:id="228" w:name="_Toc184308058"/>
      <w:bookmarkEnd w:id="228"/>
      <w:bookmarkStart w:id="229" w:name="_Toc184312103"/>
      <w:bookmarkEnd w:id="229"/>
      <w:bookmarkStart w:id="230" w:name="_Toc184312098"/>
      <w:bookmarkEnd w:id="230"/>
      <w:bookmarkStart w:id="231" w:name="_Toc184313251"/>
      <w:bookmarkEnd w:id="231"/>
      <w:bookmarkStart w:id="232" w:name="_Toc184308073"/>
      <w:bookmarkEnd w:id="232"/>
      <w:bookmarkStart w:id="233" w:name="_Toc184312074"/>
      <w:bookmarkEnd w:id="233"/>
      <w:bookmarkStart w:id="234" w:name="_Toc184310316"/>
      <w:bookmarkEnd w:id="234"/>
      <w:bookmarkStart w:id="235" w:name="_Toc184310299"/>
      <w:bookmarkEnd w:id="235"/>
      <w:bookmarkStart w:id="236" w:name="_Toc184312081"/>
      <w:bookmarkEnd w:id="236"/>
      <w:bookmarkStart w:id="237" w:name="_Toc184313306"/>
      <w:bookmarkEnd w:id="237"/>
      <w:bookmarkStart w:id="238" w:name="_Toc184313272"/>
      <w:bookmarkEnd w:id="238"/>
      <w:bookmarkStart w:id="239" w:name="_Toc184308103"/>
      <w:bookmarkEnd w:id="239"/>
      <w:bookmarkStart w:id="240" w:name="_Toc184310340"/>
      <w:bookmarkEnd w:id="240"/>
      <w:bookmarkStart w:id="241" w:name="_Toc184312095"/>
      <w:bookmarkEnd w:id="241"/>
      <w:bookmarkStart w:id="242" w:name="_Toc184312104"/>
      <w:bookmarkEnd w:id="242"/>
      <w:bookmarkStart w:id="243" w:name="_Toc184310293"/>
      <w:bookmarkEnd w:id="243"/>
      <w:bookmarkStart w:id="244" w:name="_Toc184313283"/>
      <w:bookmarkEnd w:id="244"/>
      <w:bookmarkStart w:id="245" w:name="_Toc184312106"/>
      <w:bookmarkEnd w:id="245"/>
      <w:bookmarkStart w:id="246" w:name="_Toc184310328"/>
      <w:bookmarkEnd w:id="246"/>
      <w:bookmarkStart w:id="247" w:name="_Toc184314443"/>
      <w:bookmarkEnd w:id="247"/>
      <w:bookmarkStart w:id="248" w:name="_Toc184308107"/>
      <w:bookmarkEnd w:id="248"/>
      <w:bookmarkStart w:id="249" w:name="_Toc184308078"/>
      <w:bookmarkEnd w:id="249"/>
      <w:bookmarkStart w:id="250" w:name="_Toc184310286"/>
      <w:bookmarkEnd w:id="250"/>
      <w:bookmarkStart w:id="251" w:name="_Toc184313307"/>
      <w:bookmarkEnd w:id="251"/>
      <w:bookmarkStart w:id="252" w:name="_Toc184312117"/>
      <w:bookmarkEnd w:id="252"/>
      <w:bookmarkStart w:id="253" w:name="_Toc184310326"/>
      <w:bookmarkEnd w:id="253"/>
      <w:bookmarkStart w:id="254" w:name="_Toc184314461"/>
      <w:bookmarkEnd w:id="254"/>
      <w:bookmarkStart w:id="255" w:name="_Toc184312084"/>
      <w:bookmarkEnd w:id="255"/>
      <w:bookmarkStart w:id="256" w:name="_Toc184313244"/>
      <w:bookmarkEnd w:id="256"/>
      <w:bookmarkStart w:id="257" w:name="_Toc184310297"/>
      <w:bookmarkEnd w:id="257"/>
      <w:bookmarkStart w:id="258" w:name="_Toc184312128"/>
      <w:bookmarkEnd w:id="258"/>
      <w:bookmarkStart w:id="259" w:name="_Toc184308094"/>
      <w:bookmarkEnd w:id="259"/>
      <w:bookmarkStart w:id="260" w:name="_Toc184310294"/>
      <w:bookmarkEnd w:id="260"/>
      <w:bookmarkStart w:id="261" w:name="_Toc184313295"/>
      <w:bookmarkEnd w:id="261"/>
      <w:bookmarkStart w:id="262" w:name="_Toc184310278"/>
      <w:bookmarkEnd w:id="262"/>
      <w:bookmarkStart w:id="263" w:name="_Toc184308055"/>
      <w:bookmarkEnd w:id="263"/>
      <w:bookmarkStart w:id="264" w:name="_Toc184314471"/>
      <w:bookmarkEnd w:id="264"/>
      <w:bookmarkStart w:id="265" w:name="_Toc184308074"/>
      <w:bookmarkEnd w:id="265"/>
      <w:bookmarkStart w:id="266" w:name="_Toc184308102"/>
      <w:bookmarkEnd w:id="266"/>
      <w:bookmarkStart w:id="267" w:name="_Toc184310298"/>
      <w:bookmarkEnd w:id="267"/>
      <w:bookmarkStart w:id="268" w:name="_Toc184312079"/>
      <w:bookmarkEnd w:id="268"/>
      <w:bookmarkStart w:id="269" w:name="_Toc184312112"/>
      <w:bookmarkEnd w:id="269"/>
      <w:bookmarkStart w:id="270" w:name="_Toc184314455"/>
      <w:bookmarkEnd w:id="270"/>
      <w:bookmarkStart w:id="271" w:name="_Toc184314448"/>
      <w:bookmarkEnd w:id="271"/>
      <w:bookmarkStart w:id="272" w:name="_Toc184310337"/>
      <w:bookmarkEnd w:id="272"/>
      <w:bookmarkStart w:id="273" w:name="_Toc184312139"/>
      <w:bookmarkEnd w:id="273"/>
      <w:bookmarkStart w:id="274" w:name="_Toc184314412"/>
      <w:bookmarkEnd w:id="274"/>
      <w:bookmarkStart w:id="275" w:name="_Toc184313260"/>
      <w:bookmarkEnd w:id="275"/>
      <w:bookmarkStart w:id="276" w:name="_Toc184310302"/>
      <w:bookmarkEnd w:id="276"/>
      <w:bookmarkStart w:id="277" w:name="_Toc184310280"/>
      <w:bookmarkEnd w:id="277"/>
      <w:bookmarkStart w:id="278" w:name="_Toc184310282"/>
      <w:bookmarkEnd w:id="278"/>
      <w:bookmarkStart w:id="279" w:name="_Toc184314472"/>
      <w:bookmarkEnd w:id="279"/>
      <w:bookmarkStart w:id="280" w:name="_Toc184314421"/>
      <w:bookmarkEnd w:id="280"/>
      <w:bookmarkStart w:id="281" w:name="_Toc184314456"/>
      <w:bookmarkEnd w:id="281"/>
      <w:bookmarkStart w:id="282" w:name="_Toc184313277"/>
      <w:bookmarkEnd w:id="282"/>
      <w:bookmarkStart w:id="283" w:name="_Toc184313257"/>
      <w:bookmarkEnd w:id="283"/>
      <w:bookmarkStart w:id="284" w:name="_Toc184308090"/>
      <w:bookmarkEnd w:id="284"/>
      <w:bookmarkStart w:id="285" w:name="_Toc184312118"/>
      <w:bookmarkEnd w:id="285"/>
      <w:bookmarkStart w:id="286" w:name="_Toc184314428"/>
      <w:bookmarkEnd w:id="286"/>
      <w:bookmarkStart w:id="287" w:name="_Toc184310274"/>
      <w:bookmarkEnd w:id="287"/>
      <w:bookmarkStart w:id="288" w:name="_Toc184310322"/>
      <w:bookmarkEnd w:id="288"/>
      <w:bookmarkStart w:id="289" w:name="_Toc184313261"/>
      <w:bookmarkEnd w:id="289"/>
      <w:bookmarkStart w:id="290" w:name="_Toc184314473"/>
      <w:bookmarkEnd w:id="290"/>
      <w:bookmarkStart w:id="291" w:name="_Toc184313289"/>
      <w:bookmarkEnd w:id="291"/>
      <w:bookmarkStart w:id="292" w:name="_Toc184308093"/>
      <w:bookmarkEnd w:id="292"/>
      <w:bookmarkStart w:id="293" w:name="_Toc184313282"/>
      <w:bookmarkEnd w:id="293"/>
      <w:bookmarkStart w:id="294" w:name="_Toc184314454"/>
      <w:bookmarkEnd w:id="294"/>
      <w:bookmarkStart w:id="295" w:name="_Toc184312119"/>
      <w:bookmarkEnd w:id="295"/>
      <w:bookmarkStart w:id="296" w:name="_Toc184308049"/>
      <w:bookmarkEnd w:id="296"/>
      <w:bookmarkStart w:id="297" w:name="_Toc184308044"/>
      <w:bookmarkEnd w:id="297"/>
      <w:bookmarkStart w:id="298" w:name="_Toc184308060"/>
      <w:bookmarkEnd w:id="298"/>
      <w:bookmarkStart w:id="299" w:name="_Toc184312067"/>
      <w:bookmarkEnd w:id="299"/>
      <w:bookmarkStart w:id="300" w:name="_Toc184312121"/>
      <w:bookmarkEnd w:id="300"/>
      <w:bookmarkStart w:id="301" w:name="_Toc184308054"/>
      <w:bookmarkEnd w:id="301"/>
      <w:bookmarkStart w:id="302" w:name="_Toc184313302"/>
      <w:bookmarkEnd w:id="302"/>
      <w:bookmarkStart w:id="303" w:name="_Toc184308057"/>
      <w:bookmarkEnd w:id="303"/>
      <w:bookmarkStart w:id="304" w:name="_Toc184313290"/>
      <w:bookmarkEnd w:id="304"/>
      <w:bookmarkStart w:id="305" w:name="_Toc184312089"/>
      <w:bookmarkEnd w:id="305"/>
      <w:bookmarkStart w:id="306" w:name="_Toc184314462"/>
      <w:bookmarkEnd w:id="306"/>
      <w:bookmarkStart w:id="307" w:name="_Toc184312120"/>
      <w:bookmarkEnd w:id="307"/>
      <w:bookmarkStart w:id="308" w:name="_Toc184310318"/>
      <w:bookmarkEnd w:id="308"/>
      <w:bookmarkStart w:id="309" w:name="_Toc184314434"/>
      <w:bookmarkEnd w:id="309"/>
      <w:bookmarkStart w:id="310" w:name="_Toc184310279"/>
      <w:bookmarkEnd w:id="310"/>
      <w:bookmarkStart w:id="311" w:name="_Toc184310339"/>
      <w:bookmarkEnd w:id="311"/>
      <w:bookmarkStart w:id="312" w:name="_Toc184308036"/>
      <w:bookmarkEnd w:id="312"/>
      <w:bookmarkStart w:id="313" w:name="_Toc184312129"/>
      <w:bookmarkEnd w:id="313"/>
      <w:bookmarkStart w:id="314" w:name="_Toc184313278"/>
      <w:bookmarkEnd w:id="314"/>
      <w:bookmarkStart w:id="315" w:name="_Toc184313279"/>
      <w:bookmarkEnd w:id="315"/>
      <w:bookmarkStart w:id="316" w:name="_Toc184313263"/>
      <w:bookmarkEnd w:id="316"/>
      <w:bookmarkStart w:id="317" w:name="_Toc184308069"/>
      <w:bookmarkEnd w:id="317"/>
      <w:bookmarkStart w:id="318" w:name="_Toc184308067"/>
      <w:bookmarkEnd w:id="318"/>
      <w:bookmarkStart w:id="319" w:name="_Toc184314464"/>
      <w:bookmarkEnd w:id="319"/>
      <w:bookmarkStart w:id="320" w:name="_Toc184308085"/>
      <w:bookmarkEnd w:id="320"/>
      <w:bookmarkStart w:id="321" w:name="_Toc184308080"/>
      <w:bookmarkEnd w:id="321"/>
      <w:bookmarkStart w:id="322" w:name="_Toc184312073"/>
      <w:bookmarkEnd w:id="322"/>
      <w:bookmarkStart w:id="323" w:name="_Toc184314417"/>
      <w:bookmarkEnd w:id="323"/>
      <w:bookmarkStart w:id="324" w:name="_Toc184314453"/>
      <w:bookmarkEnd w:id="324"/>
      <w:bookmarkStart w:id="325" w:name="_Toc184313265"/>
      <w:bookmarkEnd w:id="325"/>
      <w:bookmarkStart w:id="326" w:name="_Toc184312090"/>
      <w:bookmarkEnd w:id="326"/>
      <w:bookmarkStart w:id="327" w:name="_Toc184312085"/>
      <w:bookmarkEnd w:id="327"/>
      <w:bookmarkStart w:id="328" w:name="_Toc184312075"/>
      <w:bookmarkEnd w:id="328"/>
      <w:bookmarkStart w:id="329" w:name="_Toc184312094"/>
      <w:bookmarkEnd w:id="329"/>
      <w:bookmarkStart w:id="330" w:name="_Toc184310342"/>
      <w:bookmarkEnd w:id="330"/>
      <w:bookmarkStart w:id="331" w:name="_Toc184310284"/>
      <w:bookmarkEnd w:id="331"/>
      <w:bookmarkStart w:id="332" w:name="_Toc184314444"/>
      <w:bookmarkEnd w:id="332"/>
      <w:bookmarkStart w:id="333" w:name="_Toc184308070"/>
      <w:bookmarkEnd w:id="333"/>
      <w:bookmarkStart w:id="334" w:name="_Toc184313270"/>
      <w:bookmarkEnd w:id="334"/>
      <w:bookmarkStart w:id="335" w:name="_Toc184313304"/>
      <w:bookmarkEnd w:id="335"/>
      <w:bookmarkStart w:id="336" w:name="_Toc184313255"/>
      <w:bookmarkEnd w:id="336"/>
      <w:bookmarkStart w:id="337" w:name="_Toc184314430"/>
      <w:bookmarkEnd w:id="337"/>
      <w:bookmarkStart w:id="338" w:name="_Toc184314474"/>
      <w:bookmarkEnd w:id="338"/>
      <w:bookmarkStart w:id="339" w:name="_Toc184314425"/>
      <w:bookmarkEnd w:id="339"/>
      <w:bookmarkStart w:id="340" w:name="_Toc184312137"/>
      <w:bookmarkEnd w:id="340"/>
      <w:bookmarkStart w:id="341" w:name="_Toc184312101"/>
      <w:bookmarkEnd w:id="341"/>
      <w:bookmarkStart w:id="342" w:name="_Toc184313247"/>
      <w:bookmarkEnd w:id="342"/>
      <w:bookmarkStart w:id="343" w:name="_Toc184308084"/>
      <w:bookmarkEnd w:id="343"/>
      <w:bookmarkStart w:id="344" w:name="_Toc184312091"/>
      <w:bookmarkEnd w:id="344"/>
      <w:bookmarkStart w:id="345" w:name="_Toc184312102"/>
      <w:bookmarkEnd w:id="345"/>
      <w:bookmarkStart w:id="346" w:name="_Toc184310285"/>
      <w:bookmarkEnd w:id="346"/>
      <w:bookmarkStart w:id="347" w:name="_Toc184313294"/>
      <w:bookmarkEnd w:id="347"/>
      <w:bookmarkStart w:id="348" w:name="_Toc184312072"/>
      <w:bookmarkEnd w:id="348"/>
      <w:bookmarkStart w:id="349" w:name="_Toc184312113"/>
      <w:bookmarkEnd w:id="349"/>
      <w:bookmarkStart w:id="350" w:name="_Toc184310272"/>
      <w:bookmarkEnd w:id="350"/>
      <w:bookmarkStart w:id="351" w:name="_Toc184312097"/>
      <w:bookmarkEnd w:id="351"/>
      <w:bookmarkStart w:id="352" w:name="_Toc184314446"/>
      <w:bookmarkEnd w:id="352"/>
      <w:bookmarkStart w:id="353" w:name="_Toc184313249"/>
      <w:bookmarkEnd w:id="353"/>
      <w:bookmarkStart w:id="354" w:name="_Toc184310292"/>
      <w:bookmarkEnd w:id="354"/>
      <w:bookmarkStart w:id="355" w:name="_Toc184312070"/>
      <w:bookmarkEnd w:id="355"/>
      <w:bookmarkStart w:id="356" w:name="_Toc184312107"/>
      <w:bookmarkEnd w:id="356"/>
      <w:bookmarkStart w:id="357" w:name="_Toc184313310"/>
      <w:bookmarkEnd w:id="357"/>
      <w:bookmarkStart w:id="358" w:name="_Toc184312108"/>
      <w:bookmarkEnd w:id="358"/>
      <w:bookmarkStart w:id="359" w:name="_Toc184312131"/>
      <w:bookmarkEnd w:id="359"/>
      <w:bookmarkStart w:id="360" w:name="_Toc184308098"/>
      <w:bookmarkEnd w:id="360"/>
      <w:bookmarkStart w:id="361" w:name="_Toc184310317"/>
      <w:bookmarkEnd w:id="361"/>
      <w:bookmarkStart w:id="362" w:name="_Toc184308045"/>
      <w:bookmarkEnd w:id="362"/>
      <w:bookmarkStart w:id="363" w:name="_Toc184310281"/>
      <w:bookmarkEnd w:id="363"/>
      <w:bookmarkStart w:id="364" w:name="_Toc184308061"/>
      <w:bookmarkEnd w:id="364"/>
      <w:bookmarkStart w:id="365" w:name="_Toc184308062"/>
      <w:bookmarkEnd w:id="365"/>
      <w:bookmarkStart w:id="366" w:name="_Toc184310329"/>
      <w:bookmarkEnd w:id="366"/>
      <w:bookmarkStart w:id="367" w:name="_Toc184310303"/>
      <w:bookmarkEnd w:id="367"/>
      <w:bookmarkStart w:id="368" w:name="_Toc184310321"/>
      <w:bookmarkEnd w:id="368"/>
      <w:bookmarkStart w:id="369" w:name="_Toc184310295"/>
      <w:bookmarkEnd w:id="369"/>
      <w:bookmarkStart w:id="370" w:name="_Toc184312100"/>
      <w:bookmarkEnd w:id="370"/>
      <w:bookmarkStart w:id="371" w:name="_Toc184310331"/>
      <w:bookmarkEnd w:id="371"/>
      <w:bookmarkStart w:id="372" w:name="_Toc184308064"/>
      <w:bookmarkEnd w:id="372"/>
      <w:bookmarkStart w:id="373" w:name="_Toc184310300"/>
      <w:bookmarkEnd w:id="373"/>
      <w:bookmarkStart w:id="374" w:name="_Toc184314470"/>
      <w:bookmarkEnd w:id="374"/>
      <w:bookmarkStart w:id="375" w:name="_Toc184314436"/>
      <w:bookmarkEnd w:id="375"/>
      <w:bookmarkStart w:id="376" w:name="_Toc184308076"/>
      <w:bookmarkEnd w:id="376"/>
      <w:bookmarkStart w:id="377" w:name="_Toc184313305"/>
      <w:bookmarkEnd w:id="377"/>
      <w:bookmarkStart w:id="378" w:name="_Toc184312133"/>
      <w:bookmarkEnd w:id="378"/>
      <w:bookmarkStart w:id="379" w:name="_Toc184308043"/>
      <w:bookmarkEnd w:id="379"/>
      <w:bookmarkStart w:id="380" w:name="_Toc184314433"/>
      <w:bookmarkEnd w:id="380"/>
      <w:bookmarkStart w:id="381" w:name="_Toc184310315"/>
      <w:bookmarkEnd w:id="381"/>
      <w:bookmarkStart w:id="382" w:name="_Toc184313248"/>
      <w:bookmarkEnd w:id="382"/>
      <w:bookmarkStart w:id="383" w:name="_Toc184312122"/>
      <w:bookmarkEnd w:id="383"/>
      <w:bookmarkStart w:id="384" w:name="_Toc184313241"/>
      <w:bookmarkEnd w:id="384"/>
      <w:bookmarkStart w:id="385" w:name="_Toc184308048"/>
      <w:bookmarkEnd w:id="385"/>
      <w:bookmarkStart w:id="386" w:name="_Toc184308046"/>
      <w:bookmarkEnd w:id="386"/>
      <w:bookmarkStart w:id="387" w:name="_Toc184312110"/>
      <w:bookmarkEnd w:id="387"/>
      <w:bookmarkStart w:id="388" w:name="_Toc184310311"/>
      <w:bookmarkEnd w:id="388"/>
      <w:bookmarkStart w:id="389" w:name="_Toc184312088"/>
      <w:bookmarkEnd w:id="389"/>
      <w:bookmarkStart w:id="390" w:name="_Toc184308071"/>
      <w:bookmarkEnd w:id="390"/>
      <w:bookmarkStart w:id="391" w:name="_Toc184310319"/>
      <w:bookmarkEnd w:id="391"/>
      <w:bookmarkStart w:id="392" w:name="_Toc184313238"/>
      <w:bookmarkEnd w:id="392"/>
      <w:bookmarkStart w:id="393" w:name="_Toc184313271"/>
      <w:bookmarkEnd w:id="393"/>
      <w:bookmarkStart w:id="394" w:name="_Toc184313246"/>
      <w:bookmarkEnd w:id="394"/>
      <w:bookmarkStart w:id="395" w:name="_Toc184313268"/>
      <w:bookmarkEnd w:id="395"/>
      <w:bookmarkStart w:id="396" w:name="_Toc184313285"/>
      <w:bookmarkEnd w:id="396"/>
      <w:bookmarkStart w:id="397" w:name="_Toc184308037"/>
      <w:bookmarkEnd w:id="397"/>
      <w:bookmarkStart w:id="398" w:name="_Toc184308099"/>
      <w:bookmarkEnd w:id="398"/>
      <w:bookmarkStart w:id="399" w:name="_Toc184314475"/>
      <w:bookmarkEnd w:id="399"/>
      <w:bookmarkStart w:id="400" w:name="_Toc184313259"/>
      <w:bookmarkEnd w:id="400"/>
      <w:bookmarkStart w:id="401" w:name="_Toc184308052"/>
      <w:bookmarkEnd w:id="401"/>
      <w:bookmarkStart w:id="402" w:name="_Toc184314429"/>
      <w:bookmarkEnd w:id="402"/>
      <w:bookmarkStart w:id="403" w:name="_Toc184313266"/>
      <w:bookmarkEnd w:id="403"/>
      <w:bookmarkStart w:id="404" w:name="_Toc184310273"/>
      <w:bookmarkEnd w:id="404"/>
      <w:bookmarkStart w:id="405" w:name="_Toc184314420"/>
      <w:bookmarkEnd w:id="405"/>
      <w:bookmarkStart w:id="406" w:name="_Toc184308097"/>
      <w:bookmarkEnd w:id="406"/>
      <w:bookmarkStart w:id="407" w:name="_Toc184313264"/>
      <w:bookmarkEnd w:id="407"/>
      <w:bookmarkStart w:id="408" w:name="_Toc184310309"/>
      <w:bookmarkEnd w:id="408"/>
      <w:bookmarkStart w:id="409" w:name="_Toc184313280"/>
      <w:bookmarkEnd w:id="409"/>
      <w:bookmarkStart w:id="410" w:name="_Toc184314426"/>
      <w:bookmarkEnd w:id="410"/>
      <w:bookmarkStart w:id="411" w:name="_Toc184313284"/>
      <w:bookmarkEnd w:id="411"/>
      <w:bookmarkStart w:id="412" w:name="_Toc184310275"/>
      <w:bookmarkEnd w:id="412"/>
      <w:bookmarkStart w:id="413" w:name="_Toc184308077"/>
      <w:bookmarkEnd w:id="413"/>
      <w:bookmarkStart w:id="414" w:name="_Toc184313269"/>
      <w:bookmarkEnd w:id="414"/>
      <w:bookmarkStart w:id="415" w:name="_Toc184314480"/>
      <w:bookmarkEnd w:id="415"/>
      <w:bookmarkStart w:id="416" w:name="_Toc184312077"/>
      <w:bookmarkEnd w:id="416"/>
      <w:bookmarkStart w:id="417" w:name="_Toc184312078"/>
      <w:bookmarkEnd w:id="417"/>
      <w:bookmarkStart w:id="418" w:name="_Toc184312127"/>
      <w:bookmarkEnd w:id="418"/>
      <w:bookmarkStart w:id="419" w:name="_Toc184314413"/>
      <w:bookmarkEnd w:id="419"/>
      <w:bookmarkStart w:id="420" w:name="_Toc184310308"/>
      <w:bookmarkEnd w:id="420"/>
      <w:bookmarkStart w:id="421" w:name="_Toc184313281"/>
      <w:bookmarkEnd w:id="421"/>
      <w:bookmarkStart w:id="422" w:name="_Toc184310290"/>
      <w:bookmarkEnd w:id="422"/>
      <w:bookmarkStart w:id="423" w:name="_Toc184314439"/>
      <w:bookmarkEnd w:id="423"/>
      <w:bookmarkStart w:id="424" w:name="_Toc184313293"/>
      <w:bookmarkEnd w:id="424"/>
      <w:bookmarkStart w:id="425" w:name="_Toc184314467"/>
      <w:bookmarkEnd w:id="425"/>
      <w:bookmarkStart w:id="426" w:name="_Toc184308101"/>
      <w:bookmarkEnd w:id="426"/>
      <w:bookmarkStart w:id="427" w:name="_Toc184312134"/>
      <w:bookmarkEnd w:id="427"/>
      <w:r>
        <w:rPr>
          <w:rFonts w:hint="eastAsia" w:ascii="仿宋" w:hAnsi="仿宋" w:eastAsia="仿宋" w:cs="仿宋"/>
          <w:b/>
          <w:color w:val="auto"/>
          <w:sz w:val="36"/>
          <w:szCs w:val="36"/>
          <w:highlight w:val="none"/>
        </w:rPr>
        <w:t>评标方法及评分标准</w:t>
      </w:r>
    </w:p>
    <w:p w14:paraId="174B03C6">
      <w:p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360A5396">
      <w:pPr>
        <w:adjustRightInd/>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1.确定第一阶段入围供应商的评审方法：质量优先法。</w:t>
      </w:r>
    </w:p>
    <w:p w14:paraId="1D16BC79">
      <w:pPr>
        <w:adjustRightInd/>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质量优先法是指对满足采购需求且响应报价、服务进行质量综合评分，按照质量评分。从高到低排序，根据征集文件规定的淘汰率或者入围供应商数量上限，确定入围供应商的评审方法。</w:t>
      </w:r>
    </w:p>
    <w:p w14:paraId="1E19ED40">
      <w:pPr>
        <w:adjustRightInd/>
        <w:spacing w:line="360" w:lineRule="auto"/>
        <w:ind w:firstLine="480" w:firstLineChars="200"/>
        <w:rPr>
          <w:rFonts w:hint="eastAsia" w:ascii="仿宋" w:hAnsi="仿宋" w:eastAsia="仿宋" w:cs="仿宋"/>
          <w:color w:val="auto"/>
          <w:kern w:val="0"/>
          <w:sz w:val="24"/>
          <w:highlight w:val="none"/>
        </w:rPr>
      </w:pPr>
    </w:p>
    <w:p w14:paraId="0894EEF1">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二、评标委员会的组成</w:t>
      </w:r>
    </w:p>
    <w:p w14:paraId="4A70125A">
      <w:pPr>
        <w:snapToGrid w:val="0"/>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2.评标委员会的组成。</w:t>
      </w:r>
      <w:r>
        <w:rPr>
          <w:rFonts w:hint="eastAsia" w:ascii="仿宋" w:hAnsi="仿宋" w:eastAsia="仿宋" w:cs="仿宋"/>
          <w:color w:val="auto"/>
          <w:kern w:val="0"/>
          <w:sz w:val="24"/>
          <w:highlight w:val="none"/>
        </w:rPr>
        <w:t>评标委员会由征集人代表和评审专家组成，成员人数为5人以上单数，其中评审专家不少于成员总数的三分之二。</w:t>
      </w:r>
    </w:p>
    <w:p w14:paraId="57E4E92A">
      <w:pPr>
        <w:pStyle w:val="234"/>
        <w:spacing w:before="0"/>
        <w:ind w:firstLine="482"/>
        <w:rPr>
          <w:rFonts w:hint="eastAsia" w:ascii="仿宋" w:hAnsi="仿宋" w:eastAsia="仿宋" w:cs="仿宋"/>
          <w:color w:val="auto"/>
          <w:kern w:val="0"/>
          <w:highlight w:val="none"/>
        </w:rPr>
      </w:pPr>
      <w:r>
        <w:rPr>
          <w:rFonts w:hint="eastAsia" w:ascii="仿宋" w:hAnsi="仿宋" w:eastAsia="仿宋" w:cs="仿宋"/>
          <w:b/>
          <w:color w:val="auto"/>
          <w:kern w:val="0"/>
          <w:highlight w:val="none"/>
        </w:rPr>
        <w:t>3.评</w:t>
      </w:r>
      <w:r>
        <w:rPr>
          <w:rFonts w:hint="eastAsia" w:ascii="仿宋" w:hAnsi="仿宋" w:eastAsia="仿宋" w:cs="仿宋"/>
          <w:b/>
          <w:color w:val="auto"/>
          <w:kern w:val="0"/>
          <w:szCs w:val="24"/>
          <w:highlight w:val="none"/>
        </w:rPr>
        <w:t>标委员会的组成人员的回避。</w:t>
      </w:r>
      <w:r>
        <w:rPr>
          <w:rFonts w:hint="eastAsia" w:ascii="仿宋" w:hAnsi="仿宋" w:eastAsia="仿宋" w:cs="仿宋"/>
          <w:color w:val="auto"/>
          <w:kern w:val="0"/>
          <w:highlight w:val="none"/>
        </w:rPr>
        <w:t>在政府采购活动中，评标委员会的组成人员与供应商有下列利害关系之一的，应当回避：</w:t>
      </w:r>
    </w:p>
    <w:p w14:paraId="778859F3">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3.1参加采购活动前3年内与供应商存在劳动关系；</w:t>
      </w:r>
    </w:p>
    <w:p w14:paraId="538C4D1A">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3.2参加采购活动前3年内担任供应商的董事、监事；</w:t>
      </w:r>
    </w:p>
    <w:p w14:paraId="7D3E6152">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3.3参加采购活动前3年内是供应商的控股股东或者实际控制人；</w:t>
      </w:r>
    </w:p>
    <w:p w14:paraId="59F05B8E">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3.4与供应商的法定代表人或者负责人有夫妻、直系血亲、三代以内旁系血亲或者近姻亲关系；</w:t>
      </w:r>
    </w:p>
    <w:p w14:paraId="01335A2D">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3.5与供应商有其他可能影响政府采购活动公平、公正进行的关系。</w:t>
      </w:r>
    </w:p>
    <w:p w14:paraId="1BB68E5B">
      <w:pPr>
        <w:pStyle w:val="234"/>
        <w:spacing w:before="0"/>
        <w:ind w:firstLine="0" w:firstLineChars="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highlight w:val="none"/>
        </w:rPr>
        <w:t>三、评标委员会的职责</w:t>
      </w:r>
    </w:p>
    <w:p w14:paraId="7543E380">
      <w:pPr>
        <w:pStyle w:val="234"/>
        <w:spacing w:before="0"/>
        <w:ind w:firstLine="482"/>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4.评标委员会负责具体评标事务，并独立履行下列职责：</w:t>
      </w:r>
    </w:p>
    <w:p w14:paraId="5E5C1B2B">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4.1审查、评价响应文件是否符合征集文件的商务、技术等实质性要求；</w:t>
      </w:r>
    </w:p>
    <w:p w14:paraId="557AAABC">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4.2要求投标人对响应文件有关事项作出澄清或者说明；</w:t>
      </w:r>
    </w:p>
    <w:p w14:paraId="30D75249">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4.3对响应文件进行比较和评价；</w:t>
      </w:r>
    </w:p>
    <w:p w14:paraId="7C6F017A">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4.4确定中标候选人名单，以及根据征集人委托直接确定中标人；</w:t>
      </w:r>
    </w:p>
    <w:p w14:paraId="641B2232">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4.5向征集人、采购代理机构或者有关部门报告评标中发现的违法行为；</w:t>
      </w:r>
    </w:p>
    <w:p w14:paraId="4A7299C0">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4.6法律、法规、规章、征集文件等规定的其它事项。</w:t>
      </w:r>
    </w:p>
    <w:p w14:paraId="05594668">
      <w:pPr>
        <w:pStyle w:val="234"/>
        <w:spacing w:before="0"/>
        <w:ind w:firstLine="482"/>
        <w:jc w:val="left"/>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rPr>
        <w:t>5.评标委员会及其成员不得有下列行为：</w:t>
      </w:r>
    </w:p>
    <w:p w14:paraId="4BA6DEE0">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5.1确定参与评标至评标结束前私自接触投标人；</w:t>
      </w:r>
    </w:p>
    <w:p w14:paraId="23634303">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5.2接受投标人提出的与响应文件不一致的澄清或者说明（财政部87号《政府采购货物和服务招投标管理办法》第五十一条规定的情形除外）；</w:t>
      </w:r>
    </w:p>
    <w:p w14:paraId="1378B101">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5.3违反评标纪律发表倾向性意见或者征询征集人的倾向性意见；</w:t>
      </w:r>
    </w:p>
    <w:p w14:paraId="2DD0FFDD">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5.4对需要专业判断的主观评审因素协商评分；</w:t>
      </w:r>
    </w:p>
    <w:p w14:paraId="0B747740">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5.5在评标过程中擅离职守，影响评标程序正常进行的；</w:t>
      </w:r>
    </w:p>
    <w:p w14:paraId="046EC7C6">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5.6记录、复制或者带走任何评标资料；</w:t>
      </w:r>
    </w:p>
    <w:p w14:paraId="64F6BAC6">
      <w:pPr>
        <w:pStyle w:val="234"/>
        <w:spacing w:before="0"/>
        <w:ind w:firstLine="48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5.7其他不遵守评标纪律的行为。</w:t>
      </w:r>
    </w:p>
    <w:p w14:paraId="47CA085A">
      <w:pPr>
        <w:pStyle w:val="234"/>
        <w:spacing w:before="0"/>
        <w:ind w:firstLine="0" w:firstLineChars="0"/>
        <w:jc w:val="left"/>
        <w:rPr>
          <w:rFonts w:hint="eastAsia" w:ascii="仿宋" w:hAnsi="仿宋" w:eastAsia="仿宋" w:cs="仿宋"/>
          <w:color w:val="auto"/>
          <w:kern w:val="0"/>
          <w:highlight w:val="none"/>
        </w:rPr>
      </w:pPr>
      <w:r>
        <w:rPr>
          <w:rFonts w:hint="eastAsia" w:ascii="仿宋" w:hAnsi="仿宋" w:eastAsia="仿宋" w:cs="仿宋"/>
          <w:color w:val="auto"/>
          <w:kern w:val="0"/>
          <w:highlight w:val="none"/>
        </w:rPr>
        <w:t>　　评标委员会成员有5.1-5.7行为之一的，其评审意见无效，并不得获取评审劳务报酬和报销异地评审差旅费。</w:t>
      </w:r>
    </w:p>
    <w:p w14:paraId="0CDE2AE2">
      <w:pPr>
        <w:pStyle w:val="234"/>
        <w:spacing w:before="0"/>
        <w:ind w:firstLine="0" w:firstLineChars="0"/>
        <w:rPr>
          <w:rFonts w:hint="eastAsia" w:ascii="仿宋" w:hAnsi="仿宋" w:eastAsia="仿宋" w:cs="仿宋"/>
          <w:color w:val="auto"/>
          <w:kern w:val="0"/>
          <w:highlight w:val="none"/>
        </w:rPr>
      </w:pPr>
    </w:p>
    <w:p w14:paraId="580588BA">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四、评审程序</w:t>
      </w:r>
    </w:p>
    <w:p w14:paraId="1EC4799A">
      <w:pPr>
        <w:spacing w:line="360" w:lineRule="auto"/>
        <w:ind w:firstLine="472" w:firstLineChars="196"/>
        <w:rPr>
          <w:rFonts w:hint="eastAsia" w:ascii="仿宋" w:hAnsi="仿宋" w:eastAsia="仿宋" w:cs="仿宋"/>
          <w:color w:val="auto"/>
          <w:kern w:val="0"/>
          <w:highlight w:val="none"/>
        </w:rPr>
      </w:pPr>
      <w:r>
        <w:rPr>
          <w:rFonts w:hint="eastAsia" w:ascii="仿宋" w:hAnsi="仿宋" w:eastAsia="仿宋" w:cs="仿宋"/>
          <w:b/>
          <w:color w:val="auto"/>
          <w:kern w:val="0"/>
          <w:sz w:val="24"/>
          <w:highlight w:val="none"/>
        </w:rPr>
        <w:t>6.符合性审查</w:t>
      </w:r>
      <w:r>
        <w:rPr>
          <w:rFonts w:hint="eastAsia" w:ascii="仿宋" w:hAnsi="仿宋" w:eastAsia="仿宋" w:cs="仿宋"/>
          <w:b/>
          <w:color w:val="auto"/>
          <w:kern w:val="0"/>
          <w:highlight w:val="none"/>
        </w:rPr>
        <w:t>。</w:t>
      </w:r>
      <w:r>
        <w:rPr>
          <w:rFonts w:hint="eastAsia" w:ascii="仿宋" w:hAnsi="仿宋" w:eastAsia="仿宋" w:cs="仿宋"/>
          <w:color w:val="auto"/>
          <w:kern w:val="0"/>
          <w:sz w:val="24"/>
          <w:highlight w:val="none"/>
        </w:rPr>
        <w:t xml:space="preserve"> 评标委员会应当对符合资格的投标人的响应文件进行符合性审查，以确定其是否满足征集文件的实质性要求。不满足征集文件的实质性要求的，投标无效。</w:t>
      </w:r>
    </w:p>
    <w:p w14:paraId="58280DA6">
      <w:pPr>
        <w:pStyle w:val="234"/>
        <w:spacing w:before="0"/>
        <w:ind w:firstLine="482"/>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7. 比较与评价。</w:t>
      </w:r>
      <w:r>
        <w:rPr>
          <w:rFonts w:hint="eastAsia" w:ascii="仿宋" w:hAnsi="仿宋" w:eastAsia="仿宋" w:cs="仿宋"/>
          <w:color w:val="auto"/>
          <w:kern w:val="0"/>
          <w:szCs w:val="24"/>
          <w:highlight w:val="none"/>
        </w:rPr>
        <w:t>评标委员会应当按照评标标准，对符合性审查合格的响应文件进行商务和技术评估，综合比较与评价。</w:t>
      </w:r>
    </w:p>
    <w:p w14:paraId="0EA9BC77">
      <w:pPr>
        <w:pStyle w:val="234"/>
        <w:spacing w:before="0"/>
        <w:ind w:firstLine="482"/>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8. 汇总（商务技术得分情况）。</w:t>
      </w:r>
      <w:r>
        <w:rPr>
          <w:rFonts w:hint="eastAsia" w:ascii="仿宋" w:hAnsi="仿宋" w:eastAsia="仿宋" w:cs="仿宋"/>
          <w:color w:val="auto"/>
          <w:kern w:val="0"/>
          <w:szCs w:val="24"/>
          <w:highlight w:val="none"/>
        </w:rPr>
        <w:t>评标委员会各成员应当独立对每个投标人的商务和技术文件进行评价，并汇总商务技术得分情况。</w:t>
      </w:r>
    </w:p>
    <w:p w14:paraId="0E1B4806">
      <w:pPr>
        <w:pStyle w:val="234"/>
        <w:spacing w:before="0"/>
        <w:ind w:firstLine="482"/>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9. 报价审核。</w:t>
      </w:r>
      <w:r>
        <w:rPr>
          <w:rFonts w:hint="eastAsia" w:ascii="仿宋" w:hAnsi="仿宋" w:eastAsia="仿宋" w:cs="仿宋"/>
          <w:color w:val="auto"/>
          <w:kern w:val="0"/>
          <w:szCs w:val="24"/>
          <w:highlight w:val="none"/>
        </w:rPr>
        <w:t>对经商务和技术评审符合采购需求的投标人的报价的合理性、准确性等进行审查核实。</w:t>
      </w:r>
    </w:p>
    <w:p w14:paraId="527A2D1B">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9.1评标委员会认为投标人的报价明显低于其他通过符合性审查投标人的报价，有可能影响产品质量或者不能诚信履约的，应当要求其在规定的时间内提供书面说明，必要时提交相关证明材料；投标人不能证明其报价合理性的，评标委员会应当将其作为无效投标处理。</w:t>
      </w:r>
    </w:p>
    <w:p w14:paraId="186C08A9">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9.2对于未预留份额专门面向中小企业的政府采购项目，以及预留份额政府采购项目中的非预留部分标项，对小型和微型企业的投标报价给予</w:t>
      </w:r>
      <w:r>
        <w:rPr>
          <w:rFonts w:hint="eastAsia" w:ascii="仿宋" w:hAnsi="仿宋" w:eastAsia="仿宋" w:cs="仿宋"/>
          <w:b/>
          <w:bCs/>
          <w:color w:val="auto"/>
          <w:kern w:val="0"/>
          <w:szCs w:val="24"/>
          <w:highlight w:val="none"/>
        </w:rPr>
        <w:t>10%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w:t>
      </w:r>
      <w:r>
        <w:rPr>
          <w:rFonts w:hint="eastAsia" w:ascii="仿宋" w:hAnsi="仿宋" w:eastAsia="仿宋" w:cs="仿宋"/>
          <w:b/>
          <w:bCs/>
          <w:color w:val="auto"/>
          <w:kern w:val="0"/>
          <w:szCs w:val="24"/>
          <w:highlight w:val="none"/>
        </w:rPr>
        <w:t>4%</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4CCD8A81">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9.3响应文件出现不是唯一的、有选择性投标报价的，投标无效。</w:t>
      </w:r>
    </w:p>
    <w:p w14:paraId="39B9E7EF">
      <w:pPr>
        <w:pStyle w:val="234"/>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rPr>
        <w:t>9.4投标报价超过征集文件中规定的预算金额或者最高限价的，投标无效。</w:t>
      </w:r>
    </w:p>
    <w:p w14:paraId="35F376EA">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9.5政采云投标客户端开标一览表内容与响应文件开标一览表(报价表)相应内容不一致的，以响应文件开标一览表(报价表)为准。</w:t>
      </w:r>
    </w:p>
    <w:p w14:paraId="2E1B360B">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9.6投标价格的修正原则。响应文件报价出现前后不一致的，按照下列规定修正：</w:t>
      </w:r>
    </w:p>
    <w:p w14:paraId="158A8BB2">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9.6.1响应文件中开标一览表(报价表)内容与响应文件中相应内容不一致的，以开标一览表(报价表)为准;</w:t>
      </w:r>
    </w:p>
    <w:p w14:paraId="04378773">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9.6.2大写金额和小写金额不一致的，以大写金额为准;</w:t>
      </w:r>
    </w:p>
    <w:p w14:paraId="324557D3">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9.6.3单价金额小数点或者百分比有明显错位的，以开标一览表的总价为准，并修改单价;</w:t>
      </w:r>
    </w:p>
    <w:p w14:paraId="67B7C718">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9.6.4总价金额与按单价汇总金额不一致的，以单价金额计算结果为准；</w:t>
      </w:r>
    </w:p>
    <w:p w14:paraId="496B932C">
      <w:pPr>
        <w:pStyle w:val="234"/>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9.6.5同时出现两种以上不一致的，按照前款规定的顺序修正。修正后的报价按照财政部第87号令 《政府采购货物和服务招标投标管理办法》第五十一条第二款的规定经投标人确认后产生约束力。</w:t>
      </w:r>
    </w:p>
    <w:p w14:paraId="092FD201">
      <w:pPr>
        <w:spacing w:line="360" w:lineRule="auto"/>
        <w:ind w:firstLine="480" w:firstLineChars="200"/>
        <w:rPr>
          <w:rFonts w:hint="eastAsia" w:ascii="仿宋" w:hAnsi="仿宋" w:eastAsia="仿宋" w:cs="仿宋"/>
          <w:b/>
          <w:bCs/>
          <w:color w:val="auto"/>
          <w:sz w:val="24"/>
          <w:highlight w:val="none"/>
        </w:rPr>
      </w:pPr>
      <w:r>
        <w:rPr>
          <w:rFonts w:hint="eastAsia" w:ascii="仿宋" w:hAnsi="仿宋" w:eastAsia="仿宋" w:cs="仿宋"/>
          <w:bCs/>
          <w:color w:val="auto"/>
          <w:sz w:val="24"/>
          <w:highlight w:val="none"/>
        </w:rPr>
        <w:t>▲</w:t>
      </w:r>
      <w:r>
        <w:rPr>
          <w:rFonts w:hint="eastAsia" w:ascii="仿宋" w:hAnsi="仿宋" w:eastAsia="仿宋" w:cs="仿宋"/>
          <w:b/>
          <w:bCs/>
          <w:color w:val="auto"/>
          <w:sz w:val="24"/>
          <w:highlight w:val="none"/>
        </w:rPr>
        <w:t>投标人对根据修正原则修正后的报价不确认的，投标无效。</w:t>
      </w:r>
    </w:p>
    <w:p w14:paraId="1F70937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10.汇总得分。</w:t>
      </w:r>
      <w:r>
        <w:rPr>
          <w:rFonts w:hint="eastAsia" w:ascii="仿宋" w:hAnsi="仿宋" w:eastAsia="仿宋" w:cs="仿宋"/>
          <w:color w:val="auto"/>
          <w:kern w:val="0"/>
          <w:sz w:val="24"/>
          <w:highlight w:val="none"/>
        </w:rPr>
        <w:t>评标委员会各成员应当独立对每个投标人的响应文件进行评价，并汇总每个投标人的得分。</w:t>
      </w:r>
    </w:p>
    <w:p w14:paraId="1E5219D6">
      <w:pPr>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11.入围原则。</w:t>
      </w:r>
    </w:p>
    <w:p w14:paraId="122D13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经评标委员会综合评定后，根据排序从后往前按比例淘汰单位（淘汰比例为进入排序单位数量的20%，向上取整数），淘汰后剩余单位多于8家，按照排序先后选择8家单位。第8家入围时若出现并列则随机抽签入围。如投标单位为</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家时（全入围）。</w:t>
      </w:r>
    </w:p>
    <w:p w14:paraId="527C71F8">
      <w:pPr>
        <w:pStyle w:val="234"/>
        <w:adjustRightInd/>
        <w:spacing w:before="0"/>
        <w:ind w:firstLine="482" w:firstLineChars="200"/>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12.评标报告与推荐中标候选人。</w:t>
      </w:r>
      <w:r>
        <w:rPr>
          <w:rFonts w:hint="eastAsia" w:ascii="仿宋" w:hAnsi="仿宋" w:eastAsia="仿宋" w:cs="仿宋"/>
          <w:color w:val="auto"/>
          <w:szCs w:val="24"/>
          <w:highlight w:val="none"/>
        </w:rPr>
        <w:t>评标委员会根据全体评标成员签字的原始评标记录和评标结果编写评标报告，并推荐中标候选人，评审报告由评标委员会成员签字确认提交。</w:t>
      </w:r>
    </w:p>
    <w:p w14:paraId="624C5694">
      <w:pPr>
        <w:widowControl/>
        <w:adjustRightInd/>
        <w:spacing w:line="360" w:lineRule="auto"/>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13.评标争议事项处理。</w:t>
      </w:r>
      <w:r>
        <w:rPr>
          <w:rFonts w:hint="eastAsia" w:ascii="仿宋" w:hAnsi="仿宋" w:eastAsia="仿宋" w:cs="仿宋"/>
          <w:color w:val="auto"/>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5A009647">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43DFAEB3">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五、评标中的其他事项</w:t>
      </w:r>
    </w:p>
    <w:p w14:paraId="37DFEE58">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14.投标人澄清、说明或者补正。</w:t>
      </w:r>
      <w:r>
        <w:rPr>
          <w:rFonts w:hint="eastAsia" w:ascii="仿宋" w:hAnsi="仿宋" w:eastAsia="仿宋" w:cs="仿宋"/>
          <w:color w:val="auto"/>
          <w:kern w:val="0"/>
          <w:sz w:val="24"/>
          <w:highlight w:val="none"/>
        </w:rPr>
        <w:t>对于响应文件中含义不明确、同类问题表述不一致或者有明显文字和计算错误的内容，评标委员会可以书面形式要求投标人通过政采云平台以书面形式作出必要的澄清、说明或者补正，投标人应在30分钟内提交澄清说明或补正，逾期不提交的视为放弃澄清、说明或补正的权利。投标人的澄清、说明或者补正不得超出响应文件的范围或者改变响应文件的实质性内容。</w:t>
      </w:r>
    </w:p>
    <w:p w14:paraId="5C68A37C">
      <w:pPr>
        <w:pStyle w:val="23"/>
        <w:spacing w:line="360" w:lineRule="auto"/>
        <w:ind w:firstLine="562"/>
        <w:rPr>
          <w:rFonts w:hint="eastAsia" w:ascii="仿宋" w:hAnsi="仿宋" w:eastAsia="仿宋" w:cs="仿宋"/>
          <w:color w:val="auto"/>
          <w:highlight w:val="none"/>
        </w:rPr>
      </w:pPr>
      <w:r>
        <w:rPr>
          <w:rFonts w:hint="eastAsia" w:ascii="仿宋" w:hAnsi="仿宋" w:eastAsia="仿宋" w:cs="仿宋"/>
          <w:b/>
          <w:color w:val="auto"/>
          <w:spacing w:val="20"/>
          <w:highlight w:val="none"/>
        </w:rPr>
        <w:t>1</w:t>
      </w:r>
      <w:r>
        <w:rPr>
          <w:rFonts w:hint="eastAsia" w:ascii="仿宋" w:hAnsi="仿宋" w:eastAsia="仿宋" w:cs="仿宋"/>
          <w:b/>
          <w:color w:val="auto"/>
          <w:spacing w:val="20"/>
          <w:highlight w:val="none"/>
          <w:lang w:eastAsia="zh-CN"/>
        </w:rPr>
        <w:t>5</w:t>
      </w:r>
      <w:r>
        <w:rPr>
          <w:rFonts w:hint="eastAsia" w:ascii="仿宋" w:hAnsi="仿宋" w:eastAsia="仿宋" w:cs="仿宋"/>
          <w:b/>
          <w:color w:val="auto"/>
          <w:spacing w:val="20"/>
          <w:highlight w:val="none"/>
        </w:rPr>
        <w:t>.投标无效。</w:t>
      </w:r>
      <w:r>
        <w:rPr>
          <w:rFonts w:hint="eastAsia" w:ascii="仿宋" w:hAnsi="仿宋" w:eastAsia="仿宋" w:cs="仿宋"/>
          <w:color w:val="auto"/>
          <w:highlight w:val="none"/>
        </w:rPr>
        <w:t>有下列情况之一的，投标无效：</w:t>
      </w:r>
    </w:p>
    <w:p w14:paraId="64AFA8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15.1单位负责人为同一人或者存在直接控股、管理关系的不同供应商参加同一合同项下的政府采购活动的（均无效）；</w:t>
      </w:r>
    </w:p>
    <w:p w14:paraId="667677E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15.2为采购项目提供整体设计、规范编制或者项目管理、监理、检测等服务的供应商再参加该采购项目的其他采购活动的； </w:t>
      </w:r>
    </w:p>
    <w:p w14:paraId="0DB84D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15.3投标人不具备征集文件中规定的资格要求的（投标人未提供有效的资格证明文件的，视为投标人不具备征集文件中规定的资格要求）；</w:t>
      </w:r>
    </w:p>
    <w:p w14:paraId="39BE7E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15.4响应文件“资格文件”和“商务技术文件”部分中出现用于价格分评审的投标报价的（征集文件另有规定的参与“商务技术文件”评审的报价除外）；</w:t>
      </w:r>
    </w:p>
    <w:p w14:paraId="4CB348F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15.5响应文件未按征集文件规定的格式填写，或对招标服务或对技术或产品等要求未详细应答或应答内容不全、有缺失的，经评标委员会认定为无法评审的；</w:t>
      </w:r>
    </w:p>
    <w:p w14:paraId="381A567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15.6响应文件关键信息填写不完整或字迹不能辨认或有漏项的，经评标委员会认定属于重大偏差的；</w:t>
      </w:r>
    </w:p>
    <w:p w14:paraId="4401B4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15.7响应文件重要信息前后不一致，经评标委员会询标后仍然无法评审的；</w:t>
      </w:r>
    </w:p>
    <w:p w14:paraId="36DEA23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15.8响应文件未按照征集文件要求签署、盖章的；</w:t>
      </w:r>
    </w:p>
    <w:p w14:paraId="094FE14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15.9响应文件中未提供应当提供的政府强制采购节能品目内的节能产品或未提供有效的节能产品认证证书的（如果本项目采购涉及节能品目清单中的政府强制采购的节能产品的）；</w:t>
      </w:r>
    </w:p>
    <w:p w14:paraId="7C3B250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15.10响应文件含有征集人不能接受的附加条件的；</w:t>
      </w:r>
    </w:p>
    <w:p w14:paraId="4BC878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15.11响应文件中承诺的投标有效期少于征集文件中载明的投标有效期的；</w:t>
      </w:r>
    </w:p>
    <w:p w14:paraId="7A10413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15.12投标人所投内容不符合采购需求中实质性要求的；</w:t>
      </w:r>
    </w:p>
    <w:p w14:paraId="2F52E0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15.13响应文件出现不是唯一的、有选择性投标报价的;</w:t>
      </w:r>
    </w:p>
    <w:p w14:paraId="1A26998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15.14投标报价高于本项目采购预算或者最高限价的;</w:t>
      </w:r>
    </w:p>
    <w:p w14:paraId="5F03A0A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15.15报价明显低于其他通过符合性审查投标人的报价，有可能影响产品质量或者不能诚信履约的，未能按要求提供书面说明或者提交相关证明材料，不能证明其报价合理性的;</w:t>
      </w:r>
    </w:p>
    <w:p w14:paraId="5E3074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15.16《</w:t>
      </w:r>
      <w:r>
        <w:rPr>
          <w:rFonts w:hint="eastAsia" w:ascii="仿宋" w:hAnsi="仿宋" w:eastAsia="仿宋" w:cs="仿宋"/>
          <w:color w:val="auto"/>
          <w:sz w:val="24"/>
          <w:szCs w:val="28"/>
          <w:highlight w:val="none"/>
        </w:rPr>
        <w:t>开标一览表(报价表)</w:t>
      </w:r>
      <w:r>
        <w:rPr>
          <w:rFonts w:hint="eastAsia" w:ascii="仿宋" w:hAnsi="仿宋" w:eastAsia="仿宋" w:cs="仿宋"/>
          <w:color w:val="auto"/>
          <w:sz w:val="24"/>
          <w:highlight w:val="none"/>
        </w:rPr>
        <w:t>》填写不完整或字迹不能辨认或有漏项的，经评标委员会认定属于重大偏差的；</w:t>
      </w:r>
    </w:p>
    <w:p w14:paraId="62664A7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15.17投标人对根据修正原则修正后的报价不确认的；</w:t>
      </w:r>
    </w:p>
    <w:p w14:paraId="2BA710C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15.18投标人仅提交备份响应文件，未在电子交易平台传输递交响应文件的，投标无效；</w:t>
      </w:r>
    </w:p>
    <w:p w14:paraId="38FCA7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15.19</w:t>
      </w:r>
      <w:r>
        <w:rPr>
          <w:rFonts w:hint="eastAsia" w:ascii="仿宋" w:hAnsi="仿宋" w:eastAsia="仿宋" w:cs="仿宋"/>
          <w:b/>
          <w:snapToGrid w:val="0"/>
          <w:color w:val="auto"/>
          <w:kern w:val="28"/>
          <w:sz w:val="24"/>
          <w:highlight w:val="none"/>
        </w:rPr>
        <w:t>对未提供样品或提供样品不满足采购需求实质性条件；</w:t>
      </w:r>
      <w:r>
        <w:rPr>
          <w:rFonts w:hint="eastAsia" w:ascii="仿宋" w:hAnsi="仿宋" w:eastAsia="仿宋" w:cs="仿宋"/>
          <w:color w:val="auto"/>
          <w:sz w:val="24"/>
          <w:highlight w:val="none"/>
        </w:rPr>
        <w:t xml:space="preserve"> </w:t>
      </w:r>
    </w:p>
    <w:p w14:paraId="545BB9E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15.20投标人提供虚假材料投标的（包括但不限于以下情节）：</w:t>
      </w:r>
    </w:p>
    <w:p w14:paraId="686DF61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15.20.1使用伪造、变造的许可证件；</w:t>
      </w:r>
    </w:p>
    <w:p w14:paraId="489A197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15.20.2提供虚假的财务状况或者业绩；</w:t>
      </w:r>
    </w:p>
    <w:p w14:paraId="0F32AC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15.20.3提供虚假的项目负责人或者主要技术人员简历、劳动关系证明；</w:t>
      </w:r>
    </w:p>
    <w:p w14:paraId="106BD21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15.20.4提供虚假的信用状况；</w:t>
      </w:r>
    </w:p>
    <w:p w14:paraId="7E23EB8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15.20.5其他弄虚作假的行为。</w:t>
      </w:r>
    </w:p>
    <w:p w14:paraId="34CE87C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15.21投标人有恶意串通、妨碍其他投标人的竞争行为、损害征集人或者其他投标人的合法权益情形的；有下列情形之一的，属于或视为恶意串通，其投标无效：</w:t>
      </w:r>
    </w:p>
    <w:p w14:paraId="27B31B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15.20.1供应商直接或者间接从征集人或者采购代理机构处获得其他供应商的相关情况并修改其响应文件或者响应文件；</w:t>
      </w:r>
    </w:p>
    <w:p w14:paraId="019A11B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15.21.2供应商按照征集人或者采购代理机构的授意撤换、修改响应文件或者响应文件；</w:t>
      </w:r>
    </w:p>
    <w:p w14:paraId="5EF606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15.21.3供应商之间协商报价、技术方案等响应文件或者响应文件的实质性内容；</w:t>
      </w:r>
    </w:p>
    <w:p w14:paraId="0DCD04C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15.21.4属于同一集团、协会、商会等组织成员的供应商按照该组织要求协同参加政府采购活动；</w:t>
      </w:r>
    </w:p>
    <w:p w14:paraId="104D2D8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15.21.5供应商之间事先约定由某一特定供应商中标、成交；</w:t>
      </w:r>
    </w:p>
    <w:p w14:paraId="745EA60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15.21.6供应商之间商定部分供应商放弃参加政府采购活动或者放弃中标、成交；</w:t>
      </w:r>
    </w:p>
    <w:p w14:paraId="186DBB0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15.21.7供应商与征集人或者采购代理机构之间、供应商相互之间，为谋求特定供应商中标、成交或者排斥其他供应商的其他串通行为。</w:t>
      </w:r>
    </w:p>
    <w:p w14:paraId="0630210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15.21.8不同投标人的响应文件由同一单位或者个人编制；</w:t>
      </w:r>
    </w:p>
    <w:p w14:paraId="67C1FA8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15.21.9不同投标人委托同一单位或者个人办理投标事宜；</w:t>
      </w:r>
    </w:p>
    <w:p w14:paraId="4F896C9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15.21.10不同投标人的响应文件载明的项目管理成员或者联系人员为同一人；</w:t>
      </w:r>
    </w:p>
    <w:p w14:paraId="6F4AA39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15.21.11不同投标人的响应文件异常一致或者投标报价呈规律性差异；</w:t>
      </w:r>
    </w:p>
    <w:p w14:paraId="3AD8B9F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15.21.12不同投标人的响应文件相互混装；</w:t>
      </w:r>
    </w:p>
    <w:p w14:paraId="211F9B6F">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15.21.13不同供应商的电子投标（响应）文件上传计算机的网卡MAC地址、CPU序列号和硬盘序列号等硬件信息相同的；</w:t>
      </w:r>
    </w:p>
    <w:p w14:paraId="660587A0">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15.21.14不同供应商联系人为同一人或不同联系人的联系电话一致，且无法合理解释的</w:t>
      </w:r>
      <w:r>
        <w:rPr>
          <w:rFonts w:hint="eastAsia" w:ascii="仿宋" w:hAnsi="仿宋" w:eastAsia="仿宋" w:cs="仿宋_GB2312"/>
          <w:color w:val="auto"/>
          <w:highlight w:val="none"/>
        </w:rPr>
        <w:t>。</w:t>
      </w:r>
    </w:p>
    <w:p w14:paraId="0BE01E0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15.22违反法律、法规及本征集文件规定的其它无效投标情形。 </w:t>
      </w:r>
    </w:p>
    <w:p w14:paraId="4FD4BF81">
      <w:pPr>
        <w:pStyle w:val="23"/>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 xml:space="preserve"> 1</w:t>
      </w:r>
      <w:r>
        <w:rPr>
          <w:rFonts w:hint="eastAsia" w:ascii="仿宋" w:hAnsi="仿宋" w:eastAsia="仿宋" w:cs="仿宋"/>
          <w:b/>
          <w:color w:val="auto"/>
          <w:highlight w:val="none"/>
          <w:lang w:eastAsia="zh-CN"/>
        </w:rPr>
        <w:t>6</w:t>
      </w:r>
      <w:r>
        <w:rPr>
          <w:rFonts w:hint="eastAsia" w:ascii="仿宋" w:hAnsi="仿宋" w:eastAsia="仿宋" w:cs="仿宋"/>
          <w:b/>
          <w:color w:val="auto"/>
          <w:highlight w:val="none"/>
        </w:rPr>
        <w:t>.废标。</w:t>
      </w:r>
      <w:r>
        <w:rPr>
          <w:rFonts w:hint="eastAsia" w:ascii="仿宋" w:hAnsi="仿宋" w:eastAsia="仿宋" w:cs="仿宋"/>
          <w:color w:val="auto"/>
          <w:highlight w:val="none"/>
        </w:rPr>
        <w:t>根据《中华人民共和国政府采购法》第三十六条之规定，在采购中，出现下列情形之一的，应予废标：</w:t>
      </w:r>
    </w:p>
    <w:p w14:paraId="289AA8B8">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16.1符合专业条件的供应商或者对</w:t>
      </w:r>
      <w:r>
        <w:rPr>
          <w:rFonts w:hint="eastAsia" w:ascii="仿宋" w:hAnsi="仿宋" w:eastAsia="仿宋" w:cs="仿宋"/>
          <w:color w:val="auto"/>
          <w:highlight w:val="none"/>
          <w:lang w:eastAsia="zh-CN"/>
        </w:rPr>
        <w:t>征集文件</w:t>
      </w:r>
      <w:r>
        <w:rPr>
          <w:rFonts w:hint="eastAsia" w:ascii="仿宋" w:hAnsi="仿宋" w:eastAsia="仿宋" w:cs="仿宋"/>
          <w:color w:val="auto"/>
          <w:highlight w:val="none"/>
        </w:rPr>
        <w:t>作实质响应的供应商不足3家的；</w:t>
      </w:r>
    </w:p>
    <w:p w14:paraId="39138BD9">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16.2出现影响采购公正的违法、违规行为的；</w:t>
      </w:r>
    </w:p>
    <w:p w14:paraId="57F5A2B3">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16.3投标人的报价均超过了采购预算，</w:t>
      </w:r>
      <w:r>
        <w:rPr>
          <w:rFonts w:hint="eastAsia" w:ascii="仿宋" w:hAnsi="仿宋" w:eastAsia="仿宋" w:cs="仿宋"/>
          <w:color w:val="auto"/>
          <w:highlight w:val="none"/>
          <w:lang w:eastAsia="zh-CN"/>
        </w:rPr>
        <w:t>征集人</w:t>
      </w:r>
      <w:r>
        <w:rPr>
          <w:rFonts w:hint="eastAsia" w:ascii="仿宋" w:hAnsi="仿宋" w:eastAsia="仿宋" w:cs="仿宋"/>
          <w:color w:val="auto"/>
          <w:highlight w:val="none"/>
        </w:rPr>
        <w:t>不能支付的；</w:t>
      </w:r>
    </w:p>
    <w:p w14:paraId="01F87ADF">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16.4因重大变故，采购任务取消的。</w:t>
      </w:r>
    </w:p>
    <w:p w14:paraId="6A59A0B8">
      <w:pPr>
        <w:pStyle w:val="23"/>
        <w:snapToGrid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rPr>
        <w:t>废标后，采购代理机构应当将废标理由通知所有投标人。</w:t>
      </w:r>
    </w:p>
    <w:p w14:paraId="263C6369">
      <w:pPr>
        <w:pStyle w:val="23"/>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lang w:eastAsia="zh-CN"/>
        </w:rPr>
        <w:t>17</w:t>
      </w:r>
      <w:r>
        <w:rPr>
          <w:rFonts w:hint="eastAsia" w:ascii="仿宋" w:hAnsi="仿宋" w:eastAsia="仿宋" w:cs="仿宋"/>
          <w:b/>
          <w:color w:val="auto"/>
          <w:highlight w:val="none"/>
        </w:rPr>
        <w:t>.修改</w:t>
      </w:r>
      <w:r>
        <w:rPr>
          <w:rFonts w:hint="eastAsia" w:ascii="仿宋" w:hAnsi="仿宋" w:eastAsia="仿宋" w:cs="仿宋"/>
          <w:b/>
          <w:color w:val="auto"/>
          <w:highlight w:val="none"/>
          <w:lang w:eastAsia="zh-CN"/>
        </w:rPr>
        <w:t>征集文件</w:t>
      </w:r>
      <w:r>
        <w:rPr>
          <w:rFonts w:hint="eastAsia" w:ascii="仿宋" w:hAnsi="仿宋" w:eastAsia="仿宋" w:cs="仿宋"/>
          <w:b/>
          <w:color w:val="auto"/>
          <w:highlight w:val="none"/>
        </w:rPr>
        <w:t>，重新组织采购活动。</w:t>
      </w:r>
      <w:r>
        <w:rPr>
          <w:rFonts w:hint="eastAsia" w:ascii="仿宋" w:hAnsi="仿宋" w:eastAsia="仿宋" w:cs="仿宋"/>
          <w:color w:val="auto"/>
          <w:highlight w:val="none"/>
        </w:rPr>
        <w:t>评标委员会发现</w:t>
      </w:r>
      <w:r>
        <w:rPr>
          <w:rFonts w:hint="eastAsia" w:ascii="仿宋" w:hAnsi="仿宋" w:eastAsia="仿宋" w:cs="仿宋"/>
          <w:color w:val="auto"/>
          <w:highlight w:val="none"/>
          <w:lang w:eastAsia="zh-CN"/>
        </w:rPr>
        <w:t>征集文件</w:t>
      </w:r>
      <w:r>
        <w:rPr>
          <w:rFonts w:hint="eastAsia" w:ascii="仿宋" w:hAnsi="仿宋" w:eastAsia="仿宋" w:cs="仿宋"/>
          <w:color w:val="auto"/>
          <w:highlight w:val="none"/>
        </w:rPr>
        <w:t>存在歧义、重大缺陷导致评标工作无法进行，或者</w:t>
      </w:r>
      <w:r>
        <w:rPr>
          <w:rFonts w:hint="eastAsia" w:ascii="仿宋" w:hAnsi="仿宋" w:eastAsia="仿宋" w:cs="仿宋"/>
          <w:color w:val="auto"/>
          <w:highlight w:val="none"/>
          <w:lang w:eastAsia="zh-CN"/>
        </w:rPr>
        <w:t>征集文件</w:t>
      </w:r>
      <w:r>
        <w:rPr>
          <w:rFonts w:hint="eastAsia" w:ascii="仿宋" w:hAnsi="仿宋" w:eastAsia="仿宋" w:cs="仿宋"/>
          <w:color w:val="auto"/>
          <w:highlight w:val="none"/>
        </w:rPr>
        <w:t>内容违反国家有关强制性规定的，将停止评标工作，并与</w:t>
      </w:r>
      <w:r>
        <w:rPr>
          <w:rFonts w:hint="eastAsia" w:ascii="仿宋" w:hAnsi="仿宋" w:eastAsia="仿宋" w:cs="仿宋"/>
          <w:color w:val="auto"/>
          <w:highlight w:val="none"/>
          <w:lang w:eastAsia="zh-CN"/>
        </w:rPr>
        <w:t>征集人</w:t>
      </w:r>
      <w:r>
        <w:rPr>
          <w:rFonts w:hint="eastAsia" w:ascii="仿宋" w:hAnsi="仿宋" w:eastAsia="仿宋" w:cs="仿宋"/>
          <w:color w:val="auto"/>
          <w:highlight w:val="none"/>
        </w:rPr>
        <w:t>、采购代理机构沟通并作书面记录。</w:t>
      </w:r>
      <w:r>
        <w:rPr>
          <w:rFonts w:hint="eastAsia" w:ascii="仿宋" w:hAnsi="仿宋" w:eastAsia="仿宋" w:cs="仿宋"/>
          <w:color w:val="auto"/>
          <w:highlight w:val="none"/>
          <w:lang w:eastAsia="zh-CN"/>
        </w:rPr>
        <w:t>征集人</w:t>
      </w:r>
      <w:r>
        <w:rPr>
          <w:rFonts w:hint="eastAsia" w:ascii="仿宋" w:hAnsi="仿宋" w:eastAsia="仿宋" w:cs="仿宋"/>
          <w:color w:val="auto"/>
          <w:highlight w:val="none"/>
        </w:rPr>
        <w:t>、采购代理机构确认后，将修改</w:t>
      </w:r>
      <w:r>
        <w:rPr>
          <w:rFonts w:hint="eastAsia" w:ascii="仿宋" w:hAnsi="仿宋" w:eastAsia="仿宋" w:cs="仿宋"/>
          <w:color w:val="auto"/>
          <w:highlight w:val="none"/>
          <w:lang w:eastAsia="zh-CN"/>
        </w:rPr>
        <w:t>征集文件</w:t>
      </w:r>
      <w:r>
        <w:rPr>
          <w:rFonts w:hint="eastAsia" w:ascii="仿宋" w:hAnsi="仿宋" w:eastAsia="仿宋" w:cs="仿宋"/>
          <w:color w:val="auto"/>
          <w:highlight w:val="none"/>
        </w:rPr>
        <w:t>，重新组织采购活动。</w:t>
      </w:r>
    </w:p>
    <w:p w14:paraId="1828333F">
      <w:pPr>
        <w:pStyle w:val="23"/>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lang w:eastAsia="zh-CN"/>
        </w:rPr>
        <w:t>18</w:t>
      </w:r>
      <w:r>
        <w:rPr>
          <w:rFonts w:hint="eastAsia" w:ascii="仿宋" w:hAnsi="仿宋" w:eastAsia="仿宋" w:cs="仿宋"/>
          <w:b/>
          <w:color w:val="auto"/>
          <w:kern w:val="0"/>
          <w:highlight w:val="none"/>
        </w:rPr>
        <w:t>.重新开展采购。</w:t>
      </w:r>
      <w:r>
        <w:rPr>
          <w:rFonts w:hint="eastAsia" w:ascii="仿宋" w:hAnsi="仿宋" w:eastAsia="仿宋" w:cs="仿宋"/>
          <w:color w:val="auto"/>
          <w:highlight w:val="none"/>
        </w:rPr>
        <w:t>有中华人民共和国政府采购法第七十一条、第七十二条规定的违法行为之一，影响或者可能影响中标结果的，依照下列规定处理：</w:t>
      </w:r>
    </w:p>
    <w:p w14:paraId="4F41DBD5">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.1未确定中标供应商的，终止本次政府采购活动，重新开展政府采购活动。</w:t>
      </w:r>
    </w:p>
    <w:p w14:paraId="7543FE44">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.2已确定中标供应商但尚未签订政府采购合同的，中标结果无效，从合格的中标候选人中另行确定中标供应商；没有合格的中标候选人的，重新开展政府采购活动。</w:t>
      </w:r>
    </w:p>
    <w:p w14:paraId="72860934">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.3政府采购合同已签订但尚未履行的，撤销合同，从合格的中标候选人中另行确定中标供应商；没有合格的中标候选人的，重新开展政府采购活动。</w:t>
      </w:r>
    </w:p>
    <w:p w14:paraId="16A568B5">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.4政府采购合同已经履行，给</w:t>
      </w:r>
      <w:r>
        <w:rPr>
          <w:rFonts w:hint="eastAsia" w:ascii="仿宋" w:hAnsi="仿宋" w:eastAsia="仿宋" w:cs="仿宋"/>
          <w:color w:val="auto"/>
          <w:highlight w:val="none"/>
          <w:lang w:eastAsia="zh-CN"/>
        </w:rPr>
        <w:t>征集人</w:t>
      </w:r>
      <w:r>
        <w:rPr>
          <w:rFonts w:hint="eastAsia" w:ascii="仿宋" w:hAnsi="仿宋" w:eastAsia="仿宋" w:cs="仿宋"/>
          <w:color w:val="auto"/>
          <w:highlight w:val="none"/>
        </w:rPr>
        <w:t>、供应商造成损失的，由责任人承担赔偿责任。</w:t>
      </w:r>
    </w:p>
    <w:p w14:paraId="37961CE9">
      <w:pPr>
        <w:pStyle w:val="23"/>
        <w:snapToGrid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.5政府采购当事人有其他违反中华人民共和国政府采购法或者中华人民共和国政府采购法实施条例等法律法规规定的行为，经改正后仍然影响或者可能影响中标结果或者依法被认定为中标无效的，依照</w:t>
      </w: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.1-</w:t>
      </w:r>
      <w:r>
        <w:rPr>
          <w:rFonts w:hint="eastAsia" w:ascii="仿宋" w:hAnsi="仿宋" w:eastAsia="仿宋" w:cs="仿宋"/>
          <w:color w:val="auto"/>
          <w:highlight w:val="none"/>
          <w:lang w:eastAsia="zh-CN"/>
        </w:rPr>
        <w:t>18</w:t>
      </w:r>
      <w:r>
        <w:rPr>
          <w:rFonts w:hint="eastAsia" w:ascii="仿宋" w:hAnsi="仿宋" w:eastAsia="仿宋" w:cs="仿宋"/>
          <w:color w:val="auto"/>
          <w:highlight w:val="none"/>
        </w:rPr>
        <w:t>.4规定处理。</w:t>
      </w:r>
    </w:p>
    <w:p w14:paraId="783E5CB1">
      <w:pPr>
        <w:widowControl/>
        <w:adjustRightInd/>
        <w:spacing w:line="360" w:lineRule="auto"/>
        <w:jc w:val="center"/>
        <w:rPr>
          <w:rFonts w:hint="eastAsia" w:ascii="仿宋" w:hAnsi="仿宋" w:eastAsia="仿宋" w:cs="仿宋"/>
          <w:b/>
          <w:color w:val="auto"/>
          <w:sz w:val="32"/>
          <w:highlight w:val="none"/>
        </w:rPr>
      </w:pPr>
    </w:p>
    <w:p w14:paraId="4C2A560A">
      <w:pPr>
        <w:widowControl/>
        <w:adjustRightInd/>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六、 废标</w:t>
      </w:r>
    </w:p>
    <w:p w14:paraId="58407810">
      <w:pPr>
        <w:pStyle w:val="23"/>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highlight w:val="none"/>
        </w:rPr>
        <w:t>16.废标。</w:t>
      </w:r>
      <w:r>
        <w:rPr>
          <w:rFonts w:hint="eastAsia" w:ascii="仿宋" w:hAnsi="仿宋" w:eastAsia="仿宋" w:cs="仿宋"/>
          <w:color w:val="auto"/>
          <w:highlight w:val="none"/>
        </w:rPr>
        <w:t>根据《中华人民共和国政府采购法》第三十六条之规定，在采购中，出现下列情形之一的，应予废标：</w:t>
      </w:r>
    </w:p>
    <w:p w14:paraId="7E792E8D">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16.1符合专业条件的供应商或者对征集文件作实质响应的供应商不足</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家的；</w:t>
      </w:r>
    </w:p>
    <w:p w14:paraId="0727EDA4">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16.2出现影响采购公正的违法、违规行为的；</w:t>
      </w:r>
    </w:p>
    <w:p w14:paraId="6DE87D75">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16.3投标人的报价均超过了采购预算，</w:t>
      </w:r>
      <w:r>
        <w:rPr>
          <w:rFonts w:hint="eastAsia" w:ascii="仿宋" w:hAnsi="仿宋" w:eastAsia="仿宋" w:cs="仿宋"/>
          <w:color w:val="auto"/>
          <w:highlight w:val="none"/>
          <w:lang w:eastAsia="zh-CN"/>
        </w:rPr>
        <w:t>征集人</w:t>
      </w:r>
      <w:r>
        <w:rPr>
          <w:rFonts w:hint="eastAsia" w:ascii="仿宋" w:hAnsi="仿宋" w:eastAsia="仿宋" w:cs="仿宋"/>
          <w:color w:val="auto"/>
          <w:highlight w:val="none"/>
        </w:rPr>
        <w:t>不能支付的；</w:t>
      </w:r>
    </w:p>
    <w:p w14:paraId="2A11CE74">
      <w:pPr>
        <w:pStyle w:val="23"/>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16.4因重大变故，采购任务取消的。</w:t>
      </w:r>
    </w:p>
    <w:p w14:paraId="5714EFC2">
      <w:pPr>
        <w:pStyle w:val="23"/>
        <w:snapToGrid w:val="0"/>
        <w:spacing w:line="360" w:lineRule="auto"/>
        <w:rPr>
          <w:rFonts w:hint="eastAsia" w:ascii="仿宋" w:hAnsi="仿宋" w:eastAsia="仿宋" w:cs="仿宋"/>
          <w:b/>
          <w:color w:val="auto"/>
          <w:sz w:val="32"/>
          <w:highlight w:val="none"/>
        </w:rPr>
      </w:pPr>
      <w:r>
        <w:rPr>
          <w:rFonts w:hint="eastAsia" w:ascii="仿宋" w:hAnsi="仿宋" w:eastAsia="仿宋" w:cs="仿宋"/>
          <w:color w:val="auto"/>
          <w:highlight w:val="none"/>
        </w:rPr>
        <w:t>废标后，采购代理机构应当将废标理由通知所有投标人。</w:t>
      </w:r>
    </w:p>
    <w:p w14:paraId="0E17EFB7">
      <w:pPr>
        <w:snapToGrid w:val="0"/>
        <w:spacing w:line="360" w:lineRule="auto"/>
        <w:rPr>
          <w:rFonts w:hint="eastAsia" w:ascii="仿宋" w:hAnsi="仿宋" w:eastAsia="仿宋" w:cs="仿宋"/>
          <w:b/>
          <w:color w:val="auto"/>
          <w:sz w:val="32"/>
          <w:highlight w:val="none"/>
        </w:rPr>
      </w:pPr>
    </w:p>
    <w:p w14:paraId="52FEF371">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七、评审过程的保密与录像</w:t>
      </w:r>
    </w:p>
    <w:p w14:paraId="552A4C70">
      <w:pPr>
        <w:widowControl/>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17.保密。</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以及涉及国家秘密和商业秘密等信息，评标委员会成员、征集人和采购代理机构工作人员、相关监督人员等与评审有关的人员应当予以保密。</w:t>
      </w:r>
    </w:p>
    <w:p w14:paraId="5B03739E">
      <w:pPr>
        <w:widowControl/>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18.录音录像。</w:t>
      </w:r>
      <w:r>
        <w:rPr>
          <w:rFonts w:hint="eastAsia" w:ascii="仿宋" w:hAnsi="仿宋" w:eastAsia="仿宋" w:cs="仿宋"/>
          <w:color w:val="auto"/>
          <w:sz w:val="24"/>
          <w:highlight w:val="none"/>
        </w:rPr>
        <w:t>采购代理机构对评审工作现场进行全过程录音录像，录音录像资料作为采购项目文件随其他文件一并存档。</w:t>
      </w:r>
    </w:p>
    <w:p w14:paraId="7AD6C89D">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170A1655">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br w:type="page"/>
      </w:r>
      <w:r>
        <w:rPr>
          <w:rFonts w:hint="eastAsia" w:ascii="仿宋" w:hAnsi="仿宋" w:eastAsia="仿宋" w:cs="仿宋"/>
          <w:b/>
          <w:color w:val="auto"/>
          <w:sz w:val="32"/>
          <w:highlight w:val="none"/>
        </w:rPr>
        <w:t>七、具体评标标准</w:t>
      </w:r>
    </w:p>
    <w:p w14:paraId="587D28CE">
      <w:pPr>
        <w:widowControl/>
        <w:spacing w:line="360" w:lineRule="auto"/>
        <w:ind w:firstLine="480" w:firstLineChars="200"/>
        <w:rPr>
          <w:rFonts w:hint="eastAsia" w:ascii="仿宋" w:hAnsi="仿宋" w:eastAsia="仿宋" w:cs="仿宋"/>
          <w:color w:val="auto"/>
          <w:sz w:val="24"/>
          <w:highlight w:val="none"/>
        </w:rPr>
      </w:pPr>
      <w:bookmarkStart w:id="428" w:name="gxebd_pack_1_EvalFactorAccordEnd"/>
      <w:bookmarkEnd w:id="428"/>
      <w:r>
        <w:rPr>
          <w:rFonts w:hint="eastAsia" w:ascii="仿宋" w:hAnsi="仿宋" w:eastAsia="仿宋" w:cs="仿宋"/>
          <w:color w:val="auto"/>
          <w:sz w:val="24"/>
          <w:highlight w:val="none"/>
        </w:rPr>
        <w:t>19.商务技术分（100分）</w:t>
      </w:r>
    </w:p>
    <w:tbl>
      <w:tblPr>
        <w:tblStyle w:val="60"/>
        <w:tblW w:w="907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966"/>
        <w:gridCol w:w="6547"/>
        <w:gridCol w:w="851"/>
      </w:tblGrid>
      <w:tr w14:paraId="2BBAC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14:paraId="143D5209">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序号</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4AC12AA2">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评分点</w:t>
            </w:r>
          </w:p>
        </w:tc>
        <w:tc>
          <w:tcPr>
            <w:tcW w:w="6547" w:type="dxa"/>
            <w:tcBorders>
              <w:top w:val="single" w:color="auto" w:sz="4" w:space="0"/>
              <w:left w:val="single" w:color="auto" w:sz="4" w:space="0"/>
              <w:bottom w:val="single" w:color="auto" w:sz="4" w:space="0"/>
              <w:right w:val="single" w:color="auto" w:sz="4" w:space="0"/>
            </w:tcBorders>
            <w:noWrap w:val="0"/>
            <w:vAlign w:val="center"/>
          </w:tcPr>
          <w:p w14:paraId="20B03DD9">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评分内容</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16E2ACD7">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分值</w:t>
            </w:r>
          </w:p>
        </w:tc>
      </w:tr>
      <w:tr w14:paraId="6A76B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14:paraId="0926F09C">
            <w:pPr>
              <w:widowControl/>
              <w:spacing w:line="400" w:lineRule="exact"/>
              <w:ind w:firstLine="240" w:firstLineChars="100"/>
              <w:rPr>
                <w:rFonts w:hint="eastAsia" w:ascii="仿宋" w:hAnsi="仿宋" w:eastAsia="仿宋" w:cs="仿宋"/>
                <w:color w:val="auto"/>
                <w:sz w:val="24"/>
                <w:szCs w:val="20"/>
                <w:highlight w:val="none"/>
                <w:lang w:val="en-US" w:eastAsia="zh-CN"/>
              </w:rPr>
            </w:pPr>
            <w:r>
              <w:rPr>
                <w:rFonts w:hint="eastAsia" w:ascii="仿宋" w:hAnsi="仿宋" w:eastAsia="仿宋" w:cs="仿宋"/>
                <w:color w:val="auto"/>
                <w:sz w:val="24"/>
                <w:szCs w:val="20"/>
                <w:highlight w:val="none"/>
                <w:lang w:val="en-US" w:eastAsia="zh-CN"/>
              </w:rPr>
              <w:t>1</w:t>
            </w:r>
          </w:p>
        </w:tc>
        <w:tc>
          <w:tcPr>
            <w:tcW w:w="966" w:type="dxa"/>
            <w:tcBorders>
              <w:top w:val="single" w:color="auto" w:sz="4" w:space="0"/>
              <w:left w:val="single" w:color="auto" w:sz="4" w:space="0"/>
              <w:bottom w:val="single" w:color="auto" w:sz="4" w:space="0"/>
              <w:right w:val="single" w:color="auto" w:sz="4" w:space="0"/>
            </w:tcBorders>
            <w:noWrap w:val="0"/>
            <w:vAlign w:val="center"/>
          </w:tcPr>
          <w:p w14:paraId="47F55248">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企业管理体系认证</w:t>
            </w:r>
          </w:p>
        </w:tc>
        <w:tc>
          <w:tcPr>
            <w:tcW w:w="6547" w:type="dxa"/>
            <w:tcBorders>
              <w:top w:val="single" w:color="auto" w:sz="4" w:space="0"/>
              <w:left w:val="single" w:color="auto" w:sz="4" w:space="0"/>
              <w:bottom w:val="single" w:color="auto" w:sz="4" w:space="0"/>
              <w:right w:val="single" w:color="auto" w:sz="4" w:space="0"/>
            </w:tcBorders>
            <w:noWrap w:val="0"/>
            <w:vAlign w:val="center"/>
          </w:tcPr>
          <w:p w14:paraId="757C908B">
            <w:pPr>
              <w:kinsoku/>
              <w:wordWrap/>
              <w:overflowPunct/>
              <w:topLinePunct w:val="0"/>
              <w:bidi w:val="0"/>
              <w:spacing w:beforeLines="0" w:afterLines="0" w:line="288"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1.投标人</w:t>
            </w:r>
            <w:r>
              <w:rPr>
                <w:rFonts w:hint="eastAsia" w:ascii="仿宋" w:hAnsi="仿宋" w:eastAsia="仿宋" w:cs="仿宋_GB2312"/>
                <w:color w:val="auto"/>
                <w:sz w:val="24"/>
                <w:highlight w:val="none"/>
              </w:rPr>
              <w:t>具有质量管理体系认证得1分；具有职业健康安全管理体系认证得1分；具有环境管理体系认证证书</w:t>
            </w:r>
            <w:r>
              <w:rPr>
                <w:rFonts w:hint="eastAsia" w:ascii="仿宋" w:hAnsi="仿宋" w:eastAsia="仿宋" w:cs="仿宋_GB2312"/>
                <w:color w:val="auto"/>
                <w:sz w:val="24"/>
                <w:highlight w:val="none"/>
                <w:lang w:val="en-US" w:eastAsia="zh-CN"/>
              </w:rPr>
              <w:t>得1分。</w:t>
            </w:r>
          </w:p>
          <w:p w14:paraId="44F625FF">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4"/>
                <w:highlight w:val="none"/>
              </w:rPr>
              <w:t>（投标文件中提供相关证书并加盖投标人公章）</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67713F99">
            <w:pPr>
              <w:widowControl/>
              <w:spacing w:line="400" w:lineRule="exact"/>
              <w:jc w:val="center"/>
              <w:rPr>
                <w:rFonts w:hint="eastAsia" w:ascii="仿宋" w:hAnsi="仿宋" w:eastAsia="仿宋" w:cs="仿宋"/>
                <w:color w:val="auto"/>
                <w:sz w:val="24"/>
                <w:szCs w:val="20"/>
                <w:highlight w:val="none"/>
                <w:lang w:val="en-US" w:eastAsia="zh-CN"/>
              </w:rPr>
            </w:pPr>
            <w:r>
              <w:rPr>
                <w:rFonts w:hint="eastAsia" w:ascii="仿宋" w:hAnsi="仿宋" w:eastAsia="仿宋" w:cs="仿宋"/>
                <w:color w:val="auto"/>
                <w:sz w:val="24"/>
                <w:szCs w:val="20"/>
                <w:highlight w:val="none"/>
                <w:lang w:val="en-US" w:eastAsia="zh-CN"/>
              </w:rPr>
              <w:t>3分</w:t>
            </w:r>
          </w:p>
        </w:tc>
      </w:tr>
      <w:tr w14:paraId="6B224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C281492">
            <w:pPr>
              <w:widowControl/>
              <w:spacing w:line="400" w:lineRule="exact"/>
              <w:jc w:val="center"/>
              <w:rPr>
                <w:rFonts w:hint="eastAsia"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val="en-US" w:eastAsia="zh-CN"/>
              </w:rPr>
              <w:t>2</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0F417A">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企业 信誉</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4FB0092F">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在投标截止日当月获得省级及以上造价管理部门评定的造价咨询企业动态信用等级AAAA级</w:t>
            </w:r>
            <w:r>
              <w:rPr>
                <w:rFonts w:hint="eastAsia" w:ascii="仿宋" w:hAnsi="仿宋" w:eastAsia="仿宋" w:cs="仿宋"/>
                <w:color w:val="auto"/>
                <w:sz w:val="24"/>
                <w:szCs w:val="20"/>
                <w:highlight w:val="none"/>
                <w:lang w:eastAsia="zh-CN"/>
              </w:rPr>
              <w:t>及</w:t>
            </w:r>
            <w:r>
              <w:rPr>
                <w:rFonts w:hint="eastAsia" w:ascii="仿宋" w:hAnsi="仿宋" w:eastAsia="仿宋" w:cs="仿宋"/>
                <w:color w:val="auto"/>
                <w:sz w:val="24"/>
                <w:szCs w:val="20"/>
                <w:highlight w:val="none"/>
              </w:rPr>
              <w:t>以上</w:t>
            </w:r>
            <w:r>
              <w:rPr>
                <w:rFonts w:hint="eastAsia" w:ascii="仿宋" w:hAnsi="仿宋" w:eastAsia="仿宋" w:cs="仿宋"/>
                <w:color w:val="auto"/>
                <w:sz w:val="24"/>
                <w:szCs w:val="20"/>
                <w:highlight w:val="none"/>
                <w:lang w:val="en-US" w:eastAsia="zh-CN"/>
              </w:rPr>
              <w:t>2</w:t>
            </w:r>
            <w:r>
              <w:rPr>
                <w:rFonts w:hint="eastAsia" w:ascii="仿宋" w:hAnsi="仿宋" w:eastAsia="仿宋" w:cs="仿宋"/>
                <w:color w:val="auto"/>
                <w:sz w:val="24"/>
                <w:szCs w:val="20"/>
                <w:highlight w:val="none"/>
              </w:rPr>
              <w:t>分，AAA级</w:t>
            </w:r>
            <w:r>
              <w:rPr>
                <w:rFonts w:hint="eastAsia" w:ascii="仿宋" w:hAnsi="仿宋" w:eastAsia="仿宋" w:cs="仿宋"/>
                <w:color w:val="auto"/>
                <w:sz w:val="24"/>
                <w:szCs w:val="20"/>
                <w:highlight w:val="none"/>
                <w:lang w:eastAsia="zh-CN"/>
              </w:rPr>
              <w:t>得</w:t>
            </w:r>
            <w:r>
              <w:rPr>
                <w:rFonts w:hint="eastAsia" w:ascii="仿宋" w:hAnsi="仿宋" w:eastAsia="仿宋" w:cs="仿宋"/>
                <w:color w:val="auto"/>
                <w:sz w:val="24"/>
                <w:szCs w:val="20"/>
                <w:highlight w:val="none"/>
                <w:lang w:val="en-US" w:eastAsia="zh-CN"/>
              </w:rPr>
              <w:t>1.5分，AA级得1分，A级得0.5</w:t>
            </w:r>
            <w:r>
              <w:rPr>
                <w:rFonts w:hint="eastAsia" w:ascii="仿宋" w:hAnsi="仿宋" w:eastAsia="仿宋" w:cs="仿宋"/>
                <w:color w:val="auto"/>
                <w:sz w:val="24"/>
                <w:szCs w:val="20"/>
                <w:highlight w:val="none"/>
              </w:rPr>
              <w:t>分</w:t>
            </w:r>
            <w:r>
              <w:rPr>
                <w:rFonts w:hint="eastAsia" w:ascii="仿宋" w:hAnsi="仿宋" w:eastAsia="仿宋" w:cs="仿宋"/>
                <w:color w:val="auto"/>
                <w:sz w:val="24"/>
                <w:szCs w:val="20"/>
                <w:highlight w:val="none"/>
                <w:lang w:eastAsia="zh-CN"/>
              </w:rPr>
              <w:t>，其余不得分</w:t>
            </w:r>
            <w:r>
              <w:rPr>
                <w:rFonts w:hint="eastAsia" w:ascii="仿宋" w:hAnsi="仿宋" w:eastAsia="仿宋" w:cs="仿宋"/>
                <w:color w:val="auto"/>
                <w:sz w:val="24"/>
                <w:szCs w:val="20"/>
                <w:highlight w:val="none"/>
              </w:rPr>
              <w:t>。（提供信用等级证书扫描件并加盖投标人公章）</w:t>
            </w:r>
          </w:p>
          <w:p w14:paraId="4B98C7A2">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注：若投标人所在地动态信用评价等级以其他形式表示的，各等级从高到低依次对应，且应提供等级排序的相关证明，否则不予认可，如造价咨询企业动态信用等级为A、B、C、D，其中信用A为最高级的，A对应本次招投标活动中的AAAAA，B对应本次招投标活动中的AAAA，依次类推。</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62636317">
            <w:pPr>
              <w:widowControl/>
              <w:spacing w:line="400" w:lineRule="exact"/>
              <w:jc w:val="center"/>
              <w:rPr>
                <w:rFonts w:hint="eastAsia" w:ascii="仿宋" w:hAnsi="仿宋" w:eastAsia="仿宋" w:cs="仿宋"/>
                <w:color w:val="auto"/>
                <w:sz w:val="24"/>
                <w:szCs w:val="20"/>
                <w:highlight w:val="none"/>
                <w:lang w:val="en-US" w:eastAsia="zh-CN"/>
              </w:rPr>
            </w:pPr>
            <w:r>
              <w:rPr>
                <w:rFonts w:hint="eastAsia" w:ascii="仿宋" w:hAnsi="仿宋" w:eastAsia="仿宋" w:cs="仿宋"/>
                <w:color w:val="auto"/>
                <w:sz w:val="24"/>
                <w:szCs w:val="20"/>
                <w:highlight w:val="none"/>
                <w:lang w:val="en-US" w:eastAsia="zh-CN"/>
              </w:rPr>
              <w:t>2分</w:t>
            </w:r>
          </w:p>
        </w:tc>
      </w:tr>
      <w:tr w14:paraId="1AFB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63B334">
            <w:pPr>
              <w:widowControl/>
              <w:spacing w:line="400" w:lineRule="exact"/>
              <w:jc w:val="center"/>
              <w:rPr>
                <w:rFonts w:hint="eastAsia"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val="en-US" w:eastAsia="zh-CN"/>
              </w:rPr>
              <w:t>3</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66CA7C">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业绩  </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447496D">
            <w:pPr>
              <w:widowControl/>
              <w:shd w:val="clear" w:color="auto" w:fill="FFFFFF"/>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1、2022年1月1日（以合同签订时间为准）以来，承接过工程或采购类招标代理项目的，每提供1份得1分，最高得2分；（投标文件中提供合同和相关材料复印件并加盖单位公章）</w:t>
            </w:r>
          </w:p>
          <w:p w14:paraId="5D02FD8A">
            <w:pPr>
              <w:widowControl/>
              <w:shd w:val="clear" w:color="auto" w:fill="FFFFFF"/>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2、2022年1月1日（以合同签订时间为准）以来，承接过标底编制或审核项目的得1分；（投标文件中提供相应合同及标底报价书复印件并加盖单位公章）</w:t>
            </w:r>
          </w:p>
          <w:p w14:paraId="05E927EA">
            <w:pPr>
              <w:widowControl/>
              <w:shd w:val="clear" w:color="auto" w:fill="FFFFFF"/>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注：同一单位仅计算一次。</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18FCE6B9">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en-US" w:eastAsia="zh-CN"/>
              </w:rPr>
              <w:t>3</w:t>
            </w:r>
            <w:r>
              <w:rPr>
                <w:rFonts w:hint="eastAsia" w:ascii="仿宋" w:hAnsi="仿宋" w:eastAsia="仿宋" w:cs="仿宋"/>
                <w:color w:val="auto"/>
                <w:sz w:val="24"/>
                <w:szCs w:val="20"/>
                <w:highlight w:val="none"/>
              </w:rPr>
              <w:t>分</w:t>
            </w:r>
          </w:p>
        </w:tc>
      </w:tr>
      <w:tr w14:paraId="44465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776786">
            <w:pPr>
              <w:widowControl/>
              <w:spacing w:line="400" w:lineRule="exact"/>
              <w:jc w:val="center"/>
              <w:rPr>
                <w:rFonts w:hint="eastAsia"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val="en-US" w:eastAsia="zh-CN"/>
              </w:rPr>
              <w:t>4</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066764">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项目组人员 配置</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2BDD56F">
            <w:pPr>
              <w:widowControl/>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1、招标代理：项目组成员（包括项目负责人）具有招标代理工作经验三年及以上的每人得1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分，最多得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分。（投标文件中提供上述人员近三个月社保证明及相关工作经验证明材料，不提供不得分。）</w:t>
            </w:r>
          </w:p>
          <w:p w14:paraId="1C7B812E">
            <w:pPr>
              <w:widowControl/>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2、造价咨询：项目组成员（包括项目负责人）具有一级注册造价工程师的，每个得1分（须分别为土木建筑工程、交通运输工程、水利工程、安装工程专业，专业重复算1分），最高得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392106CA">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（投标文件中提供上述人员相关证书并加盖公章，并提供近三个月社保证明，不提供不得分。）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527E6F69">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en-US" w:eastAsia="zh-CN"/>
              </w:rPr>
              <w:t>5</w:t>
            </w:r>
            <w:r>
              <w:rPr>
                <w:rFonts w:hint="eastAsia" w:ascii="仿宋" w:hAnsi="仿宋" w:eastAsia="仿宋" w:cs="仿宋"/>
                <w:color w:val="auto"/>
                <w:sz w:val="24"/>
                <w:szCs w:val="20"/>
                <w:highlight w:val="none"/>
              </w:rPr>
              <w:t>分</w:t>
            </w:r>
          </w:p>
        </w:tc>
      </w:tr>
      <w:tr w14:paraId="245D1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70AF074">
            <w:pPr>
              <w:widowControl/>
              <w:spacing w:line="400" w:lineRule="exact"/>
              <w:jc w:val="center"/>
              <w:rPr>
                <w:rFonts w:hint="eastAsia"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val="en-US" w:eastAsia="zh-CN"/>
              </w:rPr>
              <w:t>5</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3793C7">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招标代理服务方案</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top"/>
          </w:tcPr>
          <w:p w14:paraId="1DF20ED7">
            <w:pPr>
              <w:widowControl/>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szCs w:val="20"/>
                <w:highlight w:val="none"/>
              </w:rPr>
              <w:t>对招标代理工作内容、工作方案及工作思路。由评标委员会根据方案是否覆盖全面、是否科学合理、具有针对性和可操作性酌情打分；方案合理性、科学性，可操作性强的得</w:t>
            </w:r>
            <w:r>
              <w:rPr>
                <w:rFonts w:hint="eastAsia" w:ascii="仿宋" w:hAnsi="仿宋" w:eastAsia="仿宋" w:cs="仿宋"/>
                <w:color w:val="auto"/>
                <w:sz w:val="24"/>
                <w:szCs w:val="20"/>
                <w:highlight w:val="none"/>
                <w:lang w:val="en-US" w:eastAsia="zh-CN"/>
              </w:rPr>
              <w:t>17</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1</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25</w:t>
            </w:r>
            <w:r>
              <w:rPr>
                <w:rFonts w:hint="eastAsia" w:ascii="仿宋" w:hAnsi="仿宋" w:eastAsia="仿宋" w:cs="仿宋"/>
                <w:color w:val="auto"/>
                <w:sz w:val="24"/>
                <w:szCs w:val="20"/>
                <w:highlight w:val="none"/>
              </w:rPr>
              <w:t>.0分；方案简单，内容基本有提及且合理的得</w:t>
            </w:r>
            <w:r>
              <w:rPr>
                <w:rFonts w:hint="eastAsia" w:ascii="仿宋" w:hAnsi="仿宋" w:eastAsia="仿宋" w:cs="仿宋"/>
                <w:color w:val="auto"/>
                <w:sz w:val="24"/>
                <w:szCs w:val="20"/>
                <w:highlight w:val="none"/>
                <w:lang w:val="en-US" w:eastAsia="zh-CN"/>
              </w:rPr>
              <w:t>9</w:t>
            </w:r>
            <w:r>
              <w:rPr>
                <w:rFonts w:hint="eastAsia" w:ascii="仿宋" w:hAnsi="仿宋" w:eastAsia="仿宋" w:cs="仿宋"/>
                <w:color w:val="auto"/>
                <w:sz w:val="24"/>
                <w:szCs w:val="20"/>
                <w:highlight w:val="none"/>
              </w:rPr>
              <w:t>.1-</w:t>
            </w:r>
            <w:r>
              <w:rPr>
                <w:rFonts w:hint="eastAsia" w:ascii="仿宋" w:hAnsi="仿宋" w:eastAsia="仿宋" w:cs="仿宋"/>
                <w:color w:val="auto"/>
                <w:sz w:val="24"/>
                <w:szCs w:val="20"/>
                <w:highlight w:val="none"/>
                <w:lang w:val="en-US" w:eastAsia="zh-CN"/>
              </w:rPr>
              <w:t>17</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0</w:t>
            </w:r>
            <w:r>
              <w:rPr>
                <w:rFonts w:hint="eastAsia" w:ascii="仿宋" w:hAnsi="仿宋" w:eastAsia="仿宋" w:cs="仿宋"/>
                <w:color w:val="auto"/>
                <w:sz w:val="24"/>
                <w:szCs w:val="20"/>
                <w:highlight w:val="none"/>
              </w:rPr>
              <w:t>分；方案不科学合理，内容有提及但不完整，缺乏针对性和可操作性的得0.1-</w:t>
            </w:r>
            <w:r>
              <w:rPr>
                <w:rFonts w:hint="eastAsia" w:ascii="仿宋" w:hAnsi="仿宋" w:eastAsia="仿宋" w:cs="仿宋"/>
                <w:color w:val="auto"/>
                <w:sz w:val="24"/>
                <w:szCs w:val="20"/>
                <w:highlight w:val="none"/>
                <w:lang w:val="en-US" w:eastAsia="zh-CN"/>
              </w:rPr>
              <w:t>9</w:t>
            </w:r>
            <w:r>
              <w:rPr>
                <w:rFonts w:hint="eastAsia" w:ascii="仿宋" w:hAnsi="仿宋" w:eastAsia="仿宋" w:cs="仿宋"/>
                <w:color w:val="auto"/>
                <w:sz w:val="24"/>
                <w:szCs w:val="20"/>
                <w:highlight w:val="none"/>
              </w:rPr>
              <w:t>.0分；未提供不得分。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536FC769">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en-US" w:eastAsia="zh-CN"/>
              </w:rPr>
              <w:t>25</w:t>
            </w:r>
            <w:r>
              <w:rPr>
                <w:rFonts w:hint="eastAsia" w:ascii="仿宋" w:hAnsi="仿宋" w:eastAsia="仿宋" w:cs="仿宋"/>
                <w:color w:val="auto"/>
                <w:sz w:val="24"/>
                <w:szCs w:val="20"/>
                <w:highlight w:val="none"/>
              </w:rPr>
              <w:t>分</w:t>
            </w:r>
          </w:p>
        </w:tc>
      </w:tr>
      <w:tr w14:paraId="07B95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29432C">
            <w:pPr>
              <w:widowControl/>
              <w:spacing w:line="400" w:lineRule="exact"/>
              <w:jc w:val="center"/>
              <w:rPr>
                <w:rFonts w:hint="eastAsia"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val="en-US" w:eastAsia="zh-CN"/>
              </w:rPr>
              <w:t>6</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F018F1">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造价咨询工作方案</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top"/>
          </w:tcPr>
          <w:p w14:paraId="204C6FDE">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对造价咨询工作内容、工作方案及工作思路。由评标委员会根据方案是否覆盖全面、是否科学合理、具有针对性和可操作性酌情打分；方案合理性、科学性，可操作性强的得</w:t>
            </w:r>
            <w:r>
              <w:rPr>
                <w:rFonts w:hint="eastAsia" w:ascii="仿宋" w:hAnsi="仿宋" w:eastAsia="仿宋" w:cs="仿宋"/>
                <w:color w:val="auto"/>
                <w:sz w:val="24"/>
                <w:szCs w:val="20"/>
                <w:highlight w:val="none"/>
                <w:lang w:val="en-US" w:eastAsia="zh-CN"/>
              </w:rPr>
              <w:t>16</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1</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24</w:t>
            </w:r>
            <w:r>
              <w:rPr>
                <w:rFonts w:hint="eastAsia" w:ascii="仿宋" w:hAnsi="仿宋" w:eastAsia="仿宋" w:cs="仿宋"/>
                <w:color w:val="auto"/>
                <w:sz w:val="24"/>
                <w:szCs w:val="20"/>
                <w:highlight w:val="none"/>
              </w:rPr>
              <w:t>.0分；方案简单，内容基本有提及且合理的得</w:t>
            </w:r>
            <w:r>
              <w:rPr>
                <w:rFonts w:hint="eastAsia" w:ascii="仿宋" w:hAnsi="仿宋" w:eastAsia="仿宋" w:cs="仿宋"/>
                <w:color w:val="auto"/>
                <w:sz w:val="24"/>
                <w:szCs w:val="20"/>
                <w:highlight w:val="none"/>
                <w:lang w:val="en-US" w:eastAsia="zh-CN"/>
              </w:rPr>
              <w:t>8</w:t>
            </w:r>
            <w:r>
              <w:rPr>
                <w:rFonts w:hint="eastAsia" w:ascii="仿宋" w:hAnsi="仿宋" w:eastAsia="仿宋" w:cs="仿宋"/>
                <w:color w:val="auto"/>
                <w:sz w:val="24"/>
                <w:szCs w:val="20"/>
                <w:highlight w:val="none"/>
              </w:rPr>
              <w:t>.1-</w:t>
            </w:r>
            <w:r>
              <w:rPr>
                <w:rFonts w:hint="eastAsia" w:ascii="仿宋" w:hAnsi="仿宋" w:eastAsia="仿宋" w:cs="仿宋"/>
                <w:color w:val="auto"/>
                <w:sz w:val="24"/>
                <w:szCs w:val="20"/>
                <w:highlight w:val="none"/>
                <w:lang w:val="en-US" w:eastAsia="zh-CN"/>
              </w:rPr>
              <w:t>16</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0</w:t>
            </w:r>
            <w:r>
              <w:rPr>
                <w:rFonts w:hint="eastAsia" w:ascii="仿宋" w:hAnsi="仿宋" w:eastAsia="仿宋" w:cs="仿宋"/>
                <w:color w:val="auto"/>
                <w:sz w:val="24"/>
                <w:szCs w:val="20"/>
                <w:highlight w:val="none"/>
              </w:rPr>
              <w:t>分；方案不科学合理，内容有提及但不完整，缺乏针对性和可操作性的得0.1-</w:t>
            </w:r>
            <w:r>
              <w:rPr>
                <w:rFonts w:hint="eastAsia" w:ascii="仿宋" w:hAnsi="仿宋" w:eastAsia="仿宋" w:cs="仿宋"/>
                <w:color w:val="auto"/>
                <w:sz w:val="24"/>
                <w:szCs w:val="20"/>
                <w:highlight w:val="none"/>
                <w:lang w:val="en-US" w:eastAsia="zh-CN"/>
              </w:rPr>
              <w:t>8</w:t>
            </w:r>
            <w:r>
              <w:rPr>
                <w:rFonts w:hint="eastAsia" w:ascii="仿宋" w:hAnsi="仿宋" w:eastAsia="仿宋" w:cs="仿宋"/>
                <w:color w:val="auto"/>
                <w:sz w:val="24"/>
                <w:szCs w:val="20"/>
                <w:highlight w:val="none"/>
              </w:rPr>
              <w:t>.0分；未提供不得分。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115FB037">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en-US" w:eastAsia="zh-CN"/>
              </w:rPr>
              <w:t>24</w:t>
            </w:r>
            <w:r>
              <w:rPr>
                <w:rFonts w:hint="eastAsia" w:ascii="仿宋" w:hAnsi="仿宋" w:eastAsia="仿宋" w:cs="仿宋"/>
                <w:color w:val="auto"/>
                <w:sz w:val="24"/>
                <w:szCs w:val="20"/>
                <w:highlight w:val="none"/>
              </w:rPr>
              <w:t>分</w:t>
            </w:r>
          </w:p>
        </w:tc>
      </w:tr>
      <w:tr w14:paraId="58859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F679B5E">
            <w:pPr>
              <w:widowControl/>
              <w:spacing w:line="400" w:lineRule="exact"/>
              <w:jc w:val="center"/>
              <w:rPr>
                <w:rFonts w:hint="eastAsia" w:ascii="仿宋" w:hAnsi="仿宋" w:eastAsia="仿宋" w:cs="仿宋"/>
                <w:color w:val="auto"/>
                <w:sz w:val="24"/>
                <w:szCs w:val="20"/>
                <w:highlight w:val="none"/>
                <w:lang w:eastAsia="zh-CN"/>
              </w:rPr>
            </w:pPr>
            <w:r>
              <w:rPr>
                <w:rFonts w:hint="eastAsia" w:ascii="仿宋" w:hAnsi="仿宋" w:eastAsia="仿宋" w:cs="仿宋"/>
                <w:color w:val="auto"/>
                <w:sz w:val="24"/>
                <w:szCs w:val="20"/>
                <w:highlight w:val="none"/>
                <w:lang w:val="en-US" w:eastAsia="zh-CN"/>
              </w:rPr>
              <w:t>7</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A25648">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综合服务能力</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6DB32161">
            <w:pPr>
              <w:widowControl/>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szCs w:val="20"/>
                <w:highlight w:val="none"/>
              </w:rPr>
              <w:t>根据投标人提供的综合服务优势，如办公场所、对项目所在地财政部门标底编制、审核口径的熟悉程度及类似项目经验等情况。由评委进行分析比较、评议、确定档次打分。口径熟悉、经验足的得</w:t>
            </w:r>
            <w:r>
              <w:rPr>
                <w:rFonts w:hint="eastAsia" w:ascii="仿宋" w:hAnsi="仿宋" w:eastAsia="仿宋" w:cs="仿宋"/>
                <w:color w:val="auto"/>
                <w:sz w:val="24"/>
                <w:szCs w:val="20"/>
                <w:highlight w:val="none"/>
                <w:lang w:val="en-US" w:eastAsia="zh-CN"/>
              </w:rPr>
              <w:t>12</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1</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20</w:t>
            </w:r>
            <w:r>
              <w:rPr>
                <w:rFonts w:hint="eastAsia" w:ascii="仿宋" w:hAnsi="仿宋" w:eastAsia="仿宋" w:cs="仿宋"/>
                <w:color w:val="auto"/>
                <w:sz w:val="24"/>
                <w:szCs w:val="20"/>
                <w:highlight w:val="none"/>
              </w:rPr>
              <w:t>.0分；口径较为熟悉、经验较足的得</w:t>
            </w:r>
            <w:r>
              <w:rPr>
                <w:rFonts w:hint="eastAsia" w:ascii="仿宋" w:hAnsi="仿宋" w:eastAsia="仿宋" w:cs="仿宋"/>
                <w:color w:val="auto"/>
                <w:sz w:val="24"/>
                <w:szCs w:val="20"/>
                <w:highlight w:val="none"/>
                <w:lang w:val="en-US" w:eastAsia="zh-CN"/>
              </w:rPr>
              <w:t>5</w:t>
            </w:r>
            <w:r>
              <w:rPr>
                <w:rFonts w:hint="eastAsia" w:ascii="仿宋" w:hAnsi="仿宋" w:eastAsia="仿宋" w:cs="仿宋"/>
                <w:color w:val="auto"/>
                <w:sz w:val="24"/>
                <w:szCs w:val="20"/>
                <w:highlight w:val="none"/>
              </w:rPr>
              <w:t>.1-</w:t>
            </w:r>
            <w:r>
              <w:rPr>
                <w:rFonts w:hint="eastAsia" w:ascii="仿宋" w:hAnsi="仿宋" w:eastAsia="仿宋" w:cs="仿宋"/>
                <w:color w:val="auto"/>
                <w:sz w:val="24"/>
                <w:szCs w:val="20"/>
                <w:highlight w:val="none"/>
                <w:lang w:val="en-US" w:eastAsia="zh-CN"/>
              </w:rPr>
              <w:t>11</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val="en-US" w:eastAsia="zh-CN"/>
              </w:rPr>
              <w:t>0</w:t>
            </w:r>
            <w:r>
              <w:rPr>
                <w:rFonts w:hint="eastAsia" w:ascii="仿宋" w:hAnsi="仿宋" w:eastAsia="仿宋" w:cs="仿宋"/>
                <w:color w:val="auto"/>
                <w:sz w:val="24"/>
                <w:szCs w:val="20"/>
                <w:highlight w:val="none"/>
              </w:rPr>
              <w:t>分；口径不熟悉、经验不足的得0.1-</w:t>
            </w:r>
            <w:r>
              <w:rPr>
                <w:rFonts w:hint="eastAsia" w:ascii="仿宋" w:hAnsi="仿宋" w:eastAsia="仿宋" w:cs="仿宋"/>
                <w:color w:val="auto"/>
                <w:sz w:val="24"/>
                <w:szCs w:val="20"/>
                <w:highlight w:val="none"/>
                <w:lang w:val="en-US" w:eastAsia="zh-CN"/>
              </w:rPr>
              <w:t>5</w:t>
            </w:r>
            <w:r>
              <w:rPr>
                <w:rFonts w:hint="eastAsia" w:ascii="仿宋" w:hAnsi="仿宋" w:eastAsia="仿宋" w:cs="仿宋"/>
                <w:color w:val="auto"/>
                <w:sz w:val="24"/>
                <w:szCs w:val="20"/>
                <w:highlight w:val="none"/>
              </w:rPr>
              <w:t>.0分；未提供不得分。</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70F9A1C0">
            <w:pPr>
              <w:widowControl/>
              <w:spacing w:line="400" w:lineRule="exact"/>
              <w:jc w:val="center"/>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en-US" w:eastAsia="zh-CN"/>
              </w:rPr>
              <w:t>20</w:t>
            </w:r>
            <w:r>
              <w:rPr>
                <w:rFonts w:hint="eastAsia" w:ascii="仿宋" w:hAnsi="仿宋" w:eastAsia="仿宋" w:cs="仿宋"/>
                <w:color w:val="auto"/>
                <w:sz w:val="24"/>
                <w:szCs w:val="20"/>
                <w:highlight w:val="none"/>
              </w:rPr>
              <w:t>分</w:t>
            </w:r>
          </w:p>
        </w:tc>
      </w:tr>
      <w:tr w14:paraId="7FB5D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D2111BE">
            <w:pPr>
              <w:widowControl/>
              <w:spacing w:line="400" w:lineRule="exact"/>
              <w:jc w:val="center"/>
              <w:rPr>
                <w:rFonts w:hint="eastAsia" w:ascii="仿宋" w:hAnsi="仿宋" w:eastAsia="仿宋" w:cs="仿宋"/>
                <w:color w:val="auto"/>
                <w:sz w:val="24"/>
                <w:szCs w:val="20"/>
                <w:highlight w:val="none"/>
                <w:lang w:val="en-US" w:eastAsia="zh-CN"/>
              </w:rPr>
            </w:pPr>
            <w:r>
              <w:rPr>
                <w:rFonts w:hint="eastAsia" w:ascii="仿宋" w:hAnsi="仿宋" w:eastAsia="仿宋" w:cs="仿宋"/>
                <w:color w:val="auto"/>
                <w:sz w:val="24"/>
                <w:szCs w:val="20"/>
                <w:highlight w:val="none"/>
                <w:lang w:val="en-US" w:eastAsia="zh-CN"/>
              </w:rPr>
              <w:t>8</w:t>
            </w:r>
          </w:p>
        </w:tc>
        <w:tc>
          <w:tcPr>
            <w:tcW w:w="96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93E7C9">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zh-CN"/>
              </w:rPr>
              <w:t>售后服务能力</w:t>
            </w:r>
          </w:p>
        </w:tc>
        <w:tc>
          <w:tcPr>
            <w:tcW w:w="6547"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3C950967">
            <w:pPr>
              <w:widowControl/>
              <w:spacing w:line="4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lang w:val="zh-CN"/>
              </w:rPr>
              <w:tab/>
            </w:r>
            <w:r>
              <w:rPr>
                <w:rFonts w:hint="eastAsia" w:ascii="仿宋" w:hAnsi="仿宋" w:eastAsia="仿宋" w:cs="仿宋"/>
                <w:color w:val="auto"/>
                <w:sz w:val="24"/>
                <w:szCs w:val="20"/>
                <w:highlight w:val="none"/>
                <w:lang w:val="zh-CN"/>
              </w:rPr>
              <w:t>评标委员会根据投标单位服务方案的便利程度、响应程度和及时程度</w:t>
            </w:r>
            <w:r>
              <w:rPr>
                <w:rFonts w:hint="eastAsia" w:ascii="仿宋" w:hAnsi="仿宋" w:eastAsia="仿宋" w:cs="仿宋"/>
                <w:color w:val="auto"/>
                <w:sz w:val="24"/>
                <w:szCs w:val="20"/>
                <w:highlight w:val="none"/>
              </w:rPr>
              <w:t>由评委进行分析比较、评议、确定档次打分。</w:t>
            </w:r>
            <w:r>
              <w:rPr>
                <w:rFonts w:hint="eastAsia" w:ascii="仿宋" w:hAnsi="仿宋" w:eastAsia="仿宋" w:cs="仿宋"/>
                <w:color w:val="auto"/>
                <w:sz w:val="24"/>
                <w:szCs w:val="20"/>
                <w:highlight w:val="none"/>
                <w:lang w:val="zh-CN"/>
              </w:rPr>
              <w:t>有利于采购人便利、响应及时的得</w:t>
            </w:r>
            <w:r>
              <w:rPr>
                <w:rFonts w:hint="eastAsia" w:ascii="仿宋" w:hAnsi="仿宋" w:eastAsia="仿宋" w:cs="仿宋"/>
                <w:color w:val="auto"/>
                <w:sz w:val="24"/>
                <w:szCs w:val="20"/>
                <w:highlight w:val="none"/>
                <w:lang w:val="en-US" w:eastAsia="zh-CN"/>
              </w:rPr>
              <w:t>12.1-</w:t>
            </w:r>
            <w:r>
              <w:rPr>
                <w:rFonts w:hint="eastAsia" w:ascii="仿宋" w:hAnsi="仿宋" w:eastAsia="仿宋" w:cs="仿宋"/>
                <w:color w:val="auto"/>
                <w:sz w:val="24"/>
                <w:szCs w:val="20"/>
                <w:highlight w:val="none"/>
                <w:lang w:val="zh-CN"/>
              </w:rPr>
              <w:t>1</w:t>
            </w:r>
            <w:r>
              <w:rPr>
                <w:rFonts w:hint="eastAsia" w:ascii="仿宋" w:hAnsi="仿宋" w:eastAsia="仿宋" w:cs="仿宋"/>
                <w:color w:val="auto"/>
                <w:sz w:val="24"/>
                <w:szCs w:val="20"/>
                <w:highlight w:val="none"/>
                <w:lang w:val="en-US" w:eastAsia="zh-CN"/>
              </w:rPr>
              <w:t>8</w:t>
            </w:r>
            <w:r>
              <w:rPr>
                <w:rFonts w:hint="eastAsia" w:ascii="仿宋" w:hAnsi="仿宋" w:eastAsia="仿宋" w:cs="仿宋"/>
                <w:color w:val="auto"/>
                <w:sz w:val="24"/>
                <w:szCs w:val="20"/>
                <w:highlight w:val="none"/>
                <w:lang w:val="zh-CN"/>
              </w:rPr>
              <w:t>分；基本满足采购人便利、响应一般的得</w:t>
            </w:r>
            <w:r>
              <w:rPr>
                <w:rFonts w:hint="eastAsia" w:ascii="仿宋" w:hAnsi="仿宋" w:eastAsia="仿宋" w:cs="仿宋"/>
                <w:color w:val="auto"/>
                <w:sz w:val="24"/>
                <w:szCs w:val="20"/>
                <w:highlight w:val="none"/>
                <w:lang w:val="en-US" w:eastAsia="zh-CN"/>
              </w:rPr>
              <w:t>7.1-</w:t>
            </w:r>
            <w:r>
              <w:rPr>
                <w:rFonts w:hint="eastAsia" w:ascii="仿宋" w:hAnsi="仿宋" w:eastAsia="仿宋" w:cs="仿宋"/>
                <w:color w:val="auto"/>
                <w:sz w:val="24"/>
                <w:szCs w:val="20"/>
                <w:highlight w:val="none"/>
                <w:lang w:val="zh-CN"/>
              </w:rPr>
              <w:t>1</w:t>
            </w:r>
            <w:r>
              <w:rPr>
                <w:rFonts w:hint="eastAsia" w:ascii="仿宋" w:hAnsi="仿宋" w:eastAsia="仿宋" w:cs="仿宋"/>
                <w:color w:val="auto"/>
                <w:sz w:val="24"/>
                <w:szCs w:val="20"/>
                <w:highlight w:val="none"/>
                <w:lang w:val="en-US" w:eastAsia="zh-CN"/>
              </w:rPr>
              <w:t>2</w:t>
            </w:r>
            <w:r>
              <w:rPr>
                <w:rFonts w:hint="eastAsia" w:ascii="仿宋" w:hAnsi="仿宋" w:eastAsia="仿宋" w:cs="仿宋"/>
                <w:color w:val="auto"/>
                <w:sz w:val="24"/>
                <w:szCs w:val="20"/>
                <w:highlight w:val="none"/>
                <w:lang w:val="zh-CN"/>
              </w:rPr>
              <w:t>分；不太利于采购人便利、响应不太及时的得</w:t>
            </w:r>
            <w:r>
              <w:rPr>
                <w:rFonts w:hint="eastAsia" w:ascii="仿宋" w:hAnsi="仿宋" w:eastAsia="仿宋" w:cs="仿宋"/>
                <w:color w:val="auto"/>
                <w:sz w:val="24"/>
                <w:szCs w:val="20"/>
                <w:highlight w:val="none"/>
                <w:lang w:val="en-US" w:eastAsia="zh-CN"/>
              </w:rPr>
              <w:t>4.1-7</w:t>
            </w:r>
            <w:r>
              <w:rPr>
                <w:rFonts w:hint="eastAsia" w:ascii="仿宋" w:hAnsi="仿宋" w:eastAsia="仿宋" w:cs="仿宋"/>
                <w:color w:val="auto"/>
                <w:sz w:val="24"/>
                <w:szCs w:val="20"/>
                <w:highlight w:val="none"/>
                <w:lang w:val="zh-CN"/>
              </w:rPr>
              <w:t>分；不利于采购人便利、响应不及时的得</w:t>
            </w:r>
            <w:r>
              <w:rPr>
                <w:rFonts w:hint="eastAsia" w:ascii="仿宋" w:hAnsi="仿宋" w:eastAsia="仿宋" w:cs="仿宋"/>
                <w:color w:val="auto"/>
                <w:sz w:val="24"/>
                <w:szCs w:val="20"/>
                <w:highlight w:val="none"/>
                <w:lang w:val="en-US" w:eastAsia="zh-CN"/>
              </w:rPr>
              <w:t>0.1-</w:t>
            </w:r>
            <w:r>
              <w:rPr>
                <w:rFonts w:hint="eastAsia" w:ascii="仿宋" w:hAnsi="仿宋" w:eastAsia="仿宋" w:cs="仿宋"/>
                <w:color w:val="auto"/>
                <w:sz w:val="24"/>
                <w:szCs w:val="20"/>
                <w:highlight w:val="none"/>
                <w:lang w:val="zh-CN"/>
              </w:rPr>
              <w:t>4分；</w:t>
            </w:r>
            <w:r>
              <w:rPr>
                <w:rFonts w:hint="eastAsia" w:ascii="仿宋" w:hAnsi="仿宋" w:eastAsia="仿宋" w:cs="仿宋"/>
                <w:color w:val="auto"/>
                <w:sz w:val="24"/>
                <w:szCs w:val="20"/>
                <w:highlight w:val="none"/>
              </w:rPr>
              <w:t>未提供不得分</w:t>
            </w:r>
            <w:r>
              <w:rPr>
                <w:rFonts w:hint="eastAsia" w:ascii="仿宋" w:hAnsi="仿宋" w:eastAsia="仿宋" w:cs="仿宋"/>
                <w:color w:val="auto"/>
                <w:sz w:val="24"/>
                <w:szCs w:val="20"/>
                <w:highlight w:val="none"/>
                <w:lang w:val="zh-CN"/>
              </w:rPr>
              <w:t>。</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6F1BF451">
            <w:pPr>
              <w:widowControl/>
              <w:spacing w:line="400" w:lineRule="exact"/>
              <w:jc w:val="center"/>
              <w:rPr>
                <w:rFonts w:hint="default" w:ascii="仿宋" w:hAnsi="仿宋" w:eastAsia="仿宋" w:cs="仿宋"/>
                <w:color w:val="auto"/>
                <w:sz w:val="24"/>
                <w:szCs w:val="20"/>
                <w:highlight w:val="none"/>
                <w:lang w:val="en-US" w:eastAsia="zh-CN"/>
              </w:rPr>
            </w:pPr>
            <w:r>
              <w:rPr>
                <w:rFonts w:hint="eastAsia" w:ascii="仿宋" w:hAnsi="仿宋" w:eastAsia="仿宋" w:cs="仿宋"/>
                <w:color w:val="auto"/>
                <w:sz w:val="24"/>
                <w:szCs w:val="20"/>
                <w:highlight w:val="none"/>
                <w:lang w:val="en-US" w:eastAsia="zh-CN"/>
              </w:rPr>
              <w:t>18分</w:t>
            </w:r>
          </w:p>
        </w:tc>
      </w:tr>
    </w:tbl>
    <w:p w14:paraId="08183AFB">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计算得分时，按其算术平均值保留小数点后2位。</w:t>
      </w:r>
    </w:p>
    <w:p w14:paraId="51337322">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评分涉及证书、证明需在有效期限内，需提交原件扫描件或彩色图片（含彩色复印件）并加盖投标单位电子章；计算得分时，按其算术平均值保留小数点后2位；评审小组成员个人主观打分偏离所有评审小组成员主观打分平均值30%以上的，由评审委员会启动评分畸高、畸低行为认定程序。商务技术分低于</w:t>
      </w:r>
      <w:r>
        <w:rPr>
          <w:rFonts w:hint="eastAsia" w:ascii="仿宋" w:hAnsi="仿宋" w:eastAsia="仿宋" w:cs="仿宋"/>
          <w:color w:val="auto"/>
          <w:highlight w:val="none"/>
          <w:lang w:val="en-US" w:eastAsia="zh-CN"/>
        </w:rPr>
        <w:t>60</w:t>
      </w:r>
      <w:r>
        <w:rPr>
          <w:rFonts w:hint="eastAsia" w:ascii="仿宋" w:hAnsi="仿宋" w:eastAsia="仿宋" w:cs="仿宋"/>
          <w:color w:val="auto"/>
          <w:highlight w:val="none"/>
        </w:rPr>
        <w:t>分的，视为采购人不能接受的附加条件。</w:t>
      </w:r>
    </w:p>
    <w:p w14:paraId="27724BD2">
      <w:pPr>
        <w:pStyle w:val="234"/>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3、确定入围供应商后，采购人有权对入围供应商提供的人员名单、注册证明、执业资格、人事关系、业绩材料等相关资料到相关部门和相关渠道进行核实，如投标文件存在虚假情况，则取消中标候选人的中标资格，存在违法违规行为的，由相关部门进行处理。</w:t>
      </w:r>
    </w:p>
    <w:p w14:paraId="6CB2C6AC">
      <w:pPr>
        <w:pStyle w:val="234"/>
        <w:spacing w:before="0"/>
        <w:ind w:firstLine="480"/>
        <w:rPr>
          <w:rFonts w:hint="eastAsia" w:ascii="仿宋" w:hAnsi="仿宋" w:eastAsia="仿宋" w:cs="仿宋"/>
          <w:b/>
          <w:color w:val="auto"/>
          <w:sz w:val="36"/>
          <w:szCs w:val="36"/>
          <w:highlight w:val="none"/>
        </w:rPr>
      </w:pPr>
      <w:r>
        <w:rPr>
          <w:rFonts w:hint="eastAsia" w:ascii="仿宋" w:hAnsi="仿宋" w:eastAsia="仿宋" w:cs="仿宋"/>
          <w:color w:val="auto"/>
          <w:highlight w:val="none"/>
        </w:rPr>
        <w:t>4、2018年7月20日发布“建人[2018]67号”文件之前取得的造价工程师，等同于一级造价工程师。</w:t>
      </w:r>
      <w:r>
        <w:rPr>
          <w:rFonts w:hint="eastAsia" w:ascii="仿宋" w:hAnsi="仿宋" w:eastAsia="仿宋" w:cs="仿宋"/>
          <w:b/>
          <w:color w:val="auto"/>
          <w:sz w:val="36"/>
          <w:szCs w:val="36"/>
          <w:highlight w:val="none"/>
        </w:rPr>
        <w:br w:type="page"/>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第五部分</w:t>
      </w:r>
      <w:bookmarkEnd w:id="62"/>
      <w:r>
        <w:rPr>
          <w:rFonts w:hint="eastAsia" w:ascii="仿宋" w:hAnsi="仿宋" w:eastAsia="仿宋" w:cs="仿宋"/>
          <w:b/>
          <w:color w:val="auto"/>
          <w:sz w:val="36"/>
          <w:szCs w:val="36"/>
          <w:highlight w:val="none"/>
        </w:rPr>
        <w:t xml:space="preserve"> 拟签订的合同文本</w:t>
      </w:r>
    </w:p>
    <w:p w14:paraId="232CB396">
      <w:pPr>
        <w:widowControl/>
        <w:snapToGrid w:val="0"/>
        <w:spacing w:line="480" w:lineRule="exact"/>
        <w:rPr>
          <w:rFonts w:hint="eastAsia" w:ascii="仿宋" w:hAnsi="仿宋" w:eastAsia="仿宋" w:cs="仿宋"/>
          <w:b/>
          <w:bCs/>
          <w:color w:val="auto"/>
          <w:kern w:val="0"/>
          <w:sz w:val="24"/>
          <w:highlight w:val="none"/>
          <w:u w:val="single"/>
        </w:rPr>
      </w:pPr>
      <w:bookmarkStart w:id="429" w:name="第五部分"/>
      <w:bookmarkStart w:id="430" w:name="_Toc86217003"/>
      <w:r>
        <w:rPr>
          <w:rFonts w:hint="eastAsia" w:ascii="仿宋" w:hAnsi="仿宋" w:eastAsia="仿宋" w:cs="仿宋"/>
          <w:b/>
          <w:bCs/>
          <w:color w:val="auto"/>
          <w:kern w:val="0"/>
          <w:sz w:val="24"/>
          <w:highlight w:val="none"/>
          <w:u w:val="single"/>
        </w:rPr>
        <w:t>（合同按征集文件及中标供应商响应文件的内容制定，以下仅为部分主要条款）</w:t>
      </w:r>
    </w:p>
    <w:p w14:paraId="20501F7F">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合同编号：</w:t>
      </w:r>
    </w:p>
    <w:p w14:paraId="1F3896CB">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确认书号：</w:t>
      </w:r>
    </w:p>
    <w:p w14:paraId="2D2E7763">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甲方（征集人）： </w:t>
      </w:r>
    </w:p>
    <w:p w14:paraId="5E02A4DA">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乙方（供应商）： </w:t>
      </w:r>
    </w:p>
    <w:p w14:paraId="07B1812B">
      <w:pPr>
        <w:widowControl/>
        <w:snapToGrid w:val="0"/>
        <w:spacing w:line="480" w:lineRule="exact"/>
        <w:ind w:firstLine="480" w:firstLineChars="200"/>
        <w:rPr>
          <w:rFonts w:hint="eastAsia" w:ascii="仿宋" w:hAnsi="仿宋" w:eastAsia="仿宋" w:cs="仿宋"/>
          <w:color w:val="auto"/>
          <w:kern w:val="0"/>
          <w:sz w:val="24"/>
          <w:highlight w:val="none"/>
        </w:rPr>
      </w:pPr>
    </w:p>
    <w:p w14:paraId="255CA19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甲、乙双方根据</w:t>
      </w:r>
      <w:r>
        <w:rPr>
          <w:rFonts w:hint="eastAsia" w:ascii="仿宋" w:hAnsi="仿宋" w:eastAsia="仿宋" w:cs="仿宋"/>
          <w:color w:val="auto"/>
          <w:kern w:val="0"/>
          <w:sz w:val="24"/>
          <w:highlight w:val="none"/>
          <w:u w:val="single"/>
        </w:rPr>
        <w:t xml:space="preserve">    （填写采购代理机构名称）   </w:t>
      </w:r>
      <w:r>
        <w:rPr>
          <w:rFonts w:hint="eastAsia" w:ascii="仿宋" w:hAnsi="仿宋" w:eastAsia="仿宋" w:cs="仿宋"/>
          <w:color w:val="auto"/>
          <w:kern w:val="0"/>
          <w:sz w:val="24"/>
          <w:highlight w:val="none"/>
        </w:rPr>
        <w:t>项目编号为的</w:t>
      </w:r>
      <w:r>
        <w:rPr>
          <w:rFonts w:hint="eastAsia" w:ascii="仿宋" w:hAnsi="仿宋" w:eastAsia="仿宋" w:cs="仿宋"/>
          <w:color w:val="auto"/>
          <w:kern w:val="0"/>
          <w:sz w:val="24"/>
          <w:highlight w:val="none"/>
          <w:u w:val="single"/>
        </w:rPr>
        <w:t>（标项及名称）</w:t>
      </w:r>
      <w:r>
        <w:rPr>
          <w:rFonts w:hint="eastAsia" w:ascii="仿宋" w:hAnsi="仿宋" w:eastAsia="仿宋" w:cs="仿宋"/>
          <w:color w:val="auto"/>
          <w:kern w:val="0"/>
          <w:sz w:val="24"/>
          <w:highlight w:val="none"/>
        </w:rPr>
        <w:t>项目的政府采购交易结果，签署本合同。</w:t>
      </w:r>
    </w:p>
    <w:p w14:paraId="0F7EDC8C">
      <w:pPr>
        <w:widowControl/>
        <w:numPr>
          <w:ilvl w:val="0"/>
          <w:numId w:val="8"/>
        </w:numPr>
        <w:adjustRightInd/>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服务内容及标准</w:t>
      </w:r>
    </w:p>
    <w:p w14:paraId="50622C3F">
      <w:pPr>
        <w:widowControl/>
        <w:snapToGrid w:val="0"/>
        <w:spacing w:line="480" w:lineRule="exact"/>
        <w:ind w:left="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（按采购需求及响应文件的内容填写）</w:t>
      </w:r>
    </w:p>
    <w:p w14:paraId="25628FBE">
      <w:pPr>
        <w:widowControl/>
        <w:numPr>
          <w:ilvl w:val="0"/>
          <w:numId w:val="8"/>
        </w:numPr>
        <w:adjustRightInd/>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服务价格</w:t>
      </w:r>
    </w:p>
    <w:p w14:paraId="658C22B6">
      <w:pPr>
        <w:widowControl/>
        <w:snapToGrid w:val="0"/>
        <w:spacing w:line="480" w:lineRule="exact"/>
        <w:ind w:left="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（有服务分项的，需报分项价格和总价）</w:t>
      </w:r>
    </w:p>
    <w:p w14:paraId="7DB31C6E">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三、第二阶段选定</w:t>
      </w:r>
    </w:p>
    <w:p w14:paraId="2161525E">
      <w:pPr>
        <w:pStyle w:val="31"/>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bCs/>
          <w:color w:val="auto"/>
          <w:sz w:val="24"/>
          <w:szCs w:val="24"/>
          <w:highlight w:val="none"/>
        </w:rPr>
        <w:t>直接选定。投标单位入围后，采购人根据内部管理规定直接选定入围供应商，并签订合同。</w:t>
      </w:r>
    </w:p>
    <w:p w14:paraId="1DCE16A5">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四、技术资料</w:t>
      </w:r>
    </w:p>
    <w:p w14:paraId="29126634">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1.乙方应按征集文件规定的时间向甲方提供与本项目有关的技术资料。</w:t>
      </w:r>
    </w:p>
    <w:p w14:paraId="51B4170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648ABBB">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五、知识产权</w:t>
      </w:r>
    </w:p>
    <w:p w14:paraId="1D3FCAB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1、乙方应保证所提供的货物与服务均不会侵犯任何第三方的知识产权。</w:t>
      </w:r>
    </w:p>
    <w:p w14:paraId="660DF31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2、乙方保证所交付的服务的所有权完全属于乙方且无任何抵押、查封等产权瑕疵。</w:t>
      </w:r>
    </w:p>
    <w:p w14:paraId="0FC2A92F">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六、转包或分包</w:t>
      </w:r>
    </w:p>
    <w:p w14:paraId="7FDBC52F">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不允许转包。</w:t>
      </w:r>
    </w:p>
    <w:p w14:paraId="7EDF1B2A">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不允许分包。</w:t>
      </w:r>
    </w:p>
    <w:p w14:paraId="31A5DDFC">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如乙方将项目转包或将不允许分包部分进行了分包，甲方有权解除合同，没收履约保证金并追究乙方的违约责任。</w:t>
      </w:r>
    </w:p>
    <w:p w14:paraId="105743FE">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七、履约保证金</w:t>
      </w:r>
    </w:p>
    <w:p w14:paraId="34BC4F8A">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本项目不设置履约保证金。</w:t>
      </w:r>
    </w:p>
    <w:p w14:paraId="1EB507AB">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八、项目服务期限及实施地点</w:t>
      </w:r>
    </w:p>
    <w:p w14:paraId="3BF7E8A4">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1.服务期限：</w:t>
      </w:r>
    </w:p>
    <w:p w14:paraId="7E80DA19">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2.实施地点：</w:t>
      </w:r>
    </w:p>
    <w:p w14:paraId="10D4DD19">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九、付款</w:t>
      </w:r>
    </w:p>
    <w:p w14:paraId="747EFCF2">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付款方式：</w:t>
      </w:r>
    </w:p>
    <w:p w14:paraId="62329D96">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十、税费</w:t>
      </w:r>
    </w:p>
    <w:p w14:paraId="452CCA31">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本合同执行中相关的一切税费均由乙方负担。</w:t>
      </w:r>
    </w:p>
    <w:p w14:paraId="6620E243">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十一、违约责任</w:t>
      </w:r>
    </w:p>
    <w:p w14:paraId="3C91435A">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1.甲方无正当理由拒绝验收项目的，甲方向乙方偿付拒收合同总价的百分之五违约金。</w:t>
      </w:r>
    </w:p>
    <w:p w14:paraId="35EE9E5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2.甲方无故逾期验收和办理合同款项支付手续的,甲方应按逾期付款总额每日万分之五向乙方支付违约金。</w:t>
      </w:r>
    </w:p>
    <w:p w14:paraId="5883F2E9">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7186430B">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4.乙方所履行的服务质量或服务数量不符合合同规定及征集文件规定的，甲方有权中止接受服务，单方面解除合同，且相关损失由乙方承担。</w:t>
      </w:r>
    </w:p>
    <w:p w14:paraId="66094286">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5.解除合同应按《浙江省政府采购合同暂行办法》向财政备案。</w:t>
      </w:r>
    </w:p>
    <w:p w14:paraId="5F3BBB35">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十二、不可抗力事件处理</w:t>
      </w:r>
    </w:p>
    <w:p w14:paraId="2DBBC1E6">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1.在合同有效期内，任何一方因不可抗力事件导致不能履行合同，则合同履行期可延长，其延长期与不可抗力影响期相同。</w:t>
      </w:r>
    </w:p>
    <w:p w14:paraId="1CE5DFA3">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2.不可抗力事件发生后，应立即通知对方，并寄送有关权威机构出具的证明。</w:t>
      </w:r>
    </w:p>
    <w:p w14:paraId="2780D91C">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3.不可抗力事件延续120天以上，双方应通过友好协商，确定是否继续履行合同。</w:t>
      </w:r>
    </w:p>
    <w:p w14:paraId="089FBA62">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十三、诉讼</w:t>
      </w:r>
    </w:p>
    <w:p w14:paraId="32F061E5">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双方在执行合同中所发生的一切争议，应通过协商解决。如协商不成，可向甲方所在地法院起诉。</w:t>
      </w:r>
    </w:p>
    <w:p w14:paraId="32B47F0C">
      <w:pPr>
        <w:widowControl/>
        <w:snapToGrid w:val="0"/>
        <w:spacing w:line="480" w:lineRule="exact"/>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十四、合同生效及其他</w:t>
      </w:r>
    </w:p>
    <w:p w14:paraId="64147DE2">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1.合同经甲、乙双方签名并加盖单位公章后生效。</w:t>
      </w:r>
    </w:p>
    <w:p w14:paraId="423AA94F">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2.征集文件、响应文件与本合同具有同等法律效力。</w:t>
      </w:r>
    </w:p>
    <w:p w14:paraId="6821FF6A">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3.本合同未尽事宜，遵照《中华人民共和国民法典》有关条文执行。</w:t>
      </w:r>
    </w:p>
    <w:p w14:paraId="52FFCDE6">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4.本合同一式五份，具有同等法律效力，甲、乙双方各执二份，采购代理机构一份。</w:t>
      </w:r>
    </w:p>
    <w:p w14:paraId="4623A710">
      <w:pPr>
        <w:widowControl/>
        <w:snapToGrid w:val="0"/>
        <w:spacing w:line="480" w:lineRule="exact"/>
        <w:ind w:firstLine="480" w:firstLineChars="200"/>
        <w:rPr>
          <w:rFonts w:hint="eastAsia" w:ascii="仿宋" w:hAnsi="仿宋" w:eastAsia="仿宋" w:cs="仿宋"/>
          <w:color w:val="auto"/>
          <w:kern w:val="0"/>
          <w:sz w:val="24"/>
          <w:highlight w:val="none"/>
        </w:rPr>
      </w:pPr>
    </w:p>
    <w:p w14:paraId="2072D903">
      <w:pPr>
        <w:widowControl/>
        <w:snapToGrid w:val="0"/>
        <w:spacing w:line="480" w:lineRule="exact"/>
        <w:ind w:firstLine="480" w:firstLineChars="200"/>
        <w:rPr>
          <w:rFonts w:hint="eastAsia" w:ascii="仿宋" w:hAnsi="仿宋" w:eastAsia="仿宋" w:cs="仿宋"/>
          <w:color w:val="auto"/>
          <w:kern w:val="0"/>
          <w:sz w:val="24"/>
          <w:highlight w:val="none"/>
        </w:rPr>
      </w:pPr>
    </w:p>
    <w:p w14:paraId="60A037A9">
      <w:pPr>
        <w:widowControl/>
        <w:snapToGrid w:val="0"/>
        <w:spacing w:line="480" w:lineRule="exact"/>
        <w:ind w:firstLine="480" w:firstLineChars="200"/>
        <w:rPr>
          <w:rFonts w:hint="eastAsia" w:ascii="仿宋" w:hAnsi="仿宋" w:eastAsia="仿宋" w:cs="仿宋"/>
          <w:color w:val="auto"/>
          <w:kern w:val="0"/>
          <w:sz w:val="24"/>
          <w:highlight w:val="none"/>
        </w:rPr>
      </w:pPr>
    </w:p>
    <w:p w14:paraId="2BC815EB">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甲方（盖章）：                                   </w:t>
      </w:r>
    </w:p>
    <w:p w14:paraId="44959200">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地址：                                   </w:t>
      </w:r>
    </w:p>
    <w:p w14:paraId="15CBD731">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法定（授权）代表人：                   </w:t>
      </w:r>
    </w:p>
    <w:p w14:paraId="14236309">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签名日期：     年   月   日           </w:t>
      </w:r>
    </w:p>
    <w:p w14:paraId="0A917CC7">
      <w:pPr>
        <w:widowControl/>
        <w:snapToGrid w:val="0"/>
        <w:spacing w:line="480" w:lineRule="exact"/>
        <w:ind w:firstLine="480" w:firstLineChars="200"/>
        <w:rPr>
          <w:rFonts w:hint="eastAsia" w:ascii="仿宋" w:hAnsi="仿宋" w:eastAsia="仿宋" w:cs="仿宋"/>
          <w:color w:val="auto"/>
          <w:kern w:val="0"/>
          <w:sz w:val="24"/>
          <w:highlight w:val="none"/>
        </w:rPr>
      </w:pPr>
    </w:p>
    <w:p w14:paraId="2D2F1124">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乙方（盖章）：</w:t>
      </w:r>
    </w:p>
    <w:p w14:paraId="3DF4D349">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地址： </w:t>
      </w:r>
    </w:p>
    <w:p w14:paraId="5CC1D80A">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开户行：</w:t>
      </w:r>
    </w:p>
    <w:p w14:paraId="36347AD3">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开户账号：</w:t>
      </w:r>
    </w:p>
    <w:p w14:paraId="75A2A291">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法定（授权）代表人：</w:t>
      </w:r>
    </w:p>
    <w:p w14:paraId="4B54CB17">
      <w:pPr>
        <w:widowControl/>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签名日期：      年   月   日</w:t>
      </w:r>
    </w:p>
    <w:p w14:paraId="131C4F8C">
      <w:pPr>
        <w:snapToGrid w:val="0"/>
        <w:spacing w:line="360" w:lineRule="auto"/>
        <w:jc w:val="center"/>
        <w:rPr>
          <w:rFonts w:hint="eastAsia" w:ascii="仿宋" w:hAnsi="仿宋" w:eastAsia="仿宋" w:cs="仿宋"/>
          <w:b/>
          <w:color w:val="auto"/>
          <w:sz w:val="36"/>
          <w:szCs w:val="20"/>
          <w:highlight w:val="none"/>
        </w:rPr>
      </w:pPr>
      <w:r>
        <w:rPr>
          <w:rFonts w:hint="eastAsia" w:ascii="仿宋" w:hAnsi="仿宋" w:eastAsia="仿宋" w:cs="仿宋"/>
          <w:color w:val="auto"/>
          <w:highlight w:val="none"/>
        </w:rPr>
        <w:br w:type="page"/>
      </w:r>
      <w:r>
        <w:rPr>
          <w:rFonts w:hint="eastAsia" w:ascii="仿宋" w:hAnsi="仿宋" w:eastAsia="仿宋" w:cs="仿宋"/>
          <w:b/>
          <w:color w:val="auto"/>
          <w:sz w:val="36"/>
          <w:szCs w:val="20"/>
          <w:highlight w:val="none"/>
        </w:rPr>
        <w:t>第六部分</w:t>
      </w:r>
      <w:bookmarkEnd w:id="429"/>
      <w:r>
        <w:rPr>
          <w:rFonts w:hint="eastAsia" w:ascii="仿宋" w:hAnsi="仿宋" w:eastAsia="仿宋" w:cs="仿宋"/>
          <w:b/>
          <w:color w:val="auto"/>
          <w:sz w:val="36"/>
          <w:szCs w:val="20"/>
          <w:highlight w:val="none"/>
        </w:rPr>
        <w:t xml:space="preserve"> </w:t>
      </w:r>
      <w:bookmarkEnd w:id="430"/>
      <w:r>
        <w:rPr>
          <w:rFonts w:hint="eastAsia" w:ascii="仿宋" w:hAnsi="仿宋" w:eastAsia="仿宋" w:cs="仿宋"/>
          <w:b/>
          <w:color w:val="auto"/>
          <w:sz w:val="36"/>
          <w:szCs w:val="20"/>
          <w:highlight w:val="none"/>
        </w:rPr>
        <w:t>应提交的有关格式范例</w:t>
      </w:r>
    </w:p>
    <w:p w14:paraId="284B7199">
      <w:pPr>
        <w:spacing w:line="360" w:lineRule="auto"/>
        <w:jc w:val="center"/>
        <w:outlineLvl w:val="0"/>
        <w:rPr>
          <w:rFonts w:hint="eastAsia" w:ascii="仿宋" w:hAnsi="仿宋" w:eastAsia="仿宋" w:cs="仿宋"/>
          <w:color w:val="auto"/>
          <w:sz w:val="36"/>
          <w:szCs w:val="36"/>
          <w:highlight w:val="none"/>
          <w:lang w:val="zh-CN"/>
        </w:rPr>
      </w:pPr>
    </w:p>
    <w:p w14:paraId="5B26F96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08853E28">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481A8C0">
      <w:pPr>
        <w:spacing w:line="360" w:lineRule="auto"/>
        <w:jc w:val="center"/>
        <w:outlineLvl w:val="0"/>
        <w:rPr>
          <w:rFonts w:hint="eastAsia" w:ascii="仿宋" w:hAnsi="仿宋" w:eastAsia="仿宋" w:cs="仿宋"/>
          <w:b/>
          <w:color w:val="auto"/>
          <w:kern w:val="0"/>
          <w:sz w:val="36"/>
          <w:szCs w:val="36"/>
          <w:highlight w:val="none"/>
        </w:rPr>
      </w:pPr>
    </w:p>
    <w:p w14:paraId="51A68DA4">
      <w:pPr>
        <w:spacing w:line="360" w:lineRule="auto"/>
        <w:ind w:firstLine="600" w:firstLineChars="2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(1）营业执照(或事业法人登记证或其他工商等登记证明材料)复印件（投标人为自然人的，须提供自然人的身份证明）……………………………………………（页码）</w:t>
      </w:r>
    </w:p>
    <w:p w14:paraId="47CBF9CD">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（2）投标声明函 ………………………………………………………………（页码）</w:t>
      </w:r>
    </w:p>
    <w:p w14:paraId="116EDCF6">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（3）联合体协议书（如有） …………………………………………………（页码）</w:t>
      </w:r>
    </w:p>
    <w:p w14:paraId="39FE79BA">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（4）法定代表人授权委托书 …………………………………………………（页码）</w:t>
      </w:r>
    </w:p>
    <w:p w14:paraId="17EC80FA">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（5）法定代表人及其授权代表的身份证（复印件） ………………………（页码）</w:t>
      </w:r>
    </w:p>
    <w:p w14:paraId="7761DAF1">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（6）符合特定资格条件（如有）……………………………………………（页码）</w:t>
      </w:r>
    </w:p>
    <w:p w14:paraId="62EE3A4F">
      <w:pPr>
        <w:pStyle w:val="3"/>
        <w:numPr>
          <w:ilvl w:val="0"/>
          <w:numId w:val="0"/>
        </w:numPr>
        <w:ind w:firstLine="480" w:firstLineChars="200"/>
        <w:rPr>
          <w:rFonts w:ascii="仿宋" w:eastAsia="仿宋" w:cs="仿宋"/>
          <w:b w:val="0"/>
          <w:bCs w:val="0"/>
          <w:color w:val="auto"/>
          <w:sz w:val="24"/>
          <w:szCs w:val="28"/>
          <w:highlight w:val="none"/>
          <w:lang w:val="en-US"/>
        </w:rPr>
      </w:pPr>
      <w:r>
        <w:rPr>
          <w:rFonts w:hint="eastAsia" w:ascii="仿宋" w:eastAsia="仿宋" w:cs="仿宋"/>
          <w:b w:val="0"/>
          <w:bCs w:val="0"/>
          <w:color w:val="auto"/>
          <w:sz w:val="24"/>
          <w:szCs w:val="28"/>
          <w:highlight w:val="none"/>
          <w:lang w:val="en-US"/>
        </w:rPr>
        <w:t>（7）中小企业声明函（如有）………………………………………………（页码）</w:t>
      </w:r>
    </w:p>
    <w:p w14:paraId="036B2439">
      <w:pPr>
        <w:pStyle w:val="3"/>
        <w:numPr>
          <w:ilvl w:val="0"/>
          <w:numId w:val="0"/>
        </w:numPr>
        <w:ind w:firstLine="480" w:firstLineChars="200"/>
        <w:rPr>
          <w:rFonts w:ascii="仿宋" w:eastAsia="仿宋" w:cs="仿宋"/>
          <w:b w:val="0"/>
          <w:bCs w:val="0"/>
          <w:color w:val="auto"/>
          <w:sz w:val="24"/>
          <w:szCs w:val="28"/>
          <w:highlight w:val="none"/>
          <w:lang w:val="en-US"/>
        </w:rPr>
      </w:pPr>
      <w:r>
        <w:rPr>
          <w:rFonts w:hint="eastAsia" w:ascii="仿宋" w:eastAsia="仿宋" w:cs="仿宋"/>
          <w:b w:val="0"/>
          <w:bCs w:val="0"/>
          <w:color w:val="auto"/>
          <w:sz w:val="24"/>
          <w:szCs w:val="28"/>
          <w:highlight w:val="none"/>
          <w:lang w:val="en-US"/>
        </w:rPr>
        <w:t>（8）残疾人福利性单位声明函（如有）……………………………………（页码）</w:t>
      </w:r>
    </w:p>
    <w:p w14:paraId="4A222D0A">
      <w:pPr>
        <w:snapToGrid w:val="0"/>
        <w:spacing w:line="360" w:lineRule="auto"/>
        <w:rPr>
          <w:rFonts w:hint="eastAsia" w:ascii="仿宋" w:hAnsi="仿宋" w:eastAsia="仿宋" w:cs="仿宋"/>
          <w:color w:val="auto"/>
          <w:sz w:val="36"/>
          <w:szCs w:val="36"/>
          <w:highlight w:val="none"/>
        </w:rPr>
      </w:pPr>
    </w:p>
    <w:p w14:paraId="50587C38">
      <w:pPr>
        <w:snapToGrid w:val="0"/>
        <w:spacing w:line="360" w:lineRule="auto"/>
        <w:jc w:val="center"/>
        <w:outlineLvl w:val="0"/>
        <w:rPr>
          <w:rFonts w:hint="eastAsia" w:ascii="仿宋" w:hAnsi="仿宋" w:eastAsia="仿宋" w:cs="仿宋"/>
          <w:b/>
          <w:color w:val="auto"/>
          <w:sz w:val="30"/>
          <w:szCs w:val="30"/>
          <w:highlight w:val="none"/>
        </w:rPr>
      </w:pPr>
      <w:r>
        <w:rPr>
          <w:rFonts w:hint="eastAsia" w:ascii="仿宋" w:hAnsi="仿宋" w:eastAsia="仿宋" w:cs="仿宋"/>
          <w:b/>
          <w:color w:val="auto"/>
          <w:kern w:val="0"/>
          <w:sz w:val="32"/>
          <w:szCs w:val="32"/>
          <w:highlight w:val="none"/>
          <w:lang w:val="zh-CN"/>
        </w:rPr>
        <w:br w:type="page"/>
      </w:r>
      <w:r>
        <w:rPr>
          <w:rFonts w:hint="eastAsia" w:ascii="仿宋" w:hAnsi="仿宋" w:eastAsia="仿宋" w:cs="仿宋"/>
          <w:b/>
          <w:color w:val="auto"/>
          <w:kern w:val="0"/>
          <w:sz w:val="32"/>
          <w:szCs w:val="32"/>
          <w:highlight w:val="none"/>
        </w:rPr>
        <w:t>一、营业执照(或事业法人登记证或其他工商等登记证明材料)复印件（投标人为自然人的，须提供自然人的身份证明）</w:t>
      </w:r>
    </w:p>
    <w:p w14:paraId="5019338F">
      <w:pPr>
        <w:spacing w:line="360" w:lineRule="auto"/>
        <w:rPr>
          <w:rFonts w:hint="eastAsia" w:ascii="仿宋" w:hAnsi="仿宋" w:eastAsia="仿宋" w:cs="仿宋"/>
          <w:b/>
          <w:color w:val="auto"/>
          <w:sz w:val="30"/>
          <w:szCs w:val="30"/>
          <w:highlight w:val="none"/>
        </w:rPr>
      </w:pPr>
    </w:p>
    <w:p w14:paraId="26D8CDC8">
      <w:pPr>
        <w:spacing w:line="360" w:lineRule="auto"/>
        <w:rPr>
          <w:rFonts w:hint="eastAsia" w:ascii="仿宋" w:hAnsi="仿宋" w:eastAsia="仿宋" w:cs="仿宋"/>
          <w:b/>
          <w:color w:val="auto"/>
          <w:sz w:val="30"/>
          <w:szCs w:val="30"/>
          <w:highlight w:val="none"/>
        </w:rPr>
      </w:pPr>
    </w:p>
    <w:p w14:paraId="4303075A">
      <w:pPr>
        <w:spacing w:line="360" w:lineRule="auto"/>
        <w:rPr>
          <w:rFonts w:hint="eastAsia" w:ascii="仿宋" w:hAnsi="仿宋" w:eastAsia="仿宋" w:cs="仿宋"/>
          <w:b/>
          <w:color w:val="auto"/>
          <w:sz w:val="30"/>
          <w:szCs w:val="30"/>
          <w:highlight w:val="none"/>
        </w:rPr>
      </w:pPr>
    </w:p>
    <w:p w14:paraId="2C7D1CE8">
      <w:pPr>
        <w:spacing w:line="360" w:lineRule="auto"/>
        <w:rPr>
          <w:rFonts w:hint="eastAsia" w:ascii="仿宋" w:hAnsi="仿宋" w:eastAsia="仿宋" w:cs="仿宋"/>
          <w:b/>
          <w:color w:val="auto"/>
          <w:sz w:val="30"/>
          <w:szCs w:val="30"/>
          <w:highlight w:val="none"/>
        </w:rPr>
      </w:pPr>
    </w:p>
    <w:p w14:paraId="45B89A5A">
      <w:pPr>
        <w:spacing w:line="360" w:lineRule="auto"/>
        <w:rPr>
          <w:rFonts w:hint="eastAsia" w:ascii="仿宋" w:hAnsi="仿宋" w:eastAsia="仿宋" w:cs="仿宋"/>
          <w:b/>
          <w:color w:val="auto"/>
          <w:sz w:val="30"/>
          <w:szCs w:val="30"/>
          <w:highlight w:val="none"/>
        </w:rPr>
      </w:pPr>
    </w:p>
    <w:p w14:paraId="34A6C646">
      <w:pPr>
        <w:spacing w:line="360" w:lineRule="auto"/>
        <w:rPr>
          <w:rFonts w:hint="eastAsia" w:ascii="仿宋" w:hAnsi="仿宋" w:eastAsia="仿宋" w:cs="仿宋"/>
          <w:b/>
          <w:color w:val="auto"/>
          <w:sz w:val="30"/>
          <w:szCs w:val="30"/>
          <w:highlight w:val="none"/>
        </w:rPr>
      </w:pPr>
    </w:p>
    <w:p w14:paraId="5BBCFBB8">
      <w:pPr>
        <w:spacing w:line="360" w:lineRule="auto"/>
        <w:rPr>
          <w:rFonts w:hint="eastAsia" w:ascii="仿宋" w:hAnsi="仿宋" w:eastAsia="仿宋" w:cs="仿宋"/>
          <w:b/>
          <w:color w:val="auto"/>
          <w:sz w:val="30"/>
          <w:szCs w:val="30"/>
          <w:highlight w:val="none"/>
        </w:rPr>
      </w:pPr>
    </w:p>
    <w:p w14:paraId="510052DA">
      <w:pPr>
        <w:spacing w:line="360" w:lineRule="auto"/>
        <w:rPr>
          <w:rFonts w:hint="eastAsia" w:ascii="仿宋" w:hAnsi="仿宋" w:eastAsia="仿宋" w:cs="仿宋"/>
          <w:b/>
          <w:color w:val="auto"/>
          <w:sz w:val="30"/>
          <w:szCs w:val="30"/>
          <w:highlight w:val="none"/>
        </w:rPr>
      </w:pPr>
    </w:p>
    <w:p w14:paraId="7B51F264">
      <w:pPr>
        <w:spacing w:line="360" w:lineRule="auto"/>
        <w:rPr>
          <w:rFonts w:hint="eastAsia" w:ascii="仿宋" w:hAnsi="仿宋" w:eastAsia="仿宋" w:cs="仿宋"/>
          <w:b/>
          <w:color w:val="auto"/>
          <w:sz w:val="30"/>
          <w:szCs w:val="30"/>
          <w:highlight w:val="none"/>
        </w:rPr>
      </w:pPr>
    </w:p>
    <w:p w14:paraId="050ED727">
      <w:pPr>
        <w:spacing w:line="360" w:lineRule="auto"/>
        <w:rPr>
          <w:rFonts w:hint="eastAsia" w:ascii="仿宋" w:hAnsi="仿宋" w:eastAsia="仿宋" w:cs="仿宋"/>
          <w:b/>
          <w:color w:val="auto"/>
          <w:sz w:val="30"/>
          <w:szCs w:val="30"/>
          <w:highlight w:val="none"/>
        </w:rPr>
      </w:pPr>
    </w:p>
    <w:p w14:paraId="735A7EC5">
      <w:pPr>
        <w:spacing w:line="360" w:lineRule="auto"/>
        <w:rPr>
          <w:rFonts w:hint="eastAsia" w:ascii="仿宋" w:hAnsi="仿宋" w:eastAsia="仿宋" w:cs="仿宋"/>
          <w:b/>
          <w:color w:val="auto"/>
          <w:sz w:val="30"/>
          <w:szCs w:val="30"/>
          <w:highlight w:val="none"/>
        </w:rPr>
      </w:pPr>
    </w:p>
    <w:p w14:paraId="67E7D333">
      <w:pPr>
        <w:spacing w:line="360" w:lineRule="auto"/>
        <w:rPr>
          <w:rFonts w:hint="eastAsia" w:ascii="仿宋" w:hAnsi="仿宋" w:eastAsia="仿宋" w:cs="仿宋"/>
          <w:b/>
          <w:color w:val="auto"/>
          <w:sz w:val="30"/>
          <w:szCs w:val="30"/>
          <w:highlight w:val="none"/>
        </w:rPr>
      </w:pPr>
    </w:p>
    <w:p w14:paraId="3A16B252">
      <w:pPr>
        <w:spacing w:line="360" w:lineRule="auto"/>
        <w:rPr>
          <w:rFonts w:hint="eastAsia" w:ascii="仿宋" w:hAnsi="仿宋" w:eastAsia="仿宋" w:cs="仿宋"/>
          <w:b/>
          <w:color w:val="auto"/>
          <w:sz w:val="30"/>
          <w:szCs w:val="30"/>
          <w:highlight w:val="none"/>
        </w:rPr>
      </w:pPr>
    </w:p>
    <w:p w14:paraId="0D8BE583">
      <w:pPr>
        <w:spacing w:line="360" w:lineRule="auto"/>
        <w:rPr>
          <w:rFonts w:hint="eastAsia" w:ascii="仿宋" w:hAnsi="仿宋" w:eastAsia="仿宋" w:cs="仿宋"/>
          <w:b/>
          <w:color w:val="auto"/>
          <w:sz w:val="30"/>
          <w:szCs w:val="30"/>
          <w:highlight w:val="none"/>
        </w:rPr>
      </w:pPr>
    </w:p>
    <w:p w14:paraId="0884DB09">
      <w:pPr>
        <w:spacing w:line="360" w:lineRule="auto"/>
        <w:rPr>
          <w:rFonts w:hint="eastAsia" w:ascii="仿宋" w:hAnsi="仿宋" w:eastAsia="仿宋" w:cs="仿宋"/>
          <w:b/>
          <w:color w:val="auto"/>
          <w:sz w:val="30"/>
          <w:szCs w:val="30"/>
          <w:highlight w:val="none"/>
        </w:rPr>
      </w:pPr>
    </w:p>
    <w:p w14:paraId="7990F1A0">
      <w:pPr>
        <w:spacing w:line="360" w:lineRule="auto"/>
        <w:rPr>
          <w:rFonts w:hint="eastAsia" w:ascii="仿宋" w:hAnsi="仿宋" w:eastAsia="仿宋" w:cs="仿宋"/>
          <w:b/>
          <w:color w:val="auto"/>
          <w:sz w:val="30"/>
          <w:szCs w:val="30"/>
          <w:highlight w:val="none"/>
        </w:rPr>
      </w:pPr>
    </w:p>
    <w:p w14:paraId="2D6CE9B8">
      <w:pPr>
        <w:spacing w:line="360" w:lineRule="auto"/>
        <w:rPr>
          <w:rFonts w:hint="eastAsia" w:ascii="仿宋" w:hAnsi="仿宋" w:eastAsia="仿宋" w:cs="仿宋"/>
          <w:b/>
          <w:color w:val="auto"/>
          <w:sz w:val="30"/>
          <w:szCs w:val="30"/>
          <w:highlight w:val="none"/>
        </w:rPr>
      </w:pPr>
    </w:p>
    <w:p w14:paraId="7B543847">
      <w:pPr>
        <w:spacing w:line="360" w:lineRule="auto"/>
        <w:rPr>
          <w:rFonts w:hint="eastAsia" w:ascii="仿宋" w:hAnsi="仿宋" w:eastAsia="仿宋" w:cs="仿宋"/>
          <w:b/>
          <w:color w:val="auto"/>
          <w:sz w:val="30"/>
          <w:szCs w:val="30"/>
          <w:highlight w:val="none"/>
        </w:rPr>
      </w:pPr>
    </w:p>
    <w:p w14:paraId="172360F0">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0"/>
          <w:szCs w:val="30"/>
          <w:highlight w:val="none"/>
        </w:rPr>
        <w:br w:type="page"/>
      </w:r>
      <w:r>
        <w:rPr>
          <w:rFonts w:hint="eastAsia" w:ascii="仿宋" w:hAnsi="仿宋" w:eastAsia="仿宋" w:cs="仿宋"/>
          <w:b/>
          <w:color w:val="auto"/>
          <w:kern w:val="0"/>
          <w:sz w:val="32"/>
          <w:szCs w:val="32"/>
          <w:highlight w:val="none"/>
        </w:rPr>
        <w:t>二、投标声明</w:t>
      </w:r>
      <w:r>
        <w:rPr>
          <w:rFonts w:hint="eastAsia" w:ascii="仿宋" w:hAnsi="仿宋" w:eastAsia="仿宋" w:cs="仿宋"/>
          <w:b/>
          <w:color w:val="auto"/>
          <w:sz w:val="32"/>
          <w:szCs w:val="32"/>
          <w:highlight w:val="none"/>
        </w:rPr>
        <w:t>函</w:t>
      </w:r>
    </w:p>
    <w:p w14:paraId="7CDECB8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（采购单位或采购代理机构名称）</w:t>
      </w:r>
      <w:r>
        <w:rPr>
          <w:rFonts w:hint="eastAsia" w:ascii="仿宋" w:hAnsi="仿宋" w:eastAsia="仿宋" w:cs="仿宋"/>
          <w:color w:val="auto"/>
          <w:sz w:val="24"/>
          <w:highlight w:val="none"/>
        </w:rPr>
        <w:t>：</w:t>
      </w:r>
    </w:p>
    <w:p w14:paraId="150B472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w:t>
      </w:r>
      <w:r>
        <w:rPr>
          <w:rFonts w:hint="eastAsia" w:ascii="仿宋" w:hAnsi="仿宋" w:eastAsia="仿宋" w:cs="仿宋"/>
          <w:color w:val="auto"/>
          <w:sz w:val="24"/>
          <w:highlight w:val="none"/>
          <w:u w:val="single"/>
        </w:rPr>
        <w:t>（投标人或联合体牵头人全称）</w:t>
      </w:r>
      <w:r>
        <w:rPr>
          <w:rFonts w:hint="eastAsia" w:ascii="仿宋" w:hAnsi="仿宋" w:eastAsia="仿宋" w:cs="仿宋"/>
          <w:color w:val="auto"/>
          <w:sz w:val="24"/>
          <w:highlight w:val="none"/>
        </w:rPr>
        <w:t>愿意参加贵方组织的</w:t>
      </w:r>
      <w:r>
        <w:rPr>
          <w:rFonts w:hint="eastAsia" w:ascii="仿宋" w:hAnsi="仿宋" w:eastAsia="仿宋" w:cs="仿宋"/>
          <w:color w:val="auto"/>
          <w:sz w:val="24"/>
          <w:highlight w:val="none"/>
          <w:u w:val="single"/>
        </w:rPr>
        <w:t>（招标项目名称及编号）</w:t>
      </w:r>
      <w:r>
        <w:rPr>
          <w:rFonts w:hint="eastAsia" w:ascii="仿宋" w:hAnsi="仿宋" w:eastAsia="仿宋" w:cs="仿宋"/>
          <w:color w:val="auto"/>
          <w:sz w:val="24"/>
          <w:highlight w:val="none"/>
        </w:rPr>
        <w:t>的投标，为此，我方就本次投标有关事项郑重声明如下：</w:t>
      </w:r>
    </w:p>
    <w:p w14:paraId="2A1D0F3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1、我方承诺已经具备《中华人民共和国政府采购法》中规定的参加政府采购活动的供应商应当具备的条件。</w:t>
      </w:r>
    </w:p>
    <w:p w14:paraId="49DD6C3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参加本次政府采购活动前三年内，在经营活动中没有重大违法记录；未被信用中国（www.creditchina.gov.cn)、中国政府采购网（www.ccgp.gov.cn）列入失信被执行人、重大税收违法案件当事人名单、政府采购严重违法失信行为记录名单。</w:t>
      </w:r>
    </w:p>
    <w:p w14:paraId="3DD291E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3、不存在以下情况：</w:t>
      </w:r>
    </w:p>
    <w:p w14:paraId="29BB06F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05A63C9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E726828">
      <w:pPr>
        <w:snapToGrid w:val="0"/>
        <w:spacing w:line="360" w:lineRule="auto"/>
        <w:ind w:firstLine="480" w:firstLineChars="200"/>
        <w:rPr>
          <w:rFonts w:hint="eastAsia" w:ascii="仿宋" w:hAnsi="仿宋" w:eastAsia="仿宋" w:cs="仿宋"/>
          <w:color w:val="auto"/>
          <w:sz w:val="24"/>
          <w:highlight w:val="none"/>
        </w:rPr>
      </w:pPr>
    </w:p>
    <w:p w14:paraId="67898463">
      <w:pPr>
        <w:snapToGrid w:val="0"/>
        <w:spacing w:line="360" w:lineRule="auto"/>
        <w:ind w:firstLine="480" w:firstLineChars="200"/>
        <w:rPr>
          <w:rFonts w:hint="eastAsia" w:ascii="仿宋" w:hAnsi="仿宋" w:eastAsia="仿宋" w:cs="仿宋"/>
          <w:color w:val="auto"/>
          <w:sz w:val="24"/>
          <w:highlight w:val="none"/>
        </w:rPr>
      </w:pPr>
    </w:p>
    <w:p w14:paraId="4348EE29">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联系人：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联系电话：</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传真号码：</w:t>
      </w:r>
      <w:r>
        <w:rPr>
          <w:rFonts w:hint="eastAsia" w:ascii="仿宋" w:hAnsi="仿宋" w:eastAsia="仿宋" w:cs="仿宋"/>
          <w:color w:val="auto"/>
          <w:kern w:val="0"/>
          <w:sz w:val="24"/>
          <w:highlight w:val="none"/>
          <w:u w:val="single"/>
          <w:lang w:val="zh-CN"/>
        </w:rPr>
        <w:t xml:space="preserve">            </w:t>
      </w:r>
    </w:p>
    <w:p w14:paraId="2F2EBE6D">
      <w:pPr>
        <w:snapToGrid w:val="0"/>
        <w:spacing w:line="360" w:lineRule="auto"/>
        <w:ind w:left="420" w:left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联系地址：</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邮政编码：</w:t>
      </w:r>
      <w:r>
        <w:rPr>
          <w:rFonts w:hint="eastAsia" w:ascii="仿宋" w:hAnsi="仿宋" w:eastAsia="仿宋" w:cs="仿宋"/>
          <w:color w:val="auto"/>
          <w:kern w:val="0"/>
          <w:sz w:val="24"/>
          <w:highlight w:val="none"/>
          <w:u w:val="single"/>
          <w:lang w:val="zh-CN"/>
        </w:rPr>
        <w:t xml:space="preserve">                     </w:t>
      </w:r>
    </w:p>
    <w:p w14:paraId="2838E48A">
      <w:pPr>
        <w:snapToGrid w:val="0"/>
        <w:spacing w:line="360" w:lineRule="auto"/>
        <w:ind w:firstLine="5040" w:firstLineChars="2100"/>
        <w:rPr>
          <w:rFonts w:hint="eastAsia" w:ascii="仿宋" w:hAnsi="仿宋" w:eastAsia="仿宋" w:cs="仿宋"/>
          <w:color w:val="auto"/>
          <w:kern w:val="0"/>
          <w:sz w:val="24"/>
          <w:highlight w:val="none"/>
          <w:lang w:val="zh-CN"/>
        </w:rPr>
      </w:pPr>
    </w:p>
    <w:p w14:paraId="3D4090CC">
      <w:pPr>
        <w:snapToGrid w:val="0"/>
        <w:spacing w:line="360" w:lineRule="auto"/>
        <w:ind w:firstLine="5040" w:firstLineChars="2100"/>
        <w:rPr>
          <w:rFonts w:hint="eastAsia" w:ascii="仿宋" w:hAnsi="仿宋" w:eastAsia="仿宋" w:cs="仿宋"/>
          <w:color w:val="auto"/>
          <w:kern w:val="0"/>
          <w:sz w:val="24"/>
          <w:highlight w:val="none"/>
          <w:lang w:val="zh-CN"/>
        </w:rPr>
      </w:pPr>
    </w:p>
    <w:p w14:paraId="5D1DBC0F">
      <w:pPr>
        <w:snapToGrid w:val="0"/>
        <w:spacing w:line="360" w:lineRule="auto"/>
        <w:ind w:firstLine="5040" w:firstLineChars="2100"/>
        <w:rPr>
          <w:rFonts w:hint="eastAsia" w:ascii="仿宋" w:hAnsi="仿宋" w:eastAsia="仿宋" w:cs="仿宋"/>
          <w:color w:val="auto"/>
          <w:kern w:val="0"/>
          <w:sz w:val="24"/>
          <w:highlight w:val="none"/>
          <w:lang w:val="zh-CN"/>
        </w:rPr>
      </w:pPr>
    </w:p>
    <w:p w14:paraId="37B06309">
      <w:pPr>
        <w:snapToGrid w:val="0"/>
        <w:spacing w:line="360" w:lineRule="auto"/>
        <w:ind w:firstLine="5040" w:firstLineChars="2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12EEC6A6">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2DC1EFD1">
      <w:pPr>
        <w:snapToGrid w:val="0"/>
        <w:spacing w:line="360" w:lineRule="auto"/>
        <w:outlineLvl w:val="0"/>
        <w:rPr>
          <w:rFonts w:hint="eastAsia" w:ascii="仿宋" w:hAnsi="仿宋" w:eastAsia="仿宋" w:cs="仿宋"/>
          <w:b/>
          <w:color w:val="auto"/>
          <w:kern w:val="0"/>
          <w:sz w:val="32"/>
          <w:szCs w:val="32"/>
          <w:highlight w:val="none"/>
        </w:rPr>
      </w:pPr>
    </w:p>
    <w:p w14:paraId="5A9CBEC0">
      <w:pPr>
        <w:snapToGrid w:val="0"/>
        <w:spacing w:line="360" w:lineRule="auto"/>
        <w:jc w:val="center"/>
        <w:outlineLvl w:val="0"/>
        <w:rPr>
          <w:rFonts w:hint="eastAsia" w:ascii="仿宋" w:hAnsi="仿宋" w:eastAsia="仿宋" w:cs="仿宋"/>
          <w:b/>
          <w:color w:val="auto"/>
          <w:kern w:val="0"/>
          <w:sz w:val="32"/>
          <w:szCs w:val="32"/>
          <w:highlight w:val="none"/>
        </w:rPr>
      </w:pPr>
    </w:p>
    <w:p w14:paraId="634161FA">
      <w:pPr>
        <w:pStyle w:val="3"/>
        <w:numPr>
          <w:ilvl w:val="0"/>
          <w:numId w:val="0"/>
        </w:numPr>
        <w:rPr>
          <w:rFonts w:hint="eastAsia" w:ascii="仿宋" w:eastAsia="仿宋" w:cs="仿宋"/>
          <w:color w:val="auto"/>
          <w:highlight w:val="none"/>
        </w:rPr>
      </w:pPr>
    </w:p>
    <w:p w14:paraId="599C131F">
      <w:pPr>
        <w:snapToGrid w:val="0"/>
        <w:spacing w:line="360" w:lineRule="auto"/>
        <w:jc w:val="center"/>
        <w:outlineLvl w:val="0"/>
        <w:rPr>
          <w:rFonts w:hint="eastAsia" w:ascii="仿宋" w:hAnsi="仿宋" w:eastAsia="仿宋" w:cs="仿宋"/>
          <w:b/>
          <w:color w:val="auto"/>
          <w:kern w:val="0"/>
          <w:sz w:val="32"/>
          <w:szCs w:val="32"/>
          <w:highlight w:val="none"/>
        </w:rPr>
      </w:pPr>
    </w:p>
    <w:p w14:paraId="19AC0533">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三、联合体协议书（如有）</w:t>
      </w:r>
    </w:p>
    <w:p w14:paraId="1A20674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甲方：</w:t>
      </w:r>
    </w:p>
    <w:p w14:paraId="0F83748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乙方：</w:t>
      </w:r>
    </w:p>
    <w:p w14:paraId="4643CEB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（如果有的话，可按甲、乙、丙、丁…序列增加）</w:t>
      </w:r>
    </w:p>
    <w:p w14:paraId="38A5A7D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各方经协商，就响应</w:t>
      </w:r>
      <w:r>
        <w:rPr>
          <w:rFonts w:hint="eastAsia" w:ascii="仿宋" w:hAnsi="仿宋" w:eastAsia="仿宋" w:cs="仿宋"/>
          <w:color w:val="auto"/>
          <w:kern w:val="0"/>
          <w:sz w:val="24"/>
          <w:highlight w:val="none"/>
          <w:u w:val="single"/>
          <w:lang w:val="zh-CN"/>
        </w:rPr>
        <w:t>（采购单位或采购代理机构名称）</w:t>
      </w:r>
      <w:r>
        <w:rPr>
          <w:rFonts w:hint="eastAsia" w:ascii="仿宋" w:hAnsi="仿宋" w:eastAsia="仿宋" w:cs="仿宋"/>
          <w:color w:val="auto"/>
          <w:kern w:val="0"/>
          <w:sz w:val="24"/>
          <w:highlight w:val="none"/>
          <w:lang w:val="zh-CN"/>
        </w:rPr>
        <w:t>组织实施的</w:t>
      </w:r>
      <w:r>
        <w:rPr>
          <w:rFonts w:hint="eastAsia" w:ascii="仿宋" w:hAnsi="仿宋" w:eastAsia="仿宋" w:cs="仿宋"/>
          <w:color w:val="auto"/>
          <w:kern w:val="0"/>
          <w:sz w:val="24"/>
          <w:highlight w:val="none"/>
          <w:u w:val="single"/>
          <w:lang w:val="zh-CN"/>
        </w:rPr>
        <w:t xml:space="preserve"> （招标项目名称及编号）</w:t>
      </w:r>
      <w:r>
        <w:rPr>
          <w:rFonts w:hint="eastAsia" w:ascii="仿宋" w:hAnsi="仿宋" w:eastAsia="仿宋" w:cs="仿宋"/>
          <w:color w:val="auto"/>
          <w:kern w:val="0"/>
          <w:sz w:val="24"/>
          <w:highlight w:val="none"/>
          <w:lang w:val="zh-CN"/>
        </w:rPr>
        <w:t>的招标活动联合进行投标之事宜，达成如下协议：</w:t>
      </w:r>
    </w:p>
    <w:p w14:paraId="6B81B87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一、各方一致决定组成一个联合体，以一个供应商的身份共同参加本项目政府采购。</w:t>
      </w:r>
    </w:p>
    <w:p w14:paraId="6C54C17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二、以</w:t>
      </w:r>
      <w:r>
        <w:rPr>
          <w:rFonts w:hint="eastAsia" w:ascii="仿宋" w:hAnsi="仿宋" w:eastAsia="仿宋" w:cs="仿宋"/>
          <w:color w:val="auto"/>
          <w:kern w:val="0"/>
          <w:sz w:val="24"/>
          <w:highlight w:val="none"/>
          <w:u w:val="single"/>
          <w:lang w:val="zh-CN"/>
        </w:rPr>
        <w:t xml:space="preserve">   （联合体牵头人名称）   </w:t>
      </w:r>
      <w:r>
        <w:rPr>
          <w:rFonts w:hint="eastAsia" w:ascii="仿宋" w:hAnsi="仿宋" w:eastAsia="仿宋" w:cs="仿宋"/>
          <w:color w:val="auto"/>
          <w:kern w:val="0"/>
          <w:sz w:val="24"/>
          <w:highlight w:val="none"/>
          <w:lang w:val="zh-CN"/>
        </w:rPr>
        <w:t>为联合体牵头人，负责包括但不仅限于投标、配合处理质疑投诉等一切和采购活动相关的事宜。</w:t>
      </w:r>
    </w:p>
    <w:p w14:paraId="538111C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三、联合体各方对投标响应文件及开标过程中的各种书面承诺、澄清等均予以认可，对联合投标各方均产生约束力。</w:t>
      </w:r>
    </w:p>
    <w:p w14:paraId="0972B44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四、如果中标，联合投标各方共同与征集人签订采购合同，共同履行对征集人所负有的全部义务并就采购合同约定的事项对征集人承担连带责任。</w:t>
      </w:r>
    </w:p>
    <w:p w14:paraId="3644A8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五、联合体各方不再单独参加或与其他供应商另外组成联合体参加同一标项（项目）的政府采购活动，否则均被视为无效投标。</w:t>
      </w:r>
    </w:p>
    <w:p w14:paraId="3C862BE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六、如果中标，联合体各方在项目实施过程中承担的工作和义务为：</w:t>
      </w:r>
    </w:p>
    <w:p w14:paraId="2257351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甲方：…            乙方：…</w:t>
      </w:r>
    </w:p>
    <w:p w14:paraId="0270460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4B242E7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七、联合体成员中小企业合同份额。</w:t>
      </w:r>
    </w:p>
    <w:p w14:paraId="340A65C6">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提供的全部货物由小微企业制造，其合同份额占到合同总金额___%以上；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6FA78E4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2、中小企业合同金额达到___%，其中小微企业合同金额达到___%</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要求以联合体形式参加的项目或采购包，供应商按征集文件第一部分征集公告申请人的资格要求中规定的联合协议中中小企业、小微企业合同金额应当达到的比例要求填写。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627F28A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八、本协议签约各方各持一份，并作为响应文件的一部分。</w:t>
      </w:r>
    </w:p>
    <w:p w14:paraId="61C3EFEF">
      <w:pPr>
        <w:snapToGrid w:val="0"/>
        <w:spacing w:line="360" w:lineRule="auto"/>
        <w:ind w:firstLine="576"/>
        <w:rPr>
          <w:rFonts w:hint="eastAsia" w:ascii="仿宋" w:hAnsi="仿宋" w:eastAsia="仿宋" w:cs="仿宋"/>
          <w:color w:val="auto"/>
          <w:kern w:val="0"/>
          <w:sz w:val="24"/>
          <w:highlight w:val="none"/>
          <w:lang w:val="zh-CN"/>
        </w:rPr>
      </w:pPr>
    </w:p>
    <w:p w14:paraId="347861D3">
      <w:pPr>
        <w:snapToGrid w:val="0"/>
        <w:spacing w:line="360" w:lineRule="auto"/>
        <w:ind w:firstLine="576"/>
        <w:rPr>
          <w:rFonts w:hint="eastAsia" w:ascii="仿宋" w:hAnsi="仿宋" w:eastAsia="仿宋" w:cs="仿宋"/>
          <w:color w:val="auto"/>
          <w:kern w:val="0"/>
          <w:sz w:val="24"/>
          <w:highlight w:val="none"/>
          <w:lang w:val="zh-CN"/>
        </w:rPr>
      </w:pPr>
    </w:p>
    <w:tbl>
      <w:tblPr>
        <w:tblStyle w:val="60"/>
        <w:tblW w:w="0" w:type="auto"/>
        <w:jc w:val="center"/>
        <w:tblLayout w:type="fixed"/>
        <w:tblCellMar>
          <w:top w:w="0" w:type="dxa"/>
          <w:left w:w="108" w:type="dxa"/>
          <w:bottom w:w="0" w:type="dxa"/>
          <w:right w:w="108" w:type="dxa"/>
        </w:tblCellMar>
      </w:tblPr>
      <w:tblGrid>
        <w:gridCol w:w="4264"/>
        <w:gridCol w:w="4264"/>
      </w:tblGrid>
      <w:tr w14:paraId="5E92C046">
        <w:tblPrEx>
          <w:tblCellMar>
            <w:top w:w="0" w:type="dxa"/>
            <w:left w:w="108" w:type="dxa"/>
            <w:bottom w:w="0" w:type="dxa"/>
            <w:right w:w="108" w:type="dxa"/>
          </w:tblCellMar>
        </w:tblPrEx>
        <w:trPr>
          <w:jc w:val="center"/>
        </w:trPr>
        <w:tc>
          <w:tcPr>
            <w:tcW w:w="4264" w:type="dxa"/>
            <w:noWrap w:val="0"/>
            <w:vAlign w:val="top"/>
          </w:tcPr>
          <w:p w14:paraId="2A0D9BE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甲方单位：       （公章）</w:t>
            </w:r>
          </w:p>
          <w:p w14:paraId="484FCF6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法定代表人：     （签章）</w:t>
            </w:r>
          </w:p>
          <w:p w14:paraId="1B74809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  期：  年  月   日</w:t>
            </w:r>
          </w:p>
        </w:tc>
        <w:tc>
          <w:tcPr>
            <w:tcW w:w="4264" w:type="dxa"/>
            <w:noWrap w:val="0"/>
            <w:vAlign w:val="top"/>
          </w:tcPr>
          <w:p w14:paraId="0E149BF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乙方单位：       （公章）</w:t>
            </w:r>
          </w:p>
          <w:p w14:paraId="5A4B347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法定代表人：     （签章）</w:t>
            </w:r>
          </w:p>
          <w:p w14:paraId="44B1356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  期：  年  月   日</w:t>
            </w:r>
          </w:p>
        </w:tc>
      </w:tr>
    </w:tbl>
    <w:p w14:paraId="037598CF">
      <w:pPr>
        <w:spacing w:line="360" w:lineRule="auto"/>
        <w:jc w:val="center"/>
        <w:rPr>
          <w:rFonts w:hint="eastAsia" w:ascii="仿宋" w:hAnsi="仿宋" w:eastAsia="仿宋" w:cs="仿宋"/>
          <w:b/>
          <w:color w:val="auto"/>
          <w:sz w:val="32"/>
          <w:szCs w:val="32"/>
          <w:highlight w:val="none"/>
        </w:rPr>
      </w:pPr>
    </w:p>
    <w:p w14:paraId="07C88DFE">
      <w:pPr>
        <w:rPr>
          <w:rFonts w:hint="eastAsia" w:ascii="仿宋" w:hAnsi="仿宋" w:eastAsia="仿宋" w:cs="仿宋"/>
          <w:b/>
          <w:color w:val="auto"/>
          <w:sz w:val="32"/>
          <w:szCs w:val="32"/>
          <w:highlight w:val="none"/>
        </w:rPr>
      </w:pPr>
    </w:p>
    <w:p w14:paraId="7734778F">
      <w:pPr>
        <w:rPr>
          <w:rFonts w:hint="eastAsia" w:ascii="仿宋" w:hAnsi="仿宋" w:eastAsia="仿宋" w:cs="仿宋"/>
          <w:b/>
          <w:color w:val="auto"/>
          <w:sz w:val="32"/>
          <w:szCs w:val="32"/>
          <w:highlight w:val="none"/>
        </w:rPr>
      </w:pPr>
    </w:p>
    <w:p w14:paraId="5D8E2D2E">
      <w:pPr>
        <w:rPr>
          <w:rFonts w:hint="eastAsia" w:ascii="仿宋" w:hAnsi="仿宋" w:eastAsia="仿宋" w:cs="仿宋"/>
          <w:b/>
          <w:color w:val="auto"/>
          <w:sz w:val="32"/>
          <w:szCs w:val="32"/>
          <w:highlight w:val="none"/>
        </w:rPr>
      </w:pPr>
    </w:p>
    <w:p w14:paraId="57DD1539">
      <w:pPr>
        <w:rPr>
          <w:rFonts w:hint="eastAsia" w:ascii="仿宋" w:hAnsi="仿宋" w:eastAsia="仿宋" w:cs="仿宋"/>
          <w:b/>
          <w:color w:val="auto"/>
          <w:sz w:val="32"/>
          <w:szCs w:val="32"/>
          <w:highlight w:val="none"/>
        </w:rPr>
      </w:pPr>
    </w:p>
    <w:p w14:paraId="1DE08C0D">
      <w:pPr>
        <w:rPr>
          <w:rFonts w:hint="eastAsia" w:ascii="仿宋" w:hAnsi="仿宋" w:eastAsia="仿宋" w:cs="仿宋"/>
          <w:b/>
          <w:color w:val="auto"/>
          <w:sz w:val="32"/>
          <w:szCs w:val="32"/>
          <w:highlight w:val="none"/>
        </w:rPr>
      </w:pPr>
    </w:p>
    <w:p w14:paraId="3BC8A6AF">
      <w:pPr>
        <w:rPr>
          <w:rFonts w:hint="eastAsia" w:ascii="仿宋" w:hAnsi="仿宋" w:eastAsia="仿宋" w:cs="仿宋"/>
          <w:b/>
          <w:color w:val="auto"/>
          <w:sz w:val="32"/>
          <w:szCs w:val="32"/>
          <w:highlight w:val="none"/>
        </w:rPr>
      </w:pPr>
    </w:p>
    <w:p w14:paraId="1FF8DBB0">
      <w:pPr>
        <w:rPr>
          <w:rFonts w:hint="eastAsia" w:ascii="仿宋" w:hAnsi="仿宋" w:eastAsia="仿宋" w:cs="仿宋"/>
          <w:b/>
          <w:color w:val="auto"/>
          <w:sz w:val="32"/>
          <w:szCs w:val="32"/>
          <w:highlight w:val="none"/>
        </w:rPr>
      </w:pPr>
    </w:p>
    <w:p w14:paraId="3AC7A969">
      <w:pPr>
        <w:rPr>
          <w:rFonts w:hint="eastAsia" w:ascii="仿宋" w:hAnsi="仿宋" w:eastAsia="仿宋" w:cs="仿宋"/>
          <w:b/>
          <w:color w:val="auto"/>
          <w:sz w:val="32"/>
          <w:szCs w:val="32"/>
          <w:highlight w:val="none"/>
        </w:rPr>
      </w:pPr>
    </w:p>
    <w:p w14:paraId="35EA3A67">
      <w:pPr>
        <w:rPr>
          <w:rFonts w:hint="eastAsia" w:ascii="仿宋" w:hAnsi="仿宋" w:eastAsia="仿宋" w:cs="仿宋"/>
          <w:b/>
          <w:color w:val="auto"/>
          <w:sz w:val="32"/>
          <w:szCs w:val="32"/>
          <w:highlight w:val="none"/>
        </w:rPr>
      </w:pPr>
    </w:p>
    <w:p w14:paraId="0C99557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z w:val="32"/>
          <w:szCs w:val="32"/>
          <w:highlight w:val="none"/>
        </w:rPr>
        <w:br w:type="page"/>
      </w:r>
      <w:r>
        <w:rPr>
          <w:rFonts w:hint="eastAsia" w:ascii="仿宋" w:hAnsi="仿宋" w:eastAsia="仿宋" w:cs="仿宋"/>
          <w:b/>
          <w:color w:val="auto"/>
          <w:kern w:val="0"/>
          <w:sz w:val="32"/>
          <w:szCs w:val="32"/>
          <w:highlight w:val="none"/>
        </w:rPr>
        <w:t>四、法定代表人授权委托书</w:t>
      </w:r>
    </w:p>
    <w:p w14:paraId="0B249E36">
      <w:pPr>
        <w:snapToGrid w:val="0"/>
        <w:spacing w:line="360" w:lineRule="auto"/>
        <w:rPr>
          <w:rFonts w:hint="eastAsia" w:ascii="仿宋" w:hAnsi="仿宋" w:eastAsia="仿宋" w:cs="仿宋"/>
          <w:color w:val="auto"/>
          <w:sz w:val="24"/>
          <w:highlight w:val="none"/>
          <w:u w:val="single"/>
        </w:rPr>
      </w:pPr>
    </w:p>
    <w:p w14:paraId="78B7984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（采购单位或采购代理机构名称）</w:t>
      </w:r>
      <w:r>
        <w:rPr>
          <w:rFonts w:hint="eastAsia" w:ascii="仿宋" w:hAnsi="仿宋" w:eastAsia="仿宋" w:cs="仿宋"/>
          <w:color w:val="auto"/>
          <w:sz w:val="24"/>
          <w:highlight w:val="none"/>
        </w:rPr>
        <w:t>：</w:t>
      </w:r>
    </w:p>
    <w:p w14:paraId="68008D5A">
      <w:pPr>
        <w:snapToGrid w:val="0"/>
        <w:spacing w:line="360" w:lineRule="auto"/>
        <w:ind w:firstLine="576"/>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我</w:t>
      </w:r>
      <w:r>
        <w:rPr>
          <w:rFonts w:hint="eastAsia" w:ascii="仿宋" w:hAnsi="仿宋" w:eastAsia="仿宋" w:cs="仿宋"/>
          <w:color w:val="auto"/>
          <w:sz w:val="24"/>
          <w:highlight w:val="none"/>
          <w:u w:val="single"/>
        </w:rPr>
        <w:t xml:space="preserve">（姓名及身份证号码） </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（投标人或联合体牵头人全称） </w:t>
      </w:r>
      <w:r>
        <w:rPr>
          <w:rFonts w:hint="eastAsia" w:ascii="仿宋" w:hAnsi="仿宋" w:eastAsia="仿宋" w:cs="仿宋"/>
          <w:color w:val="auto"/>
          <w:sz w:val="24"/>
          <w:highlight w:val="none"/>
        </w:rPr>
        <w:t>的法定代表人，现授权委托本单位在职职工</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u w:val="single"/>
        </w:rPr>
        <w:t>（姓名）</w:t>
      </w:r>
      <w:r>
        <w:rPr>
          <w:rFonts w:hint="eastAsia" w:ascii="仿宋" w:hAnsi="仿宋" w:eastAsia="仿宋" w:cs="仿宋"/>
          <w:color w:val="auto"/>
          <w:kern w:val="0"/>
          <w:sz w:val="24"/>
          <w:highlight w:val="none"/>
          <w:lang w:val="zh-CN"/>
        </w:rPr>
        <w:t>(其身份证号码：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传真：</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)，以我方的名义参加</w:t>
      </w:r>
      <w:r>
        <w:rPr>
          <w:rFonts w:hint="eastAsia" w:ascii="仿宋" w:hAnsi="仿宋" w:eastAsia="仿宋" w:cs="仿宋"/>
          <w:color w:val="auto"/>
          <w:sz w:val="24"/>
          <w:highlight w:val="none"/>
          <w:u w:val="single"/>
        </w:rPr>
        <w:t>（招标项目名称及编号）</w:t>
      </w:r>
      <w:r>
        <w:rPr>
          <w:rFonts w:hint="eastAsia" w:ascii="仿宋" w:hAnsi="仿宋" w:eastAsia="仿宋" w:cs="仿宋"/>
          <w:color w:val="auto"/>
          <w:kern w:val="0"/>
          <w:sz w:val="24"/>
          <w:highlight w:val="none"/>
          <w:lang w:val="zh-CN"/>
        </w:rPr>
        <w:t>的投标活动，并代表我方全权办理针对上述项目投标、开标、评标、签约等具体事务和签署相关文件。我方对授权代表的签名事项负全部责任。</w:t>
      </w:r>
    </w:p>
    <w:p w14:paraId="63BEA0B1">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在撤销授权的书面通知以前，本授权书一直有效。全权代表在授权书有效期内签署的所有文件不因授权的撤销而失效。</w:t>
      </w:r>
    </w:p>
    <w:p w14:paraId="4AC6D45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授权代表无转委托权。特此委托</w:t>
      </w:r>
    </w:p>
    <w:p w14:paraId="0E626BCA">
      <w:pPr>
        <w:snapToGrid w:val="0"/>
        <w:spacing w:line="360" w:lineRule="auto"/>
        <w:ind w:firstLine="5040" w:firstLineChars="2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5368B4D">
      <w:pPr>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6B894768">
      <w:pPr>
        <w:tabs>
          <w:tab w:val="left" w:pos="6603"/>
        </w:tabs>
        <w:snapToGrid w:val="0"/>
        <w:spacing w:line="360" w:lineRule="auto"/>
        <w:ind w:firstLine="5160" w:firstLineChars="21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ab/>
      </w:r>
    </w:p>
    <w:p w14:paraId="2350B5ED">
      <w:pPr>
        <w:spacing w:line="360" w:lineRule="auto"/>
        <w:jc w:val="center"/>
        <w:rPr>
          <w:rFonts w:hint="eastAsia" w:ascii="仿宋" w:hAnsi="仿宋" w:eastAsia="仿宋" w:cs="仿宋"/>
          <w:b/>
          <w:color w:val="auto"/>
          <w:sz w:val="32"/>
          <w:szCs w:val="32"/>
          <w:highlight w:val="none"/>
        </w:rPr>
      </w:pPr>
    </w:p>
    <w:p w14:paraId="189EC702">
      <w:pPr>
        <w:spacing w:line="360" w:lineRule="auto"/>
        <w:jc w:val="center"/>
        <w:rPr>
          <w:rFonts w:hint="eastAsia" w:ascii="仿宋" w:hAnsi="仿宋" w:eastAsia="仿宋" w:cs="仿宋"/>
          <w:b/>
          <w:color w:val="auto"/>
          <w:sz w:val="32"/>
          <w:szCs w:val="32"/>
          <w:highlight w:val="none"/>
        </w:rPr>
      </w:pPr>
    </w:p>
    <w:p w14:paraId="5D5632CC">
      <w:pPr>
        <w:spacing w:line="360" w:lineRule="auto"/>
        <w:jc w:val="center"/>
        <w:rPr>
          <w:rFonts w:hint="eastAsia" w:ascii="仿宋" w:hAnsi="仿宋" w:eastAsia="仿宋" w:cs="仿宋"/>
          <w:b/>
          <w:color w:val="auto"/>
          <w:sz w:val="32"/>
          <w:szCs w:val="32"/>
          <w:highlight w:val="none"/>
        </w:rPr>
      </w:pPr>
    </w:p>
    <w:p w14:paraId="22F1985C">
      <w:pPr>
        <w:spacing w:line="360" w:lineRule="auto"/>
        <w:jc w:val="center"/>
        <w:rPr>
          <w:rFonts w:hint="eastAsia" w:ascii="仿宋" w:hAnsi="仿宋" w:eastAsia="仿宋" w:cs="仿宋"/>
          <w:b/>
          <w:color w:val="auto"/>
          <w:sz w:val="32"/>
          <w:szCs w:val="32"/>
          <w:highlight w:val="none"/>
        </w:rPr>
      </w:pPr>
    </w:p>
    <w:p w14:paraId="15428643">
      <w:pPr>
        <w:spacing w:line="360" w:lineRule="auto"/>
        <w:jc w:val="center"/>
        <w:rPr>
          <w:rFonts w:hint="eastAsia" w:ascii="仿宋" w:hAnsi="仿宋" w:eastAsia="仿宋" w:cs="仿宋"/>
          <w:b/>
          <w:color w:val="auto"/>
          <w:sz w:val="32"/>
          <w:szCs w:val="32"/>
          <w:highlight w:val="none"/>
        </w:rPr>
      </w:pPr>
    </w:p>
    <w:p w14:paraId="17EE4250">
      <w:pPr>
        <w:spacing w:line="360" w:lineRule="auto"/>
        <w:jc w:val="center"/>
        <w:rPr>
          <w:rFonts w:hint="eastAsia" w:ascii="仿宋" w:hAnsi="仿宋" w:eastAsia="仿宋" w:cs="仿宋"/>
          <w:b/>
          <w:color w:val="auto"/>
          <w:sz w:val="32"/>
          <w:szCs w:val="32"/>
          <w:highlight w:val="none"/>
        </w:rPr>
      </w:pPr>
    </w:p>
    <w:p w14:paraId="6803FB63">
      <w:pPr>
        <w:spacing w:line="360" w:lineRule="auto"/>
        <w:jc w:val="center"/>
        <w:rPr>
          <w:rFonts w:hint="eastAsia" w:ascii="仿宋" w:hAnsi="仿宋" w:eastAsia="仿宋" w:cs="仿宋"/>
          <w:b/>
          <w:color w:val="auto"/>
          <w:sz w:val="32"/>
          <w:szCs w:val="32"/>
          <w:highlight w:val="none"/>
        </w:rPr>
      </w:pPr>
    </w:p>
    <w:p w14:paraId="732F6640">
      <w:pPr>
        <w:spacing w:line="360" w:lineRule="auto"/>
        <w:jc w:val="center"/>
        <w:rPr>
          <w:rFonts w:hint="eastAsia" w:ascii="仿宋" w:hAnsi="仿宋" w:eastAsia="仿宋" w:cs="仿宋"/>
          <w:b/>
          <w:color w:val="auto"/>
          <w:sz w:val="32"/>
          <w:szCs w:val="32"/>
          <w:highlight w:val="none"/>
        </w:rPr>
      </w:pPr>
    </w:p>
    <w:p w14:paraId="51F5CF8C">
      <w:pPr>
        <w:spacing w:line="360" w:lineRule="auto"/>
        <w:jc w:val="center"/>
        <w:rPr>
          <w:rFonts w:hint="eastAsia" w:ascii="仿宋" w:hAnsi="仿宋" w:eastAsia="仿宋" w:cs="仿宋"/>
          <w:b/>
          <w:color w:val="auto"/>
          <w:sz w:val="32"/>
          <w:szCs w:val="32"/>
          <w:highlight w:val="none"/>
        </w:rPr>
      </w:pPr>
    </w:p>
    <w:p w14:paraId="47167CF1">
      <w:pPr>
        <w:spacing w:line="360" w:lineRule="auto"/>
        <w:jc w:val="center"/>
        <w:rPr>
          <w:rFonts w:hint="eastAsia" w:ascii="仿宋" w:hAnsi="仿宋" w:eastAsia="仿宋" w:cs="仿宋"/>
          <w:b/>
          <w:color w:val="auto"/>
          <w:sz w:val="32"/>
          <w:szCs w:val="32"/>
          <w:highlight w:val="none"/>
        </w:rPr>
      </w:pPr>
    </w:p>
    <w:p w14:paraId="142C3569">
      <w:pPr>
        <w:spacing w:line="360" w:lineRule="auto"/>
        <w:jc w:val="center"/>
        <w:rPr>
          <w:rFonts w:hint="eastAsia" w:ascii="仿宋" w:hAnsi="仿宋" w:eastAsia="仿宋" w:cs="仿宋"/>
          <w:b/>
          <w:color w:val="auto"/>
          <w:sz w:val="32"/>
          <w:szCs w:val="32"/>
          <w:highlight w:val="none"/>
        </w:rPr>
      </w:pPr>
    </w:p>
    <w:p w14:paraId="22E9C08E">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z w:val="32"/>
          <w:szCs w:val="32"/>
          <w:highlight w:val="none"/>
        </w:rPr>
        <w:br w:type="page"/>
      </w:r>
      <w:r>
        <w:rPr>
          <w:rFonts w:hint="eastAsia" w:ascii="仿宋" w:hAnsi="仿宋" w:eastAsia="仿宋" w:cs="仿宋"/>
          <w:b/>
          <w:color w:val="auto"/>
          <w:kern w:val="0"/>
          <w:sz w:val="32"/>
          <w:szCs w:val="32"/>
          <w:highlight w:val="none"/>
        </w:rPr>
        <w:t>五、法定代表人及其授权代表的身份证（复印件）</w:t>
      </w:r>
    </w:p>
    <w:p w14:paraId="646A6DE8">
      <w:pPr>
        <w:widowControl/>
        <w:spacing w:line="360" w:lineRule="auto"/>
        <w:jc w:val="left"/>
        <w:rPr>
          <w:rFonts w:hint="eastAsia" w:ascii="仿宋" w:hAnsi="仿宋" w:eastAsia="仿宋" w:cs="仿宋"/>
          <w:color w:val="auto"/>
          <w:sz w:val="24"/>
          <w:highlight w:val="none"/>
        </w:rPr>
      </w:pPr>
    </w:p>
    <w:p w14:paraId="12FE2D01">
      <w:pPr>
        <w:spacing w:line="360" w:lineRule="auto"/>
        <w:jc w:val="center"/>
        <w:rPr>
          <w:rFonts w:hint="eastAsia" w:ascii="仿宋" w:hAnsi="仿宋" w:eastAsia="仿宋" w:cs="仿宋"/>
          <w:strike/>
          <w:color w:val="auto"/>
          <w:sz w:val="24"/>
          <w:highlight w:val="none"/>
        </w:rPr>
      </w:pPr>
    </w:p>
    <w:p w14:paraId="2704D416">
      <w:pPr>
        <w:pStyle w:val="3"/>
        <w:numPr>
          <w:ilvl w:val="0"/>
          <w:numId w:val="0"/>
        </w:numPr>
        <w:rPr>
          <w:rFonts w:hint="eastAsia"/>
          <w:color w:val="auto"/>
          <w:highlight w:val="none"/>
        </w:rPr>
      </w:pPr>
    </w:p>
    <w:p w14:paraId="5BBFFEDA">
      <w:pPr>
        <w:spacing w:line="360" w:lineRule="auto"/>
        <w:jc w:val="center"/>
        <w:rPr>
          <w:rFonts w:hint="eastAsia" w:ascii="仿宋" w:hAnsi="仿宋" w:eastAsia="仿宋" w:cs="仿宋"/>
          <w:b/>
          <w:color w:val="auto"/>
          <w:sz w:val="32"/>
          <w:szCs w:val="32"/>
          <w:highlight w:val="none"/>
        </w:rPr>
      </w:pPr>
    </w:p>
    <w:p w14:paraId="2EF16CF1">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六、符合特定资格条件（如果项目要求）</w:t>
      </w:r>
    </w:p>
    <w:p w14:paraId="6D9A69FD">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的有关证明材料（复印件）</w:t>
      </w:r>
    </w:p>
    <w:p w14:paraId="338DFDC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（由投标人根据征集公告合格的投标人应具备的特定资格要求编制；如果本项目没有设置特定资格条件，则不需要提供）</w:t>
      </w:r>
    </w:p>
    <w:p w14:paraId="5797FC18">
      <w:pPr>
        <w:spacing w:line="360" w:lineRule="auto"/>
        <w:outlineLvl w:val="0"/>
        <w:rPr>
          <w:rFonts w:hint="eastAsia" w:ascii="仿宋" w:hAnsi="仿宋" w:eastAsia="仿宋" w:cs="仿宋"/>
          <w:color w:val="auto"/>
          <w:sz w:val="24"/>
          <w:highlight w:val="none"/>
        </w:rPr>
      </w:pPr>
    </w:p>
    <w:p w14:paraId="2DC78D47">
      <w:pPr>
        <w:pStyle w:val="3"/>
        <w:numPr>
          <w:ilvl w:val="0"/>
          <w:numId w:val="0"/>
        </w:numPr>
        <w:rPr>
          <w:rFonts w:hint="eastAsia"/>
          <w:color w:val="auto"/>
          <w:highlight w:val="none"/>
        </w:rPr>
      </w:pPr>
    </w:p>
    <w:p w14:paraId="3BF03834">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35B9C633">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58E0BE1D">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57A43E79">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1EF9F400">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270813BF">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3E16560E">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6B632EC6">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6DAFD52F">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6DEB19DD">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7E6EFC85">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018F77B0">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51F4D371">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18E1128D">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4592788F">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3A17D069">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11AC6946">
      <w:pPr>
        <w:pStyle w:val="475"/>
        <w:keepNext w:val="0"/>
        <w:pageBreakBefore w:val="0"/>
        <w:tabs>
          <w:tab w:val="clear" w:pos="720"/>
        </w:tabs>
        <w:snapToGrid w:val="0"/>
        <w:spacing w:before="240"/>
        <w:outlineLvl w:val="9"/>
        <w:rPr>
          <w:rFonts w:hint="eastAsia"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七、中小企业声明函（如有）</w:t>
      </w:r>
    </w:p>
    <w:p w14:paraId="136CA579">
      <w:pPr>
        <w:spacing w:line="440" w:lineRule="exact"/>
        <w:ind w:firstLine="360" w:firstLineChars="150"/>
        <w:jc w:val="left"/>
        <w:rPr>
          <w:rFonts w:ascii="仿宋" w:hAnsi="仿宋" w:eastAsia="仿宋"/>
          <w:color w:val="auto"/>
          <w:sz w:val="24"/>
          <w:highlight w:val="none"/>
        </w:rPr>
      </w:pPr>
      <w:r>
        <w:rPr>
          <w:rFonts w:hint="eastAsia" w:ascii="仿宋" w:hAnsi="仿宋" w:eastAsia="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olor w:val="auto"/>
          <w:sz w:val="24"/>
          <w:highlight w:val="none"/>
          <w:u w:val="single"/>
        </w:rPr>
        <w:t>（单位名称）</w:t>
      </w:r>
      <w:r>
        <w:rPr>
          <w:rFonts w:hint="eastAsia" w:ascii="仿宋" w:hAnsi="仿宋" w:eastAsia="仿宋"/>
          <w:color w:val="auto"/>
          <w:sz w:val="24"/>
          <w:highlight w:val="none"/>
        </w:rPr>
        <w:t xml:space="preserve"> 的 </w:t>
      </w:r>
      <w:r>
        <w:rPr>
          <w:rFonts w:hint="eastAsia" w:ascii="仿宋" w:hAnsi="仿宋" w:eastAsia="仿宋"/>
          <w:color w:val="auto"/>
          <w:sz w:val="24"/>
          <w:highlight w:val="none"/>
          <w:u w:val="single"/>
        </w:rPr>
        <w:t>（项目名称）</w:t>
      </w:r>
      <w:r>
        <w:rPr>
          <w:rFonts w:hint="eastAsia" w:ascii="仿宋" w:hAnsi="仿宋" w:eastAsia="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C490A0D">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1.</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 xml:space="preserve"> ，属于 </w:t>
      </w:r>
      <w:r>
        <w:rPr>
          <w:rFonts w:hint="eastAsia" w:ascii="仿宋" w:hAnsi="仿宋" w:eastAsia="仿宋"/>
          <w:color w:val="auto"/>
          <w:sz w:val="24"/>
          <w:highlight w:val="none"/>
          <w:u w:val="single"/>
        </w:rPr>
        <w:t>（其他未列明行业）</w:t>
      </w:r>
      <w:r>
        <w:rPr>
          <w:rFonts w:hint="eastAsia"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hint="eastAsia" w:ascii="仿宋" w:hAnsi="仿宋" w:eastAsia="仿宋"/>
          <w:color w:val="auto"/>
          <w:sz w:val="24"/>
          <w:highlight w:val="none"/>
        </w:rPr>
        <w:t xml:space="preserve"> ，从业人员</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人，营业收入为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万元，资产总额为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万元，属于</w:t>
      </w:r>
      <w:r>
        <w:rPr>
          <w:rFonts w:hint="eastAsia"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14:paraId="69D103C0">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w:t>
      </w:r>
      <w:r>
        <w:rPr>
          <w:rFonts w:hint="eastAsia" w:ascii="仿宋" w:hAnsi="仿宋" w:eastAsia="仿宋"/>
          <w:color w:val="auto"/>
          <w:sz w:val="24"/>
          <w:highlight w:val="none"/>
          <w:u w:val="single"/>
        </w:rPr>
        <w:t xml:space="preserve">（标的名称） </w:t>
      </w:r>
      <w:r>
        <w:rPr>
          <w:rFonts w:hint="eastAsia" w:ascii="仿宋" w:hAnsi="仿宋" w:eastAsia="仿宋"/>
          <w:color w:val="auto"/>
          <w:sz w:val="24"/>
          <w:highlight w:val="none"/>
        </w:rPr>
        <w:t xml:space="preserve">，属于 </w:t>
      </w:r>
      <w:r>
        <w:rPr>
          <w:rFonts w:hint="eastAsia" w:ascii="仿宋" w:hAnsi="仿宋" w:eastAsia="仿宋"/>
          <w:color w:val="auto"/>
          <w:sz w:val="24"/>
          <w:highlight w:val="none"/>
          <w:u w:val="single"/>
        </w:rPr>
        <w:t>（其他未列明行业）</w:t>
      </w:r>
      <w:r>
        <w:rPr>
          <w:rFonts w:hint="eastAsia" w:ascii="仿宋" w:hAnsi="仿宋" w:eastAsia="仿宋"/>
          <w:color w:val="auto"/>
          <w:sz w:val="24"/>
          <w:highlight w:val="none"/>
        </w:rPr>
        <w:t xml:space="preserve"> ；承建（承接）企业为 </w:t>
      </w:r>
      <w:r>
        <w:rPr>
          <w:rFonts w:hint="eastAsia" w:ascii="仿宋" w:hAnsi="仿宋" w:eastAsia="仿宋"/>
          <w:color w:val="auto"/>
          <w:sz w:val="24"/>
          <w:highlight w:val="none"/>
          <w:u w:val="single"/>
        </w:rPr>
        <w:t>（企业名称）</w:t>
      </w:r>
      <w:r>
        <w:rPr>
          <w:rFonts w:hint="eastAsia" w:ascii="仿宋" w:hAnsi="仿宋" w:eastAsia="仿宋"/>
          <w:color w:val="auto"/>
          <w:sz w:val="24"/>
          <w:highlight w:val="none"/>
        </w:rPr>
        <w:t xml:space="preserve"> ，从业人员</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人，营业收入为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万元，资产总额为</w:t>
      </w:r>
      <w:r>
        <w:rPr>
          <w:rFonts w:hint="eastAsia" w:ascii="仿宋" w:hAnsi="仿宋" w:eastAsia="仿宋"/>
          <w:color w:val="auto"/>
          <w:sz w:val="24"/>
          <w:highlight w:val="none"/>
          <w:u w:val="single"/>
        </w:rPr>
        <w:t xml:space="preserve">   </w:t>
      </w:r>
      <w:r>
        <w:rPr>
          <w:rFonts w:hint="eastAsia" w:ascii="仿宋" w:hAnsi="仿宋" w:eastAsia="仿宋"/>
          <w:color w:val="auto"/>
          <w:sz w:val="24"/>
          <w:highlight w:val="none"/>
        </w:rPr>
        <w:t xml:space="preserve">万元，属于 </w:t>
      </w:r>
      <w:r>
        <w:rPr>
          <w:rFonts w:hint="eastAsia" w:ascii="仿宋" w:hAnsi="仿宋" w:eastAsia="仿宋"/>
          <w:color w:val="auto"/>
          <w:sz w:val="24"/>
          <w:highlight w:val="none"/>
          <w:u w:val="single"/>
        </w:rPr>
        <w:t>（中型企业、小型企业、微型企业）</w:t>
      </w:r>
      <w:r>
        <w:rPr>
          <w:rFonts w:hint="eastAsia" w:ascii="仿宋" w:hAnsi="仿宋" w:eastAsia="仿宋"/>
          <w:color w:val="auto"/>
          <w:sz w:val="24"/>
          <w:highlight w:val="none"/>
        </w:rPr>
        <w:t xml:space="preserve"> ；</w:t>
      </w:r>
    </w:p>
    <w:p w14:paraId="20BA89AD">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14:paraId="74CFC798">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14:paraId="32E5F087">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14:paraId="130C359A">
      <w:pPr>
        <w:spacing w:line="440" w:lineRule="exact"/>
        <w:ind w:right="1040"/>
        <w:jc w:val="right"/>
        <w:rPr>
          <w:rFonts w:ascii="仿宋" w:hAnsi="仿宋" w:eastAsia="仿宋"/>
          <w:color w:val="auto"/>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 xml:space="preserve">名称（ </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2067659E">
      <w:pPr>
        <w:spacing w:line="440" w:lineRule="exact"/>
        <w:ind w:right="1120" w:firstLine="5040" w:firstLineChars="2100"/>
        <w:rPr>
          <w:rFonts w:ascii="仿宋" w:hAnsi="仿宋" w:eastAsia="仿宋"/>
          <w:color w:val="auto"/>
          <w:sz w:val="24"/>
          <w:highlight w:val="none"/>
        </w:rPr>
      </w:pPr>
      <w:r>
        <w:rPr>
          <w:rFonts w:hint="eastAsia" w:ascii="仿宋" w:hAnsi="仿宋" w:eastAsia="仿宋"/>
          <w:color w:val="auto"/>
          <w:sz w:val="24"/>
          <w:highlight w:val="none"/>
        </w:rPr>
        <w:t>日 期：</w:t>
      </w:r>
    </w:p>
    <w:p w14:paraId="7647E122">
      <w:pPr>
        <w:spacing w:line="360" w:lineRule="auto"/>
        <w:ind w:firstLine="354" w:firstLineChars="147"/>
        <w:jc w:val="left"/>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从业人员、营业收入、资产总额填报上一年度数据，无上一年度数据的新成立企业可不填报。</w:t>
      </w:r>
    </w:p>
    <w:p w14:paraId="2B6E402F">
      <w:pPr>
        <w:spacing w:line="360" w:lineRule="auto"/>
        <w:ind w:right="420" w:firstLine="482" w:firstLineChars="200"/>
        <w:rPr>
          <w:rFonts w:ascii="仿宋" w:hAnsi="仿宋" w:eastAsia="仿宋" w:cs="宋体"/>
          <w:b/>
          <w:bCs/>
          <w:color w:val="auto"/>
          <w:sz w:val="24"/>
          <w:highlight w:val="none"/>
        </w:rPr>
      </w:pPr>
      <w:r>
        <w:rPr>
          <w:rFonts w:hint="eastAsia" w:ascii="仿宋" w:hAnsi="仿宋" w:eastAsia="仿宋" w:cs="仿宋_GB2312"/>
          <w:b/>
          <w:color w:val="auto"/>
          <w:sz w:val="24"/>
          <w:highlight w:val="none"/>
        </w:rPr>
        <w:t>注：1、投标人应根据企业实际情况及采购文件中明确的所属行业，对照《关于印发中小企业划型标准规定的通知》（工信部联企业[2011]300号）所对应的划型标准作出声明，</w:t>
      </w:r>
      <w:r>
        <w:rPr>
          <w:rFonts w:hint="eastAsia" w:ascii="仿宋" w:hAnsi="仿宋" w:eastAsia="仿宋" w:cs="宋体"/>
          <w:b/>
          <w:bCs/>
          <w:color w:val="auto"/>
          <w:sz w:val="24"/>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14:paraId="5663A18B">
      <w:pPr>
        <w:spacing w:line="360" w:lineRule="auto"/>
        <w:ind w:right="420"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2、根据《政府采购促进中小企业发展管理办法》的通知（财库〔2020〕46号）规定，中标、成交供应商享受中小企业扶持政策的，采购代理机构将随中标、成交结果公开中标、成交供应商的《中小企业声明函》。</w:t>
      </w:r>
    </w:p>
    <w:p w14:paraId="20193EE8">
      <w:pPr>
        <w:spacing w:line="360" w:lineRule="auto"/>
        <w:ind w:right="420"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3、符合《关于促进残疾人就业政府采购政策的通知》（财库〔2017〕141号）规定的条件并提供《残疾人福利性单位声明函》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0F1D880D">
      <w:pPr>
        <w:spacing w:line="360" w:lineRule="auto"/>
        <w:jc w:val="center"/>
        <w:outlineLvl w:val="0"/>
        <w:rPr>
          <w:rFonts w:hint="eastAsia"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br w:type="page"/>
      </w:r>
      <w:r>
        <w:rPr>
          <w:rFonts w:hint="eastAsia" w:ascii="仿宋" w:hAnsi="仿宋" w:eastAsia="仿宋"/>
          <w:b/>
          <w:color w:val="auto"/>
          <w:spacing w:val="6"/>
          <w:sz w:val="32"/>
          <w:szCs w:val="32"/>
          <w:highlight w:val="none"/>
        </w:rPr>
        <w:t>八、残疾人福利性单位声明函（如有）</w:t>
      </w:r>
    </w:p>
    <w:p w14:paraId="72CCA857">
      <w:pPr>
        <w:spacing w:line="360" w:lineRule="auto"/>
        <w:rPr>
          <w:rFonts w:hint="eastAsia" w:ascii="仿宋" w:hAnsi="仿宋" w:eastAsia="仿宋"/>
          <w:b/>
          <w:color w:val="auto"/>
          <w:spacing w:val="6"/>
          <w:sz w:val="30"/>
          <w:szCs w:val="30"/>
          <w:highlight w:val="none"/>
        </w:rPr>
      </w:pPr>
    </w:p>
    <w:p w14:paraId="6DD7B7AB">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1332684">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本单位对上述声明的真实性负责。如有虚假，将依法承担相应责任。</w:t>
      </w:r>
    </w:p>
    <w:p w14:paraId="6EEFFBBC">
      <w:pPr>
        <w:spacing w:line="360" w:lineRule="auto"/>
        <w:ind w:firstLine="480" w:firstLineChars="200"/>
        <w:rPr>
          <w:rFonts w:hint="eastAsia" w:ascii="仿宋" w:hAnsi="仿宋" w:eastAsia="仿宋" w:cs="仿宋_GB2312"/>
          <w:color w:val="auto"/>
          <w:sz w:val="24"/>
          <w:highlight w:val="none"/>
        </w:rPr>
      </w:pPr>
    </w:p>
    <w:p w14:paraId="64D92F5D">
      <w:pPr>
        <w:spacing w:line="360" w:lineRule="auto"/>
        <w:ind w:firstLine="480" w:firstLineChars="200"/>
        <w:rPr>
          <w:rFonts w:hint="eastAsia" w:ascii="仿宋" w:hAnsi="仿宋" w:eastAsia="仿宋" w:cs="仿宋_GB2312"/>
          <w:color w:val="auto"/>
          <w:sz w:val="24"/>
          <w:highlight w:val="none"/>
        </w:rPr>
      </w:pPr>
    </w:p>
    <w:p w14:paraId="2E32B0D7">
      <w:pPr>
        <w:tabs>
          <w:tab w:val="left" w:pos="4860"/>
        </w:tabs>
        <w:spacing w:line="360" w:lineRule="auto"/>
        <w:ind w:right="1560" w:firstLine="480" w:firstLineChars="200"/>
        <w:jc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 xml:space="preserve">                    单位名称（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sz w:val="24"/>
          <w:highlight w:val="none"/>
        </w:rPr>
        <w:t>）：</w:t>
      </w:r>
    </w:p>
    <w:p w14:paraId="03EBE56D">
      <w:pPr>
        <w:pStyle w:val="475"/>
        <w:keepNext w:val="0"/>
        <w:pageBreakBefore w:val="0"/>
        <w:tabs>
          <w:tab w:val="clear" w:pos="720"/>
        </w:tabs>
        <w:snapToGrid w:val="0"/>
        <w:outlineLvl w:val="9"/>
        <w:rPr>
          <w:rFonts w:hint="eastAsia"/>
          <w:color w:val="auto"/>
          <w:highlight w:val="none"/>
        </w:rPr>
        <w:sectPr>
          <w:headerReference r:id="rId9" w:type="first"/>
          <w:footerReference r:id="rId12" w:type="first"/>
          <w:footerReference r:id="rId10" w:type="default"/>
          <w:headerReference r:id="rId8" w:type="even"/>
          <w:footerReference r:id="rId11" w:type="even"/>
          <w:pgSz w:w="11906" w:h="16838"/>
          <w:pgMar w:top="1247" w:right="1418" w:bottom="1276" w:left="1418" w:header="851" w:footer="992" w:gutter="0"/>
          <w:cols w:space="720" w:num="1"/>
          <w:titlePg/>
          <w:docGrid w:linePitch="312" w:charSpace="0"/>
        </w:sectPr>
      </w:pPr>
    </w:p>
    <w:p w14:paraId="1750783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3D95544">
      <w:pPr>
        <w:spacing w:line="360" w:lineRule="auto"/>
        <w:jc w:val="center"/>
        <w:outlineLvl w:val="0"/>
        <w:rPr>
          <w:rFonts w:hint="eastAsia" w:ascii="仿宋" w:hAnsi="仿宋" w:eastAsia="仿宋" w:cs="仿宋"/>
          <w:b/>
          <w:color w:val="auto"/>
          <w:kern w:val="0"/>
          <w:sz w:val="24"/>
          <w:highlight w:val="none"/>
        </w:rPr>
      </w:pPr>
    </w:p>
    <w:p w14:paraId="3A911322">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5CB0E56B">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（1）投标函</w:t>
      </w:r>
      <w:r>
        <w:rPr>
          <w:rFonts w:hint="eastAsia" w:ascii="仿宋" w:hAnsi="仿宋" w:eastAsia="仿宋" w:cs="仿宋"/>
          <w:color w:val="auto"/>
          <w:sz w:val="24"/>
          <w:highlight w:val="none"/>
          <w:lang w:val="zh-CN"/>
        </w:rPr>
        <w:t>……………………………………………………………（页码）</w:t>
      </w:r>
    </w:p>
    <w:p w14:paraId="1EEDD47A">
      <w:pPr>
        <w:pStyle w:val="512"/>
        <w:spacing w:line="360" w:lineRule="auto"/>
        <w:ind w:left="0"/>
        <w:rPr>
          <w:rFonts w:hint="eastAsia" w:ascii="仿宋" w:eastAsia="仿宋" w:cs="仿宋"/>
          <w:color w:val="auto"/>
          <w:highlight w:val="none"/>
        </w:rPr>
      </w:pPr>
      <w:r>
        <w:rPr>
          <w:rFonts w:hint="eastAsia" w:ascii="仿宋" w:eastAsia="仿宋" w:cs="仿宋"/>
          <w:color w:val="auto"/>
          <w:highlight w:val="none"/>
        </w:rPr>
        <w:t>（2）</w:t>
      </w:r>
      <w:r>
        <w:rPr>
          <w:rFonts w:hint="eastAsia" w:ascii="仿宋" w:eastAsia="仿宋" w:cs="仿宋"/>
          <w:color w:val="auto"/>
          <w:highlight w:val="none"/>
          <w:lang w:val="zh-CN"/>
        </w:rPr>
        <w:t>评分对应表………………………………………………………</w:t>
      </w:r>
      <w:r>
        <w:rPr>
          <w:rFonts w:hint="eastAsia" w:ascii="仿宋" w:eastAsia="仿宋" w:cs="仿宋"/>
          <w:color w:val="auto"/>
          <w:highlight w:val="none"/>
        </w:rPr>
        <w:t>（页码）</w:t>
      </w:r>
    </w:p>
    <w:p w14:paraId="12F49095">
      <w:pPr>
        <w:pStyle w:val="512"/>
        <w:spacing w:line="360" w:lineRule="auto"/>
        <w:ind w:left="0"/>
        <w:rPr>
          <w:rFonts w:hint="eastAsia" w:ascii="仿宋" w:eastAsia="仿宋" w:cs="仿宋"/>
          <w:color w:val="auto"/>
          <w:highlight w:val="none"/>
        </w:rPr>
      </w:pPr>
      <w:r>
        <w:rPr>
          <w:rFonts w:hint="eastAsia" w:ascii="仿宋" w:eastAsia="仿宋" w:cs="仿宋"/>
          <w:color w:val="auto"/>
          <w:highlight w:val="none"/>
        </w:rPr>
        <w:t>（3）</w:t>
      </w:r>
      <w:bookmarkStart w:id="431" w:name="OLE_LINK6"/>
      <w:bookmarkStart w:id="432" w:name="OLE_LINK7"/>
      <w:bookmarkStart w:id="433" w:name="OLE_LINK5"/>
      <w:r>
        <w:rPr>
          <w:rFonts w:hint="eastAsia" w:ascii="仿宋" w:eastAsia="仿宋" w:cs="仿宋"/>
          <w:color w:val="auto"/>
          <w:highlight w:val="none"/>
        </w:rPr>
        <w:t>技术响应表</w:t>
      </w:r>
      <w:r>
        <w:rPr>
          <w:rFonts w:hint="eastAsia" w:ascii="仿宋" w:eastAsia="仿宋" w:cs="仿宋"/>
          <w:color w:val="auto"/>
          <w:highlight w:val="none"/>
          <w:lang w:val="zh-CN"/>
        </w:rPr>
        <w:t>………………………………………………………</w:t>
      </w:r>
      <w:r>
        <w:rPr>
          <w:rFonts w:hint="eastAsia" w:ascii="仿宋" w:eastAsia="仿宋" w:cs="仿宋"/>
          <w:color w:val="auto"/>
          <w:highlight w:val="none"/>
        </w:rPr>
        <w:t>（页码）</w:t>
      </w:r>
      <w:bookmarkEnd w:id="431"/>
      <w:bookmarkEnd w:id="432"/>
    </w:p>
    <w:bookmarkEnd w:id="433"/>
    <w:p w14:paraId="0D5B94BE">
      <w:pPr>
        <w:pStyle w:val="512"/>
        <w:spacing w:line="360" w:lineRule="auto"/>
        <w:ind w:left="0"/>
        <w:rPr>
          <w:rFonts w:hint="eastAsia" w:ascii="仿宋" w:eastAsia="仿宋" w:cs="仿宋"/>
          <w:color w:val="auto"/>
          <w:highlight w:val="none"/>
        </w:rPr>
      </w:pPr>
      <w:r>
        <w:rPr>
          <w:rFonts w:hint="eastAsia" w:ascii="仿宋" w:eastAsia="仿宋" w:cs="仿宋"/>
          <w:color w:val="auto"/>
          <w:highlight w:val="none"/>
        </w:rPr>
        <w:t>（4）商务响应表</w:t>
      </w:r>
      <w:r>
        <w:rPr>
          <w:rFonts w:hint="eastAsia" w:ascii="仿宋" w:eastAsia="仿宋" w:cs="仿宋"/>
          <w:color w:val="auto"/>
          <w:highlight w:val="none"/>
          <w:lang w:val="zh-CN"/>
        </w:rPr>
        <w:t>………………………………………………………</w:t>
      </w:r>
      <w:r>
        <w:rPr>
          <w:rFonts w:hint="eastAsia" w:ascii="仿宋" w:eastAsia="仿宋" w:cs="仿宋"/>
          <w:color w:val="auto"/>
          <w:highlight w:val="none"/>
        </w:rPr>
        <w:t>（页码）</w:t>
      </w:r>
    </w:p>
    <w:p w14:paraId="344D1EA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（5）项目组织实施方案……………………………………………</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26C1796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（6）项目负责人情况表………………………………………………（页码）</w:t>
      </w:r>
    </w:p>
    <w:p w14:paraId="77152BB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（7）项目组人员名单…………………………………………………（页码）</w:t>
      </w:r>
    </w:p>
    <w:p w14:paraId="5217B02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（8）售后服务方案（如有）…………………………………………（页码）</w:t>
      </w:r>
    </w:p>
    <w:p w14:paraId="30DD5FA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w:t>
      </w:r>
      <w:r>
        <w:rPr>
          <w:rFonts w:hint="eastAsia" w:ascii="仿宋" w:hAnsi="仿宋" w:eastAsia="仿宋" w:cs="仿宋"/>
          <w:color w:val="auto"/>
          <w:kern w:val="0"/>
          <w:sz w:val="24"/>
          <w:highlight w:val="none"/>
          <w:lang w:val="zh-CN"/>
        </w:rPr>
        <w:t>优惠条件及特殊承诺（如有）</w:t>
      </w:r>
      <w:r>
        <w:rPr>
          <w:rFonts w:hint="eastAsia" w:ascii="仿宋" w:hAnsi="仿宋" w:eastAsia="仿宋" w:cs="仿宋"/>
          <w:color w:val="auto"/>
          <w:kern w:val="0"/>
          <w:sz w:val="24"/>
          <w:highlight w:val="none"/>
        </w:rPr>
        <w:t>…………………………………（页码）</w:t>
      </w:r>
    </w:p>
    <w:p w14:paraId="4BFE2DC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w:t>
      </w:r>
      <w:r>
        <w:rPr>
          <w:rFonts w:hint="eastAsia" w:ascii="仿宋" w:hAnsi="仿宋" w:eastAsia="仿宋" w:cs="仿宋"/>
          <w:color w:val="auto"/>
          <w:kern w:val="0"/>
          <w:sz w:val="24"/>
          <w:highlight w:val="none"/>
          <w:lang w:val="zh-CN"/>
        </w:rPr>
        <w:t>投标人认为需要的其它商务技术文件或说明…………………</w:t>
      </w:r>
      <w:r>
        <w:rPr>
          <w:rFonts w:hint="eastAsia" w:ascii="仿宋" w:hAnsi="仿宋" w:eastAsia="仿宋" w:cs="仿宋"/>
          <w:color w:val="auto"/>
          <w:kern w:val="0"/>
          <w:sz w:val="24"/>
          <w:highlight w:val="none"/>
        </w:rPr>
        <w:t>（页码）</w:t>
      </w:r>
    </w:p>
    <w:p w14:paraId="3D990355">
      <w:pPr>
        <w:spacing w:line="360" w:lineRule="auto"/>
        <w:ind w:firstLine="602" w:firstLineChars="2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注：以上目录是基本格式要求，各投标人可根据自身情况进一步细化。</w:t>
      </w:r>
    </w:p>
    <w:p w14:paraId="725D4E4C">
      <w:pPr>
        <w:snapToGrid w:val="0"/>
        <w:spacing w:line="360" w:lineRule="auto"/>
        <w:jc w:val="center"/>
        <w:rPr>
          <w:rFonts w:hint="eastAsia" w:ascii="仿宋" w:hAnsi="仿宋" w:eastAsia="仿宋" w:cs="仿宋"/>
          <w:b/>
          <w:color w:val="auto"/>
          <w:kern w:val="0"/>
          <w:sz w:val="32"/>
          <w:szCs w:val="32"/>
          <w:highlight w:val="none"/>
          <w:lang w:val="zh-CN"/>
        </w:rPr>
      </w:pPr>
    </w:p>
    <w:p w14:paraId="108682BA">
      <w:pPr>
        <w:snapToGrid w:val="0"/>
        <w:spacing w:line="360" w:lineRule="auto"/>
        <w:jc w:val="center"/>
        <w:rPr>
          <w:rFonts w:hint="eastAsia" w:ascii="仿宋" w:hAnsi="仿宋" w:eastAsia="仿宋" w:cs="仿宋"/>
          <w:b/>
          <w:color w:val="auto"/>
          <w:kern w:val="0"/>
          <w:sz w:val="32"/>
          <w:szCs w:val="32"/>
          <w:highlight w:val="none"/>
          <w:lang w:val="zh-CN"/>
        </w:rPr>
      </w:pPr>
    </w:p>
    <w:p w14:paraId="1E3B751E">
      <w:pPr>
        <w:snapToGrid w:val="0"/>
        <w:spacing w:line="360" w:lineRule="auto"/>
        <w:jc w:val="center"/>
        <w:rPr>
          <w:rFonts w:hint="eastAsia" w:ascii="仿宋" w:hAnsi="仿宋" w:eastAsia="仿宋" w:cs="仿宋"/>
          <w:b/>
          <w:color w:val="auto"/>
          <w:kern w:val="0"/>
          <w:sz w:val="32"/>
          <w:szCs w:val="32"/>
          <w:highlight w:val="none"/>
          <w:lang w:val="zh-CN"/>
        </w:rPr>
      </w:pPr>
    </w:p>
    <w:p w14:paraId="2E32F886">
      <w:pPr>
        <w:snapToGrid w:val="0"/>
        <w:spacing w:line="360" w:lineRule="auto"/>
        <w:jc w:val="center"/>
        <w:rPr>
          <w:rFonts w:hint="eastAsia" w:ascii="仿宋" w:hAnsi="仿宋" w:eastAsia="仿宋" w:cs="仿宋"/>
          <w:b/>
          <w:color w:val="auto"/>
          <w:kern w:val="0"/>
          <w:sz w:val="32"/>
          <w:szCs w:val="32"/>
          <w:highlight w:val="none"/>
          <w:lang w:val="zh-CN"/>
        </w:rPr>
      </w:pPr>
    </w:p>
    <w:p w14:paraId="63567D6F">
      <w:pPr>
        <w:spacing w:line="360" w:lineRule="auto"/>
        <w:rPr>
          <w:rFonts w:hint="eastAsia" w:ascii="仿宋" w:hAnsi="仿宋" w:eastAsia="仿宋" w:cs="仿宋"/>
          <w:color w:val="auto"/>
          <w:kern w:val="0"/>
          <w:sz w:val="24"/>
          <w:highlight w:val="none"/>
        </w:rPr>
      </w:pPr>
    </w:p>
    <w:p w14:paraId="70393FC9">
      <w:pPr>
        <w:spacing w:line="360" w:lineRule="auto"/>
        <w:jc w:val="center"/>
        <w:rPr>
          <w:rFonts w:hint="eastAsia" w:ascii="仿宋" w:hAnsi="仿宋" w:eastAsia="仿宋" w:cs="仿宋"/>
          <w:b/>
          <w:bCs/>
          <w:color w:val="auto"/>
          <w:sz w:val="32"/>
          <w:szCs w:val="32"/>
          <w:highlight w:val="none"/>
        </w:rPr>
      </w:pPr>
    </w:p>
    <w:p w14:paraId="1473C265">
      <w:pPr>
        <w:spacing w:line="360" w:lineRule="auto"/>
        <w:jc w:val="center"/>
        <w:rPr>
          <w:rFonts w:hint="eastAsia" w:ascii="仿宋" w:hAnsi="仿宋" w:eastAsia="仿宋" w:cs="仿宋"/>
          <w:b/>
          <w:bCs/>
          <w:color w:val="auto"/>
          <w:sz w:val="32"/>
          <w:szCs w:val="32"/>
          <w:highlight w:val="none"/>
        </w:rPr>
      </w:pPr>
    </w:p>
    <w:p w14:paraId="7155C1E5">
      <w:pPr>
        <w:spacing w:line="360" w:lineRule="auto"/>
        <w:jc w:val="center"/>
        <w:rPr>
          <w:rFonts w:hint="eastAsia" w:ascii="仿宋" w:hAnsi="仿宋" w:eastAsia="仿宋" w:cs="仿宋"/>
          <w:b/>
          <w:bCs/>
          <w:color w:val="auto"/>
          <w:sz w:val="32"/>
          <w:szCs w:val="32"/>
          <w:highlight w:val="none"/>
        </w:rPr>
      </w:pPr>
    </w:p>
    <w:p w14:paraId="6E2B6C47">
      <w:pPr>
        <w:spacing w:line="360" w:lineRule="auto"/>
        <w:jc w:val="center"/>
        <w:rPr>
          <w:rFonts w:hint="eastAsia" w:ascii="仿宋" w:hAnsi="仿宋" w:eastAsia="仿宋" w:cs="仿宋"/>
          <w:b/>
          <w:bCs/>
          <w:color w:val="auto"/>
          <w:sz w:val="32"/>
          <w:szCs w:val="32"/>
          <w:highlight w:val="none"/>
        </w:rPr>
      </w:pPr>
    </w:p>
    <w:p w14:paraId="61D26F6E">
      <w:pPr>
        <w:spacing w:line="360" w:lineRule="auto"/>
        <w:jc w:val="center"/>
        <w:rPr>
          <w:rFonts w:hint="eastAsia" w:ascii="仿宋" w:hAnsi="仿宋" w:eastAsia="仿宋" w:cs="仿宋"/>
          <w:b/>
          <w:bCs/>
          <w:color w:val="auto"/>
          <w:sz w:val="32"/>
          <w:szCs w:val="32"/>
          <w:highlight w:val="none"/>
        </w:rPr>
      </w:pPr>
    </w:p>
    <w:p w14:paraId="0C287B1B">
      <w:pPr>
        <w:pStyle w:val="97"/>
        <w:rPr>
          <w:rFonts w:hint="eastAsia" w:ascii="仿宋" w:hAnsi="仿宋" w:eastAsia="仿宋" w:cs="仿宋"/>
          <w:color w:val="auto"/>
          <w:highlight w:val="none"/>
        </w:rPr>
      </w:pPr>
    </w:p>
    <w:p w14:paraId="72EEC6AF">
      <w:pPr>
        <w:spacing w:line="360" w:lineRule="auto"/>
        <w:jc w:val="center"/>
        <w:rPr>
          <w:rFonts w:hint="eastAsia" w:ascii="仿宋" w:hAnsi="仿宋" w:eastAsia="仿宋" w:cs="仿宋"/>
          <w:b/>
          <w:bCs/>
          <w:color w:val="auto"/>
          <w:sz w:val="32"/>
          <w:szCs w:val="32"/>
          <w:highlight w:val="none"/>
        </w:rPr>
      </w:pPr>
    </w:p>
    <w:p w14:paraId="61CDE8CE">
      <w:pPr>
        <w:snapToGrid w:val="0"/>
        <w:spacing w:line="360" w:lineRule="auto"/>
        <w:ind w:firstLine="3855" w:firstLineChars="1200"/>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E3963B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（征集人）、（采购代理机构）：</w:t>
      </w:r>
    </w:p>
    <w:p w14:paraId="447411B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我方参加你方组织的（项目名称）（项目编号：）招标的有关活动，并对此项目进行投标。为此：</w:t>
      </w:r>
    </w:p>
    <w:p w14:paraId="06D04C2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1、我方承诺投标有效期从提交响应文件的截止之日起___天（不少于90天），本响应文件在投标有效期满之前均具有约束力。</w:t>
      </w:r>
    </w:p>
    <w:p w14:paraId="160968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2、我方承诺除技术响应表、商务响应表列出的偏离外，我方响应征集文件的全部要求。</w:t>
      </w:r>
    </w:p>
    <w:p w14:paraId="4B727C9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3、我方提交的所有响应文件、资料都是准确的和真实的。</w:t>
      </w:r>
    </w:p>
    <w:p w14:paraId="182AA0E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4、我方具有履行本项目合同所必需的设备和专业技术能力。如中标，我方将保证合同顺利履行。</w:t>
      </w:r>
    </w:p>
    <w:p w14:paraId="069FF44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我方拟在中标后将_______________________工作分包，分包承担主体是___________________，我方承诺分包承担主体具备相应资质条件__________________，且不再次分包。（不再将工作进行分包或本项目不允许分包的，下划线处填写“/”。）</w:t>
      </w:r>
    </w:p>
    <w:p w14:paraId="130C8DF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6、如我方中标，我方承诺：</w:t>
      </w:r>
    </w:p>
    <w:p w14:paraId="037A9A1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6.1在收到中标通知书后，在中标通知书规定的期限内与你方签订合同； </w:t>
      </w:r>
    </w:p>
    <w:p w14:paraId="351E998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6.2在签订合同时不向你方提出附加条件； </w:t>
      </w:r>
    </w:p>
    <w:p w14:paraId="076ADDB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6.3按照征集文件要求提交履约保证金； </w:t>
      </w:r>
    </w:p>
    <w:p w14:paraId="1E29870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6.4在合同约定的期限内完成合同规定的全部义务。 </w:t>
      </w:r>
    </w:p>
    <w:p w14:paraId="7483818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7、其他补充说明:___________。</w:t>
      </w:r>
    </w:p>
    <w:p w14:paraId="407EF8E3">
      <w:pPr>
        <w:spacing w:line="360" w:lineRule="auto"/>
        <w:ind w:firstLine="3600" w:firstLineChars="1500"/>
        <w:rPr>
          <w:rFonts w:hint="eastAsia" w:ascii="仿宋" w:hAnsi="仿宋" w:eastAsia="仿宋" w:cs="仿宋"/>
          <w:color w:val="auto"/>
          <w:sz w:val="24"/>
          <w:highlight w:val="none"/>
        </w:rPr>
      </w:pPr>
    </w:p>
    <w:p w14:paraId="6D2E1CFE">
      <w:pPr>
        <w:spacing w:line="360" w:lineRule="auto"/>
        <w:ind w:firstLine="3600" w:firstLineChars="1500"/>
        <w:rPr>
          <w:rFonts w:hint="eastAsia" w:ascii="仿宋" w:hAnsi="仿宋" w:eastAsia="仿宋" w:cs="仿宋"/>
          <w:color w:val="auto"/>
          <w:sz w:val="24"/>
          <w:highlight w:val="none"/>
        </w:rPr>
      </w:pPr>
    </w:p>
    <w:p w14:paraId="3BE5ACC6">
      <w:pPr>
        <w:spacing w:line="360" w:lineRule="auto"/>
        <w:ind w:firstLine="3600" w:firstLineChars="1500"/>
        <w:rPr>
          <w:rFonts w:hint="eastAsia" w:ascii="仿宋" w:hAnsi="仿宋" w:eastAsia="仿宋" w:cs="仿宋"/>
          <w:color w:val="auto"/>
          <w:sz w:val="24"/>
          <w:highlight w:val="none"/>
        </w:rPr>
      </w:pPr>
    </w:p>
    <w:p w14:paraId="6507FF72">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0A669F5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192C73A">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40FEC8EF">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49E957E">
      <w:pPr>
        <w:spacing w:line="360" w:lineRule="auto"/>
        <w:rPr>
          <w:rFonts w:hint="eastAsia" w:ascii="仿宋" w:hAnsi="仿宋" w:eastAsia="仿宋" w:cs="仿宋"/>
          <w:b/>
          <w:bCs/>
          <w:color w:val="auto"/>
          <w:spacing w:val="6"/>
          <w:sz w:val="32"/>
          <w:szCs w:val="32"/>
          <w:highlight w:val="none"/>
        </w:rPr>
      </w:pPr>
    </w:p>
    <w:p w14:paraId="5D0FDF49">
      <w:pPr>
        <w:spacing w:line="360" w:lineRule="auto"/>
        <w:jc w:val="center"/>
        <w:rPr>
          <w:rFonts w:hint="eastAsia" w:ascii="仿宋" w:hAnsi="仿宋" w:eastAsia="仿宋" w:cs="仿宋"/>
          <w:color w:val="auto"/>
          <w:spacing w:val="6"/>
          <w:sz w:val="32"/>
          <w:szCs w:val="32"/>
          <w:highlight w:val="none"/>
        </w:rPr>
      </w:pPr>
      <w:r>
        <w:rPr>
          <w:rFonts w:hint="eastAsia" w:ascii="仿宋" w:hAnsi="仿宋" w:eastAsia="仿宋" w:cs="仿宋"/>
          <w:b/>
          <w:bCs/>
          <w:color w:val="auto"/>
          <w:spacing w:val="6"/>
          <w:sz w:val="32"/>
          <w:szCs w:val="32"/>
          <w:highlight w:val="none"/>
        </w:rPr>
        <w:t>二、评分对应表</w:t>
      </w:r>
    </w:p>
    <w:p w14:paraId="7B43D481">
      <w:pPr>
        <w:pStyle w:val="16"/>
        <w:snapToGrid w:val="0"/>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 xml:space="preserve"> </w:t>
      </w:r>
    </w:p>
    <w:tbl>
      <w:tblPr>
        <w:tblStyle w:val="60"/>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69"/>
        <w:gridCol w:w="2977"/>
        <w:gridCol w:w="2126"/>
      </w:tblGrid>
      <w:tr w14:paraId="6742B4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969" w:type="dxa"/>
            <w:tcBorders>
              <w:top w:val="single" w:color="auto" w:sz="4" w:space="0"/>
              <w:left w:val="single" w:color="auto" w:sz="4" w:space="0"/>
              <w:bottom w:val="single" w:color="auto" w:sz="4" w:space="0"/>
              <w:right w:val="single" w:color="auto" w:sz="4" w:space="0"/>
            </w:tcBorders>
            <w:noWrap w:val="0"/>
            <w:vAlign w:val="center"/>
          </w:tcPr>
          <w:p w14:paraId="7F68C78A">
            <w:pPr>
              <w:snapToGrid w:val="0"/>
              <w:spacing w:before="120" w:beforeLines="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评分项目</w:t>
            </w:r>
          </w:p>
        </w:tc>
        <w:tc>
          <w:tcPr>
            <w:tcW w:w="2977" w:type="dxa"/>
            <w:tcBorders>
              <w:top w:val="single" w:color="auto" w:sz="4" w:space="0"/>
              <w:left w:val="single" w:color="auto" w:sz="4" w:space="0"/>
              <w:bottom w:val="single" w:color="auto" w:sz="4" w:space="0"/>
              <w:right w:val="single" w:color="auto" w:sz="4" w:space="0"/>
            </w:tcBorders>
            <w:noWrap w:val="0"/>
            <w:vAlign w:val="center"/>
          </w:tcPr>
          <w:p w14:paraId="18092424">
            <w:pPr>
              <w:snapToGrid w:val="0"/>
              <w:spacing w:before="120" w:beforeLines="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响应文件对应资料</w:t>
            </w:r>
          </w:p>
        </w:tc>
        <w:tc>
          <w:tcPr>
            <w:tcW w:w="2126" w:type="dxa"/>
            <w:tcBorders>
              <w:top w:val="single" w:color="auto" w:sz="4" w:space="0"/>
              <w:left w:val="single" w:color="auto" w:sz="4" w:space="0"/>
              <w:bottom w:val="single" w:color="auto" w:sz="4" w:space="0"/>
              <w:right w:val="single" w:color="auto" w:sz="4" w:space="0"/>
            </w:tcBorders>
            <w:noWrap w:val="0"/>
            <w:vAlign w:val="center"/>
          </w:tcPr>
          <w:p w14:paraId="7684951F">
            <w:pPr>
              <w:snapToGrid w:val="0"/>
              <w:spacing w:before="120" w:beforeLines="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响应文件页码</w:t>
            </w:r>
          </w:p>
        </w:tc>
      </w:tr>
      <w:tr w14:paraId="375279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30575A6B">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对应第四部分评分办法及评分标准（报价除外）</w:t>
            </w:r>
          </w:p>
        </w:tc>
        <w:tc>
          <w:tcPr>
            <w:tcW w:w="2977" w:type="dxa"/>
            <w:tcBorders>
              <w:top w:val="single" w:color="auto" w:sz="4" w:space="0"/>
              <w:left w:val="single" w:color="auto" w:sz="4" w:space="0"/>
              <w:bottom w:val="single" w:color="auto" w:sz="4" w:space="0"/>
              <w:right w:val="single" w:color="auto" w:sz="4" w:space="0"/>
            </w:tcBorders>
            <w:noWrap w:val="0"/>
            <w:vAlign w:val="top"/>
          </w:tcPr>
          <w:p w14:paraId="18294D6A">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0A6526E0">
            <w:pPr>
              <w:snapToGrid w:val="0"/>
              <w:spacing w:before="120" w:beforeLines="50"/>
              <w:rPr>
                <w:rFonts w:hint="eastAsia" w:ascii="仿宋" w:hAnsi="仿宋" w:eastAsia="仿宋" w:cs="仿宋"/>
                <w:color w:val="auto"/>
                <w:sz w:val="24"/>
                <w:highlight w:val="none"/>
              </w:rPr>
            </w:pPr>
          </w:p>
        </w:tc>
      </w:tr>
      <w:tr w14:paraId="09FB03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center"/>
          </w:tcPr>
          <w:p w14:paraId="244E5E72">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977" w:type="dxa"/>
            <w:tcBorders>
              <w:top w:val="single" w:color="auto" w:sz="4" w:space="0"/>
              <w:left w:val="single" w:color="auto" w:sz="4" w:space="0"/>
              <w:bottom w:val="single" w:color="auto" w:sz="4" w:space="0"/>
              <w:right w:val="single" w:color="auto" w:sz="4" w:space="0"/>
            </w:tcBorders>
            <w:noWrap w:val="0"/>
            <w:vAlign w:val="top"/>
          </w:tcPr>
          <w:p w14:paraId="0519E415">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21BACF8E">
            <w:pPr>
              <w:snapToGrid w:val="0"/>
              <w:spacing w:before="120" w:beforeLines="50"/>
              <w:ind w:left="43"/>
              <w:rPr>
                <w:rFonts w:hint="eastAsia" w:ascii="仿宋" w:hAnsi="仿宋" w:eastAsia="仿宋" w:cs="仿宋"/>
                <w:color w:val="auto"/>
                <w:sz w:val="24"/>
                <w:highlight w:val="none"/>
              </w:rPr>
            </w:pPr>
          </w:p>
        </w:tc>
      </w:tr>
      <w:tr w14:paraId="3B508E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0DC7FD6D">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042335D9">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4A0B5B5B">
            <w:pPr>
              <w:snapToGrid w:val="0"/>
              <w:spacing w:before="120" w:beforeLines="50"/>
              <w:ind w:left="43"/>
              <w:rPr>
                <w:rFonts w:hint="eastAsia" w:ascii="仿宋" w:hAnsi="仿宋" w:eastAsia="仿宋" w:cs="仿宋"/>
                <w:color w:val="auto"/>
                <w:sz w:val="24"/>
                <w:highlight w:val="none"/>
              </w:rPr>
            </w:pPr>
          </w:p>
        </w:tc>
      </w:tr>
      <w:tr w14:paraId="2F2EB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45E89F54">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0BAC2D85">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7121DFF3">
            <w:pPr>
              <w:snapToGrid w:val="0"/>
              <w:spacing w:before="120" w:beforeLines="50"/>
              <w:ind w:left="43"/>
              <w:rPr>
                <w:rFonts w:hint="eastAsia" w:ascii="仿宋" w:hAnsi="仿宋" w:eastAsia="仿宋" w:cs="仿宋"/>
                <w:color w:val="auto"/>
                <w:sz w:val="24"/>
                <w:highlight w:val="none"/>
              </w:rPr>
            </w:pPr>
          </w:p>
        </w:tc>
      </w:tr>
      <w:tr w14:paraId="6124B9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5766074F">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582394DC">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25DDD2C3">
            <w:pPr>
              <w:snapToGrid w:val="0"/>
              <w:spacing w:before="120" w:beforeLines="50"/>
              <w:rPr>
                <w:rFonts w:hint="eastAsia" w:ascii="仿宋" w:hAnsi="仿宋" w:eastAsia="仿宋" w:cs="仿宋"/>
                <w:color w:val="auto"/>
                <w:sz w:val="24"/>
                <w:highlight w:val="none"/>
              </w:rPr>
            </w:pPr>
          </w:p>
        </w:tc>
      </w:tr>
      <w:tr w14:paraId="72A428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7024CFB7">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1BF82779">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416005E3">
            <w:pPr>
              <w:snapToGrid w:val="0"/>
              <w:spacing w:before="120" w:beforeLines="50"/>
              <w:rPr>
                <w:rFonts w:hint="eastAsia" w:ascii="仿宋" w:hAnsi="仿宋" w:eastAsia="仿宋" w:cs="仿宋"/>
                <w:color w:val="auto"/>
                <w:sz w:val="24"/>
                <w:highlight w:val="none"/>
              </w:rPr>
            </w:pPr>
          </w:p>
        </w:tc>
      </w:tr>
      <w:tr w14:paraId="4D501F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36ED3F6F">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7500B771">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33825D15">
            <w:pPr>
              <w:snapToGrid w:val="0"/>
              <w:spacing w:before="120" w:beforeLines="50"/>
              <w:rPr>
                <w:rFonts w:hint="eastAsia" w:ascii="仿宋" w:hAnsi="仿宋" w:eastAsia="仿宋" w:cs="仿宋"/>
                <w:color w:val="auto"/>
                <w:sz w:val="24"/>
                <w:highlight w:val="none"/>
              </w:rPr>
            </w:pPr>
          </w:p>
        </w:tc>
      </w:tr>
      <w:tr w14:paraId="42C091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648BF90B">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78594D39">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3C68F83A">
            <w:pPr>
              <w:snapToGrid w:val="0"/>
              <w:spacing w:before="120" w:beforeLines="50"/>
              <w:rPr>
                <w:rFonts w:hint="eastAsia" w:ascii="仿宋" w:hAnsi="仿宋" w:eastAsia="仿宋" w:cs="仿宋"/>
                <w:color w:val="auto"/>
                <w:sz w:val="24"/>
                <w:highlight w:val="none"/>
              </w:rPr>
            </w:pPr>
          </w:p>
        </w:tc>
      </w:tr>
      <w:tr w14:paraId="41F72E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0"/>
            <w:vAlign w:val="top"/>
          </w:tcPr>
          <w:p w14:paraId="0B506CED">
            <w:pPr>
              <w:snapToGrid w:val="0"/>
              <w:rPr>
                <w:rFonts w:hint="eastAsia" w:ascii="仿宋" w:hAnsi="仿宋" w:eastAsia="仿宋" w:cs="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val="0"/>
            <w:vAlign w:val="top"/>
          </w:tcPr>
          <w:p w14:paraId="0521857C">
            <w:pPr>
              <w:snapToGrid w:val="0"/>
              <w:spacing w:before="120" w:beforeLines="50"/>
              <w:rPr>
                <w:rFonts w:hint="eastAsia" w:ascii="仿宋" w:hAnsi="仿宋" w:eastAsia="仿宋" w:cs="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7AA90873">
            <w:pPr>
              <w:snapToGrid w:val="0"/>
              <w:spacing w:before="120" w:beforeLines="50"/>
              <w:rPr>
                <w:rFonts w:hint="eastAsia" w:ascii="仿宋" w:hAnsi="仿宋" w:eastAsia="仿宋" w:cs="仿宋"/>
                <w:color w:val="auto"/>
                <w:sz w:val="24"/>
                <w:highlight w:val="none"/>
              </w:rPr>
            </w:pPr>
          </w:p>
        </w:tc>
      </w:tr>
    </w:tbl>
    <w:p w14:paraId="72F26FBE">
      <w:pPr>
        <w:snapToGrid w:val="0"/>
        <w:spacing w:before="120" w:beforeLines="5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注：如果本项目评标办法采用综合评审法，需在商务技术文件中提供此评分对应表。 </w:t>
      </w:r>
    </w:p>
    <w:p w14:paraId="476F0BA4">
      <w:pPr>
        <w:snapToGrid w:val="0"/>
        <w:spacing w:before="120" w:beforeLines="50"/>
        <w:rPr>
          <w:rFonts w:hint="eastAsia" w:ascii="仿宋" w:hAnsi="仿宋" w:eastAsia="仿宋" w:cs="仿宋"/>
          <w:color w:val="auto"/>
          <w:sz w:val="30"/>
          <w:szCs w:val="30"/>
          <w:highlight w:val="none"/>
        </w:rPr>
      </w:pPr>
    </w:p>
    <w:p w14:paraId="00FB9E7D">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w:t>
      </w:r>
    </w:p>
    <w:p w14:paraId="442DDA0D">
      <w:pPr>
        <w:snapToGrid w:val="0"/>
        <w:spacing w:before="50" w:after="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6F2D76FC">
      <w:pPr>
        <w:spacing w:line="360" w:lineRule="auto"/>
        <w:rPr>
          <w:rFonts w:hint="eastAsia" w:ascii="仿宋" w:hAnsi="仿宋" w:eastAsia="仿宋" w:cs="仿宋"/>
          <w:b/>
          <w:bCs/>
          <w:color w:val="auto"/>
          <w:sz w:val="32"/>
          <w:szCs w:val="32"/>
          <w:highlight w:val="none"/>
        </w:rPr>
        <w:sectPr>
          <w:pgSz w:w="11906" w:h="16838"/>
          <w:pgMar w:top="1247" w:right="1418" w:bottom="1276" w:left="1418" w:header="851" w:footer="992" w:gutter="0"/>
          <w:cols w:space="720" w:num="1"/>
          <w:titlePg/>
          <w:docGrid w:linePitch="312" w:charSpace="0"/>
        </w:sectPr>
      </w:pPr>
    </w:p>
    <w:p w14:paraId="27F4FCD1">
      <w:pPr>
        <w:snapToGrid w:val="0"/>
        <w:spacing w:before="50" w:after="50"/>
        <w:jc w:val="center"/>
        <w:rPr>
          <w:rFonts w:hint="eastAsia" w:ascii="仿宋" w:hAnsi="仿宋" w:eastAsia="仿宋" w:cs="仿宋"/>
          <w:b/>
          <w:bCs/>
          <w:color w:val="auto"/>
          <w:spacing w:val="6"/>
          <w:sz w:val="32"/>
          <w:szCs w:val="32"/>
          <w:highlight w:val="none"/>
        </w:rPr>
      </w:pPr>
      <w:r>
        <w:rPr>
          <w:rFonts w:hint="eastAsia" w:ascii="仿宋" w:hAnsi="仿宋" w:eastAsia="仿宋" w:cs="仿宋"/>
          <w:b/>
          <w:bCs/>
          <w:color w:val="auto"/>
          <w:spacing w:val="6"/>
          <w:sz w:val="32"/>
          <w:szCs w:val="32"/>
          <w:highlight w:val="none"/>
        </w:rPr>
        <w:t>三、技术响应表</w:t>
      </w:r>
    </w:p>
    <w:p w14:paraId="6D73693B">
      <w:pPr>
        <w:rPr>
          <w:rFonts w:hint="eastAsia" w:ascii="仿宋" w:hAnsi="仿宋" w:eastAsia="仿宋" w:cs="仿宋"/>
          <w:snapToGrid w:val="0"/>
          <w:color w:val="auto"/>
          <w:kern w:val="0"/>
          <w:szCs w:val="21"/>
          <w:highlight w:val="none"/>
        </w:rPr>
      </w:pPr>
    </w:p>
    <w:tbl>
      <w:tblPr>
        <w:tblStyle w:val="60"/>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1711"/>
        <w:gridCol w:w="2697"/>
        <w:gridCol w:w="2552"/>
        <w:gridCol w:w="1275"/>
      </w:tblGrid>
      <w:tr w14:paraId="032105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37" w:type="dxa"/>
            <w:tcBorders>
              <w:top w:val="single" w:color="auto" w:sz="4" w:space="0"/>
              <w:left w:val="single" w:color="auto" w:sz="4" w:space="0"/>
              <w:bottom w:val="single" w:color="auto" w:sz="4" w:space="0"/>
              <w:right w:val="single" w:color="auto" w:sz="4" w:space="0"/>
            </w:tcBorders>
            <w:noWrap w:val="0"/>
            <w:vAlign w:val="center"/>
          </w:tcPr>
          <w:p w14:paraId="7C6463EF">
            <w:pPr>
              <w:snapToGrid w:val="0"/>
              <w:spacing w:before="50" w:after="50"/>
              <w:jc w:val="center"/>
              <w:rPr>
                <w:rFonts w:hint="eastAsia" w:ascii="仿宋" w:hAnsi="仿宋" w:eastAsia="仿宋" w:cs="仿宋"/>
                <w:color w:val="auto"/>
                <w:sz w:val="24"/>
                <w:highlight w:val="none"/>
              </w:rPr>
            </w:pPr>
            <w:bookmarkStart w:id="434" w:name="_Toc64369808"/>
            <w:r>
              <w:rPr>
                <w:rFonts w:hint="eastAsia" w:ascii="仿宋" w:hAnsi="仿宋" w:eastAsia="仿宋" w:cs="仿宋"/>
                <w:color w:val="auto"/>
                <w:sz w:val="24"/>
                <w:highlight w:val="none"/>
              </w:rPr>
              <w:t>序号</w:t>
            </w:r>
            <w:bookmarkEnd w:id="434"/>
          </w:p>
        </w:tc>
        <w:tc>
          <w:tcPr>
            <w:tcW w:w="1711" w:type="dxa"/>
            <w:tcBorders>
              <w:top w:val="single" w:color="auto" w:sz="4" w:space="0"/>
              <w:left w:val="single" w:color="auto" w:sz="4" w:space="0"/>
              <w:bottom w:val="single" w:color="auto" w:sz="4" w:space="0"/>
              <w:right w:val="single" w:color="auto" w:sz="4" w:space="0"/>
            </w:tcBorders>
            <w:noWrap w:val="0"/>
            <w:vAlign w:val="center"/>
          </w:tcPr>
          <w:p w14:paraId="453C7011">
            <w:pPr>
              <w:snapToGrid w:val="0"/>
              <w:spacing w:before="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服务名称</w:t>
            </w:r>
          </w:p>
        </w:tc>
        <w:tc>
          <w:tcPr>
            <w:tcW w:w="2697" w:type="dxa"/>
            <w:tcBorders>
              <w:top w:val="single" w:color="auto" w:sz="4" w:space="0"/>
              <w:left w:val="single" w:color="auto" w:sz="4" w:space="0"/>
              <w:bottom w:val="single" w:color="auto" w:sz="4" w:space="0"/>
              <w:right w:val="single" w:color="auto" w:sz="4" w:space="0"/>
            </w:tcBorders>
            <w:noWrap w:val="0"/>
            <w:vAlign w:val="center"/>
          </w:tcPr>
          <w:p w14:paraId="251FC76B">
            <w:pPr>
              <w:snapToGrid w:val="0"/>
              <w:spacing w:before="50" w:after="50"/>
              <w:jc w:val="center"/>
              <w:rPr>
                <w:rFonts w:hint="eastAsia" w:ascii="仿宋" w:hAnsi="仿宋" w:eastAsia="仿宋" w:cs="仿宋"/>
                <w:color w:val="auto"/>
                <w:sz w:val="24"/>
                <w:highlight w:val="none"/>
              </w:rPr>
            </w:pPr>
            <w:bookmarkStart w:id="435" w:name="_Toc64369809"/>
            <w:bookmarkStart w:id="436" w:name="_Toc64369810"/>
            <w:r>
              <w:rPr>
                <w:rFonts w:hint="eastAsia" w:ascii="仿宋" w:hAnsi="仿宋" w:eastAsia="仿宋" w:cs="仿宋"/>
                <w:color w:val="auto"/>
                <w:sz w:val="24"/>
                <w:highlight w:val="none"/>
              </w:rPr>
              <w:t>征集文件</w:t>
            </w:r>
          </w:p>
          <w:p w14:paraId="29F87D70">
            <w:pPr>
              <w:snapToGrid w:val="0"/>
              <w:spacing w:before="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要求</w:t>
            </w:r>
            <w:bookmarkEnd w:id="435"/>
          </w:p>
        </w:tc>
        <w:tc>
          <w:tcPr>
            <w:tcW w:w="2552" w:type="dxa"/>
            <w:tcBorders>
              <w:top w:val="single" w:color="auto" w:sz="4" w:space="0"/>
              <w:left w:val="single" w:color="auto" w:sz="4" w:space="0"/>
              <w:bottom w:val="single" w:color="auto" w:sz="4" w:space="0"/>
              <w:right w:val="single" w:color="auto" w:sz="4" w:space="0"/>
            </w:tcBorders>
            <w:noWrap w:val="0"/>
            <w:vAlign w:val="center"/>
          </w:tcPr>
          <w:p w14:paraId="580FD98F">
            <w:pPr>
              <w:snapToGrid w:val="0"/>
              <w:spacing w:before="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w:t>
            </w:r>
          </w:p>
          <w:p w14:paraId="40690371">
            <w:pPr>
              <w:snapToGrid w:val="0"/>
              <w:spacing w:before="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响应</w:t>
            </w:r>
            <w:bookmarkEnd w:id="436"/>
          </w:p>
        </w:tc>
        <w:tc>
          <w:tcPr>
            <w:tcW w:w="1275" w:type="dxa"/>
            <w:tcBorders>
              <w:top w:val="single" w:color="auto" w:sz="4" w:space="0"/>
              <w:left w:val="single" w:color="auto" w:sz="4" w:space="0"/>
              <w:bottom w:val="single" w:color="auto" w:sz="4" w:space="0"/>
              <w:right w:val="single" w:color="auto" w:sz="4" w:space="0"/>
            </w:tcBorders>
            <w:noWrap w:val="0"/>
            <w:vAlign w:val="center"/>
          </w:tcPr>
          <w:p w14:paraId="32CE933B">
            <w:pPr>
              <w:snapToGrid w:val="0"/>
              <w:spacing w:before="50" w:after="50"/>
              <w:jc w:val="center"/>
              <w:rPr>
                <w:rFonts w:hint="eastAsia" w:ascii="仿宋" w:hAnsi="仿宋" w:eastAsia="仿宋" w:cs="仿宋"/>
                <w:color w:val="auto"/>
                <w:sz w:val="24"/>
                <w:highlight w:val="none"/>
              </w:rPr>
            </w:pPr>
            <w:bookmarkStart w:id="437" w:name="_Toc64369811"/>
            <w:r>
              <w:rPr>
                <w:rFonts w:hint="eastAsia" w:ascii="仿宋" w:hAnsi="仿宋" w:eastAsia="仿宋" w:cs="仿宋"/>
                <w:color w:val="auto"/>
                <w:sz w:val="24"/>
                <w:highlight w:val="none"/>
              </w:rPr>
              <w:t>偏离</w:t>
            </w:r>
          </w:p>
          <w:p w14:paraId="310E8C69">
            <w:pPr>
              <w:snapToGrid w:val="0"/>
              <w:spacing w:before="50" w:after="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情况</w:t>
            </w:r>
            <w:bookmarkEnd w:id="437"/>
          </w:p>
        </w:tc>
      </w:tr>
      <w:tr w14:paraId="3691AE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37" w:type="dxa"/>
            <w:tcBorders>
              <w:top w:val="single" w:color="auto" w:sz="4" w:space="0"/>
              <w:left w:val="single" w:color="auto" w:sz="4" w:space="0"/>
              <w:bottom w:val="single" w:color="auto" w:sz="4" w:space="0"/>
              <w:right w:val="single" w:color="auto" w:sz="4" w:space="0"/>
            </w:tcBorders>
            <w:noWrap w:val="0"/>
            <w:vAlign w:val="center"/>
          </w:tcPr>
          <w:p w14:paraId="00723FDB">
            <w:pPr>
              <w:snapToGrid w:val="0"/>
              <w:spacing w:before="50" w:after="50"/>
              <w:jc w:val="center"/>
              <w:rPr>
                <w:rFonts w:hint="eastAsia" w:ascii="仿宋" w:hAnsi="仿宋" w:eastAsia="仿宋" w:cs="仿宋"/>
                <w:color w:val="auto"/>
                <w:sz w:val="24"/>
                <w:highlight w:val="none"/>
              </w:rPr>
            </w:pPr>
            <w:bookmarkStart w:id="438" w:name="_Toc64369812"/>
            <w:r>
              <w:rPr>
                <w:rFonts w:hint="eastAsia" w:ascii="仿宋" w:hAnsi="仿宋" w:eastAsia="仿宋" w:cs="仿宋"/>
                <w:color w:val="auto"/>
                <w:sz w:val="24"/>
                <w:highlight w:val="none"/>
              </w:rPr>
              <w:t>1</w:t>
            </w:r>
            <w:bookmarkEnd w:id="438"/>
          </w:p>
        </w:tc>
        <w:tc>
          <w:tcPr>
            <w:tcW w:w="1711" w:type="dxa"/>
            <w:tcBorders>
              <w:top w:val="single" w:color="auto" w:sz="4" w:space="0"/>
              <w:left w:val="single" w:color="auto" w:sz="4" w:space="0"/>
              <w:bottom w:val="single" w:color="auto" w:sz="4" w:space="0"/>
              <w:right w:val="single" w:color="auto" w:sz="4" w:space="0"/>
            </w:tcBorders>
            <w:noWrap w:val="0"/>
            <w:vAlign w:val="center"/>
          </w:tcPr>
          <w:p w14:paraId="5FF4283C">
            <w:pPr>
              <w:snapToGrid w:val="0"/>
              <w:spacing w:before="50" w:after="50"/>
              <w:jc w:val="center"/>
              <w:rPr>
                <w:rFonts w:hint="eastAsia" w:ascii="仿宋" w:hAnsi="仿宋" w:eastAsia="仿宋" w:cs="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0"/>
            <w:vAlign w:val="center"/>
          </w:tcPr>
          <w:p w14:paraId="50880F29">
            <w:pPr>
              <w:snapToGrid w:val="0"/>
              <w:spacing w:before="50" w:after="50"/>
              <w:jc w:val="center"/>
              <w:rPr>
                <w:rFonts w:hint="eastAsia"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474F56A8">
            <w:pPr>
              <w:snapToGrid w:val="0"/>
              <w:spacing w:before="50" w:after="50"/>
              <w:jc w:val="center"/>
              <w:rPr>
                <w:rFonts w:hint="eastAsia"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FF17F03">
            <w:pPr>
              <w:snapToGrid w:val="0"/>
              <w:spacing w:before="50" w:after="50"/>
              <w:jc w:val="center"/>
              <w:rPr>
                <w:rFonts w:hint="eastAsia" w:ascii="仿宋" w:hAnsi="仿宋" w:eastAsia="仿宋" w:cs="仿宋"/>
                <w:color w:val="auto"/>
                <w:sz w:val="24"/>
                <w:highlight w:val="none"/>
              </w:rPr>
            </w:pPr>
          </w:p>
        </w:tc>
      </w:tr>
      <w:tr w14:paraId="0A11C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37" w:type="dxa"/>
            <w:tcBorders>
              <w:top w:val="single" w:color="auto" w:sz="4" w:space="0"/>
              <w:left w:val="single" w:color="auto" w:sz="4" w:space="0"/>
              <w:bottom w:val="single" w:color="auto" w:sz="4" w:space="0"/>
              <w:right w:val="single" w:color="auto" w:sz="4" w:space="0"/>
            </w:tcBorders>
            <w:noWrap w:val="0"/>
            <w:vAlign w:val="center"/>
          </w:tcPr>
          <w:p w14:paraId="4DFE1152">
            <w:pPr>
              <w:snapToGrid w:val="0"/>
              <w:spacing w:before="50" w:after="50"/>
              <w:jc w:val="center"/>
              <w:rPr>
                <w:rFonts w:hint="eastAsia" w:ascii="仿宋" w:hAnsi="仿宋" w:eastAsia="仿宋" w:cs="仿宋"/>
                <w:color w:val="auto"/>
                <w:sz w:val="24"/>
                <w:highlight w:val="none"/>
              </w:rPr>
            </w:pPr>
            <w:bookmarkStart w:id="439" w:name="_Toc64369813"/>
            <w:r>
              <w:rPr>
                <w:rFonts w:hint="eastAsia" w:ascii="仿宋" w:hAnsi="仿宋" w:eastAsia="仿宋" w:cs="仿宋"/>
                <w:color w:val="auto"/>
                <w:sz w:val="24"/>
                <w:highlight w:val="none"/>
              </w:rPr>
              <w:t>2</w:t>
            </w:r>
            <w:bookmarkEnd w:id="439"/>
          </w:p>
        </w:tc>
        <w:tc>
          <w:tcPr>
            <w:tcW w:w="1711" w:type="dxa"/>
            <w:tcBorders>
              <w:top w:val="single" w:color="auto" w:sz="4" w:space="0"/>
              <w:left w:val="single" w:color="auto" w:sz="4" w:space="0"/>
              <w:bottom w:val="single" w:color="auto" w:sz="4" w:space="0"/>
              <w:right w:val="single" w:color="auto" w:sz="4" w:space="0"/>
            </w:tcBorders>
            <w:noWrap w:val="0"/>
            <w:vAlign w:val="center"/>
          </w:tcPr>
          <w:p w14:paraId="7262A68F">
            <w:pPr>
              <w:snapToGrid w:val="0"/>
              <w:spacing w:before="50" w:after="50"/>
              <w:jc w:val="center"/>
              <w:rPr>
                <w:rFonts w:hint="eastAsia" w:ascii="仿宋" w:hAnsi="仿宋" w:eastAsia="仿宋" w:cs="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0"/>
            <w:vAlign w:val="center"/>
          </w:tcPr>
          <w:p w14:paraId="0664D320">
            <w:pPr>
              <w:snapToGrid w:val="0"/>
              <w:spacing w:before="50" w:after="50"/>
              <w:jc w:val="center"/>
              <w:rPr>
                <w:rFonts w:hint="eastAsia"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3D9B4E72">
            <w:pPr>
              <w:snapToGrid w:val="0"/>
              <w:spacing w:before="50" w:after="50"/>
              <w:jc w:val="center"/>
              <w:rPr>
                <w:rFonts w:hint="eastAsia"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076E5205">
            <w:pPr>
              <w:snapToGrid w:val="0"/>
              <w:spacing w:before="50" w:after="50"/>
              <w:jc w:val="center"/>
              <w:rPr>
                <w:rFonts w:hint="eastAsia" w:ascii="仿宋" w:hAnsi="仿宋" w:eastAsia="仿宋" w:cs="仿宋"/>
                <w:color w:val="auto"/>
                <w:sz w:val="24"/>
                <w:highlight w:val="none"/>
              </w:rPr>
            </w:pPr>
          </w:p>
        </w:tc>
      </w:tr>
      <w:tr w14:paraId="24D92A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37" w:type="dxa"/>
            <w:tcBorders>
              <w:top w:val="single" w:color="auto" w:sz="4" w:space="0"/>
              <w:left w:val="single" w:color="auto" w:sz="4" w:space="0"/>
              <w:bottom w:val="single" w:color="auto" w:sz="4" w:space="0"/>
              <w:right w:val="single" w:color="auto" w:sz="4" w:space="0"/>
            </w:tcBorders>
            <w:noWrap w:val="0"/>
            <w:vAlign w:val="center"/>
          </w:tcPr>
          <w:p w14:paraId="38B910E9">
            <w:pPr>
              <w:snapToGrid w:val="0"/>
              <w:spacing w:before="50" w:after="50"/>
              <w:jc w:val="center"/>
              <w:rPr>
                <w:rFonts w:hint="eastAsia" w:ascii="仿宋" w:hAnsi="仿宋" w:eastAsia="仿宋" w:cs="仿宋"/>
                <w:color w:val="auto"/>
                <w:sz w:val="24"/>
                <w:highlight w:val="none"/>
              </w:rPr>
            </w:pPr>
            <w:bookmarkStart w:id="440" w:name="_Toc64369814"/>
            <w:r>
              <w:rPr>
                <w:rFonts w:hint="eastAsia" w:ascii="仿宋" w:hAnsi="仿宋" w:eastAsia="仿宋" w:cs="仿宋"/>
                <w:color w:val="auto"/>
                <w:sz w:val="24"/>
                <w:highlight w:val="none"/>
              </w:rPr>
              <w:t>…</w:t>
            </w:r>
            <w:bookmarkEnd w:id="440"/>
          </w:p>
        </w:tc>
        <w:tc>
          <w:tcPr>
            <w:tcW w:w="1711" w:type="dxa"/>
            <w:tcBorders>
              <w:top w:val="single" w:color="auto" w:sz="4" w:space="0"/>
              <w:left w:val="single" w:color="auto" w:sz="4" w:space="0"/>
              <w:bottom w:val="single" w:color="auto" w:sz="4" w:space="0"/>
              <w:right w:val="single" w:color="auto" w:sz="4" w:space="0"/>
            </w:tcBorders>
            <w:noWrap w:val="0"/>
            <w:vAlign w:val="center"/>
          </w:tcPr>
          <w:p w14:paraId="2407A334">
            <w:pPr>
              <w:snapToGrid w:val="0"/>
              <w:spacing w:before="50" w:after="50"/>
              <w:jc w:val="center"/>
              <w:rPr>
                <w:rFonts w:hint="eastAsia" w:ascii="仿宋" w:hAnsi="仿宋" w:eastAsia="仿宋" w:cs="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0"/>
            <w:vAlign w:val="center"/>
          </w:tcPr>
          <w:p w14:paraId="2529A46B">
            <w:pPr>
              <w:snapToGrid w:val="0"/>
              <w:spacing w:before="50" w:after="50"/>
              <w:jc w:val="center"/>
              <w:rPr>
                <w:rFonts w:hint="eastAsia" w:ascii="仿宋" w:hAnsi="仿宋" w:eastAsia="仿宋" w:cs="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7323FB9C">
            <w:pPr>
              <w:snapToGrid w:val="0"/>
              <w:spacing w:before="50" w:after="50"/>
              <w:jc w:val="center"/>
              <w:rPr>
                <w:rFonts w:hint="eastAsia" w:ascii="仿宋" w:hAnsi="仿宋" w:eastAsia="仿宋" w:cs="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0936CA1">
            <w:pPr>
              <w:snapToGrid w:val="0"/>
              <w:spacing w:before="50" w:after="50"/>
              <w:jc w:val="center"/>
              <w:rPr>
                <w:rFonts w:hint="eastAsia" w:ascii="仿宋" w:hAnsi="仿宋" w:eastAsia="仿宋" w:cs="仿宋"/>
                <w:color w:val="auto"/>
                <w:sz w:val="24"/>
                <w:highlight w:val="none"/>
              </w:rPr>
            </w:pPr>
          </w:p>
        </w:tc>
      </w:tr>
    </w:tbl>
    <w:p w14:paraId="78B6B557">
      <w:pPr>
        <w:snapToGrid w:val="0"/>
        <w:spacing w:before="120" w:beforeLines="50"/>
        <w:rPr>
          <w:rFonts w:hint="eastAsia" w:ascii="仿宋" w:hAnsi="仿宋" w:eastAsia="仿宋" w:cs="仿宋"/>
          <w:color w:val="auto"/>
          <w:sz w:val="24"/>
          <w:highlight w:val="none"/>
        </w:rPr>
      </w:pPr>
      <w:r>
        <w:rPr>
          <w:rFonts w:hint="eastAsia" w:ascii="仿宋" w:hAnsi="仿宋" w:eastAsia="仿宋" w:cs="仿宋"/>
          <w:color w:val="auto"/>
          <w:sz w:val="24"/>
          <w:highlight w:val="none"/>
        </w:rPr>
        <w:t>注：投标人应对照征集文件要求和响应文件响应情况在“偏离情况”栏注明“正偏离”、“负偏离”或“无偏离”。</w:t>
      </w:r>
    </w:p>
    <w:p w14:paraId="674B5F2E">
      <w:pPr>
        <w:snapToGrid w:val="0"/>
        <w:spacing w:before="120" w:beforeLines="50"/>
        <w:rPr>
          <w:rFonts w:hint="eastAsia" w:ascii="仿宋" w:hAnsi="仿宋" w:eastAsia="仿宋" w:cs="仿宋"/>
          <w:color w:val="auto"/>
          <w:sz w:val="24"/>
          <w:highlight w:val="none"/>
        </w:rPr>
      </w:pPr>
    </w:p>
    <w:p w14:paraId="038BCAA2">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w:t>
      </w:r>
    </w:p>
    <w:p w14:paraId="41EB4E6B">
      <w:pPr>
        <w:snapToGrid w:val="0"/>
        <w:spacing w:before="50" w:after="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w:t>
      </w:r>
    </w:p>
    <w:p w14:paraId="1B4F979A">
      <w:pPr>
        <w:snapToGrid w:val="0"/>
        <w:spacing w:before="50" w:after="120" w:afterLines="50"/>
        <w:jc w:val="center"/>
        <w:rPr>
          <w:rFonts w:hint="eastAsia" w:ascii="仿宋" w:hAnsi="仿宋" w:eastAsia="仿宋" w:cs="仿宋"/>
          <w:b/>
          <w:bCs/>
          <w:color w:val="auto"/>
          <w:sz w:val="30"/>
          <w:szCs w:val="30"/>
          <w:highlight w:val="none"/>
        </w:rPr>
      </w:pPr>
    </w:p>
    <w:p w14:paraId="45FC752C">
      <w:pPr>
        <w:snapToGrid w:val="0"/>
        <w:spacing w:before="50" w:after="120" w:afterLines="50"/>
        <w:jc w:val="center"/>
        <w:rPr>
          <w:rFonts w:hint="eastAsia" w:ascii="仿宋" w:hAnsi="仿宋" w:eastAsia="仿宋" w:cs="仿宋"/>
          <w:b/>
          <w:color w:val="auto"/>
          <w:spacing w:val="40"/>
          <w:kern w:val="0"/>
          <w:sz w:val="36"/>
          <w:szCs w:val="36"/>
          <w:highlight w:val="none"/>
        </w:rPr>
      </w:pPr>
    </w:p>
    <w:p w14:paraId="726E4F60">
      <w:pPr>
        <w:snapToGrid w:val="0"/>
        <w:spacing w:before="50" w:after="120" w:afterLines="50"/>
        <w:jc w:val="center"/>
        <w:rPr>
          <w:rFonts w:hint="eastAsia" w:ascii="仿宋" w:hAnsi="仿宋" w:eastAsia="仿宋" w:cs="仿宋"/>
          <w:b/>
          <w:color w:val="auto"/>
          <w:spacing w:val="40"/>
          <w:kern w:val="0"/>
          <w:sz w:val="36"/>
          <w:szCs w:val="36"/>
          <w:highlight w:val="none"/>
        </w:rPr>
      </w:pPr>
    </w:p>
    <w:p w14:paraId="624B5CC0">
      <w:pPr>
        <w:snapToGrid w:val="0"/>
        <w:spacing w:before="50" w:after="120" w:afterLines="50"/>
        <w:jc w:val="center"/>
        <w:rPr>
          <w:rFonts w:hint="eastAsia" w:ascii="仿宋" w:hAnsi="仿宋" w:eastAsia="仿宋" w:cs="仿宋"/>
          <w:b/>
          <w:color w:val="auto"/>
          <w:spacing w:val="40"/>
          <w:kern w:val="0"/>
          <w:sz w:val="36"/>
          <w:szCs w:val="36"/>
          <w:highlight w:val="none"/>
        </w:rPr>
      </w:pPr>
    </w:p>
    <w:p w14:paraId="658A13F0">
      <w:pPr>
        <w:snapToGrid w:val="0"/>
        <w:spacing w:before="50" w:after="120" w:afterLines="50"/>
        <w:jc w:val="center"/>
        <w:rPr>
          <w:rFonts w:hint="eastAsia" w:ascii="仿宋" w:hAnsi="仿宋" w:eastAsia="仿宋" w:cs="仿宋"/>
          <w:b/>
          <w:color w:val="auto"/>
          <w:spacing w:val="40"/>
          <w:kern w:val="0"/>
          <w:sz w:val="36"/>
          <w:szCs w:val="36"/>
          <w:highlight w:val="none"/>
        </w:rPr>
      </w:pPr>
    </w:p>
    <w:p w14:paraId="3392D2B0">
      <w:pPr>
        <w:snapToGrid w:val="0"/>
        <w:spacing w:before="50" w:after="120" w:afterLines="50"/>
        <w:jc w:val="center"/>
        <w:rPr>
          <w:rFonts w:hint="eastAsia" w:ascii="仿宋" w:hAnsi="仿宋" w:eastAsia="仿宋" w:cs="仿宋"/>
          <w:b/>
          <w:color w:val="auto"/>
          <w:spacing w:val="40"/>
          <w:kern w:val="0"/>
          <w:sz w:val="36"/>
          <w:szCs w:val="36"/>
          <w:highlight w:val="none"/>
        </w:rPr>
      </w:pPr>
    </w:p>
    <w:p w14:paraId="02AE9721">
      <w:pPr>
        <w:snapToGrid w:val="0"/>
        <w:spacing w:before="50" w:after="120" w:afterLines="50"/>
        <w:jc w:val="center"/>
        <w:rPr>
          <w:rFonts w:hint="eastAsia" w:ascii="仿宋" w:hAnsi="仿宋" w:eastAsia="仿宋" w:cs="仿宋"/>
          <w:b/>
          <w:color w:val="auto"/>
          <w:spacing w:val="40"/>
          <w:kern w:val="0"/>
          <w:sz w:val="36"/>
          <w:szCs w:val="36"/>
          <w:highlight w:val="none"/>
        </w:rPr>
      </w:pPr>
    </w:p>
    <w:p w14:paraId="6291CEEA">
      <w:pPr>
        <w:snapToGrid w:val="0"/>
        <w:spacing w:before="50" w:after="120" w:afterLines="50"/>
        <w:jc w:val="center"/>
        <w:rPr>
          <w:rFonts w:hint="eastAsia" w:ascii="仿宋" w:hAnsi="仿宋" w:eastAsia="仿宋" w:cs="仿宋"/>
          <w:b/>
          <w:color w:val="auto"/>
          <w:spacing w:val="40"/>
          <w:kern w:val="0"/>
          <w:sz w:val="36"/>
          <w:szCs w:val="36"/>
          <w:highlight w:val="none"/>
        </w:rPr>
      </w:pPr>
    </w:p>
    <w:p w14:paraId="46202706">
      <w:pPr>
        <w:snapToGrid w:val="0"/>
        <w:spacing w:before="50" w:after="120" w:afterLines="50"/>
        <w:rPr>
          <w:rFonts w:hint="eastAsia" w:ascii="仿宋" w:hAnsi="仿宋" w:eastAsia="仿宋" w:cs="仿宋"/>
          <w:b/>
          <w:color w:val="auto"/>
          <w:spacing w:val="40"/>
          <w:kern w:val="0"/>
          <w:sz w:val="36"/>
          <w:szCs w:val="36"/>
          <w:highlight w:val="none"/>
        </w:rPr>
      </w:pPr>
    </w:p>
    <w:p w14:paraId="3A5E7396">
      <w:pPr>
        <w:pStyle w:val="16"/>
        <w:snapToGrid w:val="0"/>
        <w:jc w:val="center"/>
        <w:rPr>
          <w:rFonts w:hint="eastAsia" w:ascii="仿宋" w:hAnsi="仿宋" w:eastAsia="仿宋" w:cs="仿宋"/>
          <w:color w:val="auto"/>
          <w:spacing w:val="40"/>
          <w:kern w:val="0"/>
          <w:sz w:val="36"/>
          <w:szCs w:val="36"/>
          <w:highlight w:val="none"/>
          <w:lang w:val="en-US" w:eastAsia="zh-CN"/>
        </w:rPr>
      </w:pPr>
    </w:p>
    <w:p w14:paraId="711DD478">
      <w:pPr>
        <w:jc w:val="center"/>
        <w:rPr>
          <w:rFonts w:hint="eastAsia" w:ascii="仿宋" w:hAnsi="仿宋" w:eastAsia="仿宋" w:cs="仿宋"/>
          <w:b/>
          <w:bCs/>
          <w:color w:val="auto"/>
          <w:spacing w:val="6"/>
          <w:sz w:val="32"/>
          <w:szCs w:val="32"/>
          <w:highlight w:val="none"/>
        </w:rPr>
      </w:pPr>
      <w:r>
        <w:rPr>
          <w:rFonts w:hint="eastAsia" w:ascii="仿宋" w:hAnsi="仿宋" w:eastAsia="仿宋" w:cs="仿宋"/>
          <w:snapToGrid w:val="0"/>
          <w:color w:val="auto"/>
          <w:kern w:val="0"/>
          <w:szCs w:val="21"/>
          <w:highlight w:val="none"/>
        </w:rPr>
        <w:br w:type="page"/>
      </w:r>
      <w:r>
        <w:rPr>
          <w:rFonts w:hint="eastAsia" w:ascii="仿宋" w:hAnsi="仿宋" w:eastAsia="仿宋" w:cs="仿宋"/>
          <w:b/>
          <w:bCs/>
          <w:color w:val="auto"/>
          <w:spacing w:val="6"/>
          <w:sz w:val="32"/>
          <w:szCs w:val="32"/>
          <w:highlight w:val="none"/>
        </w:rPr>
        <w:t>四、商务响应表</w:t>
      </w:r>
    </w:p>
    <w:p w14:paraId="3CFF5430">
      <w:pPr>
        <w:rPr>
          <w:rFonts w:hint="eastAsia" w:ascii="仿宋" w:hAnsi="仿宋" w:eastAsia="仿宋" w:cs="仿宋"/>
          <w:snapToGrid w:val="0"/>
          <w:color w:val="auto"/>
          <w:kern w:val="0"/>
          <w:szCs w:val="21"/>
          <w:highlight w:val="none"/>
        </w:rPr>
      </w:pPr>
    </w:p>
    <w:tbl>
      <w:tblPr>
        <w:tblStyle w:val="60"/>
        <w:tblW w:w="899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27"/>
        <w:gridCol w:w="3272"/>
        <w:gridCol w:w="3235"/>
        <w:gridCol w:w="1264"/>
      </w:tblGrid>
      <w:tr w14:paraId="15144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4"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21FB02E1">
            <w:pPr>
              <w:snapToGrid w:val="0"/>
              <w:spacing w:before="50" w:after="50"/>
              <w:jc w:val="center"/>
              <w:rPr>
                <w:rFonts w:hint="eastAsia" w:ascii="仿宋" w:hAnsi="仿宋" w:eastAsia="仿宋" w:cs="仿宋"/>
                <w:color w:val="auto"/>
                <w:sz w:val="24"/>
                <w:highlight w:val="none"/>
              </w:rPr>
            </w:pPr>
            <w:bookmarkStart w:id="441" w:name="_Toc64369815"/>
            <w:r>
              <w:rPr>
                <w:rFonts w:hint="eastAsia" w:ascii="仿宋" w:hAnsi="仿宋" w:eastAsia="仿宋" w:cs="仿宋"/>
                <w:color w:val="auto"/>
                <w:sz w:val="24"/>
                <w:highlight w:val="none"/>
              </w:rPr>
              <w:t>类别</w:t>
            </w:r>
            <w:bookmarkEnd w:id="441"/>
          </w:p>
        </w:tc>
        <w:tc>
          <w:tcPr>
            <w:tcW w:w="3272" w:type="dxa"/>
            <w:tcBorders>
              <w:top w:val="single" w:color="auto" w:sz="4" w:space="0"/>
              <w:left w:val="single" w:color="auto" w:sz="4" w:space="0"/>
              <w:bottom w:val="single" w:color="auto" w:sz="4" w:space="0"/>
              <w:right w:val="single" w:color="auto" w:sz="4" w:space="0"/>
            </w:tcBorders>
            <w:noWrap w:val="0"/>
            <w:vAlign w:val="center"/>
          </w:tcPr>
          <w:p w14:paraId="750E61AB">
            <w:pPr>
              <w:snapToGrid w:val="0"/>
              <w:spacing w:before="120" w:beforeLines="50" w:after="50"/>
              <w:jc w:val="center"/>
              <w:rPr>
                <w:rFonts w:hint="eastAsia" w:ascii="仿宋" w:hAnsi="仿宋" w:eastAsia="仿宋" w:cs="仿宋"/>
                <w:color w:val="auto"/>
                <w:sz w:val="24"/>
                <w:highlight w:val="none"/>
              </w:rPr>
            </w:pPr>
            <w:bookmarkStart w:id="442" w:name="_Toc64369816"/>
            <w:r>
              <w:rPr>
                <w:rFonts w:hint="eastAsia" w:ascii="仿宋" w:hAnsi="仿宋" w:eastAsia="仿宋" w:cs="仿宋"/>
                <w:color w:val="auto"/>
                <w:sz w:val="24"/>
                <w:highlight w:val="none"/>
              </w:rPr>
              <w:t>征集文件要求</w:t>
            </w:r>
            <w:bookmarkEnd w:id="442"/>
          </w:p>
        </w:tc>
        <w:tc>
          <w:tcPr>
            <w:tcW w:w="3235" w:type="dxa"/>
            <w:tcBorders>
              <w:top w:val="single" w:color="auto" w:sz="4" w:space="0"/>
              <w:left w:val="single" w:color="auto" w:sz="4" w:space="0"/>
              <w:bottom w:val="single" w:color="auto" w:sz="4" w:space="0"/>
              <w:right w:val="single" w:color="auto" w:sz="4" w:space="0"/>
            </w:tcBorders>
            <w:noWrap w:val="0"/>
            <w:vAlign w:val="center"/>
          </w:tcPr>
          <w:p w14:paraId="5B79BEC1">
            <w:pPr>
              <w:snapToGrid w:val="0"/>
              <w:spacing w:before="120" w:beforeLines="50" w:after="50"/>
              <w:jc w:val="center"/>
              <w:rPr>
                <w:rFonts w:hint="eastAsia" w:ascii="仿宋" w:hAnsi="仿宋" w:eastAsia="仿宋" w:cs="仿宋"/>
                <w:color w:val="auto"/>
                <w:sz w:val="24"/>
                <w:highlight w:val="none"/>
              </w:rPr>
            </w:pPr>
            <w:bookmarkStart w:id="443" w:name="_Toc64369817"/>
            <w:r>
              <w:rPr>
                <w:rFonts w:hint="eastAsia" w:ascii="仿宋" w:hAnsi="仿宋" w:eastAsia="仿宋" w:cs="仿宋"/>
                <w:color w:val="auto"/>
                <w:sz w:val="24"/>
                <w:highlight w:val="none"/>
              </w:rPr>
              <w:t>响应文件响应</w:t>
            </w:r>
            <w:bookmarkEnd w:id="443"/>
          </w:p>
        </w:tc>
        <w:tc>
          <w:tcPr>
            <w:tcW w:w="1264" w:type="dxa"/>
            <w:tcBorders>
              <w:top w:val="single" w:color="auto" w:sz="4" w:space="0"/>
              <w:left w:val="single" w:color="auto" w:sz="4" w:space="0"/>
              <w:bottom w:val="single" w:color="auto" w:sz="4" w:space="0"/>
              <w:right w:val="single" w:color="auto" w:sz="4" w:space="0"/>
            </w:tcBorders>
            <w:noWrap w:val="0"/>
            <w:vAlign w:val="center"/>
          </w:tcPr>
          <w:p w14:paraId="2231AB9A">
            <w:pPr>
              <w:snapToGrid w:val="0"/>
              <w:spacing w:before="120" w:beforeLines="50" w:after="50"/>
              <w:jc w:val="center"/>
              <w:rPr>
                <w:rFonts w:hint="eastAsia" w:ascii="仿宋" w:hAnsi="仿宋" w:eastAsia="仿宋" w:cs="仿宋"/>
                <w:color w:val="auto"/>
                <w:sz w:val="24"/>
                <w:highlight w:val="none"/>
              </w:rPr>
            </w:pPr>
            <w:bookmarkStart w:id="444" w:name="_Toc64369818"/>
            <w:r>
              <w:rPr>
                <w:rFonts w:hint="eastAsia" w:ascii="仿宋" w:hAnsi="仿宋" w:eastAsia="仿宋" w:cs="仿宋"/>
                <w:color w:val="auto"/>
                <w:sz w:val="24"/>
                <w:highlight w:val="none"/>
              </w:rPr>
              <w:t>偏离情况</w:t>
            </w:r>
            <w:bookmarkEnd w:id="444"/>
          </w:p>
        </w:tc>
      </w:tr>
      <w:tr w14:paraId="0E4A4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00A8C252">
            <w:pPr>
              <w:snapToGrid w:val="0"/>
              <w:spacing w:before="50" w:after="50"/>
              <w:jc w:val="center"/>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555AF9B3">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2F5543C0">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7177C174">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47DCD5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67C2DC80">
            <w:pPr>
              <w:snapToGrid w:val="0"/>
              <w:spacing w:before="50" w:after="50"/>
              <w:jc w:val="center"/>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30DD1533">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4A2EE077">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0E4A2597">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6D863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5BF4F76F">
            <w:pPr>
              <w:snapToGrid w:val="0"/>
              <w:spacing w:before="50" w:after="50"/>
              <w:jc w:val="center"/>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4E1F1DA3">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22690144">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nil"/>
              <w:right w:val="single" w:color="auto" w:sz="4" w:space="0"/>
            </w:tcBorders>
            <w:noWrap w:val="0"/>
            <w:vAlign w:val="top"/>
          </w:tcPr>
          <w:p w14:paraId="7B754F1B">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566ABD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76EF3321">
            <w:pPr>
              <w:snapToGrid w:val="0"/>
              <w:spacing w:before="50" w:after="50"/>
              <w:jc w:val="center"/>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28D283AC">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5C07363E">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05EFD69B">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79F3E6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53343379">
            <w:pPr>
              <w:snapToGrid w:val="0"/>
              <w:spacing w:before="50" w:after="50"/>
              <w:jc w:val="center"/>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0903152B">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1765E43F">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6B528918">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07D413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0C6F031A">
            <w:pPr>
              <w:snapToGrid w:val="0"/>
              <w:spacing w:before="50" w:after="50"/>
              <w:jc w:val="center"/>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3315CF7A">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387C24D1">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412AE817">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4193A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3883D00F">
            <w:pPr>
              <w:snapToGrid w:val="0"/>
              <w:spacing w:before="50" w:after="50"/>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46D5111B">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46661E5B">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1F3AE96F">
            <w:pPr>
              <w:pStyle w:val="31"/>
              <w:snapToGrid w:val="0"/>
              <w:spacing w:before="120" w:after="120"/>
              <w:jc w:val="center"/>
              <w:outlineLvl w:val="0"/>
              <w:rPr>
                <w:rFonts w:hint="eastAsia" w:ascii="仿宋" w:hAnsi="仿宋" w:eastAsia="仿宋" w:cs="仿宋"/>
                <w:snapToGrid/>
                <w:color w:val="auto"/>
                <w:sz w:val="24"/>
                <w:szCs w:val="24"/>
                <w:highlight w:val="none"/>
              </w:rPr>
            </w:pPr>
          </w:p>
        </w:tc>
      </w:tr>
      <w:tr w14:paraId="09CE31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27" w:type="dxa"/>
            <w:tcBorders>
              <w:top w:val="single" w:color="auto" w:sz="4" w:space="0"/>
              <w:left w:val="single" w:color="auto" w:sz="4" w:space="0"/>
              <w:bottom w:val="single" w:color="auto" w:sz="4" w:space="0"/>
              <w:right w:val="single" w:color="auto" w:sz="4" w:space="0"/>
            </w:tcBorders>
            <w:noWrap w:val="0"/>
            <w:vAlign w:val="center"/>
          </w:tcPr>
          <w:p w14:paraId="5B417D0E">
            <w:pPr>
              <w:snapToGrid w:val="0"/>
              <w:spacing w:before="50" w:after="50"/>
              <w:rPr>
                <w:rFonts w:hint="eastAsia" w:ascii="仿宋" w:hAnsi="仿宋" w:eastAsia="仿宋" w:cs="仿宋"/>
                <w:color w:val="auto"/>
                <w:sz w:val="24"/>
                <w:highlight w:val="none"/>
              </w:rPr>
            </w:pPr>
          </w:p>
        </w:tc>
        <w:tc>
          <w:tcPr>
            <w:tcW w:w="3272" w:type="dxa"/>
            <w:tcBorders>
              <w:top w:val="single" w:color="auto" w:sz="4" w:space="0"/>
              <w:left w:val="single" w:color="auto" w:sz="4" w:space="0"/>
              <w:bottom w:val="single" w:color="auto" w:sz="4" w:space="0"/>
              <w:right w:val="single" w:color="auto" w:sz="4" w:space="0"/>
            </w:tcBorders>
            <w:noWrap w:val="0"/>
            <w:vAlign w:val="center"/>
          </w:tcPr>
          <w:p w14:paraId="48755E67">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3235" w:type="dxa"/>
            <w:tcBorders>
              <w:top w:val="single" w:color="auto" w:sz="4" w:space="0"/>
              <w:left w:val="single" w:color="auto" w:sz="4" w:space="0"/>
              <w:bottom w:val="single" w:color="auto" w:sz="4" w:space="0"/>
              <w:right w:val="single" w:color="auto" w:sz="4" w:space="0"/>
            </w:tcBorders>
            <w:noWrap w:val="0"/>
            <w:vAlign w:val="top"/>
          </w:tcPr>
          <w:p w14:paraId="255EA92B">
            <w:pPr>
              <w:pStyle w:val="31"/>
              <w:snapToGrid w:val="0"/>
              <w:spacing w:before="120" w:after="120"/>
              <w:jc w:val="center"/>
              <w:outlineLvl w:val="0"/>
              <w:rPr>
                <w:rFonts w:hint="eastAsia" w:ascii="仿宋" w:hAnsi="仿宋" w:eastAsia="仿宋" w:cs="仿宋"/>
                <w:snapToGrid/>
                <w:color w:val="auto"/>
                <w:sz w:val="24"/>
                <w:szCs w:val="24"/>
                <w:highlight w:val="none"/>
              </w:rPr>
            </w:pPr>
          </w:p>
        </w:tc>
        <w:tc>
          <w:tcPr>
            <w:tcW w:w="1264" w:type="dxa"/>
            <w:tcBorders>
              <w:top w:val="single" w:color="auto" w:sz="4" w:space="0"/>
              <w:left w:val="single" w:color="auto" w:sz="4" w:space="0"/>
              <w:bottom w:val="single" w:color="auto" w:sz="4" w:space="0"/>
              <w:right w:val="single" w:color="auto" w:sz="4" w:space="0"/>
            </w:tcBorders>
            <w:noWrap w:val="0"/>
            <w:vAlign w:val="top"/>
          </w:tcPr>
          <w:p w14:paraId="3FE9CC14">
            <w:pPr>
              <w:pStyle w:val="31"/>
              <w:snapToGrid w:val="0"/>
              <w:spacing w:before="120" w:after="120"/>
              <w:jc w:val="center"/>
              <w:outlineLvl w:val="0"/>
              <w:rPr>
                <w:rFonts w:hint="eastAsia" w:ascii="仿宋" w:hAnsi="仿宋" w:eastAsia="仿宋" w:cs="仿宋"/>
                <w:snapToGrid/>
                <w:color w:val="auto"/>
                <w:sz w:val="24"/>
                <w:szCs w:val="24"/>
                <w:highlight w:val="none"/>
              </w:rPr>
            </w:pPr>
          </w:p>
        </w:tc>
      </w:tr>
    </w:tbl>
    <w:p w14:paraId="1EE46C1E">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04E1AF7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1、投标人应对照征集文件要求和响应文件响应情况在“偏离情况”栏注明“正偏离”、“负偏离”或“无偏离”。</w:t>
      </w:r>
    </w:p>
    <w:p w14:paraId="71834C6C">
      <w:pPr>
        <w:spacing w:line="360" w:lineRule="auto"/>
        <w:ind w:right="4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2、“类别”一栏按征集文件第三章中商务要求的分类填写。</w:t>
      </w:r>
    </w:p>
    <w:p w14:paraId="04A17D80">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w:t>
      </w:r>
    </w:p>
    <w:p w14:paraId="1D90751A">
      <w:pPr>
        <w:snapToGrid w:val="0"/>
        <w:spacing w:before="50" w:after="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42C783D0">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sz w:val="32"/>
          <w:szCs w:val="32"/>
          <w:highlight w:val="none"/>
        </w:rPr>
      </w:pPr>
      <w:r>
        <w:rPr>
          <w:rFonts w:hint="eastAsia" w:ascii="仿宋" w:hAnsi="仿宋" w:eastAsia="仿宋" w:cs="仿宋"/>
          <w:b/>
          <w:bCs/>
          <w:color w:val="auto"/>
          <w:kern w:val="0"/>
          <w:sz w:val="36"/>
          <w:szCs w:val="36"/>
          <w:highlight w:val="none"/>
          <w:lang w:val="zh-CN"/>
        </w:rPr>
        <w:br w:type="page"/>
      </w:r>
      <w:r>
        <w:rPr>
          <w:rFonts w:hint="eastAsia" w:ascii="仿宋" w:hAnsi="仿宋" w:eastAsia="仿宋" w:cs="仿宋"/>
          <w:b/>
          <w:bCs/>
          <w:color w:val="auto"/>
          <w:kern w:val="0"/>
          <w:sz w:val="36"/>
          <w:szCs w:val="36"/>
          <w:highlight w:val="none"/>
        </w:rPr>
        <w:t>五</w:t>
      </w:r>
      <w:r>
        <w:rPr>
          <w:rFonts w:hint="eastAsia" w:ascii="仿宋" w:hAnsi="仿宋" w:eastAsia="仿宋" w:cs="仿宋"/>
          <w:b/>
          <w:bCs/>
          <w:color w:val="auto"/>
          <w:sz w:val="32"/>
          <w:szCs w:val="32"/>
          <w:highlight w:val="none"/>
        </w:rPr>
        <w:t>、项目组织实施方案</w:t>
      </w:r>
    </w:p>
    <w:p w14:paraId="24743E8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（由投标人根据采购需求及征集文件要求编制）</w:t>
      </w:r>
    </w:p>
    <w:p w14:paraId="7DAB4FCD">
      <w:pPr>
        <w:autoSpaceDE w:val="0"/>
        <w:autoSpaceDN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br w:type="page"/>
      </w:r>
      <w:r>
        <w:rPr>
          <w:rFonts w:hint="eastAsia" w:ascii="仿宋" w:hAnsi="仿宋" w:eastAsia="仿宋" w:cs="仿宋"/>
          <w:b/>
          <w:bCs/>
          <w:color w:val="auto"/>
          <w:sz w:val="32"/>
          <w:szCs w:val="32"/>
          <w:highlight w:val="none"/>
        </w:rPr>
        <w:t>六、项目负责人情况表</w:t>
      </w:r>
    </w:p>
    <w:p w14:paraId="19534755">
      <w:pPr>
        <w:spacing w:line="360" w:lineRule="auto"/>
        <w:jc w:val="center"/>
        <w:rPr>
          <w:rFonts w:hint="eastAsia" w:ascii="仿宋" w:hAnsi="仿宋" w:eastAsia="仿宋" w:cs="仿宋"/>
          <w:color w:val="auto"/>
          <w:sz w:val="24"/>
          <w:highlight w:val="none"/>
        </w:rPr>
      </w:pPr>
    </w:p>
    <w:tbl>
      <w:tblPr>
        <w:tblStyle w:val="60"/>
        <w:tblW w:w="0" w:type="auto"/>
        <w:tblInd w:w="108" w:type="dxa"/>
        <w:tblLayout w:type="fixed"/>
        <w:tblCellMar>
          <w:top w:w="0" w:type="dxa"/>
          <w:left w:w="108" w:type="dxa"/>
          <w:bottom w:w="0" w:type="dxa"/>
          <w:right w:w="108" w:type="dxa"/>
        </w:tblCellMar>
      </w:tblPr>
      <w:tblGrid>
        <w:gridCol w:w="1953"/>
        <w:gridCol w:w="1308"/>
        <w:gridCol w:w="5811"/>
      </w:tblGrid>
      <w:tr w14:paraId="2ECEB7B1">
        <w:tblPrEx>
          <w:tblCellMar>
            <w:top w:w="0" w:type="dxa"/>
            <w:left w:w="108" w:type="dxa"/>
            <w:bottom w:w="0" w:type="dxa"/>
            <w:right w:w="108" w:type="dxa"/>
          </w:tblCellMar>
        </w:tblPrEx>
        <w:trPr>
          <w:trHeight w:val="604"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2BECE2C5">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1308" w:type="dxa"/>
            <w:tcBorders>
              <w:top w:val="single" w:color="auto" w:sz="6" w:space="0"/>
              <w:left w:val="single" w:color="auto" w:sz="6" w:space="0"/>
              <w:bottom w:val="single" w:color="auto" w:sz="6" w:space="0"/>
              <w:right w:val="single" w:color="auto" w:sz="6" w:space="0"/>
            </w:tcBorders>
            <w:noWrap w:val="0"/>
            <w:vAlign w:val="center"/>
          </w:tcPr>
          <w:p w14:paraId="4587E7A8">
            <w:pPr>
              <w:autoSpaceDE w:val="0"/>
              <w:autoSpaceDN w:val="0"/>
              <w:spacing w:line="360" w:lineRule="auto"/>
              <w:jc w:val="center"/>
              <w:rPr>
                <w:rFonts w:hint="eastAsia" w:ascii="仿宋" w:hAnsi="仿宋" w:eastAsia="仿宋" w:cs="仿宋"/>
                <w:color w:val="auto"/>
                <w:sz w:val="24"/>
                <w:highlight w:val="none"/>
              </w:rPr>
            </w:pPr>
          </w:p>
        </w:tc>
        <w:tc>
          <w:tcPr>
            <w:tcW w:w="5811" w:type="dxa"/>
            <w:tcBorders>
              <w:top w:val="single" w:color="auto" w:sz="6" w:space="0"/>
              <w:left w:val="single" w:color="auto" w:sz="6" w:space="0"/>
              <w:bottom w:val="single" w:color="auto" w:sz="6" w:space="0"/>
              <w:right w:val="single" w:color="auto" w:sz="6" w:space="0"/>
            </w:tcBorders>
            <w:noWrap w:val="0"/>
            <w:vAlign w:val="center"/>
          </w:tcPr>
          <w:p w14:paraId="7CC8942A">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投标截止时间前三年业绩及承担的主要工作情况，曾担任项目负责人的项目应列明细</w:t>
            </w:r>
          </w:p>
        </w:tc>
      </w:tr>
      <w:tr w14:paraId="5A758596">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1DF94D08">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5E98C009">
            <w:pPr>
              <w:autoSpaceDE w:val="0"/>
              <w:autoSpaceDN w:val="0"/>
              <w:spacing w:line="360" w:lineRule="auto"/>
              <w:jc w:val="center"/>
              <w:rPr>
                <w:rFonts w:hint="eastAsia" w:ascii="仿宋" w:hAnsi="仿宋" w:eastAsia="仿宋" w:cs="仿宋"/>
                <w:color w:val="auto"/>
                <w:sz w:val="24"/>
                <w:highlight w:val="none"/>
              </w:rPr>
            </w:pPr>
          </w:p>
        </w:tc>
        <w:tc>
          <w:tcPr>
            <w:tcW w:w="5811" w:type="dxa"/>
            <w:vMerge w:val="restart"/>
            <w:tcBorders>
              <w:top w:val="single" w:color="auto" w:sz="6" w:space="0"/>
              <w:left w:val="single" w:color="auto" w:sz="6" w:space="0"/>
              <w:bottom w:val="single" w:color="auto" w:sz="6" w:space="0"/>
              <w:right w:val="single" w:color="auto" w:sz="6" w:space="0"/>
            </w:tcBorders>
            <w:noWrap w:val="0"/>
            <w:vAlign w:val="center"/>
          </w:tcPr>
          <w:p w14:paraId="7D625344">
            <w:pPr>
              <w:autoSpaceDE w:val="0"/>
              <w:autoSpaceDN w:val="0"/>
              <w:spacing w:line="360" w:lineRule="auto"/>
              <w:jc w:val="center"/>
              <w:rPr>
                <w:rFonts w:hint="eastAsia" w:ascii="仿宋" w:hAnsi="仿宋" w:eastAsia="仿宋" w:cs="仿宋"/>
                <w:color w:val="auto"/>
                <w:sz w:val="24"/>
                <w:highlight w:val="none"/>
              </w:rPr>
            </w:pPr>
          </w:p>
        </w:tc>
      </w:tr>
      <w:tr w14:paraId="6EB7D39C">
        <w:tblPrEx>
          <w:tblCellMar>
            <w:top w:w="0" w:type="dxa"/>
            <w:left w:w="108" w:type="dxa"/>
            <w:bottom w:w="0" w:type="dxa"/>
            <w:right w:w="108" w:type="dxa"/>
          </w:tblCellMar>
        </w:tblPrEx>
        <w:trPr>
          <w:cantSplit/>
          <w:trHeight w:val="337"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3EDDB7F4">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7FB7C0DD">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7316C08A">
            <w:pPr>
              <w:autoSpaceDE w:val="0"/>
              <w:autoSpaceDN w:val="0"/>
              <w:spacing w:line="360" w:lineRule="auto"/>
              <w:jc w:val="center"/>
              <w:rPr>
                <w:rFonts w:hint="eastAsia" w:ascii="仿宋" w:hAnsi="仿宋" w:eastAsia="仿宋" w:cs="仿宋"/>
                <w:color w:val="auto"/>
                <w:sz w:val="24"/>
                <w:highlight w:val="none"/>
              </w:rPr>
            </w:pPr>
          </w:p>
        </w:tc>
      </w:tr>
      <w:tr w14:paraId="026E2CEF">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7A837154">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7FF9AC61">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222F5146">
            <w:pPr>
              <w:autoSpaceDE w:val="0"/>
              <w:autoSpaceDN w:val="0"/>
              <w:spacing w:line="360" w:lineRule="auto"/>
              <w:jc w:val="center"/>
              <w:rPr>
                <w:rFonts w:hint="eastAsia" w:ascii="仿宋" w:hAnsi="仿宋" w:eastAsia="仿宋" w:cs="仿宋"/>
                <w:color w:val="auto"/>
                <w:sz w:val="24"/>
                <w:highlight w:val="none"/>
              </w:rPr>
            </w:pPr>
          </w:p>
        </w:tc>
      </w:tr>
      <w:tr w14:paraId="33ACF1A8">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2B6797BE">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毕业时间</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7C6A62E1">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6A9A2040">
            <w:pPr>
              <w:autoSpaceDE w:val="0"/>
              <w:autoSpaceDN w:val="0"/>
              <w:spacing w:line="360" w:lineRule="auto"/>
              <w:jc w:val="center"/>
              <w:rPr>
                <w:rFonts w:hint="eastAsia" w:ascii="仿宋" w:hAnsi="仿宋" w:eastAsia="仿宋" w:cs="仿宋"/>
                <w:color w:val="auto"/>
                <w:sz w:val="24"/>
                <w:highlight w:val="none"/>
              </w:rPr>
            </w:pPr>
          </w:p>
        </w:tc>
      </w:tr>
      <w:tr w14:paraId="7532253B">
        <w:tblPrEx>
          <w:tblCellMar>
            <w:top w:w="0" w:type="dxa"/>
            <w:left w:w="108" w:type="dxa"/>
            <w:bottom w:w="0" w:type="dxa"/>
            <w:right w:w="108" w:type="dxa"/>
          </w:tblCellMar>
        </w:tblPrEx>
        <w:trPr>
          <w:cantSplit/>
          <w:trHeight w:val="422"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682E5F8E">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所学专业</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1F3E4CAC">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4EAB9875">
            <w:pPr>
              <w:autoSpaceDE w:val="0"/>
              <w:autoSpaceDN w:val="0"/>
              <w:spacing w:line="360" w:lineRule="auto"/>
              <w:jc w:val="center"/>
              <w:rPr>
                <w:rFonts w:hint="eastAsia" w:ascii="仿宋" w:hAnsi="仿宋" w:eastAsia="仿宋" w:cs="仿宋"/>
                <w:color w:val="auto"/>
                <w:sz w:val="24"/>
                <w:highlight w:val="none"/>
              </w:rPr>
            </w:pPr>
          </w:p>
        </w:tc>
      </w:tr>
      <w:tr w14:paraId="641A6B3F">
        <w:tblPrEx>
          <w:tblCellMar>
            <w:top w:w="0" w:type="dxa"/>
            <w:left w:w="108" w:type="dxa"/>
            <w:bottom w:w="0" w:type="dxa"/>
            <w:right w:w="108" w:type="dxa"/>
          </w:tblCellMar>
        </w:tblPrEx>
        <w:trPr>
          <w:cantSplit/>
          <w:trHeight w:val="416"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41F19EE1">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1595BE83">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28A26616">
            <w:pPr>
              <w:autoSpaceDE w:val="0"/>
              <w:autoSpaceDN w:val="0"/>
              <w:spacing w:line="360" w:lineRule="auto"/>
              <w:jc w:val="center"/>
              <w:rPr>
                <w:rFonts w:hint="eastAsia" w:ascii="仿宋" w:hAnsi="仿宋" w:eastAsia="仿宋" w:cs="仿宋"/>
                <w:color w:val="auto"/>
                <w:sz w:val="24"/>
                <w:highlight w:val="none"/>
              </w:rPr>
            </w:pPr>
          </w:p>
        </w:tc>
      </w:tr>
      <w:tr w14:paraId="1D682687">
        <w:tblPrEx>
          <w:tblCellMar>
            <w:top w:w="0" w:type="dxa"/>
            <w:left w:w="108" w:type="dxa"/>
            <w:bottom w:w="0" w:type="dxa"/>
            <w:right w:w="108" w:type="dxa"/>
          </w:tblCellMar>
        </w:tblPrEx>
        <w:trPr>
          <w:cantSplit/>
          <w:trHeight w:val="356"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7EF01A4F">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相关资质证书</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5B09CE91">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65CD8997">
            <w:pPr>
              <w:autoSpaceDE w:val="0"/>
              <w:autoSpaceDN w:val="0"/>
              <w:spacing w:line="360" w:lineRule="auto"/>
              <w:jc w:val="center"/>
              <w:rPr>
                <w:rFonts w:hint="eastAsia" w:ascii="仿宋" w:hAnsi="仿宋" w:eastAsia="仿宋" w:cs="仿宋"/>
                <w:color w:val="auto"/>
                <w:sz w:val="24"/>
                <w:highlight w:val="none"/>
              </w:rPr>
            </w:pPr>
          </w:p>
        </w:tc>
      </w:tr>
      <w:tr w14:paraId="32178EE7">
        <w:tblPrEx>
          <w:tblCellMar>
            <w:top w:w="0" w:type="dxa"/>
            <w:left w:w="108" w:type="dxa"/>
            <w:bottom w:w="0" w:type="dxa"/>
            <w:right w:w="108" w:type="dxa"/>
          </w:tblCellMar>
        </w:tblPrEx>
        <w:trPr>
          <w:cantSplit/>
          <w:trHeight w:val="177"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4C1F394D">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其他资质情况</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7A9E9467">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5000D949">
            <w:pPr>
              <w:autoSpaceDE w:val="0"/>
              <w:autoSpaceDN w:val="0"/>
              <w:spacing w:line="360" w:lineRule="auto"/>
              <w:jc w:val="center"/>
              <w:rPr>
                <w:rFonts w:hint="eastAsia" w:ascii="仿宋" w:hAnsi="仿宋" w:eastAsia="仿宋" w:cs="仿宋"/>
                <w:color w:val="auto"/>
                <w:sz w:val="24"/>
                <w:highlight w:val="none"/>
              </w:rPr>
            </w:pPr>
          </w:p>
        </w:tc>
      </w:tr>
      <w:tr w14:paraId="34455727">
        <w:tblPrEx>
          <w:tblCellMar>
            <w:top w:w="0" w:type="dxa"/>
            <w:left w:w="108" w:type="dxa"/>
            <w:bottom w:w="0" w:type="dxa"/>
            <w:right w:w="108" w:type="dxa"/>
          </w:tblCellMar>
        </w:tblPrEx>
        <w:trPr>
          <w:cantSplit/>
          <w:trHeight w:val="169" w:hRule="atLeast"/>
        </w:trPr>
        <w:tc>
          <w:tcPr>
            <w:tcW w:w="1953" w:type="dxa"/>
            <w:tcBorders>
              <w:top w:val="single" w:color="auto" w:sz="6" w:space="0"/>
              <w:left w:val="single" w:color="auto" w:sz="6" w:space="0"/>
              <w:bottom w:val="single" w:color="auto" w:sz="6" w:space="0"/>
              <w:right w:val="single" w:color="auto" w:sz="6" w:space="0"/>
            </w:tcBorders>
            <w:noWrap w:val="0"/>
            <w:vAlign w:val="center"/>
          </w:tcPr>
          <w:p w14:paraId="60B588E9">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1308" w:type="dxa"/>
            <w:tcBorders>
              <w:top w:val="single" w:color="auto" w:sz="6" w:space="0"/>
              <w:left w:val="single" w:color="auto" w:sz="6" w:space="0"/>
              <w:bottom w:val="single" w:color="auto" w:sz="6" w:space="0"/>
              <w:right w:val="single" w:color="auto" w:sz="6" w:space="0"/>
            </w:tcBorders>
            <w:noWrap w:val="0"/>
            <w:vAlign w:val="top"/>
          </w:tcPr>
          <w:p w14:paraId="76B7D85C">
            <w:pPr>
              <w:autoSpaceDE w:val="0"/>
              <w:autoSpaceDN w:val="0"/>
              <w:spacing w:line="360" w:lineRule="auto"/>
              <w:jc w:val="center"/>
              <w:rPr>
                <w:rFonts w:hint="eastAsia" w:ascii="仿宋" w:hAnsi="仿宋" w:eastAsia="仿宋" w:cs="仿宋"/>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0"/>
            <w:vAlign w:val="center"/>
          </w:tcPr>
          <w:p w14:paraId="28DD548D">
            <w:pPr>
              <w:autoSpaceDE w:val="0"/>
              <w:autoSpaceDN w:val="0"/>
              <w:spacing w:line="360" w:lineRule="auto"/>
              <w:jc w:val="center"/>
              <w:rPr>
                <w:rFonts w:hint="eastAsia" w:ascii="仿宋" w:hAnsi="仿宋" w:eastAsia="仿宋" w:cs="仿宋"/>
                <w:color w:val="auto"/>
                <w:sz w:val="24"/>
                <w:highlight w:val="none"/>
              </w:rPr>
            </w:pPr>
          </w:p>
        </w:tc>
      </w:tr>
    </w:tbl>
    <w:p w14:paraId="56D3FA72">
      <w:pPr>
        <w:spacing w:line="360" w:lineRule="auto"/>
        <w:ind w:right="420"/>
        <w:rPr>
          <w:rFonts w:hint="eastAsia" w:ascii="仿宋" w:hAnsi="仿宋" w:eastAsia="仿宋" w:cs="仿宋"/>
          <w:color w:val="auto"/>
          <w:sz w:val="24"/>
          <w:highlight w:val="none"/>
        </w:rPr>
      </w:pPr>
    </w:p>
    <w:p w14:paraId="66FE9400">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w:t>
      </w:r>
    </w:p>
    <w:p w14:paraId="39E6D849">
      <w:pPr>
        <w:snapToGrid w:val="0"/>
        <w:spacing w:before="50" w:after="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22D026E9">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br w:type="page"/>
      </w:r>
      <w:r>
        <w:rPr>
          <w:rFonts w:hint="eastAsia" w:ascii="仿宋" w:hAnsi="仿宋" w:eastAsia="仿宋" w:cs="仿宋"/>
          <w:b/>
          <w:bCs/>
          <w:color w:val="auto"/>
          <w:sz w:val="32"/>
          <w:szCs w:val="32"/>
          <w:highlight w:val="none"/>
        </w:rPr>
        <w:t>七、项目组人员名单</w:t>
      </w:r>
    </w:p>
    <w:p w14:paraId="7039A8DC">
      <w:pPr>
        <w:spacing w:line="360" w:lineRule="auto"/>
        <w:rPr>
          <w:rFonts w:hint="eastAsia" w:ascii="仿宋" w:hAnsi="仿宋" w:eastAsia="仿宋" w:cs="仿宋"/>
          <w:color w:val="auto"/>
          <w:sz w:val="24"/>
          <w:highlight w:val="none"/>
        </w:rPr>
      </w:pPr>
    </w:p>
    <w:tbl>
      <w:tblPr>
        <w:tblStyle w:val="60"/>
        <w:tblW w:w="9072" w:type="dxa"/>
        <w:jc w:val="center"/>
        <w:tblLayout w:type="fixed"/>
        <w:tblCellMar>
          <w:top w:w="0" w:type="dxa"/>
          <w:left w:w="108" w:type="dxa"/>
          <w:bottom w:w="0" w:type="dxa"/>
          <w:right w:w="108" w:type="dxa"/>
        </w:tblCellMar>
      </w:tblPr>
      <w:tblGrid>
        <w:gridCol w:w="709"/>
        <w:gridCol w:w="851"/>
        <w:gridCol w:w="708"/>
        <w:gridCol w:w="709"/>
        <w:gridCol w:w="709"/>
        <w:gridCol w:w="1134"/>
        <w:gridCol w:w="709"/>
        <w:gridCol w:w="3543"/>
      </w:tblGrid>
      <w:tr w14:paraId="1E42612A">
        <w:tblPrEx>
          <w:tblCellMar>
            <w:top w:w="0" w:type="dxa"/>
            <w:left w:w="108" w:type="dxa"/>
            <w:bottom w:w="0" w:type="dxa"/>
            <w:right w:w="108" w:type="dxa"/>
          </w:tblCellMar>
        </w:tblPrEx>
        <w:trPr>
          <w:jc w:val="center"/>
        </w:trPr>
        <w:tc>
          <w:tcPr>
            <w:tcW w:w="709" w:type="dxa"/>
            <w:tcBorders>
              <w:top w:val="single" w:color="auto" w:sz="6" w:space="0"/>
              <w:left w:val="single" w:color="auto" w:sz="6" w:space="0"/>
              <w:bottom w:val="single" w:color="auto" w:sz="6" w:space="0"/>
              <w:right w:val="single" w:color="auto" w:sz="6" w:space="0"/>
            </w:tcBorders>
            <w:noWrap w:val="0"/>
            <w:vAlign w:val="center"/>
          </w:tcPr>
          <w:p w14:paraId="3D65C8CE">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51" w:type="dxa"/>
            <w:tcBorders>
              <w:top w:val="single" w:color="auto" w:sz="6" w:space="0"/>
              <w:left w:val="single" w:color="auto" w:sz="6" w:space="0"/>
              <w:bottom w:val="single" w:color="auto" w:sz="6" w:space="0"/>
              <w:right w:val="single" w:color="auto" w:sz="6" w:space="0"/>
            </w:tcBorders>
            <w:noWrap w:val="0"/>
            <w:vAlign w:val="center"/>
          </w:tcPr>
          <w:p w14:paraId="3BBA61F7">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708" w:type="dxa"/>
            <w:tcBorders>
              <w:top w:val="single" w:color="auto" w:sz="6" w:space="0"/>
              <w:left w:val="single" w:color="auto" w:sz="6" w:space="0"/>
              <w:bottom w:val="single" w:color="auto" w:sz="6" w:space="0"/>
              <w:right w:val="single" w:color="auto" w:sz="6" w:space="0"/>
            </w:tcBorders>
            <w:noWrap w:val="0"/>
            <w:vAlign w:val="center"/>
          </w:tcPr>
          <w:p w14:paraId="72F77DF8">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709" w:type="dxa"/>
            <w:tcBorders>
              <w:top w:val="single" w:color="auto" w:sz="6" w:space="0"/>
              <w:left w:val="single" w:color="auto" w:sz="6" w:space="0"/>
              <w:bottom w:val="single" w:color="auto" w:sz="6" w:space="0"/>
              <w:right w:val="single" w:color="auto" w:sz="6" w:space="0"/>
            </w:tcBorders>
            <w:noWrap w:val="0"/>
            <w:vAlign w:val="center"/>
          </w:tcPr>
          <w:p w14:paraId="65F25DC2">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709" w:type="dxa"/>
            <w:tcBorders>
              <w:top w:val="single" w:color="auto" w:sz="6" w:space="0"/>
              <w:left w:val="single" w:color="auto" w:sz="6" w:space="0"/>
              <w:bottom w:val="single" w:color="auto" w:sz="6" w:space="0"/>
              <w:right w:val="single" w:color="auto" w:sz="6" w:space="0"/>
            </w:tcBorders>
            <w:noWrap w:val="0"/>
            <w:vAlign w:val="center"/>
          </w:tcPr>
          <w:p w14:paraId="3D434724">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07DB97D3">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709" w:type="dxa"/>
            <w:tcBorders>
              <w:top w:val="single" w:color="auto" w:sz="6" w:space="0"/>
              <w:left w:val="single" w:color="auto" w:sz="6" w:space="0"/>
              <w:bottom w:val="single" w:color="auto" w:sz="6" w:space="0"/>
              <w:right w:val="single" w:color="auto" w:sz="6" w:space="0"/>
            </w:tcBorders>
            <w:noWrap w:val="0"/>
            <w:vAlign w:val="center"/>
          </w:tcPr>
          <w:p w14:paraId="0417D12D">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3543" w:type="dxa"/>
            <w:tcBorders>
              <w:top w:val="single" w:color="auto" w:sz="6" w:space="0"/>
              <w:left w:val="single" w:color="auto" w:sz="6" w:space="0"/>
              <w:bottom w:val="single" w:color="auto" w:sz="6" w:space="0"/>
              <w:right w:val="single" w:color="auto" w:sz="6" w:space="0"/>
            </w:tcBorders>
            <w:noWrap w:val="0"/>
            <w:vAlign w:val="center"/>
          </w:tcPr>
          <w:p w14:paraId="7BC17AF6">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本项目中的工作内容</w:t>
            </w:r>
          </w:p>
        </w:tc>
      </w:tr>
      <w:tr w14:paraId="3A2D278B">
        <w:tblPrEx>
          <w:tblCellMar>
            <w:top w:w="0" w:type="dxa"/>
            <w:left w:w="108" w:type="dxa"/>
            <w:bottom w:w="0" w:type="dxa"/>
            <w:right w:w="108" w:type="dxa"/>
          </w:tblCellMar>
        </w:tblPrEx>
        <w:trPr>
          <w:trHeight w:val="479" w:hRule="atLeast"/>
          <w:jc w:val="center"/>
        </w:trPr>
        <w:tc>
          <w:tcPr>
            <w:tcW w:w="709" w:type="dxa"/>
            <w:tcBorders>
              <w:top w:val="single" w:color="auto" w:sz="6" w:space="0"/>
              <w:left w:val="single" w:color="auto" w:sz="6" w:space="0"/>
              <w:bottom w:val="single" w:color="auto" w:sz="6" w:space="0"/>
              <w:right w:val="single" w:color="auto" w:sz="6" w:space="0"/>
            </w:tcBorders>
            <w:noWrap w:val="0"/>
            <w:vAlign w:val="top"/>
          </w:tcPr>
          <w:p w14:paraId="007A4F85">
            <w:pPr>
              <w:autoSpaceDE w:val="0"/>
              <w:autoSpaceDN w:val="0"/>
              <w:spacing w:line="360" w:lineRule="auto"/>
              <w:jc w:val="center"/>
              <w:rPr>
                <w:rFonts w:hint="eastAsia" w:ascii="仿宋" w:hAnsi="仿宋" w:eastAsia="仿宋" w:cs="仿宋"/>
                <w:color w:val="auto"/>
                <w:sz w:val="24"/>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7600D70">
            <w:pPr>
              <w:autoSpaceDE w:val="0"/>
              <w:autoSpaceDN w:val="0"/>
              <w:spacing w:line="360" w:lineRule="auto"/>
              <w:jc w:val="center"/>
              <w:rPr>
                <w:rFonts w:hint="eastAsia" w:ascii="仿宋" w:hAnsi="仿宋" w:eastAsia="仿宋" w:cs="仿宋"/>
                <w:color w:val="auto"/>
                <w:sz w:val="24"/>
                <w:highlight w:val="none"/>
              </w:rPr>
            </w:pPr>
          </w:p>
        </w:tc>
        <w:tc>
          <w:tcPr>
            <w:tcW w:w="708" w:type="dxa"/>
            <w:tcBorders>
              <w:top w:val="single" w:color="auto" w:sz="6" w:space="0"/>
              <w:left w:val="single" w:color="auto" w:sz="6" w:space="0"/>
              <w:bottom w:val="single" w:color="auto" w:sz="6" w:space="0"/>
              <w:right w:val="single" w:color="auto" w:sz="6" w:space="0"/>
            </w:tcBorders>
            <w:noWrap w:val="0"/>
            <w:vAlign w:val="top"/>
          </w:tcPr>
          <w:p w14:paraId="640BF377">
            <w:pPr>
              <w:autoSpaceDE w:val="0"/>
              <w:autoSpaceDN w:val="0"/>
              <w:spacing w:line="360" w:lineRule="auto"/>
              <w:rPr>
                <w:rFonts w:hint="eastAsia"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top"/>
          </w:tcPr>
          <w:p w14:paraId="2917F049">
            <w:pPr>
              <w:autoSpaceDE w:val="0"/>
              <w:autoSpaceDN w:val="0"/>
              <w:spacing w:line="360" w:lineRule="auto"/>
              <w:rPr>
                <w:rFonts w:hint="eastAsia"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top"/>
          </w:tcPr>
          <w:p w14:paraId="2E776952">
            <w:pPr>
              <w:autoSpaceDE w:val="0"/>
              <w:autoSpaceDN w:val="0"/>
              <w:spacing w:line="360" w:lineRule="auto"/>
              <w:rPr>
                <w:rFonts w:hint="eastAsia" w:ascii="仿宋" w:hAnsi="仿宋" w:eastAsia="仿宋" w:cs="仿宋"/>
                <w:color w:val="auto"/>
                <w:sz w:val="24"/>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top"/>
          </w:tcPr>
          <w:p w14:paraId="23FF0662">
            <w:pPr>
              <w:autoSpaceDE w:val="0"/>
              <w:autoSpaceDN w:val="0"/>
              <w:spacing w:line="360" w:lineRule="auto"/>
              <w:rPr>
                <w:rFonts w:hint="eastAsia"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top"/>
          </w:tcPr>
          <w:p w14:paraId="766673BA">
            <w:pPr>
              <w:autoSpaceDE w:val="0"/>
              <w:autoSpaceDN w:val="0"/>
              <w:spacing w:line="360" w:lineRule="auto"/>
              <w:rPr>
                <w:rFonts w:hint="eastAsia" w:ascii="仿宋" w:hAnsi="仿宋" w:eastAsia="仿宋" w:cs="仿宋"/>
                <w:color w:val="auto"/>
                <w:sz w:val="24"/>
                <w:highlight w:val="none"/>
              </w:rPr>
            </w:pPr>
          </w:p>
        </w:tc>
        <w:tc>
          <w:tcPr>
            <w:tcW w:w="3543" w:type="dxa"/>
            <w:tcBorders>
              <w:top w:val="single" w:color="auto" w:sz="6" w:space="0"/>
              <w:left w:val="single" w:color="auto" w:sz="6" w:space="0"/>
              <w:bottom w:val="single" w:color="auto" w:sz="6" w:space="0"/>
              <w:right w:val="single" w:color="auto" w:sz="6" w:space="0"/>
            </w:tcBorders>
            <w:noWrap w:val="0"/>
            <w:vAlign w:val="top"/>
          </w:tcPr>
          <w:p w14:paraId="12B35975">
            <w:pPr>
              <w:autoSpaceDE w:val="0"/>
              <w:autoSpaceDN w:val="0"/>
              <w:spacing w:line="360" w:lineRule="auto"/>
              <w:rPr>
                <w:rFonts w:hint="eastAsia" w:ascii="仿宋" w:hAnsi="仿宋" w:eastAsia="仿宋" w:cs="仿宋"/>
                <w:color w:val="auto"/>
                <w:sz w:val="24"/>
                <w:highlight w:val="none"/>
              </w:rPr>
            </w:pPr>
          </w:p>
        </w:tc>
      </w:tr>
      <w:tr w14:paraId="02CD7804">
        <w:tblPrEx>
          <w:tblCellMar>
            <w:top w:w="0" w:type="dxa"/>
            <w:left w:w="108" w:type="dxa"/>
            <w:bottom w:w="0" w:type="dxa"/>
            <w:right w:w="108" w:type="dxa"/>
          </w:tblCellMar>
        </w:tblPrEx>
        <w:trPr>
          <w:trHeight w:val="473" w:hRule="atLeast"/>
          <w:jc w:val="center"/>
        </w:trPr>
        <w:tc>
          <w:tcPr>
            <w:tcW w:w="709" w:type="dxa"/>
            <w:tcBorders>
              <w:top w:val="single" w:color="auto" w:sz="6" w:space="0"/>
              <w:left w:val="single" w:color="auto" w:sz="6" w:space="0"/>
              <w:bottom w:val="single" w:color="auto" w:sz="6" w:space="0"/>
              <w:right w:val="single" w:color="auto" w:sz="6" w:space="0"/>
            </w:tcBorders>
            <w:noWrap w:val="0"/>
            <w:vAlign w:val="top"/>
          </w:tcPr>
          <w:p w14:paraId="7CCE316A">
            <w:pPr>
              <w:autoSpaceDE w:val="0"/>
              <w:autoSpaceDN w:val="0"/>
              <w:spacing w:line="360" w:lineRule="auto"/>
              <w:jc w:val="center"/>
              <w:rPr>
                <w:rFonts w:hint="eastAsia" w:ascii="仿宋" w:hAnsi="仿宋" w:eastAsia="仿宋" w:cs="仿宋"/>
                <w:color w:val="auto"/>
                <w:sz w:val="24"/>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0C43E3D">
            <w:pPr>
              <w:autoSpaceDE w:val="0"/>
              <w:autoSpaceDN w:val="0"/>
              <w:spacing w:line="360" w:lineRule="auto"/>
              <w:jc w:val="center"/>
              <w:rPr>
                <w:rFonts w:hint="eastAsia" w:ascii="仿宋" w:hAnsi="仿宋" w:eastAsia="仿宋" w:cs="仿宋"/>
                <w:color w:val="auto"/>
                <w:sz w:val="24"/>
                <w:highlight w:val="none"/>
              </w:rPr>
            </w:pPr>
          </w:p>
        </w:tc>
        <w:tc>
          <w:tcPr>
            <w:tcW w:w="708" w:type="dxa"/>
            <w:tcBorders>
              <w:top w:val="single" w:color="auto" w:sz="6" w:space="0"/>
              <w:left w:val="single" w:color="auto" w:sz="6" w:space="0"/>
              <w:bottom w:val="single" w:color="auto" w:sz="6" w:space="0"/>
              <w:right w:val="single" w:color="auto" w:sz="6" w:space="0"/>
            </w:tcBorders>
            <w:noWrap w:val="0"/>
            <w:vAlign w:val="top"/>
          </w:tcPr>
          <w:p w14:paraId="33E8E839">
            <w:pPr>
              <w:autoSpaceDE w:val="0"/>
              <w:autoSpaceDN w:val="0"/>
              <w:spacing w:line="360" w:lineRule="auto"/>
              <w:rPr>
                <w:rFonts w:hint="eastAsia"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top"/>
          </w:tcPr>
          <w:p w14:paraId="7A004485">
            <w:pPr>
              <w:autoSpaceDE w:val="0"/>
              <w:autoSpaceDN w:val="0"/>
              <w:spacing w:line="360" w:lineRule="auto"/>
              <w:rPr>
                <w:rFonts w:hint="eastAsia"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top"/>
          </w:tcPr>
          <w:p w14:paraId="504ECFCB">
            <w:pPr>
              <w:autoSpaceDE w:val="0"/>
              <w:autoSpaceDN w:val="0"/>
              <w:spacing w:line="360" w:lineRule="auto"/>
              <w:rPr>
                <w:rFonts w:hint="eastAsia" w:ascii="仿宋" w:hAnsi="仿宋" w:eastAsia="仿宋" w:cs="仿宋"/>
                <w:color w:val="auto"/>
                <w:sz w:val="24"/>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top"/>
          </w:tcPr>
          <w:p w14:paraId="278F8116">
            <w:pPr>
              <w:autoSpaceDE w:val="0"/>
              <w:autoSpaceDN w:val="0"/>
              <w:spacing w:line="360" w:lineRule="auto"/>
              <w:rPr>
                <w:rFonts w:hint="eastAsia" w:ascii="仿宋" w:hAnsi="仿宋" w:eastAsia="仿宋" w:cs="仿宋"/>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val="0"/>
            <w:vAlign w:val="top"/>
          </w:tcPr>
          <w:p w14:paraId="4821293D">
            <w:pPr>
              <w:autoSpaceDE w:val="0"/>
              <w:autoSpaceDN w:val="0"/>
              <w:spacing w:line="360" w:lineRule="auto"/>
              <w:rPr>
                <w:rFonts w:hint="eastAsia" w:ascii="仿宋" w:hAnsi="仿宋" w:eastAsia="仿宋" w:cs="仿宋"/>
                <w:color w:val="auto"/>
                <w:sz w:val="24"/>
                <w:highlight w:val="none"/>
              </w:rPr>
            </w:pPr>
          </w:p>
        </w:tc>
        <w:tc>
          <w:tcPr>
            <w:tcW w:w="3543" w:type="dxa"/>
            <w:tcBorders>
              <w:top w:val="single" w:color="auto" w:sz="6" w:space="0"/>
              <w:left w:val="single" w:color="auto" w:sz="6" w:space="0"/>
              <w:bottom w:val="single" w:color="auto" w:sz="6" w:space="0"/>
              <w:right w:val="single" w:color="auto" w:sz="6" w:space="0"/>
            </w:tcBorders>
            <w:noWrap w:val="0"/>
            <w:vAlign w:val="top"/>
          </w:tcPr>
          <w:p w14:paraId="2DCDA599">
            <w:pPr>
              <w:autoSpaceDE w:val="0"/>
              <w:autoSpaceDN w:val="0"/>
              <w:spacing w:line="360" w:lineRule="auto"/>
              <w:rPr>
                <w:rFonts w:hint="eastAsia" w:ascii="仿宋" w:hAnsi="仿宋" w:eastAsia="仿宋" w:cs="仿宋"/>
                <w:color w:val="auto"/>
                <w:sz w:val="24"/>
                <w:highlight w:val="none"/>
              </w:rPr>
            </w:pPr>
          </w:p>
        </w:tc>
      </w:tr>
    </w:tbl>
    <w:p w14:paraId="0CF3C2CB">
      <w:pPr>
        <w:autoSpaceDE w:val="0"/>
        <w:autoSpaceDN w:val="0"/>
        <w:spacing w:line="360" w:lineRule="auto"/>
        <w:ind w:firstLine="4578" w:firstLineChars="1900"/>
        <w:rPr>
          <w:rFonts w:hint="eastAsia" w:ascii="仿宋" w:hAnsi="仿宋" w:eastAsia="仿宋" w:cs="仿宋"/>
          <w:b/>
          <w:color w:val="auto"/>
          <w:sz w:val="24"/>
          <w:highlight w:val="none"/>
        </w:rPr>
      </w:pPr>
    </w:p>
    <w:p w14:paraId="2F6992A4">
      <w:pPr>
        <w:autoSpaceDE w:val="0"/>
        <w:autoSpaceDN w:val="0"/>
        <w:spacing w:line="360" w:lineRule="auto"/>
        <w:ind w:firstLine="4560" w:firstLineChars="19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投标人名称（</w:t>
      </w:r>
      <w:r>
        <w:rPr>
          <w:rFonts w:hint="eastAsia" w:ascii="仿宋" w:hAnsi="仿宋" w:eastAsia="仿宋" w:cs="仿宋"/>
          <w:color w:val="auto"/>
          <w:kern w:val="0"/>
          <w:sz w:val="24"/>
          <w:highlight w:val="none"/>
          <w:lang w:val="zh-CN"/>
        </w:rPr>
        <w:t>电子签名</w:t>
      </w:r>
      <w:r>
        <w:rPr>
          <w:rFonts w:hint="eastAsia" w:ascii="仿宋" w:hAnsi="仿宋" w:eastAsia="仿宋" w:cs="仿宋"/>
          <w:color w:val="auto"/>
          <w:kern w:val="0"/>
          <w:sz w:val="24"/>
          <w:highlight w:val="none"/>
        </w:rPr>
        <w:t>）：</w:t>
      </w:r>
    </w:p>
    <w:p w14:paraId="53249573">
      <w:pPr>
        <w:snapToGrid w:val="0"/>
        <w:spacing w:before="50" w:after="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日期：  年  月   日</w:t>
      </w:r>
    </w:p>
    <w:p w14:paraId="5B68FCB1">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r>
        <w:rPr>
          <w:rFonts w:hint="eastAsia" w:ascii="仿宋" w:hAnsi="仿宋" w:eastAsia="仿宋" w:cs="仿宋"/>
          <w:b/>
          <w:bCs/>
          <w:color w:val="auto"/>
          <w:sz w:val="32"/>
          <w:szCs w:val="32"/>
          <w:highlight w:val="none"/>
        </w:rPr>
        <w:t>八、售后服务方案（如有）</w:t>
      </w:r>
    </w:p>
    <w:p w14:paraId="174CC935">
      <w:pPr>
        <w:autoSpaceDE w:val="0"/>
        <w:autoSpaceDN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（由投标人根据采购需求及征集文件要求编制）</w:t>
      </w:r>
    </w:p>
    <w:p w14:paraId="69537933">
      <w:pPr>
        <w:spacing w:line="360" w:lineRule="auto"/>
        <w:rPr>
          <w:rFonts w:hint="eastAsia" w:ascii="仿宋" w:hAnsi="仿宋" w:eastAsia="仿宋" w:cs="仿宋"/>
          <w:color w:val="auto"/>
          <w:sz w:val="24"/>
          <w:highlight w:val="none"/>
        </w:rPr>
      </w:pPr>
    </w:p>
    <w:p w14:paraId="33B409BC">
      <w:pPr>
        <w:spacing w:line="360" w:lineRule="auto"/>
        <w:rPr>
          <w:rFonts w:hint="eastAsia" w:ascii="仿宋" w:hAnsi="仿宋" w:eastAsia="仿宋" w:cs="仿宋"/>
          <w:b/>
          <w:bCs/>
          <w:color w:val="auto"/>
          <w:sz w:val="32"/>
          <w:szCs w:val="32"/>
          <w:highlight w:val="none"/>
        </w:rPr>
      </w:pPr>
    </w:p>
    <w:p w14:paraId="2475A038">
      <w:pPr>
        <w:spacing w:line="360" w:lineRule="auto"/>
        <w:jc w:val="center"/>
        <w:rPr>
          <w:rFonts w:hint="eastAsia" w:ascii="仿宋" w:hAnsi="仿宋" w:eastAsia="仿宋" w:cs="仿宋"/>
          <w:b/>
          <w:bCs/>
          <w:color w:val="auto"/>
          <w:sz w:val="32"/>
          <w:szCs w:val="32"/>
          <w:highlight w:val="none"/>
        </w:rPr>
      </w:pPr>
    </w:p>
    <w:p w14:paraId="3D96F930">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rPr>
        <w:t>九、</w:t>
      </w:r>
      <w:r>
        <w:rPr>
          <w:rFonts w:hint="eastAsia" w:ascii="仿宋" w:hAnsi="仿宋" w:eastAsia="仿宋" w:cs="仿宋"/>
          <w:b/>
          <w:color w:val="auto"/>
          <w:kern w:val="0"/>
          <w:sz w:val="32"/>
          <w:szCs w:val="32"/>
          <w:highlight w:val="none"/>
          <w:lang w:val="zh-CN"/>
        </w:rPr>
        <w:t>优惠条件及特殊承诺（如有）</w:t>
      </w:r>
    </w:p>
    <w:p w14:paraId="017E9A0F">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（由投标人根据采购需求及征集文件要求编制）</w:t>
      </w:r>
    </w:p>
    <w:p w14:paraId="1678AC99">
      <w:pPr>
        <w:autoSpaceDE w:val="0"/>
        <w:autoSpaceDN w:val="0"/>
        <w:spacing w:line="360" w:lineRule="auto"/>
        <w:ind w:firstLine="120"/>
        <w:rPr>
          <w:rFonts w:hint="eastAsia" w:ascii="仿宋" w:hAnsi="仿宋" w:eastAsia="仿宋" w:cs="仿宋"/>
          <w:color w:val="auto"/>
          <w:kern w:val="0"/>
          <w:sz w:val="24"/>
          <w:highlight w:val="none"/>
        </w:rPr>
      </w:pPr>
    </w:p>
    <w:p w14:paraId="4C6C097D">
      <w:pPr>
        <w:autoSpaceDE w:val="0"/>
        <w:autoSpaceDN w:val="0"/>
        <w:spacing w:line="360" w:lineRule="auto"/>
        <w:ind w:firstLine="120"/>
        <w:rPr>
          <w:rFonts w:hint="eastAsia" w:ascii="仿宋" w:hAnsi="仿宋" w:eastAsia="仿宋" w:cs="仿宋"/>
          <w:color w:val="auto"/>
          <w:sz w:val="24"/>
          <w:highlight w:val="none"/>
        </w:rPr>
      </w:pPr>
    </w:p>
    <w:p w14:paraId="7531FC47">
      <w:pPr>
        <w:spacing w:line="360" w:lineRule="auto"/>
        <w:jc w:val="center"/>
        <w:rPr>
          <w:rFonts w:hint="eastAsia" w:ascii="仿宋" w:hAnsi="仿宋" w:eastAsia="仿宋" w:cs="仿宋"/>
          <w:b/>
          <w:bCs/>
          <w:color w:val="auto"/>
          <w:sz w:val="32"/>
          <w:szCs w:val="32"/>
          <w:highlight w:val="none"/>
        </w:rPr>
      </w:pPr>
    </w:p>
    <w:p w14:paraId="1F7C9D11">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十、投标人认为需要的其他商务技术文件或说明</w:t>
      </w:r>
    </w:p>
    <w:p w14:paraId="2627A61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（由投标人根据采购需求及征集文件要求编制）</w:t>
      </w:r>
    </w:p>
    <w:p w14:paraId="0A008B44">
      <w:pPr>
        <w:spacing w:line="360" w:lineRule="auto"/>
        <w:jc w:val="center"/>
        <w:rPr>
          <w:rFonts w:hint="eastAsia" w:ascii="仿宋" w:hAnsi="仿宋" w:eastAsia="仿宋" w:cs="仿宋"/>
          <w:color w:val="auto"/>
          <w:sz w:val="24"/>
          <w:highlight w:val="none"/>
        </w:rPr>
      </w:pPr>
    </w:p>
    <w:p w14:paraId="7158E398">
      <w:pPr>
        <w:spacing w:line="360" w:lineRule="auto"/>
        <w:rPr>
          <w:rFonts w:hint="eastAsia" w:ascii="仿宋" w:hAnsi="仿宋" w:eastAsia="仿宋" w:cs="仿宋"/>
          <w:b/>
          <w:bCs/>
          <w:color w:val="auto"/>
          <w:sz w:val="30"/>
          <w:szCs w:val="30"/>
          <w:highlight w:val="none"/>
        </w:rPr>
      </w:pPr>
    </w:p>
    <w:p w14:paraId="43019EC6">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23203723">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7057A7FE">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60DBDD4A">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75D12DA7">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55A074FC">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03203007">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40E40682">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6C77CF47">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734E8E7B">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3AB8F263">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02717FAE">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17A73E5C">
      <w:pPr>
        <w:pStyle w:val="475"/>
        <w:keepNext w:val="0"/>
        <w:pageBreakBefore w:val="0"/>
        <w:tabs>
          <w:tab w:val="clear" w:pos="720"/>
        </w:tabs>
        <w:snapToGrid w:val="0"/>
        <w:jc w:val="both"/>
        <w:outlineLvl w:val="9"/>
        <w:rPr>
          <w:rFonts w:hint="eastAsia" w:ascii="仿宋" w:hAnsi="仿宋" w:eastAsia="仿宋" w:cs="仿宋"/>
          <w:b w:val="0"/>
          <w:color w:val="auto"/>
          <w:sz w:val="24"/>
          <w:highlight w:val="none"/>
        </w:rPr>
      </w:pPr>
    </w:p>
    <w:p w14:paraId="2AD42DC9">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r>
        <w:rPr>
          <w:rFonts w:hint="eastAsia" w:ascii="仿宋" w:hAnsi="仿宋" w:eastAsia="仿宋" w:cs="仿宋"/>
          <w:b/>
          <w:color w:val="auto"/>
          <w:kern w:val="0"/>
          <w:sz w:val="36"/>
          <w:szCs w:val="36"/>
          <w:highlight w:val="none"/>
        </w:rPr>
        <w:t>报价文件部分</w:t>
      </w:r>
    </w:p>
    <w:p w14:paraId="0F5BA91E">
      <w:pPr>
        <w:spacing w:line="360" w:lineRule="auto"/>
        <w:jc w:val="center"/>
        <w:outlineLvl w:val="0"/>
        <w:rPr>
          <w:rFonts w:hint="eastAsia" w:ascii="仿宋" w:hAnsi="仿宋" w:eastAsia="仿宋" w:cs="仿宋"/>
          <w:b/>
          <w:color w:val="auto"/>
          <w:kern w:val="0"/>
          <w:sz w:val="24"/>
          <w:highlight w:val="none"/>
        </w:rPr>
      </w:pPr>
    </w:p>
    <w:p w14:paraId="41D2F19C">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F84E251">
      <w:pPr>
        <w:numPr>
          <w:ilvl w:val="0"/>
          <w:numId w:val="9"/>
        </w:numPr>
        <w:spacing w:line="360" w:lineRule="auto"/>
        <w:outlineLvl w:val="0"/>
        <w:rPr>
          <w:rFonts w:hint="eastAsia" w:ascii="仿宋" w:hAnsi="仿宋" w:eastAsia="仿宋" w:cs="仿宋"/>
          <w:color w:val="auto"/>
          <w:kern w:val="0"/>
          <w:sz w:val="24"/>
          <w:highlight w:val="none"/>
        </w:rPr>
      </w:pPr>
      <w:r>
        <w:rPr>
          <w:rFonts w:hint="eastAsia" w:ascii="仿宋" w:hAnsi="仿宋" w:eastAsia="仿宋" w:cs="仿宋"/>
          <w:color w:val="auto"/>
          <w:sz w:val="24"/>
          <w:szCs w:val="28"/>
          <w:highlight w:val="none"/>
        </w:rPr>
        <w:t>开标一览表(报价表)</w:t>
      </w:r>
      <w:r>
        <w:rPr>
          <w:rFonts w:hint="eastAsia" w:ascii="仿宋" w:hAnsi="仿宋" w:eastAsia="仿宋" w:cs="仿宋"/>
          <w:color w:val="auto"/>
          <w:kern w:val="0"/>
          <w:sz w:val="24"/>
          <w:highlight w:val="none"/>
        </w:rPr>
        <w:t>……………………………………………………（页码）</w:t>
      </w:r>
    </w:p>
    <w:p w14:paraId="2A97ABC2">
      <w:pPr>
        <w:spacing w:line="360" w:lineRule="auto"/>
        <w:ind w:left="2" w:firstLine="480" w:firstLineChars="200"/>
        <w:rPr>
          <w:rFonts w:hint="eastAsia" w:ascii="仿宋" w:hAnsi="仿宋" w:eastAsia="仿宋" w:cs="仿宋"/>
          <w:color w:val="auto"/>
          <w:sz w:val="24"/>
          <w:highlight w:val="none"/>
        </w:rPr>
      </w:pPr>
    </w:p>
    <w:p w14:paraId="0672229C">
      <w:pPr>
        <w:spacing w:line="360" w:lineRule="auto"/>
        <w:ind w:left="2" w:firstLine="480" w:firstLineChars="200"/>
        <w:rPr>
          <w:rFonts w:hint="eastAsia" w:ascii="仿宋" w:hAnsi="仿宋" w:eastAsia="仿宋" w:cs="仿宋"/>
          <w:color w:val="auto"/>
          <w:sz w:val="24"/>
          <w:highlight w:val="none"/>
        </w:rPr>
      </w:pPr>
    </w:p>
    <w:p w14:paraId="52C2F6D9">
      <w:pPr>
        <w:spacing w:line="360" w:lineRule="auto"/>
        <w:ind w:left="2" w:firstLine="480" w:firstLineChars="200"/>
        <w:rPr>
          <w:rFonts w:hint="eastAsia" w:ascii="仿宋" w:hAnsi="仿宋" w:eastAsia="仿宋" w:cs="仿宋"/>
          <w:color w:val="auto"/>
          <w:sz w:val="24"/>
          <w:highlight w:val="none"/>
        </w:rPr>
      </w:pPr>
    </w:p>
    <w:p w14:paraId="58F3E02E">
      <w:pPr>
        <w:spacing w:line="360" w:lineRule="auto"/>
        <w:ind w:left="2" w:firstLine="480" w:firstLineChars="200"/>
        <w:rPr>
          <w:rFonts w:hint="eastAsia" w:ascii="仿宋" w:hAnsi="仿宋" w:eastAsia="仿宋" w:cs="仿宋"/>
          <w:color w:val="auto"/>
          <w:sz w:val="24"/>
          <w:highlight w:val="none"/>
        </w:rPr>
      </w:pPr>
    </w:p>
    <w:p w14:paraId="6D3E8D3E">
      <w:pPr>
        <w:snapToGrid w:val="0"/>
        <w:spacing w:line="360" w:lineRule="auto"/>
        <w:jc w:val="center"/>
        <w:outlineLvl w:val="0"/>
        <w:rPr>
          <w:rFonts w:hint="eastAsia" w:ascii="仿宋" w:hAnsi="仿宋" w:eastAsia="仿宋" w:cs="仿宋"/>
          <w:b/>
          <w:color w:val="auto"/>
          <w:kern w:val="0"/>
          <w:sz w:val="32"/>
          <w:szCs w:val="32"/>
          <w:highlight w:val="none"/>
        </w:rPr>
      </w:pPr>
    </w:p>
    <w:p w14:paraId="2517FD46">
      <w:pPr>
        <w:snapToGrid w:val="0"/>
        <w:spacing w:line="360" w:lineRule="auto"/>
        <w:jc w:val="center"/>
        <w:outlineLvl w:val="0"/>
        <w:rPr>
          <w:rFonts w:hint="eastAsia" w:ascii="仿宋" w:hAnsi="仿宋" w:eastAsia="仿宋" w:cs="仿宋"/>
          <w:b/>
          <w:color w:val="auto"/>
          <w:kern w:val="0"/>
          <w:sz w:val="32"/>
          <w:szCs w:val="32"/>
          <w:highlight w:val="none"/>
        </w:rPr>
      </w:pPr>
    </w:p>
    <w:p w14:paraId="0C722917">
      <w:pPr>
        <w:snapToGrid w:val="0"/>
        <w:spacing w:line="360" w:lineRule="auto"/>
        <w:jc w:val="center"/>
        <w:outlineLvl w:val="0"/>
        <w:rPr>
          <w:rFonts w:hint="eastAsia" w:ascii="仿宋" w:hAnsi="仿宋" w:eastAsia="仿宋" w:cs="仿宋"/>
          <w:b/>
          <w:color w:val="auto"/>
          <w:kern w:val="0"/>
          <w:sz w:val="32"/>
          <w:szCs w:val="32"/>
          <w:highlight w:val="none"/>
        </w:rPr>
      </w:pPr>
    </w:p>
    <w:p w14:paraId="0BD0F75C">
      <w:pPr>
        <w:snapToGrid w:val="0"/>
        <w:spacing w:line="360" w:lineRule="auto"/>
        <w:jc w:val="center"/>
        <w:outlineLvl w:val="0"/>
        <w:rPr>
          <w:rFonts w:hint="eastAsia" w:ascii="仿宋" w:hAnsi="仿宋" w:eastAsia="仿宋" w:cs="仿宋"/>
          <w:b/>
          <w:color w:val="auto"/>
          <w:kern w:val="0"/>
          <w:sz w:val="32"/>
          <w:szCs w:val="32"/>
          <w:highlight w:val="none"/>
        </w:rPr>
      </w:pPr>
    </w:p>
    <w:p w14:paraId="651B1358">
      <w:pPr>
        <w:snapToGrid w:val="0"/>
        <w:spacing w:line="360" w:lineRule="auto"/>
        <w:jc w:val="center"/>
        <w:outlineLvl w:val="0"/>
        <w:rPr>
          <w:rFonts w:hint="eastAsia" w:ascii="仿宋" w:hAnsi="仿宋" w:eastAsia="仿宋" w:cs="仿宋"/>
          <w:b/>
          <w:color w:val="auto"/>
          <w:kern w:val="0"/>
          <w:sz w:val="32"/>
          <w:szCs w:val="32"/>
          <w:highlight w:val="none"/>
        </w:rPr>
      </w:pPr>
    </w:p>
    <w:p w14:paraId="0A36FF75">
      <w:pPr>
        <w:snapToGrid w:val="0"/>
        <w:spacing w:line="360" w:lineRule="auto"/>
        <w:jc w:val="center"/>
        <w:outlineLvl w:val="0"/>
        <w:rPr>
          <w:rFonts w:hint="eastAsia" w:ascii="仿宋" w:hAnsi="仿宋" w:eastAsia="仿宋" w:cs="仿宋"/>
          <w:b/>
          <w:color w:val="auto"/>
          <w:kern w:val="0"/>
          <w:sz w:val="32"/>
          <w:szCs w:val="32"/>
          <w:highlight w:val="none"/>
        </w:rPr>
      </w:pPr>
    </w:p>
    <w:p w14:paraId="57376AAE">
      <w:pPr>
        <w:snapToGrid w:val="0"/>
        <w:spacing w:line="360" w:lineRule="auto"/>
        <w:jc w:val="center"/>
        <w:outlineLvl w:val="0"/>
        <w:rPr>
          <w:rFonts w:hint="eastAsia" w:ascii="仿宋" w:hAnsi="仿宋" w:eastAsia="仿宋" w:cs="仿宋"/>
          <w:b/>
          <w:color w:val="auto"/>
          <w:kern w:val="0"/>
          <w:sz w:val="32"/>
          <w:szCs w:val="32"/>
          <w:highlight w:val="none"/>
        </w:rPr>
      </w:pPr>
    </w:p>
    <w:p w14:paraId="17212A04">
      <w:pPr>
        <w:snapToGrid w:val="0"/>
        <w:spacing w:line="360" w:lineRule="auto"/>
        <w:jc w:val="center"/>
        <w:outlineLvl w:val="0"/>
        <w:rPr>
          <w:rFonts w:hint="eastAsia" w:ascii="仿宋" w:hAnsi="仿宋" w:eastAsia="仿宋" w:cs="仿宋"/>
          <w:b/>
          <w:color w:val="auto"/>
          <w:kern w:val="0"/>
          <w:sz w:val="32"/>
          <w:szCs w:val="32"/>
          <w:highlight w:val="none"/>
        </w:rPr>
      </w:pPr>
    </w:p>
    <w:p w14:paraId="1FABBA94">
      <w:pPr>
        <w:snapToGrid w:val="0"/>
        <w:spacing w:line="360" w:lineRule="auto"/>
        <w:jc w:val="center"/>
        <w:outlineLvl w:val="0"/>
        <w:rPr>
          <w:rFonts w:hint="eastAsia" w:ascii="仿宋" w:hAnsi="仿宋" w:eastAsia="仿宋" w:cs="仿宋"/>
          <w:b/>
          <w:color w:val="auto"/>
          <w:kern w:val="0"/>
          <w:sz w:val="32"/>
          <w:szCs w:val="32"/>
          <w:highlight w:val="none"/>
        </w:rPr>
      </w:pPr>
    </w:p>
    <w:p w14:paraId="48E83058">
      <w:pPr>
        <w:snapToGrid w:val="0"/>
        <w:spacing w:line="360" w:lineRule="auto"/>
        <w:jc w:val="center"/>
        <w:outlineLvl w:val="0"/>
        <w:rPr>
          <w:rFonts w:hint="eastAsia" w:ascii="仿宋" w:hAnsi="仿宋" w:eastAsia="仿宋" w:cs="仿宋"/>
          <w:b/>
          <w:color w:val="auto"/>
          <w:kern w:val="0"/>
          <w:sz w:val="32"/>
          <w:szCs w:val="32"/>
          <w:highlight w:val="none"/>
        </w:rPr>
      </w:pPr>
    </w:p>
    <w:p w14:paraId="55C8EB34">
      <w:pPr>
        <w:snapToGrid w:val="0"/>
        <w:spacing w:line="360" w:lineRule="auto"/>
        <w:jc w:val="center"/>
        <w:outlineLvl w:val="0"/>
        <w:rPr>
          <w:rFonts w:hint="eastAsia" w:ascii="仿宋" w:hAnsi="仿宋" w:eastAsia="仿宋" w:cs="仿宋"/>
          <w:b/>
          <w:color w:val="auto"/>
          <w:kern w:val="0"/>
          <w:sz w:val="32"/>
          <w:szCs w:val="32"/>
          <w:highlight w:val="none"/>
        </w:rPr>
      </w:pPr>
    </w:p>
    <w:p w14:paraId="1C9A01CC">
      <w:pPr>
        <w:snapToGrid w:val="0"/>
        <w:spacing w:line="360" w:lineRule="auto"/>
        <w:jc w:val="center"/>
        <w:outlineLvl w:val="0"/>
        <w:rPr>
          <w:rFonts w:hint="eastAsia" w:ascii="仿宋" w:hAnsi="仿宋" w:eastAsia="仿宋" w:cs="仿宋"/>
          <w:b/>
          <w:color w:val="auto"/>
          <w:kern w:val="0"/>
          <w:sz w:val="32"/>
          <w:szCs w:val="32"/>
          <w:highlight w:val="none"/>
        </w:rPr>
      </w:pPr>
    </w:p>
    <w:p w14:paraId="112232AD">
      <w:pPr>
        <w:snapToGrid w:val="0"/>
        <w:spacing w:line="360" w:lineRule="auto"/>
        <w:jc w:val="center"/>
        <w:outlineLvl w:val="0"/>
        <w:rPr>
          <w:rFonts w:hint="eastAsia" w:ascii="仿宋" w:hAnsi="仿宋" w:eastAsia="仿宋" w:cs="仿宋"/>
          <w:b/>
          <w:color w:val="auto"/>
          <w:kern w:val="0"/>
          <w:sz w:val="32"/>
          <w:szCs w:val="32"/>
          <w:highlight w:val="none"/>
        </w:rPr>
      </w:pPr>
    </w:p>
    <w:p w14:paraId="6C81F293">
      <w:pPr>
        <w:pStyle w:val="475"/>
        <w:keepNext w:val="0"/>
        <w:pageBreakBefore w:val="0"/>
        <w:tabs>
          <w:tab w:val="clear" w:pos="720"/>
        </w:tabs>
        <w:snapToGrid w:val="0"/>
        <w:ind w:firstLine="640"/>
        <w:outlineLvl w:val="9"/>
        <w:rPr>
          <w:rFonts w:hint="eastAsia" w:ascii="仿宋" w:hAnsi="仿宋" w:eastAsia="仿宋" w:cs="仿宋"/>
          <w:color w:val="auto"/>
          <w:kern w:val="2"/>
          <w:sz w:val="32"/>
          <w:szCs w:val="32"/>
          <w:highlight w:val="none"/>
        </w:rPr>
        <w:sectPr>
          <w:footerReference r:id="rId16" w:type="first"/>
          <w:footerReference r:id="rId14" w:type="default"/>
          <w:headerReference r:id="rId13" w:type="even"/>
          <w:footerReference r:id="rId15" w:type="even"/>
          <w:pgSz w:w="11906" w:h="16838"/>
          <w:pgMar w:top="1247" w:right="1418" w:bottom="1276" w:left="1418" w:header="851" w:footer="992" w:gutter="0"/>
          <w:cols w:space="720" w:num="1"/>
          <w:titlePg/>
          <w:docGrid w:linePitch="312" w:charSpace="0"/>
        </w:sectPr>
      </w:pPr>
    </w:p>
    <w:p w14:paraId="63FE70DF">
      <w:pPr>
        <w:pStyle w:val="475"/>
        <w:keepNext w:val="0"/>
        <w:pageBreakBefore w:val="0"/>
        <w:tabs>
          <w:tab w:val="clear" w:pos="720"/>
        </w:tabs>
        <w:snapToGrid w:val="0"/>
        <w:ind w:firstLine="640"/>
        <w:outlineLvl w:val="9"/>
        <w:rPr>
          <w:rFonts w:hint="eastAsia" w:ascii="仿宋" w:hAnsi="仿宋" w:eastAsia="仿宋" w:cs="仿宋"/>
          <w:color w:val="auto"/>
          <w:kern w:val="2"/>
          <w:sz w:val="32"/>
          <w:szCs w:val="32"/>
          <w:highlight w:val="none"/>
        </w:rPr>
      </w:pPr>
    </w:p>
    <w:p w14:paraId="7896C9EB">
      <w:pPr>
        <w:pStyle w:val="475"/>
        <w:keepNext w:val="0"/>
        <w:pageBreakBefore w:val="0"/>
        <w:tabs>
          <w:tab w:val="clear" w:pos="720"/>
        </w:tabs>
        <w:snapToGrid w:val="0"/>
        <w:ind w:firstLine="640"/>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1C795FBE">
      <w:pPr>
        <w:snapToGrid w:val="0"/>
        <w:spacing w:line="360" w:lineRule="auto"/>
        <w:rPr>
          <w:rFonts w:hint="eastAsia" w:ascii="仿宋" w:hAnsi="仿宋" w:eastAsia="仿宋" w:cs="仿宋"/>
          <w:color w:val="auto"/>
          <w:kern w:val="0"/>
          <w:sz w:val="24"/>
          <w:highlight w:val="none"/>
          <w:lang w:val="zh-CN"/>
        </w:rPr>
      </w:pPr>
      <w:bookmarkStart w:id="445" w:name="_Toc86217005"/>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w:t>
      </w:r>
    </w:p>
    <w:p w14:paraId="6841A0D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项目编号：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标项：</w:t>
      </w:r>
    </w:p>
    <w:tbl>
      <w:tblPr>
        <w:tblStyle w:val="60"/>
        <w:tblW w:w="8976" w:type="dxa"/>
        <w:tblInd w:w="149" w:type="dxa"/>
        <w:tblLayout w:type="fixed"/>
        <w:tblCellMar>
          <w:top w:w="0" w:type="dxa"/>
          <w:left w:w="108" w:type="dxa"/>
          <w:bottom w:w="0" w:type="dxa"/>
          <w:right w:w="108" w:type="dxa"/>
        </w:tblCellMar>
      </w:tblPr>
      <w:tblGrid>
        <w:gridCol w:w="889"/>
        <w:gridCol w:w="3390"/>
        <w:gridCol w:w="2393"/>
        <w:gridCol w:w="2304"/>
      </w:tblGrid>
      <w:tr w14:paraId="74E3AD68">
        <w:tblPrEx>
          <w:tblCellMar>
            <w:top w:w="0" w:type="dxa"/>
            <w:left w:w="108" w:type="dxa"/>
            <w:bottom w:w="0" w:type="dxa"/>
            <w:right w:w="108" w:type="dxa"/>
          </w:tblCellMar>
        </w:tblPrEx>
        <w:trPr>
          <w:trHeight w:val="873" w:hRule="atLeast"/>
        </w:trPr>
        <w:tc>
          <w:tcPr>
            <w:tcW w:w="889" w:type="dxa"/>
            <w:tcBorders>
              <w:top w:val="single" w:color="auto" w:sz="6" w:space="0"/>
              <w:left w:val="single" w:color="auto" w:sz="6" w:space="0"/>
              <w:bottom w:val="single" w:color="auto" w:sz="6" w:space="0"/>
              <w:right w:val="single" w:color="auto" w:sz="6" w:space="0"/>
            </w:tcBorders>
            <w:noWrap w:val="0"/>
            <w:vAlign w:val="center"/>
          </w:tcPr>
          <w:p w14:paraId="7D1AFEAB">
            <w:pPr>
              <w:autoSpaceDE w:val="0"/>
              <w:autoSpaceDN w:val="0"/>
              <w:spacing w:line="360" w:lineRule="exact"/>
              <w:jc w:val="center"/>
              <w:rPr>
                <w:rFonts w:hint="eastAsia" w:ascii="仿宋" w:hAnsi="仿宋" w:eastAsia="仿宋" w:cs="仿宋"/>
                <w:b/>
                <w:bCs/>
                <w:strike/>
                <w:color w:val="auto"/>
                <w:sz w:val="24"/>
                <w:highlight w:val="none"/>
              </w:rPr>
            </w:pPr>
            <w:r>
              <w:rPr>
                <w:rFonts w:hint="eastAsia" w:ascii="仿宋" w:hAnsi="仿宋" w:eastAsia="仿宋" w:cs="仿宋"/>
                <w:b/>
                <w:bCs/>
                <w:strike w:val="0"/>
                <w:color w:val="auto"/>
                <w:sz w:val="24"/>
                <w:highlight w:val="none"/>
                <w:lang w:val="zh-CN"/>
              </w:rPr>
              <w:t>序号</w:t>
            </w:r>
          </w:p>
        </w:tc>
        <w:tc>
          <w:tcPr>
            <w:tcW w:w="3390" w:type="dxa"/>
            <w:tcBorders>
              <w:top w:val="single" w:color="auto" w:sz="6" w:space="0"/>
              <w:left w:val="single" w:color="auto" w:sz="6" w:space="0"/>
              <w:bottom w:val="single" w:color="auto" w:sz="6" w:space="0"/>
              <w:right w:val="single" w:color="auto" w:sz="6" w:space="0"/>
            </w:tcBorders>
            <w:noWrap w:val="0"/>
            <w:vAlign w:val="center"/>
          </w:tcPr>
          <w:p w14:paraId="577DF426">
            <w:pPr>
              <w:autoSpaceDE w:val="0"/>
              <w:autoSpaceDN w:val="0"/>
              <w:spacing w:line="36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zh-CN"/>
              </w:rPr>
              <w:t>项目内容</w:t>
            </w:r>
          </w:p>
        </w:tc>
        <w:tc>
          <w:tcPr>
            <w:tcW w:w="2393" w:type="dxa"/>
            <w:tcBorders>
              <w:top w:val="single" w:color="auto" w:sz="6" w:space="0"/>
              <w:left w:val="single" w:color="auto" w:sz="6" w:space="0"/>
              <w:bottom w:val="single" w:color="auto" w:sz="6" w:space="0"/>
              <w:right w:val="single" w:color="auto" w:sz="6" w:space="0"/>
            </w:tcBorders>
            <w:noWrap w:val="0"/>
            <w:vAlign w:val="center"/>
          </w:tcPr>
          <w:p w14:paraId="4D282C24">
            <w:pPr>
              <w:autoSpaceDE w:val="0"/>
              <w:autoSpaceDN w:val="0"/>
              <w:spacing w:line="36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zh-CN"/>
              </w:rPr>
              <w:t>投</w:t>
            </w:r>
            <w:r>
              <w:rPr>
                <w:rFonts w:hint="eastAsia" w:ascii="仿宋" w:hAnsi="仿宋" w:eastAsia="仿宋" w:cs="仿宋"/>
                <w:b/>
                <w:bCs/>
                <w:color w:val="auto"/>
                <w:sz w:val="24"/>
                <w:highlight w:val="none"/>
                <w:lang w:val="zh-CN" w:eastAsia="zh-CN"/>
              </w:rPr>
              <w:t>标</w:t>
            </w:r>
            <w:r>
              <w:rPr>
                <w:rFonts w:hint="eastAsia" w:ascii="仿宋" w:hAnsi="仿宋" w:eastAsia="仿宋" w:cs="仿宋"/>
                <w:b/>
                <w:bCs/>
                <w:color w:val="auto"/>
                <w:sz w:val="24"/>
                <w:highlight w:val="none"/>
                <w:lang w:val="zh-CN"/>
              </w:rPr>
              <w:t>折扣率报价</w:t>
            </w:r>
          </w:p>
        </w:tc>
        <w:tc>
          <w:tcPr>
            <w:tcW w:w="2304" w:type="dxa"/>
            <w:tcBorders>
              <w:top w:val="single" w:color="auto" w:sz="6" w:space="0"/>
              <w:left w:val="single" w:color="auto" w:sz="6" w:space="0"/>
              <w:bottom w:val="single" w:color="auto" w:sz="6" w:space="0"/>
              <w:right w:val="single" w:color="auto" w:sz="6" w:space="0"/>
            </w:tcBorders>
            <w:noWrap w:val="0"/>
            <w:vAlign w:val="center"/>
          </w:tcPr>
          <w:p w14:paraId="2284ABC5">
            <w:pPr>
              <w:autoSpaceDE w:val="0"/>
              <w:autoSpaceDN w:val="0"/>
              <w:spacing w:line="36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zh-CN"/>
              </w:rPr>
              <w:t>备注</w:t>
            </w:r>
          </w:p>
        </w:tc>
      </w:tr>
      <w:tr w14:paraId="09D1BEE3">
        <w:tblPrEx>
          <w:tblCellMar>
            <w:top w:w="0" w:type="dxa"/>
            <w:left w:w="108" w:type="dxa"/>
            <w:bottom w:w="0" w:type="dxa"/>
            <w:right w:w="108" w:type="dxa"/>
          </w:tblCellMar>
        </w:tblPrEx>
        <w:trPr>
          <w:trHeight w:val="1014" w:hRule="atLeast"/>
        </w:trPr>
        <w:tc>
          <w:tcPr>
            <w:tcW w:w="889" w:type="dxa"/>
            <w:tcBorders>
              <w:top w:val="single" w:color="auto" w:sz="6" w:space="0"/>
              <w:left w:val="single" w:color="auto" w:sz="6" w:space="0"/>
              <w:bottom w:val="single" w:color="auto" w:sz="6" w:space="0"/>
              <w:right w:val="single" w:color="auto" w:sz="6" w:space="0"/>
            </w:tcBorders>
            <w:noWrap w:val="0"/>
            <w:vAlign w:val="center"/>
          </w:tcPr>
          <w:p w14:paraId="0931B4D0">
            <w:pPr>
              <w:autoSpaceDE w:val="0"/>
              <w:autoSpaceDN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390" w:type="dxa"/>
            <w:tcBorders>
              <w:top w:val="single" w:color="auto" w:sz="6" w:space="0"/>
              <w:left w:val="single" w:color="auto" w:sz="6" w:space="0"/>
              <w:bottom w:val="single" w:color="auto" w:sz="6" w:space="0"/>
              <w:right w:val="single" w:color="auto" w:sz="6" w:space="0"/>
            </w:tcBorders>
            <w:noWrap w:val="0"/>
            <w:vAlign w:val="center"/>
          </w:tcPr>
          <w:p w14:paraId="20F56FE3">
            <w:pPr>
              <w:spacing w:line="360" w:lineRule="auto"/>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2025-2026年度镇村两级及其下属国有企业招标代理咨询机构</w:t>
            </w:r>
            <w:r>
              <w:rPr>
                <w:rFonts w:hint="eastAsia" w:ascii="仿宋" w:hAnsi="仿宋" w:eastAsia="仿宋" w:cs="仿宋"/>
                <w:color w:val="auto"/>
                <w:sz w:val="24"/>
                <w:highlight w:val="none"/>
              </w:rPr>
              <w:t>框架协议采购项目(封闭式）</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重招</w:t>
            </w:r>
            <w:r>
              <w:rPr>
                <w:rFonts w:hint="eastAsia" w:ascii="仿宋" w:hAnsi="仿宋" w:eastAsia="仿宋" w:cs="仿宋"/>
                <w:color w:val="auto"/>
                <w:sz w:val="24"/>
                <w:highlight w:val="none"/>
                <w:lang w:eastAsia="zh-CN"/>
              </w:rPr>
              <w:t>）</w:t>
            </w:r>
          </w:p>
        </w:tc>
        <w:tc>
          <w:tcPr>
            <w:tcW w:w="2393" w:type="dxa"/>
            <w:tcBorders>
              <w:top w:val="single" w:color="auto" w:sz="6" w:space="0"/>
              <w:left w:val="single" w:color="auto" w:sz="6" w:space="0"/>
              <w:bottom w:val="single" w:color="auto" w:sz="6" w:space="0"/>
              <w:right w:val="single" w:color="auto" w:sz="6" w:space="0"/>
            </w:tcBorders>
            <w:noWrap w:val="0"/>
            <w:vAlign w:val="center"/>
          </w:tcPr>
          <w:p w14:paraId="1682547A">
            <w:pPr>
              <w:autoSpaceDE w:val="0"/>
              <w:autoSpaceDN w:val="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kern w:val="0"/>
                <w:sz w:val="24"/>
                <w:highlight w:val="none"/>
                <w:lang w:val="en-US" w:eastAsia="zh-CN"/>
              </w:rPr>
              <w:t>%</w:t>
            </w:r>
          </w:p>
        </w:tc>
        <w:tc>
          <w:tcPr>
            <w:tcW w:w="2304" w:type="dxa"/>
            <w:tcBorders>
              <w:top w:val="single" w:color="auto" w:sz="6" w:space="0"/>
              <w:left w:val="single" w:color="auto" w:sz="6" w:space="0"/>
              <w:bottom w:val="single" w:color="auto" w:sz="6" w:space="0"/>
              <w:right w:val="single" w:color="auto" w:sz="6" w:space="0"/>
            </w:tcBorders>
            <w:noWrap w:val="0"/>
            <w:vAlign w:val="center"/>
          </w:tcPr>
          <w:p w14:paraId="1F54D3A4">
            <w:pPr>
              <w:autoSpaceDE w:val="0"/>
              <w:autoSpaceDN w:val="0"/>
              <w:spacing w:line="340" w:lineRule="exact"/>
              <w:rPr>
                <w:rFonts w:hint="default" w:ascii="仿宋" w:hAnsi="仿宋" w:eastAsia="仿宋" w:cs="仿宋"/>
                <w:color w:val="auto"/>
                <w:sz w:val="24"/>
                <w:highlight w:val="none"/>
                <w:lang w:val="en-US" w:eastAsia="zh-CN"/>
              </w:rPr>
            </w:pPr>
            <w:r>
              <w:rPr>
                <w:rFonts w:hint="eastAsia" w:ascii="仿宋" w:hAnsi="仿宋" w:eastAsia="仿宋" w:cs="仿宋"/>
                <w:color w:val="auto"/>
                <w:kern w:val="0"/>
                <w:sz w:val="24"/>
                <w:highlight w:val="none"/>
                <w:lang w:val="en-US" w:eastAsia="zh-CN"/>
              </w:rPr>
              <w:t xml:space="preserve"> 招标文件规定的收费标准</w:t>
            </w:r>
          </w:p>
        </w:tc>
      </w:tr>
      <w:tr w14:paraId="59CFFDA9">
        <w:tblPrEx>
          <w:tblCellMar>
            <w:top w:w="0" w:type="dxa"/>
            <w:left w:w="108" w:type="dxa"/>
            <w:bottom w:w="0" w:type="dxa"/>
            <w:right w:w="108" w:type="dxa"/>
          </w:tblCellMar>
        </w:tblPrEx>
        <w:trPr>
          <w:trHeight w:val="1014" w:hRule="atLeast"/>
        </w:trPr>
        <w:tc>
          <w:tcPr>
            <w:tcW w:w="4279" w:type="dxa"/>
            <w:gridSpan w:val="2"/>
            <w:tcBorders>
              <w:top w:val="single" w:color="auto" w:sz="6" w:space="0"/>
              <w:left w:val="single" w:color="auto" w:sz="6" w:space="0"/>
              <w:bottom w:val="single" w:color="auto" w:sz="6" w:space="0"/>
              <w:right w:val="single" w:color="auto" w:sz="6" w:space="0"/>
            </w:tcBorders>
            <w:noWrap w:val="0"/>
            <w:vAlign w:val="center"/>
          </w:tcPr>
          <w:p w14:paraId="2D5A466B">
            <w:pPr>
              <w:shd w:val="clear" w:color="auto" w:fill="auto"/>
              <w:autoSpaceDE w:val="0"/>
              <w:autoSpaceDN w:val="0"/>
              <w:spacing w:line="360" w:lineRule="auto"/>
              <w:jc w:val="center"/>
              <w:rPr>
                <w:rFonts w:hint="default" w:ascii="仿宋" w:hAnsi="仿宋" w:eastAsia="仿宋" w:cs="仿宋"/>
                <w:color w:val="auto"/>
                <w:sz w:val="24"/>
                <w:highlight w:val="none"/>
                <w:lang w:val="en-US" w:eastAsia="zh-CN"/>
              </w:rPr>
            </w:pPr>
            <w:r>
              <w:rPr>
                <w:rFonts w:hint="eastAsia" w:ascii="宋体" w:hAnsi="宋体" w:cs="仿宋"/>
                <w:color w:val="auto"/>
                <w:sz w:val="24"/>
                <w:highlight w:val="none"/>
              </w:rPr>
              <w:t>同意</w:t>
            </w:r>
          </w:p>
        </w:tc>
        <w:tc>
          <w:tcPr>
            <w:tcW w:w="4697" w:type="dxa"/>
            <w:gridSpan w:val="2"/>
            <w:tcBorders>
              <w:top w:val="single" w:color="auto" w:sz="6" w:space="0"/>
              <w:left w:val="single" w:color="auto" w:sz="6" w:space="0"/>
              <w:bottom w:val="single" w:color="auto" w:sz="6" w:space="0"/>
              <w:right w:val="single" w:color="auto" w:sz="6" w:space="0"/>
            </w:tcBorders>
            <w:noWrap w:val="0"/>
            <w:vAlign w:val="center"/>
          </w:tcPr>
          <w:p w14:paraId="38D12E1D">
            <w:pPr>
              <w:shd w:val="clear" w:color="auto" w:fill="auto"/>
              <w:autoSpaceDE w:val="0"/>
              <w:autoSpaceDN w:val="0"/>
              <w:spacing w:line="360" w:lineRule="auto"/>
              <w:jc w:val="center"/>
              <w:rPr>
                <w:rFonts w:hint="eastAsia" w:ascii="仿宋" w:hAnsi="仿宋" w:eastAsia="仿宋" w:cs="仿宋"/>
                <w:color w:val="auto"/>
                <w:kern w:val="0"/>
                <w:sz w:val="24"/>
                <w:highlight w:val="none"/>
                <w:lang w:val="en-US" w:eastAsia="zh-CN"/>
              </w:rPr>
            </w:pPr>
            <w:r>
              <w:rPr>
                <w:rFonts w:hint="eastAsia" w:ascii="宋体" w:hAnsi="宋体" w:cs="仿宋"/>
                <w:color w:val="auto"/>
                <w:sz w:val="24"/>
                <w:highlight w:val="none"/>
              </w:rPr>
              <w:t>□</w:t>
            </w:r>
          </w:p>
        </w:tc>
      </w:tr>
      <w:tr w14:paraId="58C00AF8">
        <w:tblPrEx>
          <w:tblCellMar>
            <w:top w:w="0" w:type="dxa"/>
            <w:left w:w="108" w:type="dxa"/>
            <w:bottom w:w="0" w:type="dxa"/>
            <w:right w:w="108" w:type="dxa"/>
          </w:tblCellMar>
        </w:tblPrEx>
        <w:trPr>
          <w:trHeight w:val="1014" w:hRule="atLeast"/>
        </w:trPr>
        <w:tc>
          <w:tcPr>
            <w:tcW w:w="4279" w:type="dxa"/>
            <w:gridSpan w:val="2"/>
            <w:tcBorders>
              <w:top w:val="single" w:color="auto" w:sz="6" w:space="0"/>
              <w:left w:val="single" w:color="auto" w:sz="6" w:space="0"/>
              <w:bottom w:val="single" w:color="auto" w:sz="6" w:space="0"/>
              <w:right w:val="single" w:color="auto" w:sz="6" w:space="0"/>
            </w:tcBorders>
            <w:noWrap w:val="0"/>
            <w:vAlign w:val="center"/>
          </w:tcPr>
          <w:p w14:paraId="1C8AB892">
            <w:pPr>
              <w:shd w:val="clear" w:color="auto" w:fill="auto"/>
              <w:autoSpaceDE w:val="0"/>
              <w:autoSpaceDN w:val="0"/>
              <w:spacing w:line="360" w:lineRule="exact"/>
              <w:jc w:val="center"/>
              <w:rPr>
                <w:rFonts w:hint="default" w:ascii="仿宋" w:hAnsi="仿宋" w:eastAsia="仿宋" w:cs="仿宋"/>
                <w:color w:val="auto"/>
                <w:sz w:val="24"/>
                <w:highlight w:val="none"/>
                <w:lang w:val="en-US" w:eastAsia="zh-CN"/>
              </w:rPr>
            </w:pPr>
            <w:r>
              <w:rPr>
                <w:rFonts w:hint="eastAsia" w:ascii="宋体" w:hAnsi="宋体" w:cs="仿宋"/>
                <w:color w:val="auto"/>
                <w:sz w:val="24"/>
                <w:szCs w:val="21"/>
                <w:highlight w:val="none"/>
              </w:rPr>
              <w:t>不同意</w:t>
            </w:r>
          </w:p>
        </w:tc>
        <w:tc>
          <w:tcPr>
            <w:tcW w:w="4697" w:type="dxa"/>
            <w:gridSpan w:val="2"/>
            <w:tcBorders>
              <w:top w:val="single" w:color="auto" w:sz="6" w:space="0"/>
              <w:left w:val="single" w:color="auto" w:sz="6" w:space="0"/>
              <w:bottom w:val="single" w:color="auto" w:sz="6" w:space="0"/>
              <w:right w:val="single" w:color="auto" w:sz="6" w:space="0"/>
            </w:tcBorders>
            <w:noWrap w:val="0"/>
            <w:vAlign w:val="center"/>
          </w:tcPr>
          <w:p w14:paraId="171F3D49">
            <w:pPr>
              <w:shd w:val="clear" w:color="auto" w:fill="auto"/>
              <w:autoSpaceDE w:val="0"/>
              <w:autoSpaceDN w:val="0"/>
              <w:spacing w:line="360" w:lineRule="auto"/>
              <w:jc w:val="center"/>
              <w:rPr>
                <w:rFonts w:hint="eastAsia" w:ascii="仿宋" w:hAnsi="仿宋" w:eastAsia="仿宋" w:cs="仿宋"/>
                <w:color w:val="auto"/>
                <w:kern w:val="0"/>
                <w:sz w:val="24"/>
                <w:highlight w:val="none"/>
                <w:lang w:val="en-US" w:eastAsia="zh-CN"/>
              </w:rPr>
            </w:pPr>
            <w:r>
              <w:rPr>
                <w:rFonts w:hint="eastAsia" w:ascii="宋体" w:hAnsi="宋体" w:cs="仿宋"/>
                <w:color w:val="auto"/>
                <w:sz w:val="24"/>
                <w:highlight w:val="none"/>
              </w:rPr>
              <w:t>□</w:t>
            </w:r>
          </w:p>
        </w:tc>
      </w:tr>
    </w:tbl>
    <w:p w14:paraId="21546497">
      <w:pPr>
        <w:spacing w:line="360" w:lineRule="auto"/>
        <w:jc w:val="right"/>
        <w:rPr>
          <w:rFonts w:hint="eastAsia" w:ascii="仿宋" w:hAnsi="仿宋" w:eastAsia="仿宋" w:cs="仿宋"/>
          <w:color w:val="auto"/>
          <w:sz w:val="24"/>
          <w:highlight w:val="none"/>
        </w:rPr>
      </w:pPr>
    </w:p>
    <w:p w14:paraId="2A4B5879">
      <w:pPr>
        <w:spacing w:line="360" w:lineRule="auto"/>
        <w:jc w:val="right"/>
        <w:rPr>
          <w:rFonts w:hint="eastAsia" w:ascii="仿宋" w:hAnsi="仿宋" w:eastAsia="仿宋" w:cs="仿宋"/>
          <w:color w:val="auto"/>
          <w:sz w:val="24"/>
          <w:highlight w:val="none"/>
        </w:rPr>
      </w:pPr>
    </w:p>
    <w:p w14:paraId="2651506A">
      <w:pPr>
        <w:spacing w:line="360" w:lineRule="auto"/>
        <w:jc w:val="right"/>
        <w:rPr>
          <w:rFonts w:hint="eastAsia" w:ascii="仿宋" w:hAnsi="仿宋" w:eastAsia="仿宋" w:cs="仿宋"/>
          <w:color w:val="auto"/>
          <w:sz w:val="24"/>
          <w:szCs w:val="36"/>
          <w:highlight w:val="none"/>
          <w:lang w:val="zh-CN"/>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sz w:val="24"/>
          <w:highlight w:val="none"/>
        </w:rPr>
        <w:t xml:space="preserve">投标人名称（电子签名）：                                                                                   日期：  年   月  </w:t>
      </w:r>
      <w:r>
        <w:rPr>
          <w:rFonts w:hint="eastAsia" w:ascii="仿宋" w:hAnsi="仿宋" w:eastAsia="仿宋" w:cs="仿宋"/>
          <w:color w:val="auto"/>
          <w:sz w:val="24"/>
          <w:highlight w:val="none"/>
          <w:lang w:val="en-US" w:eastAsia="zh-CN"/>
        </w:rPr>
        <w:t>日</w:t>
      </w:r>
      <w:r>
        <w:rPr>
          <w:rFonts w:hint="eastAsia" w:ascii="仿宋" w:hAnsi="仿宋" w:eastAsia="仿宋" w:cs="仿宋"/>
          <w:color w:val="auto"/>
          <w:sz w:val="24"/>
          <w:highlight w:val="none"/>
        </w:rPr>
        <w:t xml:space="preserve"> </w:t>
      </w:r>
      <w:bookmarkEnd w:id="445"/>
    </w:p>
    <w:p w14:paraId="77AC59F4">
      <w:pPr>
        <w:spacing w:line="360" w:lineRule="auto"/>
        <w:rPr>
          <w:rFonts w:hint="eastAsia" w:ascii="仿宋" w:hAnsi="仿宋" w:eastAsia="仿宋" w:cs="仿宋"/>
          <w:b/>
          <w:color w:val="auto"/>
          <w:sz w:val="24"/>
          <w:highlight w:val="none"/>
        </w:rPr>
      </w:pPr>
    </w:p>
    <w:p w14:paraId="60975C00">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07986CD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36C88DF7">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353B75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single"/>
        </w:rPr>
        <w:t>_________________________</w:t>
      </w:r>
    </w:p>
    <w:p w14:paraId="07D10E3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____________________________</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single"/>
        </w:rPr>
        <w:t>___________</w:t>
      </w:r>
    </w:p>
    <w:p w14:paraId="17797AA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_____________________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rPr>
        <w:t>__________</w:t>
      </w:r>
    </w:p>
    <w:p w14:paraId="19F709EC">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single"/>
        </w:rPr>
        <w:t>____________________</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rPr>
        <w:t>__________</w:t>
      </w:r>
    </w:p>
    <w:p w14:paraId="0867445E">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____________________________</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single"/>
        </w:rPr>
        <w:t>___________</w:t>
      </w:r>
    </w:p>
    <w:p w14:paraId="764C37F5">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955C65B">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single"/>
        </w:rPr>
        <w:t>_________________________________________</w:t>
      </w:r>
    </w:p>
    <w:p w14:paraId="31500270">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single"/>
        </w:rPr>
        <w:t>__________________</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single"/>
        </w:rPr>
        <w:t>_____________</w:t>
      </w:r>
    </w:p>
    <w:p w14:paraId="752DB148">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征集人名称：</w:t>
      </w:r>
      <w:r>
        <w:rPr>
          <w:rFonts w:hint="eastAsia" w:ascii="仿宋" w:hAnsi="仿宋" w:eastAsia="仿宋" w:cs="仿宋"/>
          <w:color w:val="auto"/>
          <w:sz w:val="24"/>
          <w:highlight w:val="none"/>
          <w:u w:val="single"/>
        </w:rPr>
        <w:t>____________________________________________</w:t>
      </w:r>
    </w:p>
    <w:p w14:paraId="738B666E">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征集文件获取日期：</w:t>
      </w:r>
      <w:r>
        <w:rPr>
          <w:rFonts w:hint="eastAsia" w:ascii="仿宋" w:hAnsi="仿宋" w:eastAsia="仿宋" w:cs="仿宋"/>
          <w:color w:val="auto"/>
          <w:sz w:val="24"/>
          <w:highlight w:val="none"/>
          <w:u w:val="single"/>
        </w:rPr>
        <w:t>_______________</w:t>
      </w:r>
    </w:p>
    <w:p w14:paraId="5D3CF3F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3A55B3FF">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single"/>
        </w:rPr>
        <w:t>_________________________________________________________________</w:t>
      </w:r>
    </w:p>
    <w:p w14:paraId="719FA4CE">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single"/>
        </w:rPr>
        <w:t>__________________________________________________________________</w:t>
      </w:r>
    </w:p>
    <w:p w14:paraId="22CB1368">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___________________________________________________________________________</w:t>
      </w:r>
    </w:p>
    <w:p w14:paraId="436AE756">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single"/>
        </w:rPr>
        <w:t>__________________________________________________________________</w:t>
      </w:r>
    </w:p>
    <w:p w14:paraId="54BE2B02">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___________________________________________________________________________</w:t>
      </w:r>
    </w:p>
    <w:p w14:paraId="34A0612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0E68BFA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D34872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61017B5">
      <w:pPr>
        <w:snapToGrid w:val="0"/>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请求：</w:t>
      </w:r>
      <w:r>
        <w:rPr>
          <w:rFonts w:hint="eastAsia" w:ascii="仿宋" w:hAnsi="仿宋" w:eastAsia="仿宋" w:cs="仿宋"/>
          <w:bCs/>
          <w:color w:val="auto"/>
          <w:sz w:val="24"/>
          <w:highlight w:val="none"/>
          <w:u w:val="words"/>
        </w:rPr>
        <w:t>______________________________________________________________________</w:t>
      </w:r>
    </w:p>
    <w:p w14:paraId="7076F64F">
      <w:pPr>
        <w:spacing w:line="360" w:lineRule="auto"/>
        <w:rPr>
          <w:rFonts w:hint="eastAsia" w:ascii="仿宋" w:hAnsi="仿宋" w:eastAsia="仿宋" w:cs="仿宋"/>
          <w:color w:val="auto"/>
          <w:sz w:val="24"/>
          <w:highlight w:val="none"/>
        </w:rPr>
      </w:pPr>
    </w:p>
    <w:p w14:paraId="25F0E6BE">
      <w:pPr>
        <w:spacing w:line="360" w:lineRule="auto"/>
        <w:rPr>
          <w:rFonts w:hint="eastAsia" w:ascii="仿宋" w:hAnsi="仿宋" w:eastAsia="仿宋" w:cs="仿宋"/>
          <w:color w:val="auto"/>
          <w:sz w:val="24"/>
          <w:highlight w:val="none"/>
        </w:rPr>
      </w:pPr>
    </w:p>
    <w:p w14:paraId="422A3C99">
      <w:pPr>
        <w:spacing w:line="360" w:lineRule="auto"/>
        <w:rPr>
          <w:rFonts w:hint="eastAsia" w:ascii="仿宋" w:hAnsi="仿宋" w:eastAsia="仿宋" w:cs="仿宋"/>
          <w:color w:val="auto"/>
          <w:sz w:val="24"/>
          <w:highlight w:val="none"/>
        </w:rPr>
      </w:pPr>
    </w:p>
    <w:p w14:paraId="62DA299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1B7EF5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B010B5B">
      <w:pPr>
        <w:spacing w:line="360" w:lineRule="auto"/>
        <w:rPr>
          <w:rFonts w:hint="eastAsia" w:ascii="仿宋" w:hAnsi="仿宋" w:eastAsia="仿宋" w:cs="仿宋"/>
          <w:b/>
          <w:color w:val="auto"/>
          <w:sz w:val="24"/>
          <w:highlight w:val="none"/>
        </w:rPr>
      </w:pPr>
    </w:p>
    <w:p w14:paraId="55C0087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5D75AB8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2AACF3D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039A8D2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3A38D13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5A2BE80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24DA285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DC1898F">
      <w:pPr>
        <w:widowControl/>
        <w:spacing w:line="360" w:lineRule="auto"/>
        <w:ind w:firstLine="600" w:firstLineChars="200"/>
        <w:jc w:val="left"/>
        <w:rPr>
          <w:rFonts w:hint="eastAsia" w:ascii="仿宋" w:hAnsi="仿宋" w:eastAsia="仿宋" w:cs="仿宋"/>
          <w:color w:val="auto"/>
          <w:sz w:val="30"/>
          <w:szCs w:val="30"/>
          <w:highlight w:val="none"/>
        </w:rPr>
      </w:pPr>
    </w:p>
    <w:p w14:paraId="6A92045D">
      <w:pPr>
        <w:spacing w:line="360" w:lineRule="auto"/>
        <w:jc w:val="center"/>
        <w:rPr>
          <w:rFonts w:hint="eastAsia" w:ascii="仿宋" w:hAnsi="仿宋" w:eastAsia="仿宋" w:cs="仿宋"/>
          <w:b/>
          <w:color w:val="auto"/>
          <w:spacing w:val="6"/>
          <w:sz w:val="32"/>
          <w:szCs w:val="32"/>
          <w:highlight w:val="none"/>
        </w:rPr>
      </w:pPr>
    </w:p>
    <w:p w14:paraId="13591159">
      <w:pPr>
        <w:spacing w:line="360" w:lineRule="auto"/>
        <w:jc w:val="center"/>
        <w:rPr>
          <w:rFonts w:hint="eastAsia" w:ascii="仿宋" w:hAnsi="仿宋" w:eastAsia="仿宋" w:cs="仿宋"/>
          <w:b/>
          <w:color w:val="auto"/>
          <w:spacing w:val="6"/>
          <w:sz w:val="32"/>
          <w:szCs w:val="32"/>
          <w:highlight w:val="none"/>
        </w:rPr>
      </w:pPr>
    </w:p>
    <w:p w14:paraId="3EFA476C">
      <w:pPr>
        <w:spacing w:line="360" w:lineRule="auto"/>
        <w:jc w:val="center"/>
        <w:rPr>
          <w:rFonts w:hint="eastAsia" w:ascii="仿宋" w:hAnsi="仿宋" w:eastAsia="仿宋" w:cs="仿宋"/>
          <w:b/>
          <w:color w:val="auto"/>
          <w:spacing w:val="6"/>
          <w:sz w:val="32"/>
          <w:szCs w:val="32"/>
          <w:highlight w:val="none"/>
        </w:rPr>
      </w:pPr>
    </w:p>
    <w:p w14:paraId="15F4ECC9">
      <w:pPr>
        <w:spacing w:line="360" w:lineRule="auto"/>
        <w:jc w:val="center"/>
        <w:rPr>
          <w:rFonts w:hint="eastAsia" w:ascii="仿宋" w:hAnsi="仿宋" w:eastAsia="仿宋" w:cs="仿宋"/>
          <w:b/>
          <w:color w:val="auto"/>
          <w:spacing w:val="6"/>
          <w:sz w:val="32"/>
          <w:szCs w:val="32"/>
          <w:highlight w:val="none"/>
        </w:rPr>
      </w:pPr>
    </w:p>
    <w:p w14:paraId="479B62F5">
      <w:pPr>
        <w:spacing w:line="360" w:lineRule="auto"/>
        <w:jc w:val="center"/>
        <w:rPr>
          <w:rFonts w:hint="eastAsia" w:ascii="仿宋" w:hAnsi="仿宋" w:eastAsia="仿宋" w:cs="仿宋"/>
          <w:b/>
          <w:color w:val="auto"/>
          <w:spacing w:val="6"/>
          <w:sz w:val="32"/>
          <w:szCs w:val="32"/>
          <w:highlight w:val="none"/>
        </w:rPr>
      </w:pPr>
    </w:p>
    <w:p w14:paraId="24853A55">
      <w:pPr>
        <w:spacing w:line="360" w:lineRule="auto"/>
        <w:jc w:val="center"/>
        <w:rPr>
          <w:rFonts w:hint="eastAsia" w:ascii="仿宋" w:hAnsi="仿宋" w:eastAsia="仿宋" w:cs="仿宋"/>
          <w:b/>
          <w:color w:val="auto"/>
          <w:spacing w:val="6"/>
          <w:sz w:val="32"/>
          <w:szCs w:val="32"/>
          <w:highlight w:val="none"/>
        </w:rPr>
      </w:pPr>
    </w:p>
    <w:p w14:paraId="121F1CEA">
      <w:pPr>
        <w:spacing w:line="360" w:lineRule="auto"/>
        <w:jc w:val="center"/>
        <w:rPr>
          <w:rFonts w:hint="eastAsia" w:ascii="仿宋" w:hAnsi="仿宋" w:eastAsia="仿宋" w:cs="仿宋"/>
          <w:b/>
          <w:color w:val="auto"/>
          <w:spacing w:val="6"/>
          <w:sz w:val="32"/>
          <w:szCs w:val="32"/>
          <w:highlight w:val="none"/>
        </w:rPr>
      </w:pPr>
    </w:p>
    <w:p w14:paraId="381331FB">
      <w:pPr>
        <w:spacing w:line="360" w:lineRule="auto"/>
        <w:jc w:val="center"/>
        <w:rPr>
          <w:rFonts w:hint="eastAsia" w:ascii="仿宋" w:hAnsi="仿宋" w:eastAsia="仿宋" w:cs="仿宋"/>
          <w:b/>
          <w:color w:val="auto"/>
          <w:spacing w:val="6"/>
          <w:sz w:val="32"/>
          <w:szCs w:val="32"/>
          <w:highlight w:val="none"/>
        </w:rPr>
      </w:pPr>
    </w:p>
    <w:p w14:paraId="7CE980F7">
      <w:pPr>
        <w:spacing w:line="360" w:lineRule="auto"/>
        <w:jc w:val="center"/>
        <w:rPr>
          <w:rFonts w:hint="eastAsia" w:ascii="仿宋" w:hAnsi="仿宋" w:eastAsia="仿宋" w:cs="仿宋"/>
          <w:b/>
          <w:color w:val="auto"/>
          <w:spacing w:val="6"/>
          <w:sz w:val="32"/>
          <w:szCs w:val="32"/>
          <w:highlight w:val="none"/>
        </w:rPr>
      </w:pPr>
    </w:p>
    <w:p w14:paraId="00E12621">
      <w:pPr>
        <w:spacing w:line="360" w:lineRule="auto"/>
        <w:jc w:val="center"/>
        <w:rPr>
          <w:rFonts w:hint="eastAsia" w:ascii="仿宋" w:hAnsi="仿宋" w:eastAsia="仿宋" w:cs="仿宋"/>
          <w:b/>
          <w:color w:val="auto"/>
          <w:spacing w:val="6"/>
          <w:sz w:val="32"/>
          <w:szCs w:val="32"/>
          <w:highlight w:val="none"/>
        </w:rPr>
      </w:pPr>
    </w:p>
    <w:p w14:paraId="588EFCB0">
      <w:pPr>
        <w:spacing w:line="360" w:lineRule="auto"/>
        <w:jc w:val="center"/>
        <w:rPr>
          <w:rFonts w:hint="eastAsia" w:ascii="仿宋" w:hAnsi="仿宋" w:eastAsia="仿宋" w:cs="仿宋"/>
          <w:b/>
          <w:color w:val="auto"/>
          <w:spacing w:val="6"/>
          <w:sz w:val="32"/>
          <w:szCs w:val="32"/>
          <w:highlight w:val="none"/>
        </w:rPr>
      </w:pPr>
    </w:p>
    <w:p w14:paraId="5C70BED6">
      <w:pPr>
        <w:spacing w:line="360" w:lineRule="auto"/>
        <w:jc w:val="left"/>
        <w:rPr>
          <w:rFonts w:hint="eastAsia" w:ascii="仿宋" w:hAnsi="仿宋" w:eastAsia="仿宋" w:cs="仿宋"/>
          <w:b/>
          <w:color w:val="auto"/>
          <w:spacing w:val="6"/>
          <w:sz w:val="32"/>
          <w:szCs w:val="32"/>
          <w:highlight w:val="none"/>
        </w:rPr>
      </w:pPr>
    </w:p>
    <w:p w14:paraId="116A8B62">
      <w:pPr>
        <w:spacing w:line="360" w:lineRule="auto"/>
        <w:jc w:val="left"/>
        <w:rPr>
          <w:rFonts w:hint="eastAsia" w:ascii="仿宋" w:hAnsi="仿宋" w:eastAsia="仿宋" w:cs="仿宋"/>
          <w:b/>
          <w:color w:val="auto"/>
          <w:spacing w:val="6"/>
          <w:sz w:val="32"/>
          <w:szCs w:val="32"/>
          <w:highlight w:val="none"/>
        </w:rPr>
      </w:pPr>
    </w:p>
    <w:p w14:paraId="76CF4AD9">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附件2：投诉书范本及制作说明</w:t>
      </w:r>
    </w:p>
    <w:p w14:paraId="2FC8F93B">
      <w:pPr>
        <w:spacing w:line="360" w:lineRule="auto"/>
        <w:jc w:val="center"/>
        <w:rPr>
          <w:rFonts w:hint="eastAsia" w:ascii="仿宋" w:hAnsi="仿宋" w:eastAsia="仿宋" w:cs="仿宋"/>
          <w:b/>
          <w:color w:val="auto"/>
          <w:sz w:val="24"/>
          <w:highlight w:val="none"/>
        </w:rPr>
      </w:pPr>
    </w:p>
    <w:p w14:paraId="2485453D">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C2EE7C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09AF8F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words"/>
        </w:rPr>
        <w:t>__________________________________</w:t>
      </w:r>
    </w:p>
    <w:p w14:paraId="20D9B1E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words"/>
        </w:rPr>
        <w:t>___________________________</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words"/>
        </w:rPr>
        <w:t>_________</w:t>
      </w:r>
    </w:p>
    <w:p w14:paraId="47B016FD">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words"/>
        </w:rPr>
        <w:t>_______________</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words"/>
        </w:rPr>
        <w:t>___________</w:t>
      </w:r>
    </w:p>
    <w:p w14:paraId="200F8E92">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words"/>
        </w:rPr>
        <w:t>_______________</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words"/>
        </w:rPr>
        <w:t>____________</w:t>
      </w:r>
    </w:p>
    <w:p w14:paraId="648E2763">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words"/>
        </w:rPr>
        <w:t>___________________________</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words"/>
        </w:rPr>
        <w:t>_________</w:t>
      </w:r>
    </w:p>
    <w:p w14:paraId="14064A85">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words"/>
        </w:rPr>
        <w:t>_______________________________</w:t>
      </w:r>
    </w:p>
    <w:p w14:paraId="335F3D75">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words"/>
        </w:rPr>
        <w:t>___________________________</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words"/>
        </w:rPr>
        <w:t>_________</w:t>
      </w:r>
    </w:p>
    <w:p w14:paraId="06AF0B90">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words"/>
        </w:rPr>
        <w:t>_______________</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words"/>
        </w:rPr>
        <w:t>____________</w:t>
      </w:r>
    </w:p>
    <w:p w14:paraId="3FF9175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8095D8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A6FC0E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words"/>
        </w:rPr>
        <w:t>__________________________________</w:t>
      </w:r>
    </w:p>
    <w:p w14:paraId="174F61C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words"/>
        </w:rPr>
        <w:t>___________________________</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words"/>
        </w:rPr>
        <w:t>_________</w:t>
      </w:r>
    </w:p>
    <w:p w14:paraId="6B33696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words"/>
        </w:rPr>
        <w:t>_______________</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rPr>
        <w:t>____________</w:t>
      </w:r>
    </w:p>
    <w:p w14:paraId="0776A3F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53E80247">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words"/>
        </w:rPr>
        <w:t>__________________________________</w:t>
      </w:r>
    </w:p>
    <w:p w14:paraId="3966A2D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words"/>
        </w:rPr>
        <w:t>_____________________</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words"/>
        </w:rPr>
        <w:t>______________</w:t>
      </w:r>
    </w:p>
    <w:p w14:paraId="5CEA00C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征集人名称：</w:t>
      </w:r>
      <w:r>
        <w:rPr>
          <w:rFonts w:hint="eastAsia" w:ascii="仿宋" w:hAnsi="仿宋" w:eastAsia="仿宋" w:cs="仿宋"/>
          <w:color w:val="auto"/>
          <w:sz w:val="24"/>
          <w:highlight w:val="none"/>
          <w:u w:val="words"/>
        </w:rPr>
        <w:t>__________________________________</w:t>
      </w:r>
    </w:p>
    <w:p w14:paraId="1A38301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words"/>
        </w:rPr>
        <w:t>__________________________________</w:t>
      </w:r>
    </w:p>
    <w:p w14:paraId="32D0E91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征集文件公告:是/否    公告期限：</w:t>
      </w:r>
      <w:r>
        <w:rPr>
          <w:rFonts w:hint="eastAsia" w:ascii="仿宋" w:hAnsi="仿宋" w:eastAsia="仿宋" w:cs="仿宋"/>
          <w:color w:val="auto"/>
          <w:sz w:val="24"/>
          <w:highlight w:val="none"/>
          <w:u w:val="words"/>
        </w:rPr>
        <w:t>_________________</w:t>
      </w:r>
    </w:p>
    <w:p w14:paraId="7840270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采购结果公告:是/否    公告期限：</w:t>
      </w:r>
      <w:r>
        <w:rPr>
          <w:rFonts w:hint="eastAsia" w:ascii="仿宋" w:hAnsi="仿宋" w:eastAsia="仿宋" w:cs="仿宋"/>
          <w:color w:val="auto"/>
          <w:sz w:val="24"/>
          <w:highlight w:val="none"/>
          <w:u w:val="words"/>
        </w:rPr>
        <w:t>_________________</w:t>
      </w:r>
    </w:p>
    <w:p w14:paraId="6B9A11F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11A3F40">
      <w:pPr>
        <w:spacing w:line="360" w:lineRule="auto"/>
        <w:ind w:firstLine="480" w:firstLineChars="200"/>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words"/>
        </w:rPr>
        <w:t>_____</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words"/>
        </w:rPr>
        <w:t>__</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words"/>
        </w:rPr>
        <w:t>__</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words"/>
        </w:rPr>
        <w:t>__________________</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words"/>
        </w:rPr>
        <w:t>__________________________________________________________________________</w:t>
      </w:r>
    </w:p>
    <w:p w14:paraId="6AC2FC7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征集人/代理机构于</w:t>
      </w:r>
      <w:r>
        <w:rPr>
          <w:rFonts w:hint="eastAsia" w:ascii="仿宋" w:hAnsi="仿宋" w:eastAsia="仿宋" w:cs="仿宋"/>
          <w:color w:val="auto"/>
          <w:sz w:val="24"/>
          <w:highlight w:val="none"/>
          <w:u w:val="words"/>
        </w:rPr>
        <w:t>____</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words"/>
        </w:rPr>
        <w:t>__</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words"/>
        </w:rPr>
        <w:t>__</w:t>
      </w:r>
      <w:r>
        <w:rPr>
          <w:rFonts w:hint="eastAsia" w:ascii="仿宋" w:hAnsi="仿宋" w:eastAsia="仿宋" w:cs="仿宋"/>
          <w:color w:val="auto"/>
          <w:sz w:val="24"/>
          <w:highlight w:val="none"/>
        </w:rPr>
        <w:t>日,就质疑事项作出了答复/没有在法定期限内作出答复。</w:t>
      </w:r>
    </w:p>
    <w:p w14:paraId="078288F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7796182C">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words"/>
        </w:rPr>
        <w:t>________________________________________________________________</w:t>
      </w:r>
    </w:p>
    <w:p w14:paraId="207DC7AD">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words"/>
        </w:rPr>
        <w:t>__________________________________________________________________</w:t>
      </w:r>
    </w:p>
    <w:p w14:paraId="0C7CAC76">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u w:val="words"/>
        </w:rPr>
        <w:t>___________________________________________________________________________</w:t>
      </w:r>
    </w:p>
    <w:p w14:paraId="1A28EA77">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words"/>
        </w:rPr>
        <w:t>__________________________________________________________________</w:t>
      </w:r>
    </w:p>
    <w:p w14:paraId="1C5D2ECF">
      <w:pPr>
        <w:spacing w:line="360" w:lineRule="auto"/>
        <w:rPr>
          <w:rFonts w:hint="eastAsia" w:ascii="仿宋" w:hAnsi="仿宋" w:eastAsia="仿宋" w:cs="仿宋"/>
          <w:color w:val="auto"/>
          <w:sz w:val="24"/>
          <w:highlight w:val="none"/>
          <w:u w:val="words"/>
        </w:rPr>
      </w:pPr>
      <w:r>
        <w:rPr>
          <w:rFonts w:hint="eastAsia" w:ascii="仿宋" w:hAnsi="仿宋" w:eastAsia="仿宋" w:cs="仿宋"/>
          <w:color w:val="auto"/>
          <w:sz w:val="24"/>
          <w:highlight w:val="none"/>
          <w:u w:val="words"/>
        </w:rPr>
        <w:t>___________________________________________________________________________</w:t>
      </w:r>
    </w:p>
    <w:p w14:paraId="544F8AE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28F3141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F0C5F8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4343B9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words"/>
        </w:rPr>
        <w:t>______________________________________________________________________</w:t>
      </w:r>
    </w:p>
    <w:p w14:paraId="3DA65E7D">
      <w:pPr>
        <w:spacing w:line="360" w:lineRule="auto"/>
        <w:rPr>
          <w:rFonts w:hint="eastAsia" w:ascii="仿宋" w:hAnsi="仿宋" w:eastAsia="仿宋" w:cs="仿宋"/>
          <w:color w:val="auto"/>
          <w:sz w:val="24"/>
          <w:highlight w:val="none"/>
          <w:u w:val="single"/>
        </w:rPr>
      </w:pPr>
    </w:p>
    <w:p w14:paraId="1D4C416A">
      <w:pPr>
        <w:spacing w:line="360" w:lineRule="auto"/>
        <w:rPr>
          <w:rFonts w:hint="eastAsia" w:ascii="仿宋" w:hAnsi="仿宋" w:eastAsia="仿宋" w:cs="仿宋"/>
          <w:color w:val="auto"/>
          <w:sz w:val="24"/>
          <w:highlight w:val="none"/>
        </w:rPr>
      </w:pPr>
    </w:p>
    <w:p w14:paraId="014947F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52F90E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BA5CE4B">
      <w:pPr>
        <w:spacing w:line="360" w:lineRule="auto"/>
        <w:rPr>
          <w:rFonts w:hint="eastAsia" w:ascii="仿宋" w:hAnsi="仿宋" w:eastAsia="仿宋" w:cs="仿宋"/>
          <w:b/>
          <w:color w:val="auto"/>
          <w:sz w:val="24"/>
          <w:highlight w:val="none"/>
        </w:rPr>
      </w:pPr>
    </w:p>
    <w:p w14:paraId="0C3D55A0">
      <w:pPr>
        <w:spacing w:line="360" w:lineRule="auto"/>
        <w:rPr>
          <w:rFonts w:hint="eastAsia" w:ascii="仿宋" w:hAnsi="仿宋" w:eastAsia="仿宋" w:cs="仿宋"/>
          <w:b/>
          <w:color w:val="auto"/>
          <w:sz w:val="24"/>
          <w:highlight w:val="none"/>
        </w:rPr>
      </w:pPr>
    </w:p>
    <w:p w14:paraId="2622033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7729B1F0">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2E24B813">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69628B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1EE8AE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6100FF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DFAD8A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D203A31">
      <w:pPr>
        <w:widowControl/>
        <w:spacing w:line="360" w:lineRule="auto"/>
        <w:ind w:firstLine="480" w:firstLineChars="200"/>
        <w:jc w:val="left"/>
        <w:rPr>
          <w:rFonts w:hint="eastAsia"/>
          <w:color w:val="auto"/>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sectPr>
      <w:footerReference r:id="rId18" w:type="first"/>
      <w:footerReference r:id="rId17" w:type="default"/>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40502020204"/>
    <w:charset w:val="00"/>
    <w:family w:val="swiss"/>
    <w:pitch w:val="default"/>
    <w:sig w:usb0="00000000" w:usb1="00000000" w:usb2="00000000" w:usb3="00000000" w:csb0="000100FF" w:csb1="00000000"/>
  </w:font>
  <w:font w:name="Lucida Sans Unicode">
    <w:panose1 w:val="020B0602030504020204"/>
    <w:charset w:val="00"/>
    <w:family w:val="auto"/>
    <w:pitch w:val="default"/>
    <w:sig w:usb0="80001AFF" w:usb1="0000396B" w:usb2="00000000" w:usb3="00000000" w:csb0="200000BF" w:csb1="D7F70000"/>
  </w:font>
  <w:font w:name="Arial Narrow">
    <w:altName w:val="Arial"/>
    <w:panose1 w:val="020B0606020202030204"/>
    <w:charset w:val="00"/>
    <w:family w:val="swiss"/>
    <w:pitch w:val="default"/>
    <w:sig w:usb0="00000000" w:usb1="00000000" w:usb2="00000000" w:usb3="00000000" w:csb0="2000009F" w:csb1="DFD7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Bk">
    <w:altName w:val="Trebuchet MS"/>
    <w:panose1 w:val="00000000000000000000"/>
    <w:charset w:val="00"/>
    <w:family w:val="swiss"/>
    <w:pitch w:val="default"/>
    <w:sig w:usb0="00000000" w:usb1="00000000" w:usb2="00000000" w:usb3="00000000" w:csb0="0000009F"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新宋体">
    <w:panose1 w:val="02010609030101010101"/>
    <w:charset w:val="86"/>
    <w:family w:val="modern"/>
    <w:pitch w:val="default"/>
    <w:sig w:usb0="00000203" w:usb1="288F0000" w:usb2="0000000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Futura Hv">
    <w:altName w:val="Arial"/>
    <w:panose1 w:val="00000000000000000000"/>
    <w:charset w:val="00"/>
    <w:family w:val="swiss"/>
    <w:pitch w:val="default"/>
    <w:sig w:usb0="00000000" w:usb1="00000000" w:usb2="00000000" w:usb3="00000000" w:csb0="0000009F"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Courier New"/>
    <w:panose1 w:val="00000000000000000000"/>
    <w:charset w:val="00"/>
    <w:family w:val="roman"/>
    <w:pitch w:val="default"/>
    <w:sig w:usb0="00000000" w:usb1="00000000" w:usb2="00000000" w:usb3="00000000" w:csb0="00000011"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Mincho">
    <w:altName w:val="MS UI Gothic"/>
    <w:panose1 w:val="02020609040205080304"/>
    <w:charset w:val="80"/>
    <w:family w:val="modern"/>
    <w:pitch w:val="default"/>
    <w:sig w:usb0="00000000" w:usb1="00000000" w:usb2="00000012" w:usb3="00000000" w:csb0="4002009F" w:csb1="DFD7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40B64">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53282">
    <w:pPr>
      <w:pStyle w:val="37"/>
      <w:framePr w:wrap="around" w:vAnchor="text" w:hAnchor="margin" w:xAlign="right" w:y="1"/>
      <w:rPr>
        <w:rStyle w:val="64"/>
      </w:rPr>
    </w:pPr>
    <w:r>
      <w:fldChar w:fldCharType="begin"/>
    </w:r>
    <w:r>
      <w:rPr>
        <w:rStyle w:val="64"/>
      </w:rPr>
      <w:instrText xml:space="preserve">PAGE  </w:instrText>
    </w:r>
    <w:r>
      <w:fldChar w:fldCharType="separate"/>
    </w:r>
    <w:r>
      <w:fldChar w:fldCharType="end"/>
    </w:r>
  </w:p>
  <w:p w14:paraId="354CD1CB">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3DFA6F">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8331F">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341FFEB7">
    <w:pPr>
      <w:rPr>
        <w:rFonts w:hint="eastAsia"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5D0BA">
    <w:pPr>
      <w:pStyle w:val="37"/>
      <w:framePr w:wrap="around" w:vAnchor="text" w:hAnchor="margin" w:xAlign="right" w:y="1"/>
      <w:rPr>
        <w:rStyle w:val="64"/>
      </w:rPr>
    </w:pPr>
    <w:r>
      <w:fldChar w:fldCharType="begin"/>
    </w:r>
    <w:r>
      <w:rPr>
        <w:rStyle w:val="64"/>
      </w:rPr>
      <w:instrText xml:space="preserve">PAGE  </w:instrText>
    </w:r>
    <w:r>
      <w:fldChar w:fldCharType="separate"/>
    </w:r>
    <w:r>
      <w:fldChar w:fldCharType="end"/>
    </w:r>
  </w:p>
  <w:p w14:paraId="0F735EA8">
    <w:pPr>
      <w:pStyle w:val="37"/>
      <w:ind w:right="360"/>
    </w:pPr>
  </w:p>
  <w:p w14:paraId="1F9A5DA3"/>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449D7">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76626E3F">
    <w:pPr>
      <w:rPr>
        <w:rFonts w:hint="eastAsia"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8E2B2">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03EA7429">
    <w:pPr>
      <w:rPr>
        <w:rFonts w:hint="eastAsia"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5DC8C">
    <w:pPr>
      <w:pStyle w:val="37"/>
      <w:framePr w:wrap="around" w:vAnchor="text" w:hAnchor="margin" w:xAlign="right" w:y="1"/>
      <w:rPr>
        <w:rStyle w:val="64"/>
      </w:rPr>
    </w:pPr>
    <w:r>
      <w:fldChar w:fldCharType="begin"/>
    </w:r>
    <w:r>
      <w:rPr>
        <w:rStyle w:val="64"/>
      </w:rPr>
      <w:instrText xml:space="preserve">PAGE  </w:instrText>
    </w:r>
    <w:r>
      <w:fldChar w:fldCharType="separate"/>
    </w:r>
    <w:r>
      <w:fldChar w:fldCharType="end"/>
    </w:r>
  </w:p>
  <w:p w14:paraId="372AE5ED">
    <w:pPr>
      <w:pStyle w:val="37"/>
      <w:ind w:right="360"/>
    </w:pPr>
  </w:p>
  <w:p w14:paraId="398A2791"/>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0F359">
    <w:pPr>
      <w:pStyle w:val="37"/>
      <w:jc w:val="center"/>
      <w:rPr>
        <w:rFonts w:hint="eastAsia"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756663CB">
    <w:pPr>
      <w:rPr>
        <w:rFonts w:hint="eastAsia"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855D8">
    <w:pPr>
      <w:pStyle w:val="37"/>
      <w:jc w:val="center"/>
      <w:rPr>
        <w:rFonts w:hint="eastAsia"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218FB">
    <w:pPr>
      <w:pStyle w:val="37"/>
      <w:jc w:val="center"/>
      <w:rPr>
        <w:rFonts w:hint="eastAsia"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bookmarkStart w:id="446" w:name="_Toc131845147"/>
    <w:bookmarkStart w:id="447" w:name="_Toc164085800"/>
    <w:bookmarkStart w:id="448" w:name="_Toc91899912"/>
    <w:bookmarkStart w:id="449" w:name="_Toc36110187"/>
    <w:r>
      <w:rPr>
        <w:rFonts w:hint="eastAsia" w:ascii="仿宋_GB2312" w:eastAsia="仿宋_GB2312"/>
        <w:kern w:val="0"/>
        <w:szCs w:val="21"/>
      </w:rPr>
      <w:t xml:space="preserve"> 页</w:t>
    </w:r>
    <w:bookmarkEnd w:id="446"/>
    <w:bookmarkEnd w:id="447"/>
    <w:bookmarkEnd w:id="448"/>
    <w:bookmarkEnd w:id="44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2D44E">
    <w:pPr>
      <w:pStyle w:val="38"/>
      <w:jc w:val="right"/>
    </w:pPr>
    <w:r>
      <w:rPr>
        <w:rFonts w:hint="eastAsia"/>
      </w:rPr>
      <w:t xml:space="preserve">                                                                                                                               绍兴市柯桥区政府采购公开招标文件</w:t>
    </w:r>
  </w:p>
  <w:p w14:paraId="0B35FD01">
    <w:pPr>
      <w:pStyle w:val="56"/>
      <w:tabs>
        <w:tab w:val="center" w:pos="4535"/>
        <w:tab w:val="right" w:pos="9070"/>
      </w:tabs>
      <w:ind w:firstLine="180" w:firstLineChars="100"/>
      <w:jc w:val="both"/>
      <w:rPr>
        <w:rFonts w:hint="eastAsia"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18292">
    <w:pPr>
      <w:pStyle w:val="38"/>
      <w:pBdr>
        <w:bottom w:val="single" w:color="auto" w:sz="6" w:space="0"/>
      </w:pBdr>
      <w:tabs>
        <w:tab w:val="center" w:pos="4535"/>
        <w:tab w:val="right" w:pos="9070"/>
        <w:tab w:val="clear" w:pos="4153"/>
        <w:tab w:val="clear" w:pos="8306"/>
      </w:tabs>
      <w:jc w:val="right"/>
    </w:pPr>
    <w:r>
      <w:rPr>
        <w:rFonts w:hint="eastAsia"/>
        <w:lang w:val="zh-CN"/>
      </w:rPr>
      <w:t xml:space="preserve"> 绍兴市柯桥区政府采购公开招标文件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C0116">
    <w:pPr>
      <w:pStyle w:val="38"/>
    </w:pPr>
  </w:p>
  <w:p w14:paraId="4C3FD692"/>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17EB8">
    <w:pPr>
      <w:pStyle w:val="38"/>
      <w:jc w:val="right"/>
    </w:pPr>
    <w:r>
      <w:rPr>
        <w:rFonts w:hint="eastAsia"/>
      </w:rPr>
      <w:t xml:space="preserve">                                                                     </w:t>
    </w:r>
    <w:r>
      <w:t xml:space="preserve">  </w:t>
    </w:r>
    <w:r>
      <w:rPr>
        <w:rFonts w:hint="eastAsia"/>
      </w:rPr>
      <w:t xml:space="preserve">                                                        绍兴市柯桥区政府采购公开招标文件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93C6B">
    <w:pPr>
      <w:pStyle w:val="38"/>
    </w:pPr>
  </w:p>
  <w:p w14:paraId="5FB2C0B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32"/>
      <w:lvlText w:val=""/>
      <w:lvlJc w:val="left"/>
      <w:pPr>
        <w:tabs>
          <w:tab w:val="left" w:pos="840"/>
        </w:tabs>
        <w:ind w:left="840" w:hanging="420"/>
      </w:pPr>
      <w:rPr>
        <w:rFonts w:hint="default" w:ascii="Wingdings" w:hAnsi="Wingdings"/>
      </w:rPr>
    </w:lvl>
    <w:lvl w:ilvl="1" w:tentative="0">
      <w:start w:val="1"/>
      <w:numFmt w:val="bullet"/>
      <w:pStyle w:val="369"/>
      <w:lvlText w:val=""/>
      <w:lvlJc w:val="left"/>
      <w:pPr>
        <w:tabs>
          <w:tab w:val="left" w:pos="1260"/>
        </w:tabs>
        <w:ind w:left="1260" w:hanging="420"/>
      </w:pPr>
      <w:rPr>
        <w:rFonts w:hint="default" w:ascii="Wingdings" w:hAnsi="Wingdings"/>
      </w:rPr>
    </w:lvl>
    <w:lvl w:ilvl="2" w:tentative="0">
      <w:start w:val="1"/>
      <w:numFmt w:val="bullet"/>
      <w:pStyle w:val="381"/>
      <w:lvlText w:val=""/>
      <w:lvlJc w:val="left"/>
      <w:pPr>
        <w:tabs>
          <w:tab w:val="left" w:pos="1680"/>
        </w:tabs>
        <w:ind w:left="1680" w:hanging="420"/>
      </w:pPr>
      <w:rPr>
        <w:rFonts w:hint="default" w:ascii="Wingdings" w:hAnsi="Wingdings"/>
      </w:rPr>
    </w:lvl>
    <w:lvl w:ilvl="3" w:tentative="0">
      <w:start w:val="1"/>
      <w:numFmt w:val="bullet"/>
      <w:pStyle w:val="363"/>
      <w:lvlText w:val=""/>
      <w:lvlJc w:val="left"/>
      <w:pPr>
        <w:tabs>
          <w:tab w:val="left" w:pos="2100"/>
        </w:tabs>
        <w:ind w:left="2100" w:hanging="420"/>
      </w:pPr>
      <w:rPr>
        <w:rFonts w:hint="default" w:ascii="Wingdings" w:hAnsi="Wingdings"/>
      </w:rPr>
    </w:lvl>
    <w:lvl w:ilvl="4" w:tentative="0">
      <w:start w:val="1"/>
      <w:numFmt w:val="bullet"/>
      <w:pStyle w:val="495"/>
      <w:lvlText w:val=""/>
      <w:lvlJc w:val="left"/>
      <w:pPr>
        <w:tabs>
          <w:tab w:val="left" w:pos="2520"/>
        </w:tabs>
        <w:ind w:left="2520" w:hanging="420"/>
      </w:pPr>
      <w:rPr>
        <w:rFonts w:hint="default" w:ascii="Wingdings" w:hAnsi="Wingdings"/>
      </w:rPr>
    </w:lvl>
    <w:lvl w:ilvl="5" w:tentative="0">
      <w:start w:val="1"/>
      <w:numFmt w:val="bullet"/>
      <w:pStyle w:val="292"/>
      <w:lvlText w:val=""/>
      <w:lvlJc w:val="left"/>
      <w:pPr>
        <w:tabs>
          <w:tab w:val="left" w:pos="2940"/>
        </w:tabs>
        <w:ind w:left="2940" w:hanging="420"/>
      </w:pPr>
      <w:rPr>
        <w:rFonts w:hint="default" w:ascii="Wingdings" w:hAnsi="Wingdings"/>
      </w:rPr>
    </w:lvl>
    <w:lvl w:ilvl="6" w:tentative="0">
      <w:start w:val="1"/>
      <w:numFmt w:val="bullet"/>
      <w:pStyle w:val="291"/>
      <w:lvlText w:val=""/>
      <w:lvlJc w:val="left"/>
      <w:pPr>
        <w:tabs>
          <w:tab w:val="left" w:pos="3360"/>
        </w:tabs>
        <w:ind w:left="3360" w:hanging="420"/>
      </w:pPr>
      <w:rPr>
        <w:rFonts w:hint="default" w:ascii="Wingdings" w:hAnsi="Wingdings"/>
      </w:rPr>
    </w:lvl>
    <w:lvl w:ilvl="7" w:tentative="0">
      <w:start w:val="1"/>
      <w:numFmt w:val="bullet"/>
      <w:pStyle w:val="601"/>
      <w:lvlText w:val=""/>
      <w:lvlJc w:val="left"/>
      <w:pPr>
        <w:tabs>
          <w:tab w:val="left" w:pos="3780"/>
        </w:tabs>
        <w:ind w:left="3780" w:hanging="420"/>
      </w:pPr>
      <w:rPr>
        <w:rFonts w:hint="default" w:ascii="Wingdings" w:hAnsi="Wingdings"/>
      </w:rPr>
    </w:lvl>
    <w:lvl w:ilvl="8" w:tentative="0">
      <w:start w:val="1"/>
      <w:numFmt w:val="bullet"/>
      <w:pStyle w:val="598"/>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2453AF2"/>
    <w:multiLevelType w:val="singleLevel"/>
    <w:tmpl w:val="02453AF2"/>
    <w:lvl w:ilvl="0" w:tentative="0">
      <w:start w:val="1"/>
      <w:numFmt w:val="decimal"/>
      <w:suff w:val="nothing"/>
      <w:lvlText w:val="（%1）"/>
      <w:lvlJc w:val="left"/>
    </w:lvl>
  </w:abstractNum>
  <w:abstractNum w:abstractNumId="5">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1876C6BA"/>
    <w:multiLevelType w:val="singleLevel"/>
    <w:tmpl w:val="1876C6BA"/>
    <w:lvl w:ilvl="0" w:tentative="0">
      <w:start w:val="1"/>
      <w:numFmt w:val="chineseCounting"/>
      <w:suff w:val="nothing"/>
      <w:lvlText w:val="%1、"/>
      <w:lvlJc w:val="left"/>
      <w:rPr>
        <w:rFonts w:hint="eastAsia"/>
      </w:rPr>
    </w:lvl>
  </w:abstractNum>
  <w:abstractNum w:abstractNumId="7">
    <w:nsid w:val="578B3BD2"/>
    <w:multiLevelType w:val="multilevel"/>
    <w:tmpl w:val="578B3BD2"/>
    <w:lvl w:ilvl="0" w:tentative="0">
      <w:start w:val="1"/>
      <w:numFmt w:val="decimal"/>
      <w:pStyle w:val="561"/>
      <w:lvlText w:val="%1"/>
      <w:lvlJc w:val="left"/>
      <w:pPr>
        <w:tabs>
          <w:tab w:val="left" w:pos="480"/>
        </w:tabs>
        <w:ind w:left="480" w:hanging="480"/>
      </w:pPr>
      <w:rPr>
        <w:rFonts w:hint="eastAsia"/>
        <w:sz w:val="44"/>
        <w:szCs w:val="44"/>
      </w:rPr>
    </w:lvl>
    <w:lvl w:ilvl="1" w:tentative="0">
      <w:start w:val="1"/>
      <w:numFmt w:val="decimal"/>
      <w:pStyle w:val="49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13"/>
      <w:lvlText w:val="%1.%2.%3.%4.%5"/>
      <w:lvlJc w:val="left"/>
      <w:pPr>
        <w:tabs>
          <w:tab w:val="left" w:pos="1080"/>
        </w:tabs>
        <w:ind w:left="1080" w:hanging="1080"/>
      </w:pPr>
      <w:rPr>
        <w:rFonts w:hint="default"/>
      </w:rPr>
    </w:lvl>
    <w:lvl w:ilvl="5" w:tentative="0">
      <w:start w:val="1"/>
      <w:numFmt w:val="decimal"/>
      <w:pStyle w:val="52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73596DCC"/>
    <w:multiLevelType w:val="multilevel"/>
    <w:tmpl w:val="73596DCC"/>
    <w:lvl w:ilvl="0" w:tentative="0">
      <w:start w:val="1"/>
      <w:numFmt w:val="bullet"/>
      <w:pStyle w:val="45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7"/>
  </w:num>
  <w:num w:numId="6">
    <w:abstractNumId w:val="8"/>
  </w:num>
  <w:num w:numId="7">
    <w:abstractNumId w:val="6"/>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278"/>
    <w:rsid w:val="00000451"/>
    <w:rsid w:val="000004B6"/>
    <w:rsid w:val="0000133D"/>
    <w:rsid w:val="00002075"/>
    <w:rsid w:val="00003EFB"/>
    <w:rsid w:val="00005728"/>
    <w:rsid w:val="000058BD"/>
    <w:rsid w:val="00006109"/>
    <w:rsid w:val="00006725"/>
    <w:rsid w:val="0000675E"/>
    <w:rsid w:val="00006851"/>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67E7"/>
    <w:rsid w:val="000270F2"/>
    <w:rsid w:val="000274CD"/>
    <w:rsid w:val="00027540"/>
    <w:rsid w:val="00030572"/>
    <w:rsid w:val="00030CB3"/>
    <w:rsid w:val="0003206A"/>
    <w:rsid w:val="000326A7"/>
    <w:rsid w:val="00032EA0"/>
    <w:rsid w:val="000336D4"/>
    <w:rsid w:val="00034FA7"/>
    <w:rsid w:val="000357E4"/>
    <w:rsid w:val="00035ACA"/>
    <w:rsid w:val="00035BFB"/>
    <w:rsid w:val="00036D8E"/>
    <w:rsid w:val="00040E86"/>
    <w:rsid w:val="00041892"/>
    <w:rsid w:val="00042533"/>
    <w:rsid w:val="00042E65"/>
    <w:rsid w:val="0004347C"/>
    <w:rsid w:val="00043907"/>
    <w:rsid w:val="00044966"/>
    <w:rsid w:val="00044D5D"/>
    <w:rsid w:val="00044F48"/>
    <w:rsid w:val="00045085"/>
    <w:rsid w:val="00045ABD"/>
    <w:rsid w:val="00046153"/>
    <w:rsid w:val="0004708A"/>
    <w:rsid w:val="00047354"/>
    <w:rsid w:val="0004753C"/>
    <w:rsid w:val="00050656"/>
    <w:rsid w:val="00051B00"/>
    <w:rsid w:val="0005205F"/>
    <w:rsid w:val="0005238F"/>
    <w:rsid w:val="00052BB8"/>
    <w:rsid w:val="00052C94"/>
    <w:rsid w:val="000531C9"/>
    <w:rsid w:val="0005417A"/>
    <w:rsid w:val="00054D39"/>
    <w:rsid w:val="0005501B"/>
    <w:rsid w:val="000550F5"/>
    <w:rsid w:val="00055337"/>
    <w:rsid w:val="000554C7"/>
    <w:rsid w:val="00055506"/>
    <w:rsid w:val="00056402"/>
    <w:rsid w:val="00056791"/>
    <w:rsid w:val="000568DF"/>
    <w:rsid w:val="000574B4"/>
    <w:rsid w:val="000578A3"/>
    <w:rsid w:val="00057D4C"/>
    <w:rsid w:val="00060EFD"/>
    <w:rsid w:val="00061A3C"/>
    <w:rsid w:val="00061C48"/>
    <w:rsid w:val="00064278"/>
    <w:rsid w:val="000646CA"/>
    <w:rsid w:val="000665C4"/>
    <w:rsid w:val="00066DB0"/>
    <w:rsid w:val="00067821"/>
    <w:rsid w:val="0006785E"/>
    <w:rsid w:val="00067EBE"/>
    <w:rsid w:val="00067F92"/>
    <w:rsid w:val="00067FA7"/>
    <w:rsid w:val="0007032C"/>
    <w:rsid w:val="0007038E"/>
    <w:rsid w:val="0007077C"/>
    <w:rsid w:val="00070825"/>
    <w:rsid w:val="00071CD8"/>
    <w:rsid w:val="00072AED"/>
    <w:rsid w:val="00072B56"/>
    <w:rsid w:val="00072D2B"/>
    <w:rsid w:val="000730B1"/>
    <w:rsid w:val="00073860"/>
    <w:rsid w:val="000738EA"/>
    <w:rsid w:val="000749D6"/>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EEB"/>
    <w:rsid w:val="00086F8A"/>
    <w:rsid w:val="00090243"/>
    <w:rsid w:val="000904F6"/>
    <w:rsid w:val="00090D1B"/>
    <w:rsid w:val="00090ED8"/>
    <w:rsid w:val="000912CD"/>
    <w:rsid w:val="0009145F"/>
    <w:rsid w:val="00091A40"/>
    <w:rsid w:val="00091B4E"/>
    <w:rsid w:val="00092FE9"/>
    <w:rsid w:val="00093BC1"/>
    <w:rsid w:val="00094342"/>
    <w:rsid w:val="00094F0E"/>
    <w:rsid w:val="00095954"/>
    <w:rsid w:val="000960BA"/>
    <w:rsid w:val="0009662A"/>
    <w:rsid w:val="00096DFF"/>
    <w:rsid w:val="000974A2"/>
    <w:rsid w:val="000A0E69"/>
    <w:rsid w:val="000A0FEB"/>
    <w:rsid w:val="000A1A52"/>
    <w:rsid w:val="000A1F98"/>
    <w:rsid w:val="000A2338"/>
    <w:rsid w:val="000A3D58"/>
    <w:rsid w:val="000A47B0"/>
    <w:rsid w:val="000A4808"/>
    <w:rsid w:val="000A49BB"/>
    <w:rsid w:val="000A4F22"/>
    <w:rsid w:val="000A5674"/>
    <w:rsid w:val="000A5A46"/>
    <w:rsid w:val="000A5F83"/>
    <w:rsid w:val="000A7299"/>
    <w:rsid w:val="000A7CBC"/>
    <w:rsid w:val="000B0262"/>
    <w:rsid w:val="000B0E04"/>
    <w:rsid w:val="000B291B"/>
    <w:rsid w:val="000B2C6D"/>
    <w:rsid w:val="000B456C"/>
    <w:rsid w:val="000B4B56"/>
    <w:rsid w:val="000B4C62"/>
    <w:rsid w:val="000B525C"/>
    <w:rsid w:val="000B54C1"/>
    <w:rsid w:val="000B59B5"/>
    <w:rsid w:val="000B6815"/>
    <w:rsid w:val="000B721A"/>
    <w:rsid w:val="000C0A43"/>
    <w:rsid w:val="000C1411"/>
    <w:rsid w:val="000C1A68"/>
    <w:rsid w:val="000C1ADE"/>
    <w:rsid w:val="000C1BFA"/>
    <w:rsid w:val="000C1C38"/>
    <w:rsid w:val="000C2264"/>
    <w:rsid w:val="000C256B"/>
    <w:rsid w:val="000C3970"/>
    <w:rsid w:val="000C3B1A"/>
    <w:rsid w:val="000C4727"/>
    <w:rsid w:val="000C47AE"/>
    <w:rsid w:val="000C4D39"/>
    <w:rsid w:val="000C51AD"/>
    <w:rsid w:val="000C5374"/>
    <w:rsid w:val="000C5C30"/>
    <w:rsid w:val="000C5EC0"/>
    <w:rsid w:val="000C5FD7"/>
    <w:rsid w:val="000C6162"/>
    <w:rsid w:val="000C6688"/>
    <w:rsid w:val="000C6B27"/>
    <w:rsid w:val="000C7BEB"/>
    <w:rsid w:val="000C7FA9"/>
    <w:rsid w:val="000D0124"/>
    <w:rsid w:val="000D11E5"/>
    <w:rsid w:val="000D19E8"/>
    <w:rsid w:val="000D22F4"/>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03E6"/>
    <w:rsid w:val="000E0508"/>
    <w:rsid w:val="000E1AD5"/>
    <w:rsid w:val="000E2785"/>
    <w:rsid w:val="000E27BB"/>
    <w:rsid w:val="000E3153"/>
    <w:rsid w:val="000E386F"/>
    <w:rsid w:val="000E4051"/>
    <w:rsid w:val="000E4765"/>
    <w:rsid w:val="000E4D68"/>
    <w:rsid w:val="000E5B7E"/>
    <w:rsid w:val="000E5FF9"/>
    <w:rsid w:val="000E62A0"/>
    <w:rsid w:val="000E6AE1"/>
    <w:rsid w:val="000E7142"/>
    <w:rsid w:val="000E7180"/>
    <w:rsid w:val="000E7632"/>
    <w:rsid w:val="000E7739"/>
    <w:rsid w:val="000E77EE"/>
    <w:rsid w:val="000F0E58"/>
    <w:rsid w:val="000F1619"/>
    <w:rsid w:val="000F218D"/>
    <w:rsid w:val="000F2530"/>
    <w:rsid w:val="000F2940"/>
    <w:rsid w:val="000F3D08"/>
    <w:rsid w:val="000F4495"/>
    <w:rsid w:val="000F4A05"/>
    <w:rsid w:val="000F505B"/>
    <w:rsid w:val="000F6366"/>
    <w:rsid w:val="000F68A0"/>
    <w:rsid w:val="000F6CC2"/>
    <w:rsid w:val="000F702E"/>
    <w:rsid w:val="0010118C"/>
    <w:rsid w:val="0010125E"/>
    <w:rsid w:val="00101967"/>
    <w:rsid w:val="0010334E"/>
    <w:rsid w:val="00103D85"/>
    <w:rsid w:val="00103EBD"/>
    <w:rsid w:val="00104E5B"/>
    <w:rsid w:val="00104EEC"/>
    <w:rsid w:val="001050C7"/>
    <w:rsid w:val="001050DC"/>
    <w:rsid w:val="00105482"/>
    <w:rsid w:val="001055BB"/>
    <w:rsid w:val="001056A5"/>
    <w:rsid w:val="00105BA9"/>
    <w:rsid w:val="00106AAA"/>
    <w:rsid w:val="00107BBD"/>
    <w:rsid w:val="00107BC7"/>
    <w:rsid w:val="00110228"/>
    <w:rsid w:val="001102B5"/>
    <w:rsid w:val="00111C7D"/>
    <w:rsid w:val="00112038"/>
    <w:rsid w:val="001127FF"/>
    <w:rsid w:val="00112B0B"/>
    <w:rsid w:val="00112B5C"/>
    <w:rsid w:val="00113123"/>
    <w:rsid w:val="0011383E"/>
    <w:rsid w:val="00114847"/>
    <w:rsid w:val="00114D6A"/>
    <w:rsid w:val="0011560B"/>
    <w:rsid w:val="0011585B"/>
    <w:rsid w:val="00115B1A"/>
    <w:rsid w:val="00115C71"/>
    <w:rsid w:val="001160FF"/>
    <w:rsid w:val="001168F8"/>
    <w:rsid w:val="001176FF"/>
    <w:rsid w:val="00120F18"/>
    <w:rsid w:val="0012159D"/>
    <w:rsid w:val="001231D3"/>
    <w:rsid w:val="001232A7"/>
    <w:rsid w:val="0012419E"/>
    <w:rsid w:val="001248EF"/>
    <w:rsid w:val="00124FC4"/>
    <w:rsid w:val="001253AB"/>
    <w:rsid w:val="0012574C"/>
    <w:rsid w:val="001259B8"/>
    <w:rsid w:val="00126679"/>
    <w:rsid w:val="0012687C"/>
    <w:rsid w:val="0012693E"/>
    <w:rsid w:val="00130B94"/>
    <w:rsid w:val="00131762"/>
    <w:rsid w:val="00131C2D"/>
    <w:rsid w:val="0013202C"/>
    <w:rsid w:val="00132CBF"/>
    <w:rsid w:val="00133742"/>
    <w:rsid w:val="001350F7"/>
    <w:rsid w:val="00135562"/>
    <w:rsid w:val="00135769"/>
    <w:rsid w:val="00135BE9"/>
    <w:rsid w:val="00136762"/>
    <w:rsid w:val="00136E33"/>
    <w:rsid w:val="0013773D"/>
    <w:rsid w:val="00137A63"/>
    <w:rsid w:val="00140693"/>
    <w:rsid w:val="00140D7A"/>
    <w:rsid w:val="00141DFE"/>
    <w:rsid w:val="00142A51"/>
    <w:rsid w:val="001433BC"/>
    <w:rsid w:val="00144649"/>
    <w:rsid w:val="00144B52"/>
    <w:rsid w:val="00145022"/>
    <w:rsid w:val="00145662"/>
    <w:rsid w:val="00145C6D"/>
    <w:rsid w:val="00146151"/>
    <w:rsid w:val="00147032"/>
    <w:rsid w:val="00147EA7"/>
    <w:rsid w:val="001505E6"/>
    <w:rsid w:val="00150A5F"/>
    <w:rsid w:val="00151B2F"/>
    <w:rsid w:val="001524DC"/>
    <w:rsid w:val="001525E5"/>
    <w:rsid w:val="0015338F"/>
    <w:rsid w:val="00153859"/>
    <w:rsid w:val="00153915"/>
    <w:rsid w:val="00155B95"/>
    <w:rsid w:val="00156853"/>
    <w:rsid w:val="00157432"/>
    <w:rsid w:val="0016035E"/>
    <w:rsid w:val="0016109B"/>
    <w:rsid w:val="00161185"/>
    <w:rsid w:val="001623AC"/>
    <w:rsid w:val="00162BAA"/>
    <w:rsid w:val="0016488B"/>
    <w:rsid w:val="00165758"/>
    <w:rsid w:val="00165A65"/>
    <w:rsid w:val="00165E74"/>
    <w:rsid w:val="00167478"/>
    <w:rsid w:val="00167594"/>
    <w:rsid w:val="001702BE"/>
    <w:rsid w:val="001704B3"/>
    <w:rsid w:val="001704DA"/>
    <w:rsid w:val="0017105C"/>
    <w:rsid w:val="00171622"/>
    <w:rsid w:val="00171C81"/>
    <w:rsid w:val="001721CF"/>
    <w:rsid w:val="001728FD"/>
    <w:rsid w:val="00172F02"/>
    <w:rsid w:val="00173631"/>
    <w:rsid w:val="0017372D"/>
    <w:rsid w:val="00173C58"/>
    <w:rsid w:val="00173E59"/>
    <w:rsid w:val="001740B6"/>
    <w:rsid w:val="00174F57"/>
    <w:rsid w:val="00175078"/>
    <w:rsid w:val="001754CB"/>
    <w:rsid w:val="001755DC"/>
    <w:rsid w:val="00175895"/>
    <w:rsid w:val="001758E0"/>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5B8"/>
    <w:rsid w:val="001969F2"/>
    <w:rsid w:val="0019756A"/>
    <w:rsid w:val="001A07F8"/>
    <w:rsid w:val="001A0864"/>
    <w:rsid w:val="001A0A23"/>
    <w:rsid w:val="001A128B"/>
    <w:rsid w:val="001A1352"/>
    <w:rsid w:val="001A1F0E"/>
    <w:rsid w:val="001A473A"/>
    <w:rsid w:val="001A4B80"/>
    <w:rsid w:val="001A4ED9"/>
    <w:rsid w:val="001A5785"/>
    <w:rsid w:val="001A5FD7"/>
    <w:rsid w:val="001A61B0"/>
    <w:rsid w:val="001A66A6"/>
    <w:rsid w:val="001A6BBB"/>
    <w:rsid w:val="001A79A2"/>
    <w:rsid w:val="001B13BF"/>
    <w:rsid w:val="001B16F5"/>
    <w:rsid w:val="001B1C1F"/>
    <w:rsid w:val="001B219B"/>
    <w:rsid w:val="001B2703"/>
    <w:rsid w:val="001B3E6D"/>
    <w:rsid w:val="001B46B2"/>
    <w:rsid w:val="001B4725"/>
    <w:rsid w:val="001B48B2"/>
    <w:rsid w:val="001B49DA"/>
    <w:rsid w:val="001B4CA8"/>
    <w:rsid w:val="001B567A"/>
    <w:rsid w:val="001B572D"/>
    <w:rsid w:val="001B5B10"/>
    <w:rsid w:val="001B5E9A"/>
    <w:rsid w:val="001B6E4E"/>
    <w:rsid w:val="001B7A15"/>
    <w:rsid w:val="001B7B69"/>
    <w:rsid w:val="001C08DB"/>
    <w:rsid w:val="001C10BD"/>
    <w:rsid w:val="001C1F01"/>
    <w:rsid w:val="001C232F"/>
    <w:rsid w:val="001C2544"/>
    <w:rsid w:val="001C2A17"/>
    <w:rsid w:val="001C31F5"/>
    <w:rsid w:val="001C457B"/>
    <w:rsid w:val="001C6047"/>
    <w:rsid w:val="001C6698"/>
    <w:rsid w:val="001C68F2"/>
    <w:rsid w:val="001C7CE0"/>
    <w:rsid w:val="001D005B"/>
    <w:rsid w:val="001D0947"/>
    <w:rsid w:val="001D16F5"/>
    <w:rsid w:val="001D1970"/>
    <w:rsid w:val="001D1D1E"/>
    <w:rsid w:val="001D1D55"/>
    <w:rsid w:val="001D21EF"/>
    <w:rsid w:val="001D29A4"/>
    <w:rsid w:val="001D330D"/>
    <w:rsid w:val="001D4AB6"/>
    <w:rsid w:val="001D4AD3"/>
    <w:rsid w:val="001D4E86"/>
    <w:rsid w:val="001D6B8A"/>
    <w:rsid w:val="001E1713"/>
    <w:rsid w:val="001E17E3"/>
    <w:rsid w:val="001E1D36"/>
    <w:rsid w:val="001E2052"/>
    <w:rsid w:val="001E257C"/>
    <w:rsid w:val="001E31AF"/>
    <w:rsid w:val="001E35EE"/>
    <w:rsid w:val="001E4B2C"/>
    <w:rsid w:val="001E507F"/>
    <w:rsid w:val="001E59FB"/>
    <w:rsid w:val="001F0FD1"/>
    <w:rsid w:val="001F19D1"/>
    <w:rsid w:val="001F1CB9"/>
    <w:rsid w:val="001F1F18"/>
    <w:rsid w:val="001F2F92"/>
    <w:rsid w:val="001F5817"/>
    <w:rsid w:val="001F5DBF"/>
    <w:rsid w:val="001F612E"/>
    <w:rsid w:val="001F79D1"/>
    <w:rsid w:val="00200451"/>
    <w:rsid w:val="0020198E"/>
    <w:rsid w:val="00201B0F"/>
    <w:rsid w:val="00201EC9"/>
    <w:rsid w:val="00202800"/>
    <w:rsid w:val="00202D33"/>
    <w:rsid w:val="00202E58"/>
    <w:rsid w:val="00202F99"/>
    <w:rsid w:val="00203C85"/>
    <w:rsid w:val="00205112"/>
    <w:rsid w:val="00205298"/>
    <w:rsid w:val="002052DD"/>
    <w:rsid w:val="00205939"/>
    <w:rsid w:val="00205D1C"/>
    <w:rsid w:val="002062B8"/>
    <w:rsid w:val="0020632A"/>
    <w:rsid w:val="00206698"/>
    <w:rsid w:val="00206736"/>
    <w:rsid w:val="00206C88"/>
    <w:rsid w:val="00207526"/>
    <w:rsid w:val="002078A3"/>
    <w:rsid w:val="00210744"/>
    <w:rsid w:val="00210B9C"/>
    <w:rsid w:val="00211714"/>
    <w:rsid w:val="00213D15"/>
    <w:rsid w:val="00213FCE"/>
    <w:rsid w:val="00214028"/>
    <w:rsid w:val="002141C3"/>
    <w:rsid w:val="002141DC"/>
    <w:rsid w:val="00214479"/>
    <w:rsid w:val="002144F3"/>
    <w:rsid w:val="002146C3"/>
    <w:rsid w:val="00214E91"/>
    <w:rsid w:val="00215A2A"/>
    <w:rsid w:val="00215D21"/>
    <w:rsid w:val="00216387"/>
    <w:rsid w:val="00216860"/>
    <w:rsid w:val="002204BC"/>
    <w:rsid w:val="00220F7B"/>
    <w:rsid w:val="00220FA3"/>
    <w:rsid w:val="002213CE"/>
    <w:rsid w:val="0022168C"/>
    <w:rsid w:val="00221AF7"/>
    <w:rsid w:val="00221F13"/>
    <w:rsid w:val="00221FFA"/>
    <w:rsid w:val="00222494"/>
    <w:rsid w:val="00222775"/>
    <w:rsid w:val="00222A31"/>
    <w:rsid w:val="00222CF6"/>
    <w:rsid w:val="00222F44"/>
    <w:rsid w:val="002244E4"/>
    <w:rsid w:val="00224D2A"/>
    <w:rsid w:val="00224D8D"/>
    <w:rsid w:val="0022555A"/>
    <w:rsid w:val="0023079F"/>
    <w:rsid w:val="00231135"/>
    <w:rsid w:val="00231523"/>
    <w:rsid w:val="00232656"/>
    <w:rsid w:val="0023337A"/>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631F"/>
    <w:rsid w:val="00256986"/>
    <w:rsid w:val="00257246"/>
    <w:rsid w:val="00257438"/>
    <w:rsid w:val="00261246"/>
    <w:rsid w:val="00262048"/>
    <w:rsid w:val="0026212A"/>
    <w:rsid w:val="00263044"/>
    <w:rsid w:val="00263759"/>
    <w:rsid w:val="002638BD"/>
    <w:rsid w:val="002644D7"/>
    <w:rsid w:val="0026470B"/>
    <w:rsid w:val="0026486D"/>
    <w:rsid w:val="00264C4B"/>
    <w:rsid w:val="00264ED0"/>
    <w:rsid w:val="00265C3A"/>
    <w:rsid w:val="002660C3"/>
    <w:rsid w:val="00266DE1"/>
    <w:rsid w:val="00267A92"/>
    <w:rsid w:val="00267DF0"/>
    <w:rsid w:val="00267E43"/>
    <w:rsid w:val="00270282"/>
    <w:rsid w:val="002711EF"/>
    <w:rsid w:val="00272193"/>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87DDE"/>
    <w:rsid w:val="002903C5"/>
    <w:rsid w:val="00290A99"/>
    <w:rsid w:val="00290EAF"/>
    <w:rsid w:val="0029129B"/>
    <w:rsid w:val="0029159A"/>
    <w:rsid w:val="0029199A"/>
    <w:rsid w:val="00291E17"/>
    <w:rsid w:val="00292AA1"/>
    <w:rsid w:val="00293472"/>
    <w:rsid w:val="00293D77"/>
    <w:rsid w:val="0029499D"/>
    <w:rsid w:val="00294A13"/>
    <w:rsid w:val="00294B10"/>
    <w:rsid w:val="00294CEF"/>
    <w:rsid w:val="00294DF9"/>
    <w:rsid w:val="00295073"/>
    <w:rsid w:val="00296C32"/>
    <w:rsid w:val="002977CE"/>
    <w:rsid w:val="00297AF5"/>
    <w:rsid w:val="002A02D6"/>
    <w:rsid w:val="002A07C4"/>
    <w:rsid w:val="002A0921"/>
    <w:rsid w:val="002A09CF"/>
    <w:rsid w:val="002A0CB3"/>
    <w:rsid w:val="002A1887"/>
    <w:rsid w:val="002A2001"/>
    <w:rsid w:val="002A21E3"/>
    <w:rsid w:val="002A4060"/>
    <w:rsid w:val="002A4A05"/>
    <w:rsid w:val="002A4EB3"/>
    <w:rsid w:val="002A51D9"/>
    <w:rsid w:val="002A572D"/>
    <w:rsid w:val="002A5CAB"/>
    <w:rsid w:val="002A5D1C"/>
    <w:rsid w:val="002A5D40"/>
    <w:rsid w:val="002A6116"/>
    <w:rsid w:val="002A64E7"/>
    <w:rsid w:val="002A7ED3"/>
    <w:rsid w:val="002A7FC9"/>
    <w:rsid w:val="002B06C1"/>
    <w:rsid w:val="002B139C"/>
    <w:rsid w:val="002B1881"/>
    <w:rsid w:val="002B1E9C"/>
    <w:rsid w:val="002B1F61"/>
    <w:rsid w:val="002B257E"/>
    <w:rsid w:val="002B2906"/>
    <w:rsid w:val="002B2A00"/>
    <w:rsid w:val="002B322B"/>
    <w:rsid w:val="002B34E3"/>
    <w:rsid w:val="002B394C"/>
    <w:rsid w:val="002B5AEE"/>
    <w:rsid w:val="002B6177"/>
    <w:rsid w:val="002B650C"/>
    <w:rsid w:val="002B68E6"/>
    <w:rsid w:val="002B6985"/>
    <w:rsid w:val="002C0301"/>
    <w:rsid w:val="002C0326"/>
    <w:rsid w:val="002C0A9F"/>
    <w:rsid w:val="002C13D4"/>
    <w:rsid w:val="002C1AB3"/>
    <w:rsid w:val="002C1BB7"/>
    <w:rsid w:val="002C2665"/>
    <w:rsid w:val="002C289E"/>
    <w:rsid w:val="002C28E1"/>
    <w:rsid w:val="002C327D"/>
    <w:rsid w:val="002C3890"/>
    <w:rsid w:val="002C3AD9"/>
    <w:rsid w:val="002C45C3"/>
    <w:rsid w:val="002C483B"/>
    <w:rsid w:val="002C534A"/>
    <w:rsid w:val="002C60A7"/>
    <w:rsid w:val="002C643D"/>
    <w:rsid w:val="002C6CCA"/>
    <w:rsid w:val="002C70E7"/>
    <w:rsid w:val="002C757E"/>
    <w:rsid w:val="002D0E88"/>
    <w:rsid w:val="002D138F"/>
    <w:rsid w:val="002D1593"/>
    <w:rsid w:val="002D1942"/>
    <w:rsid w:val="002D22A6"/>
    <w:rsid w:val="002D2819"/>
    <w:rsid w:val="002D2CD6"/>
    <w:rsid w:val="002D2F81"/>
    <w:rsid w:val="002D38A3"/>
    <w:rsid w:val="002D3BA3"/>
    <w:rsid w:val="002D4892"/>
    <w:rsid w:val="002D4D06"/>
    <w:rsid w:val="002D4EE7"/>
    <w:rsid w:val="002D4EED"/>
    <w:rsid w:val="002D58A2"/>
    <w:rsid w:val="002D5A95"/>
    <w:rsid w:val="002D65AD"/>
    <w:rsid w:val="002D6782"/>
    <w:rsid w:val="002D74A4"/>
    <w:rsid w:val="002D74F4"/>
    <w:rsid w:val="002D7B50"/>
    <w:rsid w:val="002D7DB2"/>
    <w:rsid w:val="002D7EA8"/>
    <w:rsid w:val="002E00E1"/>
    <w:rsid w:val="002E03AE"/>
    <w:rsid w:val="002E04B7"/>
    <w:rsid w:val="002E0542"/>
    <w:rsid w:val="002E05F2"/>
    <w:rsid w:val="002E0E87"/>
    <w:rsid w:val="002E0F36"/>
    <w:rsid w:val="002E13CF"/>
    <w:rsid w:val="002E1FA9"/>
    <w:rsid w:val="002E201C"/>
    <w:rsid w:val="002E236F"/>
    <w:rsid w:val="002E2478"/>
    <w:rsid w:val="002E3956"/>
    <w:rsid w:val="002E469E"/>
    <w:rsid w:val="002E4C01"/>
    <w:rsid w:val="002E4D50"/>
    <w:rsid w:val="002E52AB"/>
    <w:rsid w:val="002E55FF"/>
    <w:rsid w:val="002E587E"/>
    <w:rsid w:val="002E5DE8"/>
    <w:rsid w:val="002E672A"/>
    <w:rsid w:val="002E6742"/>
    <w:rsid w:val="002E6853"/>
    <w:rsid w:val="002E7EC1"/>
    <w:rsid w:val="002E7EE5"/>
    <w:rsid w:val="002F0323"/>
    <w:rsid w:val="002F134F"/>
    <w:rsid w:val="002F1D0B"/>
    <w:rsid w:val="002F1F02"/>
    <w:rsid w:val="002F27E5"/>
    <w:rsid w:val="002F2D81"/>
    <w:rsid w:val="002F43E5"/>
    <w:rsid w:val="002F4BA9"/>
    <w:rsid w:val="002F541B"/>
    <w:rsid w:val="002F590C"/>
    <w:rsid w:val="002F5BFE"/>
    <w:rsid w:val="002F6EFF"/>
    <w:rsid w:val="002F7DF0"/>
    <w:rsid w:val="002F7FAF"/>
    <w:rsid w:val="00300AD2"/>
    <w:rsid w:val="003014FC"/>
    <w:rsid w:val="00301D64"/>
    <w:rsid w:val="00303862"/>
    <w:rsid w:val="00303AB6"/>
    <w:rsid w:val="00304640"/>
    <w:rsid w:val="00304AC1"/>
    <w:rsid w:val="00305090"/>
    <w:rsid w:val="003050C1"/>
    <w:rsid w:val="00305454"/>
    <w:rsid w:val="00305B9F"/>
    <w:rsid w:val="00305E21"/>
    <w:rsid w:val="003066C6"/>
    <w:rsid w:val="003066FA"/>
    <w:rsid w:val="00306AD6"/>
    <w:rsid w:val="00307DC7"/>
    <w:rsid w:val="00310EDB"/>
    <w:rsid w:val="00312CAA"/>
    <w:rsid w:val="00312DFC"/>
    <w:rsid w:val="0031318C"/>
    <w:rsid w:val="00313C9D"/>
    <w:rsid w:val="00313E7B"/>
    <w:rsid w:val="0031430C"/>
    <w:rsid w:val="00314C5A"/>
    <w:rsid w:val="0031531A"/>
    <w:rsid w:val="00315394"/>
    <w:rsid w:val="00315602"/>
    <w:rsid w:val="003156D4"/>
    <w:rsid w:val="00315D77"/>
    <w:rsid w:val="003165B1"/>
    <w:rsid w:val="00316A70"/>
    <w:rsid w:val="00316CDE"/>
    <w:rsid w:val="0031752D"/>
    <w:rsid w:val="00320642"/>
    <w:rsid w:val="00320688"/>
    <w:rsid w:val="0032089D"/>
    <w:rsid w:val="00320B52"/>
    <w:rsid w:val="00321AAD"/>
    <w:rsid w:val="0032226D"/>
    <w:rsid w:val="00322469"/>
    <w:rsid w:val="003249F6"/>
    <w:rsid w:val="00324B2F"/>
    <w:rsid w:val="003251B3"/>
    <w:rsid w:val="0032576A"/>
    <w:rsid w:val="00325FCC"/>
    <w:rsid w:val="00326106"/>
    <w:rsid w:val="00326144"/>
    <w:rsid w:val="00326805"/>
    <w:rsid w:val="003269B7"/>
    <w:rsid w:val="00326C0E"/>
    <w:rsid w:val="003270B3"/>
    <w:rsid w:val="003272A3"/>
    <w:rsid w:val="003272E4"/>
    <w:rsid w:val="003278D0"/>
    <w:rsid w:val="00327B71"/>
    <w:rsid w:val="0033081D"/>
    <w:rsid w:val="00331461"/>
    <w:rsid w:val="003316A8"/>
    <w:rsid w:val="00331CC9"/>
    <w:rsid w:val="003320D7"/>
    <w:rsid w:val="00332433"/>
    <w:rsid w:val="00332D52"/>
    <w:rsid w:val="00333337"/>
    <w:rsid w:val="003338A0"/>
    <w:rsid w:val="00333A28"/>
    <w:rsid w:val="003346F4"/>
    <w:rsid w:val="003360AD"/>
    <w:rsid w:val="0033617A"/>
    <w:rsid w:val="0033631D"/>
    <w:rsid w:val="00337409"/>
    <w:rsid w:val="003405AF"/>
    <w:rsid w:val="003405F8"/>
    <w:rsid w:val="0034088F"/>
    <w:rsid w:val="00340B3E"/>
    <w:rsid w:val="003413D2"/>
    <w:rsid w:val="003422B5"/>
    <w:rsid w:val="003426D7"/>
    <w:rsid w:val="00342857"/>
    <w:rsid w:val="00342E4F"/>
    <w:rsid w:val="00343577"/>
    <w:rsid w:val="00344BBF"/>
    <w:rsid w:val="0034509B"/>
    <w:rsid w:val="00345644"/>
    <w:rsid w:val="00345D7A"/>
    <w:rsid w:val="0034607E"/>
    <w:rsid w:val="00346B6D"/>
    <w:rsid w:val="00346BA3"/>
    <w:rsid w:val="00347356"/>
    <w:rsid w:val="00350896"/>
    <w:rsid w:val="00350C31"/>
    <w:rsid w:val="00351063"/>
    <w:rsid w:val="00351457"/>
    <w:rsid w:val="003519CD"/>
    <w:rsid w:val="00351A3A"/>
    <w:rsid w:val="0035455F"/>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796"/>
    <w:rsid w:val="003679D3"/>
    <w:rsid w:val="00367A87"/>
    <w:rsid w:val="00367EE7"/>
    <w:rsid w:val="00370181"/>
    <w:rsid w:val="003705EA"/>
    <w:rsid w:val="00370A56"/>
    <w:rsid w:val="0037223C"/>
    <w:rsid w:val="00372842"/>
    <w:rsid w:val="003729A5"/>
    <w:rsid w:val="00372C89"/>
    <w:rsid w:val="00372E9A"/>
    <w:rsid w:val="003735B9"/>
    <w:rsid w:val="00374677"/>
    <w:rsid w:val="00375850"/>
    <w:rsid w:val="0037632F"/>
    <w:rsid w:val="00377B26"/>
    <w:rsid w:val="00377B46"/>
    <w:rsid w:val="00381014"/>
    <w:rsid w:val="003811A8"/>
    <w:rsid w:val="00381604"/>
    <w:rsid w:val="00381C68"/>
    <w:rsid w:val="00381F60"/>
    <w:rsid w:val="00383430"/>
    <w:rsid w:val="00383AB0"/>
    <w:rsid w:val="00384290"/>
    <w:rsid w:val="0038437A"/>
    <w:rsid w:val="003847BB"/>
    <w:rsid w:val="00384814"/>
    <w:rsid w:val="00384C0A"/>
    <w:rsid w:val="00384F29"/>
    <w:rsid w:val="00385B16"/>
    <w:rsid w:val="00385B96"/>
    <w:rsid w:val="00385DA2"/>
    <w:rsid w:val="0038637D"/>
    <w:rsid w:val="00386C07"/>
    <w:rsid w:val="00386F58"/>
    <w:rsid w:val="0038700D"/>
    <w:rsid w:val="003874E2"/>
    <w:rsid w:val="003877BE"/>
    <w:rsid w:val="00390B8F"/>
    <w:rsid w:val="00390C0D"/>
    <w:rsid w:val="00391447"/>
    <w:rsid w:val="003919D9"/>
    <w:rsid w:val="00391BDD"/>
    <w:rsid w:val="003922DE"/>
    <w:rsid w:val="00392E35"/>
    <w:rsid w:val="00393551"/>
    <w:rsid w:val="00393FCD"/>
    <w:rsid w:val="003944EA"/>
    <w:rsid w:val="00394639"/>
    <w:rsid w:val="00394C5F"/>
    <w:rsid w:val="00394C62"/>
    <w:rsid w:val="00394DF6"/>
    <w:rsid w:val="003962E6"/>
    <w:rsid w:val="00396831"/>
    <w:rsid w:val="00396972"/>
    <w:rsid w:val="003971A1"/>
    <w:rsid w:val="003A03FD"/>
    <w:rsid w:val="003A0DDD"/>
    <w:rsid w:val="003A12B6"/>
    <w:rsid w:val="003A1855"/>
    <w:rsid w:val="003A2012"/>
    <w:rsid w:val="003A20D5"/>
    <w:rsid w:val="003A24CC"/>
    <w:rsid w:val="003A2EE8"/>
    <w:rsid w:val="003A373C"/>
    <w:rsid w:val="003A5378"/>
    <w:rsid w:val="003A6008"/>
    <w:rsid w:val="003A703F"/>
    <w:rsid w:val="003A77E2"/>
    <w:rsid w:val="003A7D00"/>
    <w:rsid w:val="003A7E2B"/>
    <w:rsid w:val="003A7E40"/>
    <w:rsid w:val="003B0336"/>
    <w:rsid w:val="003B058A"/>
    <w:rsid w:val="003B0A3A"/>
    <w:rsid w:val="003B0D79"/>
    <w:rsid w:val="003B1CCB"/>
    <w:rsid w:val="003B2930"/>
    <w:rsid w:val="003B31A7"/>
    <w:rsid w:val="003B367F"/>
    <w:rsid w:val="003B3BC8"/>
    <w:rsid w:val="003B430E"/>
    <w:rsid w:val="003B47DE"/>
    <w:rsid w:val="003B4B51"/>
    <w:rsid w:val="003B4E00"/>
    <w:rsid w:val="003B514E"/>
    <w:rsid w:val="003B636A"/>
    <w:rsid w:val="003B68C2"/>
    <w:rsid w:val="003B69CE"/>
    <w:rsid w:val="003B71FE"/>
    <w:rsid w:val="003C011C"/>
    <w:rsid w:val="003C0B60"/>
    <w:rsid w:val="003C1B97"/>
    <w:rsid w:val="003C22FC"/>
    <w:rsid w:val="003C3292"/>
    <w:rsid w:val="003C3C1E"/>
    <w:rsid w:val="003C4134"/>
    <w:rsid w:val="003C435B"/>
    <w:rsid w:val="003C48B4"/>
    <w:rsid w:val="003C4EBE"/>
    <w:rsid w:val="003C62EC"/>
    <w:rsid w:val="003C685A"/>
    <w:rsid w:val="003C6E9C"/>
    <w:rsid w:val="003C7393"/>
    <w:rsid w:val="003C746F"/>
    <w:rsid w:val="003C76E6"/>
    <w:rsid w:val="003C7C25"/>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55D"/>
    <w:rsid w:val="003E60DA"/>
    <w:rsid w:val="003E616A"/>
    <w:rsid w:val="003E6E00"/>
    <w:rsid w:val="003E7111"/>
    <w:rsid w:val="003E7940"/>
    <w:rsid w:val="003E7F7A"/>
    <w:rsid w:val="003F01BD"/>
    <w:rsid w:val="003F0486"/>
    <w:rsid w:val="003F048E"/>
    <w:rsid w:val="003F0AFF"/>
    <w:rsid w:val="003F171F"/>
    <w:rsid w:val="003F26DC"/>
    <w:rsid w:val="003F3EFD"/>
    <w:rsid w:val="003F42FF"/>
    <w:rsid w:val="003F44CE"/>
    <w:rsid w:val="003F45C2"/>
    <w:rsid w:val="003F4B48"/>
    <w:rsid w:val="003F4DDC"/>
    <w:rsid w:val="003F56B8"/>
    <w:rsid w:val="003F6327"/>
    <w:rsid w:val="003F72E9"/>
    <w:rsid w:val="003F765B"/>
    <w:rsid w:val="003F7CB8"/>
    <w:rsid w:val="004001F0"/>
    <w:rsid w:val="00400CB4"/>
    <w:rsid w:val="00401386"/>
    <w:rsid w:val="004013E6"/>
    <w:rsid w:val="004016F6"/>
    <w:rsid w:val="0040188F"/>
    <w:rsid w:val="00401E31"/>
    <w:rsid w:val="00402BBA"/>
    <w:rsid w:val="0040344F"/>
    <w:rsid w:val="004035D0"/>
    <w:rsid w:val="00403795"/>
    <w:rsid w:val="004041FB"/>
    <w:rsid w:val="00404FA1"/>
    <w:rsid w:val="004056B6"/>
    <w:rsid w:val="00405764"/>
    <w:rsid w:val="00405918"/>
    <w:rsid w:val="00405D4E"/>
    <w:rsid w:val="00406745"/>
    <w:rsid w:val="0040674B"/>
    <w:rsid w:val="00406B32"/>
    <w:rsid w:val="004074FA"/>
    <w:rsid w:val="00407A56"/>
    <w:rsid w:val="00407FCC"/>
    <w:rsid w:val="00410105"/>
    <w:rsid w:val="0041035A"/>
    <w:rsid w:val="004112D1"/>
    <w:rsid w:val="004113C9"/>
    <w:rsid w:val="004120DF"/>
    <w:rsid w:val="004139FF"/>
    <w:rsid w:val="00414909"/>
    <w:rsid w:val="00415034"/>
    <w:rsid w:val="00415718"/>
    <w:rsid w:val="004158D0"/>
    <w:rsid w:val="004159A8"/>
    <w:rsid w:val="00415B1A"/>
    <w:rsid w:val="0041690F"/>
    <w:rsid w:val="00416D41"/>
    <w:rsid w:val="00417264"/>
    <w:rsid w:val="004173FB"/>
    <w:rsid w:val="00417AF4"/>
    <w:rsid w:val="004210C0"/>
    <w:rsid w:val="004211DD"/>
    <w:rsid w:val="00421762"/>
    <w:rsid w:val="00421D4B"/>
    <w:rsid w:val="00421ED8"/>
    <w:rsid w:val="00422907"/>
    <w:rsid w:val="00422AA1"/>
    <w:rsid w:val="00423125"/>
    <w:rsid w:val="00423309"/>
    <w:rsid w:val="004233AD"/>
    <w:rsid w:val="00423F64"/>
    <w:rsid w:val="00424446"/>
    <w:rsid w:val="00424D18"/>
    <w:rsid w:val="00425341"/>
    <w:rsid w:val="00425D8C"/>
    <w:rsid w:val="00426B2C"/>
    <w:rsid w:val="0042784A"/>
    <w:rsid w:val="00427FA8"/>
    <w:rsid w:val="0043026B"/>
    <w:rsid w:val="004306D4"/>
    <w:rsid w:val="004312D3"/>
    <w:rsid w:val="00432ECA"/>
    <w:rsid w:val="00433D2E"/>
    <w:rsid w:val="00433D5E"/>
    <w:rsid w:val="0043554E"/>
    <w:rsid w:val="004355D4"/>
    <w:rsid w:val="004357B1"/>
    <w:rsid w:val="00435821"/>
    <w:rsid w:val="0043583E"/>
    <w:rsid w:val="00436521"/>
    <w:rsid w:val="00436CCE"/>
    <w:rsid w:val="00436D1D"/>
    <w:rsid w:val="00436EAD"/>
    <w:rsid w:val="004375E1"/>
    <w:rsid w:val="00437A2F"/>
    <w:rsid w:val="00440262"/>
    <w:rsid w:val="004402E4"/>
    <w:rsid w:val="0044068D"/>
    <w:rsid w:val="004406BF"/>
    <w:rsid w:val="00440814"/>
    <w:rsid w:val="00442731"/>
    <w:rsid w:val="00442C12"/>
    <w:rsid w:val="004434DF"/>
    <w:rsid w:val="004451A3"/>
    <w:rsid w:val="00445874"/>
    <w:rsid w:val="00445C38"/>
    <w:rsid w:val="004475F7"/>
    <w:rsid w:val="004502AC"/>
    <w:rsid w:val="0045057B"/>
    <w:rsid w:val="0045069B"/>
    <w:rsid w:val="00450B22"/>
    <w:rsid w:val="00451709"/>
    <w:rsid w:val="00451A02"/>
    <w:rsid w:val="00451DB3"/>
    <w:rsid w:val="0045273A"/>
    <w:rsid w:val="0045277C"/>
    <w:rsid w:val="004543AB"/>
    <w:rsid w:val="0045484C"/>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976"/>
    <w:rsid w:val="00465A21"/>
    <w:rsid w:val="00465DE5"/>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F97"/>
    <w:rsid w:val="00477247"/>
    <w:rsid w:val="004776BB"/>
    <w:rsid w:val="00480067"/>
    <w:rsid w:val="0048055E"/>
    <w:rsid w:val="00480C2B"/>
    <w:rsid w:val="00480DC5"/>
    <w:rsid w:val="004824A9"/>
    <w:rsid w:val="00483140"/>
    <w:rsid w:val="00483984"/>
    <w:rsid w:val="00483BC7"/>
    <w:rsid w:val="00483CF0"/>
    <w:rsid w:val="00483EF9"/>
    <w:rsid w:val="00484D4D"/>
    <w:rsid w:val="0048664F"/>
    <w:rsid w:val="004868AD"/>
    <w:rsid w:val="00486D00"/>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5E58"/>
    <w:rsid w:val="00496CCE"/>
    <w:rsid w:val="00497934"/>
    <w:rsid w:val="00497AAD"/>
    <w:rsid w:val="00497BD7"/>
    <w:rsid w:val="00497D1A"/>
    <w:rsid w:val="004A0B03"/>
    <w:rsid w:val="004A0C50"/>
    <w:rsid w:val="004A0C9F"/>
    <w:rsid w:val="004A0DFE"/>
    <w:rsid w:val="004A1049"/>
    <w:rsid w:val="004A1E2C"/>
    <w:rsid w:val="004A1EA7"/>
    <w:rsid w:val="004A2EF8"/>
    <w:rsid w:val="004A3A21"/>
    <w:rsid w:val="004A47DE"/>
    <w:rsid w:val="004A4E3B"/>
    <w:rsid w:val="004A5C97"/>
    <w:rsid w:val="004A64F9"/>
    <w:rsid w:val="004A69CC"/>
    <w:rsid w:val="004A7314"/>
    <w:rsid w:val="004B026C"/>
    <w:rsid w:val="004B0271"/>
    <w:rsid w:val="004B042F"/>
    <w:rsid w:val="004B0BE8"/>
    <w:rsid w:val="004B0E4A"/>
    <w:rsid w:val="004B18F4"/>
    <w:rsid w:val="004B1A98"/>
    <w:rsid w:val="004B2463"/>
    <w:rsid w:val="004B2869"/>
    <w:rsid w:val="004B305F"/>
    <w:rsid w:val="004B34C4"/>
    <w:rsid w:val="004B34E8"/>
    <w:rsid w:val="004B3981"/>
    <w:rsid w:val="004B3A03"/>
    <w:rsid w:val="004B419F"/>
    <w:rsid w:val="004B437B"/>
    <w:rsid w:val="004B4EA9"/>
    <w:rsid w:val="004B673A"/>
    <w:rsid w:val="004B676A"/>
    <w:rsid w:val="004B69CE"/>
    <w:rsid w:val="004B6E50"/>
    <w:rsid w:val="004B7317"/>
    <w:rsid w:val="004B75B2"/>
    <w:rsid w:val="004C0B22"/>
    <w:rsid w:val="004C0BF0"/>
    <w:rsid w:val="004C0D40"/>
    <w:rsid w:val="004C114F"/>
    <w:rsid w:val="004C11A9"/>
    <w:rsid w:val="004C1D6F"/>
    <w:rsid w:val="004C27CF"/>
    <w:rsid w:val="004C2CA7"/>
    <w:rsid w:val="004C38DF"/>
    <w:rsid w:val="004C4248"/>
    <w:rsid w:val="004C446C"/>
    <w:rsid w:val="004C45C8"/>
    <w:rsid w:val="004C5F4B"/>
    <w:rsid w:val="004C612E"/>
    <w:rsid w:val="004C61B8"/>
    <w:rsid w:val="004C6C0A"/>
    <w:rsid w:val="004C6C6D"/>
    <w:rsid w:val="004C77FF"/>
    <w:rsid w:val="004C7DB0"/>
    <w:rsid w:val="004D0223"/>
    <w:rsid w:val="004D16A3"/>
    <w:rsid w:val="004D1934"/>
    <w:rsid w:val="004D1E41"/>
    <w:rsid w:val="004D2326"/>
    <w:rsid w:val="004D24EC"/>
    <w:rsid w:val="004D2E11"/>
    <w:rsid w:val="004D329C"/>
    <w:rsid w:val="004D34D1"/>
    <w:rsid w:val="004D3EC5"/>
    <w:rsid w:val="004D4431"/>
    <w:rsid w:val="004D4523"/>
    <w:rsid w:val="004D51D6"/>
    <w:rsid w:val="004D6F29"/>
    <w:rsid w:val="004D7BF5"/>
    <w:rsid w:val="004D7F9C"/>
    <w:rsid w:val="004E0378"/>
    <w:rsid w:val="004E03F4"/>
    <w:rsid w:val="004E0449"/>
    <w:rsid w:val="004E068F"/>
    <w:rsid w:val="004E09CD"/>
    <w:rsid w:val="004E09CF"/>
    <w:rsid w:val="004E0B75"/>
    <w:rsid w:val="004E13AD"/>
    <w:rsid w:val="004E1D6F"/>
    <w:rsid w:val="004E2393"/>
    <w:rsid w:val="004E3117"/>
    <w:rsid w:val="004E3A2A"/>
    <w:rsid w:val="004E3AB1"/>
    <w:rsid w:val="004E4003"/>
    <w:rsid w:val="004E4626"/>
    <w:rsid w:val="004E4E79"/>
    <w:rsid w:val="004E5380"/>
    <w:rsid w:val="004E5627"/>
    <w:rsid w:val="004E6746"/>
    <w:rsid w:val="004E6CAC"/>
    <w:rsid w:val="004E75C1"/>
    <w:rsid w:val="004E777F"/>
    <w:rsid w:val="004F0610"/>
    <w:rsid w:val="004F07F2"/>
    <w:rsid w:val="004F07F9"/>
    <w:rsid w:val="004F0E82"/>
    <w:rsid w:val="004F1523"/>
    <w:rsid w:val="004F1847"/>
    <w:rsid w:val="004F1F9E"/>
    <w:rsid w:val="004F2CB6"/>
    <w:rsid w:val="004F2E6E"/>
    <w:rsid w:val="004F3015"/>
    <w:rsid w:val="004F313F"/>
    <w:rsid w:val="004F3EEF"/>
    <w:rsid w:val="004F43A7"/>
    <w:rsid w:val="004F447B"/>
    <w:rsid w:val="004F497C"/>
    <w:rsid w:val="004F4FE8"/>
    <w:rsid w:val="004F531B"/>
    <w:rsid w:val="004F560C"/>
    <w:rsid w:val="004F5DBB"/>
    <w:rsid w:val="004F61A3"/>
    <w:rsid w:val="004F65C2"/>
    <w:rsid w:val="004F6874"/>
    <w:rsid w:val="004F7922"/>
    <w:rsid w:val="004F7A1F"/>
    <w:rsid w:val="004F7B47"/>
    <w:rsid w:val="0050079C"/>
    <w:rsid w:val="0050106A"/>
    <w:rsid w:val="005010BC"/>
    <w:rsid w:val="00505033"/>
    <w:rsid w:val="0050537D"/>
    <w:rsid w:val="005060AE"/>
    <w:rsid w:val="005068C4"/>
    <w:rsid w:val="00506E42"/>
    <w:rsid w:val="0050790B"/>
    <w:rsid w:val="0051037C"/>
    <w:rsid w:val="0051050F"/>
    <w:rsid w:val="00510DDC"/>
    <w:rsid w:val="00511F64"/>
    <w:rsid w:val="005131A2"/>
    <w:rsid w:val="005137E6"/>
    <w:rsid w:val="00513BB9"/>
    <w:rsid w:val="0051440E"/>
    <w:rsid w:val="00514925"/>
    <w:rsid w:val="00514B53"/>
    <w:rsid w:val="00515061"/>
    <w:rsid w:val="00515502"/>
    <w:rsid w:val="0051556E"/>
    <w:rsid w:val="00515973"/>
    <w:rsid w:val="00517AC8"/>
    <w:rsid w:val="00517C3E"/>
    <w:rsid w:val="00520E31"/>
    <w:rsid w:val="005212F4"/>
    <w:rsid w:val="00521908"/>
    <w:rsid w:val="00522CCC"/>
    <w:rsid w:val="005237A1"/>
    <w:rsid w:val="0052397A"/>
    <w:rsid w:val="00523D5A"/>
    <w:rsid w:val="00524138"/>
    <w:rsid w:val="00524154"/>
    <w:rsid w:val="00524A2B"/>
    <w:rsid w:val="005256D6"/>
    <w:rsid w:val="00525AD8"/>
    <w:rsid w:val="00526429"/>
    <w:rsid w:val="005266C1"/>
    <w:rsid w:val="005267F4"/>
    <w:rsid w:val="005268C4"/>
    <w:rsid w:val="00527317"/>
    <w:rsid w:val="00527ED6"/>
    <w:rsid w:val="00531064"/>
    <w:rsid w:val="00531E92"/>
    <w:rsid w:val="005322F1"/>
    <w:rsid w:val="005324D7"/>
    <w:rsid w:val="005335A2"/>
    <w:rsid w:val="00533D52"/>
    <w:rsid w:val="00533DEC"/>
    <w:rsid w:val="0053618A"/>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DFB"/>
    <w:rsid w:val="00544F05"/>
    <w:rsid w:val="005454B8"/>
    <w:rsid w:val="00545ACB"/>
    <w:rsid w:val="00545DB9"/>
    <w:rsid w:val="00546BF8"/>
    <w:rsid w:val="00546F2B"/>
    <w:rsid w:val="00547BA2"/>
    <w:rsid w:val="00550AC5"/>
    <w:rsid w:val="00550B09"/>
    <w:rsid w:val="00550B7E"/>
    <w:rsid w:val="00551052"/>
    <w:rsid w:val="005524ED"/>
    <w:rsid w:val="00553948"/>
    <w:rsid w:val="00554456"/>
    <w:rsid w:val="00554C03"/>
    <w:rsid w:val="00554C58"/>
    <w:rsid w:val="005550F9"/>
    <w:rsid w:val="00556338"/>
    <w:rsid w:val="00556441"/>
    <w:rsid w:val="00557031"/>
    <w:rsid w:val="00557C4C"/>
    <w:rsid w:val="00560FCB"/>
    <w:rsid w:val="00561055"/>
    <w:rsid w:val="0056111C"/>
    <w:rsid w:val="00561140"/>
    <w:rsid w:val="00561412"/>
    <w:rsid w:val="00561903"/>
    <w:rsid w:val="00561A9B"/>
    <w:rsid w:val="00561E54"/>
    <w:rsid w:val="00562FB1"/>
    <w:rsid w:val="00563068"/>
    <w:rsid w:val="0056307F"/>
    <w:rsid w:val="0056376A"/>
    <w:rsid w:val="00563B3C"/>
    <w:rsid w:val="00564068"/>
    <w:rsid w:val="005646DD"/>
    <w:rsid w:val="00564CAF"/>
    <w:rsid w:val="00564DA7"/>
    <w:rsid w:val="00565204"/>
    <w:rsid w:val="00565473"/>
    <w:rsid w:val="005658F3"/>
    <w:rsid w:val="00565DAC"/>
    <w:rsid w:val="00565F0D"/>
    <w:rsid w:val="005662DC"/>
    <w:rsid w:val="005662E6"/>
    <w:rsid w:val="00566329"/>
    <w:rsid w:val="00567623"/>
    <w:rsid w:val="00567700"/>
    <w:rsid w:val="005701C2"/>
    <w:rsid w:val="00573560"/>
    <w:rsid w:val="00574E7B"/>
    <w:rsid w:val="00575164"/>
    <w:rsid w:val="00576B5C"/>
    <w:rsid w:val="00577540"/>
    <w:rsid w:val="005802F9"/>
    <w:rsid w:val="00580DFC"/>
    <w:rsid w:val="005827A7"/>
    <w:rsid w:val="00583D43"/>
    <w:rsid w:val="005846C3"/>
    <w:rsid w:val="00584F04"/>
    <w:rsid w:val="00585623"/>
    <w:rsid w:val="005857F7"/>
    <w:rsid w:val="0058635A"/>
    <w:rsid w:val="00587D7B"/>
    <w:rsid w:val="005904DB"/>
    <w:rsid w:val="00592825"/>
    <w:rsid w:val="00592DEC"/>
    <w:rsid w:val="00593D6D"/>
    <w:rsid w:val="00594437"/>
    <w:rsid w:val="00594B70"/>
    <w:rsid w:val="00596CFA"/>
    <w:rsid w:val="005975CE"/>
    <w:rsid w:val="005A0088"/>
    <w:rsid w:val="005A04F6"/>
    <w:rsid w:val="005A14F0"/>
    <w:rsid w:val="005A1726"/>
    <w:rsid w:val="005A1861"/>
    <w:rsid w:val="005A1A31"/>
    <w:rsid w:val="005A1DB7"/>
    <w:rsid w:val="005A2D1E"/>
    <w:rsid w:val="005A361D"/>
    <w:rsid w:val="005A36C2"/>
    <w:rsid w:val="005A3719"/>
    <w:rsid w:val="005A3A2F"/>
    <w:rsid w:val="005A3D7F"/>
    <w:rsid w:val="005A3DD7"/>
    <w:rsid w:val="005A4C20"/>
    <w:rsid w:val="005A4F48"/>
    <w:rsid w:val="005A54F1"/>
    <w:rsid w:val="005A58BB"/>
    <w:rsid w:val="005A5A74"/>
    <w:rsid w:val="005A5DDE"/>
    <w:rsid w:val="005A5E74"/>
    <w:rsid w:val="005A64A8"/>
    <w:rsid w:val="005A65C5"/>
    <w:rsid w:val="005A6720"/>
    <w:rsid w:val="005A6875"/>
    <w:rsid w:val="005A6C51"/>
    <w:rsid w:val="005A7A32"/>
    <w:rsid w:val="005A7F85"/>
    <w:rsid w:val="005B00DD"/>
    <w:rsid w:val="005B07D5"/>
    <w:rsid w:val="005B0C7D"/>
    <w:rsid w:val="005B1AAB"/>
    <w:rsid w:val="005B2930"/>
    <w:rsid w:val="005B2B87"/>
    <w:rsid w:val="005B33BE"/>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A98"/>
    <w:rsid w:val="005C0B8F"/>
    <w:rsid w:val="005C194E"/>
    <w:rsid w:val="005C1DB1"/>
    <w:rsid w:val="005C226F"/>
    <w:rsid w:val="005C2294"/>
    <w:rsid w:val="005C3344"/>
    <w:rsid w:val="005C367B"/>
    <w:rsid w:val="005C4E4D"/>
    <w:rsid w:val="005C58F2"/>
    <w:rsid w:val="005C5A97"/>
    <w:rsid w:val="005C6D5D"/>
    <w:rsid w:val="005C6FD0"/>
    <w:rsid w:val="005D01C3"/>
    <w:rsid w:val="005D05FF"/>
    <w:rsid w:val="005D0FB4"/>
    <w:rsid w:val="005D1176"/>
    <w:rsid w:val="005D1747"/>
    <w:rsid w:val="005D266D"/>
    <w:rsid w:val="005D2A72"/>
    <w:rsid w:val="005D2AD3"/>
    <w:rsid w:val="005D2BD7"/>
    <w:rsid w:val="005D2DE0"/>
    <w:rsid w:val="005D306D"/>
    <w:rsid w:val="005D3327"/>
    <w:rsid w:val="005D577F"/>
    <w:rsid w:val="005D5BCF"/>
    <w:rsid w:val="005D6D84"/>
    <w:rsid w:val="005D70A1"/>
    <w:rsid w:val="005D79F2"/>
    <w:rsid w:val="005D7D14"/>
    <w:rsid w:val="005D7FB5"/>
    <w:rsid w:val="005E0141"/>
    <w:rsid w:val="005E09CA"/>
    <w:rsid w:val="005E0A29"/>
    <w:rsid w:val="005E1AB4"/>
    <w:rsid w:val="005E1F48"/>
    <w:rsid w:val="005E30BB"/>
    <w:rsid w:val="005E4543"/>
    <w:rsid w:val="005E56C9"/>
    <w:rsid w:val="005E5CF7"/>
    <w:rsid w:val="005E6009"/>
    <w:rsid w:val="005E642A"/>
    <w:rsid w:val="005E6B1D"/>
    <w:rsid w:val="005E721E"/>
    <w:rsid w:val="005E72E7"/>
    <w:rsid w:val="005F034A"/>
    <w:rsid w:val="005F0857"/>
    <w:rsid w:val="005F15A9"/>
    <w:rsid w:val="005F1C2F"/>
    <w:rsid w:val="005F2CD5"/>
    <w:rsid w:val="005F2CDD"/>
    <w:rsid w:val="005F31FE"/>
    <w:rsid w:val="005F3720"/>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3BAC"/>
    <w:rsid w:val="006042CD"/>
    <w:rsid w:val="00604390"/>
    <w:rsid w:val="00605217"/>
    <w:rsid w:val="0060533A"/>
    <w:rsid w:val="006054A5"/>
    <w:rsid w:val="006059E4"/>
    <w:rsid w:val="006062A0"/>
    <w:rsid w:val="00606E86"/>
    <w:rsid w:val="00606EDF"/>
    <w:rsid w:val="006103AA"/>
    <w:rsid w:val="0061098D"/>
    <w:rsid w:val="00611068"/>
    <w:rsid w:val="0061112F"/>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0AC8"/>
    <w:rsid w:val="006212D3"/>
    <w:rsid w:val="00623571"/>
    <w:rsid w:val="00623A5E"/>
    <w:rsid w:val="00623CA9"/>
    <w:rsid w:val="00624A86"/>
    <w:rsid w:val="00625008"/>
    <w:rsid w:val="0062626B"/>
    <w:rsid w:val="00626890"/>
    <w:rsid w:val="00626930"/>
    <w:rsid w:val="00626BAC"/>
    <w:rsid w:val="006271C3"/>
    <w:rsid w:val="00627B14"/>
    <w:rsid w:val="0063001E"/>
    <w:rsid w:val="00630023"/>
    <w:rsid w:val="00630C70"/>
    <w:rsid w:val="00630D67"/>
    <w:rsid w:val="00631005"/>
    <w:rsid w:val="00632727"/>
    <w:rsid w:val="00633089"/>
    <w:rsid w:val="00633769"/>
    <w:rsid w:val="00633924"/>
    <w:rsid w:val="00633FE3"/>
    <w:rsid w:val="00634570"/>
    <w:rsid w:val="0063487C"/>
    <w:rsid w:val="00635B73"/>
    <w:rsid w:val="00635BB7"/>
    <w:rsid w:val="006363D8"/>
    <w:rsid w:val="00636CC7"/>
    <w:rsid w:val="006376E3"/>
    <w:rsid w:val="00637833"/>
    <w:rsid w:val="00637F27"/>
    <w:rsid w:val="00640D22"/>
    <w:rsid w:val="00641863"/>
    <w:rsid w:val="00641A84"/>
    <w:rsid w:val="00641DA1"/>
    <w:rsid w:val="00641E5B"/>
    <w:rsid w:val="00642784"/>
    <w:rsid w:val="00643F89"/>
    <w:rsid w:val="006445FF"/>
    <w:rsid w:val="00644BED"/>
    <w:rsid w:val="00644E2E"/>
    <w:rsid w:val="00645B87"/>
    <w:rsid w:val="00645CB4"/>
    <w:rsid w:val="00646084"/>
    <w:rsid w:val="0064650B"/>
    <w:rsid w:val="00646D7F"/>
    <w:rsid w:val="00647664"/>
    <w:rsid w:val="00647700"/>
    <w:rsid w:val="00647781"/>
    <w:rsid w:val="00647850"/>
    <w:rsid w:val="00652794"/>
    <w:rsid w:val="00652CF5"/>
    <w:rsid w:val="0065343E"/>
    <w:rsid w:val="0065398F"/>
    <w:rsid w:val="00653C7C"/>
    <w:rsid w:val="00654252"/>
    <w:rsid w:val="006543B7"/>
    <w:rsid w:val="00654EA5"/>
    <w:rsid w:val="0065587E"/>
    <w:rsid w:val="006558CD"/>
    <w:rsid w:val="00655C26"/>
    <w:rsid w:val="0065637A"/>
    <w:rsid w:val="00656998"/>
    <w:rsid w:val="00656A5C"/>
    <w:rsid w:val="00656E4D"/>
    <w:rsid w:val="00656FE1"/>
    <w:rsid w:val="006576BA"/>
    <w:rsid w:val="00660EE3"/>
    <w:rsid w:val="0066233D"/>
    <w:rsid w:val="00662D3D"/>
    <w:rsid w:val="00662F1F"/>
    <w:rsid w:val="00665030"/>
    <w:rsid w:val="00665274"/>
    <w:rsid w:val="00665670"/>
    <w:rsid w:val="006659EA"/>
    <w:rsid w:val="006661E8"/>
    <w:rsid w:val="00666424"/>
    <w:rsid w:val="006673B9"/>
    <w:rsid w:val="0066790C"/>
    <w:rsid w:val="00670C7C"/>
    <w:rsid w:val="00671480"/>
    <w:rsid w:val="006717E7"/>
    <w:rsid w:val="00671E12"/>
    <w:rsid w:val="00671FD5"/>
    <w:rsid w:val="006720BC"/>
    <w:rsid w:val="00672BF5"/>
    <w:rsid w:val="00672C73"/>
    <w:rsid w:val="00673B5E"/>
    <w:rsid w:val="00673B64"/>
    <w:rsid w:val="00675430"/>
    <w:rsid w:val="006755F0"/>
    <w:rsid w:val="00675749"/>
    <w:rsid w:val="0067707F"/>
    <w:rsid w:val="00677382"/>
    <w:rsid w:val="0067772D"/>
    <w:rsid w:val="00677AD2"/>
    <w:rsid w:val="00677F60"/>
    <w:rsid w:val="00680714"/>
    <w:rsid w:val="0068071D"/>
    <w:rsid w:val="00680C6B"/>
    <w:rsid w:val="00680E67"/>
    <w:rsid w:val="00681240"/>
    <w:rsid w:val="0068245F"/>
    <w:rsid w:val="00683068"/>
    <w:rsid w:val="00683DAD"/>
    <w:rsid w:val="00683F3D"/>
    <w:rsid w:val="0068459E"/>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5C78"/>
    <w:rsid w:val="00695E6C"/>
    <w:rsid w:val="00695EAC"/>
    <w:rsid w:val="0069651D"/>
    <w:rsid w:val="00697068"/>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9E1"/>
    <w:rsid w:val="006B4CF8"/>
    <w:rsid w:val="006B5FBC"/>
    <w:rsid w:val="006B64CE"/>
    <w:rsid w:val="006B666C"/>
    <w:rsid w:val="006B6749"/>
    <w:rsid w:val="006B6ED2"/>
    <w:rsid w:val="006C0230"/>
    <w:rsid w:val="006C0309"/>
    <w:rsid w:val="006C060F"/>
    <w:rsid w:val="006C1114"/>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D12"/>
    <w:rsid w:val="006D0E85"/>
    <w:rsid w:val="006D2A66"/>
    <w:rsid w:val="006D2F72"/>
    <w:rsid w:val="006D3D40"/>
    <w:rsid w:val="006D43C1"/>
    <w:rsid w:val="006D4578"/>
    <w:rsid w:val="006D5442"/>
    <w:rsid w:val="006D6E4E"/>
    <w:rsid w:val="006D72C1"/>
    <w:rsid w:val="006D7A8E"/>
    <w:rsid w:val="006E00E3"/>
    <w:rsid w:val="006E045C"/>
    <w:rsid w:val="006E065E"/>
    <w:rsid w:val="006E0EDB"/>
    <w:rsid w:val="006E17AC"/>
    <w:rsid w:val="006E189B"/>
    <w:rsid w:val="006E1D26"/>
    <w:rsid w:val="006E2558"/>
    <w:rsid w:val="006E2902"/>
    <w:rsid w:val="006E2DC4"/>
    <w:rsid w:val="006E2EAB"/>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67A6"/>
    <w:rsid w:val="006F71A6"/>
    <w:rsid w:val="006F7974"/>
    <w:rsid w:val="006F7C2C"/>
    <w:rsid w:val="00700405"/>
    <w:rsid w:val="00700D18"/>
    <w:rsid w:val="0070168D"/>
    <w:rsid w:val="00701C36"/>
    <w:rsid w:val="00702F2D"/>
    <w:rsid w:val="0070353F"/>
    <w:rsid w:val="00703B42"/>
    <w:rsid w:val="0070412C"/>
    <w:rsid w:val="0070415E"/>
    <w:rsid w:val="00704E7D"/>
    <w:rsid w:val="00705060"/>
    <w:rsid w:val="00705351"/>
    <w:rsid w:val="00705DAF"/>
    <w:rsid w:val="00706128"/>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4A99"/>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3E8D"/>
    <w:rsid w:val="00724FE4"/>
    <w:rsid w:val="00725447"/>
    <w:rsid w:val="007263A2"/>
    <w:rsid w:val="007266B9"/>
    <w:rsid w:val="00727351"/>
    <w:rsid w:val="00727AC5"/>
    <w:rsid w:val="00727C65"/>
    <w:rsid w:val="00727CCB"/>
    <w:rsid w:val="007300F0"/>
    <w:rsid w:val="00730EB5"/>
    <w:rsid w:val="0073245C"/>
    <w:rsid w:val="00732493"/>
    <w:rsid w:val="00733230"/>
    <w:rsid w:val="00733A43"/>
    <w:rsid w:val="00733D5F"/>
    <w:rsid w:val="00733FBB"/>
    <w:rsid w:val="00734932"/>
    <w:rsid w:val="00735D53"/>
    <w:rsid w:val="007364A3"/>
    <w:rsid w:val="00736DF3"/>
    <w:rsid w:val="007378FD"/>
    <w:rsid w:val="007403FE"/>
    <w:rsid w:val="007413EB"/>
    <w:rsid w:val="00741E41"/>
    <w:rsid w:val="00742D32"/>
    <w:rsid w:val="00742E9B"/>
    <w:rsid w:val="007444E6"/>
    <w:rsid w:val="00745262"/>
    <w:rsid w:val="007457D2"/>
    <w:rsid w:val="0074592C"/>
    <w:rsid w:val="00745DB5"/>
    <w:rsid w:val="00746098"/>
    <w:rsid w:val="00746D58"/>
    <w:rsid w:val="00746E66"/>
    <w:rsid w:val="00747578"/>
    <w:rsid w:val="00751073"/>
    <w:rsid w:val="00751AF2"/>
    <w:rsid w:val="00751BD2"/>
    <w:rsid w:val="00751F23"/>
    <w:rsid w:val="00751FAA"/>
    <w:rsid w:val="00752188"/>
    <w:rsid w:val="00752CC6"/>
    <w:rsid w:val="00753938"/>
    <w:rsid w:val="007543CE"/>
    <w:rsid w:val="0075497E"/>
    <w:rsid w:val="00754A29"/>
    <w:rsid w:val="007552A0"/>
    <w:rsid w:val="00755646"/>
    <w:rsid w:val="00755861"/>
    <w:rsid w:val="00755989"/>
    <w:rsid w:val="00755BCF"/>
    <w:rsid w:val="00756100"/>
    <w:rsid w:val="00756C5F"/>
    <w:rsid w:val="00756D69"/>
    <w:rsid w:val="00757029"/>
    <w:rsid w:val="007602D4"/>
    <w:rsid w:val="007607D0"/>
    <w:rsid w:val="00760D96"/>
    <w:rsid w:val="0076124A"/>
    <w:rsid w:val="0076161B"/>
    <w:rsid w:val="00761CB5"/>
    <w:rsid w:val="0076216B"/>
    <w:rsid w:val="00762547"/>
    <w:rsid w:val="00763137"/>
    <w:rsid w:val="00763F8B"/>
    <w:rsid w:val="0076417E"/>
    <w:rsid w:val="00764C15"/>
    <w:rsid w:val="0076617F"/>
    <w:rsid w:val="007662C7"/>
    <w:rsid w:val="00766862"/>
    <w:rsid w:val="0076743B"/>
    <w:rsid w:val="007675DD"/>
    <w:rsid w:val="007702BF"/>
    <w:rsid w:val="007705F0"/>
    <w:rsid w:val="00771026"/>
    <w:rsid w:val="00771CAC"/>
    <w:rsid w:val="00772036"/>
    <w:rsid w:val="00773605"/>
    <w:rsid w:val="007738D3"/>
    <w:rsid w:val="007739A3"/>
    <w:rsid w:val="007739FB"/>
    <w:rsid w:val="00773BD9"/>
    <w:rsid w:val="00773CB0"/>
    <w:rsid w:val="00773D71"/>
    <w:rsid w:val="00774CA9"/>
    <w:rsid w:val="00775526"/>
    <w:rsid w:val="0077685B"/>
    <w:rsid w:val="00776B0B"/>
    <w:rsid w:val="0077765A"/>
    <w:rsid w:val="007776C5"/>
    <w:rsid w:val="00777851"/>
    <w:rsid w:val="00780032"/>
    <w:rsid w:val="00780636"/>
    <w:rsid w:val="00780E86"/>
    <w:rsid w:val="00781727"/>
    <w:rsid w:val="00782CF3"/>
    <w:rsid w:val="00782E69"/>
    <w:rsid w:val="007830EB"/>
    <w:rsid w:val="007836BC"/>
    <w:rsid w:val="00783959"/>
    <w:rsid w:val="007869F9"/>
    <w:rsid w:val="00786CBB"/>
    <w:rsid w:val="00786E21"/>
    <w:rsid w:val="007878B5"/>
    <w:rsid w:val="0079038E"/>
    <w:rsid w:val="00790EBB"/>
    <w:rsid w:val="00791C6E"/>
    <w:rsid w:val="007921F7"/>
    <w:rsid w:val="0079254A"/>
    <w:rsid w:val="00792909"/>
    <w:rsid w:val="00792BC6"/>
    <w:rsid w:val="00792C3F"/>
    <w:rsid w:val="00792EE2"/>
    <w:rsid w:val="00793105"/>
    <w:rsid w:val="007931E8"/>
    <w:rsid w:val="00793333"/>
    <w:rsid w:val="00793776"/>
    <w:rsid w:val="007939C7"/>
    <w:rsid w:val="0079460F"/>
    <w:rsid w:val="00794643"/>
    <w:rsid w:val="00794C59"/>
    <w:rsid w:val="00794E46"/>
    <w:rsid w:val="007952DE"/>
    <w:rsid w:val="00795479"/>
    <w:rsid w:val="00796292"/>
    <w:rsid w:val="007965D9"/>
    <w:rsid w:val="00796FA9"/>
    <w:rsid w:val="007972D5"/>
    <w:rsid w:val="00797DD9"/>
    <w:rsid w:val="007A0789"/>
    <w:rsid w:val="007A130E"/>
    <w:rsid w:val="007A18B1"/>
    <w:rsid w:val="007A1BBD"/>
    <w:rsid w:val="007A1F08"/>
    <w:rsid w:val="007A25FA"/>
    <w:rsid w:val="007A317F"/>
    <w:rsid w:val="007A3520"/>
    <w:rsid w:val="007A3604"/>
    <w:rsid w:val="007A3878"/>
    <w:rsid w:val="007A3D85"/>
    <w:rsid w:val="007A3E0D"/>
    <w:rsid w:val="007A436D"/>
    <w:rsid w:val="007A4D24"/>
    <w:rsid w:val="007A54F6"/>
    <w:rsid w:val="007A572A"/>
    <w:rsid w:val="007A5950"/>
    <w:rsid w:val="007A633F"/>
    <w:rsid w:val="007A6D91"/>
    <w:rsid w:val="007A7618"/>
    <w:rsid w:val="007A7823"/>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B78A3"/>
    <w:rsid w:val="007C0076"/>
    <w:rsid w:val="007C029E"/>
    <w:rsid w:val="007C0636"/>
    <w:rsid w:val="007C10E4"/>
    <w:rsid w:val="007C17B4"/>
    <w:rsid w:val="007C21C5"/>
    <w:rsid w:val="007C2229"/>
    <w:rsid w:val="007C3572"/>
    <w:rsid w:val="007C3590"/>
    <w:rsid w:val="007C387A"/>
    <w:rsid w:val="007C43D6"/>
    <w:rsid w:val="007C47FF"/>
    <w:rsid w:val="007C57D9"/>
    <w:rsid w:val="007C59F3"/>
    <w:rsid w:val="007C660F"/>
    <w:rsid w:val="007C6664"/>
    <w:rsid w:val="007C69AE"/>
    <w:rsid w:val="007C6CEF"/>
    <w:rsid w:val="007C6E23"/>
    <w:rsid w:val="007C6FE9"/>
    <w:rsid w:val="007C7688"/>
    <w:rsid w:val="007C76E3"/>
    <w:rsid w:val="007C7AF2"/>
    <w:rsid w:val="007C7DD9"/>
    <w:rsid w:val="007D0DC9"/>
    <w:rsid w:val="007D0ECD"/>
    <w:rsid w:val="007D2882"/>
    <w:rsid w:val="007D2C31"/>
    <w:rsid w:val="007D3D74"/>
    <w:rsid w:val="007D445F"/>
    <w:rsid w:val="007D44B4"/>
    <w:rsid w:val="007D4DED"/>
    <w:rsid w:val="007D513B"/>
    <w:rsid w:val="007D5BA2"/>
    <w:rsid w:val="007D5ED3"/>
    <w:rsid w:val="007D6FB9"/>
    <w:rsid w:val="007E0595"/>
    <w:rsid w:val="007E0A63"/>
    <w:rsid w:val="007E0C63"/>
    <w:rsid w:val="007E0E05"/>
    <w:rsid w:val="007E0F5D"/>
    <w:rsid w:val="007E1242"/>
    <w:rsid w:val="007E23A1"/>
    <w:rsid w:val="007E259F"/>
    <w:rsid w:val="007E2C23"/>
    <w:rsid w:val="007E5306"/>
    <w:rsid w:val="007E54B8"/>
    <w:rsid w:val="007E5D12"/>
    <w:rsid w:val="007E677F"/>
    <w:rsid w:val="007E6B25"/>
    <w:rsid w:val="007F0811"/>
    <w:rsid w:val="007F152D"/>
    <w:rsid w:val="007F20EE"/>
    <w:rsid w:val="007F2821"/>
    <w:rsid w:val="007F30C6"/>
    <w:rsid w:val="007F4318"/>
    <w:rsid w:val="007F4709"/>
    <w:rsid w:val="007F47DA"/>
    <w:rsid w:val="007F4B43"/>
    <w:rsid w:val="007F4E52"/>
    <w:rsid w:val="007F4F84"/>
    <w:rsid w:val="007F55A4"/>
    <w:rsid w:val="007F5A48"/>
    <w:rsid w:val="007F5F4D"/>
    <w:rsid w:val="007F6260"/>
    <w:rsid w:val="007F6343"/>
    <w:rsid w:val="007F682B"/>
    <w:rsid w:val="007F6EE5"/>
    <w:rsid w:val="00800509"/>
    <w:rsid w:val="00800725"/>
    <w:rsid w:val="00800B7F"/>
    <w:rsid w:val="0080348B"/>
    <w:rsid w:val="00803D82"/>
    <w:rsid w:val="00803D98"/>
    <w:rsid w:val="008052CE"/>
    <w:rsid w:val="00806CD6"/>
    <w:rsid w:val="0080705B"/>
    <w:rsid w:val="0080723C"/>
    <w:rsid w:val="00807F71"/>
    <w:rsid w:val="0081000F"/>
    <w:rsid w:val="00812257"/>
    <w:rsid w:val="00812657"/>
    <w:rsid w:val="00812A1A"/>
    <w:rsid w:val="00812DFF"/>
    <w:rsid w:val="0081302A"/>
    <w:rsid w:val="0081334D"/>
    <w:rsid w:val="0081383A"/>
    <w:rsid w:val="00814FC7"/>
    <w:rsid w:val="00815260"/>
    <w:rsid w:val="00816C4A"/>
    <w:rsid w:val="00817195"/>
    <w:rsid w:val="00817416"/>
    <w:rsid w:val="00820C4A"/>
    <w:rsid w:val="00821203"/>
    <w:rsid w:val="00821271"/>
    <w:rsid w:val="00821306"/>
    <w:rsid w:val="008213D9"/>
    <w:rsid w:val="00821D85"/>
    <w:rsid w:val="00823819"/>
    <w:rsid w:val="00823C4B"/>
    <w:rsid w:val="00823FB0"/>
    <w:rsid w:val="0082427D"/>
    <w:rsid w:val="00824AB1"/>
    <w:rsid w:val="00825086"/>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40C9"/>
    <w:rsid w:val="00844B4F"/>
    <w:rsid w:val="008451EB"/>
    <w:rsid w:val="00845EC1"/>
    <w:rsid w:val="008465B4"/>
    <w:rsid w:val="00846D25"/>
    <w:rsid w:val="00846F14"/>
    <w:rsid w:val="00850013"/>
    <w:rsid w:val="008500DD"/>
    <w:rsid w:val="00850191"/>
    <w:rsid w:val="00851773"/>
    <w:rsid w:val="00851E96"/>
    <w:rsid w:val="00852FA5"/>
    <w:rsid w:val="00853F7D"/>
    <w:rsid w:val="0085517F"/>
    <w:rsid w:val="0085562D"/>
    <w:rsid w:val="00855A78"/>
    <w:rsid w:val="00856154"/>
    <w:rsid w:val="00856286"/>
    <w:rsid w:val="0085657E"/>
    <w:rsid w:val="008576B0"/>
    <w:rsid w:val="0086003A"/>
    <w:rsid w:val="00860086"/>
    <w:rsid w:val="00860296"/>
    <w:rsid w:val="00860DA4"/>
    <w:rsid w:val="00860E97"/>
    <w:rsid w:val="00861390"/>
    <w:rsid w:val="00861948"/>
    <w:rsid w:val="00861D4B"/>
    <w:rsid w:val="00862011"/>
    <w:rsid w:val="00862A15"/>
    <w:rsid w:val="00862CC9"/>
    <w:rsid w:val="00862D8E"/>
    <w:rsid w:val="00862EF2"/>
    <w:rsid w:val="008641A6"/>
    <w:rsid w:val="008650A5"/>
    <w:rsid w:val="00865C3D"/>
    <w:rsid w:val="00866453"/>
    <w:rsid w:val="0086707F"/>
    <w:rsid w:val="0086734F"/>
    <w:rsid w:val="00867501"/>
    <w:rsid w:val="00867D8E"/>
    <w:rsid w:val="008700C0"/>
    <w:rsid w:val="0087099A"/>
    <w:rsid w:val="00870D79"/>
    <w:rsid w:val="00871333"/>
    <w:rsid w:val="00872386"/>
    <w:rsid w:val="008726D7"/>
    <w:rsid w:val="00873128"/>
    <w:rsid w:val="008735BC"/>
    <w:rsid w:val="008737A8"/>
    <w:rsid w:val="00873AAC"/>
    <w:rsid w:val="00873C61"/>
    <w:rsid w:val="00873DFD"/>
    <w:rsid w:val="008745D9"/>
    <w:rsid w:val="008749BF"/>
    <w:rsid w:val="00875542"/>
    <w:rsid w:val="00875E14"/>
    <w:rsid w:val="008764B2"/>
    <w:rsid w:val="0087677E"/>
    <w:rsid w:val="0087712C"/>
    <w:rsid w:val="00877429"/>
    <w:rsid w:val="00877C5D"/>
    <w:rsid w:val="0088093C"/>
    <w:rsid w:val="00880BC0"/>
    <w:rsid w:val="00881D59"/>
    <w:rsid w:val="008825D5"/>
    <w:rsid w:val="00883BF9"/>
    <w:rsid w:val="00883E75"/>
    <w:rsid w:val="00884371"/>
    <w:rsid w:val="0088452F"/>
    <w:rsid w:val="00884B7A"/>
    <w:rsid w:val="00884D47"/>
    <w:rsid w:val="00886AFE"/>
    <w:rsid w:val="00887392"/>
    <w:rsid w:val="00890C40"/>
    <w:rsid w:val="008912A7"/>
    <w:rsid w:val="0089183A"/>
    <w:rsid w:val="008920B4"/>
    <w:rsid w:val="008925EB"/>
    <w:rsid w:val="00893104"/>
    <w:rsid w:val="00893432"/>
    <w:rsid w:val="00893936"/>
    <w:rsid w:val="00893CE2"/>
    <w:rsid w:val="00893F41"/>
    <w:rsid w:val="00895144"/>
    <w:rsid w:val="0089594D"/>
    <w:rsid w:val="008972B6"/>
    <w:rsid w:val="00897339"/>
    <w:rsid w:val="00897697"/>
    <w:rsid w:val="008977E1"/>
    <w:rsid w:val="008979B5"/>
    <w:rsid w:val="008A0044"/>
    <w:rsid w:val="008A0BFE"/>
    <w:rsid w:val="008A1932"/>
    <w:rsid w:val="008A2020"/>
    <w:rsid w:val="008A21D9"/>
    <w:rsid w:val="008A26A5"/>
    <w:rsid w:val="008A2A95"/>
    <w:rsid w:val="008A3182"/>
    <w:rsid w:val="008A34CD"/>
    <w:rsid w:val="008A3710"/>
    <w:rsid w:val="008A3D54"/>
    <w:rsid w:val="008A411C"/>
    <w:rsid w:val="008A47CE"/>
    <w:rsid w:val="008A4D74"/>
    <w:rsid w:val="008A5933"/>
    <w:rsid w:val="008A5F2F"/>
    <w:rsid w:val="008A668F"/>
    <w:rsid w:val="008A6BAE"/>
    <w:rsid w:val="008A7350"/>
    <w:rsid w:val="008A7A72"/>
    <w:rsid w:val="008B050B"/>
    <w:rsid w:val="008B09F3"/>
    <w:rsid w:val="008B12BE"/>
    <w:rsid w:val="008B16E6"/>
    <w:rsid w:val="008B1AB2"/>
    <w:rsid w:val="008B1D9B"/>
    <w:rsid w:val="008B2042"/>
    <w:rsid w:val="008B234E"/>
    <w:rsid w:val="008B25F1"/>
    <w:rsid w:val="008B32C9"/>
    <w:rsid w:val="008B3567"/>
    <w:rsid w:val="008B36D0"/>
    <w:rsid w:val="008B38AF"/>
    <w:rsid w:val="008B3E1B"/>
    <w:rsid w:val="008B3F4B"/>
    <w:rsid w:val="008B3F4E"/>
    <w:rsid w:val="008B48EC"/>
    <w:rsid w:val="008B518E"/>
    <w:rsid w:val="008B69B8"/>
    <w:rsid w:val="008B7042"/>
    <w:rsid w:val="008B707B"/>
    <w:rsid w:val="008B7271"/>
    <w:rsid w:val="008C094A"/>
    <w:rsid w:val="008C0A5B"/>
    <w:rsid w:val="008C1570"/>
    <w:rsid w:val="008C1E3E"/>
    <w:rsid w:val="008C2059"/>
    <w:rsid w:val="008C2DBC"/>
    <w:rsid w:val="008C4969"/>
    <w:rsid w:val="008C561E"/>
    <w:rsid w:val="008C65F4"/>
    <w:rsid w:val="008C6683"/>
    <w:rsid w:val="008C7273"/>
    <w:rsid w:val="008C7C51"/>
    <w:rsid w:val="008D0E65"/>
    <w:rsid w:val="008D110A"/>
    <w:rsid w:val="008D1612"/>
    <w:rsid w:val="008D1E6A"/>
    <w:rsid w:val="008D2259"/>
    <w:rsid w:val="008D313A"/>
    <w:rsid w:val="008D3381"/>
    <w:rsid w:val="008D33FE"/>
    <w:rsid w:val="008D3B9F"/>
    <w:rsid w:val="008D3D02"/>
    <w:rsid w:val="008D4226"/>
    <w:rsid w:val="008D54C0"/>
    <w:rsid w:val="008D5ED9"/>
    <w:rsid w:val="008D7567"/>
    <w:rsid w:val="008D7640"/>
    <w:rsid w:val="008E0E86"/>
    <w:rsid w:val="008E0EE4"/>
    <w:rsid w:val="008E1C24"/>
    <w:rsid w:val="008E2626"/>
    <w:rsid w:val="008E27A9"/>
    <w:rsid w:val="008E323C"/>
    <w:rsid w:val="008E35A6"/>
    <w:rsid w:val="008E36D9"/>
    <w:rsid w:val="008E3A5C"/>
    <w:rsid w:val="008E3A9A"/>
    <w:rsid w:val="008E429E"/>
    <w:rsid w:val="008E4412"/>
    <w:rsid w:val="008E4436"/>
    <w:rsid w:val="008E5938"/>
    <w:rsid w:val="008E5D2F"/>
    <w:rsid w:val="008E78A4"/>
    <w:rsid w:val="008F1D99"/>
    <w:rsid w:val="008F1E3D"/>
    <w:rsid w:val="008F2F11"/>
    <w:rsid w:val="008F33A6"/>
    <w:rsid w:val="008F35EC"/>
    <w:rsid w:val="008F4FE8"/>
    <w:rsid w:val="008F4FED"/>
    <w:rsid w:val="008F5AAB"/>
    <w:rsid w:val="008F6200"/>
    <w:rsid w:val="008F62F8"/>
    <w:rsid w:val="008F6893"/>
    <w:rsid w:val="008F7292"/>
    <w:rsid w:val="009000F2"/>
    <w:rsid w:val="009000F6"/>
    <w:rsid w:val="0090079D"/>
    <w:rsid w:val="0090086A"/>
    <w:rsid w:val="00900D2C"/>
    <w:rsid w:val="00901807"/>
    <w:rsid w:val="00901945"/>
    <w:rsid w:val="00901F0E"/>
    <w:rsid w:val="0090274F"/>
    <w:rsid w:val="0090408F"/>
    <w:rsid w:val="009043B7"/>
    <w:rsid w:val="0090446A"/>
    <w:rsid w:val="00904A14"/>
    <w:rsid w:val="00904DC3"/>
    <w:rsid w:val="00905469"/>
    <w:rsid w:val="00905B0C"/>
    <w:rsid w:val="0090629C"/>
    <w:rsid w:val="00906EA2"/>
    <w:rsid w:val="00907278"/>
    <w:rsid w:val="009077DC"/>
    <w:rsid w:val="00907BFD"/>
    <w:rsid w:val="0091112B"/>
    <w:rsid w:val="009128B8"/>
    <w:rsid w:val="009131E5"/>
    <w:rsid w:val="0091472C"/>
    <w:rsid w:val="009149C2"/>
    <w:rsid w:val="00914C7F"/>
    <w:rsid w:val="00914FE8"/>
    <w:rsid w:val="00915351"/>
    <w:rsid w:val="00915679"/>
    <w:rsid w:val="009159C2"/>
    <w:rsid w:val="00916D22"/>
    <w:rsid w:val="0092077A"/>
    <w:rsid w:val="009219F3"/>
    <w:rsid w:val="00921DF4"/>
    <w:rsid w:val="009221CB"/>
    <w:rsid w:val="00922320"/>
    <w:rsid w:val="00923643"/>
    <w:rsid w:val="0092376C"/>
    <w:rsid w:val="00923E1A"/>
    <w:rsid w:val="00923E41"/>
    <w:rsid w:val="009243E5"/>
    <w:rsid w:val="0092490A"/>
    <w:rsid w:val="00924FDE"/>
    <w:rsid w:val="009251B9"/>
    <w:rsid w:val="00925A3E"/>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69BA"/>
    <w:rsid w:val="00936EA5"/>
    <w:rsid w:val="00937114"/>
    <w:rsid w:val="00937FD4"/>
    <w:rsid w:val="0094015D"/>
    <w:rsid w:val="009418D4"/>
    <w:rsid w:val="00941B13"/>
    <w:rsid w:val="009441DB"/>
    <w:rsid w:val="00944834"/>
    <w:rsid w:val="00946128"/>
    <w:rsid w:val="0094633F"/>
    <w:rsid w:val="009475C1"/>
    <w:rsid w:val="009477CB"/>
    <w:rsid w:val="00947BA5"/>
    <w:rsid w:val="00950805"/>
    <w:rsid w:val="00950C0D"/>
    <w:rsid w:val="00950F3F"/>
    <w:rsid w:val="0095121C"/>
    <w:rsid w:val="009517E4"/>
    <w:rsid w:val="009518D4"/>
    <w:rsid w:val="009520BC"/>
    <w:rsid w:val="009521D2"/>
    <w:rsid w:val="00952403"/>
    <w:rsid w:val="00952BD8"/>
    <w:rsid w:val="00953573"/>
    <w:rsid w:val="009535D2"/>
    <w:rsid w:val="009549EF"/>
    <w:rsid w:val="00955C64"/>
    <w:rsid w:val="00956647"/>
    <w:rsid w:val="00956BF6"/>
    <w:rsid w:val="0095702E"/>
    <w:rsid w:val="00957409"/>
    <w:rsid w:val="00957499"/>
    <w:rsid w:val="00957BD6"/>
    <w:rsid w:val="00957ED2"/>
    <w:rsid w:val="00960DE4"/>
    <w:rsid w:val="00961164"/>
    <w:rsid w:val="00961A4F"/>
    <w:rsid w:val="00962B2E"/>
    <w:rsid w:val="00962FB8"/>
    <w:rsid w:val="0096373F"/>
    <w:rsid w:val="00963C73"/>
    <w:rsid w:val="00964007"/>
    <w:rsid w:val="009643F4"/>
    <w:rsid w:val="00964F5A"/>
    <w:rsid w:val="009653ED"/>
    <w:rsid w:val="00966AD2"/>
    <w:rsid w:val="00967867"/>
    <w:rsid w:val="00967961"/>
    <w:rsid w:val="00967A38"/>
    <w:rsid w:val="00970848"/>
    <w:rsid w:val="009716D8"/>
    <w:rsid w:val="00971D09"/>
    <w:rsid w:val="00971F54"/>
    <w:rsid w:val="00971FBF"/>
    <w:rsid w:val="00972057"/>
    <w:rsid w:val="0097227B"/>
    <w:rsid w:val="00972404"/>
    <w:rsid w:val="0097262E"/>
    <w:rsid w:val="0097293F"/>
    <w:rsid w:val="00974022"/>
    <w:rsid w:val="00974F00"/>
    <w:rsid w:val="0097552A"/>
    <w:rsid w:val="0097564A"/>
    <w:rsid w:val="00976BBE"/>
    <w:rsid w:val="0097741F"/>
    <w:rsid w:val="0098055B"/>
    <w:rsid w:val="009808BD"/>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9D7"/>
    <w:rsid w:val="00996EF4"/>
    <w:rsid w:val="0099703C"/>
    <w:rsid w:val="00997044"/>
    <w:rsid w:val="00997884"/>
    <w:rsid w:val="00997BC9"/>
    <w:rsid w:val="009A1694"/>
    <w:rsid w:val="009A1F7F"/>
    <w:rsid w:val="009A2BE9"/>
    <w:rsid w:val="009A2BF3"/>
    <w:rsid w:val="009A3C3E"/>
    <w:rsid w:val="009A40F6"/>
    <w:rsid w:val="009A4C2C"/>
    <w:rsid w:val="009A520A"/>
    <w:rsid w:val="009A59B3"/>
    <w:rsid w:val="009A5F76"/>
    <w:rsid w:val="009A5FAE"/>
    <w:rsid w:val="009A74DA"/>
    <w:rsid w:val="009A7E7C"/>
    <w:rsid w:val="009B05D2"/>
    <w:rsid w:val="009B0CEE"/>
    <w:rsid w:val="009B1362"/>
    <w:rsid w:val="009B152B"/>
    <w:rsid w:val="009B2731"/>
    <w:rsid w:val="009B2DCF"/>
    <w:rsid w:val="009B3D38"/>
    <w:rsid w:val="009B4368"/>
    <w:rsid w:val="009B494C"/>
    <w:rsid w:val="009B7505"/>
    <w:rsid w:val="009B7A74"/>
    <w:rsid w:val="009C0020"/>
    <w:rsid w:val="009C03F7"/>
    <w:rsid w:val="009C10DA"/>
    <w:rsid w:val="009C1201"/>
    <w:rsid w:val="009C17EE"/>
    <w:rsid w:val="009C19FC"/>
    <w:rsid w:val="009C22FD"/>
    <w:rsid w:val="009C27F7"/>
    <w:rsid w:val="009C3BC4"/>
    <w:rsid w:val="009C3C93"/>
    <w:rsid w:val="009C3E97"/>
    <w:rsid w:val="009C4017"/>
    <w:rsid w:val="009C424E"/>
    <w:rsid w:val="009C4708"/>
    <w:rsid w:val="009C4870"/>
    <w:rsid w:val="009C4C4E"/>
    <w:rsid w:val="009C4D37"/>
    <w:rsid w:val="009C4FB5"/>
    <w:rsid w:val="009C574C"/>
    <w:rsid w:val="009C5753"/>
    <w:rsid w:val="009C5A89"/>
    <w:rsid w:val="009C5E42"/>
    <w:rsid w:val="009C620F"/>
    <w:rsid w:val="009C657D"/>
    <w:rsid w:val="009C6875"/>
    <w:rsid w:val="009C748A"/>
    <w:rsid w:val="009C7D53"/>
    <w:rsid w:val="009C7EB3"/>
    <w:rsid w:val="009D03B7"/>
    <w:rsid w:val="009D07AD"/>
    <w:rsid w:val="009D0824"/>
    <w:rsid w:val="009D1654"/>
    <w:rsid w:val="009D1BDB"/>
    <w:rsid w:val="009D2F9C"/>
    <w:rsid w:val="009D4207"/>
    <w:rsid w:val="009D4E4A"/>
    <w:rsid w:val="009D5130"/>
    <w:rsid w:val="009D53D1"/>
    <w:rsid w:val="009D53FB"/>
    <w:rsid w:val="009D5D6E"/>
    <w:rsid w:val="009D6081"/>
    <w:rsid w:val="009D678C"/>
    <w:rsid w:val="009D6B9A"/>
    <w:rsid w:val="009D76B5"/>
    <w:rsid w:val="009D7BC7"/>
    <w:rsid w:val="009D7FAC"/>
    <w:rsid w:val="009E0109"/>
    <w:rsid w:val="009E0342"/>
    <w:rsid w:val="009E098B"/>
    <w:rsid w:val="009E09AB"/>
    <w:rsid w:val="009E0A39"/>
    <w:rsid w:val="009E192E"/>
    <w:rsid w:val="009E19BB"/>
    <w:rsid w:val="009E1C47"/>
    <w:rsid w:val="009E2451"/>
    <w:rsid w:val="009E2955"/>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1F6F"/>
    <w:rsid w:val="009F2186"/>
    <w:rsid w:val="009F28DC"/>
    <w:rsid w:val="009F2EDB"/>
    <w:rsid w:val="009F30D3"/>
    <w:rsid w:val="009F33DC"/>
    <w:rsid w:val="009F385E"/>
    <w:rsid w:val="009F4550"/>
    <w:rsid w:val="009F56C0"/>
    <w:rsid w:val="009F5C76"/>
    <w:rsid w:val="00A007B4"/>
    <w:rsid w:val="00A00CA0"/>
    <w:rsid w:val="00A00E00"/>
    <w:rsid w:val="00A01221"/>
    <w:rsid w:val="00A012A8"/>
    <w:rsid w:val="00A016FF"/>
    <w:rsid w:val="00A0176B"/>
    <w:rsid w:val="00A0188F"/>
    <w:rsid w:val="00A0207F"/>
    <w:rsid w:val="00A021AF"/>
    <w:rsid w:val="00A044AA"/>
    <w:rsid w:val="00A052F0"/>
    <w:rsid w:val="00A06FB9"/>
    <w:rsid w:val="00A07829"/>
    <w:rsid w:val="00A07C42"/>
    <w:rsid w:val="00A07F53"/>
    <w:rsid w:val="00A102F8"/>
    <w:rsid w:val="00A10A20"/>
    <w:rsid w:val="00A10FDE"/>
    <w:rsid w:val="00A117D5"/>
    <w:rsid w:val="00A11984"/>
    <w:rsid w:val="00A131F5"/>
    <w:rsid w:val="00A133C1"/>
    <w:rsid w:val="00A13414"/>
    <w:rsid w:val="00A13F2D"/>
    <w:rsid w:val="00A1475E"/>
    <w:rsid w:val="00A14F81"/>
    <w:rsid w:val="00A1535F"/>
    <w:rsid w:val="00A15A98"/>
    <w:rsid w:val="00A15CB1"/>
    <w:rsid w:val="00A15E84"/>
    <w:rsid w:val="00A16021"/>
    <w:rsid w:val="00A176DD"/>
    <w:rsid w:val="00A20FAD"/>
    <w:rsid w:val="00A2252B"/>
    <w:rsid w:val="00A22C3E"/>
    <w:rsid w:val="00A22C4D"/>
    <w:rsid w:val="00A23442"/>
    <w:rsid w:val="00A249D2"/>
    <w:rsid w:val="00A254AB"/>
    <w:rsid w:val="00A25674"/>
    <w:rsid w:val="00A266CC"/>
    <w:rsid w:val="00A26DB4"/>
    <w:rsid w:val="00A27425"/>
    <w:rsid w:val="00A27478"/>
    <w:rsid w:val="00A3023E"/>
    <w:rsid w:val="00A305C5"/>
    <w:rsid w:val="00A30919"/>
    <w:rsid w:val="00A31F05"/>
    <w:rsid w:val="00A31FD2"/>
    <w:rsid w:val="00A3404D"/>
    <w:rsid w:val="00A341AB"/>
    <w:rsid w:val="00A34290"/>
    <w:rsid w:val="00A355F9"/>
    <w:rsid w:val="00A35AA9"/>
    <w:rsid w:val="00A37309"/>
    <w:rsid w:val="00A37558"/>
    <w:rsid w:val="00A3786A"/>
    <w:rsid w:val="00A37C3C"/>
    <w:rsid w:val="00A4008C"/>
    <w:rsid w:val="00A402A8"/>
    <w:rsid w:val="00A40685"/>
    <w:rsid w:val="00A40E2F"/>
    <w:rsid w:val="00A41819"/>
    <w:rsid w:val="00A41C9A"/>
    <w:rsid w:val="00A41D73"/>
    <w:rsid w:val="00A429BD"/>
    <w:rsid w:val="00A433E8"/>
    <w:rsid w:val="00A43A1D"/>
    <w:rsid w:val="00A44854"/>
    <w:rsid w:val="00A44A45"/>
    <w:rsid w:val="00A46859"/>
    <w:rsid w:val="00A46D39"/>
    <w:rsid w:val="00A472B8"/>
    <w:rsid w:val="00A5004A"/>
    <w:rsid w:val="00A502F5"/>
    <w:rsid w:val="00A50479"/>
    <w:rsid w:val="00A504F4"/>
    <w:rsid w:val="00A508AA"/>
    <w:rsid w:val="00A50E79"/>
    <w:rsid w:val="00A526CE"/>
    <w:rsid w:val="00A52A11"/>
    <w:rsid w:val="00A53B6E"/>
    <w:rsid w:val="00A5416E"/>
    <w:rsid w:val="00A54DC0"/>
    <w:rsid w:val="00A550C9"/>
    <w:rsid w:val="00A55228"/>
    <w:rsid w:val="00A55A04"/>
    <w:rsid w:val="00A55B20"/>
    <w:rsid w:val="00A564DE"/>
    <w:rsid w:val="00A604EC"/>
    <w:rsid w:val="00A6054E"/>
    <w:rsid w:val="00A60799"/>
    <w:rsid w:val="00A61B7F"/>
    <w:rsid w:val="00A61B91"/>
    <w:rsid w:val="00A62666"/>
    <w:rsid w:val="00A629CA"/>
    <w:rsid w:val="00A63016"/>
    <w:rsid w:val="00A63335"/>
    <w:rsid w:val="00A63685"/>
    <w:rsid w:val="00A642E7"/>
    <w:rsid w:val="00A645AC"/>
    <w:rsid w:val="00A64CC1"/>
    <w:rsid w:val="00A64FB2"/>
    <w:rsid w:val="00A65EFB"/>
    <w:rsid w:val="00A66E2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002"/>
    <w:rsid w:val="00A765B1"/>
    <w:rsid w:val="00A772F2"/>
    <w:rsid w:val="00A77828"/>
    <w:rsid w:val="00A77C72"/>
    <w:rsid w:val="00A80089"/>
    <w:rsid w:val="00A800F9"/>
    <w:rsid w:val="00A8073D"/>
    <w:rsid w:val="00A80D02"/>
    <w:rsid w:val="00A82D32"/>
    <w:rsid w:val="00A82EAE"/>
    <w:rsid w:val="00A846A0"/>
    <w:rsid w:val="00A847F9"/>
    <w:rsid w:val="00A849F6"/>
    <w:rsid w:val="00A84F27"/>
    <w:rsid w:val="00A8519C"/>
    <w:rsid w:val="00A85F83"/>
    <w:rsid w:val="00A86019"/>
    <w:rsid w:val="00A86EED"/>
    <w:rsid w:val="00A8733A"/>
    <w:rsid w:val="00A87E58"/>
    <w:rsid w:val="00A9002A"/>
    <w:rsid w:val="00A9196B"/>
    <w:rsid w:val="00A91BEE"/>
    <w:rsid w:val="00A91D4B"/>
    <w:rsid w:val="00A920B2"/>
    <w:rsid w:val="00A92675"/>
    <w:rsid w:val="00A92A96"/>
    <w:rsid w:val="00A92AF0"/>
    <w:rsid w:val="00A933FE"/>
    <w:rsid w:val="00A937D5"/>
    <w:rsid w:val="00A93C70"/>
    <w:rsid w:val="00A93F07"/>
    <w:rsid w:val="00A94A32"/>
    <w:rsid w:val="00A94AFC"/>
    <w:rsid w:val="00A96B4A"/>
    <w:rsid w:val="00A96B65"/>
    <w:rsid w:val="00A971BB"/>
    <w:rsid w:val="00A979AD"/>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8DC"/>
    <w:rsid w:val="00AA5A5C"/>
    <w:rsid w:val="00AA5A6F"/>
    <w:rsid w:val="00AA5D94"/>
    <w:rsid w:val="00AA60A5"/>
    <w:rsid w:val="00AA6B01"/>
    <w:rsid w:val="00AA6F6C"/>
    <w:rsid w:val="00AA73DF"/>
    <w:rsid w:val="00AA7519"/>
    <w:rsid w:val="00AA790A"/>
    <w:rsid w:val="00AB02EA"/>
    <w:rsid w:val="00AB110C"/>
    <w:rsid w:val="00AB1712"/>
    <w:rsid w:val="00AB227A"/>
    <w:rsid w:val="00AB22BF"/>
    <w:rsid w:val="00AB256E"/>
    <w:rsid w:val="00AB3466"/>
    <w:rsid w:val="00AB3BBB"/>
    <w:rsid w:val="00AB3CDF"/>
    <w:rsid w:val="00AB406A"/>
    <w:rsid w:val="00AB408C"/>
    <w:rsid w:val="00AB4E41"/>
    <w:rsid w:val="00AB5EB1"/>
    <w:rsid w:val="00AB6003"/>
    <w:rsid w:val="00AB6A58"/>
    <w:rsid w:val="00AB759A"/>
    <w:rsid w:val="00AB7B06"/>
    <w:rsid w:val="00AB7EAA"/>
    <w:rsid w:val="00AC0432"/>
    <w:rsid w:val="00AC0770"/>
    <w:rsid w:val="00AC1683"/>
    <w:rsid w:val="00AC1D82"/>
    <w:rsid w:val="00AC4094"/>
    <w:rsid w:val="00AC42B6"/>
    <w:rsid w:val="00AC4AB7"/>
    <w:rsid w:val="00AC4FCA"/>
    <w:rsid w:val="00AC5859"/>
    <w:rsid w:val="00AC5C9B"/>
    <w:rsid w:val="00AC6225"/>
    <w:rsid w:val="00AC6D24"/>
    <w:rsid w:val="00AD1065"/>
    <w:rsid w:val="00AD2270"/>
    <w:rsid w:val="00AD2771"/>
    <w:rsid w:val="00AD291B"/>
    <w:rsid w:val="00AD39C8"/>
    <w:rsid w:val="00AD3DA6"/>
    <w:rsid w:val="00AD3F3C"/>
    <w:rsid w:val="00AD41BA"/>
    <w:rsid w:val="00AD4B2F"/>
    <w:rsid w:val="00AD5F0A"/>
    <w:rsid w:val="00AD6B4F"/>
    <w:rsid w:val="00AD7812"/>
    <w:rsid w:val="00AD7C42"/>
    <w:rsid w:val="00AD7CFA"/>
    <w:rsid w:val="00AD7EC8"/>
    <w:rsid w:val="00AE0BD6"/>
    <w:rsid w:val="00AE11C1"/>
    <w:rsid w:val="00AE163D"/>
    <w:rsid w:val="00AE1C5C"/>
    <w:rsid w:val="00AE2219"/>
    <w:rsid w:val="00AE312B"/>
    <w:rsid w:val="00AE315E"/>
    <w:rsid w:val="00AE319F"/>
    <w:rsid w:val="00AE31D9"/>
    <w:rsid w:val="00AE3792"/>
    <w:rsid w:val="00AE3CF0"/>
    <w:rsid w:val="00AE4B2C"/>
    <w:rsid w:val="00AE71EE"/>
    <w:rsid w:val="00AE75AC"/>
    <w:rsid w:val="00AE7FD3"/>
    <w:rsid w:val="00AF03CF"/>
    <w:rsid w:val="00AF0A0A"/>
    <w:rsid w:val="00AF1473"/>
    <w:rsid w:val="00AF14FC"/>
    <w:rsid w:val="00AF1ED2"/>
    <w:rsid w:val="00AF1F4E"/>
    <w:rsid w:val="00AF3557"/>
    <w:rsid w:val="00AF383C"/>
    <w:rsid w:val="00AF3E33"/>
    <w:rsid w:val="00AF3F86"/>
    <w:rsid w:val="00AF440D"/>
    <w:rsid w:val="00AF4CEE"/>
    <w:rsid w:val="00AF4F2A"/>
    <w:rsid w:val="00AF5364"/>
    <w:rsid w:val="00AF584C"/>
    <w:rsid w:val="00AF5D84"/>
    <w:rsid w:val="00AF669D"/>
    <w:rsid w:val="00AF672C"/>
    <w:rsid w:val="00AF7389"/>
    <w:rsid w:val="00AF7C37"/>
    <w:rsid w:val="00B00378"/>
    <w:rsid w:val="00B00D91"/>
    <w:rsid w:val="00B00E84"/>
    <w:rsid w:val="00B012A0"/>
    <w:rsid w:val="00B02B5F"/>
    <w:rsid w:val="00B038F1"/>
    <w:rsid w:val="00B03C1B"/>
    <w:rsid w:val="00B04678"/>
    <w:rsid w:val="00B04A04"/>
    <w:rsid w:val="00B04C37"/>
    <w:rsid w:val="00B04F00"/>
    <w:rsid w:val="00B05BA6"/>
    <w:rsid w:val="00B066FE"/>
    <w:rsid w:val="00B06912"/>
    <w:rsid w:val="00B10B04"/>
    <w:rsid w:val="00B10CC6"/>
    <w:rsid w:val="00B11A61"/>
    <w:rsid w:val="00B12082"/>
    <w:rsid w:val="00B1278A"/>
    <w:rsid w:val="00B13389"/>
    <w:rsid w:val="00B1364C"/>
    <w:rsid w:val="00B13BB7"/>
    <w:rsid w:val="00B141A5"/>
    <w:rsid w:val="00B14344"/>
    <w:rsid w:val="00B15286"/>
    <w:rsid w:val="00B1550D"/>
    <w:rsid w:val="00B159C0"/>
    <w:rsid w:val="00B15F6C"/>
    <w:rsid w:val="00B163E8"/>
    <w:rsid w:val="00B1666C"/>
    <w:rsid w:val="00B175F7"/>
    <w:rsid w:val="00B1767E"/>
    <w:rsid w:val="00B20760"/>
    <w:rsid w:val="00B20C4A"/>
    <w:rsid w:val="00B21676"/>
    <w:rsid w:val="00B219E1"/>
    <w:rsid w:val="00B22150"/>
    <w:rsid w:val="00B22401"/>
    <w:rsid w:val="00B226DE"/>
    <w:rsid w:val="00B22F1A"/>
    <w:rsid w:val="00B23590"/>
    <w:rsid w:val="00B236D3"/>
    <w:rsid w:val="00B239CD"/>
    <w:rsid w:val="00B241D5"/>
    <w:rsid w:val="00B24BE9"/>
    <w:rsid w:val="00B25956"/>
    <w:rsid w:val="00B25F8C"/>
    <w:rsid w:val="00B260BE"/>
    <w:rsid w:val="00B26677"/>
    <w:rsid w:val="00B269D0"/>
    <w:rsid w:val="00B26A96"/>
    <w:rsid w:val="00B274E3"/>
    <w:rsid w:val="00B2765C"/>
    <w:rsid w:val="00B27C4B"/>
    <w:rsid w:val="00B30563"/>
    <w:rsid w:val="00B3062A"/>
    <w:rsid w:val="00B30A76"/>
    <w:rsid w:val="00B32295"/>
    <w:rsid w:val="00B33024"/>
    <w:rsid w:val="00B33AB5"/>
    <w:rsid w:val="00B33C55"/>
    <w:rsid w:val="00B3412E"/>
    <w:rsid w:val="00B36241"/>
    <w:rsid w:val="00B367C4"/>
    <w:rsid w:val="00B37B8E"/>
    <w:rsid w:val="00B40222"/>
    <w:rsid w:val="00B404C3"/>
    <w:rsid w:val="00B41BF4"/>
    <w:rsid w:val="00B42A76"/>
    <w:rsid w:val="00B4311F"/>
    <w:rsid w:val="00B431AE"/>
    <w:rsid w:val="00B4382A"/>
    <w:rsid w:val="00B448BF"/>
    <w:rsid w:val="00B44FB8"/>
    <w:rsid w:val="00B45A59"/>
    <w:rsid w:val="00B45F9F"/>
    <w:rsid w:val="00B4627C"/>
    <w:rsid w:val="00B46793"/>
    <w:rsid w:val="00B46953"/>
    <w:rsid w:val="00B47455"/>
    <w:rsid w:val="00B47979"/>
    <w:rsid w:val="00B47A59"/>
    <w:rsid w:val="00B503D6"/>
    <w:rsid w:val="00B50CDB"/>
    <w:rsid w:val="00B51520"/>
    <w:rsid w:val="00B515C3"/>
    <w:rsid w:val="00B517C2"/>
    <w:rsid w:val="00B518CE"/>
    <w:rsid w:val="00B51F56"/>
    <w:rsid w:val="00B52234"/>
    <w:rsid w:val="00B53623"/>
    <w:rsid w:val="00B53D1D"/>
    <w:rsid w:val="00B53E7A"/>
    <w:rsid w:val="00B53E98"/>
    <w:rsid w:val="00B53F9B"/>
    <w:rsid w:val="00B55F64"/>
    <w:rsid w:val="00B56ECA"/>
    <w:rsid w:val="00B57093"/>
    <w:rsid w:val="00B60613"/>
    <w:rsid w:val="00B611E8"/>
    <w:rsid w:val="00B61AEC"/>
    <w:rsid w:val="00B62B7B"/>
    <w:rsid w:val="00B63816"/>
    <w:rsid w:val="00B63EF6"/>
    <w:rsid w:val="00B6440A"/>
    <w:rsid w:val="00B64BF3"/>
    <w:rsid w:val="00B65042"/>
    <w:rsid w:val="00B6560D"/>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443A"/>
    <w:rsid w:val="00B86289"/>
    <w:rsid w:val="00B863B3"/>
    <w:rsid w:val="00B869D3"/>
    <w:rsid w:val="00B86E44"/>
    <w:rsid w:val="00B87359"/>
    <w:rsid w:val="00B87F1C"/>
    <w:rsid w:val="00B90D8D"/>
    <w:rsid w:val="00B91263"/>
    <w:rsid w:val="00B91B61"/>
    <w:rsid w:val="00B92CF3"/>
    <w:rsid w:val="00B93849"/>
    <w:rsid w:val="00B938BD"/>
    <w:rsid w:val="00B93BC4"/>
    <w:rsid w:val="00B9407F"/>
    <w:rsid w:val="00B944E9"/>
    <w:rsid w:val="00B94896"/>
    <w:rsid w:val="00B94CDD"/>
    <w:rsid w:val="00B95A87"/>
    <w:rsid w:val="00B96DD9"/>
    <w:rsid w:val="00B97909"/>
    <w:rsid w:val="00BA14B2"/>
    <w:rsid w:val="00BA15DC"/>
    <w:rsid w:val="00BA2220"/>
    <w:rsid w:val="00BA27AB"/>
    <w:rsid w:val="00BA2C82"/>
    <w:rsid w:val="00BA5039"/>
    <w:rsid w:val="00BA583B"/>
    <w:rsid w:val="00BA5EC7"/>
    <w:rsid w:val="00BA6319"/>
    <w:rsid w:val="00BA63CE"/>
    <w:rsid w:val="00BA676E"/>
    <w:rsid w:val="00BA7227"/>
    <w:rsid w:val="00BA763C"/>
    <w:rsid w:val="00BA78B7"/>
    <w:rsid w:val="00BA7CD7"/>
    <w:rsid w:val="00BB00E5"/>
    <w:rsid w:val="00BB0E7C"/>
    <w:rsid w:val="00BB1087"/>
    <w:rsid w:val="00BB20B2"/>
    <w:rsid w:val="00BB2ACE"/>
    <w:rsid w:val="00BB2E4E"/>
    <w:rsid w:val="00BB2E62"/>
    <w:rsid w:val="00BB36C9"/>
    <w:rsid w:val="00BB5A85"/>
    <w:rsid w:val="00BB7EC0"/>
    <w:rsid w:val="00BC0207"/>
    <w:rsid w:val="00BC0A5A"/>
    <w:rsid w:val="00BC0E64"/>
    <w:rsid w:val="00BC112A"/>
    <w:rsid w:val="00BC1E26"/>
    <w:rsid w:val="00BC2293"/>
    <w:rsid w:val="00BC25D1"/>
    <w:rsid w:val="00BC335E"/>
    <w:rsid w:val="00BC3BCB"/>
    <w:rsid w:val="00BC428A"/>
    <w:rsid w:val="00BC4B53"/>
    <w:rsid w:val="00BC4C40"/>
    <w:rsid w:val="00BC5981"/>
    <w:rsid w:val="00BC5AE3"/>
    <w:rsid w:val="00BC5BAD"/>
    <w:rsid w:val="00BC76C5"/>
    <w:rsid w:val="00BC774F"/>
    <w:rsid w:val="00BD138A"/>
    <w:rsid w:val="00BD14D3"/>
    <w:rsid w:val="00BD164A"/>
    <w:rsid w:val="00BD1BDD"/>
    <w:rsid w:val="00BD1D40"/>
    <w:rsid w:val="00BD1D7D"/>
    <w:rsid w:val="00BD2B4D"/>
    <w:rsid w:val="00BD2F08"/>
    <w:rsid w:val="00BD2FB9"/>
    <w:rsid w:val="00BD31C2"/>
    <w:rsid w:val="00BD3683"/>
    <w:rsid w:val="00BD450A"/>
    <w:rsid w:val="00BD4717"/>
    <w:rsid w:val="00BD48EA"/>
    <w:rsid w:val="00BD4BA8"/>
    <w:rsid w:val="00BD58A0"/>
    <w:rsid w:val="00BD59B3"/>
    <w:rsid w:val="00BD62E6"/>
    <w:rsid w:val="00BD6B0E"/>
    <w:rsid w:val="00BD7050"/>
    <w:rsid w:val="00BD720A"/>
    <w:rsid w:val="00BD7941"/>
    <w:rsid w:val="00BE0717"/>
    <w:rsid w:val="00BE0C55"/>
    <w:rsid w:val="00BE11A2"/>
    <w:rsid w:val="00BE246C"/>
    <w:rsid w:val="00BE2657"/>
    <w:rsid w:val="00BE2B83"/>
    <w:rsid w:val="00BE314D"/>
    <w:rsid w:val="00BE37AE"/>
    <w:rsid w:val="00BE3B14"/>
    <w:rsid w:val="00BE3C65"/>
    <w:rsid w:val="00BE400D"/>
    <w:rsid w:val="00BE472D"/>
    <w:rsid w:val="00BE7F4D"/>
    <w:rsid w:val="00BF03C0"/>
    <w:rsid w:val="00BF0608"/>
    <w:rsid w:val="00BF0EBF"/>
    <w:rsid w:val="00BF21D4"/>
    <w:rsid w:val="00BF2DDC"/>
    <w:rsid w:val="00BF3D30"/>
    <w:rsid w:val="00BF4A15"/>
    <w:rsid w:val="00BF4DAE"/>
    <w:rsid w:val="00BF4E0E"/>
    <w:rsid w:val="00BF4E27"/>
    <w:rsid w:val="00BF537B"/>
    <w:rsid w:val="00BF5E2F"/>
    <w:rsid w:val="00BF626A"/>
    <w:rsid w:val="00BF6D77"/>
    <w:rsid w:val="00BF7EF5"/>
    <w:rsid w:val="00C01668"/>
    <w:rsid w:val="00C018E2"/>
    <w:rsid w:val="00C02C30"/>
    <w:rsid w:val="00C03442"/>
    <w:rsid w:val="00C0378E"/>
    <w:rsid w:val="00C042E1"/>
    <w:rsid w:val="00C05730"/>
    <w:rsid w:val="00C05AF4"/>
    <w:rsid w:val="00C05AFD"/>
    <w:rsid w:val="00C0614D"/>
    <w:rsid w:val="00C0661C"/>
    <w:rsid w:val="00C0675F"/>
    <w:rsid w:val="00C06B14"/>
    <w:rsid w:val="00C0702A"/>
    <w:rsid w:val="00C0724C"/>
    <w:rsid w:val="00C07C11"/>
    <w:rsid w:val="00C07E10"/>
    <w:rsid w:val="00C10015"/>
    <w:rsid w:val="00C12ECB"/>
    <w:rsid w:val="00C14229"/>
    <w:rsid w:val="00C14ABD"/>
    <w:rsid w:val="00C151E0"/>
    <w:rsid w:val="00C15B31"/>
    <w:rsid w:val="00C166D4"/>
    <w:rsid w:val="00C168E5"/>
    <w:rsid w:val="00C1696D"/>
    <w:rsid w:val="00C17AB5"/>
    <w:rsid w:val="00C17E3F"/>
    <w:rsid w:val="00C20051"/>
    <w:rsid w:val="00C20472"/>
    <w:rsid w:val="00C20B86"/>
    <w:rsid w:val="00C21145"/>
    <w:rsid w:val="00C222D2"/>
    <w:rsid w:val="00C235A2"/>
    <w:rsid w:val="00C23615"/>
    <w:rsid w:val="00C23633"/>
    <w:rsid w:val="00C2397E"/>
    <w:rsid w:val="00C23A83"/>
    <w:rsid w:val="00C24381"/>
    <w:rsid w:val="00C243FD"/>
    <w:rsid w:val="00C24C2E"/>
    <w:rsid w:val="00C24C7A"/>
    <w:rsid w:val="00C24FFB"/>
    <w:rsid w:val="00C25C71"/>
    <w:rsid w:val="00C25CDC"/>
    <w:rsid w:val="00C25CFF"/>
    <w:rsid w:val="00C25EA6"/>
    <w:rsid w:val="00C261C1"/>
    <w:rsid w:val="00C26DBF"/>
    <w:rsid w:val="00C26F6F"/>
    <w:rsid w:val="00C274FD"/>
    <w:rsid w:val="00C30B0B"/>
    <w:rsid w:val="00C316B4"/>
    <w:rsid w:val="00C31F3A"/>
    <w:rsid w:val="00C332D4"/>
    <w:rsid w:val="00C33E51"/>
    <w:rsid w:val="00C33EF8"/>
    <w:rsid w:val="00C34A50"/>
    <w:rsid w:val="00C34C45"/>
    <w:rsid w:val="00C34C47"/>
    <w:rsid w:val="00C36272"/>
    <w:rsid w:val="00C3701A"/>
    <w:rsid w:val="00C40589"/>
    <w:rsid w:val="00C405C8"/>
    <w:rsid w:val="00C40C2F"/>
    <w:rsid w:val="00C415AC"/>
    <w:rsid w:val="00C41BD4"/>
    <w:rsid w:val="00C4297A"/>
    <w:rsid w:val="00C42B6A"/>
    <w:rsid w:val="00C4360C"/>
    <w:rsid w:val="00C43A0B"/>
    <w:rsid w:val="00C43EDA"/>
    <w:rsid w:val="00C4414C"/>
    <w:rsid w:val="00C44606"/>
    <w:rsid w:val="00C45512"/>
    <w:rsid w:val="00C4602B"/>
    <w:rsid w:val="00C46564"/>
    <w:rsid w:val="00C46639"/>
    <w:rsid w:val="00C46762"/>
    <w:rsid w:val="00C47203"/>
    <w:rsid w:val="00C50A02"/>
    <w:rsid w:val="00C51149"/>
    <w:rsid w:val="00C5117E"/>
    <w:rsid w:val="00C512D1"/>
    <w:rsid w:val="00C5179D"/>
    <w:rsid w:val="00C51856"/>
    <w:rsid w:val="00C51AB9"/>
    <w:rsid w:val="00C51B04"/>
    <w:rsid w:val="00C5221C"/>
    <w:rsid w:val="00C53CE9"/>
    <w:rsid w:val="00C54749"/>
    <w:rsid w:val="00C54F07"/>
    <w:rsid w:val="00C5531B"/>
    <w:rsid w:val="00C55375"/>
    <w:rsid w:val="00C5685E"/>
    <w:rsid w:val="00C56906"/>
    <w:rsid w:val="00C56C98"/>
    <w:rsid w:val="00C56DEE"/>
    <w:rsid w:val="00C57120"/>
    <w:rsid w:val="00C571D5"/>
    <w:rsid w:val="00C575D4"/>
    <w:rsid w:val="00C5779D"/>
    <w:rsid w:val="00C6029A"/>
    <w:rsid w:val="00C6044C"/>
    <w:rsid w:val="00C61223"/>
    <w:rsid w:val="00C61246"/>
    <w:rsid w:val="00C61460"/>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0FF3"/>
    <w:rsid w:val="00C71528"/>
    <w:rsid w:val="00C71CF4"/>
    <w:rsid w:val="00C71F09"/>
    <w:rsid w:val="00C72588"/>
    <w:rsid w:val="00C727B9"/>
    <w:rsid w:val="00C73670"/>
    <w:rsid w:val="00C737D1"/>
    <w:rsid w:val="00C739F6"/>
    <w:rsid w:val="00C73DE0"/>
    <w:rsid w:val="00C74609"/>
    <w:rsid w:val="00C749AB"/>
    <w:rsid w:val="00C7563F"/>
    <w:rsid w:val="00C75A8F"/>
    <w:rsid w:val="00C75E18"/>
    <w:rsid w:val="00C76C0C"/>
    <w:rsid w:val="00C776BA"/>
    <w:rsid w:val="00C776CE"/>
    <w:rsid w:val="00C77E23"/>
    <w:rsid w:val="00C81716"/>
    <w:rsid w:val="00C81FE1"/>
    <w:rsid w:val="00C832CB"/>
    <w:rsid w:val="00C84085"/>
    <w:rsid w:val="00C840E0"/>
    <w:rsid w:val="00C85E17"/>
    <w:rsid w:val="00C868A7"/>
    <w:rsid w:val="00C87164"/>
    <w:rsid w:val="00C87BD0"/>
    <w:rsid w:val="00C905E5"/>
    <w:rsid w:val="00C90754"/>
    <w:rsid w:val="00C90B95"/>
    <w:rsid w:val="00C90BC4"/>
    <w:rsid w:val="00C90CA9"/>
    <w:rsid w:val="00C90E2C"/>
    <w:rsid w:val="00C92E41"/>
    <w:rsid w:val="00C92E89"/>
    <w:rsid w:val="00C92F62"/>
    <w:rsid w:val="00C93097"/>
    <w:rsid w:val="00C93B40"/>
    <w:rsid w:val="00C93DB5"/>
    <w:rsid w:val="00C94CB9"/>
    <w:rsid w:val="00C94F2B"/>
    <w:rsid w:val="00C95C2F"/>
    <w:rsid w:val="00C95F87"/>
    <w:rsid w:val="00C968EF"/>
    <w:rsid w:val="00CA0492"/>
    <w:rsid w:val="00CA0A04"/>
    <w:rsid w:val="00CA2528"/>
    <w:rsid w:val="00CA3232"/>
    <w:rsid w:val="00CA3A65"/>
    <w:rsid w:val="00CA3CAB"/>
    <w:rsid w:val="00CA3FC0"/>
    <w:rsid w:val="00CA46E9"/>
    <w:rsid w:val="00CA6A2E"/>
    <w:rsid w:val="00CA7809"/>
    <w:rsid w:val="00CA7D3E"/>
    <w:rsid w:val="00CB0317"/>
    <w:rsid w:val="00CB0662"/>
    <w:rsid w:val="00CB0A82"/>
    <w:rsid w:val="00CB0F2F"/>
    <w:rsid w:val="00CB1556"/>
    <w:rsid w:val="00CB2913"/>
    <w:rsid w:val="00CB3970"/>
    <w:rsid w:val="00CB3F63"/>
    <w:rsid w:val="00CB42B9"/>
    <w:rsid w:val="00CB4363"/>
    <w:rsid w:val="00CB4F39"/>
    <w:rsid w:val="00CB52A4"/>
    <w:rsid w:val="00CB537C"/>
    <w:rsid w:val="00CB547F"/>
    <w:rsid w:val="00CB5A26"/>
    <w:rsid w:val="00CB645B"/>
    <w:rsid w:val="00CB6A93"/>
    <w:rsid w:val="00CB7173"/>
    <w:rsid w:val="00CB77C3"/>
    <w:rsid w:val="00CB7E9C"/>
    <w:rsid w:val="00CB7F06"/>
    <w:rsid w:val="00CC0072"/>
    <w:rsid w:val="00CC0915"/>
    <w:rsid w:val="00CC1AF5"/>
    <w:rsid w:val="00CC1B74"/>
    <w:rsid w:val="00CC1EFF"/>
    <w:rsid w:val="00CC283D"/>
    <w:rsid w:val="00CC291E"/>
    <w:rsid w:val="00CC2D03"/>
    <w:rsid w:val="00CC2EB0"/>
    <w:rsid w:val="00CC3A4B"/>
    <w:rsid w:val="00CC4675"/>
    <w:rsid w:val="00CC4701"/>
    <w:rsid w:val="00CC56B4"/>
    <w:rsid w:val="00CC59F5"/>
    <w:rsid w:val="00CC5F95"/>
    <w:rsid w:val="00CC642A"/>
    <w:rsid w:val="00CC733D"/>
    <w:rsid w:val="00CC7E97"/>
    <w:rsid w:val="00CD1255"/>
    <w:rsid w:val="00CD1484"/>
    <w:rsid w:val="00CD1892"/>
    <w:rsid w:val="00CD1D00"/>
    <w:rsid w:val="00CD27AC"/>
    <w:rsid w:val="00CD2A82"/>
    <w:rsid w:val="00CD346D"/>
    <w:rsid w:val="00CD3CAB"/>
    <w:rsid w:val="00CD46A7"/>
    <w:rsid w:val="00CD4E50"/>
    <w:rsid w:val="00CD57CB"/>
    <w:rsid w:val="00CD64E1"/>
    <w:rsid w:val="00CD699D"/>
    <w:rsid w:val="00CD6AE5"/>
    <w:rsid w:val="00CD6BA3"/>
    <w:rsid w:val="00CD6CA3"/>
    <w:rsid w:val="00CD70DB"/>
    <w:rsid w:val="00CD7412"/>
    <w:rsid w:val="00CD7544"/>
    <w:rsid w:val="00CD78D4"/>
    <w:rsid w:val="00CE0697"/>
    <w:rsid w:val="00CE0ECB"/>
    <w:rsid w:val="00CE2E2E"/>
    <w:rsid w:val="00CE3A51"/>
    <w:rsid w:val="00CE41F9"/>
    <w:rsid w:val="00CE4ED0"/>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6B9"/>
    <w:rsid w:val="00CF475F"/>
    <w:rsid w:val="00CF5008"/>
    <w:rsid w:val="00CF5069"/>
    <w:rsid w:val="00CF56B1"/>
    <w:rsid w:val="00CF5E34"/>
    <w:rsid w:val="00CF667E"/>
    <w:rsid w:val="00CF7385"/>
    <w:rsid w:val="00CF7B77"/>
    <w:rsid w:val="00CF7DF5"/>
    <w:rsid w:val="00D01897"/>
    <w:rsid w:val="00D01C22"/>
    <w:rsid w:val="00D0352D"/>
    <w:rsid w:val="00D03F7C"/>
    <w:rsid w:val="00D04406"/>
    <w:rsid w:val="00D0454D"/>
    <w:rsid w:val="00D0480C"/>
    <w:rsid w:val="00D04F01"/>
    <w:rsid w:val="00D04F8B"/>
    <w:rsid w:val="00D054EF"/>
    <w:rsid w:val="00D05637"/>
    <w:rsid w:val="00D05BA9"/>
    <w:rsid w:val="00D05EB1"/>
    <w:rsid w:val="00D064D1"/>
    <w:rsid w:val="00D0650B"/>
    <w:rsid w:val="00D0659F"/>
    <w:rsid w:val="00D06E71"/>
    <w:rsid w:val="00D0714B"/>
    <w:rsid w:val="00D0764E"/>
    <w:rsid w:val="00D07D82"/>
    <w:rsid w:val="00D100E5"/>
    <w:rsid w:val="00D10327"/>
    <w:rsid w:val="00D10BE1"/>
    <w:rsid w:val="00D11FE3"/>
    <w:rsid w:val="00D12945"/>
    <w:rsid w:val="00D1343A"/>
    <w:rsid w:val="00D13D50"/>
    <w:rsid w:val="00D14101"/>
    <w:rsid w:val="00D14919"/>
    <w:rsid w:val="00D14E25"/>
    <w:rsid w:val="00D160C4"/>
    <w:rsid w:val="00D165D8"/>
    <w:rsid w:val="00D1724E"/>
    <w:rsid w:val="00D1789C"/>
    <w:rsid w:val="00D17C26"/>
    <w:rsid w:val="00D200DB"/>
    <w:rsid w:val="00D206F6"/>
    <w:rsid w:val="00D20784"/>
    <w:rsid w:val="00D20FD1"/>
    <w:rsid w:val="00D210EE"/>
    <w:rsid w:val="00D21E6F"/>
    <w:rsid w:val="00D230DE"/>
    <w:rsid w:val="00D2371E"/>
    <w:rsid w:val="00D237E0"/>
    <w:rsid w:val="00D23A17"/>
    <w:rsid w:val="00D25676"/>
    <w:rsid w:val="00D259B0"/>
    <w:rsid w:val="00D27129"/>
    <w:rsid w:val="00D279E7"/>
    <w:rsid w:val="00D27F75"/>
    <w:rsid w:val="00D3046D"/>
    <w:rsid w:val="00D30497"/>
    <w:rsid w:val="00D30B67"/>
    <w:rsid w:val="00D30F5F"/>
    <w:rsid w:val="00D31B07"/>
    <w:rsid w:val="00D31B9D"/>
    <w:rsid w:val="00D32FA0"/>
    <w:rsid w:val="00D33112"/>
    <w:rsid w:val="00D33195"/>
    <w:rsid w:val="00D331CB"/>
    <w:rsid w:val="00D34128"/>
    <w:rsid w:val="00D3497A"/>
    <w:rsid w:val="00D364A5"/>
    <w:rsid w:val="00D36BB8"/>
    <w:rsid w:val="00D374D0"/>
    <w:rsid w:val="00D401A1"/>
    <w:rsid w:val="00D40217"/>
    <w:rsid w:val="00D40385"/>
    <w:rsid w:val="00D404CE"/>
    <w:rsid w:val="00D40727"/>
    <w:rsid w:val="00D40E8F"/>
    <w:rsid w:val="00D412BF"/>
    <w:rsid w:val="00D417C6"/>
    <w:rsid w:val="00D42B0C"/>
    <w:rsid w:val="00D42D6E"/>
    <w:rsid w:val="00D43BC9"/>
    <w:rsid w:val="00D43DEF"/>
    <w:rsid w:val="00D44259"/>
    <w:rsid w:val="00D45DDC"/>
    <w:rsid w:val="00D4752E"/>
    <w:rsid w:val="00D5064C"/>
    <w:rsid w:val="00D50C94"/>
    <w:rsid w:val="00D5251C"/>
    <w:rsid w:val="00D525B8"/>
    <w:rsid w:val="00D52F56"/>
    <w:rsid w:val="00D539DA"/>
    <w:rsid w:val="00D54A50"/>
    <w:rsid w:val="00D5538D"/>
    <w:rsid w:val="00D5556D"/>
    <w:rsid w:val="00D55C81"/>
    <w:rsid w:val="00D5674B"/>
    <w:rsid w:val="00D56AA2"/>
    <w:rsid w:val="00D56B56"/>
    <w:rsid w:val="00D56BF5"/>
    <w:rsid w:val="00D56CC3"/>
    <w:rsid w:val="00D56F99"/>
    <w:rsid w:val="00D5714C"/>
    <w:rsid w:val="00D5743F"/>
    <w:rsid w:val="00D57CB2"/>
    <w:rsid w:val="00D605C2"/>
    <w:rsid w:val="00D60733"/>
    <w:rsid w:val="00D61E1D"/>
    <w:rsid w:val="00D629A4"/>
    <w:rsid w:val="00D62BDF"/>
    <w:rsid w:val="00D6312D"/>
    <w:rsid w:val="00D6384A"/>
    <w:rsid w:val="00D64F1C"/>
    <w:rsid w:val="00D651CE"/>
    <w:rsid w:val="00D6570C"/>
    <w:rsid w:val="00D65A89"/>
    <w:rsid w:val="00D65F4B"/>
    <w:rsid w:val="00D66F50"/>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2D47"/>
    <w:rsid w:val="00D73CD4"/>
    <w:rsid w:val="00D73F06"/>
    <w:rsid w:val="00D740B2"/>
    <w:rsid w:val="00D74247"/>
    <w:rsid w:val="00D743F1"/>
    <w:rsid w:val="00D744F1"/>
    <w:rsid w:val="00D7456E"/>
    <w:rsid w:val="00D753A9"/>
    <w:rsid w:val="00D755F7"/>
    <w:rsid w:val="00D75E4B"/>
    <w:rsid w:val="00D769E7"/>
    <w:rsid w:val="00D77AF6"/>
    <w:rsid w:val="00D804C5"/>
    <w:rsid w:val="00D80FDE"/>
    <w:rsid w:val="00D81A28"/>
    <w:rsid w:val="00D81A52"/>
    <w:rsid w:val="00D82B00"/>
    <w:rsid w:val="00D82BE4"/>
    <w:rsid w:val="00D82E05"/>
    <w:rsid w:val="00D8313F"/>
    <w:rsid w:val="00D838BE"/>
    <w:rsid w:val="00D83C0D"/>
    <w:rsid w:val="00D846B5"/>
    <w:rsid w:val="00D8665E"/>
    <w:rsid w:val="00D869C1"/>
    <w:rsid w:val="00D86EC6"/>
    <w:rsid w:val="00D87418"/>
    <w:rsid w:val="00D876AF"/>
    <w:rsid w:val="00D87A39"/>
    <w:rsid w:val="00D87FE6"/>
    <w:rsid w:val="00D90BC3"/>
    <w:rsid w:val="00D90DB9"/>
    <w:rsid w:val="00D90FF7"/>
    <w:rsid w:val="00D91001"/>
    <w:rsid w:val="00D91337"/>
    <w:rsid w:val="00D915C9"/>
    <w:rsid w:val="00D918DA"/>
    <w:rsid w:val="00D9198F"/>
    <w:rsid w:val="00D91FCB"/>
    <w:rsid w:val="00D92078"/>
    <w:rsid w:val="00D92803"/>
    <w:rsid w:val="00D92A87"/>
    <w:rsid w:val="00D9384E"/>
    <w:rsid w:val="00D93862"/>
    <w:rsid w:val="00D93AEE"/>
    <w:rsid w:val="00D9413E"/>
    <w:rsid w:val="00D94C8D"/>
    <w:rsid w:val="00D96698"/>
    <w:rsid w:val="00D96876"/>
    <w:rsid w:val="00D96940"/>
    <w:rsid w:val="00D969AD"/>
    <w:rsid w:val="00D96B12"/>
    <w:rsid w:val="00D96F59"/>
    <w:rsid w:val="00D971FC"/>
    <w:rsid w:val="00DA01DC"/>
    <w:rsid w:val="00DA099C"/>
    <w:rsid w:val="00DA0A93"/>
    <w:rsid w:val="00DA0F18"/>
    <w:rsid w:val="00DA2125"/>
    <w:rsid w:val="00DA21EC"/>
    <w:rsid w:val="00DA24DE"/>
    <w:rsid w:val="00DA270C"/>
    <w:rsid w:val="00DA281F"/>
    <w:rsid w:val="00DA4A61"/>
    <w:rsid w:val="00DA61AB"/>
    <w:rsid w:val="00DA61CD"/>
    <w:rsid w:val="00DA65F4"/>
    <w:rsid w:val="00DA6BCE"/>
    <w:rsid w:val="00DA6EE2"/>
    <w:rsid w:val="00DA78CF"/>
    <w:rsid w:val="00DA78D5"/>
    <w:rsid w:val="00DA7A89"/>
    <w:rsid w:val="00DA7BF4"/>
    <w:rsid w:val="00DA7D1E"/>
    <w:rsid w:val="00DB00F7"/>
    <w:rsid w:val="00DB052F"/>
    <w:rsid w:val="00DB0D2C"/>
    <w:rsid w:val="00DB107D"/>
    <w:rsid w:val="00DB149F"/>
    <w:rsid w:val="00DB14D3"/>
    <w:rsid w:val="00DB154B"/>
    <w:rsid w:val="00DB1632"/>
    <w:rsid w:val="00DB1BDC"/>
    <w:rsid w:val="00DB2A95"/>
    <w:rsid w:val="00DB3490"/>
    <w:rsid w:val="00DB3593"/>
    <w:rsid w:val="00DB395F"/>
    <w:rsid w:val="00DB440B"/>
    <w:rsid w:val="00DB4426"/>
    <w:rsid w:val="00DB468E"/>
    <w:rsid w:val="00DB480F"/>
    <w:rsid w:val="00DB4B40"/>
    <w:rsid w:val="00DB4F12"/>
    <w:rsid w:val="00DB4F21"/>
    <w:rsid w:val="00DB5184"/>
    <w:rsid w:val="00DB5F7A"/>
    <w:rsid w:val="00DB6D32"/>
    <w:rsid w:val="00DB6F96"/>
    <w:rsid w:val="00DB71B9"/>
    <w:rsid w:val="00DC0281"/>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2A8D"/>
    <w:rsid w:val="00DD42DE"/>
    <w:rsid w:val="00DD4309"/>
    <w:rsid w:val="00DD4344"/>
    <w:rsid w:val="00DD573B"/>
    <w:rsid w:val="00DD5A1E"/>
    <w:rsid w:val="00DD5B8C"/>
    <w:rsid w:val="00DD5BEE"/>
    <w:rsid w:val="00DD5DFA"/>
    <w:rsid w:val="00DE0229"/>
    <w:rsid w:val="00DE08D3"/>
    <w:rsid w:val="00DE1326"/>
    <w:rsid w:val="00DE148C"/>
    <w:rsid w:val="00DE1A9D"/>
    <w:rsid w:val="00DE1CB1"/>
    <w:rsid w:val="00DE2073"/>
    <w:rsid w:val="00DE2B27"/>
    <w:rsid w:val="00DE30AC"/>
    <w:rsid w:val="00DE4106"/>
    <w:rsid w:val="00DE466B"/>
    <w:rsid w:val="00DE48F4"/>
    <w:rsid w:val="00DE5563"/>
    <w:rsid w:val="00DE5C78"/>
    <w:rsid w:val="00DE5D48"/>
    <w:rsid w:val="00DE6A47"/>
    <w:rsid w:val="00DE6E4D"/>
    <w:rsid w:val="00DE7371"/>
    <w:rsid w:val="00DE7498"/>
    <w:rsid w:val="00DE75EF"/>
    <w:rsid w:val="00DE7611"/>
    <w:rsid w:val="00DF05A0"/>
    <w:rsid w:val="00DF1509"/>
    <w:rsid w:val="00DF1BA8"/>
    <w:rsid w:val="00DF1F63"/>
    <w:rsid w:val="00DF28F2"/>
    <w:rsid w:val="00DF2BFF"/>
    <w:rsid w:val="00DF3798"/>
    <w:rsid w:val="00DF4FF1"/>
    <w:rsid w:val="00DF6FD2"/>
    <w:rsid w:val="00DF72EF"/>
    <w:rsid w:val="00DF7724"/>
    <w:rsid w:val="00E00956"/>
    <w:rsid w:val="00E00C1E"/>
    <w:rsid w:val="00E00F5F"/>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BDF"/>
    <w:rsid w:val="00E12D66"/>
    <w:rsid w:val="00E13326"/>
    <w:rsid w:val="00E13E71"/>
    <w:rsid w:val="00E14356"/>
    <w:rsid w:val="00E14961"/>
    <w:rsid w:val="00E14D76"/>
    <w:rsid w:val="00E15485"/>
    <w:rsid w:val="00E15D6C"/>
    <w:rsid w:val="00E161DE"/>
    <w:rsid w:val="00E170C7"/>
    <w:rsid w:val="00E203DE"/>
    <w:rsid w:val="00E20CE7"/>
    <w:rsid w:val="00E217B1"/>
    <w:rsid w:val="00E222FA"/>
    <w:rsid w:val="00E229CE"/>
    <w:rsid w:val="00E22B4A"/>
    <w:rsid w:val="00E2495A"/>
    <w:rsid w:val="00E24A62"/>
    <w:rsid w:val="00E24F52"/>
    <w:rsid w:val="00E25433"/>
    <w:rsid w:val="00E25755"/>
    <w:rsid w:val="00E26D2E"/>
    <w:rsid w:val="00E279B2"/>
    <w:rsid w:val="00E30324"/>
    <w:rsid w:val="00E3055B"/>
    <w:rsid w:val="00E31699"/>
    <w:rsid w:val="00E31812"/>
    <w:rsid w:val="00E31889"/>
    <w:rsid w:val="00E31CE7"/>
    <w:rsid w:val="00E333D5"/>
    <w:rsid w:val="00E3394F"/>
    <w:rsid w:val="00E34478"/>
    <w:rsid w:val="00E35A45"/>
    <w:rsid w:val="00E37A6F"/>
    <w:rsid w:val="00E37DFC"/>
    <w:rsid w:val="00E401A6"/>
    <w:rsid w:val="00E40222"/>
    <w:rsid w:val="00E40406"/>
    <w:rsid w:val="00E40BCB"/>
    <w:rsid w:val="00E41DD2"/>
    <w:rsid w:val="00E41F44"/>
    <w:rsid w:val="00E4208F"/>
    <w:rsid w:val="00E43006"/>
    <w:rsid w:val="00E43551"/>
    <w:rsid w:val="00E437FA"/>
    <w:rsid w:val="00E45A2C"/>
    <w:rsid w:val="00E46A9C"/>
    <w:rsid w:val="00E47010"/>
    <w:rsid w:val="00E50BDD"/>
    <w:rsid w:val="00E50C25"/>
    <w:rsid w:val="00E50DF3"/>
    <w:rsid w:val="00E510CF"/>
    <w:rsid w:val="00E513D7"/>
    <w:rsid w:val="00E5206C"/>
    <w:rsid w:val="00E52897"/>
    <w:rsid w:val="00E52AAB"/>
    <w:rsid w:val="00E52DF4"/>
    <w:rsid w:val="00E5448E"/>
    <w:rsid w:val="00E54B46"/>
    <w:rsid w:val="00E54E0D"/>
    <w:rsid w:val="00E558E5"/>
    <w:rsid w:val="00E56144"/>
    <w:rsid w:val="00E56795"/>
    <w:rsid w:val="00E57932"/>
    <w:rsid w:val="00E606C4"/>
    <w:rsid w:val="00E60811"/>
    <w:rsid w:val="00E60AB8"/>
    <w:rsid w:val="00E63C60"/>
    <w:rsid w:val="00E64050"/>
    <w:rsid w:val="00E6514D"/>
    <w:rsid w:val="00E65161"/>
    <w:rsid w:val="00E652C9"/>
    <w:rsid w:val="00E6593B"/>
    <w:rsid w:val="00E672C6"/>
    <w:rsid w:val="00E70192"/>
    <w:rsid w:val="00E703F9"/>
    <w:rsid w:val="00E71809"/>
    <w:rsid w:val="00E718D0"/>
    <w:rsid w:val="00E71D1E"/>
    <w:rsid w:val="00E728E2"/>
    <w:rsid w:val="00E7353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D24"/>
    <w:rsid w:val="00E834D4"/>
    <w:rsid w:val="00E8357D"/>
    <w:rsid w:val="00E84212"/>
    <w:rsid w:val="00E84C04"/>
    <w:rsid w:val="00E84F72"/>
    <w:rsid w:val="00E856A2"/>
    <w:rsid w:val="00E8572B"/>
    <w:rsid w:val="00E8575B"/>
    <w:rsid w:val="00E85929"/>
    <w:rsid w:val="00E85AD2"/>
    <w:rsid w:val="00E874BB"/>
    <w:rsid w:val="00E879A8"/>
    <w:rsid w:val="00E87AE5"/>
    <w:rsid w:val="00E87CF7"/>
    <w:rsid w:val="00E87E4D"/>
    <w:rsid w:val="00E9026F"/>
    <w:rsid w:val="00E9036E"/>
    <w:rsid w:val="00E9078A"/>
    <w:rsid w:val="00E912FD"/>
    <w:rsid w:val="00E92C6E"/>
    <w:rsid w:val="00E92D0B"/>
    <w:rsid w:val="00E93195"/>
    <w:rsid w:val="00E9519E"/>
    <w:rsid w:val="00E951D8"/>
    <w:rsid w:val="00E95C2A"/>
    <w:rsid w:val="00E961CB"/>
    <w:rsid w:val="00E963BC"/>
    <w:rsid w:val="00E96E91"/>
    <w:rsid w:val="00E97B36"/>
    <w:rsid w:val="00E97DC6"/>
    <w:rsid w:val="00E97F7A"/>
    <w:rsid w:val="00EA0010"/>
    <w:rsid w:val="00EA0143"/>
    <w:rsid w:val="00EA0400"/>
    <w:rsid w:val="00EA089B"/>
    <w:rsid w:val="00EA0902"/>
    <w:rsid w:val="00EA1A55"/>
    <w:rsid w:val="00EA1B9D"/>
    <w:rsid w:val="00EA1D28"/>
    <w:rsid w:val="00EA2686"/>
    <w:rsid w:val="00EA2E21"/>
    <w:rsid w:val="00EA2F07"/>
    <w:rsid w:val="00EA37FA"/>
    <w:rsid w:val="00EA380C"/>
    <w:rsid w:val="00EA3C2B"/>
    <w:rsid w:val="00EA7308"/>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41F"/>
    <w:rsid w:val="00EB54AB"/>
    <w:rsid w:val="00EB6257"/>
    <w:rsid w:val="00EB68E6"/>
    <w:rsid w:val="00EB71C9"/>
    <w:rsid w:val="00EB76BE"/>
    <w:rsid w:val="00EB7B67"/>
    <w:rsid w:val="00EC07F1"/>
    <w:rsid w:val="00EC1E8A"/>
    <w:rsid w:val="00EC2D53"/>
    <w:rsid w:val="00EC328C"/>
    <w:rsid w:val="00EC5241"/>
    <w:rsid w:val="00EC56E1"/>
    <w:rsid w:val="00EC594C"/>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CA2"/>
    <w:rsid w:val="00EE00FB"/>
    <w:rsid w:val="00EE13DA"/>
    <w:rsid w:val="00EE1595"/>
    <w:rsid w:val="00EE2087"/>
    <w:rsid w:val="00EE2EA4"/>
    <w:rsid w:val="00EE3384"/>
    <w:rsid w:val="00EE499F"/>
    <w:rsid w:val="00EE56E2"/>
    <w:rsid w:val="00EE5E84"/>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EF6A8F"/>
    <w:rsid w:val="00F00630"/>
    <w:rsid w:val="00F00922"/>
    <w:rsid w:val="00F00924"/>
    <w:rsid w:val="00F00AB5"/>
    <w:rsid w:val="00F0132E"/>
    <w:rsid w:val="00F01BE6"/>
    <w:rsid w:val="00F0217A"/>
    <w:rsid w:val="00F026D3"/>
    <w:rsid w:val="00F03395"/>
    <w:rsid w:val="00F033DB"/>
    <w:rsid w:val="00F034E6"/>
    <w:rsid w:val="00F03E4C"/>
    <w:rsid w:val="00F056DA"/>
    <w:rsid w:val="00F05E02"/>
    <w:rsid w:val="00F06340"/>
    <w:rsid w:val="00F0665D"/>
    <w:rsid w:val="00F06D42"/>
    <w:rsid w:val="00F07134"/>
    <w:rsid w:val="00F0724D"/>
    <w:rsid w:val="00F07378"/>
    <w:rsid w:val="00F10B81"/>
    <w:rsid w:val="00F117A4"/>
    <w:rsid w:val="00F12EEB"/>
    <w:rsid w:val="00F14536"/>
    <w:rsid w:val="00F14591"/>
    <w:rsid w:val="00F145D3"/>
    <w:rsid w:val="00F14B4B"/>
    <w:rsid w:val="00F14CBF"/>
    <w:rsid w:val="00F14CD1"/>
    <w:rsid w:val="00F15115"/>
    <w:rsid w:val="00F15C81"/>
    <w:rsid w:val="00F15D8C"/>
    <w:rsid w:val="00F15F18"/>
    <w:rsid w:val="00F16B86"/>
    <w:rsid w:val="00F16E1A"/>
    <w:rsid w:val="00F16F92"/>
    <w:rsid w:val="00F178AD"/>
    <w:rsid w:val="00F17904"/>
    <w:rsid w:val="00F17C3E"/>
    <w:rsid w:val="00F20179"/>
    <w:rsid w:val="00F20197"/>
    <w:rsid w:val="00F20369"/>
    <w:rsid w:val="00F20570"/>
    <w:rsid w:val="00F20607"/>
    <w:rsid w:val="00F208BB"/>
    <w:rsid w:val="00F213D0"/>
    <w:rsid w:val="00F213D8"/>
    <w:rsid w:val="00F2163E"/>
    <w:rsid w:val="00F21760"/>
    <w:rsid w:val="00F2198B"/>
    <w:rsid w:val="00F21A5D"/>
    <w:rsid w:val="00F21C13"/>
    <w:rsid w:val="00F22362"/>
    <w:rsid w:val="00F22796"/>
    <w:rsid w:val="00F23157"/>
    <w:rsid w:val="00F2363A"/>
    <w:rsid w:val="00F238F7"/>
    <w:rsid w:val="00F23BA0"/>
    <w:rsid w:val="00F2443F"/>
    <w:rsid w:val="00F254C4"/>
    <w:rsid w:val="00F25641"/>
    <w:rsid w:val="00F256D8"/>
    <w:rsid w:val="00F26065"/>
    <w:rsid w:val="00F266E3"/>
    <w:rsid w:val="00F2689C"/>
    <w:rsid w:val="00F27E44"/>
    <w:rsid w:val="00F30313"/>
    <w:rsid w:val="00F303BC"/>
    <w:rsid w:val="00F317EA"/>
    <w:rsid w:val="00F318A1"/>
    <w:rsid w:val="00F31CF5"/>
    <w:rsid w:val="00F3265C"/>
    <w:rsid w:val="00F343EE"/>
    <w:rsid w:val="00F349CF"/>
    <w:rsid w:val="00F353F4"/>
    <w:rsid w:val="00F35494"/>
    <w:rsid w:val="00F35607"/>
    <w:rsid w:val="00F35D47"/>
    <w:rsid w:val="00F35DBA"/>
    <w:rsid w:val="00F36175"/>
    <w:rsid w:val="00F3619D"/>
    <w:rsid w:val="00F36EC1"/>
    <w:rsid w:val="00F3722A"/>
    <w:rsid w:val="00F37366"/>
    <w:rsid w:val="00F37C99"/>
    <w:rsid w:val="00F40747"/>
    <w:rsid w:val="00F419B8"/>
    <w:rsid w:val="00F41C0F"/>
    <w:rsid w:val="00F42856"/>
    <w:rsid w:val="00F43777"/>
    <w:rsid w:val="00F43A4C"/>
    <w:rsid w:val="00F4482B"/>
    <w:rsid w:val="00F44F02"/>
    <w:rsid w:val="00F450EC"/>
    <w:rsid w:val="00F4526B"/>
    <w:rsid w:val="00F45F64"/>
    <w:rsid w:val="00F462DF"/>
    <w:rsid w:val="00F4662D"/>
    <w:rsid w:val="00F467BA"/>
    <w:rsid w:val="00F4689E"/>
    <w:rsid w:val="00F468AC"/>
    <w:rsid w:val="00F46A5F"/>
    <w:rsid w:val="00F46DE2"/>
    <w:rsid w:val="00F47316"/>
    <w:rsid w:val="00F47507"/>
    <w:rsid w:val="00F47A01"/>
    <w:rsid w:val="00F47CEE"/>
    <w:rsid w:val="00F5052D"/>
    <w:rsid w:val="00F50C7C"/>
    <w:rsid w:val="00F5184B"/>
    <w:rsid w:val="00F51A82"/>
    <w:rsid w:val="00F51B78"/>
    <w:rsid w:val="00F52436"/>
    <w:rsid w:val="00F5254B"/>
    <w:rsid w:val="00F53A44"/>
    <w:rsid w:val="00F53E96"/>
    <w:rsid w:val="00F54E5E"/>
    <w:rsid w:val="00F551DB"/>
    <w:rsid w:val="00F55396"/>
    <w:rsid w:val="00F559BE"/>
    <w:rsid w:val="00F561DD"/>
    <w:rsid w:val="00F56FEF"/>
    <w:rsid w:val="00F57521"/>
    <w:rsid w:val="00F60938"/>
    <w:rsid w:val="00F60C7E"/>
    <w:rsid w:val="00F60E0A"/>
    <w:rsid w:val="00F61606"/>
    <w:rsid w:val="00F61918"/>
    <w:rsid w:val="00F61C45"/>
    <w:rsid w:val="00F62066"/>
    <w:rsid w:val="00F62151"/>
    <w:rsid w:val="00F62CA8"/>
    <w:rsid w:val="00F630B4"/>
    <w:rsid w:val="00F635EF"/>
    <w:rsid w:val="00F63BF4"/>
    <w:rsid w:val="00F63C55"/>
    <w:rsid w:val="00F63C60"/>
    <w:rsid w:val="00F64991"/>
    <w:rsid w:val="00F65BA9"/>
    <w:rsid w:val="00F65BC8"/>
    <w:rsid w:val="00F66205"/>
    <w:rsid w:val="00F6630F"/>
    <w:rsid w:val="00F66419"/>
    <w:rsid w:val="00F66CEC"/>
    <w:rsid w:val="00F67B58"/>
    <w:rsid w:val="00F67E81"/>
    <w:rsid w:val="00F71C68"/>
    <w:rsid w:val="00F724E2"/>
    <w:rsid w:val="00F72764"/>
    <w:rsid w:val="00F74103"/>
    <w:rsid w:val="00F745A4"/>
    <w:rsid w:val="00F74C0C"/>
    <w:rsid w:val="00F75BB5"/>
    <w:rsid w:val="00F75FD5"/>
    <w:rsid w:val="00F7604C"/>
    <w:rsid w:val="00F773A9"/>
    <w:rsid w:val="00F8130C"/>
    <w:rsid w:val="00F81623"/>
    <w:rsid w:val="00F81D19"/>
    <w:rsid w:val="00F81D25"/>
    <w:rsid w:val="00F826FC"/>
    <w:rsid w:val="00F829B9"/>
    <w:rsid w:val="00F83045"/>
    <w:rsid w:val="00F83615"/>
    <w:rsid w:val="00F8421D"/>
    <w:rsid w:val="00F85329"/>
    <w:rsid w:val="00F85EF8"/>
    <w:rsid w:val="00F86079"/>
    <w:rsid w:val="00F87282"/>
    <w:rsid w:val="00F878CD"/>
    <w:rsid w:val="00F87905"/>
    <w:rsid w:val="00F90C1F"/>
    <w:rsid w:val="00F910AF"/>
    <w:rsid w:val="00F91A44"/>
    <w:rsid w:val="00F9217B"/>
    <w:rsid w:val="00F92C56"/>
    <w:rsid w:val="00F941E2"/>
    <w:rsid w:val="00F94745"/>
    <w:rsid w:val="00F94A11"/>
    <w:rsid w:val="00F951DF"/>
    <w:rsid w:val="00F96048"/>
    <w:rsid w:val="00F96655"/>
    <w:rsid w:val="00F9719A"/>
    <w:rsid w:val="00F97A34"/>
    <w:rsid w:val="00F97E4A"/>
    <w:rsid w:val="00F97EA1"/>
    <w:rsid w:val="00FA03BA"/>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1FCB"/>
    <w:rsid w:val="00FB2BF5"/>
    <w:rsid w:val="00FB2F8E"/>
    <w:rsid w:val="00FB30C3"/>
    <w:rsid w:val="00FB39B0"/>
    <w:rsid w:val="00FB3AC7"/>
    <w:rsid w:val="00FB44CA"/>
    <w:rsid w:val="00FB5138"/>
    <w:rsid w:val="00FB55B4"/>
    <w:rsid w:val="00FB5A71"/>
    <w:rsid w:val="00FB7823"/>
    <w:rsid w:val="00FC05B2"/>
    <w:rsid w:val="00FC08B3"/>
    <w:rsid w:val="00FC09D7"/>
    <w:rsid w:val="00FC22D0"/>
    <w:rsid w:val="00FC38D4"/>
    <w:rsid w:val="00FC391E"/>
    <w:rsid w:val="00FC3BB7"/>
    <w:rsid w:val="00FC412D"/>
    <w:rsid w:val="00FC4345"/>
    <w:rsid w:val="00FC444A"/>
    <w:rsid w:val="00FC453D"/>
    <w:rsid w:val="00FC4A89"/>
    <w:rsid w:val="00FC665F"/>
    <w:rsid w:val="00FC6D59"/>
    <w:rsid w:val="00FC78F5"/>
    <w:rsid w:val="00FC7AD2"/>
    <w:rsid w:val="00FC7FC0"/>
    <w:rsid w:val="00FD0130"/>
    <w:rsid w:val="00FD10B3"/>
    <w:rsid w:val="00FD11C3"/>
    <w:rsid w:val="00FD154E"/>
    <w:rsid w:val="00FD1E37"/>
    <w:rsid w:val="00FD24D7"/>
    <w:rsid w:val="00FD29CE"/>
    <w:rsid w:val="00FD3AE2"/>
    <w:rsid w:val="00FD3E41"/>
    <w:rsid w:val="00FD5AE4"/>
    <w:rsid w:val="00FD5F25"/>
    <w:rsid w:val="00FD60BE"/>
    <w:rsid w:val="00FD6894"/>
    <w:rsid w:val="00FD6AF0"/>
    <w:rsid w:val="00FD6B07"/>
    <w:rsid w:val="00FD704D"/>
    <w:rsid w:val="00FD79B8"/>
    <w:rsid w:val="00FE0311"/>
    <w:rsid w:val="00FE09BE"/>
    <w:rsid w:val="00FE0AD1"/>
    <w:rsid w:val="00FE1852"/>
    <w:rsid w:val="00FE2532"/>
    <w:rsid w:val="00FE289B"/>
    <w:rsid w:val="00FE32B7"/>
    <w:rsid w:val="00FE33DB"/>
    <w:rsid w:val="00FE33F5"/>
    <w:rsid w:val="00FE37DD"/>
    <w:rsid w:val="00FE3C31"/>
    <w:rsid w:val="00FE4015"/>
    <w:rsid w:val="00FE44F5"/>
    <w:rsid w:val="00FE4783"/>
    <w:rsid w:val="00FE480D"/>
    <w:rsid w:val="00FE4ACC"/>
    <w:rsid w:val="00FE4E63"/>
    <w:rsid w:val="00FE7DD1"/>
    <w:rsid w:val="00FF0B4F"/>
    <w:rsid w:val="00FF0B70"/>
    <w:rsid w:val="00FF1814"/>
    <w:rsid w:val="00FF1A06"/>
    <w:rsid w:val="00FF1AD3"/>
    <w:rsid w:val="00FF1B46"/>
    <w:rsid w:val="00FF219D"/>
    <w:rsid w:val="00FF2BB3"/>
    <w:rsid w:val="00FF2C3A"/>
    <w:rsid w:val="00FF43EB"/>
    <w:rsid w:val="00FF48D2"/>
    <w:rsid w:val="00FF49B4"/>
    <w:rsid w:val="00FF49F4"/>
    <w:rsid w:val="00FF651D"/>
    <w:rsid w:val="00FF6843"/>
    <w:rsid w:val="00FF7724"/>
    <w:rsid w:val="00FF78E2"/>
    <w:rsid w:val="010651D9"/>
    <w:rsid w:val="01CA0D76"/>
    <w:rsid w:val="01CE5568"/>
    <w:rsid w:val="01F82835"/>
    <w:rsid w:val="020531A4"/>
    <w:rsid w:val="0245327B"/>
    <w:rsid w:val="031B6A3D"/>
    <w:rsid w:val="03861B5F"/>
    <w:rsid w:val="03DD35E4"/>
    <w:rsid w:val="041D6583"/>
    <w:rsid w:val="04BC5D9C"/>
    <w:rsid w:val="055E50A5"/>
    <w:rsid w:val="059B4776"/>
    <w:rsid w:val="06241E9B"/>
    <w:rsid w:val="06585F98"/>
    <w:rsid w:val="065A6178"/>
    <w:rsid w:val="066C1A43"/>
    <w:rsid w:val="067A0837"/>
    <w:rsid w:val="06D34AB0"/>
    <w:rsid w:val="08144141"/>
    <w:rsid w:val="08A76D63"/>
    <w:rsid w:val="08B64998"/>
    <w:rsid w:val="08D571DB"/>
    <w:rsid w:val="091268D2"/>
    <w:rsid w:val="0A3208AE"/>
    <w:rsid w:val="0A5B7E63"/>
    <w:rsid w:val="0BBB6EA8"/>
    <w:rsid w:val="0BD24560"/>
    <w:rsid w:val="0C6A2F89"/>
    <w:rsid w:val="0C6F1945"/>
    <w:rsid w:val="0C87121B"/>
    <w:rsid w:val="0C923886"/>
    <w:rsid w:val="0D111AD5"/>
    <w:rsid w:val="0DA13AEB"/>
    <w:rsid w:val="0DF702FE"/>
    <w:rsid w:val="0E205EC4"/>
    <w:rsid w:val="0E5460AC"/>
    <w:rsid w:val="0E7B0A75"/>
    <w:rsid w:val="0F816ACD"/>
    <w:rsid w:val="1003245B"/>
    <w:rsid w:val="102A2753"/>
    <w:rsid w:val="103E3D9B"/>
    <w:rsid w:val="10555DD7"/>
    <w:rsid w:val="107D33B4"/>
    <w:rsid w:val="10FC16EA"/>
    <w:rsid w:val="11152303"/>
    <w:rsid w:val="114315DF"/>
    <w:rsid w:val="118963A1"/>
    <w:rsid w:val="11D419EE"/>
    <w:rsid w:val="12132ADB"/>
    <w:rsid w:val="123A3009"/>
    <w:rsid w:val="12492C39"/>
    <w:rsid w:val="127723A9"/>
    <w:rsid w:val="12B53876"/>
    <w:rsid w:val="12BA6819"/>
    <w:rsid w:val="13072A44"/>
    <w:rsid w:val="13251CB3"/>
    <w:rsid w:val="134857F3"/>
    <w:rsid w:val="13914897"/>
    <w:rsid w:val="13FB79EF"/>
    <w:rsid w:val="142379E6"/>
    <w:rsid w:val="14922675"/>
    <w:rsid w:val="14AE3227"/>
    <w:rsid w:val="14D013EF"/>
    <w:rsid w:val="151C7F6C"/>
    <w:rsid w:val="152E483E"/>
    <w:rsid w:val="15C70A44"/>
    <w:rsid w:val="15CF5AE0"/>
    <w:rsid w:val="16467FE8"/>
    <w:rsid w:val="166D5BA5"/>
    <w:rsid w:val="16FE3B3C"/>
    <w:rsid w:val="18E84F59"/>
    <w:rsid w:val="19E219A9"/>
    <w:rsid w:val="1A5B7115"/>
    <w:rsid w:val="1A8F5E9B"/>
    <w:rsid w:val="1B2A271F"/>
    <w:rsid w:val="1B6805D3"/>
    <w:rsid w:val="1B92329D"/>
    <w:rsid w:val="1BF260EF"/>
    <w:rsid w:val="1C640FBB"/>
    <w:rsid w:val="1CDE534D"/>
    <w:rsid w:val="1D0600A4"/>
    <w:rsid w:val="1D266CE1"/>
    <w:rsid w:val="1D3963AF"/>
    <w:rsid w:val="1D9105CD"/>
    <w:rsid w:val="1D9E2160"/>
    <w:rsid w:val="1DB66A74"/>
    <w:rsid w:val="1DF83726"/>
    <w:rsid w:val="1E022140"/>
    <w:rsid w:val="1E042993"/>
    <w:rsid w:val="1E217115"/>
    <w:rsid w:val="1E2312EC"/>
    <w:rsid w:val="1E714A66"/>
    <w:rsid w:val="1EB7510C"/>
    <w:rsid w:val="1F0820BD"/>
    <w:rsid w:val="1FA34E03"/>
    <w:rsid w:val="1FE868A9"/>
    <w:rsid w:val="1FFE6508"/>
    <w:rsid w:val="203D3FD4"/>
    <w:rsid w:val="20692E24"/>
    <w:rsid w:val="22553F99"/>
    <w:rsid w:val="23376E62"/>
    <w:rsid w:val="23C672E7"/>
    <w:rsid w:val="23FC3FAF"/>
    <w:rsid w:val="24821FDE"/>
    <w:rsid w:val="248D5F2E"/>
    <w:rsid w:val="25611CFE"/>
    <w:rsid w:val="257C559E"/>
    <w:rsid w:val="258A4248"/>
    <w:rsid w:val="25B43F1A"/>
    <w:rsid w:val="262025D5"/>
    <w:rsid w:val="262B2D33"/>
    <w:rsid w:val="2673365A"/>
    <w:rsid w:val="268F1CBF"/>
    <w:rsid w:val="272F09D6"/>
    <w:rsid w:val="276C388A"/>
    <w:rsid w:val="278542BB"/>
    <w:rsid w:val="27B22553"/>
    <w:rsid w:val="28B906C0"/>
    <w:rsid w:val="28C80594"/>
    <w:rsid w:val="2913197F"/>
    <w:rsid w:val="297C1BE2"/>
    <w:rsid w:val="2989752D"/>
    <w:rsid w:val="299019AB"/>
    <w:rsid w:val="29934A6D"/>
    <w:rsid w:val="29D90C54"/>
    <w:rsid w:val="2A05379E"/>
    <w:rsid w:val="2AFC0390"/>
    <w:rsid w:val="2B1343D9"/>
    <w:rsid w:val="2BB56C7D"/>
    <w:rsid w:val="2C69584B"/>
    <w:rsid w:val="2C945BCD"/>
    <w:rsid w:val="2CF52C10"/>
    <w:rsid w:val="2D570793"/>
    <w:rsid w:val="2DD15014"/>
    <w:rsid w:val="2E620EB2"/>
    <w:rsid w:val="2E711DB4"/>
    <w:rsid w:val="2EA17C2D"/>
    <w:rsid w:val="2EDD77F3"/>
    <w:rsid w:val="2F4B7E14"/>
    <w:rsid w:val="2F7E2B15"/>
    <w:rsid w:val="2FD25781"/>
    <w:rsid w:val="2FE029D7"/>
    <w:rsid w:val="30446AC1"/>
    <w:rsid w:val="31291E9E"/>
    <w:rsid w:val="319C6071"/>
    <w:rsid w:val="31ED3189"/>
    <w:rsid w:val="323022D5"/>
    <w:rsid w:val="32683BD0"/>
    <w:rsid w:val="32B83D05"/>
    <w:rsid w:val="32B91FDF"/>
    <w:rsid w:val="33017EE0"/>
    <w:rsid w:val="337638F0"/>
    <w:rsid w:val="33E153CC"/>
    <w:rsid w:val="34034EE6"/>
    <w:rsid w:val="342C7F98"/>
    <w:rsid w:val="342E63AB"/>
    <w:rsid w:val="342E6E48"/>
    <w:rsid w:val="34774B3F"/>
    <w:rsid w:val="34BB3D03"/>
    <w:rsid w:val="34E22D4D"/>
    <w:rsid w:val="359336CA"/>
    <w:rsid w:val="35BE0868"/>
    <w:rsid w:val="365302AE"/>
    <w:rsid w:val="36D52B69"/>
    <w:rsid w:val="370E76BE"/>
    <w:rsid w:val="37981C17"/>
    <w:rsid w:val="37BD53AB"/>
    <w:rsid w:val="37DE3B35"/>
    <w:rsid w:val="38753166"/>
    <w:rsid w:val="38A76CF6"/>
    <w:rsid w:val="38D5369C"/>
    <w:rsid w:val="3914572B"/>
    <w:rsid w:val="393B6DB9"/>
    <w:rsid w:val="395D3184"/>
    <w:rsid w:val="39D2513E"/>
    <w:rsid w:val="39D70EB4"/>
    <w:rsid w:val="3A156A93"/>
    <w:rsid w:val="3A294E89"/>
    <w:rsid w:val="3A787563"/>
    <w:rsid w:val="3AE911CB"/>
    <w:rsid w:val="3AEA31FD"/>
    <w:rsid w:val="3B6F40AA"/>
    <w:rsid w:val="3C1E7DFF"/>
    <w:rsid w:val="3C39780E"/>
    <w:rsid w:val="3C522DF7"/>
    <w:rsid w:val="3C5F759A"/>
    <w:rsid w:val="3D0870C9"/>
    <w:rsid w:val="3D1A6329"/>
    <w:rsid w:val="3D486B76"/>
    <w:rsid w:val="3D7E738B"/>
    <w:rsid w:val="3DC73137"/>
    <w:rsid w:val="3DCD3FB6"/>
    <w:rsid w:val="3E740EBA"/>
    <w:rsid w:val="3E864749"/>
    <w:rsid w:val="3EF1250A"/>
    <w:rsid w:val="3F510CCD"/>
    <w:rsid w:val="3F843E6E"/>
    <w:rsid w:val="3FDD4327"/>
    <w:rsid w:val="4048415B"/>
    <w:rsid w:val="416E7E42"/>
    <w:rsid w:val="417C6135"/>
    <w:rsid w:val="4188050D"/>
    <w:rsid w:val="41CE09BE"/>
    <w:rsid w:val="42AC04F6"/>
    <w:rsid w:val="42BA5315"/>
    <w:rsid w:val="42E1381E"/>
    <w:rsid w:val="431D24D7"/>
    <w:rsid w:val="450E48D2"/>
    <w:rsid w:val="458B096E"/>
    <w:rsid w:val="45A76A08"/>
    <w:rsid w:val="45C61326"/>
    <w:rsid w:val="46476EB4"/>
    <w:rsid w:val="465515D1"/>
    <w:rsid w:val="469B30F4"/>
    <w:rsid w:val="4723347D"/>
    <w:rsid w:val="47387247"/>
    <w:rsid w:val="47A11EBC"/>
    <w:rsid w:val="48CB3DCC"/>
    <w:rsid w:val="49417BEA"/>
    <w:rsid w:val="495A0CAC"/>
    <w:rsid w:val="4A070E34"/>
    <w:rsid w:val="4AC42881"/>
    <w:rsid w:val="4AE65249"/>
    <w:rsid w:val="4B4D4862"/>
    <w:rsid w:val="4B52789F"/>
    <w:rsid w:val="4BB36742"/>
    <w:rsid w:val="4C1910FC"/>
    <w:rsid w:val="4C8D5FBE"/>
    <w:rsid w:val="4CCF0C74"/>
    <w:rsid w:val="4DD935A0"/>
    <w:rsid w:val="4DE2183F"/>
    <w:rsid w:val="4E347D1E"/>
    <w:rsid w:val="4E656CFC"/>
    <w:rsid w:val="4E7258EB"/>
    <w:rsid w:val="4E850579"/>
    <w:rsid w:val="4E9E15C3"/>
    <w:rsid w:val="4EDA2F0D"/>
    <w:rsid w:val="4F152AAD"/>
    <w:rsid w:val="4F2560C4"/>
    <w:rsid w:val="4F5E28F5"/>
    <w:rsid w:val="502618E8"/>
    <w:rsid w:val="50962F12"/>
    <w:rsid w:val="50BC7257"/>
    <w:rsid w:val="50C57353"/>
    <w:rsid w:val="50F648E0"/>
    <w:rsid w:val="50FE07FB"/>
    <w:rsid w:val="51A0432A"/>
    <w:rsid w:val="51CF035C"/>
    <w:rsid w:val="52A96B6F"/>
    <w:rsid w:val="53116EE5"/>
    <w:rsid w:val="54150883"/>
    <w:rsid w:val="542B3971"/>
    <w:rsid w:val="543368D9"/>
    <w:rsid w:val="543E18F6"/>
    <w:rsid w:val="5477163A"/>
    <w:rsid w:val="54EB741D"/>
    <w:rsid w:val="54EC671B"/>
    <w:rsid w:val="550764A4"/>
    <w:rsid w:val="550F1330"/>
    <w:rsid w:val="55512DB6"/>
    <w:rsid w:val="55B33C1E"/>
    <w:rsid w:val="55D87B28"/>
    <w:rsid w:val="57207F16"/>
    <w:rsid w:val="574A6AB5"/>
    <w:rsid w:val="578471B6"/>
    <w:rsid w:val="57BD6FD6"/>
    <w:rsid w:val="583F79EB"/>
    <w:rsid w:val="589110F9"/>
    <w:rsid w:val="58AE4F0C"/>
    <w:rsid w:val="58B70A27"/>
    <w:rsid w:val="58EE31BF"/>
    <w:rsid w:val="59376914"/>
    <w:rsid w:val="59807DAF"/>
    <w:rsid w:val="5A2A7C7B"/>
    <w:rsid w:val="5A506D7C"/>
    <w:rsid w:val="5AB50364"/>
    <w:rsid w:val="5B3630C5"/>
    <w:rsid w:val="5BB45078"/>
    <w:rsid w:val="5BC1423F"/>
    <w:rsid w:val="5BED775E"/>
    <w:rsid w:val="5BF47D89"/>
    <w:rsid w:val="5C272C70"/>
    <w:rsid w:val="5C6C0FCA"/>
    <w:rsid w:val="5C80234E"/>
    <w:rsid w:val="5D6879E4"/>
    <w:rsid w:val="5DDC260A"/>
    <w:rsid w:val="5DE43EBA"/>
    <w:rsid w:val="5E194CD9"/>
    <w:rsid w:val="5E261785"/>
    <w:rsid w:val="5E7E710C"/>
    <w:rsid w:val="5EAC442C"/>
    <w:rsid w:val="5EBE1403"/>
    <w:rsid w:val="5F155949"/>
    <w:rsid w:val="5FA15E63"/>
    <w:rsid w:val="5FCC5339"/>
    <w:rsid w:val="5FE40D58"/>
    <w:rsid w:val="601C5968"/>
    <w:rsid w:val="605E50CE"/>
    <w:rsid w:val="60AD274C"/>
    <w:rsid w:val="61054A27"/>
    <w:rsid w:val="611D2366"/>
    <w:rsid w:val="6131251D"/>
    <w:rsid w:val="61A35B4E"/>
    <w:rsid w:val="620C07EA"/>
    <w:rsid w:val="62885958"/>
    <w:rsid w:val="62FB4E56"/>
    <w:rsid w:val="636B720F"/>
    <w:rsid w:val="63C416EC"/>
    <w:rsid w:val="64B74775"/>
    <w:rsid w:val="64CE2EAA"/>
    <w:rsid w:val="653B3C30"/>
    <w:rsid w:val="654B3E73"/>
    <w:rsid w:val="65842EE1"/>
    <w:rsid w:val="65AE61B0"/>
    <w:rsid w:val="65C864B9"/>
    <w:rsid w:val="662E75B1"/>
    <w:rsid w:val="66342C2E"/>
    <w:rsid w:val="663E784C"/>
    <w:rsid w:val="66ED2495"/>
    <w:rsid w:val="66FA4FFA"/>
    <w:rsid w:val="672837F9"/>
    <w:rsid w:val="67477D98"/>
    <w:rsid w:val="67C9107F"/>
    <w:rsid w:val="67FE77E2"/>
    <w:rsid w:val="680B78E9"/>
    <w:rsid w:val="68183DB4"/>
    <w:rsid w:val="68225A09"/>
    <w:rsid w:val="68F57607"/>
    <w:rsid w:val="69E50839"/>
    <w:rsid w:val="6AA54025"/>
    <w:rsid w:val="6AF428B7"/>
    <w:rsid w:val="6B2F0ABB"/>
    <w:rsid w:val="6B547B49"/>
    <w:rsid w:val="6B7D1BE5"/>
    <w:rsid w:val="6B950FB3"/>
    <w:rsid w:val="6C4E4EBC"/>
    <w:rsid w:val="6CDC7AA6"/>
    <w:rsid w:val="6DE9247B"/>
    <w:rsid w:val="6E23716A"/>
    <w:rsid w:val="6E8052C2"/>
    <w:rsid w:val="6E8E12EF"/>
    <w:rsid w:val="6EAD16FA"/>
    <w:rsid w:val="6F6322D5"/>
    <w:rsid w:val="6F6D0E8A"/>
    <w:rsid w:val="6FAF14A2"/>
    <w:rsid w:val="70756248"/>
    <w:rsid w:val="70875F7B"/>
    <w:rsid w:val="70E92792"/>
    <w:rsid w:val="718D136F"/>
    <w:rsid w:val="71924BD7"/>
    <w:rsid w:val="71995F66"/>
    <w:rsid w:val="71D43752"/>
    <w:rsid w:val="71EB1AA8"/>
    <w:rsid w:val="720D425E"/>
    <w:rsid w:val="7234165D"/>
    <w:rsid w:val="727229AE"/>
    <w:rsid w:val="727367B7"/>
    <w:rsid w:val="73092B20"/>
    <w:rsid w:val="73841FD9"/>
    <w:rsid w:val="73966C01"/>
    <w:rsid w:val="74812690"/>
    <w:rsid w:val="749C4185"/>
    <w:rsid w:val="74E03EAC"/>
    <w:rsid w:val="75024914"/>
    <w:rsid w:val="75070EA6"/>
    <w:rsid w:val="756E7D31"/>
    <w:rsid w:val="758F1B5A"/>
    <w:rsid w:val="75DA2C18"/>
    <w:rsid w:val="75EB5374"/>
    <w:rsid w:val="76AF7FDA"/>
    <w:rsid w:val="76D07977"/>
    <w:rsid w:val="77D87278"/>
    <w:rsid w:val="77F96930"/>
    <w:rsid w:val="77FD7B39"/>
    <w:rsid w:val="782204D0"/>
    <w:rsid w:val="78395DAD"/>
    <w:rsid w:val="79646E59"/>
    <w:rsid w:val="797861D7"/>
    <w:rsid w:val="79815C5D"/>
    <w:rsid w:val="79935991"/>
    <w:rsid w:val="7A404FB1"/>
    <w:rsid w:val="7A4E3666"/>
    <w:rsid w:val="7A67303B"/>
    <w:rsid w:val="7A8F1833"/>
    <w:rsid w:val="7AAB1D04"/>
    <w:rsid w:val="7AB94F83"/>
    <w:rsid w:val="7ABA4368"/>
    <w:rsid w:val="7B257FFD"/>
    <w:rsid w:val="7B711D02"/>
    <w:rsid w:val="7B784E3E"/>
    <w:rsid w:val="7B817667"/>
    <w:rsid w:val="7B851309"/>
    <w:rsid w:val="7BC10311"/>
    <w:rsid w:val="7BC41E31"/>
    <w:rsid w:val="7BFC15CB"/>
    <w:rsid w:val="7C105077"/>
    <w:rsid w:val="7C321491"/>
    <w:rsid w:val="7D01767F"/>
    <w:rsid w:val="7D1661B6"/>
    <w:rsid w:val="7E211ED6"/>
    <w:rsid w:val="7E2E3EDA"/>
    <w:rsid w:val="7E301A00"/>
    <w:rsid w:val="7E565D16"/>
    <w:rsid w:val="7E9D1FA8"/>
    <w:rsid w:val="7EC63B45"/>
    <w:rsid w:val="7F162B9E"/>
    <w:rsid w:val="7F69341C"/>
    <w:rsid w:val="7F7818B1"/>
    <w:rsid w:val="7FDA660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1"/>
    <w:qFormat/>
    <w:uiPriority w:val="0"/>
    <w:pPr>
      <w:keepNext/>
      <w:keepLines/>
      <w:numPr>
        <w:ilvl w:val="0"/>
        <w:numId w:val="1"/>
      </w:numPr>
      <w:spacing w:before="340" w:beforeLines="0" w:after="330" w:afterLines="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72"/>
    <w:qFormat/>
    <w:uiPriority w:val="0"/>
    <w:pPr>
      <w:keepNext/>
      <w:keepLines/>
      <w:numPr>
        <w:ilvl w:val="3"/>
        <w:numId w:val="1"/>
      </w:numPr>
      <w:spacing w:before="280" w:beforeLines="0" w:after="290" w:afterLines="0" w:line="376" w:lineRule="auto"/>
      <w:outlineLvl w:val="3"/>
    </w:pPr>
    <w:rPr>
      <w:rFonts w:ascii="Arial" w:hAnsi="Arial" w:eastAsia="黑体"/>
      <w:b/>
      <w:bCs/>
      <w:sz w:val="28"/>
      <w:szCs w:val="28"/>
      <w:lang w:val="zh-CN"/>
    </w:rPr>
  </w:style>
  <w:style w:type="paragraph" w:styleId="6">
    <w:name w:val="heading 5"/>
    <w:basedOn w:val="1"/>
    <w:next w:val="1"/>
    <w:link w:val="73"/>
    <w:qFormat/>
    <w:uiPriority w:val="0"/>
    <w:pPr>
      <w:keepNext/>
      <w:keepLines/>
      <w:numPr>
        <w:ilvl w:val="4"/>
        <w:numId w:val="1"/>
      </w:numPr>
      <w:spacing w:before="280" w:beforeLines="0" w:after="290" w:afterLines="0" w:line="376" w:lineRule="auto"/>
      <w:outlineLvl w:val="4"/>
    </w:pPr>
    <w:rPr>
      <w:b/>
      <w:bCs/>
      <w:sz w:val="28"/>
      <w:szCs w:val="28"/>
    </w:rPr>
  </w:style>
  <w:style w:type="paragraph" w:styleId="7">
    <w:name w:val="heading 6"/>
    <w:basedOn w:val="1"/>
    <w:next w:val="1"/>
    <w:link w:val="74"/>
    <w:qFormat/>
    <w:uiPriority w:val="0"/>
    <w:pPr>
      <w:keepNext/>
      <w:keepLines/>
      <w:numPr>
        <w:ilvl w:val="5"/>
        <w:numId w:val="1"/>
      </w:numPr>
      <w:spacing w:before="240" w:beforeLines="0" w:after="64" w:afterLines="0" w:line="320" w:lineRule="auto"/>
      <w:outlineLvl w:val="5"/>
    </w:pPr>
    <w:rPr>
      <w:rFonts w:ascii="Arial" w:hAnsi="Arial" w:eastAsia="黑体"/>
      <w:b/>
      <w:bCs/>
      <w:sz w:val="24"/>
    </w:rPr>
  </w:style>
  <w:style w:type="paragraph" w:styleId="8">
    <w:name w:val="heading 7"/>
    <w:basedOn w:val="1"/>
    <w:next w:val="1"/>
    <w:link w:val="75"/>
    <w:qFormat/>
    <w:uiPriority w:val="0"/>
    <w:pPr>
      <w:keepNext/>
      <w:keepLines/>
      <w:numPr>
        <w:ilvl w:val="6"/>
        <w:numId w:val="1"/>
      </w:numPr>
      <w:spacing w:before="240" w:beforeLines="0" w:after="64" w:afterLines="0" w:line="320" w:lineRule="auto"/>
      <w:outlineLvl w:val="6"/>
    </w:pPr>
    <w:rPr>
      <w:b/>
      <w:bCs/>
      <w:sz w:val="24"/>
    </w:rPr>
  </w:style>
  <w:style w:type="paragraph" w:styleId="9">
    <w:name w:val="heading 8"/>
    <w:basedOn w:val="1"/>
    <w:next w:val="1"/>
    <w:link w:val="76"/>
    <w:qFormat/>
    <w:uiPriority w:val="0"/>
    <w:pPr>
      <w:keepNext/>
      <w:keepLines/>
      <w:numPr>
        <w:ilvl w:val="7"/>
        <w:numId w:val="1"/>
      </w:numPr>
      <w:spacing w:before="240" w:beforeLines="0" w:after="64" w:afterLines="0" w:line="320" w:lineRule="auto"/>
      <w:outlineLvl w:val="7"/>
    </w:pPr>
    <w:rPr>
      <w:rFonts w:ascii="Arial" w:hAnsi="Arial" w:eastAsia="黑体"/>
      <w:sz w:val="24"/>
    </w:rPr>
  </w:style>
  <w:style w:type="paragraph" w:styleId="10">
    <w:name w:val="heading 9"/>
    <w:basedOn w:val="1"/>
    <w:next w:val="1"/>
    <w:link w:val="77"/>
    <w:qFormat/>
    <w:uiPriority w:val="0"/>
    <w:pPr>
      <w:keepNext/>
      <w:keepLines/>
      <w:numPr>
        <w:ilvl w:val="8"/>
        <w:numId w:val="1"/>
      </w:numPr>
      <w:spacing w:before="240" w:beforeLines="0" w:after="64" w:afterLines="0" w:line="320" w:lineRule="auto"/>
      <w:outlineLvl w:val="8"/>
    </w:pPr>
    <w:rPr>
      <w:rFonts w:ascii="Arial" w:hAnsi="Arial" w:eastAsia="黑体"/>
      <w:szCs w:val="21"/>
    </w:rPr>
  </w:style>
  <w:style w:type="character" w:default="1" w:styleId="62">
    <w:name w:val="Default Paragraph Font"/>
    <w:semiHidden/>
    <w:qFormat/>
    <w:uiPriority w:val="0"/>
    <w:rPr>
      <w:rFonts w:ascii="Arial" w:hAnsi="Arial" w:eastAsia="黑体" w:cs="Arial"/>
      <w:snapToGrid w:val="0"/>
      <w:kern w:val="0"/>
      <w:szCs w:val="21"/>
    </w:rPr>
  </w:style>
  <w:style w:type="table" w:default="1" w:styleId="60">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s="Times New Roman"/>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8"/>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6">
    <w:name w:val="caption"/>
    <w:basedOn w:val="1"/>
    <w:next w:val="1"/>
    <w:link w:val="7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80"/>
    <w:qFormat/>
    <w:uiPriority w:val="0"/>
    <w:pPr>
      <w:jc w:val="left"/>
    </w:pPr>
  </w:style>
  <w:style w:type="paragraph" w:styleId="20">
    <w:name w:val="Salutation"/>
    <w:basedOn w:val="1"/>
    <w:next w:val="1"/>
    <w:link w:val="81"/>
    <w:qFormat/>
    <w:uiPriority w:val="0"/>
    <w:rPr>
      <w:rFonts w:ascii="仿宋_GB2312" w:eastAsia="仿宋_GB2312"/>
      <w:sz w:val="28"/>
      <w:szCs w:val="20"/>
    </w:rPr>
  </w:style>
  <w:style w:type="paragraph" w:styleId="21">
    <w:name w:val="Body Text 3"/>
    <w:basedOn w:val="1"/>
    <w:link w:val="82"/>
    <w:qFormat/>
    <w:uiPriority w:val="0"/>
    <w:pPr>
      <w:jc w:val="center"/>
    </w:pPr>
    <w:rPr>
      <w:szCs w:val="20"/>
    </w:rPr>
  </w:style>
  <w:style w:type="paragraph" w:styleId="22">
    <w:name w:val="Body Text"/>
    <w:basedOn w:val="1"/>
    <w:link w:val="83"/>
    <w:qFormat/>
    <w:uiPriority w:val="0"/>
    <w:pPr>
      <w:autoSpaceDE w:val="0"/>
      <w:autoSpaceDN w:val="0"/>
      <w:adjustRightInd w:val="0"/>
      <w:spacing w:line="360" w:lineRule="auto"/>
    </w:pPr>
    <w:rPr>
      <w:rFonts w:ascii="宋体" w:hAnsi="Arial" w:cs="Arial"/>
      <w:snapToGrid w:val="0"/>
      <w:sz w:val="24"/>
      <w:szCs w:val="21"/>
      <w:lang w:val="zh-CN"/>
    </w:rPr>
  </w:style>
  <w:style w:type="paragraph" w:styleId="23">
    <w:name w:val="Body Text Indent"/>
    <w:basedOn w:val="1"/>
    <w:link w:val="84"/>
    <w:qFormat/>
    <w:uiPriority w:val="0"/>
    <w:pPr>
      <w:spacing w:line="480" w:lineRule="exact"/>
      <w:ind w:firstLine="480" w:firstLineChars="200"/>
    </w:pPr>
    <w:rPr>
      <w:rFonts w:ascii="宋体" w:hAnsi="宋体"/>
      <w:sz w:val="24"/>
    </w:rPr>
  </w:style>
  <w:style w:type="paragraph" w:styleId="24">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85"/>
    <w:qFormat/>
    <w:uiPriority w:val="0"/>
    <w:pPr>
      <w:widowControl/>
      <w:adjustRightInd/>
      <w:ind w:firstLine="200" w:firstLineChars="200"/>
      <w:jc w:val="left"/>
    </w:pPr>
    <w:rPr>
      <w:rFonts w:ascii="宋体" w:hAnsi="宋体"/>
      <w:i/>
      <w:iCs/>
      <w:kern w:val="0"/>
      <w:sz w:val="24"/>
    </w:rPr>
  </w:style>
  <w:style w:type="paragraph" w:styleId="29">
    <w:name w:val="toc 5"/>
    <w:basedOn w:val="1"/>
    <w:next w:val="1"/>
    <w:qFormat/>
    <w:uiPriority w:val="0"/>
    <w:pPr>
      <w:ind w:left="1680" w:leftChars="800"/>
    </w:pPr>
  </w:style>
  <w:style w:type="paragraph" w:styleId="3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86"/>
    <w:qFormat/>
    <w:uiPriority w:val="0"/>
    <w:rPr>
      <w:rFonts w:ascii="宋体" w:hAnsi="Courier New" w:cs="Arial"/>
      <w:snapToGrid w:val="0"/>
      <w:szCs w:val="21"/>
    </w:rPr>
  </w:style>
  <w:style w:type="paragraph" w:styleId="32">
    <w:name w:val="List Number 4"/>
    <w:basedOn w:val="1"/>
    <w:qFormat/>
    <w:uiPriority w:val="0"/>
    <w:pPr>
      <w:numPr>
        <w:ilvl w:val="0"/>
        <w:numId w:val="4"/>
      </w:numPr>
      <w:autoSpaceDE w:val="0"/>
      <w:autoSpaceDN w:val="0"/>
      <w:spacing w:line="360" w:lineRule="atLeast"/>
      <w:ind w:left="840" w:hanging="420"/>
    </w:pPr>
    <w:rPr>
      <w:kern w:val="0"/>
      <w:sz w:val="24"/>
    </w:rPr>
  </w:style>
  <w:style w:type="paragraph" w:styleId="33">
    <w:name w:val="toc 8"/>
    <w:basedOn w:val="1"/>
    <w:next w:val="1"/>
    <w:qFormat/>
    <w:uiPriority w:val="0"/>
    <w:pPr>
      <w:ind w:left="2940" w:leftChars="1400"/>
    </w:pPr>
  </w:style>
  <w:style w:type="paragraph" w:styleId="34">
    <w:name w:val="Date"/>
    <w:basedOn w:val="1"/>
    <w:next w:val="1"/>
    <w:link w:val="87"/>
    <w:qFormat/>
    <w:uiPriority w:val="0"/>
    <w:pPr>
      <w:ind w:left="100" w:leftChars="2500"/>
    </w:pPr>
    <w:rPr>
      <w:rFonts w:ascii="宋体"/>
      <w:sz w:val="24"/>
      <w:szCs w:val="21"/>
      <w:lang w:val="zh-CN"/>
    </w:rPr>
  </w:style>
  <w:style w:type="paragraph" w:styleId="35">
    <w:name w:val="Body Text Indent 2"/>
    <w:basedOn w:val="1"/>
    <w:link w:val="88"/>
    <w:qFormat/>
    <w:uiPriority w:val="0"/>
    <w:pPr>
      <w:adjustRightInd w:val="0"/>
      <w:spacing w:line="360" w:lineRule="auto"/>
      <w:ind w:firstLine="601"/>
      <w:textAlignment w:val="baseline"/>
    </w:pPr>
    <w:rPr>
      <w:rFonts w:ascii="宋体"/>
      <w:kern w:val="0"/>
      <w:sz w:val="28"/>
      <w:szCs w:val="20"/>
    </w:rPr>
  </w:style>
  <w:style w:type="paragraph" w:styleId="36">
    <w:name w:val="Balloon Text"/>
    <w:basedOn w:val="1"/>
    <w:link w:val="89"/>
    <w:semiHidden/>
    <w:qFormat/>
    <w:uiPriority w:val="0"/>
    <w:rPr>
      <w:sz w:val="18"/>
      <w:szCs w:val="18"/>
    </w:rPr>
  </w:style>
  <w:style w:type="paragraph" w:styleId="37">
    <w:name w:val="footer"/>
    <w:basedOn w:val="1"/>
    <w:qFormat/>
    <w:uiPriority w:val="99"/>
    <w:pPr>
      <w:tabs>
        <w:tab w:val="center" w:pos="4153"/>
        <w:tab w:val="right" w:pos="8306"/>
      </w:tabs>
      <w:snapToGrid w:val="0"/>
      <w:jc w:val="left"/>
    </w:pPr>
    <w:rPr>
      <w:sz w:val="18"/>
      <w:szCs w:val="18"/>
    </w:rPr>
  </w:style>
  <w:style w:type="paragraph" w:styleId="38">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39">
    <w:name w:val="Signature"/>
    <w:basedOn w:val="1"/>
    <w:link w:val="90"/>
    <w:qFormat/>
    <w:uiPriority w:val="0"/>
    <w:pPr>
      <w:adjustRightInd w:val="0"/>
      <w:spacing w:after="600" w:afterLines="0" w:line="312" w:lineRule="atLeast"/>
      <w:jc w:val="center"/>
      <w:textAlignment w:val="baseline"/>
    </w:pPr>
    <w:rPr>
      <w:rFonts w:eastAsia="仿宋_GB2312"/>
      <w:kern w:val="0"/>
      <w:sz w:val="24"/>
      <w:szCs w:val="20"/>
    </w:rPr>
  </w:style>
  <w:style w:type="paragraph" w:styleId="40">
    <w:name w:val="toc 1"/>
    <w:basedOn w:val="1"/>
    <w:next w:val="1"/>
    <w:qFormat/>
    <w:uiPriority w:val="0"/>
  </w:style>
  <w:style w:type="paragraph" w:styleId="41">
    <w:name w:val="toc 4"/>
    <w:basedOn w:val="1"/>
    <w:next w:val="1"/>
    <w:qFormat/>
    <w:uiPriority w:val="0"/>
    <w:pPr>
      <w:ind w:left="1260" w:leftChars="600"/>
    </w:pPr>
  </w:style>
  <w:style w:type="paragraph" w:styleId="42">
    <w:name w:val="index heading"/>
    <w:basedOn w:val="1"/>
    <w:next w:val="43"/>
    <w:qFormat/>
    <w:uiPriority w:val="0"/>
    <w:pPr>
      <w:adjustRightInd/>
      <w:ind w:firstLine="200" w:firstLineChars="200"/>
    </w:pPr>
  </w:style>
  <w:style w:type="paragraph" w:styleId="43">
    <w:name w:val="index 1"/>
    <w:basedOn w:val="1"/>
    <w:next w:val="1"/>
    <w:qFormat/>
    <w:uiPriority w:val="0"/>
    <w:pPr>
      <w:adjustRightInd/>
      <w:spacing w:line="360" w:lineRule="auto"/>
      <w:ind w:firstLine="200" w:firstLineChars="200"/>
      <w:jc w:val="center"/>
    </w:pPr>
    <w:rPr>
      <w:sz w:val="24"/>
      <w:szCs w:val="20"/>
    </w:rPr>
  </w:style>
  <w:style w:type="paragraph" w:styleId="44">
    <w:name w:val="Subtitle"/>
    <w:link w:val="9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92"/>
    <w:qFormat/>
    <w:uiPriority w:val="0"/>
    <w:pPr>
      <w:adjustRightInd/>
      <w:snapToGrid/>
      <w:spacing w:before="60" w:beforeLines="0" w:after="60" w:afterLines="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93"/>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afterLines="0" w:line="480" w:lineRule="auto"/>
    </w:pPr>
  </w:style>
  <w:style w:type="paragraph" w:styleId="54">
    <w:name w:val="HTML Preformatted"/>
    <w:basedOn w:val="1"/>
    <w:link w:val="9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Lines="0" w:beforeAutospacing="1" w:after="100" w:afterLines="0" w:afterAutospacing="1"/>
      <w:jc w:val="left"/>
    </w:pPr>
    <w:rPr>
      <w:rFonts w:ascii="宋体" w:hAnsi="宋体"/>
      <w:kern w:val="0"/>
      <w:sz w:val="24"/>
    </w:rPr>
  </w:style>
  <w:style w:type="paragraph" w:styleId="56">
    <w:name w:val="Title"/>
    <w:basedOn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57">
    <w:name w:val="annotation subject"/>
    <w:basedOn w:val="19"/>
    <w:next w:val="19"/>
    <w:semiHidden/>
    <w:qFormat/>
    <w:uiPriority w:val="0"/>
    <w:rPr>
      <w:b/>
      <w:bCs/>
    </w:rPr>
  </w:style>
  <w:style w:type="paragraph" w:styleId="58">
    <w:name w:val="Body Text First Indent"/>
    <w:basedOn w:val="22"/>
    <w:link w:val="95"/>
    <w:qFormat/>
    <w:uiPriority w:val="0"/>
    <w:pPr>
      <w:ind w:firstLine="420"/>
    </w:pPr>
    <w:rPr>
      <w:rFonts w:hAnsi="Times New Roman" w:cs="Times New Roman"/>
      <w:snapToGrid/>
      <w:szCs w:val="20"/>
    </w:rPr>
  </w:style>
  <w:style w:type="paragraph" w:styleId="59">
    <w:name w:val="Body Text First Indent 2"/>
    <w:basedOn w:val="23"/>
    <w:link w:val="96"/>
    <w:qFormat/>
    <w:uiPriority w:val="0"/>
    <w:pPr>
      <w:adjustRightInd/>
      <w:spacing w:after="120" w:afterLines="0" w:line="240" w:lineRule="auto"/>
      <w:ind w:left="420" w:leftChars="200" w:firstLine="210"/>
    </w:pPr>
    <w:rPr>
      <w:sz w:val="21"/>
    </w:r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character" w:customStyle="1" w:styleId="71">
    <w:name w:val="标题 1 Char"/>
    <w:link w:val="2"/>
    <w:qFormat/>
    <w:uiPriority w:val="0"/>
    <w:rPr>
      <w:b/>
      <w:bCs/>
      <w:kern w:val="44"/>
      <w:sz w:val="44"/>
      <w:szCs w:val="44"/>
    </w:rPr>
  </w:style>
  <w:style w:type="character" w:customStyle="1" w:styleId="72">
    <w:name w:val="标题 4 Char"/>
    <w:link w:val="5"/>
    <w:qFormat/>
    <w:uiPriority w:val="0"/>
    <w:rPr>
      <w:rFonts w:ascii="Arial" w:hAnsi="Arial" w:eastAsia="黑体"/>
      <w:b/>
      <w:bCs/>
      <w:kern w:val="2"/>
      <w:sz w:val="28"/>
      <w:szCs w:val="28"/>
      <w:lang w:val="zh-CN"/>
    </w:rPr>
  </w:style>
  <w:style w:type="character" w:customStyle="1" w:styleId="73">
    <w:name w:val="标题 5 Char"/>
    <w:link w:val="6"/>
    <w:qFormat/>
    <w:uiPriority w:val="0"/>
    <w:rPr>
      <w:b/>
      <w:bCs/>
      <w:kern w:val="2"/>
      <w:sz w:val="28"/>
      <w:szCs w:val="28"/>
    </w:rPr>
  </w:style>
  <w:style w:type="character" w:customStyle="1" w:styleId="74">
    <w:name w:val="标题 6 Char"/>
    <w:link w:val="7"/>
    <w:qFormat/>
    <w:uiPriority w:val="0"/>
    <w:rPr>
      <w:rFonts w:ascii="Arial" w:hAnsi="Arial" w:eastAsia="黑体"/>
      <w:b/>
      <w:bCs/>
      <w:kern w:val="2"/>
      <w:sz w:val="24"/>
      <w:szCs w:val="24"/>
    </w:rPr>
  </w:style>
  <w:style w:type="character" w:customStyle="1" w:styleId="75">
    <w:name w:val="标题 7 Char"/>
    <w:link w:val="8"/>
    <w:qFormat/>
    <w:uiPriority w:val="0"/>
    <w:rPr>
      <w:b/>
      <w:bCs/>
      <w:kern w:val="2"/>
      <w:sz w:val="24"/>
      <w:szCs w:val="24"/>
    </w:rPr>
  </w:style>
  <w:style w:type="character" w:customStyle="1" w:styleId="76">
    <w:name w:val="标题 8 Char"/>
    <w:link w:val="9"/>
    <w:qFormat/>
    <w:uiPriority w:val="0"/>
    <w:rPr>
      <w:rFonts w:ascii="Arial" w:hAnsi="Arial" w:eastAsia="黑体"/>
      <w:kern w:val="2"/>
      <w:sz w:val="24"/>
      <w:szCs w:val="24"/>
    </w:rPr>
  </w:style>
  <w:style w:type="character" w:customStyle="1" w:styleId="77">
    <w:name w:val="标题 9 Char"/>
    <w:link w:val="10"/>
    <w:qFormat/>
    <w:uiPriority w:val="0"/>
    <w:rPr>
      <w:rFonts w:ascii="Arial" w:hAnsi="Arial" w:eastAsia="黑体"/>
      <w:kern w:val="2"/>
      <w:sz w:val="21"/>
      <w:szCs w:val="21"/>
    </w:rPr>
  </w:style>
  <w:style w:type="character" w:customStyle="1" w:styleId="78">
    <w:name w:val="正文缩进 Char2"/>
    <w:link w:val="15"/>
    <w:qFormat/>
    <w:uiPriority w:val="0"/>
    <w:rPr>
      <w:rFonts w:ascii="宋体" w:eastAsia="宋体"/>
      <w:snapToGrid w:val="0"/>
      <w:color w:val="000000"/>
      <w:kern w:val="28"/>
      <w:sz w:val="28"/>
      <w:lang w:val="en-US" w:eastAsia="zh-CN" w:bidi="ar-SA"/>
    </w:rPr>
  </w:style>
  <w:style w:type="character" w:customStyle="1" w:styleId="79">
    <w:name w:val="题注 Char"/>
    <w:link w:val="16"/>
    <w:qFormat/>
    <w:uiPriority w:val="0"/>
    <w:rPr>
      <w:b/>
      <w:kern w:val="2"/>
      <w:sz w:val="28"/>
    </w:rPr>
  </w:style>
  <w:style w:type="character" w:customStyle="1" w:styleId="80">
    <w:name w:val="批注文字 Char1"/>
    <w:link w:val="19"/>
    <w:qFormat/>
    <w:uiPriority w:val="0"/>
    <w:rPr>
      <w:kern w:val="2"/>
      <w:sz w:val="21"/>
      <w:szCs w:val="24"/>
    </w:rPr>
  </w:style>
  <w:style w:type="character" w:customStyle="1" w:styleId="81">
    <w:name w:val="称呼 Char"/>
    <w:link w:val="20"/>
    <w:qFormat/>
    <w:uiPriority w:val="0"/>
    <w:rPr>
      <w:rFonts w:ascii="仿宋_GB2312" w:eastAsia="仿宋_GB2312"/>
      <w:kern w:val="2"/>
      <w:sz w:val="28"/>
    </w:rPr>
  </w:style>
  <w:style w:type="character" w:customStyle="1" w:styleId="82">
    <w:name w:val="正文文本 3 Char"/>
    <w:link w:val="21"/>
    <w:qFormat/>
    <w:uiPriority w:val="0"/>
    <w:rPr>
      <w:kern w:val="2"/>
      <w:sz w:val="21"/>
    </w:rPr>
  </w:style>
  <w:style w:type="character" w:customStyle="1" w:styleId="83">
    <w:name w:val="正文文本 Char1"/>
    <w:link w:val="22"/>
    <w:semiHidden/>
    <w:qFormat/>
    <w:uiPriority w:val="0"/>
    <w:rPr>
      <w:rFonts w:ascii="宋体" w:hAnsi="Arial" w:eastAsia="宋体" w:cs="Arial"/>
      <w:snapToGrid w:val="0"/>
      <w:kern w:val="2"/>
      <w:sz w:val="24"/>
      <w:szCs w:val="21"/>
      <w:lang w:val="zh-CN" w:eastAsia="zh-CN" w:bidi="ar-SA"/>
    </w:rPr>
  </w:style>
  <w:style w:type="character" w:customStyle="1" w:styleId="84">
    <w:name w:val="正文文本缩进 Char1"/>
    <w:link w:val="23"/>
    <w:qFormat/>
    <w:uiPriority w:val="0"/>
    <w:rPr>
      <w:rFonts w:ascii="宋体" w:hAnsi="宋体"/>
      <w:kern w:val="2"/>
      <w:sz w:val="24"/>
      <w:szCs w:val="24"/>
    </w:rPr>
  </w:style>
  <w:style w:type="character" w:customStyle="1" w:styleId="85">
    <w:name w:val="HTML 地址 Char"/>
    <w:link w:val="28"/>
    <w:qFormat/>
    <w:uiPriority w:val="0"/>
    <w:rPr>
      <w:rFonts w:ascii="宋体" w:hAnsi="宋体"/>
      <w:i/>
      <w:iCs/>
      <w:sz w:val="24"/>
      <w:szCs w:val="24"/>
    </w:rPr>
  </w:style>
  <w:style w:type="character" w:customStyle="1" w:styleId="86">
    <w:name w:val="纯文本 Char"/>
    <w:link w:val="31"/>
    <w:qFormat/>
    <w:uiPriority w:val="0"/>
    <w:rPr>
      <w:rFonts w:ascii="宋体" w:hAnsi="Courier New" w:eastAsia="宋体" w:cs="Arial"/>
      <w:snapToGrid w:val="0"/>
      <w:kern w:val="2"/>
      <w:sz w:val="21"/>
      <w:szCs w:val="21"/>
      <w:lang w:val="en-US" w:eastAsia="zh-CN" w:bidi="ar-SA"/>
    </w:rPr>
  </w:style>
  <w:style w:type="character" w:customStyle="1" w:styleId="87">
    <w:name w:val="日期 Char"/>
    <w:link w:val="34"/>
    <w:qFormat/>
    <w:uiPriority w:val="0"/>
    <w:rPr>
      <w:rFonts w:ascii="宋体"/>
      <w:kern w:val="2"/>
      <w:sz w:val="24"/>
      <w:szCs w:val="21"/>
      <w:lang w:val="zh-CN"/>
    </w:rPr>
  </w:style>
  <w:style w:type="character" w:customStyle="1" w:styleId="88">
    <w:name w:val="正文文本缩进 2 Char"/>
    <w:link w:val="35"/>
    <w:qFormat/>
    <w:uiPriority w:val="0"/>
    <w:rPr>
      <w:rFonts w:ascii="宋体"/>
      <w:sz w:val="28"/>
    </w:rPr>
  </w:style>
  <w:style w:type="character" w:customStyle="1" w:styleId="89">
    <w:name w:val="批注框文本 Char"/>
    <w:link w:val="36"/>
    <w:semiHidden/>
    <w:qFormat/>
    <w:uiPriority w:val="0"/>
    <w:rPr>
      <w:kern w:val="2"/>
      <w:sz w:val="18"/>
      <w:szCs w:val="18"/>
    </w:rPr>
  </w:style>
  <w:style w:type="character" w:customStyle="1" w:styleId="90">
    <w:name w:val="签名 Char"/>
    <w:link w:val="39"/>
    <w:qFormat/>
    <w:uiPriority w:val="0"/>
    <w:rPr>
      <w:rFonts w:eastAsia="仿宋_GB2312"/>
      <w:sz w:val="24"/>
    </w:rPr>
  </w:style>
  <w:style w:type="character" w:customStyle="1" w:styleId="91">
    <w:name w:val="副标题 Char"/>
    <w:link w:val="44"/>
    <w:qFormat/>
    <w:uiPriority w:val="0"/>
    <w:rPr>
      <w:rFonts w:ascii="Arial" w:hAnsi="Arial" w:eastAsia="隶书"/>
      <w:b/>
      <w:bCs/>
      <w:kern w:val="28"/>
      <w:sz w:val="44"/>
      <w:szCs w:val="32"/>
      <w:lang w:val="en-US" w:eastAsia="zh-CN" w:bidi="ar-SA"/>
    </w:rPr>
  </w:style>
  <w:style w:type="character" w:customStyle="1" w:styleId="92">
    <w:name w:val="脚注文本 Char"/>
    <w:link w:val="47"/>
    <w:qFormat/>
    <w:uiPriority w:val="0"/>
    <w:rPr>
      <w:color w:val="0000FF"/>
      <w:sz w:val="21"/>
    </w:rPr>
  </w:style>
  <w:style w:type="character" w:customStyle="1" w:styleId="93">
    <w:name w:val="正文文本缩进 3 Char"/>
    <w:link w:val="50"/>
    <w:qFormat/>
    <w:uiPriority w:val="0"/>
    <w:rPr>
      <w:kern w:val="2"/>
      <w:sz w:val="24"/>
    </w:rPr>
  </w:style>
  <w:style w:type="character" w:customStyle="1" w:styleId="94">
    <w:name w:val="HTML 预设格式 Char"/>
    <w:link w:val="54"/>
    <w:qFormat/>
    <w:uiPriority w:val="0"/>
    <w:rPr>
      <w:rFonts w:ascii="黑体" w:hAnsi="Courier New" w:eastAsia="黑体"/>
    </w:rPr>
  </w:style>
  <w:style w:type="character" w:customStyle="1" w:styleId="95">
    <w:name w:val="正文首行缩进 Char"/>
    <w:link w:val="58"/>
    <w:qFormat/>
    <w:uiPriority w:val="0"/>
    <w:rPr>
      <w:rFonts w:ascii="宋体"/>
      <w:kern w:val="2"/>
      <w:sz w:val="24"/>
      <w:lang w:val="zh-CN"/>
    </w:rPr>
  </w:style>
  <w:style w:type="character" w:customStyle="1" w:styleId="96">
    <w:name w:val="正文首行缩进 2 Char"/>
    <w:link w:val="59"/>
    <w:qFormat/>
    <w:uiPriority w:val="0"/>
    <w:rPr>
      <w:rFonts w:ascii="宋体" w:hAnsi="宋体"/>
      <w:kern w:val="2"/>
      <w:sz w:val="21"/>
      <w:szCs w:val="24"/>
    </w:rPr>
  </w:style>
  <w:style w:type="paragraph" w:customStyle="1" w:styleId="97">
    <w:name w:val="首行缩进"/>
    <w:basedOn w:val="1"/>
    <w:qFormat/>
    <w:uiPriority w:val="0"/>
    <w:pPr>
      <w:spacing w:line="360" w:lineRule="auto"/>
      <w:ind w:firstLine="480" w:firstLineChars="200"/>
    </w:pPr>
    <w:rPr>
      <w:rFonts w:ascii="宋体"/>
      <w:sz w:val="24"/>
      <w:szCs w:val="20"/>
    </w:rPr>
  </w:style>
  <w:style w:type="character" w:customStyle="1" w:styleId="98">
    <w:name w:val="正文缩进 字符"/>
    <w:qFormat/>
    <w:uiPriority w:val="0"/>
    <w:rPr>
      <w:rFonts w:ascii="宋体" w:eastAsia="宋体"/>
      <w:snapToGrid/>
      <w:color w:val="000000"/>
      <w:kern w:val="28"/>
      <w:sz w:val="28"/>
      <w:lang w:val="en-US" w:eastAsia="zh-CN" w:bidi="ar-SA"/>
    </w:rPr>
  </w:style>
  <w:style w:type="character" w:customStyle="1" w:styleId="99">
    <w:name w:val="链接"/>
    <w:qFormat/>
    <w:uiPriority w:val="0"/>
    <w:rPr>
      <w:color w:val="0000FF"/>
      <w:sz w:val="21"/>
      <w:szCs w:val="21"/>
      <w:u w:val="single"/>
    </w:rPr>
  </w:style>
  <w:style w:type="character" w:customStyle="1" w:styleId="100">
    <w:name w:val=" Char Char7"/>
    <w:semiHidden/>
    <w:qFormat/>
    <w:uiPriority w:val="0"/>
    <w:rPr>
      <w:rFonts w:eastAsia="宋体"/>
      <w:kern w:val="2"/>
      <w:sz w:val="21"/>
      <w:szCs w:val="24"/>
      <w:lang w:val="en-US" w:eastAsia="zh-CN" w:bidi="ar-SA"/>
    </w:rPr>
  </w:style>
  <w:style w:type="character" w:customStyle="1" w:styleId="101">
    <w:name w:val="仿宋正文 Char"/>
    <w:link w:val="102"/>
    <w:qFormat/>
    <w:uiPriority w:val="0"/>
    <w:rPr>
      <w:rFonts w:ascii="仿宋_GB2312" w:eastAsia="仿宋_GB2312"/>
      <w:kern w:val="2"/>
      <w:sz w:val="24"/>
      <w:lang w:val="en-US" w:eastAsia="zh-CN" w:bidi="ar-SA"/>
    </w:rPr>
  </w:style>
  <w:style w:type="paragraph" w:customStyle="1" w:styleId="102">
    <w:name w:val="仿宋正文"/>
    <w:basedOn w:val="1"/>
    <w:link w:val="101"/>
    <w:qFormat/>
    <w:uiPriority w:val="0"/>
    <w:pPr>
      <w:adjustRightInd/>
      <w:spacing w:line="360" w:lineRule="auto"/>
      <w:ind w:firstLine="480" w:firstLineChars="200"/>
    </w:pPr>
    <w:rPr>
      <w:rFonts w:ascii="仿宋_GB2312" w:eastAsia="仿宋_GB2312"/>
      <w:sz w:val="24"/>
      <w:szCs w:val="20"/>
    </w:rPr>
  </w:style>
  <w:style w:type="character" w:customStyle="1" w:styleId="103">
    <w:name w:val="样式4 Char"/>
    <w:qFormat/>
    <w:uiPriority w:val="0"/>
    <w:rPr>
      <w:rFonts w:ascii="仿宋_GB2312" w:hAnsi="仿宋" w:eastAsia="仿宋_GB2312"/>
      <w:b/>
      <w:kern w:val="2"/>
      <w:sz w:val="32"/>
      <w:szCs w:val="32"/>
      <w:lang w:bidi="ar-SA"/>
    </w:rPr>
  </w:style>
  <w:style w:type="character" w:customStyle="1" w:styleId="104">
    <w:name w:val="hui"/>
    <w:basedOn w:val="62"/>
    <w:qFormat/>
    <w:uiPriority w:val="0"/>
  </w:style>
  <w:style w:type="character" w:customStyle="1" w:styleId="105">
    <w:name w:val="big1"/>
    <w:qFormat/>
    <w:uiPriority w:val="0"/>
    <w:rPr>
      <w:rFonts w:hint="eastAsia" w:ascii="宋体" w:hAnsi="宋体" w:eastAsia="宋体"/>
      <w:color w:val="333333"/>
      <w:sz w:val="22"/>
      <w:szCs w:val="22"/>
    </w:rPr>
  </w:style>
  <w:style w:type="character" w:customStyle="1" w:styleId="106">
    <w:name w:val="样式 标题 4h4H4Fab-4T5Ref Heading 1rh1Heading sqlsect 1.2.3.... Char"/>
    <w:link w:val="107"/>
    <w:qFormat/>
    <w:uiPriority w:val="0"/>
    <w:rPr>
      <w:rFonts w:ascii="微软雅黑" w:hAnsi="微软雅黑" w:eastAsia="微软雅黑"/>
      <w:b/>
      <w:bCs/>
      <w:kern w:val="2"/>
      <w:sz w:val="24"/>
      <w:szCs w:val="28"/>
    </w:rPr>
  </w:style>
  <w:style w:type="paragraph" w:customStyle="1" w:styleId="107">
    <w:name w:val="样式 标题 4h4H4Fab-4T5Ref Heading 1rh1Heading sqlsect 1.2.3...."/>
    <w:basedOn w:val="5"/>
    <w:link w:val="106"/>
    <w:qFormat/>
    <w:uiPriority w:val="0"/>
    <w:pPr>
      <w:numPr>
        <w:ilvl w:val="3"/>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108">
    <w:name w:val="正文缩进 Char"/>
    <w:qFormat/>
    <w:uiPriority w:val="0"/>
    <w:rPr>
      <w:rFonts w:eastAsia="宋体"/>
      <w:kern w:val="2"/>
      <w:sz w:val="21"/>
      <w:lang w:val="en-US" w:eastAsia="zh-CN"/>
    </w:rPr>
  </w:style>
  <w:style w:type="character" w:customStyle="1" w:styleId="109">
    <w:name w:val="myp11"/>
    <w:qFormat/>
    <w:uiPriority w:val="0"/>
    <w:rPr>
      <w:rFonts w:ascii="仿宋_GB2312" w:eastAsia="微软雅黑"/>
      <w:b/>
      <w:kern w:val="2"/>
      <w:sz w:val="32"/>
      <w:szCs w:val="32"/>
      <w:lang w:val="en-US" w:eastAsia="zh-CN" w:bidi="ar-SA"/>
    </w:rPr>
  </w:style>
  <w:style w:type="character" w:customStyle="1" w:styleId="110">
    <w:name w:val="dandyren_title1"/>
    <w:qFormat/>
    <w:uiPriority w:val="0"/>
    <w:rPr>
      <w:b/>
      <w:bCs/>
      <w:color w:val="FF6633"/>
      <w:sz w:val="18"/>
      <w:szCs w:val="18"/>
    </w:rPr>
  </w:style>
  <w:style w:type="character" w:customStyle="1" w:styleId="111">
    <w:name w:val="正文1 Char"/>
    <w:qFormat/>
    <w:uiPriority w:val="0"/>
    <w:rPr>
      <w:rFonts w:ascii="宋体" w:eastAsia="宋体"/>
      <w:snapToGrid w:val="0"/>
      <w:color w:val="000000"/>
      <w:kern w:val="28"/>
      <w:sz w:val="28"/>
      <w:lang w:val="en-US" w:eastAsia="zh-CN" w:bidi="ar-SA"/>
    </w:rPr>
  </w:style>
  <w:style w:type="character" w:customStyle="1" w:styleId="112">
    <w:name w:val="Footer-Even Char1"/>
    <w:qFormat/>
    <w:uiPriority w:val="0"/>
    <w:rPr>
      <w:rFonts w:eastAsia="宋体"/>
      <w:kern w:val="2"/>
      <w:sz w:val="18"/>
      <w:szCs w:val="18"/>
      <w:lang w:val="en-US" w:eastAsia="zh-CN" w:bidi="ar-SA"/>
    </w:rPr>
  </w:style>
  <w:style w:type="character" w:customStyle="1" w:styleId="113">
    <w:name w:val="正文1 Char1"/>
    <w:qFormat/>
    <w:uiPriority w:val="0"/>
    <w:rPr>
      <w:rFonts w:ascii="仿宋_GB2312" w:hAnsi="Courier New" w:eastAsia="仿宋_GB2312"/>
      <w:kern w:val="28"/>
      <w:sz w:val="24"/>
      <w:szCs w:val="24"/>
    </w:rPr>
  </w:style>
  <w:style w:type="character" w:customStyle="1" w:styleId="114">
    <w:name w:val="font21"/>
    <w:qFormat/>
    <w:uiPriority w:val="0"/>
    <w:rPr>
      <w:rFonts w:hint="eastAsia" w:ascii="宋体" w:hAnsi="宋体" w:eastAsia="宋体"/>
      <w:kern w:val="2"/>
      <w:sz w:val="28"/>
      <w:szCs w:val="28"/>
      <w:lang w:val="en-US" w:eastAsia="zh-CN" w:bidi="ar-SA"/>
    </w:rPr>
  </w:style>
  <w:style w:type="character" w:customStyle="1" w:styleId="115">
    <w:name w:val="PI Char"/>
    <w:qFormat/>
    <w:uiPriority w:val="0"/>
    <w:rPr>
      <w:rFonts w:ascii="宋体" w:hAnsi="宋体" w:eastAsia="宋体"/>
      <w:kern w:val="2"/>
      <w:sz w:val="24"/>
      <w:szCs w:val="24"/>
      <w:lang w:val="en-US" w:eastAsia="zh-CN" w:bidi="ar-SA"/>
    </w:rPr>
  </w:style>
  <w:style w:type="character" w:customStyle="1" w:styleId="116">
    <w:name w:val="pt141"/>
    <w:qFormat/>
    <w:uiPriority w:val="0"/>
    <w:rPr>
      <w:color w:val="330066"/>
      <w:sz w:val="22"/>
      <w:szCs w:val="22"/>
    </w:rPr>
  </w:style>
  <w:style w:type="character" w:customStyle="1" w:styleId="117">
    <w:name w:val="正文 编号 Char"/>
    <w:qFormat/>
    <w:uiPriority w:val="0"/>
    <w:rPr>
      <w:rFonts w:ascii="仿宋_GB2312" w:hAnsi="仿宋_GB2312" w:eastAsia="仿宋_GB2312"/>
      <w:kern w:val="2"/>
      <w:sz w:val="24"/>
      <w:lang w:bidi="ar-SA"/>
    </w:rPr>
  </w:style>
  <w:style w:type="character" w:customStyle="1" w:styleId="118">
    <w:name w:val="unnamed11"/>
    <w:qFormat/>
    <w:uiPriority w:val="0"/>
    <w:rPr>
      <w:sz w:val="20"/>
      <w:szCs w:val="20"/>
    </w:rPr>
  </w:style>
  <w:style w:type="character" w:customStyle="1" w:styleId="119">
    <w:name w:val="DO_NOT_TRANSLATE"/>
    <w:qFormat/>
    <w:uiPriority w:val="0"/>
    <w:rPr>
      <w:rFonts w:ascii="Courier New" w:hAnsi="Courier New" w:cs="Courier New"/>
      <w:color w:val="800000"/>
    </w:rPr>
  </w:style>
  <w:style w:type="character" w:customStyle="1" w:styleId="120">
    <w:name w:val="正文（缩进2汉字） Char"/>
    <w:link w:val="121"/>
    <w:qFormat/>
    <w:uiPriority w:val="0"/>
    <w:rPr>
      <w:rFonts w:ascii="宋体"/>
    </w:rPr>
  </w:style>
  <w:style w:type="paragraph" w:customStyle="1" w:styleId="121">
    <w:name w:val="正文（缩进2汉字）"/>
    <w:basedOn w:val="1"/>
    <w:link w:val="120"/>
    <w:qFormat/>
    <w:uiPriority w:val="0"/>
    <w:pPr>
      <w:tabs>
        <w:tab w:val="left" w:pos="525"/>
      </w:tabs>
      <w:adjustRightInd/>
      <w:spacing w:before="100" w:beforeLines="0" w:beforeAutospacing="1" w:after="100" w:afterLines="0" w:afterAutospacing="1"/>
      <w:ind w:left="120" w:leftChars="50" w:firstLine="494" w:firstLineChars="206"/>
    </w:pPr>
    <w:rPr>
      <w:rFonts w:ascii="宋体"/>
      <w:kern w:val="0"/>
      <w:sz w:val="20"/>
      <w:szCs w:val="20"/>
    </w:rPr>
  </w:style>
  <w:style w:type="character" w:customStyle="1" w:styleId="122">
    <w:name w:val="solutionfonts"/>
    <w:qFormat/>
    <w:uiPriority w:val="0"/>
  </w:style>
  <w:style w:type="character" w:customStyle="1" w:styleId="123">
    <w:name w:val="公文正文 Char"/>
    <w:qFormat/>
    <w:uiPriority w:val="0"/>
    <w:rPr>
      <w:rFonts w:ascii="仿宋_GB2312" w:eastAsia="仿宋_GB2312"/>
      <w:kern w:val="2"/>
      <w:sz w:val="24"/>
      <w:szCs w:val="24"/>
      <w:lang w:val="en-US" w:eastAsia="zh-CN" w:bidi="ar-SA"/>
    </w:rPr>
  </w:style>
  <w:style w:type="character" w:customStyle="1" w:styleId="124">
    <w:name w:val="Font Style82"/>
    <w:qFormat/>
    <w:uiPriority w:val="99"/>
    <w:rPr>
      <w:rFonts w:ascii="宋体" w:eastAsia="宋体" w:cs="宋体"/>
      <w:color w:val="000000"/>
      <w:sz w:val="14"/>
      <w:szCs w:val="14"/>
    </w:rPr>
  </w:style>
  <w:style w:type="character" w:customStyle="1" w:styleId="125">
    <w:name w:val="标题 2 Char"/>
    <w:qFormat/>
    <w:uiPriority w:val="0"/>
    <w:rPr>
      <w:rFonts w:ascii="Arial" w:hAnsi="Arial" w:eastAsia="黑体"/>
      <w:b/>
      <w:kern w:val="2"/>
      <w:sz w:val="32"/>
      <w:lang w:val="en-US" w:eastAsia="zh-CN"/>
    </w:rPr>
  </w:style>
  <w:style w:type="character" w:customStyle="1" w:styleId="126">
    <w:name w:val="Balloon Text Char"/>
    <w:semiHidden/>
    <w:qFormat/>
    <w:locked/>
    <w:uiPriority w:val="0"/>
    <w:rPr>
      <w:rFonts w:eastAsia="宋体"/>
      <w:kern w:val="2"/>
      <w:sz w:val="18"/>
      <w:szCs w:val="18"/>
      <w:lang w:val="en-US" w:eastAsia="zh-CN" w:bidi="ar-SA"/>
    </w:rPr>
  </w:style>
  <w:style w:type="character" w:customStyle="1" w:styleId="127">
    <w:name w:val="tw4winTerm"/>
    <w:qFormat/>
    <w:uiPriority w:val="0"/>
    <w:rPr>
      <w:color w:val="0000FF"/>
    </w:rPr>
  </w:style>
  <w:style w:type="character" w:customStyle="1" w:styleId="128">
    <w:name w:val="px14"/>
    <w:qFormat/>
    <w:uiPriority w:val="0"/>
    <w:rPr>
      <w:rFonts w:ascii="仿宋_GB2312" w:eastAsia="微软雅黑" w:cs="Times New Roman"/>
      <w:b/>
      <w:kern w:val="2"/>
      <w:sz w:val="32"/>
      <w:szCs w:val="32"/>
      <w:lang w:val="en-US" w:eastAsia="zh-CN" w:bidi="ar-SA"/>
    </w:rPr>
  </w:style>
  <w:style w:type="character" w:customStyle="1" w:styleId="12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30">
    <w:name w:val="副标题 Char1"/>
    <w:qFormat/>
    <w:uiPriority w:val="0"/>
    <w:rPr>
      <w:rFonts w:ascii="Cambria" w:hAnsi="Cambria" w:eastAsia="宋体" w:cs="Times New Roman"/>
      <w:b/>
      <w:bCs/>
      <w:snapToGrid w:val="0"/>
      <w:kern w:val="28"/>
      <w:sz w:val="32"/>
      <w:szCs w:val="32"/>
    </w:rPr>
  </w:style>
  <w:style w:type="character" w:customStyle="1" w:styleId="131">
    <w:name w:val="Header Char"/>
    <w:semiHidden/>
    <w:qFormat/>
    <w:locked/>
    <w:uiPriority w:val="0"/>
    <w:rPr>
      <w:rFonts w:eastAsia="宋体"/>
      <w:kern w:val="2"/>
      <w:sz w:val="18"/>
      <w:szCs w:val="18"/>
      <w:lang w:val="en-US" w:eastAsia="zh-CN" w:bidi="ar-SA"/>
    </w:rPr>
  </w:style>
  <w:style w:type="character" w:customStyle="1" w:styleId="132">
    <w:name w:val="tw4winExternal"/>
    <w:qFormat/>
    <w:uiPriority w:val="0"/>
    <w:rPr>
      <w:rFonts w:ascii="Courier New" w:hAnsi="Courier New" w:cs="Courier New"/>
      <w:color w:val="808080"/>
    </w:rPr>
  </w:style>
  <w:style w:type="character" w:customStyle="1" w:styleId="133">
    <w:name w:val="正文首行缩进两字 Char"/>
    <w:qFormat/>
    <w:uiPriority w:val="0"/>
    <w:rPr>
      <w:sz w:val="24"/>
      <w:szCs w:val="24"/>
      <w:lang w:val="en-US" w:eastAsia="zh-CN" w:bidi="ar-SA"/>
    </w:rPr>
  </w:style>
  <w:style w:type="character" w:customStyle="1" w:styleId="134">
    <w:name w:val="Comment Text Char"/>
    <w:semiHidden/>
    <w:qFormat/>
    <w:locked/>
    <w:uiPriority w:val="0"/>
    <w:rPr>
      <w:rFonts w:ascii="宋体" w:hAnsi="宋体" w:eastAsia="宋体"/>
      <w:kern w:val="2"/>
      <w:sz w:val="24"/>
      <w:lang w:val="en-US" w:eastAsia="zh-CN" w:bidi="ar-SA"/>
    </w:rPr>
  </w:style>
  <w:style w:type="character" w:customStyle="1" w:styleId="135">
    <w:name w:val="bookmark-item"/>
    <w:basedOn w:val="62"/>
    <w:qFormat/>
    <w:uiPriority w:val="0"/>
  </w:style>
  <w:style w:type="character" w:customStyle="1" w:styleId="136">
    <w:name w:val="hei16b1"/>
    <w:qFormat/>
    <w:uiPriority w:val="0"/>
    <w:rPr>
      <w:rFonts w:hint="default" w:ascii="Arial" w:hAnsi="Arial" w:cs="Arial"/>
      <w:b/>
      <w:bCs/>
      <w:color w:val="000000"/>
      <w:sz w:val="24"/>
      <w:szCs w:val="24"/>
    </w:rPr>
  </w:style>
  <w:style w:type="character" w:customStyle="1" w:styleId="137">
    <w:name w:val="正文2 Char"/>
    <w:qFormat/>
    <w:uiPriority w:val="0"/>
    <w:rPr>
      <w:rFonts w:eastAsia="宋体"/>
      <w:kern w:val="2"/>
      <w:sz w:val="24"/>
      <w:lang w:val="en-US" w:eastAsia="zh-CN" w:bidi="ar-SA"/>
    </w:rPr>
  </w:style>
  <w:style w:type="character" w:customStyle="1" w:styleId="138">
    <w:name w:val="h Char Char1"/>
    <w:qFormat/>
    <w:uiPriority w:val="0"/>
    <w:rPr>
      <w:rFonts w:eastAsia="宋体"/>
      <w:kern w:val="2"/>
      <w:sz w:val="18"/>
      <w:szCs w:val="18"/>
      <w:lang w:val="en-US" w:eastAsia="zh-CN" w:bidi="ar-SA"/>
    </w:rPr>
  </w:style>
  <w:style w:type="character" w:customStyle="1" w:styleId="139">
    <w:name w:val="正文 项目 Char"/>
    <w:qFormat/>
    <w:uiPriority w:val="0"/>
    <w:rPr>
      <w:rFonts w:ascii="仿宋_GB2312" w:hAnsi="仿宋_GB2312" w:eastAsia="仿宋_GB2312"/>
      <w:kern w:val="2"/>
      <w:sz w:val="24"/>
      <w:lang w:bidi="ar-SA"/>
    </w:rPr>
  </w:style>
  <w:style w:type="character" w:customStyle="1" w:styleId="140">
    <w:name w:val="正文 项目2 Char"/>
    <w:basedOn w:val="139"/>
    <w:qFormat/>
    <w:uiPriority w:val="0"/>
  </w:style>
  <w:style w:type="character" w:customStyle="1" w:styleId="141">
    <w:name w:val="插图说明 Char"/>
    <w:qFormat/>
    <w:uiPriority w:val="0"/>
    <w:rPr>
      <w:rFonts w:eastAsia="黑体"/>
      <w:sz w:val="24"/>
      <w:lang w:val="en-US" w:eastAsia="zh-CN"/>
    </w:rPr>
  </w:style>
  <w:style w:type="character" w:customStyle="1" w:styleId="142">
    <w:name w:val=" Char Char6"/>
    <w:qFormat/>
    <w:uiPriority w:val="0"/>
    <w:rPr>
      <w:rFonts w:eastAsia="宋体"/>
      <w:kern w:val="2"/>
      <w:sz w:val="21"/>
      <w:szCs w:val="24"/>
      <w:lang w:val="en-US" w:eastAsia="zh-CN" w:bidi="ar-SA"/>
    </w:rPr>
  </w:style>
  <w:style w:type="character" w:customStyle="1" w:styleId="143">
    <w:name w:val="标题4-dyf Char"/>
    <w:link w:val="144"/>
    <w:qFormat/>
    <w:uiPriority w:val="0"/>
    <w:rPr>
      <w:rFonts w:ascii="Cambria" w:hAnsi="Cambria"/>
      <w:b/>
      <w:bCs/>
      <w:color w:val="000000"/>
      <w:kern w:val="2"/>
      <w:sz w:val="21"/>
      <w:szCs w:val="21"/>
    </w:rPr>
  </w:style>
  <w:style w:type="paragraph" w:customStyle="1" w:styleId="144">
    <w:name w:val="标题4-dyf"/>
    <w:basedOn w:val="5"/>
    <w:link w:val="143"/>
    <w:qFormat/>
    <w:uiPriority w:val="0"/>
    <w:pPr>
      <w:numPr>
        <w:ilvl w:val="3"/>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45">
    <w:name w:val="Body Text(ch) Char Char"/>
    <w:qFormat/>
    <w:uiPriority w:val="0"/>
    <w:rPr>
      <w:rFonts w:ascii="宋体"/>
      <w:kern w:val="2"/>
      <w:sz w:val="24"/>
      <w:szCs w:val="21"/>
      <w:lang w:val="zh-CN"/>
    </w:rPr>
  </w:style>
  <w:style w:type="character" w:customStyle="1" w:styleId="146">
    <w:name w:val="gray6"/>
    <w:basedOn w:val="62"/>
    <w:qFormat/>
    <w:uiPriority w:val="0"/>
  </w:style>
  <w:style w:type="character" w:customStyle="1" w:styleId="147">
    <w:name w:val="blue1"/>
    <w:basedOn w:val="62"/>
    <w:qFormat/>
    <w:uiPriority w:val="0"/>
  </w:style>
  <w:style w:type="character" w:customStyle="1" w:styleId="148">
    <w:name w:val="纯文本 字符"/>
    <w:qFormat/>
    <w:uiPriority w:val="0"/>
    <w:rPr>
      <w:rFonts w:ascii="宋体" w:hAnsi="Courier New" w:eastAsia="宋体" w:cs="Arial"/>
      <w:snapToGrid/>
      <w:kern w:val="2"/>
      <w:sz w:val="21"/>
      <w:szCs w:val="21"/>
      <w:lang w:val="en-US" w:eastAsia="zh-CN" w:bidi="ar-SA"/>
    </w:rPr>
  </w:style>
  <w:style w:type="character" w:customStyle="1" w:styleId="149">
    <w:name w:val="页眉 Char1"/>
    <w:qFormat/>
    <w:uiPriority w:val="0"/>
    <w:rPr>
      <w:rFonts w:eastAsia="宋体"/>
      <w:kern w:val="2"/>
      <w:sz w:val="18"/>
      <w:szCs w:val="18"/>
      <w:lang w:val="en-US" w:eastAsia="zh-CN" w:bidi="ar-SA"/>
    </w:rPr>
  </w:style>
  <w:style w:type="character" w:customStyle="1" w:styleId="150">
    <w:name w:val="纯文本 Char Char Char"/>
    <w:qFormat/>
    <w:uiPriority w:val="0"/>
    <w:rPr>
      <w:rFonts w:ascii="宋体" w:hAnsi="Courier New" w:eastAsia="宋体"/>
      <w:kern w:val="2"/>
      <w:sz w:val="21"/>
      <w:lang w:val="en-US" w:eastAsia="zh-CN" w:bidi="ar-SA"/>
    </w:rPr>
  </w:style>
  <w:style w:type="character" w:customStyle="1" w:styleId="151">
    <w:name w:val="样式8 Char"/>
    <w:qFormat/>
    <w:uiPriority w:val="0"/>
    <w:rPr>
      <w:rFonts w:ascii="仿宋_GB2312" w:hAnsi="宋体" w:eastAsia="仿宋_GB2312"/>
      <w:b/>
      <w:bCs/>
      <w:kern w:val="2"/>
      <w:sz w:val="24"/>
      <w:szCs w:val="24"/>
    </w:rPr>
  </w:style>
  <w:style w:type="character" w:customStyle="1" w:styleId="152">
    <w:name w:val="content"/>
    <w:qFormat/>
    <w:uiPriority w:val="0"/>
  </w:style>
  <w:style w:type="character" w:customStyle="1" w:styleId="153">
    <w:name w:val="f141"/>
    <w:qFormat/>
    <w:uiPriority w:val="0"/>
    <w:rPr>
      <w:rFonts w:ascii="Tahoma" w:hAnsi="Tahoma" w:eastAsia="宋体"/>
      <w:b/>
      <w:kern w:val="2"/>
      <w:sz w:val="21"/>
      <w:szCs w:val="21"/>
      <w:lang w:val="en-US" w:eastAsia="zh-CN" w:bidi="ar-SA"/>
    </w:rPr>
  </w:style>
  <w:style w:type="character" w:customStyle="1" w:styleId="154">
    <w:name w:val="b11_01b Char"/>
    <w:link w:val="155"/>
    <w:qFormat/>
    <w:uiPriority w:val="0"/>
    <w:rPr>
      <w:rFonts w:ascii="Verdana" w:hAnsi="Verdana"/>
      <w:b/>
      <w:bCs/>
      <w:color w:val="4A82CA"/>
      <w:sz w:val="17"/>
      <w:szCs w:val="17"/>
    </w:rPr>
  </w:style>
  <w:style w:type="paragraph" w:customStyle="1" w:styleId="155">
    <w:name w:val="b11_01b"/>
    <w:basedOn w:val="1"/>
    <w:next w:val="1"/>
    <w:link w:val="154"/>
    <w:qFormat/>
    <w:uiPriority w:val="0"/>
    <w:pPr>
      <w:widowControl/>
      <w:adjustRightInd/>
      <w:spacing w:before="100" w:beforeLines="0" w:beforeAutospacing="1" w:after="100" w:afterLines="0" w:afterAutospacing="1" w:line="384" w:lineRule="auto"/>
      <w:jc w:val="left"/>
    </w:pPr>
    <w:rPr>
      <w:rFonts w:ascii="Verdana" w:hAnsi="Verdana"/>
      <w:b/>
      <w:bCs/>
      <w:color w:val="4A82CA"/>
      <w:kern w:val="0"/>
      <w:sz w:val="17"/>
      <w:szCs w:val="17"/>
    </w:rPr>
  </w:style>
  <w:style w:type="character" w:customStyle="1" w:styleId="156">
    <w:name w:val=" Char Char5"/>
    <w:qFormat/>
    <w:uiPriority w:val="0"/>
    <w:rPr>
      <w:rFonts w:ascii="宋体" w:hAnsi="Courier New" w:eastAsia="宋体"/>
      <w:kern w:val="2"/>
      <w:sz w:val="21"/>
      <w:lang w:val="en-US" w:eastAsia="zh-CN"/>
    </w:rPr>
  </w:style>
  <w:style w:type="character" w:customStyle="1" w:styleId="157">
    <w:name w:val="myp1111"/>
    <w:qFormat/>
    <w:uiPriority w:val="0"/>
    <w:rPr>
      <w:rFonts w:hint="default" w:ascii="ˎ̥" w:hAnsi="ˎ̥"/>
      <w:color w:val="000000"/>
      <w:sz w:val="20"/>
      <w:szCs w:val="20"/>
      <w:u w:val="none"/>
    </w:rPr>
  </w:style>
  <w:style w:type="character" w:customStyle="1" w:styleId="158">
    <w:name w:val="标书1 Char"/>
    <w:qFormat/>
    <w:uiPriority w:val="0"/>
    <w:rPr>
      <w:rFonts w:eastAsia="宋体"/>
      <w:b/>
      <w:bCs/>
      <w:kern w:val="44"/>
      <w:sz w:val="44"/>
      <w:szCs w:val="44"/>
      <w:lang w:val="en-US" w:eastAsia="zh-CN" w:bidi="ar-SA"/>
    </w:rPr>
  </w:style>
  <w:style w:type="character" w:customStyle="1" w:styleId="159">
    <w:name w:val="Heading 7 Char"/>
    <w:qFormat/>
    <w:locked/>
    <w:uiPriority w:val="0"/>
    <w:rPr>
      <w:rFonts w:ascii="宋体" w:hAnsi="宋体" w:eastAsia="宋体"/>
      <w:b/>
      <w:bCs/>
      <w:kern w:val="2"/>
      <w:sz w:val="24"/>
      <w:szCs w:val="24"/>
      <w:lang w:val="en-US" w:eastAsia="zh-CN" w:bidi="ar-SA"/>
    </w:rPr>
  </w:style>
  <w:style w:type="character" w:customStyle="1" w:styleId="160">
    <w:name w:val="普通文字 Char Char1"/>
    <w:qFormat/>
    <w:uiPriority w:val="0"/>
    <w:rPr>
      <w:rFonts w:ascii="宋体" w:hAnsi="Courier New"/>
      <w:kern w:val="2"/>
      <w:sz w:val="21"/>
    </w:rPr>
  </w:style>
  <w:style w:type="character" w:customStyle="1" w:styleId="161">
    <w:name w:val=" Char Char"/>
    <w:qFormat/>
    <w:uiPriority w:val="0"/>
    <w:rPr>
      <w:rFonts w:ascii="宋体" w:hAnsi="Courier New" w:eastAsia="宋体"/>
      <w:kern w:val="2"/>
      <w:sz w:val="21"/>
      <w:lang w:val="en-US" w:eastAsia="zh-CN" w:bidi="ar-SA"/>
    </w:rPr>
  </w:style>
  <w:style w:type="character" w:customStyle="1" w:styleId="162">
    <w:name w:val=" Char Char2"/>
    <w:qFormat/>
    <w:uiPriority w:val="0"/>
    <w:rPr>
      <w:rFonts w:eastAsia="宋体"/>
      <w:b/>
      <w:bCs/>
      <w:kern w:val="2"/>
      <w:sz w:val="21"/>
      <w:szCs w:val="24"/>
      <w:lang w:val="en-US" w:eastAsia="zh-CN" w:bidi="ar-SA"/>
    </w:rPr>
  </w:style>
  <w:style w:type="character" w:customStyle="1" w:styleId="163">
    <w:name w:val="普通文字 Char3"/>
    <w:qFormat/>
    <w:uiPriority w:val="0"/>
    <w:rPr>
      <w:rFonts w:ascii="宋体" w:hAnsi="Courier New" w:eastAsia="宋体"/>
      <w:kern w:val="2"/>
      <w:sz w:val="21"/>
      <w:lang w:val="en-US" w:eastAsia="zh-CN" w:bidi="ar-SA"/>
    </w:rPr>
  </w:style>
  <w:style w:type="character" w:customStyle="1" w:styleId="164">
    <w:name w:val="unnamed31"/>
    <w:qFormat/>
    <w:uiPriority w:val="0"/>
    <w:rPr>
      <w:rFonts w:ascii="Tahoma" w:hAnsi="Tahoma" w:eastAsia="宋体"/>
      <w:b/>
      <w:kern w:val="2"/>
      <w:sz w:val="24"/>
      <w:szCs w:val="32"/>
      <w:u w:val="none"/>
      <w:lang w:val="en-US" w:eastAsia="zh-CN" w:bidi="ar-SA"/>
    </w:rPr>
  </w:style>
  <w:style w:type="character" w:customStyle="1" w:styleId="165">
    <w:name w:val="标书正文格式 Char"/>
    <w:qFormat/>
    <w:uiPriority w:val="0"/>
    <w:rPr>
      <w:rFonts w:eastAsia="楷体_GB2312"/>
      <w:kern w:val="2"/>
      <w:sz w:val="24"/>
      <w:szCs w:val="24"/>
      <w:lang w:bidi="ar-SA"/>
    </w:rPr>
  </w:style>
  <w:style w:type="character" w:customStyle="1" w:styleId="16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67">
    <w:name w:val="页眉 Char"/>
    <w:qFormat/>
    <w:uiPriority w:val="99"/>
    <w:rPr>
      <w:rFonts w:eastAsia="仿宋_GB2312"/>
      <w:kern w:val="2"/>
      <w:sz w:val="18"/>
      <w:lang w:val="en-US" w:eastAsia="zh-CN"/>
    </w:rPr>
  </w:style>
  <w:style w:type="character" w:customStyle="1" w:styleId="168">
    <w:name w:val="纯文本 Char1"/>
    <w:link w:val="169"/>
    <w:qFormat/>
    <w:uiPriority w:val="0"/>
    <w:rPr>
      <w:rFonts w:ascii="宋体" w:hAnsi="Courier New"/>
    </w:rPr>
  </w:style>
  <w:style w:type="paragraph" w:customStyle="1" w:styleId="169">
    <w:name w:val="纯文本1"/>
    <w:basedOn w:val="1"/>
    <w:link w:val="168"/>
    <w:qFormat/>
    <w:uiPriority w:val="0"/>
    <w:pPr>
      <w:adjustRightInd/>
    </w:pPr>
    <w:rPr>
      <w:rFonts w:ascii="宋体" w:hAnsi="Courier New"/>
      <w:kern w:val="0"/>
      <w:sz w:val="20"/>
      <w:szCs w:val="20"/>
    </w:rPr>
  </w:style>
  <w:style w:type="character" w:customStyle="1" w:styleId="170">
    <w:name w:val="带编号样式 Char"/>
    <w:qFormat/>
    <w:uiPriority w:val="0"/>
    <w:rPr>
      <w:rFonts w:ascii="仿宋_GB2312" w:eastAsia="仿宋_GB2312"/>
      <w:color w:val="000000"/>
      <w:sz w:val="24"/>
      <w:lang w:bidi="ar-SA"/>
    </w:rPr>
  </w:style>
  <w:style w:type="character" w:customStyle="1" w:styleId="171">
    <w:name w:val="ca-131"/>
    <w:qFormat/>
    <w:uiPriority w:val="0"/>
    <w:rPr>
      <w:rFonts w:hint="eastAsia" w:ascii="仿宋_GB2312" w:eastAsia="仿宋_GB2312"/>
      <w:b/>
      <w:bCs/>
      <w:color w:val="000000"/>
      <w:spacing w:val="-20"/>
      <w:sz w:val="24"/>
      <w:szCs w:val="24"/>
    </w:rPr>
  </w:style>
  <w:style w:type="character" w:customStyle="1" w:styleId="172">
    <w:name w:val="正文首行缩进 Char Char Char Char Char Char"/>
    <w:qFormat/>
    <w:uiPriority w:val="0"/>
    <w:rPr>
      <w:rFonts w:ascii="宋体" w:eastAsia="宋体"/>
      <w:kern w:val="2"/>
      <w:sz w:val="24"/>
      <w:lang w:val="zh-CN" w:bidi="ar-SA"/>
    </w:rPr>
  </w:style>
  <w:style w:type="character" w:customStyle="1" w:styleId="173">
    <w:name w:val=" Char Char12"/>
    <w:qFormat/>
    <w:uiPriority w:val="0"/>
    <w:rPr>
      <w:rFonts w:ascii="仿宋_GB2312" w:eastAsia="仿宋_GB2312"/>
      <w:b/>
      <w:bCs/>
      <w:kern w:val="2"/>
      <w:sz w:val="24"/>
      <w:szCs w:val="24"/>
      <w:lang w:val="zh-CN" w:eastAsia="zh-CN" w:bidi="ar-SA"/>
    </w:rPr>
  </w:style>
  <w:style w:type="character" w:customStyle="1" w:styleId="174">
    <w:name w:val="标题 2 Char Char"/>
    <w:qFormat/>
    <w:uiPriority w:val="0"/>
    <w:rPr>
      <w:rFonts w:ascii="楷体_GB2312" w:hAnsi="Arial" w:eastAsia="楷体_GB2312"/>
      <w:b/>
      <w:bCs/>
      <w:kern w:val="2"/>
      <w:sz w:val="24"/>
      <w:szCs w:val="32"/>
      <w:lang w:val="en-US" w:eastAsia="zh-CN" w:bidi="ar-SA"/>
    </w:rPr>
  </w:style>
  <w:style w:type="character" w:customStyle="1" w:styleId="175">
    <w:name w:val="tw4winError"/>
    <w:qFormat/>
    <w:uiPriority w:val="0"/>
    <w:rPr>
      <w:rFonts w:ascii="Courier New" w:hAnsi="Courier New" w:cs="Courier New"/>
      <w:color w:val="00FF00"/>
      <w:sz w:val="40"/>
      <w:szCs w:val="40"/>
    </w:rPr>
  </w:style>
  <w:style w:type="character" w:customStyle="1" w:styleId="176">
    <w:name w:val="Char Char4"/>
    <w:qFormat/>
    <w:uiPriority w:val="0"/>
    <w:rPr>
      <w:rFonts w:eastAsia="宋体"/>
      <w:b/>
      <w:sz w:val="24"/>
      <w:lang w:val="en-GB" w:eastAsia="zh-CN" w:bidi="ar-SA"/>
    </w:rPr>
  </w:style>
  <w:style w:type="character" w:customStyle="1" w:styleId="177">
    <w:name w:val=" Char Char10"/>
    <w:semiHidden/>
    <w:qFormat/>
    <w:uiPriority w:val="0"/>
    <w:rPr>
      <w:rFonts w:ascii="宋体" w:hAnsi="宋体"/>
      <w:kern w:val="2"/>
      <w:sz w:val="21"/>
      <w:szCs w:val="24"/>
    </w:rPr>
  </w:style>
  <w:style w:type="character" w:customStyle="1" w:styleId="178">
    <w:name w:val="Ò³Ã¼ Char Char"/>
    <w:qFormat/>
    <w:uiPriority w:val="0"/>
    <w:rPr>
      <w:rFonts w:eastAsia="宋体"/>
      <w:kern w:val="2"/>
      <w:sz w:val="18"/>
      <w:lang w:val="en-US" w:eastAsia="zh-CN" w:bidi="ar-SA"/>
    </w:rPr>
  </w:style>
  <w:style w:type="character" w:customStyle="1" w:styleId="179">
    <w:name w:val="页脚 Char1"/>
    <w:qFormat/>
    <w:uiPriority w:val="0"/>
    <w:rPr>
      <w:rFonts w:eastAsia="宋体"/>
      <w:kern w:val="2"/>
      <w:sz w:val="18"/>
      <w:szCs w:val="18"/>
      <w:lang w:val="en-US" w:eastAsia="zh-CN" w:bidi="ar-SA"/>
    </w:rPr>
  </w:style>
  <w:style w:type="character" w:customStyle="1" w:styleId="180">
    <w:name w:val="c7 style3"/>
    <w:qFormat/>
    <w:uiPriority w:val="0"/>
  </w:style>
  <w:style w:type="character" w:customStyle="1" w:styleId="181">
    <w:name w:val="标准正文格式 Char"/>
    <w:qFormat/>
    <w:uiPriority w:val="0"/>
    <w:rPr>
      <w:rFonts w:ascii="宋体" w:eastAsia="仿宋_GB2312" w:cs="宋体"/>
      <w:color w:val="000000"/>
      <w:sz w:val="24"/>
      <w:lang w:val="en-US" w:eastAsia="zh-CN" w:bidi="ar-SA"/>
    </w:rPr>
  </w:style>
  <w:style w:type="character" w:customStyle="1" w:styleId="182">
    <w:name w:val="javascript"/>
    <w:qFormat/>
    <w:uiPriority w:val="0"/>
  </w:style>
  <w:style w:type="character" w:customStyle="1" w:styleId="183">
    <w:name w:val="Char Char11"/>
    <w:qFormat/>
    <w:locked/>
    <w:uiPriority w:val="0"/>
    <w:rPr>
      <w:rFonts w:ascii="宋体" w:hAnsi="宋体" w:eastAsia="宋体"/>
      <w:b/>
      <w:kern w:val="2"/>
      <w:sz w:val="24"/>
      <w:szCs w:val="24"/>
      <w:lang w:val="en-US" w:eastAsia="zh-CN" w:bidi="ar-SA"/>
    </w:rPr>
  </w:style>
  <w:style w:type="character" w:customStyle="1" w:styleId="184">
    <w:name w:val="Char Char5"/>
    <w:qFormat/>
    <w:uiPriority w:val="0"/>
    <w:rPr>
      <w:rFonts w:ascii="宋体" w:hAnsi="Courier New" w:eastAsia="宋体"/>
      <w:kern w:val="2"/>
      <w:sz w:val="21"/>
      <w:lang w:val="en-US" w:eastAsia="zh-CN"/>
    </w:rPr>
  </w:style>
  <w:style w:type="character" w:customStyle="1" w:styleId="185">
    <w:name w:val="标题 3 Char2"/>
    <w:qFormat/>
    <w:uiPriority w:val="0"/>
    <w:rPr>
      <w:rFonts w:eastAsia="宋体"/>
      <w:b/>
      <w:bCs/>
      <w:kern w:val="2"/>
      <w:sz w:val="32"/>
      <w:szCs w:val="32"/>
      <w:lang w:val="en-US" w:eastAsia="zh-CN" w:bidi="ar-SA"/>
    </w:rPr>
  </w:style>
  <w:style w:type="character" w:customStyle="1" w:styleId="186">
    <w:name w:val="h Char Char"/>
    <w:qFormat/>
    <w:uiPriority w:val="0"/>
    <w:rPr>
      <w:rFonts w:eastAsia="宋体"/>
      <w:kern w:val="2"/>
      <w:sz w:val="18"/>
      <w:lang w:val="en-US" w:eastAsia="zh-CN" w:bidi="ar-SA"/>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Bold"/>
    <w:qFormat/>
    <w:uiPriority w:val="0"/>
    <w:rPr>
      <w:rFonts w:ascii="Arial" w:hAnsi="Arial" w:eastAsia="黑体" w:cs="Times New Roman"/>
      <w:b/>
      <w:kern w:val="2"/>
      <w:sz w:val="32"/>
      <w:szCs w:val="32"/>
      <w:lang w:val="en-US" w:eastAsia="zh-CN" w:bidi="ar-SA"/>
    </w:rPr>
  </w:style>
  <w:style w:type="character" w:customStyle="1" w:styleId="189">
    <w:name w:val=" Char Char3"/>
    <w:qFormat/>
    <w:uiPriority w:val="0"/>
    <w:rPr>
      <w:rFonts w:eastAsia="宋体"/>
      <w:kern w:val="2"/>
      <w:sz w:val="21"/>
      <w:szCs w:val="24"/>
      <w:lang w:val="en-US" w:eastAsia="zh-CN" w:bidi="ar-SA"/>
    </w:rPr>
  </w:style>
  <w:style w:type="character" w:customStyle="1" w:styleId="190">
    <w:name w:val="正文文本缩进 字符"/>
    <w:qFormat/>
    <w:uiPriority w:val="0"/>
    <w:rPr>
      <w:rFonts w:ascii="宋体" w:hAnsi="宋体"/>
      <w:kern w:val="2"/>
      <w:sz w:val="24"/>
      <w:szCs w:val="24"/>
    </w:rPr>
  </w:style>
  <w:style w:type="character" w:customStyle="1" w:styleId="191">
    <w:name w:val="No Spacing Char"/>
    <w:link w:val="192"/>
    <w:qFormat/>
    <w:uiPriority w:val="1"/>
    <w:rPr>
      <w:rFonts w:ascii="Calibri" w:hAnsi="Calibri"/>
      <w:sz w:val="22"/>
      <w:szCs w:val="22"/>
      <w:lang w:val="en-US" w:eastAsia="zh-CN" w:bidi="ar-SA"/>
    </w:rPr>
  </w:style>
  <w:style w:type="paragraph" w:customStyle="1" w:styleId="192">
    <w:name w:val="无间隔1"/>
    <w:link w:val="191"/>
    <w:qFormat/>
    <w:uiPriority w:val="1"/>
    <w:rPr>
      <w:rFonts w:ascii="Calibri" w:hAnsi="Calibri" w:eastAsia="宋体" w:cs="Times New Roman"/>
      <w:sz w:val="22"/>
      <w:szCs w:val="22"/>
      <w:lang w:val="en-US" w:eastAsia="zh-CN" w:bidi="ar-SA"/>
    </w:rPr>
  </w:style>
  <w:style w:type="character" w:customStyle="1" w:styleId="193">
    <w:name w:val="h3 Char"/>
    <w:qFormat/>
    <w:uiPriority w:val="0"/>
    <w:rPr>
      <w:rFonts w:eastAsia="宋体"/>
      <w:b/>
      <w:kern w:val="2"/>
      <w:sz w:val="32"/>
      <w:lang w:val="en-US" w:eastAsia="zh-CN" w:bidi="ar-SA"/>
    </w:rPr>
  </w:style>
  <w:style w:type="character" w:customStyle="1" w:styleId="194">
    <w:name w:val=" Char Char8"/>
    <w:qFormat/>
    <w:uiPriority w:val="0"/>
    <w:rPr>
      <w:rFonts w:eastAsia="宋体"/>
      <w:b/>
      <w:sz w:val="24"/>
      <w:lang w:val="en-GB" w:eastAsia="zh-CN"/>
    </w:rPr>
  </w:style>
  <w:style w:type="character" w:customStyle="1" w:styleId="195">
    <w:name w:val="批注文字 Char"/>
    <w:qFormat/>
    <w:uiPriority w:val="99"/>
    <w:rPr>
      <w:kern w:val="2"/>
      <w:sz w:val="21"/>
      <w:szCs w:val="24"/>
    </w:rPr>
  </w:style>
  <w:style w:type="character" w:customStyle="1" w:styleId="196">
    <w:name w:val="highlight1"/>
    <w:qFormat/>
    <w:uiPriority w:val="0"/>
    <w:rPr>
      <w:rFonts w:ascii="仿宋_GB2312" w:eastAsia="微软雅黑"/>
      <w:b/>
      <w:kern w:val="2"/>
      <w:sz w:val="23"/>
      <w:szCs w:val="23"/>
      <w:lang w:val="en-US" w:eastAsia="zh-CN" w:bidi="ar-SA"/>
    </w:rPr>
  </w:style>
  <w:style w:type="character" w:customStyle="1" w:styleId="197">
    <w:name w:val="style91"/>
    <w:qFormat/>
    <w:uiPriority w:val="0"/>
    <w:rPr>
      <w:color w:val="333333"/>
    </w:rPr>
  </w:style>
  <w:style w:type="character" w:customStyle="1" w:styleId="198">
    <w:name w:val="正文文本 2 Char"/>
    <w:qFormat/>
    <w:uiPriority w:val="0"/>
    <w:rPr>
      <w:rFonts w:eastAsia="宋体"/>
      <w:kern w:val="2"/>
      <w:sz w:val="21"/>
      <w:szCs w:val="24"/>
      <w:lang w:val="en-US" w:eastAsia="zh-CN" w:bidi="ar-SA"/>
    </w:rPr>
  </w:style>
  <w:style w:type="character" w:customStyle="1" w:styleId="199">
    <w:name w:val="mdeck"/>
    <w:qFormat/>
    <w:uiPriority w:val="0"/>
    <w:rPr>
      <w:rFonts w:ascii="仿宋_GB2312" w:eastAsia="微软雅黑"/>
      <w:b/>
      <w:kern w:val="2"/>
      <w:sz w:val="32"/>
      <w:szCs w:val="32"/>
      <w:lang w:val="en-US" w:eastAsia="zh-CN" w:bidi="ar-SA"/>
    </w:rPr>
  </w:style>
  <w:style w:type="character" w:customStyle="1" w:styleId="200">
    <w:name w:val="哈哈正文 Char"/>
    <w:link w:val="201"/>
    <w:qFormat/>
    <w:uiPriority w:val="0"/>
    <w:rPr>
      <w:rFonts w:ascii="宋体" w:hAnsi="宋体" w:eastAsia="宋体"/>
      <w:kern w:val="2"/>
      <w:sz w:val="24"/>
      <w:lang w:bidi="ar-SA"/>
    </w:rPr>
  </w:style>
  <w:style w:type="paragraph" w:customStyle="1" w:styleId="201">
    <w:name w:val="哈哈正文"/>
    <w:basedOn w:val="1"/>
    <w:link w:val="200"/>
    <w:qFormat/>
    <w:uiPriority w:val="0"/>
    <w:pPr>
      <w:adjustRightInd/>
      <w:spacing w:line="360" w:lineRule="auto"/>
      <w:ind w:firstLine="200" w:firstLineChars="200"/>
    </w:pPr>
    <w:rPr>
      <w:rFonts w:ascii="宋体" w:hAnsi="宋体"/>
      <w:sz w:val="24"/>
      <w:szCs w:val="20"/>
    </w:rPr>
  </w:style>
  <w:style w:type="character" w:customStyle="1" w:styleId="202">
    <w:name w:val="Char Char8"/>
    <w:qFormat/>
    <w:uiPriority w:val="0"/>
    <w:rPr>
      <w:rFonts w:eastAsia="宋体"/>
      <w:b/>
      <w:sz w:val="24"/>
      <w:lang w:val="en-GB" w:eastAsia="zh-CN"/>
    </w:rPr>
  </w:style>
  <w:style w:type="character" w:customStyle="1" w:styleId="203">
    <w:name w:val="此正文 Char"/>
    <w:link w:val="204"/>
    <w:qFormat/>
    <w:uiPriority w:val="0"/>
    <w:rPr>
      <w:kern w:val="2"/>
      <w:sz w:val="24"/>
      <w:szCs w:val="24"/>
    </w:rPr>
  </w:style>
  <w:style w:type="paragraph" w:customStyle="1" w:styleId="204">
    <w:name w:val="此正文"/>
    <w:basedOn w:val="1"/>
    <w:link w:val="203"/>
    <w:qFormat/>
    <w:uiPriority w:val="0"/>
    <w:pPr>
      <w:adjustRightInd/>
      <w:spacing w:line="360" w:lineRule="auto"/>
      <w:ind w:firstLine="200" w:firstLineChars="200"/>
    </w:pPr>
    <w:rPr>
      <w:sz w:val="24"/>
    </w:rPr>
  </w:style>
  <w:style w:type="character" w:customStyle="1" w:styleId="205">
    <w:name w:val="批注主题 Char"/>
    <w:qFormat/>
    <w:uiPriority w:val="0"/>
    <w:rPr>
      <w:rFonts w:eastAsia="宋体"/>
      <w:b/>
      <w:bCs/>
      <w:kern w:val="2"/>
      <w:sz w:val="21"/>
      <w:szCs w:val="24"/>
      <w:lang w:val="en-US" w:eastAsia="zh-CN" w:bidi="ar-SA"/>
    </w:rPr>
  </w:style>
  <w:style w:type="character" w:customStyle="1" w:styleId="206">
    <w:name w:val="Footer-Even Char"/>
    <w:qFormat/>
    <w:uiPriority w:val="0"/>
    <w:rPr>
      <w:rFonts w:eastAsia="宋体"/>
      <w:kern w:val="2"/>
      <w:sz w:val="18"/>
      <w:lang w:val="en-US" w:eastAsia="zh-CN" w:bidi="ar-SA"/>
    </w:rPr>
  </w:style>
  <w:style w:type="character" w:customStyle="1" w:styleId="207">
    <w:name w:val="普通文字 Char1 Char"/>
    <w:qFormat/>
    <w:uiPriority w:val="0"/>
    <w:rPr>
      <w:rFonts w:ascii="宋体" w:hAnsi="Courier New" w:eastAsia="宋体"/>
      <w:kern w:val="2"/>
      <w:sz w:val="21"/>
      <w:szCs w:val="24"/>
      <w:lang w:val="en-US" w:eastAsia="zh-CN" w:bidi="ar-SA"/>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Used by Word for text of Help footnotes Char Char"/>
    <w:semiHidden/>
    <w:qFormat/>
    <w:uiPriority w:val="0"/>
    <w:rPr>
      <w:rFonts w:ascii="Times New Roman" w:hAnsi="Times New Roman" w:eastAsia="宋体" w:cs="Times New Roman"/>
      <w:sz w:val="20"/>
      <w:szCs w:val="20"/>
    </w:rPr>
  </w:style>
  <w:style w:type="character" w:customStyle="1" w:styleId="210">
    <w:name w:val="Document Map Char"/>
    <w:semiHidden/>
    <w:qFormat/>
    <w:locked/>
    <w:uiPriority w:val="0"/>
    <w:rPr>
      <w:rFonts w:eastAsia="宋体"/>
      <w:kern w:val="2"/>
      <w:sz w:val="21"/>
      <w:szCs w:val="24"/>
      <w:lang w:val="en-US" w:eastAsia="zh-CN" w:bidi="ar-SA"/>
    </w:rPr>
  </w:style>
  <w:style w:type="character" w:customStyle="1" w:styleId="211">
    <w:name w:val="正文文本缩进 Char"/>
    <w:qFormat/>
    <w:uiPriority w:val="0"/>
    <w:rPr>
      <w:rFonts w:ascii="宋体" w:hAnsi="宋体"/>
      <w:kern w:val="2"/>
      <w:sz w:val="24"/>
      <w:szCs w:val="24"/>
    </w:rPr>
  </w:style>
  <w:style w:type="character" w:customStyle="1" w:styleId="212">
    <w:name w:val="文本正文 Char Char"/>
    <w:qFormat/>
    <w:locked/>
    <w:uiPriority w:val="0"/>
    <w:rPr>
      <w:sz w:val="24"/>
      <w:lang w:bidi="ar-SA"/>
    </w:rPr>
  </w:style>
  <w:style w:type="character" w:customStyle="1" w:styleId="213">
    <w:name w:val="Char Char3"/>
    <w:semiHidden/>
    <w:qFormat/>
    <w:uiPriority w:val="0"/>
    <w:rPr>
      <w:rFonts w:ascii="Times New Roman" w:hAnsi="Times New Roman" w:eastAsia="宋体" w:cs="Times New Roman"/>
      <w:b/>
      <w:kern w:val="2"/>
      <w:sz w:val="32"/>
      <w:szCs w:val="24"/>
      <w:lang w:val="en-US" w:eastAsia="zh-CN" w:bidi="ar-SA"/>
    </w:rPr>
  </w:style>
  <w:style w:type="character" w:customStyle="1" w:styleId="214">
    <w:name w:val="样式7 Char"/>
    <w:qFormat/>
    <w:uiPriority w:val="0"/>
    <w:rPr>
      <w:rFonts w:ascii="仿宋_GB2312" w:hAnsi="仿宋" w:eastAsia="仿宋_GB2312"/>
      <w:b/>
      <w:kern w:val="2"/>
      <w:sz w:val="24"/>
      <w:szCs w:val="24"/>
    </w:rPr>
  </w:style>
  <w:style w:type="character" w:customStyle="1" w:styleId="215">
    <w:name w:val="表正文 Char"/>
    <w:qFormat/>
    <w:uiPriority w:val="0"/>
    <w:rPr>
      <w:rFonts w:ascii="宋体" w:eastAsia="宋体"/>
      <w:snapToGrid w:val="0"/>
      <w:color w:val="000000"/>
      <w:kern w:val="28"/>
      <w:sz w:val="28"/>
      <w:lang w:val="en-US" w:eastAsia="zh-CN" w:bidi="ar-SA"/>
    </w:rPr>
  </w:style>
  <w:style w:type="character" w:customStyle="1" w:styleId="216">
    <w:name w:val="样式3 Char"/>
    <w:basedOn w:val="217"/>
    <w:qFormat/>
    <w:uiPriority w:val="0"/>
  </w:style>
  <w:style w:type="character" w:customStyle="1" w:styleId="217">
    <w:name w:val="样式2 Char"/>
    <w:qFormat/>
    <w:uiPriority w:val="0"/>
    <w:rPr>
      <w:rFonts w:ascii="仿宋_GB2312" w:hAnsi="仿宋" w:eastAsia="仿宋_GB2312" w:cs="仿宋_GB2312"/>
      <w:b/>
      <w:bCs/>
      <w:sz w:val="32"/>
      <w:szCs w:val="30"/>
      <w:lang w:val="zh-CN"/>
    </w:rPr>
  </w:style>
  <w:style w:type="character" w:customStyle="1" w:styleId="218">
    <w:name w:val="pt9"/>
    <w:qFormat/>
    <w:uiPriority w:val="0"/>
    <w:rPr>
      <w:rFonts w:ascii="仿宋_GB2312" w:eastAsia="微软雅黑"/>
      <w:b/>
      <w:kern w:val="2"/>
      <w:sz w:val="32"/>
      <w:szCs w:val="32"/>
      <w:lang w:val="en-US" w:eastAsia="zh-CN" w:bidi="ar-SA"/>
    </w:rPr>
  </w:style>
  <w:style w:type="character" w:customStyle="1" w:styleId="219">
    <w:name w:val="冯广丽 Char"/>
    <w:link w:val="220"/>
    <w:qFormat/>
    <w:uiPriority w:val="0"/>
    <w:rPr>
      <w:rFonts w:ascii="宋体" w:hAnsi="宋体"/>
      <w:kern w:val="2"/>
      <w:sz w:val="24"/>
      <w:szCs w:val="22"/>
    </w:rPr>
  </w:style>
  <w:style w:type="paragraph" w:customStyle="1" w:styleId="220">
    <w:name w:val="冯广丽"/>
    <w:basedOn w:val="1"/>
    <w:link w:val="219"/>
    <w:qFormat/>
    <w:uiPriority w:val="0"/>
    <w:pPr>
      <w:adjustRightInd/>
      <w:spacing w:line="360" w:lineRule="auto"/>
      <w:ind w:firstLine="480" w:firstLineChars="200"/>
    </w:pPr>
    <w:rPr>
      <w:rFonts w:ascii="宋体" w:hAnsi="宋体"/>
      <w:sz w:val="24"/>
      <w:szCs w:val="22"/>
    </w:rPr>
  </w:style>
  <w:style w:type="character" w:customStyle="1" w:styleId="221">
    <w:name w:val="二级标题 Char Char"/>
    <w:qFormat/>
    <w:uiPriority w:val="0"/>
    <w:rPr>
      <w:rFonts w:ascii="宋体" w:hAnsi="宋体" w:eastAsia="宋体"/>
      <w:b/>
      <w:snapToGrid w:val="0"/>
      <w:kern w:val="2"/>
      <w:sz w:val="24"/>
      <w:szCs w:val="24"/>
      <w:lang w:val="en-US" w:eastAsia="zh-CN" w:bidi="ar-SA"/>
    </w:rPr>
  </w:style>
  <w:style w:type="character" w:customStyle="1" w:styleId="222">
    <w:name w:val="表正文 Char1"/>
    <w:qFormat/>
    <w:uiPriority w:val="0"/>
    <w:rPr>
      <w:rFonts w:ascii="宋体" w:eastAsia="宋体"/>
      <w:snapToGrid w:val="0"/>
      <w:color w:val="000000"/>
      <w:kern w:val="28"/>
      <w:sz w:val="28"/>
    </w:rPr>
  </w:style>
  <w:style w:type="character" w:customStyle="1" w:styleId="223">
    <w:name w:val="Table Text Char1"/>
    <w:qFormat/>
    <w:uiPriority w:val="0"/>
    <w:rPr>
      <w:rFonts w:eastAsia="宋体"/>
      <w:sz w:val="24"/>
      <w:szCs w:val="24"/>
      <w:lang w:val="en-US" w:eastAsia="zh-CN" w:bidi="ar-SA"/>
    </w:rPr>
  </w:style>
  <w:style w:type="character" w:customStyle="1" w:styleId="224">
    <w:name w:val="正文非缩进 Char"/>
    <w:qFormat/>
    <w:uiPriority w:val="0"/>
    <w:rPr>
      <w:rFonts w:ascii="宋体" w:eastAsia="宋体"/>
      <w:snapToGrid w:val="0"/>
      <w:color w:val="000000"/>
      <w:kern w:val="28"/>
      <w:sz w:val="28"/>
      <w:lang w:val="en-US" w:eastAsia="zh-CN" w:bidi="ar-SA"/>
    </w:rPr>
  </w:style>
  <w:style w:type="character" w:customStyle="1" w:styleId="225">
    <w:name w:val="shadow11"/>
    <w:qFormat/>
    <w:uiPriority w:val="0"/>
    <w:rPr>
      <w:color w:val="000000"/>
      <w:sz w:val="21"/>
    </w:rPr>
  </w:style>
  <w:style w:type="character" w:customStyle="1" w:styleId="226">
    <w:name w:val="large1"/>
    <w:qFormat/>
    <w:uiPriority w:val="0"/>
    <w:rPr>
      <w:rFonts w:hint="eastAsia" w:ascii="宋体" w:hAnsi="宋体" w:eastAsia="宋体"/>
      <w:sz w:val="21"/>
      <w:szCs w:val="21"/>
    </w:rPr>
  </w:style>
  <w:style w:type="character" w:customStyle="1" w:styleId="227">
    <w:name w:val="样式 样式 标题 4h4H4Fab-4T5Ref Heading 1rh1Heading sqlsect 1.2.3.... +... Char"/>
    <w:link w:val="228"/>
    <w:qFormat/>
    <w:uiPriority w:val="0"/>
    <w:rPr>
      <w:rFonts w:ascii="微软雅黑" w:hAnsi="微软雅黑" w:eastAsia="微软雅黑"/>
      <w:b/>
      <w:bCs/>
      <w:kern w:val="2"/>
      <w:sz w:val="24"/>
      <w:szCs w:val="28"/>
    </w:rPr>
  </w:style>
  <w:style w:type="paragraph" w:customStyle="1" w:styleId="228">
    <w:name w:val="样式 样式 标题 4h4H4Fab-4T5Ref Heading 1rh1Heading sqlsect 1.2.3.... +..."/>
    <w:basedOn w:val="107"/>
    <w:link w:val="227"/>
    <w:qFormat/>
    <w:uiPriority w:val="0"/>
  </w:style>
  <w:style w:type="character" w:customStyle="1" w:styleId="229">
    <w:name w:val="Char Char2"/>
    <w:qFormat/>
    <w:uiPriority w:val="0"/>
    <w:rPr>
      <w:rFonts w:eastAsia="宋体"/>
      <w:b/>
      <w:bCs/>
      <w:kern w:val="2"/>
      <w:sz w:val="21"/>
      <w:szCs w:val="24"/>
      <w:lang w:val="en-US" w:eastAsia="zh-CN" w:bidi="ar-SA"/>
    </w:rPr>
  </w:style>
  <w:style w:type="character" w:customStyle="1" w:styleId="230">
    <w:name w:val="标题 1 Char Char"/>
    <w:qFormat/>
    <w:uiPriority w:val="0"/>
    <w:rPr>
      <w:rFonts w:hint="eastAsia" w:ascii="宋体" w:hAnsi="宋体" w:eastAsia="宋体"/>
      <w:b/>
      <w:spacing w:val="-2"/>
      <w:sz w:val="24"/>
      <w:lang w:val="en-US" w:eastAsia="zh-CN" w:bidi="ar-SA"/>
    </w:rPr>
  </w:style>
  <w:style w:type="character" w:customStyle="1" w:styleId="231">
    <w:name w:val="标题 4 Char1"/>
    <w:semiHidden/>
    <w:qFormat/>
    <w:uiPriority w:val="9"/>
    <w:rPr>
      <w:rFonts w:ascii="Cambria" w:hAnsi="Cambria" w:eastAsia="宋体" w:cs="Times New Roman"/>
      <w:b/>
      <w:bCs/>
      <w:kern w:val="2"/>
      <w:sz w:val="28"/>
      <w:szCs w:val="28"/>
    </w:rPr>
  </w:style>
  <w:style w:type="character" w:customStyle="1" w:styleId="232">
    <w:name w:val="h3 Char1"/>
    <w:qFormat/>
    <w:uiPriority w:val="0"/>
    <w:rPr>
      <w:rFonts w:eastAsia="宋体"/>
      <w:b/>
      <w:bCs/>
      <w:kern w:val="2"/>
      <w:sz w:val="32"/>
      <w:szCs w:val="32"/>
      <w:lang w:bidi="ar-SA"/>
    </w:rPr>
  </w:style>
  <w:style w:type="character" w:customStyle="1" w:styleId="233">
    <w:name w:val="正文2 Char Char"/>
    <w:link w:val="234"/>
    <w:qFormat/>
    <w:uiPriority w:val="0"/>
    <w:rPr>
      <w:rFonts w:eastAsia="宋体"/>
      <w:kern w:val="2"/>
      <w:sz w:val="24"/>
      <w:lang w:val="en-US" w:eastAsia="zh-CN" w:bidi="ar-SA"/>
    </w:rPr>
  </w:style>
  <w:style w:type="paragraph" w:customStyle="1" w:styleId="234">
    <w:name w:val="正文2"/>
    <w:basedOn w:val="1"/>
    <w:link w:val="233"/>
    <w:qFormat/>
    <w:uiPriority w:val="0"/>
    <w:pPr>
      <w:spacing w:before="156" w:beforeLines="0" w:line="360" w:lineRule="auto"/>
      <w:ind w:firstLine="510" w:firstLineChars="200"/>
    </w:pPr>
    <w:rPr>
      <w:sz w:val="24"/>
      <w:szCs w:val="20"/>
    </w:rPr>
  </w:style>
  <w:style w:type="character" w:customStyle="1" w:styleId="235">
    <w:name w:val="FA正文 Char Char"/>
    <w:qFormat/>
    <w:uiPriority w:val="0"/>
    <w:rPr>
      <w:rFonts w:hAnsi="宋体"/>
      <w:kern w:val="2"/>
      <w:sz w:val="24"/>
      <w:lang w:bidi="ar-SA"/>
    </w:rPr>
  </w:style>
  <w:style w:type="character" w:customStyle="1" w:styleId="236">
    <w:name w:val="zbggmain style9"/>
    <w:qFormat/>
    <w:uiPriority w:val="0"/>
  </w:style>
  <w:style w:type="character" w:customStyle="1" w:styleId="237">
    <w:name w:val="首行缩进 Char"/>
    <w:qFormat/>
    <w:uiPriority w:val="0"/>
    <w:rPr>
      <w:rFonts w:ascii="宋体" w:eastAsia="宋体"/>
      <w:kern w:val="2"/>
      <w:sz w:val="24"/>
      <w:lang w:val="en-US" w:eastAsia="zh-CN" w:bidi="ar-SA"/>
    </w:rPr>
  </w:style>
  <w:style w:type="character" w:customStyle="1" w:styleId="238">
    <w:name w:val="tw4winMark"/>
    <w:qFormat/>
    <w:uiPriority w:val="0"/>
    <w:rPr>
      <w:rFonts w:ascii="Courier New" w:hAnsi="Courier New" w:cs="Courier New"/>
      <w:vanish/>
      <w:color w:val="800080"/>
      <w:sz w:val="24"/>
      <w:szCs w:val="24"/>
      <w:vertAlign w:val="subscript"/>
    </w:rPr>
  </w:style>
  <w:style w:type="character" w:customStyle="1" w:styleId="239">
    <w:name w:val="tw4winPopup"/>
    <w:qFormat/>
    <w:uiPriority w:val="0"/>
    <w:rPr>
      <w:rFonts w:ascii="Courier New" w:hAnsi="Courier New" w:cs="Courier New"/>
      <w:color w:val="008000"/>
    </w:rPr>
  </w:style>
  <w:style w:type="character" w:customStyle="1" w:styleId="240">
    <w:name w:val="样式 宋体"/>
    <w:qFormat/>
    <w:uiPriority w:val="0"/>
    <w:rPr>
      <w:rFonts w:ascii="宋体" w:hAnsi="宋体"/>
      <w:sz w:val="24"/>
    </w:rPr>
  </w:style>
  <w:style w:type="character" w:customStyle="1" w:styleId="241">
    <w:name w:val="标题 Char"/>
    <w:qFormat/>
    <w:uiPriority w:val="0"/>
    <w:rPr>
      <w:rFonts w:eastAsia="宋体"/>
      <w:b/>
      <w:sz w:val="24"/>
      <w:lang w:val="en-GB" w:eastAsia="zh-CN" w:bidi="ar-SA"/>
    </w:rPr>
  </w:style>
  <w:style w:type="character" w:customStyle="1" w:styleId="242">
    <w:name w:val="Char Char6"/>
    <w:qFormat/>
    <w:uiPriority w:val="0"/>
    <w:rPr>
      <w:rFonts w:eastAsia="宋体"/>
      <w:kern w:val="2"/>
      <w:sz w:val="21"/>
      <w:szCs w:val="24"/>
      <w:lang w:val="en-US" w:eastAsia="zh-CN" w:bidi="ar-SA"/>
    </w:rPr>
  </w:style>
  <w:style w:type="character" w:customStyle="1" w:styleId="243">
    <w:name w:val="message1"/>
    <w:qFormat/>
    <w:uiPriority w:val="0"/>
    <w:rPr>
      <w:rFonts w:hint="default" w:ascii="Tahoma" w:hAnsi="Tahoma" w:cs="Tahoma"/>
      <w:sz w:val="18"/>
      <w:szCs w:val="18"/>
    </w:rPr>
  </w:style>
  <w:style w:type="character" w:customStyle="1" w:styleId="244">
    <w:name w:val="Heading 2 Hidden Char"/>
    <w:qFormat/>
    <w:uiPriority w:val="0"/>
    <w:rPr>
      <w:rFonts w:ascii="仿宋_GB2312" w:eastAsia="仿宋_GB2312"/>
      <w:b/>
      <w:bCs/>
      <w:kern w:val="2"/>
      <w:sz w:val="24"/>
      <w:szCs w:val="24"/>
      <w:lang w:val="zh-CN" w:eastAsia="zh-CN" w:bidi="ar-SA"/>
    </w:rPr>
  </w:style>
  <w:style w:type="character" w:customStyle="1" w:styleId="245">
    <w:name w:val="tw4winInternal"/>
    <w:qFormat/>
    <w:uiPriority w:val="0"/>
    <w:rPr>
      <w:rFonts w:ascii="Courier New" w:hAnsi="Courier New" w:cs="Courier New"/>
      <w:color w:val="FF0000"/>
    </w:rPr>
  </w:style>
  <w:style w:type="character" w:customStyle="1" w:styleId="246">
    <w:name w:val="Footer Char"/>
    <w:qFormat/>
    <w:locked/>
    <w:uiPriority w:val="0"/>
    <w:rPr>
      <w:rFonts w:eastAsia="宋体"/>
      <w:kern w:val="2"/>
      <w:sz w:val="18"/>
      <w:lang w:val="en-US" w:eastAsia="zh-CN" w:bidi="ar-SA"/>
    </w:rPr>
  </w:style>
  <w:style w:type="character" w:customStyle="1" w:styleId="247">
    <w:name w:val=" Char Char4"/>
    <w:qFormat/>
    <w:uiPriority w:val="0"/>
    <w:rPr>
      <w:rFonts w:eastAsia="宋体"/>
      <w:b/>
      <w:sz w:val="24"/>
      <w:lang w:val="en-GB" w:eastAsia="zh-CN" w:bidi="ar-SA"/>
    </w:rPr>
  </w:style>
  <w:style w:type="character" w:customStyle="1" w:styleId="248">
    <w:name w:val="页脚 Char"/>
    <w:qFormat/>
    <w:uiPriority w:val="99"/>
    <w:rPr>
      <w:rFonts w:eastAsia="仿宋_GB2312"/>
      <w:kern w:val="2"/>
      <w:sz w:val="18"/>
      <w:lang w:val="en-US" w:eastAsia="zh-CN"/>
    </w:rPr>
  </w:style>
  <w:style w:type="character" w:customStyle="1" w:styleId="249">
    <w:name w:val="gf正文1 Char"/>
    <w:qFormat/>
    <w:uiPriority w:val="0"/>
    <w:rPr>
      <w:rFonts w:ascii="宋体" w:hAnsi="宋体" w:eastAsia="宋体" w:cs="宋体"/>
      <w:kern w:val="2"/>
      <w:sz w:val="24"/>
      <w:szCs w:val="24"/>
      <w:lang w:val="en-US" w:eastAsia="zh-CN" w:bidi="ar-SA"/>
    </w:rPr>
  </w:style>
  <w:style w:type="character" w:customStyle="1" w:styleId="250">
    <w:name w:val="正文缩进 Char1"/>
    <w:qFormat/>
    <w:uiPriority w:val="0"/>
    <w:rPr>
      <w:rFonts w:ascii="宋体" w:eastAsia="宋体"/>
      <w:snapToGrid w:val="0"/>
      <w:color w:val="000000"/>
      <w:kern w:val="28"/>
      <w:sz w:val="28"/>
      <w:lang w:val="en-US" w:eastAsia="zh-CN" w:bidi="ar-SA"/>
    </w:rPr>
  </w:style>
  <w:style w:type="character" w:customStyle="1" w:styleId="251">
    <w:name w:val=" Char Char9"/>
    <w:qFormat/>
    <w:uiPriority w:val="0"/>
    <w:rPr>
      <w:rFonts w:eastAsia="宋体"/>
      <w:kern w:val="2"/>
      <w:sz w:val="18"/>
      <w:szCs w:val="18"/>
      <w:lang w:val="en-US" w:eastAsia="zh-CN" w:bidi="ar-SA"/>
    </w:rPr>
  </w:style>
  <w:style w:type="character" w:customStyle="1" w:styleId="252">
    <w:name w:val="正文文本 Char"/>
    <w:qFormat/>
    <w:uiPriority w:val="0"/>
    <w:rPr>
      <w:rFonts w:eastAsia="宋体"/>
      <w:kern w:val="2"/>
      <w:sz w:val="24"/>
      <w:szCs w:val="24"/>
      <w:lang w:val="en-US" w:eastAsia="zh-CN" w:bidi="ar-SA"/>
    </w:rPr>
  </w:style>
  <w:style w:type="character" w:customStyle="1" w:styleId="253">
    <w:name w:val="标书表格字体格式 Char"/>
    <w:qFormat/>
    <w:uiPriority w:val="0"/>
    <w:rPr>
      <w:kern w:val="2"/>
      <w:sz w:val="21"/>
      <w:szCs w:val="24"/>
      <w:lang w:bidi="ar-SA"/>
    </w:rPr>
  </w:style>
  <w:style w:type="character" w:customStyle="1" w:styleId="254">
    <w:name w:val="style36"/>
    <w:basedOn w:val="62"/>
    <w:qFormat/>
    <w:uiPriority w:val="0"/>
  </w:style>
  <w:style w:type="character" w:customStyle="1" w:styleId="255">
    <w:name w:val="hui3"/>
    <w:qFormat/>
    <w:uiPriority w:val="0"/>
    <w:rPr>
      <w:color w:val="333333"/>
    </w:rPr>
  </w:style>
  <w:style w:type="character" w:customStyle="1" w:styleId="256">
    <w:name w:val="方案正文 Char"/>
    <w:qFormat/>
    <w:uiPriority w:val="0"/>
    <w:rPr>
      <w:rFonts w:ascii="仿宋_GB2312" w:eastAsia="仿宋_GB2312"/>
      <w:b/>
      <w:color w:val="000000"/>
      <w:kern w:val="2"/>
      <w:sz w:val="24"/>
      <w:lang w:val="en-US" w:eastAsia="zh-CN" w:bidi="ar-SA"/>
    </w:rPr>
  </w:style>
  <w:style w:type="character" w:customStyle="1" w:styleId="257">
    <w:name w:val="列出段落 Char"/>
    <w:qFormat/>
    <w:uiPriority w:val="34"/>
    <w:rPr>
      <w:rFonts w:eastAsia="楷体_GB2312" w:cs="Lucida Sans"/>
      <w:kern w:val="2"/>
      <w:sz w:val="24"/>
      <w:szCs w:val="24"/>
      <w:lang w:val="en-US" w:eastAsia="zh-CN" w:bidi="ar-SA"/>
    </w:rPr>
  </w:style>
  <w:style w:type="character" w:customStyle="1" w:styleId="258">
    <w:name w:val="apple-converted-space"/>
    <w:qFormat/>
    <w:uiPriority w:val="0"/>
  </w:style>
  <w:style w:type="character" w:customStyle="1" w:styleId="259">
    <w:name w:val="样式6 Char"/>
    <w:qFormat/>
    <w:uiPriority w:val="0"/>
    <w:rPr>
      <w:rFonts w:ascii="仿宋_GB2312" w:hAnsi="宋体" w:eastAsia="仿宋_GB2312"/>
      <w:b/>
      <w:bCs/>
      <w:kern w:val="2"/>
      <w:sz w:val="24"/>
      <w:szCs w:val="24"/>
      <w:lang w:val="en-US" w:eastAsia="zh-CN" w:bidi="ar-SA"/>
    </w:rPr>
  </w:style>
  <w:style w:type="character" w:customStyle="1" w:styleId="260">
    <w:name w:val="文档结构图 Char"/>
    <w:qFormat/>
    <w:uiPriority w:val="0"/>
    <w:rPr>
      <w:rFonts w:eastAsia="宋体"/>
      <w:kern w:val="2"/>
      <w:sz w:val="21"/>
      <w:szCs w:val="24"/>
      <w:lang w:val="en-US" w:eastAsia="zh-CN" w:bidi="ar-SA"/>
    </w:rPr>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正文非缩进 Char3"/>
    <w:qFormat/>
    <w:uiPriority w:val="0"/>
    <w:rPr>
      <w:rFonts w:ascii="宋体" w:eastAsia="宋体"/>
      <w:snapToGrid w:val="0"/>
      <w:color w:val="000000"/>
      <w:kern w:val="28"/>
      <w:sz w:val="28"/>
      <w:lang w:val="en-US" w:eastAsia="zh-CN" w:bidi="ar-SA"/>
    </w:rPr>
  </w:style>
  <w:style w:type="character" w:customStyle="1" w:styleId="263">
    <w:name w:val="md"/>
    <w:basedOn w:val="62"/>
    <w:qFormat/>
    <w:uiPriority w:val="0"/>
  </w:style>
  <w:style w:type="character" w:customStyle="1" w:styleId="264">
    <w:name w:val="dectext1"/>
    <w:qFormat/>
    <w:uiPriority w:val="0"/>
    <w:rPr>
      <w:rFonts w:ascii="宋体" w:hAnsi="宋体" w:eastAsia="宋体"/>
      <w:color w:val="333333"/>
      <w:sz w:val="21"/>
      <w:szCs w:val="21"/>
      <w:u w:val="none"/>
    </w:rPr>
  </w:style>
  <w:style w:type="character" w:customStyle="1" w:styleId="265">
    <w:name w:val="样式5 Char"/>
    <w:qFormat/>
    <w:uiPriority w:val="0"/>
    <w:rPr>
      <w:rFonts w:ascii="仿宋_GB2312" w:hAnsi="仿宋" w:eastAsia="仿宋_GB2312"/>
      <w:kern w:val="2"/>
      <w:sz w:val="24"/>
      <w:szCs w:val="24"/>
    </w:rPr>
  </w:style>
  <w:style w:type="character" w:customStyle="1" w:styleId="266">
    <w:name w:val="t21"/>
    <w:qFormat/>
    <w:uiPriority w:val="0"/>
    <w:rPr>
      <w:rFonts w:ascii="仿宋_GB2312" w:eastAsia="微软雅黑"/>
      <w:b/>
      <w:kern w:val="2"/>
      <w:sz w:val="23"/>
      <w:szCs w:val="23"/>
      <w:lang w:val="en-US" w:eastAsia="zh-CN" w:bidi="ar-SA"/>
    </w:rPr>
  </w:style>
  <w:style w:type="character" w:customStyle="1" w:styleId="267">
    <w:name w:val="冯 Char"/>
    <w:link w:val="268"/>
    <w:qFormat/>
    <w:uiPriority w:val="0"/>
    <w:rPr>
      <w:rFonts w:ascii="宋体" w:hAnsi="宋体"/>
      <w:color w:val="000000"/>
      <w:sz w:val="24"/>
      <w:szCs w:val="24"/>
    </w:rPr>
  </w:style>
  <w:style w:type="paragraph" w:customStyle="1" w:styleId="268">
    <w:name w:val="冯"/>
    <w:basedOn w:val="1"/>
    <w:link w:val="267"/>
    <w:qFormat/>
    <w:uiPriority w:val="0"/>
    <w:pPr>
      <w:widowControl/>
      <w:adjustRightInd/>
      <w:spacing w:line="360" w:lineRule="auto"/>
      <w:ind w:firstLine="480" w:firstLineChars="200"/>
    </w:pPr>
    <w:rPr>
      <w:rFonts w:ascii="宋体" w:hAnsi="宋体"/>
      <w:color w:val="000000"/>
      <w:kern w:val="0"/>
      <w:sz w:val="24"/>
    </w:rPr>
  </w:style>
  <w:style w:type="character" w:customStyle="1" w:styleId="269">
    <w:name w:val="Normal Indent Char Char"/>
    <w:qFormat/>
    <w:uiPriority w:val="0"/>
    <w:rPr>
      <w:rFonts w:eastAsia="宋体"/>
      <w:kern w:val="2"/>
      <w:sz w:val="21"/>
      <w:lang w:val="en-US" w:eastAsia="zh-CN" w:bidi="ar-SA"/>
    </w:rPr>
  </w:style>
  <w:style w:type="character" w:customStyle="1" w:styleId="270">
    <w:name w:val="表格 Char Char"/>
    <w:qFormat/>
    <w:uiPriority w:val="0"/>
    <w:rPr>
      <w:rFonts w:ascii="宋体" w:hAnsi="宋体" w:eastAsia="宋体"/>
      <w:lang w:bidi="ar-SA"/>
    </w:rPr>
  </w:style>
  <w:style w:type="character" w:customStyle="1" w:styleId="271">
    <w:name w:val="font12gray1"/>
    <w:qFormat/>
    <w:uiPriority w:val="0"/>
    <w:rPr>
      <w:rFonts w:ascii="仿宋_GB2312" w:eastAsia="微软雅黑"/>
      <w:b/>
      <w:spacing w:val="300"/>
      <w:kern w:val="2"/>
      <w:sz w:val="18"/>
      <w:szCs w:val="18"/>
      <w:lang w:val="en-US" w:eastAsia="zh-CN" w:bidi="ar-SA"/>
    </w:rPr>
  </w:style>
  <w:style w:type="character" w:customStyle="1" w:styleId="272">
    <w:name w:val="txt"/>
    <w:qFormat/>
    <w:uiPriority w:val="0"/>
    <w:rPr>
      <w:rFonts w:ascii="仿宋_GB2312" w:eastAsia="微软雅黑"/>
      <w:b/>
      <w:kern w:val="2"/>
      <w:sz w:val="32"/>
      <w:szCs w:val="32"/>
      <w:lang w:val="en-US" w:eastAsia="zh-CN" w:bidi="ar-SA"/>
    </w:rPr>
  </w:style>
  <w:style w:type="character" w:customStyle="1" w:styleId="273">
    <w:name w:val="tw4winJump"/>
    <w:qFormat/>
    <w:uiPriority w:val="0"/>
    <w:rPr>
      <w:rFonts w:ascii="Courier New" w:hAnsi="Courier New" w:cs="Courier New"/>
      <w:color w:val="008080"/>
    </w:rPr>
  </w:style>
  <w:style w:type="character" w:customStyle="1" w:styleId="274">
    <w:name w:val="Item List Char"/>
    <w:link w:val="275"/>
    <w:qFormat/>
    <w:uiPriority w:val="0"/>
    <w:rPr>
      <w:rFonts w:ascii="Arial"/>
      <w:bCs/>
      <w:sz w:val="21"/>
      <w:szCs w:val="21"/>
      <w:lang w:val="en-US" w:eastAsia="zh-CN" w:bidi="ar-SA"/>
    </w:rPr>
  </w:style>
  <w:style w:type="paragraph" w:customStyle="1" w:styleId="275">
    <w:name w:val="Item List"/>
    <w:link w:val="27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6">
    <w:name w:val="Char Char12"/>
    <w:qFormat/>
    <w:uiPriority w:val="0"/>
    <w:rPr>
      <w:rFonts w:ascii="仿宋_GB2312" w:eastAsia="仿宋_GB2312"/>
      <w:b/>
      <w:bCs/>
      <w:kern w:val="2"/>
      <w:sz w:val="24"/>
      <w:szCs w:val="24"/>
      <w:lang w:val="zh-CN" w:eastAsia="zh-CN" w:bidi="ar-SA"/>
    </w:rPr>
  </w:style>
  <w:style w:type="character" w:customStyle="1" w:styleId="277">
    <w:name w:val="纯文本 Char_0"/>
    <w:link w:val="278"/>
    <w:qFormat/>
    <w:uiPriority w:val="0"/>
    <w:rPr>
      <w:rFonts w:ascii="宋体" w:hAnsi="Courier New"/>
      <w:kern w:val="2"/>
      <w:sz w:val="21"/>
      <w:szCs w:val="21"/>
    </w:rPr>
  </w:style>
  <w:style w:type="paragraph" w:customStyle="1" w:styleId="278">
    <w:name w:val="纯文本_0_0"/>
    <w:basedOn w:val="279"/>
    <w:link w:val="277"/>
    <w:qFormat/>
    <w:uiPriority w:val="0"/>
    <w:rPr>
      <w:rFonts w:ascii="宋体" w:hAnsi="Courier New"/>
      <w:szCs w:val="21"/>
    </w:rPr>
  </w:style>
  <w:style w:type="paragraph" w:customStyle="1" w:styleId="2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0">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281">
    <w:name w:val="表格标题2"/>
    <w:basedOn w:val="282"/>
    <w:qFormat/>
    <w:uiPriority w:val="0"/>
    <w:rPr>
      <w:b/>
    </w:rPr>
  </w:style>
  <w:style w:type="paragraph" w:customStyle="1" w:styleId="282">
    <w:name w:val="表格内文"/>
    <w:basedOn w:val="1"/>
    <w:qFormat/>
    <w:uiPriority w:val="0"/>
    <w:pPr>
      <w:adjustRightInd/>
      <w:spacing w:line="360" w:lineRule="auto"/>
    </w:pPr>
    <w:rPr>
      <w:rFonts w:ascii="宋体" w:hAnsi="宋体" w:cs="宋体"/>
      <w:color w:val="000000"/>
      <w:szCs w:val="20"/>
    </w:rPr>
  </w:style>
  <w:style w:type="paragraph" w:customStyle="1" w:styleId="283">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28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85">
    <w:name w:val="Char3"/>
    <w:basedOn w:val="1"/>
    <w:qFormat/>
    <w:uiPriority w:val="0"/>
    <w:pPr>
      <w:adjustRightInd/>
      <w:ind w:firstLine="200" w:firstLineChars="200"/>
    </w:pPr>
    <w:rPr>
      <w:rFonts w:ascii="Tahoma" w:hAnsi="Tahoma"/>
      <w:sz w:val="24"/>
      <w:szCs w:val="20"/>
    </w:rPr>
  </w:style>
  <w:style w:type="paragraph" w:customStyle="1" w:styleId="286">
    <w:name w:val=" 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8">
    <w:name w:val="普通正文"/>
    <w:basedOn w:val="1"/>
    <w:qFormat/>
    <w:uiPriority w:val="0"/>
    <w:pPr>
      <w:tabs>
        <w:tab w:val="left" w:pos="2280"/>
      </w:tabs>
      <w:spacing w:before="120" w:beforeLines="0" w:after="120" w:afterLines="0" w:line="360" w:lineRule="auto"/>
      <w:ind w:firstLine="480" w:firstLineChars="200"/>
      <w:jc w:val="left"/>
      <w:textAlignment w:val="baseline"/>
    </w:pPr>
    <w:rPr>
      <w:rFonts w:ascii="Arial" w:hAnsi="Arial"/>
      <w:kern w:val="0"/>
      <w:sz w:val="24"/>
    </w:rPr>
  </w:style>
  <w:style w:type="paragraph" w:customStyle="1" w:styleId="28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290">
    <w:name w:val="Char Char1 Char Char Char"/>
    <w:basedOn w:val="1"/>
    <w:qFormat/>
    <w:uiPriority w:val="0"/>
    <w:rPr>
      <w:rFonts w:ascii="仿宋_GB2312" w:eastAsia="仿宋_GB2312"/>
      <w:b/>
      <w:sz w:val="32"/>
      <w:szCs w:val="20"/>
    </w:rPr>
  </w:style>
  <w:style w:type="paragraph" w:customStyle="1" w:styleId="291">
    <w:name w:val="五级条标题"/>
    <w:basedOn w:val="292"/>
    <w:next w:val="297"/>
    <w:qFormat/>
    <w:uiPriority w:val="0"/>
    <w:pPr>
      <w:numPr>
        <w:ilvl w:val="6"/>
        <w:numId w:val="4"/>
      </w:numPr>
      <w:tabs>
        <w:tab w:val="left" w:pos="1260"/>
        <w:tab w:val="left" w:pos="1680"/>
        <w:tab w:val="left" w:pos="2100"/>
        <w:tab w:val="left" w:pos="2520"/>
        <w:tab w:val="left" w:pos="2940"/>
      </w:tabs>
      <w:outlineLvl w:val="6"/>
    </w:pPr>
  </w:style>
  <w:style w:type="paragraph" w:customStyle="1" w:styleId="292">
    <w:name w:val="四级条标题"/>
    <w:basedOn w:val="293"/>
    <w:next w:val="297"/>
    <w:qFormat/>
    <w:uiPriority w:val="0"/>
    <w:pPr>
      <w:numPr>
        <w:ilvl w:val="5"/>
        <w:numId w:val="4"/>
      </w:numPr>
      <w:tabs>
        <w:tab w:val="left" w:pos="1260"/>
        <w:tab w:val="left" w:pos="1680"/>
        <w:tab w:val="left" w:pos="2100"/>
        <w:tab w:val="left" w:pos="2520"/>
      </w:tabs>
      <w:outlineLvl w:val="5"/>
    </w:pPr>
  </w:style>
  <w:style w:type="paragraph" w:customStyle="1" w:styleId="293">
    <w:name w:val="三级条标题"/>
    <w:basedOn w:val="294"/>
    <w:next w:val="297"/>
    <w:qFormat/>
    <w:uiPriority w:val="0"/>
    <w:pPr>
      <w:numPr>
        <w:ilvl w:val="0"/>
        <w:numId w:val="0"/>
      </w:numPr>
      <w:tabs>
        <w:tab w:val="left" w:pos="1260"/>
        <w:tab w:val="left" w:pos="1680"/>
        <w:tab w:val="left" w:pos="2100"/>
        <w:tab w:val="left" w:pos="2520"/>
      </w:tabs>
      <w:ind w:left="2520" w:hanging="420"/>
      <w:outlineLvl w:val="4"/>
    </w:pPr>
  </w:style>
  <w:style w:type="paragraph" w:customStyle="1" w:styleId="294">
    <w:name w:val="二级条标题"/>
    <w:basedOn w:val="295"/>
    <w:next w:val="297"/>
    <w:qFormat/>
    <w:uiPriority w:val="0"/>
    <w:pPr>
      <w:tabs>
        <w:tab w:val="left" w:pos="1260"/>
        <w:tab w:val="left" w:pos="1680"/>
        <w:tab w:val="left" w:pos="2100"/>
      </w:tabs>
      <w:ind w:left="0"/>
      <w:outlineLvl w:val="3"/>
    </w:pPr>
  </w:style>
  <w:style w:type="paragraph" w:customStyle="1" w:styleId="295">
    <w:name w:val="一级条标题"/>
    <w:basedOn w:val="296"/>
    <w:next w:val="297"/>
    <w:qFormat/>
    <w:uiPriority w:val="0"/>
    <w:pPr>
      <w:tabs>
        <w:tab w:val="left" w:pos="1260"/>
        <w:tab w:val="left" w:pos="1680"/>
      </w:tabs>
      <w:spacing w:before="0" w:beforeLines="0" w:after="0" w:afterLines="0"/>
      <w:ind w:left="1680"/>
      <w:outlineLvl w:val="2"/>
    </w:pPr>
  </w:style>
  <w:style w:type="paragraph" w:customStyle="1" w:styleId="296">
    <w:name w:val="章标题"/>
    <w:next w:val="29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29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8">
    <w:name w:val="RFI Heading 2nd Level"/>
    <w:basedOn w:val="1"/>
    <w:qFormat/>
    <w:uiPriority w:val="0"/>
    <w:pPr>
      <w:widowControl/>
      <w:tabs>
        <w:tab w:val="left" w:pos="1260"/>
      </w:tabs>
      <w:adjustRightInd/>
      <w:ind w:firstLineChars="200"/>
      <w:jc w:val="left"/>
    </w:pPr>
    <w:rPr>
      <w:rFonts w:ascii="Arial (W1)" w:hAnsi="Arial (W1)"/>
      <w:b/>
      <w:bCs/>
      <w:color w:val="0000FF"/>
      <w:kern w:val="0"/>
      <w:sz w:val="28"/>
      <w:lang w:val="en-GB" w:eastAsia="en-US"/>
    </w:rPr>
  </w:style>
  <w:style w:type="paragraph" w:customStyle="1" w:styleId="299">
    <w:name w:val="默认段落字体 Para Char"/>
    <w:basedOn w:val="1"/>
    <w:qFormat/>
    <w:uiPriority w:val="0"/>
    <w:rPr>
      <w:rFonts w:ascii="Tahoma" w:hAnsi="Tahoma"/>
      <w:sz w:val="24"/>
      <w:szCs w:val="20"/>
    </w:rPr>
  </w:style>
  <w:style w:type="paragraph" w:customStyle="1" w:styleId="300">
    <w:name w:val="正文 首行缩进:  2 字符 Char"/>
    <w:basedOn w:val="1"/>
    <w:qFormat/>
    <w:uiPriority w:val="0"/>
    <w:pPr>
      <w:adjustRightInd/>
      <w:spacing w:line="360" w:lineRule="auto"/>
      <w:ind w:firstLine="480"/>
    </w:pPr>
    <w:rPr>
      <w:rFonts w:cs="宋体"/>
      <w:sz w:val="24"/>
      <w:szCs w:val="20"/>
    </w:rPr>
  </w:style>
  <w:style w:type="paragraph" w:customStyle="1" w:styleId="3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02">
    <w:name w:val="标书标题2"/>
    <w:basedOn w:val="3"/>
    <w:qFormat/>
    <w:uiPriority w:val="0"/>
    <w:pPr>
      <w:keepLines w:val="0"/>
      <w:widowControl/>
      <w:numPr>
        <w:ilvl w:val="0"/>
        <w:numId w:val="0"/>
      </w:numPr>
      <w:tabs>
        <w:tab w:val="left" w:pos="840"/>
        <w:tab w:val="clear" w:pos="432"/>
      </w:tabs>
      <w:adjustRightInd w:val="0"/>
      <w:snapToGrid w:val="0"/>
      <w:spacing w:before="156" w:beforeLines="50" w:after="60" w:afterLines="0" w:line="300" w:lineRule="auto"/>
      <w:ind w:left="840" w:hanging="420"/>
    </w:pPr>
    <w:rPr>
      <w:rFonts w:ascii="Arial Narrow" w:hAnsi="Arial Narrow"/>
      <w:snapToGrid w:val="0"/>
      <w:kern w:val="0"/>
      <w:szCs w:val="20"/>
      <w:lang w:val="en-US"/>
    </w:rPr>
  </w:style>
  <w:style w:type="paragraph" w:customStyle="1" w:styleId="303">
    <w:name w:val="标准小四"/>
    <w:basedOn w:val="1"/>
    <w:qFormat/>
    <w:uiPriority w:val="0"/>
    <w:pPr>
      <w:spacing w:line="360" w:lineRule="auto"/>
      <w:ind w:firstLine="480" w:firstLineChars="200"/>
    </w:pPr>
    <w:rPr>
      <w:rFonts w:ascii="Arial" w:hAnsi="Arial"/>
      <w:sz w:val="24"/>
      <w:szCs w:val="21"/>
    </w:rPr>
  </w:style>
  <w:style w:type="paragraph" w:customStyle="1" w:styleId="30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305">
    <w:name w:val="tableheading"/>
    <w:basedOn w:val="1"/>
    <w:qFormat/>
    <w:uiPriority w:val="0"/>
    <w:pPr>
      <w:widowControl/>
      <w:adjustRightInd/>
      <w:spacing w:before="100" w:beforeLines="0" w:beforeAutospacing="1" w:after="100" w:afterLines="0" w:afterAutospacing="1"/>
      <w:jc w:val="left"/>
    </w:pPr>
    <w:rPr>
      <w:rFonts w:ascii="宋体" w:hAnsi="宋体" w:cs="宋体"/>
      <w:kern w:val="0"/>
      <w:sz w:val="24"/>
    </w:rPr>
  </w:style>
  <w:style w:type="paragraph" w:customStyle="1" w:styleId="30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textAlignment w:val="top"/>
    </w:pPr>
    <w:rPr>
      <w:rFonts w:ascii="宋体" w:hAnsi="宋体"/>
      <w:kern w:val="0"/>
      <w:sz w:val="20"/>
      <w:szCs w:val="20"/>
    </w:rPr>
  </w:style>
  <w:style w:type="paragraph" w:customStyle="1" w:styleId="307">
    <w:name w:val=" Char Char1 Char"/>
    <w:basedOn w:val="1"/>
    <w:qFormat/>
    <w:uiPriority w:val="0"/>
    <w:rPr>
      <w:rFonts w:ascii="仿宋_GB2312" w:eastAsia="仿宋_GB2312"/>
      <w:b/>
      <w:sz w:val="32"/>
      <w:szCs w:val="32"/>
    </w:rPr>
  </w:style>
  <w:style w:type="paragraph" w:customStyle="1" w:styleId="308">
    <w:name w:val="正文（首行缩进）"/>
    <w:basedOn w:val="2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09">
    <w:name w:val="Char Char Char Char Char Char1 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31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311">
    <w:name w:val="trademark"/>
    <w:qFormat/>
    <w:uiPriority w:val="0"/>
    <w:pPr>
      <w:spacing w:after="60"/>
    </w:pPr>
    <w:rPr>
      <w:rFonts w:ascii="Futura Bk" w:hAnsi="Futura Bk" w:eastAsia="宋体" w:cs="Times New Roman"/>
      <w:sz w:val="15"/>
      <w:lang w:val="en-US" w:eastAsia="en-US" w:bidi="ar-SA"/>
    </w:rPr>
  </w:style>
  <w:style w:type="paragraph" w:customStyle="1" w:styleId="31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13">
    <w:name w:val="数字标题5"/>
    <w:basedOn w:val="6"/>
    <w:next w:val="1"/>
    <w:qFormat/>
    <w:uiPriority w:val="0"/>
    <w:pPr>
      <w:numPr>
        <w:ilvl w:val="4"/>
        <w:numId w:val="5"/>
      </w:numPr>
      <w:tabs>
        <w:tab w:val="clear" w:pos="1008"/>
      </w:tabs>
    </w:pPr>
  </w:style>
  <w:style w:type="paragraph" w:customStyle="1" w:styleId="31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1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31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17">
    <w:name w:val="Char Char11 Char Char Char Char Char Char Char Char Char"/>
    <w:basedOn w:val="1"/>
    <w:qFormat/>
    <w:uiPriority w:val="0"/>
    <w:pPr>
      <w:spacing w:line="360" w:lineRule="auto"/>
    </w:pPr>
    <w:rPr>
      <w:szCs w:val="20"/>
    </w:rPr>
  </w:style>
  <w:style w:type="paragraph" w:customStyle="1" w:styleId="31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1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320">
    <w:name w:val="TOC 标题1"/>
    <w:basedOn w:val="2"/>
    <w:next w:val="1"/>
    <w:unhideWhenUsed/>
    <w:qFormat/>
    <w:uiPriority w:val="39"/>
    <w:pPr>
      <w:widowControl/>
      <w:numPr>
        <w:ilvl w:val="0"/>
        <w:numId w:val="0"/>
      </w:numPr>
      <w:adjustRightInd/>
      <w:spacing w:before="480" w:beforeLines="0" w:after="0" w:afterLines="0" w:line="276" w:lineRule="auto"/>
      <w:jc w:val="left"/>
      <w:outlineLvl w:val="9"/>
    </w:pPr>
    <w:rPr>
      <w:rFonts w:ascii="Cambria" w:hAnsi="Cambria"/>
      <w:color w:val="365F91"/>
      <w:kern w:val="0"/>
      <w:sz w:val="28"/>
      <w:szCs w:val="28"/>
    </w:rPr>
  </w:style>
  <w:style w:type="paragraph" w:customStyle="1" w:styleId="321">
    <w:name w:val="样式 标题 1 + 黑色 段前: 0.5 行 段后: 0.5 行1"/>
    <w:basedOn w:val="2"/>
    <w:qFormat/>
    <w:uiPriority w:val="0"/>
    <w:pPr>
      <w:keepLines w:val="0"/>
      <w:pageBreakBefore/>
      <w:numPr>
        <w:ilvl w:val="0"/>
        <w:numId w:val="0"/>
      </w:numPr>
      <w:pBdr>
        <w:top w:val="single" w:color="auto" w:sz="4" w:space="1"/>
        <w:left w:val="single" w:color="auto" w:sz="4" w:space="4"/>
        <w:bottom w:val="single" w:color="auto" w:sz="4" w:space="1"/>
        <w:right w:val="single" w:color="auto" w:sz="4" w:space="4"/>
      </w:pBdr>
      <w:shd w:val="clear" w:color="auto" w:fill="333399"/>
      <w:adjustRightInd/>
      <w:spacing w:before="0" w:beforeLines="0" w:after="0" w:afterLines="0" w:line="640" w:lineRule="exact"/>
      <w:ind w:left="431" w:hanging="431"/>
      <w:jc w:val="center"/>
    </w:pPr>
    <w:rPr>
      <w:rFonts w:ascii="黑体" w:hAnsi="黑体" w:eastAsia="黑体" w:cs="Arial"/>
      <w:caps/>
      <w:color w:val="FFFFFF"/>
      <w:kern w:val="2"/>
      <w:sz w:val="30"/>
      <w:szCs w:val="20"/>
    </w:rPr>
  </w:style>
  <w:style w:type="paragraph" w:customStyle="1" w:styleId="322">
    <w:name w:val="La0b"/>
    <w:basedOn w:val="1"/>
    <w:qFormat/>
    <w:uiPriority w:val="0"/>
    <w:pPr>
      <w:tabs>
        <w:tab w:val="left" w:pos="1500"/>
      </w:tabs>
      <w:adjustRightInd/>
      <w:spacing w:after="100" w:afterLines="0" w:line="240" w:lineRule="exact"/>
      <w:ind w:left="1500" w:hanging="420" w:firstLineChars="200"/>
    </w:pPr>
    <w:rPr>
      <w:rFonts w:ascii="宋体" w:hAnsi="宋体" w:eastAsia="微软雅黑"/>
      <w:b/>
      <w:sz w:val="24"/>
      <w:szCs w:val="20"/>
    </w:rPr>
  </w:style>
  <w:style w:type="paragraph" w:customStyle="1" w:styleId="323">
    <w:name w:val="正文（首行缩进2字符）"/>
    <w:basedOn w:val="1"/>
    <w:qFormat/>
    <w:uiPriority w:val="0"/>
    <w:pPr>
      <w:adjustRightInd/>
      <w:spacing w:line="360" w:lineRule="auto"/>
      <w:ind w:firstLine="480" w:firstLineChars="200"/>
    </w:pPr>
    <w:rPr>
      <w:sz w:val="24"/>
      <w:szCs w:val="20"/>
    </w:rPr>
  </w:style>
  <w:style w:type="paragraph" w:customStyle="1" w:styleId="324">
    <w:name w:val="style3"/>
    <w:basedOn w:val="1"/>
    <w:qFormat/>
    <w:uiPriority w:val="0"/>
    <w:pPr>
      <w:widowControl/>
      <w:adjustRightInd/>
      <w:spacing w:before="100" w:beforeLines="0" w:beforeAutospacing="1" w:after="100" w:afterLines="0" w:afterAutospacing="1" w:line="360" w:lineRule="auto"/>
      <w:ind w:firstLine="480" w:firstLineChars="200"/>
      <w:jc w:val="left"/>
    </w:pPr>
    <w:rPr>
      <w:rFonts w:ascii="宋体" w:hAnsi="宋体" w:eastAsia="微软雅黑"/>
      <w:color w:val="666666"/>
      <w:kern w:val="0"/>
      <w:sz w:val="24"/>
    </w:rPr>
  </w:style>
  <w:style w:type="paragraph" w:customStyle="1" w:styleId="32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26">
    <w:name w:val="Normal0"/>
    <w:qFormat/>
    <w:uiPriority w:val="0"/>
    <w:rPr>
      <w:rFonts w:ascii="Times New Roman" w:hAnsi="Times New Roman" w:eastAsia="宋体" w:cs="Times New Roman"/>
      <w:lang w:val="en-US" w:eastAsia="en-US" w:bidi="ar-SA"/>
    </w:rPr>
  </w:style>
  <w:style w:type="paragraph" w:customStyle="1" w:styleId="327">
    <w:name w:val="样式 正文文本缩进 2 + 仿宋_GB2312 黑色 行距: 1.5 倍行距"/>
    <w:basedOn w:val="35"/>
    <w:qFormat/>
    <w:uiPriority w:val="0"/>
    <w:pPr>
      <w:adjustRightInd/>
      <w:ind w:firstLine="560" w:firstLineChars="200"/>
      <w:textAlignment w:val="auto"/>
    </w:pPr>
    <w:rPr>
      <w:rFonts w:hAnsi="宋体" w:cs="宋体"/>
      <w:color w:val="000000"/>
      <w:kern w:val="2"/>
      <w:sz w:val="24"/>
    </w:rPr>
  </w:style>
  <w:style w:type="paragraph" w:customStyle="1" w:styleId="328">
    <w:name w:val="正文首行缩进1"/>
    <w:basedOn w:val="22"/>
    <w:qFormat/>
    <w:uiPriority w:val="0"/>
    <w:pPr>
      <w:suppressAutoHyphens/>
      <w:autoSpaceDE/>
      <w:autoSpaceDN/>
      <w:adjustRightInd/>
      <w:spacing w:after="120" w:afterLines="0" w:line="240" w:lineRule="auto"/>
      <w:ind w:firstLine="420"/>
      <w:jc w:val="left"/>
    </w:pPr>
    <w:rPr>
      <w:rFonts w:ascii="Times New Roman"/>
      <w:kern w:val="1"/>
      <w:sz w:val="28"/>
      <w:szCs w:val="24"/>
      <w:lang w:val="en-US" w:eastAsia="ar-SA"/>
    </w:rPr>
  </w:style>
  <w:style w:type="paragraph" w:customStyle="1" w:styleId="32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330">
    <w:name w:val="Char Char Char Char Char Char Char Char Char Char Char1 Char"/>
    <w:basedOn w:val="1"/>
    <w:qFormat/>
    <w:uiPriority w:val="0"/>
    <w:pPr>
      <w:adjustRightInd/>
    </w:pPr>
    <w:rPr>
      <w:rFonts w:ascii="Tahoma" w:hAnsi="Tahoma"/>
      <w:sz w:val="24"/>
    </w:rPr>
  </w:style>
  <w:style w:type="paragraph" w:customStyle="1" w:styleId="331">
    <w:name w:val="文本正文 Char"/>
    <w:basedOn w:val="1"/>
    <w:qFormat/>
    <w:uiPriority w:val="0"/>
    <w:pPr>
      <w:spacing w:line="360" w:lineRule="auto"/>
      <w:ind w:firstLine="200" w:firstLineChars="200"/>
    </w:pPr>
    <w:rPr>
      <w:kern w:val="0"/>
      <w:sz w:val="24"/>
      <w:szCs w:val="20"/>
    </w:rPr>
  </w:style>
  <w:style w:type="paragraph" w:customStyle="1" w:styleId="332">
    <w:name w:val="四号　首行缩进"/>
    <w:basedOn w:val="1"/>
    <w:qFormat/>
    <w:uiPriority w:val="0"/>
    <w:pPr>
      <w:adjustRightInd/>
      <w:spacing w:line="360" w:lineRule="auto"/>
    </w:pPr>
    <w:rPr>
      <w:rFonts w:ascii="宋体" w:hAnsi="宋体"/>
      <w:szCs w:val="20"/>
    </w:rPr>
  </w:style>
  <w:style w:type="paragraph" w:customStyle="1" w:styleId="333">
    <w:name w:val="Char1"/>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customStyle="1" w:styleId="334">
    <w:name w:val="模板普通正文"/>
    <w:basedOn w:val="23"/>
    <w:qFormat/>
    <w:uiPriority w:val="0"/>
    <w:pPr>
      <w:adjustRightInd/>
      <w:spacing w:before="156" w:beforeLines="50" w:after="10" w:afterLines="0" w:line="360" w:lineRule="auto"/>
      <w:ind w:firstLine="175" w:firstLineChars="175"/>
      <w:jc w:val="left"/>
    </w:pPr>
    <w:rPr>
      <w:rFonts w:ascii="Times New Roman" w:hAnsi="Times New Roman"/>
    </w:rPr>
  </w:style>
  <w:style w:type="paragraph" w:customStyle="1" w:styleId="335">
    <w:name w:val="EB_表格"/>
    <w:basedOn w:val="1"/>
    <w:qFormat/>
    <w:uiPriority w:val="0"/>
    <w:pPr>
      <w:adjustRightInd/>
      <w:spacing w:line="300" w:lineRule="auto"/>
      <w:jc w:val="center"/>
    </w:pPr>
  </w:style>
  <w:style w:type="paragraph" w:customStyle="1" w:styleId="33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37">
    <w:name w:val="Body Text 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338">
    <w:name w:val="默认段落样式"/>
    <w:basedOn w:val="234"/>
    <w:qFormat/>
    <w:uiPriority w:val="0"/>
    <w:pPr>
      <w:spacing w:before="0" w:beforeLines="0"/>
      <w:ind w:firstLine="480"/>
      <w:outlineLvl w:val="2"/>
    </w:pPr>
    <w:rPr>
      <w:rFonts w:ascii="仿宋_GB2312" w:hAnsi="宋体" w:eastAsia="仿宋_GB2312"/>
      <w:color w:val="000000"/>
      <w:szCs w:val="24"/>
    </w:rPr>
  </w:style>
  <w:style w:type="paragraph" w:customStyle="1" w:styleId="339">
    <w:name w:val=" 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40">
    <w:name w:val="Char3 Char Char Char"/>
    <w:basedOn w:val="1"/>
    <w:qFormat/>
    <w:uiPriority w:val="0"/>
    <w:pPr>
      <w:widowControl/>
      <w:adjustRightInd/>
      <w:spacing w:after="160" w:line="240" w:lineRule="exact"/>
      <w:jc w:val="left"/>
    </w:pPr>
    <w:rPr>
      <w:szCs w:val="20"/>
    </w:rPr>
  </w:style>
  <w:style w:type="paragraph" w:customStyle="1" w:styleId="341">
    <w:name w:val=" Char3"/>
    <w:basedOn w:val="1"/>
    <w:qFormat/>
    <w:uiPriority w:val="0"/>
    <w:pPr>
      <w:adjustRightInd/>
    </w:pPr>
    <w:rPr>
      <w:rFonts w:ascii="仿宋_GB2312" w:eastAsia="仿宋_GB2312"/>
      <w:b/>
      <w:sz w:val="32"/>
      <w:szCs w:val="32"/>
    </w:rPr>
  </w:style>
  <w:style w:type="paragraph" w:customStyle="1" w:styleId="34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3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44">
    <w:name w:val="RFI Heading 3rd Level"/>
    <w:basedOn w:val="1"/>
    <w:qFormat/>
    <w:uiPriority w:val="0"/>
    <w:pPr>
      <w:widowControl/>
      <w:tabs>
        <w:tab w:val="left" w:pos="840"/>
      </w:tabs>
      <w:adjustRightInd/>
      <w:ind w:firstLineChars="200"/>
      <w:jc w:val="left"/>
    </w:pPr>
    <w:rPr>
      <w:rFonts w:ascii="Arial (W1)" w:hAnsi="Arial (W1)"/>
      <w:color w:val="000000"/>
      <w:kern w:val="0"/>
      <w:sz w:val="24"/>
      <w:lang w:val="en-GB" w:eastAsia="en-US"/>
    </w:rPr>
  </w:style>
  <w:style w:type="paragraph" w:customStyle="1" w:styleId="34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46">
    <w:name w:val="Char"/>
    <w:basedOn w:val="1"/>
    <w:qFormat/>
    <w:uiPriority w:val="0"/>
    <w:rPr>
      <w:rFonts w:ascii="仿宋_GB2312" w:eastAsia="仿宋_GB2312"/>
      <w:b/>
      <w:sz w:val="32"/>
      <w:szCs w:val="32"/>
    </w:rPr>
  </w:style>
  <w:style w:type="paragraph" w:customStyle="1" w:styleId="347">
    <w:name w:val="小项目标题"/>
    <w:basedOn w:val="1"/>
    <w:qFormat/>
    <w:uiPriority w:val="0"/>
    <w:pPr>
      <w:adjustRightInd/>
      <w:spacing w:before="100" w:beforeLines="0" w:beforeAutospacing="1" w:after="100" w:afterLines="0" w:afterAutospacing="1" w:line="360" w:lineRule="auto"/>
      <w:ind w:left="480" w:leftChars="200" w:firstLine="200" w:firstLineChars="200"/>
      <w:jc w:val="left"/>
    </w:pPr>
    <w:rPr>
      <w:sz w:val="24"/>
    </w:rPr>
  </w:style>
  <w:style w:type="paragraph" w:customStyle="1" w:styleId="34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49">
    <w:name w:val=" Char Char11"/>
    <w:basedOn w:val="1"/>
    <w:qFormat/>
    <w:uiPriority w:val="0"/>
    <w:pPr>
      <w:spacing w:line="360" w:lineRule="auto"/>
    </w:pPr>
    <w:rPr>
      <w:szCs w:val="20"/>
    </w:rPr>
  </w:style>
  <w:style w:type="paragraph" w:customStyle="1" w:styleId="350">
    <w:name w:val="左对齐表格文字"/>
    <w:basedOn w:val="1"/>
    <w:qFormat/>
    <w:uiPriority w:val="0"/>
    <w:pPr>
      <w:adjustRightInd/>
      <w:ind w:firstLine="200" w:firstLineChars="200"/>
      <w:jc w:val="right"/>
    </w:pPr>
  </w:style>
  <w:style w:type="paragraph" w:customStyle="1" w:styleId="351">
    <w:name w:val="彩色列表 - 强调文字颜色 11"/>
    <w:basedOn w:val="1"/>
    <w:qFormat/>
    <w:uiPriority w:val="0"/>
    <w:pPr>
      <w:adjustRightInd/>
      <w:ind w:firstLine="420" w:firstLineChars="200"/>
    </w:pPr>
    <w:rPr>
      <w:rFonts w:ascii="Calibri" w:hAnsi="Calibri"/>
      <w:szCs w:val="22"/>
    </w:rPr>
  </w:style>
  <w:style w:type="paragraph" w:customStyle="1" w:styleId="352">
    <w:name w:val="正文缩进1"/>
    <w:basedOn w:val="1"/>
    <w:next w:val="23"/>
    <w:qFormat/>
    <w:uiPriority w:val="0"/>
    <w:pPr>
      <w:autoSpaceDE w:val="0"/>
      <w:autoSpaceDN w:val="0"/>
      <w:adjustRightInd w:val="0"/>
      <w:snapToGrid w:val="0"/>
      <w:spacing w:after="120" w:afterLines="0" w:line="360" w:lineRule="auto"/>
      <w:ind w:left="420" w:leftChars="200" w:firstLine="480" w:firstLineChars="200"/>
    </w:pPr>
    <w:rPr>
      <w:sz w:val="24"/>
      <w:szCs w:val="21"/>
    </w:rPr>
  </w:style>
  <w:style w:type="paragraph" w:customStyle="1" w:styleId="35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54">
    <w:name w:val="!大节"/>
    <w:basedOn w:val="3"/>
    <w:qFormat/>
    <w:uiPriority w:val="0"/>
    <w:pPr>
      <w:numPr>
        <w:ilvl w:val="0"/>
        <w:numId w:val="0"/>
      </w:numPr>
      <w:spacing w:before="260" w:beforeLines="0" w:after="260" w:afterLines="0" w:line="415" w:lineRule="auto"/>
      <w:ind w:left="420" w:hanging="420"/>
      <w:jc w:val="left"/>
    </w:pPr>
    <w:rPr>
      <w:rFonts w:ascii="Arial" w:hAnsi="Arial" w:eastAsia="微软雅黑"/>
      <w:sz w:val="32"/>
      <w:szCs w:val="32"/>
      <w:lang w:val="en-US"/>
    </w:rPr>
  </w:style>
  <w:style w:type="paragraph" w:customStyle="1" w:styleId="355">
    <w:name w:val="表文字"/>
    <w:qFormat/>
    <w:uiPriority w:val="0"/>
    <w:rPr>
      <w:rFonts w:ascii="宋体" w:hAnsi="Times New Roman" w:eastAsia="宋体" w:cs="Times New Roman"/>
      <w:kern w:val="2"/>
      <w:lang w:val="en-US" w:eastAsia="zh-CN" w:bidi="ar-SA"/>
    </w:rPr>
  </w:style>
  <w:style w:type="paragraph" w:customStyle="1" w:styleId="356">
    <w:name w:val="Char Char Char Char Char Char Char"/>
    <w:basedOn w:val="1"/>
    <w:qFormat/>
    <w:uiPriority w:val="0"/>
    <w:rPr>
      <w:rFonts w:ascii="仿宋_GB2312" w:eastAsia="仿宋_GB2312"/>
      <w:b/>
      <w:sz w:val="32"/>
      <w:szCs w:val="32"/>
    </w:rPr>
  </w:style>
  <w:style w:type="paragraph" w:customStyle="1" w:styleId="35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59">
    <w:name w:val="xl40"/>
    <w:basedOn w:val="1"/>
    <w:qFormat/>
    <w:uiPriority w:val="0"/>
    <w:pPr>
      <w:widowControl/>
      <w:pBdr>
        <w:top w:val="single" w:color="auto" w:sz="4" w:space="0"/>
        <w:bottom w:val="single" w:color="auto" w:sz="4" w:space="0"/>
        <w:right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 w:val="24"/>
    </w:rPr>
  </w:style>
  <w:style w:type="paragraph" w:customStyle="1" w:styleId="360">
    <w:name w:val="正文1"/>
    <w:basedOn w:val="30"/>
    <w:qFormat/>
    <w:uiPriority w:val="0"/>
    <w:pPr>
      <w:ind w:left="0" w:leftChars="0" w:firstLine="480" w:firstLineChars="200"/>
    </w:pPr>
    <w:rPr>
      <w:rFonts w:ascii="仿宋_GB2312" w:hAnsi="Courier New" w:eastAsia="仿宋_GB2312"/>
      <w:kern w:val="28"/>
      <w:sz w:val="24"/>
    </w:rPr>
  </w:style>
  <w:style w:type="paragraph" w:customStyle="1" w:styleId="361">
    <w:name w:val="xl38"/>
    <w:basedOn w:val="1"/>
    <w:qFormat/>
    <w:uiPriority w:val="0"/>
    <w:pPr>
      <w:widowControl/>
      <w:pBdr>
        <w:top w:val="single" w:color="auto" w:sz="4" w:space="0"/>
        <w:left w:val="single" w:color="auto" w:sz="4" w:space="0"/>
        <w:right w:val="single" w:color="auto" w:sz="4" w:space="0"/>
      </w:pBdr>
      <w:adjustRightInd/>
      <w:spacing w:before="100" w:beforeLines="0" w:beforeAutospacing="1" w:after="100" w:afterLines="0" w:afterAutospacing="1" w:line="360" w:lineRule="auto"/>
      <w:ind w:firstLine="480" w:firstLineChars="200"/>
      <w:jc w:val="center"/>
    </w:pPr>
    <w:rPr>
      <w:rFonts w:ascii="宋体" w:hAnsi="宋体" w:eastAsia="微软雅黑"/>
      <w:kern w:val="0"/>
      <w:sz w:val="20"/>
      <w:szCs w:val="20"/>
    </w:rPr>
  </w:style>
  <w:style w:type="paragraph" w:customStyle="1" w:styleId="362">
    <w:name w:val="有符号正文"/>
    <w:basedOn w:val="1"/>
    <w:qFormat/>
    <w:uiPriority w:val="0"/>
    <w:pPr>
      <w:adjustRightInd/>
      <w:spacing w:line="400" w:lineRule="exact"/>
      <w:ind w:firstLine="200" w:firstLineChars="200"/>
    </w:pPr>
    <w:rPr>
      <w:rFonts w:ascii="Arial" w:hAnsi="Arial"/>
    </w:rPr>
  </w:style>
  <w:style w:type="paragraph" w:customStyle="1" w:styleId="363">
    <w:name w:val="MM Topic 4"/>
    <w:basedOn w:val="5"/>
    <w:qFormat/>
    <w:uiPriority w:val="0"/>
    <w:pPr>
      <w:numPr>
        <w:ilvl w:val="3"/>
        <w:numId w:val="4"/>
      </w:numPr>
      <w:tabs>
        <w:tab w:val="clear" w:pos="864"/>
      </w:tabs>
      <w:adjustRightInd/>
    </w:pPr>
    <w:rPr>
      <w:lang w:val="en-US"/>
    </w:rPr>
  </w:style>
  <w:style w:type="paragraph" w:customStyle="1" w:styleId="364">
    <w:name w:val="样式 正文文本缩进 + 左侧:  2 字符 首行缩进:  2 字符"/>
    <w:basedOn w:val="2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65">
    <w:name w:val="插图说明"/>
    <w:basedOn w:val="1"/>
    <w:qFormat/>
    <w:uiPriority w:val="0"/>
    <w:pPr>
      <w:spacing w:after="240" w:afterLines="0"/>
      <w:ind w:firstLineChars="200"/>
      <w:jc w:val="center"/>
      <w:textAlignment w:val="baseline"/>
    </w:pPr>
    <w:rPr>
      <w:rFonts w:eastAsia="黑体"/>
      <w:sz w:val="24"/>
      <w:szCs w:val="20"/>
    </w:rPr>
  </w:style>
  <w:style w:type="paragraph" w:customStyle="1" w:styleId="36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67">
    <w:name w:val="font8"/>
    <w:basedOn w:val="1"/>
    <w:qFormat/>
    <w:uiPriority w:val="0"/>
    <w:pPr>
      <w:widowControl/>
      <w:adjustRightInd/>
      <w:spacing w:before="100" w:beforeLines="0" w:beforeAutospacing="1" w:after="100" w:afterLines="0" w:afterAutospacing="1"/>
      <w:jc w:val="left"/>
    </w:pPr>
    <w:rPr>
      <w:color w:val="000000"/>
      <w:kern w:val="0"/>
      <w:sz w:val="20"/>
      <w:szCs w:val="20"/>
    </w:rPr>
  </w:style>
  <w:style w:type="paragraph" w:customStyle="1" w:styleId="368">
    <w:name w:val="Char Char Char Char Char Char Char Char Char Char Char Char1 Char"/>
    <w:basedOn w:val="1"/>
    <w:qFormat/>
    <w:uiPriority w:val="0"/>
    <w:rPr>
      <w:rFonts w:ascii="Tahoma" w:hAnsi="Tahoma" w:cs="仿宋_GB2312"/>
      <w:sz w:val="24"/>
      <w:szCs w:val="20"/>
    </w:rPr>
  </w:style>
  <w:style w:type="paragraph" w:customStyle="1" w:styleId="369">
    <w:name w:val="MM Topic 2"/>
    <w:basedOn w:val="3"/>
    <w:qFormat/>
    <w:uiPriority w:val="0"/>
    <w:pPr>
      <w:numPr>
        <w:ilvl w:val="1"/>
        <w:numId w:val="4"/>
      </w:numPr>
      <w:tabs>
        <w:tab w:val="clear" w:pos="432"/>
      </w:tabs>
    </w:pPr>
    <w:rPr>
      <w:rFonts w:ascii="Arial" w:hAnsi="Arial" w:eastAsia="黑体"/>
      <w:sz w:val="32"/>
      <w:szCs w:val="32"/>
      <w:lang w:val="en-US"/>
    </w:rPr>
  </w:style>
  <w:style w:type="paragraph" w:customStyle="1" w:styleId="370">
    <w:name w:val="Char1 Char Char Char"/>
    <w:basedOn w:val="1"/>
    <w:qFormat/>
    <w:uiPriority w:val="0"/>
    <w:pPr>
      <w:widowControl/>
      <w:snapToGrid w:val="0"/>
      <w:spacing w:before="120" w:beforeLines="0" w:after="160" w:afterLines="0" w:line="360" w:lineRule="auto"/>
      <w:ind w:right="-360"/>
      <w:jc w:val="left"/>
    </w:pPr>
    <w:rPr>
      <w:rFonts w:ascii="Arial" w:hAnsi="Arial"/>
      <w:kern w:val="0"/>
      <w:sz w:val="24"/>
      <w:lang w:eastAsia="en-US"/>
    </w:rPr>
  </w:style>
  <w:style w:type="paragraph" w:customStyle="1" w:styleId="371">
    <w:name w:val="xl43"/>
    <w:basedOn w:val="1"/>
    <w:qFormat/>
    <w:uiPriority w:val="0"/>
    <w:pPr>
      <w:widowControl/>
      <w:pBdr>
        <w:top w:val="single" w:color="auto" w:sz="4" w:space="0"/>
        <w:bottom w:val="single" w:color="auto" w:sz="4" w:space="0"/>
        <w:right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Cs w:val="21"/>
    </w:rPr>
  </w:style>
  <w:style w:type="paragraph" w:customStyle="1" w:styleId="37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7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4">
    <w:name w:val="Char1 Char Char Char Char Char Char Char Char Char"/>
    <w:basedOn w:val="1"/>
    <w:semiHidden/>
    <w:qFormat/>
    <w:uiPriority w:val="0"/>
    <w:pPr>
      <w:adjustRightInd/>
      <w:spacing w:before="240" w:beforeLines="0" w:after="120" w:afterLines="0" w:line="288" w:lineRule="auto"/>
      <w:ind w:firstLine="200" w:firstLineChars="200"/>
      <w:jc w:val="left"/>
    </w:pPr>
    <w:rPr>
      <w:rFonts w:ascii="Tahoma" w:hAnsi="Tahoma"/>
      <w:sz w:val="24"/>
    </w:rPr>
  </w:style>
  <w:style w:type="paragraph" w:customStyle="1" w:styleId="37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76">
    <w:name w:val="solutionfonts1"/>
    <w:basedOn w:val="1"/>
    <w:qFormat/>
    <w:uiPriority w:val="0"/>
    <w:pPr>
      <w:widowControl/>
      <w:adjustRightInd/>
      <w:spacing w:before="100" w:beforeLines="0" w:beforeAutospacing="1" w:after="100" w:afterLines="0" w:afterAutospacing="1"/>
      <w:ind w:firstLine="200" w:firstLineChars="200"/>
      <w:jc w:val="left"/>
    </w:pPr>
    <w:rPr>
      <w:rFonts w:ascii="宋体" w:hAnsi="宋体" w:cs="宋体"/>
      <w:kern w:val="0"/>
      <w:sz w:val="24"/>
    </w:rPr>
  </w:style>
  <w:style w:type="paragraph" w:customStyle="1" w:styleId="37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378">
    <w:name w:val="4"/>
    <w:basedOn w:val="1"/>
    <w:next w:val="35"/>
    <w:qFormat/>
    <w:uiPriority w:val="0"/>
    <w:pPr>
      <w:spacing w:after="120" w:afterLines="0" w:line="480" w:lineRule="auto"/>
      <w:ind w:left="420" w:leftChars="200"/>
    </w:pPr>
    <w:rPr>
      <w:sz w:val="24"/>
      <w:szCs w:val="20"/>
    </w:rPr>
  </w:style>
  <w:style w:type="paragraph" w:customStyle="1" w:styleId="37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80">
    <w:name w:val="正文文字缩进2字"/>
    <w:basedOn w:val="22"/>
    <w:qFormat/>
    <w:uiPriority w:val="0"/>
    <w:pPr>
      <w:autoSpaceDE/>
      <w:autoSpaceDN/>
      <w:adjustRightInd/>
      <w:spacing w:before="60" w:beforeLines="0" w:after="60" w:afterLines="0"/>
      <w:ind w:firstLineChars="200"/>
    </w:pPr>
    <w:rPr>
      <w:rFonts w:ascii="Times New Roman"/>
      <w:szCs w:val="20"/>
      <w:lang w:val="en-US" w:eastAsia="zh-CN"/>
    </w:rPr>
  </w:style>
  <w:style w:type="paragraph" w:customStyle="1" w:styleId="381">
    <w:name w:val="MM Topic 3"/>
    <w:basedOn w:val="4"/>
    <w:qFormat/>
    <w:uiPriority w:val="0"/>
    <w:pPr>
      <w:numPr>
        <w:ilvl w:val="2"/>
        <w:numId w:val="4"/>
      </w:numPr>
      <w:tabs>
        <w:tab w:val="clear" w:pos="900"/>
      </w:tabs>
      <w:adjustRightInd/>
    </w:pPr>
    <w:rPr>
      <w:lang w:val="en-US" w:eastAsia="zh-CN"/>
    </w:rPr>
  </w:style>
  <w:style w:type="paragraph" w:customStyle="1" w:styleId="38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83">
    <w:name w:val="标准正文格式"/>
    <w:basedOn w:val="1"/>
    <w:qFormat/>
    <w:uiPriority w:val="0"/>
    <w:pPr>
      <w:widowControl/>
      <w:spacing w:before="60" w:beforeLines="0" w:after="120" w:afterLines="0" w:line="360" w:lineRule="auto"/>
      <w:ind w:firstLine="200" w:firstLineChars="200"/>
      <w:textAlignment w:val="baseline"/>
    </w:pPr>
    <w:rPr>
      <w:rFonts w:ascii="宋体" w:eastAsia="仿宋_GB2312" w:cs="宋体"/>
      <w:color w:val="000000"/>
      <w:kern w:val="0"/>
      <w:sz w:val="24"/>
      <w:szCs w:val="20"/>
    </w:rPr>
  </w:style>
  <w:style w:type="paragraph" w:customStyle="1" w:styleId="384">
    <w:name w:val="Test2"/>
    <w:basedOn w:val="3"/>
    <w:qFormat/>
    <w:uiPriority w:val="0"/>
    <w:pPr>
      <w:widowControl/>
      <w:adjustRightInd w:val="0"/>
      <w:snapToGrid w:val="0"/>
      <w:spacing w:before="360" w:beforeLines="0" w:after="360" w:afterLines="0" w:line="240" w:lineRule="atLeast"/>
    </w:pPr>
    <w:rPr>
      <w:rFonts w:ascii="宋体" w:hAnsi="Arial" w:eastAsia="宋体"/>
      <w:snapToGrid w:val="0"/>
      <w:kern w:val="0"/>
      <w:sz w:val="28"/>
      <w:szCs w:val="32"/>
      <w:lang w:val="en-US"/>
    </w:rPr>
  </w:style>
  <w:style w:type="paragraph" w:customStyle="1" w:styleId="38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86">
    <w:name w:val=" Char2"/>
    <w:basedOn w:val="1"/>
    <w:qFormat/>
    <w:uiPriority w:val="0"/>
    <w:rPr>
      <w:rFonts w:ascii="仿宋_GB2312" w:eastAsia="仿宋_GB2312"/>
      <w:b/>
      <w:sz w:val="32"/>
      <w:szCs w:val="32"/>
    </w:rPr>
  </w:style>
  <w:style w:type="paragraph" w:customStyle="1" w:styleId="387">
    <w:name w:val="Char2"/>
    <w:basedOn w:val="1"/>
    <w:qFormat/>
    <w:uiPriority w:val="0"/>
    <w:rPr>
      <w:rFonts w:ascii="仿宋_GB2312" w:eastAsia="仿宋_GB2312"/>
      <w:b/>
      <w:sz w:val="32"/>
      <w:szCs w:val="32"/>
    </w:rPr>
  </w:style>
  <w:style w:type="paragraph" w:customStyle="1" w:styleId="388">
    <w:name w:val=" Char Char1"/>
    <w:basedOn w:val="1"/>
    <w:qFormat/>
    <w:uiPriority w:val="0"/>
    <w:pPr>
      <w:widowControl/>
      <w:spacing w:after="160" w:afterLines="0" w:line="240" w:lineRule="exact"/>
      <w:jc w:val="left"/>
    </w:pPr>
    <w:rPr>
      <w:rFonts w:eastAsia="仿宋_GB2312"/>
      <w:sz w:val="28"/>
    </w:rPr>
  </w:style>
  <w:style w:type="paragraph" w:customStyle="1" w:styleId="38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xl42"/>
    <w:basedOn w:val="1"/>
    <w:qFormat/>
    <w:uiPriority w:val="0"/>
    <w:pPr>
      <w:widowControl/>
      <w:pBdr>
        <w:top w:val="single" w:color="auto" w:sz="4" w:space="0"/>
        <w:left w:val="single" w:color="auto" w:sz="4" w:space="0"/>
        <w:bottom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Cs w:val="21"/>
    </w:rPr>
  </w:style>
  <w:style w:type="paragraph" w:customStyle="1" w:styleId="391">
    <w:name w:val="tabletext"/>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392">
    <w:name w:val="单元格居中"/>
    <w:basedOn w:val="1"/>
    <w:qFormat/>
    <w:uiPriority w:val="0"/>
    <w:pPr>
      <w:adjustRightInd/>
      <w:spacing w:line="360" w:lineRule="auto"/>
      <w:jc w:val="center"/>
    </w:pPr>
    <w:rPr>
      <w:sz w:val="24"/>
    </w:rPr>
  </w:style>
  <w:style w:type="paragraph" w:customStyle="1" w:styleId="393">
    <w:name w:val=" Char"/>
    <w:basedOn w:val="1"/>
    <w:qFormat/>
    <w:uiPriority w:val="0"/>
    <w:rPr>
      <w:rFonts w:ascii="仿宋_GB2312" w:eastAsia="仿宋_GB2312"/>
      <w:b/>
      <w:sz w:val="32"/>
      <w:szCs w:val="32"/>
    </w:rPr>
  </w:style>
  <w:style w:type="paragraph" w:customStyle="1" w:styleId="394">
    <w:name w:val="main"/>
    <w:basedOn w:val="1"/>
    <w:qFormat/>
    <w:uiPriority w:val="0"/>
    <w:pPr>
      <w:widowControl/>
      <w:adjustRightInd/>
      <w:spacing w:before="100" w:beforeLines="0" w:beforeAutospacing="1" w:after="100" w:afterLines="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95">
    <w:name w:val="Char Char Char Char Char Char Char Char Char Char"/>
    <w:basedOn w:val="1"/>
    <w:qFormat/>
    <w:uiPriority w:val="0"/>
    <w:rPr>
      <w:rFonts w:ascii="仿宋_GB2312" w:eastAsia="仿宋_GB2312"/>
      <w:b/>
      <w:sz w:val="32"/>
      <w:szCs w:val="32"/>
    </w:rPr>
  </w:style>
  <w:style w:type="paragraph" w:customStyle="1" w:styleId="396">
    <w:name w:val="Char Char1 Char Char Char Char Char Char"/>
    <w:basedOn w:val="1"/>
    <w:qFormat/>
    <w:uiPriority w:val="0"/>
    <w:rPr>
      <w:rFonts w:ascii="仿宋_GB2312" w:eastAsia="仿宋_GB2312"/>
      <w:b/>
      <w:sz w:val="32"/>
      <w:szCs w:val="20"/>
    </w:rPr>
  </w:style>
  <w:style w:type="paragraph" w:customStyle="1" w:styleId="397">
    <w:name w:val="Char1 Char Char Char3"/>
    <w:basedOn w:val="1"/>
    <w:qFormat/>
    <w:uiPriority w:val="0"/>
    <w:pPr>
      <w:adjustRightInd/>
      <w:ind w:firstLine="200" w:firstLineChars="200"/>
    </w:pPr>
    <w:rPr>
      <w:rFonts w:ascii="Tahoma" w:hAnsi="Tahoma"/>
      <w:sz w:val="24"/>
      <w:szCs w:val="20"/>
    </w:rPr>
  </w:style>
  <w:style w:type="paragraph" w:customStyle="1" w:styleId="398">
    <w:name w:val="封面公司名"/>
    <w:qFormat/>
    <w:uiPriority w:val="0"/>
    <w:pPr>
      <w:jc w:val="center"/>
    </w:pPr>
    <w:rPr>
      <w:rFonts w:ascii="Arial" w:hAnsi="Arial" w:eastAsia="楷体_GB2312" w:cs="宋体"/>
      <w:bCs/>
      <w:kern w:val="2"/>
      <w:sz w:val="28"/>
      <w:lang w:val="en-US" w:eastAsia="zh-CN" w:bidi="ar-SA"/>
    </w:rPr>
  </w:style>
  <w:style w:type="paragraph" w:customStyle="1" w:styleId="399">
    <w:name w:val="文章标题"/>
    <w:next w:val="39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0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401">
    <w:name w:val="正文4"/>
    <w:basedOn w:val="1"/>
    <w:qFormat/>
    <w:uiPriority w:val="0"/>
    <w:pPr>
      <w:tabs>
        <w:tab w:val="left" w:pos="720"/>
      </w:tabs>
      <w:adjustRightInd/>
      <w:spacing w:before="60" w:beforeLines="0" w:after="60" w:afterLines="0" w:line="360" w:lineRule="auto"/>
      <w:ind w:left="575" w:leftChars="400" w:hanging="175" w:hangingChars="175"/>
    </w:pPr>
    <w:rPr>
      <w:sz w:val="24"/>
    </w:rPr>
  </w:style>
  <w:style w:type="paragraph" w:customStyle="1" w:styleId="402">
    <w:name w:val="Char Char"/>
    <w:basedOn w:val="1"/>
    <w:qFormat/>
    <w:uiPriority w:val="0"/>
    <w:pPr>
      <w:spacing w:line="360" w:lineRule="auto"/>
    </w:pPr>
    <w:rPr>
      <w:rFonts w:ascii="Tahoma" w:hAnsi="Tahoma"/>
      <w:sz w:val="24"/>
      <w:szCs w:val="20"/>
    </w:rPr>
  </w:style>
  <w:style w:type="paragraph" w:customStyle="1" w:styleId="4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404">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eastAsia="zh-CN"/>
    </w:rPr>
  </w:style>
  <w:style w:type="paragraph" w:customStyle="1" w:styleId="405">
    <w:name w:val="彩色列表 - 强调文字颜色 12"/>
    <w:basedOn w:val="1"/>
    <w:qFormat/>
    <w:uiPriority w:val="0"/>
    <w:pPr>
      <w:adjustRightInd/>
      <w:ind w:firstLine="420" w:firstLineChars="200"/>
    </w:pPr>
    <w:rPr>
      <w:rFonts w:ascii="Calibri" w:hAnsi="Calibri"/>
      <w:szCs w:val="22"/>
    </w:rPr>
  </w:style>
  <w:style w:type="paragraph" w:customStyle="1" w:styleId="406">
    <w:name w:val="默认段落字体 Para Char Char Char Char Char Char Char"/>
    <w:basedOn w:val="1"/>
    <w:qFormat/>
    <w:uiPriority w:val="0"/>
    <w:rPr>
      <w:rFonts w:eastAsia="仿宋_GB2312"/>
      <w:sz w:val="28"/>
      <w:szCs w:val="20"/>
    </w:rPr>
  </w:style>
  <w:style w:type="paragraph" w:customStyle="1" w:styleId="407">
    <w:name w:val="正文文字缩进项目"/>
    <w:basedOn w:val="2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08">
    <w:name w:val=" Char1"/>
    <w:basedOn w:val="1"/>
    <w:qFormat/>
    <w:uiPriority w:val="0"/>
    <w:rPr>
      <w:rFonts w:ascii="仿宋_GB2312" w:eastAsia="仿宋_GB2312"/>
      <w:b/>
      <w:sz w:val="32"/>
      <w:szCs w:val="32"/>
    </w:rPr>
  </w:style>
  <w:style w:type="paragraph" w:customStyle="1" w:styleId="40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410">
    <w:name w:val="Table Contents"/>
    <w:basedOn w:val="1"/>
    <w:qFormat/>
    <w:uiPriority w:val="0"/>
    <w:pPr>
      <w:suppressAutoHyphens/>
      <w:autoSpaceDE w:val="0"/>
      <w:spacing w:after="120" w:afterLines="0"/>
      <w:jc w:val="left"/>
    </w:pPr>
    <w:rPr>
      <w:rFonts w:ascii="Helvetica" w:hAnsi="Helvetica"/>
      <w:kern w:val="1"/>
      <w:sz w:val="20"/>
      <w:szCs w:val="20"/>
    </w:rPr>
  </w:style>
  <w:style w:type="paragraph" w:customStyle="1" w:styleId="41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12">
    <w:name w:val="Char Char1 Char Char Char Char Char Char Char Char Char Char Char Char Char Char Char"/>
    <w:basedOn w:val="1"/>
    <w:qFormat/>
    <w:uiPriority w:val="0"/>
    <w:pPr>
      <w:widowControl/>
      <w:adjustRightInd/>
      <w:spacing w:after="160" w:afterLines="0" w:line="240" w:lineRule="exact"/>
      <w:ind w:firstLine="200" w:firstLineChars="200"/>
      <w:jc w:val="left"/>
    </w:pPr>
    <w:rPr>
      <w:rFonts w:ascii="Verdana" w:hAnsi="Verdana"/>
      <w:kern w:val="0"/>
      <w:sz w:val="20"/>
      <w:szCs w:val="20"/>
      <w:lang w:eastAsia="en-US"/>
    </w:rPr>
  </w:style>
  <w:style w:type="paragraph" w:customStyle="1" w:styleId="413">
    <w:name w:val="数字标题4"/>
    <w:basedOn w:val="5"/>
    <w:qFormat/>
    <w:uiPriority w:val="0"/>
    <w:pPr>
      <w:numPr>
        <w:ilvl w:val="3"/>
        <w:numId w:val="0"/>
      </w:numPr>
      <w:tabs>
        <w:tab w:val="left" w:pos="0"/>
        <w:tab w:val="clear" w:pos="864"/>
      </w:tabs>
      <w:spacing w:before="0" w:beforeLines="0" w:after="0" w:afterLines="0" w:line="360" w:lineRule="auto"/>
      <w:ind w:left="1"/>
    </w:pPr>
    <w:rPr>
      <w:rFonts w:eastAsia="仿宋_GB2312" w:cs="Arial"/>
      <w:b w:val="0"/>
      <w:bCs w:val="0"/>
      <w:color w:val="000000"/>
      <w:kern w:val="0"/>
      <w:sz w:val="24"/>
      <w:szCs w:val="24"/>
      <w:lang w:val="en-US"/>
    </w:rPr>
  </w:style>
  <w:style w:type="paragraph" w:customStyle="1" w:styleId="414">
    <w:name w:val=" 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5">
    <w:name w:val=" Char2 Char Char"/>
    <w:basedOn w:val="1"/>
    <w:qFormat/>
    <w:uiPriority w:val="0"/>
    <w:pPr>
      <w:adjustRightInd/>
    </w:pPr>
    <w:rPr>
      <w:rFonts w:ascii="Tahoma" w:hAnsi="Tahoma"/>
      <w:sz w:val="24"/>
      <w:szCs w:val="20"/>
    </w:rPr>
  </w:style>
  <w:style w:type="paragraph" w:customStyle="1" w:styleId="416">
    <w:name w:val=" Char Char Char"/>
    <w:basedOn w:val="1"/>
    <w:qFormat/>
    <w:uiPriority w:val="0"/>
    <w:rPr>
      <w:rFonts w:ascii="Tahoma" w:hAnsi="Tahoma"/>
      <w:sz w:val="24"/>
      <w:szCs w:val="20"/>
    </w:rPr>
  </w:style>
  <w:style w:type="paragraph" w:customStyle="1" w:styleId="417">
    <w:name w:val="Bulleted List"/>
    <w:basedOn w:val="1"/>
    <w:qFormat/>
    <w:uiPriority w:val="0"/>
    <w:pPr>
      <w:tabs>
        <w:tab w:val="left" w:pos="1260"/>
      </w:tabs>
      <w:adjustRightInd/>
      <w:ind w:left="1260" w:hanging="420"/>
    </w:pPr>
  </w:style>
  <w:style w:type="paragraph" w:customStyle="1" w:styleId="418">
    <w:name w:val=" Char Char1 Char Char Char Char Char Char"/>
    <w:basedOn w:val="1"/>
    <w:qFormat/>
    <w:uiPriority w:val="0"/>
    <w:rPr>
      <w:rFonts w:ascii="仿宋_GB2312" w:eastAsia="仿宋_GB2312"/>
      <w:b/>
      <w:sz w:val="32"/>
      <w:szCs w:val="20"/>
    </w:rPr>
  </w:style>
  <w:style w:type="paragraph" w:customStyle="1" w:styleId="41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2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1">
    <w:name w:val="小节标题"/>
    <w:basedOn w:val="1"/>
    <w:qFormat/>
    <w:uiPriority w:val="0"/>
    <w:pPr>
      <w:autoSpaceDE w:val="0"/>
      <w:autoSpaceDN w:val="0"/>
      <w:spacing w:before="175" w:beforeLines="0" w:after="102" w:afterLines="0" w:line="351" w:lineRule="atLeast"/>
      <w:ind w:firstLine="200" w:firstLineChars="200"/>
    </w:pPr>
    <w:rPr>
      <w:color w:val="000000"/>
      <w:kern w:val="0"/>
      <w:szCs w:val="21"/>
    </w:rPr>
  </w:style>
  <w:style w:type="paragraph" w:customStyle="1" w:styleId="422">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423">
    <w:name w:val="Char Char Char Char"/>
    <w:basedOn w:val="1"/>
    <w:qFormat/>
    <w:uiPriority w:val="0"/>
    <w:pPr>
      <w:widowControl/>
      <w:spacing w:after="160" w:afterLines="0" w:line="240" w:lineRule="exact"/>
      <w:jc w:val="left"/>
    </w:pPr>
    <w:rPr>
      <w:rFonts w:ascii="Arial" w:hAnsi="Arial" w:eastAsia="Times New Roman" w:cs="Verdana"/>
      <w:b/>
      <w:kern w:val="0"/>
      <w:sz w:val="24"/>
      <w:szCs w:val="20"/>
      <w:lang w:eastAsia="en-US"/>
    </w:rPr>
  </w:style>
  <w:style w:type="paragraph" w:customStyle="1" w:styleId="424">
    <w:name w:val="a1"/>
    <w:basedOn w:val="1"/>
    <w:qFormat/>
    <w:uiPriority w:val="0"/>
    <w:pPr>
      <w:widowControl/>
      <w:spacing w:line="300" w:lineRule="atLeast"/>
      <w:jc w:val="left"/>
    </w:pPr>
    <w:rPr>
      <w:rFonts w:ascii="宋体" w:hAnsi="宋体"/>
      <w:kern w:val="0"/>
      <w:sz w:val="18"/>
      <w:szCs w:val="20"/>
    </w:rPr>
  </w:style>
  <w:style w:type="paragraph" w:customStyle="1" w:styleId="42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26">
    <w:name w:val=" Char Char11 Char Char Char Char Char Char Char Char Char"/>
    <w:basedOn w:val="1"/>
    <w:qFormat/>
    <w:uiPriority w:val="0"/>
    <w:pPr>
      <w:spacing w:line="360" w:lineRule="auto"/>
    </w:pPr>
    <w:rPr>
      <w:szCs w:val="20"/>
    </w:rPr>
  </w:style>
  <w:style w:type="paragraph" w:customStyle="1" w:styleId="427">
    <w:name w:val="默认段落字体 Para Char Char Char Char"/>
    <w:basedOn w:val="1"/>
    <w:qFormat/>
    <w:uiPriority w:val="0"/>
    <w:pPr>
      <w:spacing w:line="360" w:lineRule="auto"/>
    </w:pPr>
    <w:rPr>
      <w:szCs w:val="20"/>
    </w:rPr>
  </w:style>
  <w:style w:type="paragraph" w:customStyle="1" w:styleId="428">
    <w:name w:val="带编号样式"/>
    <w:basedOn w:val="331"/>
    <w:qFormat/>
    <w:uiPriority w:val="0"/>
    <w:pPr>
      <w:tabs>
        <w:tab w:val="left" w:pos="840"/>
      </w:tabs>
      <w:snapToGrid w:val="0"/>
      <w:ind w:left="840" w:hanging="420" w:firstLineChars="0"/>
    </w:pPr>
    <w:rPr>
      <w:rFonts w:ascii="仿宋_GB2312" w:eastAsia="仿宋_GB2312"/>
      <w:color w:val="000000"/>
    </w:rPr>
  </w:style>
  <w:style w:type="paragraph" w:customStyle="1" w:styleId="429">
    <w:name w:val="gf正文1"/>
    <w:basedOn w:val="1"/>
    <w:qFormat/>
    <w:uiPriority w:val="0"/>
    <w:pPr>
      <w:tabs>
        <w:tab w:val="left" w:pos="3240"/>
        <w:tab w:val="left" w:pos="3960"/>
      </w:tabs>
      <w:adjustRightInd w:val="0"/>
      <w:snapToGrid w:val="0"/>
      <w:spacing w:line="360" w:lineRule="auto"/>
      <w:ind w:firstLine="480" w:firstLineChars="200"/>
    </w:pPr>
    <w:rPr>
      <w:rFonts w:ascii="宋体" w:hAnsi="宋体" w:cs="宋体"/>
      <w:sz w:val="24"/>
    </w:rPr>
  </w:style>
  <w:style w:type="paragraph" w:customStyle="1" w:styleId="430">
    <w:name w:val="列出段落2"/>
    <w:basedOn w:val="1"/>
    <w:qFormat/>
    <w:uiPriority w:val="0"/>
    <w:pPr>
      <w:adjustRightInd/>
      <w:ind w:firstLine="420" w:firstLineChars="200"/>
    </w:pPr>
    <w:rPr>
      <w:rFonts w:ascii="宋体" w:hAnsi="宋体"/>
      <w:sz w:val="24"/>
    </w:rPr>
  </w:style>
  <w:style w:type="paragraph" w:customStyle="1" w:styleId="43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43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433">
    <w:name w:val="Char Char1 Char"/>
    <w:basedOn w:val="1"/>
    <w:qFormat/>
    <w:uiPriority w:val="0"/>
    <w:pPr>
      <w:widowControl/>
      <w:snapToGrid w:val="0"/>
      <w:spacing w:before="120" w:beforeLines="0" w:after="160" w:afterLines="0" w:line="360" w:lineRule="auto"/>
      <w:ind w:right="-360"/>
      <w:jc w:val="left"/>
    </w:pPr>
    <w:rPr>
      <w:rFonts w:ascii="Arial" w:hAnsi="Arial"/>
      <w:kern w:val="0"/>
      <w:sz w:val="24"/>
      <w:lang w:eastAsia="en-US"/>
    </w:rPr>
  </w:style>
  <w:style w:type="paragraph" w:customStyle="1" w:styleId="434">
    <w:name w:val="MM Title"/>
    <w:basedOn w:val="56"/>
    <w:qFormat/>
    <w:uiPriority w:val="0"/>
    <w:pPr>
      <w:widowControl w:val="0"/>
      <w:overflowPunct/>
      <w:autoSpaceDE/>
      <w:autoSpaceDN/>
      <w:adjustRightInd/>
      <w:spacing w:before="240" w:beforeLines="0" w:after="60" w:afterLines="0"/>
      <w:textAlignment w:val="auto"/>
      <w:outlineLvl w:val="0"/>
    </w:pPr>
    <w:rPr>
      <w:rFonts w:ascii="Arial" w:hAnsi="Arial" w:cs="Arial"/>
      <w:bCs/>
      <w:kern w:val="2"/>
      <w:sz w:val="32"/>
      <w:szCs w:val="32"/>
      <w:lang w:val="en-US"/>
    </w:rPr>
  </w:style>
  <w:style w:type="paragraph" w:customStyle="1" w:styleId="435">
    <w:name w:val="Char Char1 Char Char1 Char Char1"/>
    <w:basedOn w:val="1"/>
    <w:qFormat/>
    <w:uiPriority w:val="0"/>
    <w:pPr>
      <w:tabs>
        <w:tab w:val="left" w:pos="840"/>
      </w:tabs>
      <w:ind w:left="840" w:hanging="420"/>
    </w:pPr>
    <w:rPr>
      <w:rFonts w:ascii="Tahoma" w:hAnsi="Tahoma"/>
      <w:sz w:val="24"/>
    </w:rPr>
  </w:style>
  <w:style w:type="paragraph" w:customStyle="1" w:styleId="436">
    <w:name w:val="Char Char1"/>
    <w:basedOn w:val="1"/>
    <w:qFormat/>
    <w:uiPriority w:val="0"/>
    <w:pPr>
      <w:widowControl/>
      <w:spacing w:after="160" w:afterLines="0" w:line="240" w:lineRule="exact"/>
      <w:jc w:val="left"/>
    </w:pPr>
    <w:rPr>
      <w:rFonts w:eastAsia="仿宋_GB2312"/>
      <w:sz w:val="28"/>
    </w:rPr>
  </w:style>
  <w:style w:type="paragraph" w:customStyle="1" w:styleId="4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438">
    <w:name w:val="正文21"/>
    <w:basedOn w:val="1"/>
    <w:qFormat/>
    <w:uiPriority w:val="0"/>
    <w:pPr>
      <w:adjustRightInd/>
      <w:spacing w:before="156" w:beforeLines="0" w:line="360" w:lineRule="auto"/>
      <w:ind w:firstLine="510" w:firstLineChars="200"/>
    </w:pPr>
    <w:rPr>
      <w:sz w:val="24"/>
      <w:szCs w:val="20"/>
    </w:rPr>
  </w:style>
  <w:style w:type="paragraph" w:customStyle="1" w:styleId="439">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44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441">
    <w:name w:val="Char Char4 Char Char"/>
    <w:basedOn w:val="1"/>
    <w:qFormat/>
    <w:uiPriority w:val="0"/>
    <w:pPr>
      <w:widowControl/>
      <w:adjustRightInd/>
      <w:spacing w:after="160" w:line="240" w:lineRule="exact"/>
      <w:jc w:val="left"/>
    </w:pPr>
  </w:style>
  <w:style w:type="paragraph" w:customStyle="1" w:styleId="442">
    <w:name w:val="样式 标题 2H2h2Underrubrik1prop2l2Chapter Titlesect 1.2DO NO..."/>
    <w:basedOn w:val="3"/>
    <w:qFormat/>
    <w:uiPriority w:val="0"/>
    <w:pPr>
      <w:numPr>
        <w:ilvl w:val="0"/>
        <w:numId w:val="0"/>
      </w:numPr>
      <w:spacing w:before="120" w:beforeLines="0" w:after="120" w:afterLines="0"/>
      <w:ind w:left="425" w:hanging="425"/>
    </w:pPr>
    <w:rPr>
      <w:rFonts w:ascii="微软雅黑" w:hAnsi="微软雅黑" w:eastAsia="微软雅黑" w:cs="宋体"/>
      <w:sz w:val="32"/>
      <w:szCs w:val="20"/>
      <w:lang w:val="en-US"/>
    </w:rPr>
  </w:style>
  <w:style w:type="paragraph" w:customStyle="1" w:styleId="443">
    <w:name w:val="Char Char11 Char Char Char"/>
    <w:basedOn w:val="1"/>
    <w:qFormat/>
    <w:uiPriority w:val="0"/>
    <w:pPr>
      <w:spacing w:line="360" w:lineRule="auto"/>
    </w:pPr>
    <w:rPr>
      <w:szCs w:val="20"/>
    </w:rPr>
  </w:style>
  <w:style w:type="paragraph" w:customStyle="1" w:styleId="444">
    <w:name w:val=" Char Char Char Char"/>
    <w:basedOn w:val="1"/>
    <w:qFormat/>
    <w:uiPriority w:val="0"/>
    <w:rPr>
      <w:rFonts w:ascii="Tahoma" w:hAnsi="Tahoma"/>
      <w:sz w:val="24"/>
      <w:szCs w:val="20"/>
    </w:rPr>
  </w:style>
  <w:style w:type="paragraph" w:customStyle="1" w:styleId="44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47">
    <w:name w:val="Char19"/>
    <w:basedOn w:val="1"/>
    <w:qFormat/>
    <w:uiPriority w:val="0"/>
    <w:pPr>
      <w:adjustRightInd/>
    </w:pPr>
    <w:rPr>
      <w:szCs w:val="20"/>
    </w:rPr>
  </w:style>
  <w:style w:type="paragraph" w:customStyle="1" w:styleId="448">
    <w:name w:val="公文正文"/>
    <w:basedOn w:val="1"/>
    <w:qFormat/>
    <w:uiPriority w:val="0"/>
    <w:pPr>
      <w:adjustRightInd/>
      <w:spacing w:before="156" w:beforeLines="0" w:line="360" w:lineRule="auto"/>
      <w:ind w:firstLine="360" w:firstLineChars="200"/>
    </w:pPr>
    <w:rPr>
      <w:rFonts w:ascii="仿宋_GB2312" w:eastAsia="仿宋_GB2312"/>
      <w:sz w:val="24"/>
    </w:rPr>
  </w:style>
  <w:style w:type="paragraph" w:customStyle="1" w:styleId="44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51">
    <w:name w:val="正文 项目2"/>
    <w:basedOn w:val="318"/>
    <w:qFormat/>
    <w:uiPriority w:val="0"/>
    <w:pPr>
      <w:numPr>
        <w:ilvl w:val="0"/>
        <w:numId w:val="6"/>
      </w:numPr>
      <w:tabs>
        <w:tab w:val="clear" w:pos="840"/>
      </w:tabs>
      <w:spacing w:after="0" w:afterLines="0"/>
    </w:pPr>
  </w:style>
  <w:style w:type="paragraph" w:customStyle="1" w:styleId="45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5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454">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5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5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5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5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59">
    <w:name w:val="标书标题3"/>
    <w:basedOn w:val="4"/>
    <w:qFormat/>
    <w:uiPriority w:val="0"/>
    <w:pPr>
      <w:keepLines w:val="0"/>
      <w:widowControl/>
      <w:numPr>
        <w:ilvl w:val="2"/>
        <w:numId w:val="0"/>
      </w:numPr>
      <w:snapToGrid w:val="0"/>
      <w:spacing w:before="120" w:beforeLines="0" w:after="60" w:afterLines="0" w:line="300" w:lineRule="auto"/>
      <w:jc w:val="left"/>
    </w:pPr>
    <w:rPr>
      <w:rFonts w:ascii="Arial Narrow" w:hAnsi="Arial Narrow" w:eastAsia="仿宋_GB2312"/>
      <w:b w:val="0"/>
      <w:bCs w:val="0"/>
      <w:color w:val="000000"/>
      <w:kern w:val="0"/>
      <w:sz w:val="28"/>
      <w:lang w:val="en-US" w:eastAsia="zh-CN"/>
    </w:rPr>
  </w:style>
  <w:style w:type="paragraph" w:customStyle="1" w:styleId="46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46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2">
    <w:name w:val="Z5"/>
    <w:basedOn w:val="1"/>
    <w:next w:val="1"/>
    <w:qFormat/>
    <w:uiPriority w:val="0"/>
    <w:pPr>
      <w:tabs>
        <w:tab w:val="left" w:pos="2100"/>
      </w:tabs>
      <w:adjustRightInd/>
      <w:spacing w:before="240" w:beforeLines="0"/>
      <w:ind w:firstLine="200" w:firstLineChars="200"/>
      <w:outlineLvl w:val="4"/>
    </w:pPr>
    <w:rPr>
      <w:rFonts w:ascii="Tahoma" w:hAnsi="Tahoma" w:eastAsia="幼圆"/>
    </w:rPr>
  </w:style>
  <w:style w:type="paragraph" w:customStyle="1" w:styleId="463">
    <w:name w:val="f9a style88 f9a"/>
    <w:basedOn w:val="1"/>
    <w:qFormat/>
    <w:uiPriority w:val="0"/>
    <w:pPr>
      <w:widowControl/>
      <w:spacing w:before="100" w:beforeLines="0" w:beforeAutospacing="1" w:after="100" w:afterLines="0" w:afterAutospacing="1" w:line="276" w:lineRule="auto"/>
      <w:jc w:val="left"/>
    </w:pPr>
    <w:rPr>
      <w:rFonts w:ascii="宋体" w:hAnsi="宋体"/>
      <w:kern w:val="0"/>
      <w:sz w:val="24"/>
      <w:szCs w:val="20"/>
    </w:rPr>
  </w:style>
  <w:style w:type="paragraph" w:customStyle="1" w:styleId="464">
    <w:name w:val="正文表标题"/>
    <w:next w:val="29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6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66">
    <w:name w:val=" 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67">
    <w:name w:val=" 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6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469">
    <w:name w:val="MM Empty"/>
    <w:basedOn w:val="1"/>
    <w:qFormat/>
    <w:uiPriority w:val="0"/>
    <w:pPr>
      <w:adjustRightInd/>
    </w:pPr>
  </w:style>
  <w:style w:type="paragraph" w:customStyle="1" w:styleId="47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71">
    <w:name w:val="索引 11"/>
    <w:basedOn w:val="1"/>
    <w:next w:val="1"/>
    <w:qFormat/>
    <w:uiPriority w:val="0"/>
    <w:pPr>
      <w:adjustRightInd/>
      <w:spacing w:line="360" w:lineRule="auto"/>
    </w:pPr>
    <w:rPr>
      <w:rFonts w:ascii="仿宋_GB2312" w:eastAsia="仿宋_GB2312"/>
      <w:sz w:val="24"/>
      <w:szCs w:val="20"/>
    </w:rPr>
  </w:style>
  <w:style w:type="paragraph" w:customStyle="1" w:styleId="47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73">
    <w:name w:val="CM14"/>
    <w:basedOn w:val="474"/>
    <w:next w:val="474"/>
    <w:qFormat/>
    <w:uiPriority w:val="0"/>
    <w:pPr>
      <w:spacing w:after="68" w:afterLines="0"/>
    </w:pPr>
    <w:rPr>
      <w:rFonts w:ascii="FHLHE E+ Futura Bk" w:eastAsia="FHLHE E+ Futura Bk" w:cs="Times New Roman"/>
      <w:color w:val="auto"/>
    </w:rPr>
  </w:style>
  <w:style w:type="paragraph" w:customStyle="1" w:styleId="474">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76">
    <w:name w:val="封面"/>
    <w:basedOn w:val="1"/>
    <w:qFormat/>
    <w:uiPriority w:val="0"/>
    <w:pPr>
      <w:spacing w:line="360" w:lineRule="atLeast"/>
      <w:jc w:val="right"/>
      <w:textAlignment w:val="baseline"/>
    </w:pPr>
    <w:rPr>
      <w:rFonts w:ascii="Symbol" w:hAnsi="Symbol"/>
      <w:kern w:val="0"/>
      <w:szCs w:val="20"/>
    </w:rPr>
  </w:style>
  <w:style w:type="paragraph" w:customStyle="1" w:styleId="477">
    <w:name w:val="样式 标题 1章节第一层h1H"/>
    <w:basedOn w:val="2"/>
    <w:qFormat/>
    <w:uiPriority w:val="0"/>
    <w:pPr>
      <w:keepNext w:val="0"/>
      <w:keepLines w:val="0"/>
      <w:numPr>
        <w:ilvl w:val="0"/>
        <w:numId w:val="0"/>
      </w:numPr>
      <w:autoSpaceDE w:val="0"/>
      <w:autoSpaceDN w:val="0"/>
      <w:spacing w:before="0" w:beforeLines="0" w:after="0" w:afterLines="0" w:line="240" w:lineRule="auto"/>
      <w:jc w:val="left"/>
      <w:outlineLvl w:val="9"/>
    </w:pPr>
    <w:rPr>
      <w:kern w:val="0"/>
      <w:sz w:val="52"/>
      <w:szCs w:val="52"/>
      <w:lang w:val="zh-CN"/>
    </w:rPr>
  </w:style>
  <w:style w:type="paragraph" w:customStyle="1" w:styleId="47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47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480">
    <w:name w:val="文章总标题"/>
    <w:basedOn w:val="1"/>
    <w:qFormat/>
    <w:uiPriority w:val="0"/>
    <w:pPr>
      <w:autoSpaceDE w:val="0"/>
      <w:autoSpaceDN w:val="0"/>
      <w:spacing w:before="566" w:beforeLines="0" w:after="544" w:afterLines="0" w:line="566" w:lineRule="atLeast"/>
      <w:ind w:firstLine="200" w:firstLineChars="200"/>
      <w:jc w:val="center"/>
    </w:pPr>
    <w:rPr>
      <w:rFonts w:ascii="Arial" w:hAnsi="Arial"/>
      <w:color w:val="000000"/>
      <w:kern w:val="0"/>
      <w:sz w:val="54"/>
      <w:szCs w:val="54"/>
    </w:rPr>
  </w:style>
  <w:style w:type="paragraph" w:customStyle="1" w:styleId="481">
    <w:name w:val="xl30"/>
    <w:basedOn w:val="1"/>
    <w:qFormat/>
    <w:uiPriority w:val="0"/>
    <w:pPr>
      <w:widowControl/>
      <w:pBdr>
        <w:left w:val="single" w:color="auto" w:sz="4" w:space="0"/>
        <w:right w:val="single" w:color="auto" w:sz="4" w:space="0"/>
      </w:pBdr>
      <w:adjustRightInd/>
      <w:spacing w:before="100" w:beforeLines="0" w:beforeAutospacing="1" w:after="100" w:afterLines="0" w:afterAutospacing="1"/>
      <w:jc w:val="center"/>
    </w:pPr>
    <w:rPr>
      <w:rFonts w:eastAsia="Arial Unicode MS"/>
      <w:kern w:val="0"/>
      <w:szCs w:val="21"/>
    </w:rPr>
  </w:style>
  <w:style w:type="paragraph" w:customStyle="1" w:styleId="482">
    <w:name w:val=" Char Char11 Char Char Char"/>
    <w:basedOn w:val="1"/>
    <w:qFormat/>
    <w:uiPriority w:val="0"/>
    <w:pPr>
      <w:spacing w:line="360" w:lineRule="auto"/>
    </w:pPr>
    <w:rPr>
      <w:szCs w:val="20"/>
    </w:rPr>
  </w:style>
  <w:style w:type="paragraph" w:customStyle="1" w:styleId="483">
    <w:name w:val="方案正文"/>
    <w:basedOn w:val="1"/>
    <w:qFormat/>
    <w:uiPriority w:val="0"/>
    <w:pPr>
      <w:adjustRightInd w:val="0"/>
      <w:snapToGrid w:val="0"/>
      <w:spacing w:line="324" w:lineRule="auto"/>
      <w:ind w:firstLine="482" w:firstLineChars="200"/>
    </w:pPr>
    <w:rPr>
      <w:rFonts w:ascii="仿宋_GB2312" w:eastAsia="仿宋_GB2312"/>
      <w:b/>
      <w:color w:val="000000"/>
      <w:sz w:val="24"/>
      <w:szCs w:val="20"/>
    </w:rPr>
  </w:style>
  <w:style w:type="paragraph" w:customStyle="1" w:styleId="484">
    <w:name w:val="Char Char Char"/>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48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86">
    <w:name w:val="文档正文"/>
    <w:basedOn w:val="1"/>
    <w:qFormat/>
    <w:uiPriority w:val="0"/>
    <w:pPr>
      <w:adjustRightInd w:val="0"/>
      <w:spacing w:line="480" w:lineRule="atLeast"/>
      <w:ind w:firstLine="567"/>
      <w:textAlignment w:val="baseline"/>
    </w:pPr>
    <w:rPr>
      <w:kern w:val="0"/>
      <w:sz w:val="24"/>
      <w:szCs w:val="20"/>
    </w:rPr>
  </w:style>
  <w:style w:type="paragraph" w:customStyle="1" w:styleId="48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48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8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49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491">
    <w:name w:val="Char2 Char Char Char"/>
    <w:basedOn w:val="1"/>
    <w:qFormat/>
    <w:uiPriority w:val="0"/>
    <w:rPr>
      <w:rFonts w:ascii="仿宋_GB2312" w:eastAsia="仿宋_GB2312"/>
      <w:b/>
      <w:sz w:val="32"/>
      <w:szCs w:val="32"/>
    </w:rPr>
  </w:style>
  <w:style w:type="paragraph" w:customStyle="1" w:styleId="492">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493">
    <w:name w:val="Body"/>
    <w:basedOn w:val="1"/>
    <w:qFormat/>
    <w:uiPriority w:val="0"/>
    <w:pPr>
      <w:widowControl/>
      <w:adjustRightInd/>
      <w:spacing w:before="120" w:beforeLines="0" w:after="120" w:afterLines="0" w:line="240" w:lineRule="exact"/>
      <w:ind w:firstLine="200" w:firstLineChars="200"/>
      <w:jc w:val="left"/>
    </w:pPr>
    <w:rPr>
      <w:rFonts w:ascii="Arial" w:hAnsi="Arial"/>
      <w:kern w:val="0"/>
      <w:sz w:val="20"/>
      <w:szCs w:val="20"/>
      <w:lang w:eastAsia="en-US"/>
    </w:rPr>
  </w:style>
  <w:style w:type="paragraph" w:customStyle="1" w:styleId="494">
    <w:name w:val=" Char1 Char Char Char"/>
    <w:basedOn w:val="1"/>
    <w:qFormat/>
    <w:uiPriority w:val="0"/>
    <w:rPr>
      <w:rFonts w:ascii="Tahoma" w:hAnsi="Tahoma"/>
      <w:sz w:val="24"/>
      <w:szCs w:val="20"/>
    </w:rPr>
  </w:style>
  <w:style w:type="paragraph" w:customStyle="1" w:styleId="495">
    <w:name w:val="MM Topic 5"/>
    <w:basedOn w:val="6"/>
    <w:qFormat/>
    <w:uiPriority w:val="0"/>
    <w:pPr>
      <w:numPr>
        <w:ilvl w:val="4"/>
        <w:numId w:val="4"/>
      </w:numPr>
      <w:tabs>
        <w:tab w:val="clear" w:pos="1008"/>
      </w:tabs>
      <w:adjustRightInd/>
    </w:pPr>
  </w:style>
  <w:style w:type="paragraph" w:customStyle="1" w:styleId="49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9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textAlignment w:val="top"/>
    </w:pPr>
    <w:rPr>
      <w:rFonts w:ascii="宋体" w:hAnsi="宋体"/>
      <w:kern w:val="0"/>
      <w:sz w:val="20"/>
      <w:szCs w:val="20"/>
    </w:rPr>
  </w:style>
  <w:style w:type="paragraph" w:customStyle="1" w:styleId="498">
    <w:name w:val="目录1"/>
    <w:basedOn w:val="1"/>
    <w:qFormat/>
    <w:uiPriority w:val="0"/>
    <w:pPr>
      <w:tabs>
        <w:tab w:val="left" w:leader="dot" w:pos="8503"/>
      </w:tabs>
      <w:autoSpaceDE w:val="0"/>
      <w:autoSpaceDN w:val="0"/>
      <w:spacing w:after="136" w:afterLines="0" w:line="289" w:lineRule="atLeast"/>
      <w:ind w:firstLine="200" w:firstLineChars="200"/>
      <w:jc w:val="left"/>
    </w:pPr>
    <w:rPr>
      <w:rFonts w:ascii="Arial" w:hAnsi="Arial"/>
      <w:color w:val="000000"/>
      <w:kern w:val="0"/>
      <w:sz w:val="28"/>
      <w:szCs w:val="28"/>
    </w:rPr>
  </w:style>
  <w:style w:type="paragraph" w:customStyle="1" w:styleId="4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0">
    <w:name w:val="Char1 Char Char Char2"/>
    <w:basedOn w:val="1"/>
    <w:qFormat/>
    <w:uiPriority w:val="0"/>
    <w:pPr>
      <w:adjustRightInd/>
      <w:ind w:firstLine="200" w:firstLineChars="200"/>
    </w:pPr>
    <w:rPr>
      <w:rFonts w:ascii="Tahoma" w:hAnsi="Tahoma"/>
      <w:sz w:val="24"/>
      <w:szCs w:val="20"/>
    </w:rPr>
  </w:style>
  <w:style w:type="paragraph" w:customStyle="1" w:styleId="50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02">
    <w:name w:val=" Char Char Char Char Char Char Char Char"/>
    <w:basedOn w:val="1"/>
    <w:qFormat/>
    <w:uiPriority w:val="0"/>
    <w:pPr>
      <w:tabs>
        <w:tab w:val="left" w:pos="360"/>
      </w:tabs>
    </w:pPr>
    <w:rPr>
      <w:sz w:val="24"/>
      <w:szCs w:val="20"/>
    </w:rPr>
  </w:style>
  <w:style w:type="paragraph" w:customStyle="1" w:styleId="503">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504">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05">
    <w:name w:val=" Char Char Char Char Char Char Char"/>
    <w:basedOn w:val="1"/>
    <w:qFormat/>
    <w:uiPriority w:val="0"/>
    <w:rPr>
      <w:rFonts w:ascii="仿宋_GB2312" w:eastAsia="仿宋_GB2312"/>
      <w:b/>
      <w:sz w:val="32"/>
      <w:szCs w:val="32"/>
    </w:rPr>
  </w:style>
  <w:style w:type="paragraph" w:customStyle="1" w:styleId="506">
    <w:name w:val=" Char2 Char Char Char"/>
    <w:basedOn w:val="1"/>
    <w:qFormat/>
    <w:uiPriority w:val="0"/>
    <w:rPr>
      <w:rFonts w:ascii="仿宋_GB2312" w:eastAsia="仿宋_GB2312"/>
      <w:b/>
      <w:sz w:val="32"/>
      <w:szCs w:val="32"/>
    </w:rPr>
  </w:style>
  <w:style w:type="paragraph" w:customStyle="1" w:styleId="507">
    <w:name w:val=" Char1 Char Char Char Char Char Char Char Char Char Char Char1 Char Char Char Char Char Char Char Char Char Char Char Char Char Char1 Char Char Char Char"/>
    <w:basedOn w:val="1"/>
    <w:qFormat/>
    <w:uiPriority w:val="0"/>
    <w:pPr>
      <w:adjustRightInd w:val="0"/>
      <w:spacing w:line="360" w:lineRule="auto"/>
    </w:pPr>
    <w:rPr>
      <w:kern w:val="0"/>
      <w:sz w:val="24"/>
      <w:szCs w:val="20"/>
    </w:rPr>
  </w:style>
  <w:style w:type="paragraph" w:customStyle="1" w:styleId="508">
    <w:name w:val=" 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09">
    <w:name w:val="0"/>
    <w:basedOn w:val="1"/>
    <w:qFormat/>
    <w:uiPriority w:val="0"/>
    <w:pPr>
      <w:widowControl/>
    </w:pPr>
    <w:rPr>
      <w:kern w:val="0"/>
      <w:sz w:val="24"/>
      <w:szCs w:val="20"/>
    </w:rPr>
  </w:style>
  <w:style w:type="paragraph" w:customStyle="1" w:styleId="510">
    <w:name w:val="标题4_自定义"/>
    <w:basedOn w:val="5"/>
    <w:qFormat/>
    <w:uiPriority w:val="0"/>
    <w:pPr>
      <w:numPr>
        <w:ilvl w:val="3"/>
        <w:numId w:val="0"/>
      </w:numPr>
      <w:adjustRightInd/>
      <w:spacing w:before="0" w:beforeLines="0" w:after="0" w:afterLines="0" w:line="360" w:lineRule="auto"/>
    </w:pPr>
    <w:rPr>
      <w:rFonts w:ascii="Verdana" w:eastAsia="Verdana"/>
      <w:sz w:val="21"/>
      <w:lang w:val="en-US"/>
    </w:rPr>
  </w:style>
  <w:style w:type="paragraph" w:customStyle="1" w:styleId="511">
    <w:name w:val="body text bold"/>
    <w:basedOn w:val="22"/>
    <w:qFormat/>
    <w:uiPriority w:val="0"/>
    <w:pPr>
      <w:widowControl/>
      <w:autoSpaceDE/>
      <w:autoSpaceDN/>
      <w:adjustRightInd/>
      <w:spacing w:line="240" w:lineRule="auto"/>
      <w:ind w:firstLineChars="200"/>
      <w:jc w:val="left"/>
    </w:pPr>
    <w:rPr>
      <w:rFonts w:ascii="Futura Hv" w:hAnsi="Futura Hv"/>
      <w:kern w:val="0"/>
      <w:sz w:val="18"/>
      <w:szCs w:val="20"/>
      <w:lang w:val="en-US" w:eastAsia="en-US"/>
    </w:rPr>
  </w:style>
  <w:style w:type="paragraph" w:customStyle="1" w:styleId="5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1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4">
    <w:name w:val=" 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16">
    <w:name w:val="默认段落字体 Para Char Char Char1 Char"/>
    <w:basedOn w:val="1"/>
    <w:qFormat/>
    <w:uiPriority w:val="0"/>
    <w:pPr>
      <w:spacing w:line="240" w:lineRule="atLeast"/>
      <w:ind w:left="420" w:firstLine="420"/>
    </w:pPr>
    <w:rPr>
      <w:sz w:val="24"/>
    </w:rPr>
  </w:style>
  <w:style w:type="paragraph" w:customStyle="1" w:styleId="517">
    <w:name w:val="WW-正文文字缩进 2"/>
    <w:basedOn w:val="1"/>
    <w:qFormat/>
    <w:uiPriority w:val="0"/>
    <w:pPr>
      <w:suppressAutoHyphens/>
      <w:adjustRightInd/>
      <w:ind w:firstLine="420"/>
    </w:pPr>
    <w:rPr>
      <w:kern w:val="1"/>
      <w:szCs w:val="20"/>
    </w:rPr>
  </w:style>
  <w:style w:type="paragraph" w:customStyle="1" w:styleId="518">
    <w:name w:val="样式 正文文本缩进 + 段前: 2 字符"/>
    <w:basedOn w:val="1"/>
    <w:qFormat/>
    <w:uiPriority w:val="0"/>
    <w:pPr>
      <w:adjustRightInd/>
      <w:ind w:left="420" w:leftChars="200"/>
      <w:jc w:val="left"/>
    </w:pPr>
    <w:rPr>
      <w:sz w:val="28"/>
      <w:szCs w:val="20"/>
      <w:lang w:eastAsia="zh-TW"/>
    </w:rPr>
  </w:style>
  <w:style w:type="paragraph" w:customStyle="1" w:styleId="519">
    <w:name w:val="表格（小）"/>
    <w:basedOn w:val="1"/>
    <w:qFormat/>
    <w:uiPriority w:val="0"/>
    <w:pPr>
      <w:adjustRightInd/>
      <w:snapToGrid w:val="0"/>
      <w:spacing w:line="300" w:lineRule="auto"/>
    </w:pPr>
    <w:rPr>
      <w:rFonts w:eastAsia="仿宋"/>
      <w:szCs w:val="21"/>
    </w:rPr>
  </w:style>
  <w:style w:type="paragraph" w:customStyle="1" w:styleId="520">
    <w:name w:val="样式 标题 2标题2H2Heading 2 HiddenHeading 2 CCBSheading 22nd lev..."/>
    <w:basedOn w:val="3"/>
    <w:qFormat/>
    <w:uiPriority w:val="0"/>
    <w:pPr>
      <w:widowControl/>
      <w:spacing w:before="260" w:beforeLines="0" w:after="260" w:afterLines="0" w:line="416" w:lineRule="auto"/>
      <w:ind w:left="0" w:firstLine="0"/>
    </w:pPr>
    <w:rPr>
      <w:rFonts w:ascii="Arial" w:hAnsi="Arial" w:eastAsia="黑体"/>
      <w:sz w:val="30"/>
      <w:szCs w:val="21"/>
    </w:rPr>
  </w:style>
  <w:style w:type="paragraph" w:customStyle="1" w:styleId="521">
    <w:name w:val="表格"/>
    <w:basedOn w:val="1"/>
    <w:qFormat/>
    <w:uiPriority w:val="0"/>
    <w:pPr>
      <w:snapToGrid w:val="0"/>
      <w:ind w:firstLine="42" w:firstLineChars="21"/>
    </w:pPr>
    <w:rPr>
      <w:rFonts w:ascii="宋体" w:hAnsi="宋体"/>
      <w:kern w:val="0"/>
      <w:sz w:val="20"/>
      <w:szCs w:val="20"/>
    </w:rPr>
  </w:style>
  <w:style w:type="paragraph" w:customStyle="1" w:styleId="522">
    <w:name w:val="style82 f9a f9a f9a"/>
    <w:basedOn w:val="1"/>
    <w:qFormat/>
    <w:uiPriority w:val="0"/>
    <w:pPr>
      <w:widowControl/>
      <w:spacing w:before="100" w:beforeLines="0" w:beforeAutospacing="1" w:after="100" w:afterLines="0" w:afterAutospacing="1" w:line="276" w:lineRule="auto"/>
      <w:jc w:val="left"/>
    </w:pPr>
    <w:rPr>
      <w:rFonts w:ascii="宋体" w:hAnsi="宋体"/>
      <w:kern w:val="0"/>
      <w:sz w:val="24"/>
      <w:szCs w:val="20"/>
    </w:rPr>
  </w:style>
  <w:style w:type="paragraph" w:customStyle="1" w:styleId="52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rFonts w:ascii="宋体" w:hAnsi="宋体"/>
      <w:kern w:val="0"/>
      <w:sz w:val="20"/>
      <w:szCs w:val="20"/>
    </w:rPr>
  </w:style>
  <w:style w:type="paragraph" w:customStyle="1" w:styleId="524">
    <w:name w:val="样式 标题 3标题 3 Char第二层条h33Bold Headbh章标题1小标题level_3PIM 3..."/>
    <w:basedOn w:val="4"/>
    <w:qFormat/>
    <w:uiPriority w:val="0"/>
    <w:pPr>
      <w:numPr>
        <w:ilvl w:val="2"/>
        <w:numId w:val="0"/>
      </w:numPr>
      <w:adjustRightInd w:val="0"/>
      <w:snapToGrid w:val="0"/>
      <w:spacing w:before="0" w:beforeLines="0" w:after="0" w:afterLines="0" w:line="360" w:lineRule="auto"/>
    </w:pPr>
    <w:rPr>
      <w:rFonts w:ascii="黑体" w:hAnsi="宋体" w:eastAsia="黑体" w:cs="宋体"/>
      <w:b w:val="0"/>
      <w:bCs w:val="0"/>
      <w:color w:val="000000"/>
      <w:kern w:val="0"/>
      <w:sz w:val="28"/>
      <w:szCs w:val="20"/>
    </w:rPr>
  </w:style>
  <w:style w:type="paragraph" w:customStyle="1" w:styleId="525">
    <w:name w:val="数字标题6"/>
    <w:basedOn w:val="7"/>
    <w:next w:val="1"/>
    <w:qFormat/>
    <w:uiPriority w:val="0"/>
    <w:pPr>
      <w:numPr>
        <w:ilvl w:val="5"/>
        <w:numId w:val="5"/>
      </w:numPr>
      <w:tabs>
        <w:tab w:val="clear" w:pos="1152"/>
      </w:tabs>
    </w:pPr>
    <w:rPr>
      <w:rFonts w:ascii="Times New Roman" w:hAnsi="Times New Roman" w:eastAsia="宋体"/>
      <w:i/>
    </w:rPr>
  </w:style>
  <w:style w:type="paragraph" w:customStyle="1" w:styleId="526">
    <w:name w:val="数字标题3"/>
    <w:basedOn w:val="4"/>
    <w:next w:val="1"/>
    <w:qFormat/>
    <w:uiPriority w:val="0"/>
    <w:pPr>
      <w:numPr>
        <w:ilvl w:val="2"/>
        <w:numId w:val="0"/>
      </w:numPr>
      <w:spacing w:line="240" w:lineRule="auto"/>
    </w:pPr>
    <w:rPr>
      <w:sz w:val="28"/>
      <w:szCs w:val="28"/>
    </w:rPr>
  </w:style>
  <w:style w:type="paragraph" w:customStyle="1" w:styleId="527">
    <w:name w:val=" Char3 Char Char"/>
    <w:basedOn w:val="1"/>
    <w:qFormat/>
    <w:uiPriority w:val="0"/>
    <w:pPr>
      <w:widowControl/>
      <w:adjustRightInd/>
      <w:spacing w:after="160" w:afterLines="0" w:line="240" w:lineRule="exact"/>
      <w:jc w:val="left"/>
    </w:pPr>
    <w:rPr>
      <w:rFonts w:ascii="Arial" w:hAnsi="Arial" w:eastAsia="Times New Roman" w:cs="Verdana"/>
      <w:b/>
      <w:kern w:val="0"/>
      <w:sz w:val="24"/>
      <w:szCs w:val="20"/>
      <w:lang w:eastAsia="en-US"/>
    </w:rPr>
  </w:style>
  <w:style w:type="paragraph" w:customStyle="1" w:styleId="528">
    <w:name w:val="P1"/>
    <w:basedOn w:val="1"/>
    <w:qFormat/>
    <w:uiPriority w:val="0"/>
    <w:pPr>
      <w:adjustRightInd/>
      <w:spacing w:line="288" w:lineRule="auto"/>
      <w:ind w:firstLine="425" w:firstLineChars="200"/>
    </w:pPr>
  </w:style>
  <w:style w:type="paragraph" w:customStyle="1" w:styleId="529">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530">
    <w:name w:val="正文文字 2"/>
    <w:basedOn w:val="474"/>
    <w:next w:val="474"/>
    <w:qFormat/>
    <w:uiPriority w:val="0"/>
    <w:rPr>
      <w:rFonts w:ascii="宋体" w:eastAsia="宋体" w:cs="Times New Roman"/>
      <w:color w:val="auto"/>
    </w:rPr>
  </w:style>
  <w:style w:type="paragraph" w:customStyle="1" w:styleId="531">
    <w:name w:val="小节"/>
    <w:basedOn w:val="4"/>
    <w:qFormat/>
    <w:uiPriority w:val="0"/>
    <w:pPr>
      <w:numPr>
        <w:ilvl w:val="2"/>
        <w:numId w:val="0"/>
      </w:numPr>
      <w:adjustRightInd/>
      <w:spacing w:before="200" w:beforeLines="0" w:after="200" w:afterLines="0" w:line="560" w:lineRule="exact"/>
      <w:jc w:val="left"/>
    </w:pPr>
    <w:rPr>
      <w:rFonts w:ascii="宋体" w:hAnsi="宋体"/>
      <w:bCs w:val="0"/>
      <w:color w:val="000000"/>
      <w:spacing w:val="10"/>
      <w:kern w:val="24"/>
      <w:sz w:val="28"/>
      <w:lang w:val="en-US" w:eastAsia="zh-CN"/>
    </w:rPr>
  </w:style>
  <w:style w:type="paragraph" w:customStyle="1" w:styleId="532">
    <w:name w:val="样式6"/>
    <w:basedOn w:val="31"/>
    <w:qFormat/>
    <w:uiPriority w:val="0"/>
    <w:pPr>
      <w:spacing w:line="460" w:lineRule="exact"/>
      <w:outlineLvl w:val="2"/>
    </w:pPr>
    <w:rPr>
      <w:rFonts w:ascii="仿宋_GB2312" w:hAnsi="宋体" w:eastAsia="仿宋_GB2312"/>
      <w:b/>
      <w:bCs/>
      <w:sz w:val="24"/>
      <w:szCs w:val="24"/>
    </w:rPr>
  </w:style>
  <w:style w:type="paragraph" w:customStyle="1" w:styleId="533">
    <w:name w:val="_Style 12"/>
    <w:basedOn w:val="18"/>
    <w:qFormat/>
    <w:uiPriority w:val="0"/>
    <w:pPr>
      <w:snapToGrid w:val="0"/>
      <w:spacing w:line="360" w:lineRule="auto"/>
    </w:pPr>
  </w:style>
  <w:style w:type="paragraph" w:customStyle="1" w:styleId="534">
    <w:name w:val="标书表格字体格式"/>
    <w:next w:val="425"/>
    <w:qFormat/>
    <w:uiPriority w:val="0"/>
    <w:rPr>
      <w:rFonts w:ascii="Times New Roman" w:hAnsi="Times New Roman" w:eastAsia="宋体" w:cs="Times New Roman"/>
      <w:kern w:val="2"/>
      <w:sz w:val="21"/>
      <w:szCs w:val="24"/>
      <w:lang w:val="en-US" w:eastAsia="zh-CN" w:bidi="ar-SA"/>
    </w:rPr>
  </w:style>
  <w:style w:type="paragraph" w:customStyle="1" w:styleId="535">
    <w:name w:val="Char21"/>
    <w:basedOn w:val="1"/>
    <w:qFormat/>
    <w:uiPriority w:val="0"/>
    <w:pPr>
      <w:adjustRightInd/>
      <w:ind w:firstLine="200" w:firstLineChars="200"/>
    </w:pPr>
    <w:rPr>
      <w:rFonts w:ascii="仿宋_GB2312" w:eastAsia="仿宋_GB2312"/>
      <w:b/>
      <w:sz w:val="32"/>
      <w:szCs w:val="32"/>
    </w:rPr>
  </w:style>
  <w:style w:type="paragraph" w:customStyle="1" w:styleId="536">
    <w:name w:val="_Style 535"/>
    <w:basedOn w:val="2"/>
    <w:next w:val="1"/>
    <w:qFormat/>
    <w:uiPriority w:val="39"/>
    <w:pPr>
      <w:widowControl/>
      <w:numPr>
        <w:ilvl w:val="0"/>
        <w:numId w:val="0"/>
      </w:numPr>
      <w:adjustRightInd/>
      <w:spacing w:before="480" w:beforeLines="0" w:after="0" w:afterLines="0" w:line="276" w:lineRule="auto"/>
      <w:jc w:val="left"/>
      <w:outlineLvl w:val="9"/>
    </w:pPr>
    <w:rPr>
      <w:rFonts w:ascii="Cambria" w:hAnsi="Cambria"/>
      <w:color w:val="365F91"/>
      <w:kern w:val="0"/>
      <w:sz w:val="28"/>
      <w:szCs w:val="28"/>
    </w:rPr>
  </w:style>
  <w:style w:type="paragraph" w:customStyle="1" w:styleId="537">
    <w:name w:val="小标题"/>
    <w:basedOn w:val="1"/>
    <w:qFormat/>
    <w:uiPriority w:val="0"/>
    <w:pPr>
      <w:spacing w:before="120" w:beforeLines="0" w:line="360" w:lineRule="atLeast"/>
      <w:ind w:left="1134"/>
      <w:jc w:val="left"/>
      <w:textAlignment w:val="baseline"/>
    </w:pPr>
    <w:rPr>
      <w:rFonts w:eastAsia="黑体"/>
      <w:kern w:val="0"/>
      <w:szCs w:val="20"/>
    </w:rPr>
  </w:style>
  <w:style w:type="paragraph" w:customStyle="1" w:styleId="53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539">
    <w:name w:val="Char Char Char1 Char"/>
    <w:basedOn w:val="1"/>
    <w:qFormat/>
    <w:uiPriority w:val="0"/>
    <w:rPr>
      <w:szCs w:val="20"/>
    </w:rPr>
  </w:style>
  <w:style w:type="paragraph" w:customStyle="1" w:styleId="54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541">
    <w:name w:val="Char2 Char Char"/>
    <w:basedOn w:val="1"/>
    <w:qFormat/>
    <w:uiPriority w:val="0"/>
    <w:pPr>
      <w:adjustRightInd/>
    </w:pPr>
    <w:rPr>
      <w:rFonts w:ascii="Tahoma" w:hAnsi="Tahoma"/>
      <w:sz w:val="24"/>
      <w:szCs w:val="20"/>
    </w:rPr>
  </w:style>
  <w:style w:type="paragraph" w:customStyle="1" w:styleId="542">
    <w:name w:val="xl39"/>
    <w:basedOn w:val="1"/>
    <w:qFormat/>
    <w:uiPriority w:val="0"/>
    <w:pPr>
      <w:widowControl/>
      <w:pBdr>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543">
    <w:name w:val=" Char Char Char Char Char Char1 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544">
    <w:name w:val="目录标题"/>
    <w:basedOn w:val="1"/>
    <w:qFormat/>
    <w:uiPriority w:val="0"/>
    <w:pPr>
      <w:autoSpaceDE w:val="0"/>
      <w:autoSpaceDN w:val="0"/>
      <w:spacing w:before="566" w:beforeLines="0" w:after="544" w:afterLines="0" w:line="566" w:lineRule="atLeast"/>
      <w:ind w:firstLine="419" w:firstLineChars="200"/>
      <w:jc w:val="center"/>
    </w:pPr>
    <w:rPr>
      <w:rFonts w:ascii="Arial" w:hAnsi="Arial"/>
      <w:color w:val="000000"/>
      <w:spacing w:val="565"/>
      <w:kern w:val="0"/>
      <w:sz w:val="54"/>
      <w:szCs w:val="54"/>
    </w:rPr>
  </w:style>
  <w:style w:type="paragraph" w:customStyle="1" w:styleId="545">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54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styleId="54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8">
    <w:name w:val="bullet"/>
    <w:basedOn w:val="1"/>
    <w:qFormat/>
    <w:uiPriority w:val="0"/>
    <w:pPr>
      <w:tabs>
        <w:tab w:val="left" w:pos="840"/>
      </w:tabs>
      <w:adjustRightInd/>
      <w:ind w:left="840" w:hanging="420"/>
    </w:pPr>
  </w:style>
  <w:style w:type="paragraph" w:customStyle="1" w:styleId="549">
    <w:name w:val=" Char Char Char Char Char Char Char Char Char Char Char Char1 Char"/>
    <w:basedOn w:val="1"/>
    <w:qFormat/>
    <w:uiPriority w:val="0"/>
    <w:rPr>
      <w:rFonts w:ascii="Tahoma" w:hAnsi="Tahoma" w:cs="仿宋_GB2312"/>
      <w:sz w:val="24"/>
      <w:szCs w:val="20"/>
    </w:rPr>
  </w:style>
  <w:style w:type="paragraph" w:customStyle="1" w:styleId="550">
    <w:name w:val="正文－恩普"/>
    <w:basedOn w:val="15"/>
    <w:qFormat/>
    <w:uiPriority w:val="0"/>
    <w:pPr>
      <w:adjustRightInd/>
      <w:snapToGrid/>
      <w:spacing w:before="100" w:beforeLines="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551">
    <w:name w:val="font7"/>
    <w:basedOn w:val="1"/>
    <w:qFormat/>
    <w:uiPriority w:val="0"/>
    <w:pPr>
      <w:widowControl/>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552">
    <w:name w:val="正文（标题三）"/>
    <w:basedOn w:val="1"/>
    <w:qFormat/>
    <w:uiPriority w:val="0"/>
    <w:pPr>
      <w:spacing w:line="360" w:lineRule="auto"/>
      <w:ind w:firstLine="200" w:firstLineChars="200"/>
    </w:pPr>
    <w:rPr>
      <w:sz w:val="24"/>
    </w:rPr>
  </w:style>
  <w:style w:type="paragraph" w:customStyle="1" w:styleId="553">
    <w:name w:val="标题五"/>
    <w:basedOn w:val="1"/>
    <w:qFormat/>
    <w:uiPriority w:val="0"/>
    <w:pPr>
      <w:adjustRightInd/>
      <w:spacing w:before="156" w:beforeLines="50" w:line="360" w:lineRule="auto"/>
    </w:pPr>
    <w:rPr>
      <w:b/>
      <w:sz w:val="24"/>
    </w:rPr>
  </w:style>
  <w:style w:type="paragraph" w:customStyle="1" w:styleId="554">
    <w:name w:val="样式 标题 3H3 + 两端对齐"/>
    <w:basedOn w:val="4"/>
    <w:qFormat/>
    <w:uiPriority w:val="0"/>
    <w:pPr>
      <w:keepLines w:val="0"/>
      <w:numPr>
        <w:ilvl w:val="2"/>
        <w:numId w:val="0"/>
      </w:numPr>
      <w:spacing w:before="0" w:beforeLines="0" w:after="0" w:afterLines="0" w:line="240" w:lineRule="auto"/>
      <w:jc w:val="left"/>
    </w:pPr>
    <w:rPr>
      <w:rFonts w:cs="宋体"/>
      <w:sz w:val="21"/>
      <w:szCs w:val="20"/>
    </w:rPr>
  </w:style>
  <w:style w:type="paragraph" w:customStyle="1" w:styleId="55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5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557">
    <w:name w:val="样式 标题 22h2L1 Heading 2H2sect 1.2H21sect 1.21H22sect 1.2..."/>
    <w:basedOn w:val="3"/>
    <w:next w:val="1"/>
    <w:qFormat/>
    <w:uiPriority w:val="0"/>
    <w:pPr>
      <w:numPr>
        <w:ilvl w:val="0"/>
        <w:numId w:val="0"/>
      </w:numPr>
      <w:tabs>
        <w:tab w:val="left" w:pos="425"/>
        <w:tab w:val="clear" w:pos="432"/>
      </w:tabs>
      <w:spacing w:before="260" w:beforeLines="0" w:after="260" w:afterLines="0" w:line="415" w:lineRule="auto"/>
      <w:ind w:left="425" w:hanging="425"/>
    </w:pPr>
    <w:rPr>
      <w:rFonts w:ascii="微软雅黑" w:hAnsi="微软雅黑" w:eastAsia="微软雅黑"/>
      <w:sz w:val="32"/>
      <w:szCs w:val="32"/>
      <w:lang w:val="en-US"/>
    </w:rPr>
  </w:style>
  <w:style w:type="paragraph" w:customStyle="1" w:styleId="558">
    <w:name w:val="font5"/>
    <w:basedOn w:val="1"/>
    <w:qFormat/>
    <w:uiPriority w:val="0"/>
    <w:pPr>
      <w:widowControl/>
      <w:adjustRightInd/>
      <w:spacing w:before="100" w:beforeLines="0" w:beforeAutospacing="1" w:after="100" w:afterLines="0" w:afterAutospacing="1" w:line="360" w:lineRule="auto"/>
      <w:ind w:firstLine="200" w:firstLineChars="200"/>
      <w:jc w:val="left"/>
    </w:pPr>
    <w:rPr>
      <w:rFonts w:hint="eastAsia" w:ascii="宋体" w:hAnsi="宋体"/>
      <w:kern w:val="0"/>
      <w:sz w:val="18"/>
      <w:szCs w:val="18"/>
    </w:rPr>
  </w:style>
  <w:style w:type="paragraph" w:customStyle="1" w:styleId="559">
    <w:name w:val="样式3"/>
    <w:basedOn w:val="280"/>
    <w:qFormat/>
    <w:uiPriority w:val="0"/>
    <w:pPr>
      <w:spacing w:before="312" w:beforeLines="100"/>
      <w:jc w:val="left"/>
    </w:pPr>
  </w:style>
  <w:style w:type="paragraph" w:customStyle="1" w:styleId="56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61">
    <w:name w:val="数字标题1"/>
    <w:basedOn w:val="2"/>
    <w:next w:val="1"/>
    <w:qFormat/>
    <w:uiPriority w:val="0"/>
    <w:pPr>
      <w:numPr>
        <w:ilvl w:val="0"/>
        <w:numId w:val="5"/>
      </w:numPr>
      <w:tabs>
        <w:tab w:val="clear" w:pos="432"/>
      </w:tabs>
    </w:pPr>
  </w:style>
  <w:style w:type="paragraph" w:customStyle="1" w:styleId="56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56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64">
    <w:name w:val="List Paragraph1"/>
    <w:basedOn w:val="1"/>
    <w:qFormat/>
    <w:uiPriority w:val="34"/>
    <w:pPr>
      <w:spacing w:line="360" w:lineRule="auto"/>
      <w:ind w:firstLine="200" w:firstLineChars="200"/>
    </w:pPr>
    <w:rPr>
      <w:rFonts w:eastAsia="楷体_GB2312" w:cs="Lucida Sans"/>
      <w:sz w:val="24"/>
    </w:rPr>
  </w:style>
  <w:style w:type="paragraph" w:customStyle="1" w:styleId="565">
    <w:name w:val=" Char Char Char1 Char"/>
    <w:basedOn w:val="1"/>
    <w:qFormat/>
    <w:uiPriority w:val="0"/>
    <w:rPr>
      <w:szCs w:val="20"/>
    </w:rPr>
  </w:style>
  <w:style w:type="paragraph" w:customStyle="1" w:styleId="566">
    <w:name w:val="_Style 565"/>
    <w:qFormat/>
    <w:uiPriority w:val="0"/>
    <w:rPr>
      <w:rFonts w:ascii="Times New Roman" w:hAnsi="Times New Roman" w:eastAsia="宋体" w:cs="Times New Roman"/>
      <w:kern w:val="2"/>
      <w:sz w:val="21"/>
      <w:lang w:val="en-US" w:eastAsia="zh-CN" w:bidi="ar-SA"/>
    </w:rPr>
  </w:style>
  <w:style w:type="paragraph" w:customStyle="1" w:styleId="567">
    <w:name w:val="Char1 Char Char Char4"/>
    <w:basedOn w:val="1"/>
    <w:qFormat/>
    <w:uiPriority w:val="0"/>
    <w:pPr>
      <w:adjustRightInd/>
      <w:ind w:firstLine="200" w:firstLineChars="200"/>
    </w:pPr>
    <w:rPr>
      <w:rFonts w:ascii="Tahoma" w:hAnsi="Tahoma"/>
      <w:sz w:val="24"/>
      <w:szCs w:val="20"/>
    </w:rPr>
  </w:style>
  <w:style w:type="paragraph" w:customStyle="1" w:styleId="56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7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1">
    <w:name w:val="标书标题4"/>
    <w:basedOn w:val="5"/>
    <w:qFormat/>
    <w:uiPriority w:val="0"/>
    <w:pPr>
      <w:keepLines w:val="0"/>
      <w:numPr>
        <w:ilvl w:val="3"/>
        <w:numId w:val="0"/>
      </w:numPr>
      <w:snapToGrid w:val="0"/>
      <w:spacing w:before="0" w:beforeLines="0" w:after="0" w:afterLines="0" w:line="300" w:lineRule="auto"/>
    </w:pPr>
    <w:rPr>
      <w:rFonts w:ascii="Arial Narrow" w:hAnsi="Arial Narrow" w:eastAsia="仿宋_GB2312"/>
      <w:bCs w:val="0"/>
      <w:color w:val="000000"/>
      <w:kern w:val="0"/>
      <w:szCs w:val="32"/>
      <w:lang w:val="en-US"/>
    </w:rPr>
  </w:style>
  <w:style w:type="paragraph" w:customStyle="1" w:styleId="572">
    <w:name w:val="xl25"/>
    <w:basedOn w:val="1"/>
    <w:qFormat/>
    <w:uiPriority w:val="0"/>
    <w:pPr>
      <w:widowControl/>
      <w:spacing w:before="100" w:beforeLines="0" w:beforeAutospacing="1" w:after="100" w:afterLines="0" w:afterAutospacing="1"/>
      <w:jc w:val="center"/>
      <w:textAlignment w:val="center"/>
    </w:pPr>
    <w:rPr>
      <w:rFonts w:hint="eastAsia" w:ascii="楷体_GB2312" w:hAnsi="宋体" w:eastAsia="楷体_GB2312"/>
      <w:kern w:val="0"/>
      <w:sz w:val="24"/>
    </w:rPr>
  </w:style>
  <w:style w:type="paragraph" w:customStyle="1" w:styleId="573">
    <w:name w:val="表格文字（大）"/>
    <w:basedOn w:val="1"/>
    <w:qFormat/>
    <w:uiPriority w:val="0"/>
    <w:pPr>
      <w:adjustRightInd/>
      <w:spacing w:before="20" w:beforeLines="0" w:after="20" w:afterLines="0"/>
      <w:ind w:firstLine="200" w:firstLineChars="200"/>
    </w:pPr>
    <w:rPr>
      <w:rFonts w:ascii="Century Gothic" w:hAnsi="Century Gothic"/>
      <w:sz w:val="24"/>
      <w:szCs w:val="20"/>
    </w:rPr>
  </w:style>
  <w:style w:type="paragraph" w:customStyle="1" w:styleId="574">
    <w:name w:val="xl23"/>
    <w:basedOn w:val="1"/>
    <w:qFormat/>
    <w:uiPriority w:val="0"/>
    <w:pPr>
      <w:widowControl/>
      <w:adjustRightInd/>
      <w:spacing w:before="100" w:beforeLines="0" w:beforeAutospacing="1" w:after="100" w:afterLines="0" w:afterAutospacing="1" w:line="360" w:lineRule="auto"/>
      <w:ind w:firstLine="200" w:firstLineChars="200"/>
      <w:textAlignment w:val="top"/>
    </w:pPr>
    <w:rPr>
      <w:kern w:val="0"/>
      <w:sz w:val="24"/>
    </w:rPr>
  </w:style>
  <w:style w:type="paragraph" w:customStyle="1" w:styleId="57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5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77">
    <w:name w:val="章正文"/>
    <w:basedOn w:val="1"/>
    <w:qFormat/>
    <w:uiPriority w:val="0"/>
    <w:pPr>
      <w:adjustRightInd/>
      <w:spacing w:before="156" w:beforeLines="50" w:after="120" w:afterLines="0" w:line="300" w:lineRule="auto"/>
      <w:ind w:firstLine="480" w:firstLineChars="200"/>
    </w:pPr>
    <w:rPr>
      <w:rFonts w:ascii="Helvetica" w:hAnsi="Helvetica"/>
      <w:kern w:val="0"/>
      <w:sz w:val="24"/>
    </w:rPr>
  </w:style>
  <w:style w:type="paragraph" w:customStyle="1" w:styleId="57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79">
    <w:name w:val="style25"/>
    <w:basedOn w:val="1"/>
    <w:qFormat/>
    <w:uiPriority w:val="0"/>
    <w:pPr>
      <w:widowControl/>
      <w:adjustRightInd/>
      <w:spacing w:before="100" w:beforeLines="0" w:beforeAutospacing="1" w:after="100" w:afterLines="0" w:afterAutospacing="1"/>
      <w:ind w:firstLine="200" w:firstLineChars="200"/>
      <w:jc w:val="left"/>
    </w:pPr>
    <w:rPr>
      <w:rFonts w:ascii="宋体" w:hAnsi="宋体" w:cs="宋体"/>
      <w:color w:val="557AAF"/>
      <w:kern w:val="0"/>
      <w:sz w:val="18"/>
      <w:szCs w:val="18"/>
    </w:rPr>
  </w:style>
  <w:style w:type="paragraph" w:customStyle="1" w:styleId="580">
    <w:name w:val="Thf"/>
    <w:basedOn w:val="568"/>
    <w:qFormat/>
    <w:uiPriority w:val="0"/>
    <w:pPr>
      <w:ind w:left="0"/>
    </w:pPr>
  </w:style>
  <w:style w:type="paragraph" w:customStyle="1" w:styleId="581">
    <w:name w:val="Char Char Char Char Char Char Char Char"/>
    <w:basedOn w:val="1"/>
    <w:qFormat/>
    <w:uiPriority w:val="0"/>
    <w:pPr>
      <w:tabs>
        <w:tab w:val="left" w:pos="360"/>
      </w:tabs>
    </w:pPr>
    <w:rPr>
      <w:sz w:val="24"/>
      <w:szCs w:val="20"/>
    </w:rPr>
  </w:style>
  <w:style w:type="paragraph" w:customStyle="1" w:styleId="582">
    <w:name w:val="List Paragraph2"/>
    <w:basedOn w:val="1"/>
    <w:qFormat/>
    <w:uiPriority w:val="0"/>
    <w:pPr>
      <w:adjustRightInd/>
      <w:spacing w:line="360" w:lineRule="auto"/>
      <w:ind w:firstLine="420" w:firstLineChars="200"/>
    </w:pPr>
    <w:rPr>
      <w:rFonts w:ascii="Calibri" w:hAnsi="Calibri"/>
      <w:sz w:val="24"/>
      <w:szCs w:val="22"/>
    </w:rPr>
  </w:style>
  <w:style w:type="paragraph" w:customStyle="1" w:styleId="583">
    <w:name w:val="样式"/>
    <w:basedOn w:val="1"/>
    <w:qFormat/>
    <w:uiPriority w:val="0"/>
    <w:pPr>
      <w:autoSpaceDE w:val="0"/>
      <w:autoSpaceDN w:val="0"/>
      <w:snapToGrid w:val="0"/>
      <w:spacing w:before="120" w:beforeLines="0" w:after="120" w:afterLines="0" w:line="360" w:lineRule="auto"/>
    </w:pPr>
    <w:rPr>
      <w:rFonts w:ascii="宋体"/>
      <w:sz w:val="24"/>
      <w:szCs w:val="20"/>
    </w:rPr>
  </w:style>
  <w:style w:type="paragraph" w:customStyle="1" w:styleId="584">
    <w:name w:val="Char1 Char Char Char5"/>
    <w:basedOn w:val="1"/>
    <w:qFormat/>
    <w:uiPriority w:val="0"/>
    <w:pPr>
      <w:adjustRightInd/>
      <w:ind w:firstLine="200" w:firstLineChars="200"/>
    </w:pPr>
    <w:rPr>
      <w:rFonts w:ascii="Tahoma" w:hAnsi="Tahoma"/>
      <w:sz w:val="24"/>
      <w:szCs w:val="20"/>
    </w:rPr>
  </w:style>
  <w:style w:type="paragraph" w:customStyle="1" w:styleId="58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86">
    <w:name w:val="样式1 + (中宋体"/>
    <w:basedOn w:val="57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587">
    <w:name w:val="Table Text"/>
    <w:basedOn w:val="1"/>
    <w:qFormat/>
    <w:uiPriority w:val="0"/>
    <w:pPr>
      <w:widowControl/>
      <w:spacing w:before="60" w:beforeLines="0" w:after="60" w:afterLines="0"/>
      <w:jc w:val="left"/>
    </w:pPr>
    <w:rPr>
      <w:kern w:val="0"/>
      <w:sz w:val="24"/>
    </w:rPr>
  </w:style>
  <w:style w:type="paragraph" w:customStyle="1" w:styleId="588">
    <w:name w:val="p0"/>
    <w:basedOn w:val="1"/>
    <w:qFormat/>
    <w:uiPriority w:val="0"/>
    <w:pPr>
      <w:widowControl/>
      <w:adjustRightInd/>
    </w:pPr>
    <w:rPr>
      <w:kern w:val="0"/>
      <w:szCs w:val="21"/>
    </w:rPr>
  </w:style>
  <w:style w:type="paragraph" w:styleId="589">
    <w:name w:val="List Paragraph"/>
    <w:basedOn w:val="1"/>
    <w:qFormat/>
    <w:uiPriority w:val="34"/>
    <w:pPr>
      <w:spacing w:line="360" w:lineRule="auto"/>
      <w:ind w:firstLine="200" w:firstLineChars="200"/>
    </w:pPr>
    <w:rPr>
      <w:rFonts w:eastAsia="楷体_GB2312" w:cs="Lucida Sans"/>
      <w:sz w:val="24"/>
    </w:rPr>
  </w:style>
  <w:style w:type="paragraph" w:customStyle="1" w:styleId="590">
    <w:name w:val="xl41"/>
    <w:basedOn w:val="1"/>
    <w:qFormat/>
    <w:uiPriority w:val="0"/>
    <w:pPr>
      <w:widowControl/>
      <w:pBdr>
        <w:top w:val="single" w:color="auto" w:sz="4" w:space="0"/>
        <w:bottom w:val="single" w:color="auto" w:sz="4" w:space="0"/>
      </w:pBdr>
      <w:adjustRightInd/>
      <w:spacing w:before="100" w:beforeLines="0" w:beforeAutospacing="1" w:after="100" w:afterLines="0" w:afterAutospacing="1"/>
      <w:ind w:firstLine="200" w:firstLineChars="200"/>
      <w:jc w:val="center"/>
    </w:pPr>
    <w:rPr>
      <w:rFonts w:ascii="微软雅黑" w:hAnsi="微软雅黑" w:eastAsia="微软雅黑" w:cs="宋体"/>
      <w:b/>
      <w:bCs/>
      <w:kern w:val="0"/>
      <w:sz w:val="24"/>
    </w:rPr>
  </w:style>
  <w:style w:type="paragraph" w:customStyle="1" w:styleId="591">
    <w:name w:val="FA正文"/>
    <w:basedOn w:val="1"/>
    <w:qFormat/>
    <w:uiPriority w:val="0"/>
    <w:pPr>
      <w:spacing w:line="360" w:lineRule="auto"/>
      <w:ind w:firstLine="480" w:firstLineChars="200"/>
    </w:pPr>
    <w:rPr>
      <w:rFonts w:hAnsi="宋体"/>
      <w:sz w:val="24"/>
      <w:szCs w:val="20"/>
    </w:rPr>
  </w:style>
  <w:style w:type="paragraph" w:customStyle="1" w:styleId="592">
    <w:name w:val="样式 标题 1Level 1 HeadPIM 1Section Headh1l11Heading 0Datash..."/>
    <w:basedOn w:val="2"/>
    <w:qFormat/>
    <w:uiPriority w:val="0"/>
    <w:pPr>
      <w:keepNext w:val="0"/>
      <w:keepLines w:val="0"/>
      <w:widowControl/>
      <w:numPr>
        <w:ilvl w:val="0"/>
        <w:numId w:val="0"/>
      </w:numPr>
      <w:overflowPunct w:val="0"/>
      <w:autoSpaceDE w:val="0"/>
      <w:autoSpaceDN w:val="0"/>
      <w:spacing w:before="0" w:beforeLines="0" w:after="100" w:afterLines="0" w:line="360" w:lineRule="auto"/>
      <w:jc w:val="left"/>
      <w:textAlignment w:val="baseline"/>
    </w:pPr>
    <w:rPr>
      <w:rFonts w:ascii="宋体" w:hAnsi="宋体"/>
      <w:kern w:val="2"/>
      <w:sz w:val="24"/>
      <w:szCs w:val="20"/>
    </w:rPr>
  </w:style>
  <w:style w:type="paragraph" w:customStyle="1" w:styleId="593">
    <w:name w:val="样式 小四 首行缩进:  0.74 厘米 行距: 1.5 倍行距"/>
    <w:basedOn w:val="1"/>
    <w:qFormat/>
    <w:uiPriority w:val="0"/>
    <w:pPr>
      <w:adjustRightInd/>
      <w:spacing w:before="100" w:beforeLines="0" w:beforeAutospacing="1" w:after="100" w:afterLines="0" w:afterAutospacing="1" w:line="300" w:lineRule="auto"/>
      <w:ind w:firstLine="480" w:firstLineChars="200"/>
    </w:pPr>
    <w:rPr>
      <w:rFonts w:ascii="宋体" w:hAnsi="宋体" w:eastAsia="微软雅黑"/>
      <w:sz w:val="24"/>
    </w:rPr>
  </w:style>
  <w:style w:type="paragraph" w:customStyle="1" w:styleId="594">
    <w:name w:val=" Char3 Char Char Char"/>
    <w:basedOn w:val="1"/>
    <w:qFormat/>
    <w:uiPriority w:val="0"/>
    <w:pPr>
      <w:widowControl/>
      <w:adjustRightInd/>
      <w:spacing w:after="160" w:afterLines="0" w:line="240" w:lineRule="exact"/>
      <w:jc w:val="left"/>
    </w:pPr>
    <w:rPr>
      <w:szCs w:val="20"/>
    </w:rPr>
  </w:style>
  <w:style w:type="paragraph" w:customStyle="1" w:styleId="595">
    <w:name w:val="标题 41"/>
    <w:basedOn w:val="1"/>
    <w:next w:val="1"/>
    <w:unhideWhenUsed/>
    <w:qFormat/>
    <w:uiPriority w:val="9"/>
    <w:pPr>
      <w:keepNext/>
      <w:keepLines/>
      <w:adjustRightInd/>
      <w:spacing w:before="280" w:beforeLines="0" w:after="290" w:afterLines="0" w:line="376" w:lineRule="auto"/>
      <w:outlineLvl w:val="3"/>
    </w:pPr>
    <w:rPr>
      <w:rFonts w:ascii="Cambria" w:hAnsi="Cambria"/>
      <w:b/>
      <w:bCs/>
      <w:sz w:val="28"/>
      <w:szCs w:val="28"/>
    </w:rPr>
  </w:style>
  <w:style w:type="paragraph" w:customStyle="1" w:styleId="596">
    <w:name w:val=" 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97">
    <w:name w:val="font6"/>
    <w:basedOn w:val="1"/>
    <w:qFormat/>
    <w:uiPriority w:val="0"/>
    <w:pPr>
      <w:widowControl/>
      <w:adjustRightInd/>
      <w:spacing w:before="100" w:beforeLines="0" w:beforeAutospacing="1" w:after="100" w:afterLines="0" w:afterAutospacing="1" w:line="360" w:lineRule="auto"/>
      <w:ind w:firstLine="200" w:firstLineChars="200"/>
      <w:jc w:val="left"/>
    </w:pPr>
    <w:rPr>
      <w:rFonts w:hint="eastAsia" w:ascii="宋体" w:hAnsi="宋体"/>
      <w:kern w:val="0"/>
      <w:sz w:val="20"/>
      <w:szCs w:val="20"/>
    </w:rPr>
  </w:style>
  <w:style w:type="paragraph" w:customStyle="1" w:styleId="598">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99">
    <w:name w:val="MM Topic 1"/>
    <w:basedOn w:val="2"/>
    <w:qFormat/>
    <w:uiPriority w:val="0"/>
    <w:pPr>
      <w:numPr>
        <w:ilvl w:val="0"/>
        <w:numId w:val="0"/>
      </w:numPr>
      <w:tabs>
        <w:tab w:val="left" w:pos="840"/>
      </w:tabs>
      <w:adjustRightInd/>
      <w:ind w:left="840" w:hanging="420"/>
    </w:pPr>
  </w:style>
  <w:style w:type="paragraph" w:customStyle="1" w:styleId="600">
    <w:name w:val="bt_content"/>
    <w:basedOn w:val="1"/>
    <w:qFormat/>
    <w:uiPriority w:val="0"/>
    <w:pPr>
      <w:widowControl/>
      <w:adjustRightInd/>
      <w:spacing w:before="100" w:beforeLines="0" w:beforeAutospacing="1" w:after="100" w:afterLines="0" w:afterAutospacing="1" w:line="360" w:lineRule="auto"/>
      <w:ind w:firstLine="480" w:firstLineChars="200"/>
      <w:jc w:val="left"/>
    </w:pPr>
    <w:rPr>
      <w:rFonts w:ascii="宋体" w:hAnsi="宋体" w:eastAsia="微软雅黑" w:cs="宋体"/>
      <w:kern w:val="0"/>
      <w:sz w:val="24"/>
    </w:rPr>
  </w:style>
  <w:style w:type="paragraph" w:customStyle="1" w:styleId="601">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602">
    <w:name w:val="列表内容"/>
    <w:basedOn w:val="1"/>
    <w:next w:val="1"/>
    <w:qFormat/>
    <w:uiPriority w:val="0"/>
    <w:pPr>
      <w:widowControl/>
      <w:tabs>
        <w:tab w:val="left" w:pos="840"/>
      </w:tabs>
      <w:ind w:left="840" w:hanging="420"/>
      <w:jc w:val="left"/>
    </w:pPr>
    <w:rPr>
      <w:kern w:val="0"/>
      <w:sz w:val="18"/>
    </w:rPr>
  </w:style>
  <w:style w:type="paragraph" w:customStyle="1" w:styleId="60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0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05">
    <w:name w:val="单元格左对齐"/>
    <w:basedOn w:val="1"/>
    <w:qFormat/>
    <w:uiPriority w:val="0"/>
    <w:pPr>
      <w:adjustRightInd/>
      <w:spacing w:line="360" w:lineRule="auto"/>
    </w:pPr>
    <w:rPr>
      <w:sz w:val="24"/>
    </w:rPr>
  </w:style>
  <w:style w:type="paragraph" w:customStyle="1" w:styleId="606">
    <w:name w:val="Char1 Char Char Char1"/>
    <w:basedOn w:val="1"/>
    <w:qFormat/>
    <w:uiPriority w:val="0"/>
    <w:pPr>
      <w:adjustRightInd/>
      <w:ind w:firstLine="200" w:firstLineChars="200"/>
    </w:pPr>
    <w:rPr>
      <w:rFonts w:ascii="Tahoma" w:hAnsi="Tahoma"/>
      <w:sz w:val="24"/>
      <w:szCs w:val="20"/>
    </w:rPr>
  </w:style>
  <w:style w:type="paragraph" w:customStyle="1" w:styleId="607">
    <w:name w:val=" Char Char1 Char Char Char"/>
    <w:basedOn w:val="1"/>
    <w:qFormat/>
    <w:uiPriority w:val="0"/>
    <w:rPr>
      <w:rFonts w:ascii="仿宋_GB2312" w:eastAsia="仿宋_GB2312"/>
      <w:b/>
      <w:sz w:val="32"/>
      <w:szCs w:val="32"/>
    </w:rPr>
  </w:style>
  <w:style w:type="paragraph" w:customStyle="1" w:styleId="608">
    <w:name w:val="图中文字"/>
    <w:basedOn w:val="1"/>
    <w:qFormat/>
    <w:uiPriority w:val="0"/>
    <w:pPr>
      <w:snapToGrid w:val="0"/>
      <w:spacing w:line="0" w:lineRule="atLeast"/>
      <w:ind w:firstLine="200" w:firstLineChars="200"/>
      <w:jc w:val="center"/>
    </w:pPr>
    <w:rPr>
      <w:sz w:val="24"/>
      <w:szCs w:val="20"/>
    </w:rPr>
  </w:style>
  <w:style w:type="paragraph" w:customStyle="1" w:styleId="609">
    <w:name w:val="正文段"/>
    <w:basedOn w:val="1"/>
    <w:qFormat/>
    <w:uiPriority w:val="0"/>
    <w:pPr>
      <w:widowControl/>
      <w:snapToGrid w:val="0"/>
      <w:spacing w:after="156" w:afterLines="50"/>
      <w:ind w:firstLine="200" w:firstLineChars="200"/>
    </w:pPr>
    <w:rPr>
      <w:kern w:val="0"/>
      <w:sz w:val="24"/>
      <w:szCs w:val="20"/>
    </w:rPr>
  </w:style>
  <w:style w:type="paragraph" w:customStyle="1" w:styleId="610">
    <w:name w:val="font9"/>
    <w:basedOn w:val="1"/>
    <w:qFormat/>
    <w:uiPriority w:val="0"/>
    <w:pPr>
      <w:widowControl/>
      <w:adjustRightInd/>
      <w:spacing w:before="100" w:beforeLines="0" w:beforeAutospacing="1" w:after="100" w:afterLines="0" w:afterAutospacing="1"/>
      <w:jc w:val="left"/>
    </w:pPr>
    <w:rPr>
      <w:rFonts w:hint="eastAsia" w:ascii="宋体" w:hAnsi="宋体"/>
      <w:kern w:val="0"/>
      <w:sz w:val="20"/>
      <w:szCs w:val="20"/>
    </w:rPr>
  </w:style>
  <w:style w:type="paragraph" w:customStyle="1" w:styleId="611">
    <w:name w:val="正文文字表格居中"/>
    <w:basedOn w:val="1"/>
    <w:next w:val="53"/>
    <w:qFormat/>
    <w:uiPriority w:val="0"/>
    <w:pPr>
      <w:snapToGrid w:val="0"/>
      <w:spacing w:line="360" w:lineRule="auto"/>
    </w:pPr>
    <w:rPr>
      <w:rFonts w:ascii="宋体"/>
      <w:b/>
      <w:sz w:val="24"/>
      <w:szCs w:val="20"/>
    </w:rPr>
  </w:style>
  <w:style w:type="paragraph" w:customStyle="1" w:styleId="612">
    <w:name w:val="样式 样式2 + 左侧:  1 字符 右侧:  1 字符"/>
    <w:basedOn w:val="28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eastAsia="zh-CN"/>
    </w:rPr>
  </w:style>
  <w:style w:type="paragraph" w:customStyle="1" w:styleId="613">
    <w:name w:val="CSS1级正文 Char"/>
    <w:basedOn w:val="22"/>
    <w:qFormat/>
    <w:uiPriority w:val="0"/>
    <w:pPr>
      <w:autoSpaceDE/>
      <w:autoSpaceDN/>
      <w:snapToGrid w:val="0"/>
      <w:ind w:firstLine="480" w:firstLineChars="200"/>
    </w:pPr>
    <w:rPr>
      <w:rFonts w:ascii="Times New Roman"/>
      <w:szCs w:val="24"/>
      <w:lang w:val="en-US" w:eastAsia="zh-CN"/>
    </w:rPr>
  </w:style>
  <w:style w:type="paragraph" w:customStyle="1" w:styleId="614">
    <w:name w:val="样式 标题 4PIM 4H4h4bulletblbbH41H42H43H44H45H46H47H48...1"/>
    <w:basedOn w:val="5"/>
    <w:qFormat/>
    <w:uiPriority w:val="0"/>
    <w:pPr>
      <w:widowControl/>
      <w:jc w:val="left"/>
    </w:pPr>
    <w:rPr>
      <w:rFonts w:cs="宋体"/>
      <w:sz w:val="24"/>
      <w:szCs w:val="20"/>
    </w:rPr>
  </w:style>
  <w:style w:type="paragraph" w:customStyle="1" w:styleId="61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6">
    <w:name w:val="button"/>
    <w:basedOn w:val="1"/>
    <w:qFormat/>
    <w:uiPriority w:val="0"/>
    <w:pPr>
      <w:widowControl/>
      <w:spacing w:before="100" w:beforeLines="0" w:beforeAutospacing="1" w:after="100" w:afterLines="0" w:afterAutospacing="1"/>
      <w:jc w:val="left"/>
    </w:pPr>
    <w:rPr>
      <w:rFonts w:ascii="Arial Unicode MS" w:hAnsi="Arial Unicode MS"/>
      <w:color w:val="000000"/>
      <w:kern w:val="0"/>
      <w:sz w:val="24"/>
    </w:rPr>
  </w:style>
  <w:style w:type="paragraph" w:customStyle="1" w:styleId="617">
    <w:name w:val=" Char Char Char Char Char Char Char Char Char Char"/>
    <w:basedOn w:val="1"/>
    <w:qFormat/>
    <w:uiPriority w:val="0"/>
    <w:rPr>
      <w:rFonts w:ascii="仿宋_GB2312" w:eastAsia="仿宋_GB2312"/>
      <w:b/>
      <w:sz w:val="32"/>
      <w:szCs w:val="32"/>
    </w:rPr>
  </w:style>
  <w:style w:type="paragraph" w:customStyle="1" w:styleId="618">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619">
    <w:name w:val="注释"/>
    <w:basedOn w:val="1"/>
    <w:qFormat/>
    <w:uiPriority w:val="0"/>
    <w:pPr>
      <w:adjustRightInd/>
      <w:spacing w:line="360" w:lineRule="auto"/>
      <w:ind w:firstLine="480"/>
    </w:pPr>
    <w:rPr>
      <w:sz w:val="24"/>
    </w:rPr>
  </w:style>
  <w:style w:type="paragraph" w:customStyle="1" w:styleId="620">
    <w:name w:val="a2"/>
    <w:basedOn w:val="1"/>
    <w:qFormat/>
    <w:uiPriority w:val="0"/>
    <w:pPr>
      <w:widowControl/>
      <w:adjustRightInd/>
      <w:spacing w:before="100" w:beforeLines="0" w:beforeAutospacing="1" w:after="100" w:afterLines="0" w:afterAutospacing="1"/>
      <w:jc w:val="left"/>
    </w:pPr>
    <w:rPr>
      <w:rFonts w:ascii="宋体" w:hAnsi="宋体" w:cs="宋体"/>
      <w:kern w:val="0"/>
      <w:sz w:val="24"/>
    </w:rPr>
  </w:style>
  <w:style w:type="paragraph" w:customStyle="1" w:styleId="62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622">
    <w:name w:val="Body Copy"/>
    <w:basedOn w:val="1"/>
    <w:qFormat/>
    <w:uiPriority w:val="0"/>
    <w:pPr>
      <w:widowControl/>
      <w:tabs>
        <w:tab w:val="left" w:pos="1584"/>
        <w:tab w:val="left" w:pos="1613"/>
        <w:tab w:val="left" w:pos="1728"/>
        <w:tab w:val="left" w:pos="1872"/>
        <w:tab w:val="left" w:pos="2016"/>
      </w:tabs>
      <w:adjustRightInd/>
      <w:spacing w:after="180" w:afterLines="0" w:line="240" w:lineRule="exact"/>
      <w:ind w:left="1440" w:right="115" w:firstLine="200" w:firstLineChars="200"/>
      <w:jc w:val="left"/>
    </w:pPr>
    <w:rPr>
      <w:rFonts w:ascii="Aldine401 BT" w:hAnsi="Aldine401 BT"/>
      <w:kern w:val="0"/>
      <w:sz w:val="20"/>
      <w:szCs w:val="20"/>
    </w:rPr>
  </w:style>
  <w:style w:type="paragraph" w:customStyle="1" w:styleId="62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left"/>
    </w:pPr>
    <w:rPr>
      <w:kern w:val="0"/>
      <w:sz w:val="20"/>
      <w:szCs w:val="20"/>
    </w:rPr>
  </w:style>
  <w:style w:type="paragraph" w:customStyle="1" w:styleId="624">
    <w:name w:val="样式7"/>
    <w:basedOn w:val="379"/>
    <w:next w:val="1"/>
    <w:qFormat/>
    <w:uiPriority w:val="0"/>
    <w:pPr>
      <w:spacing w:after="156" w:afterLines="50"/>
      <w:jc w:val="left"/>
      <w:outlineLvl w:val="3"/>
    </w:pPr>
    <w:rPr>
      <w:sz w:val="24"/>
      <w:szCs w:val="24"/>
    </w:rPr>
  </w:style>
  <w:style w:type="paragraph" w:customStyle="1" w:styleId="62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Lines="0" w:beforeAutospacing="1" w:after="100" w:afterLines="0" w:afterAutospacing="1" w:line="360" w:lineRule="auto"/>
      <w:ind w:firstLine="200" w:firstLineChars="200"/>
      <w:jc w:val="center"/>
    </w:pPr>
    <w:rPr>
      <w:rFonts w:ascii="宋体" w:hAnsi="宋体"/>
      <w:kern w:val="0"/>
      <w:sz w:val="20"/>
      <w:szCs w:val="20"/>
    </w:rPr>
  </w:style>
  <w:style w:type="paragraph" w:customStyle="1" w:styleId="626">
    <w:name w:val="文章附标题"/>
    <w:basedOn w:val="1"/>
    <w:qFormat/>
    <w:uiPriority w:val="0"/>
    <w:pPr>
      <w:autoSpaceDE w:val="0"/>
      <w:autoSpaceDN w:val="0"/>
      <w:spacing w:before="187" w:beforeLines="0" w:after="175" w:afterLines="0" w:line="374" w:lineRule="atLeast"/>
      <w:ind w:firstLine="200" w:firstLineChars="200"/>
      <w:jc w:val="center"/>
    </w:pPr>
    <w:rPr>
      <w:color w:val="000000"/>
      <w:kern w:val="0"/>
      <w:sz w:val="36"/>
      <w:szCs w:val="36"/>
    </w:rPr>
  </w:style>
  <w:style w:type="paragraph" w:customStyle="1" w:styleId="62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character" w:customStyle="1" w:styleId="628">
    <w:name w:val="正文文本缩进 Char3"/>
    <w:qFormat/>
    <w:uiPriority w:val="0"/>
    <w:rPr>
      <w:rFonts w:ascii="宋体" w:hAnsi="宋体"/>
      <w:kern w:val="2"/>
      <w:sz w:val="24"/>
      <w:szCs w:val="24"/>
    </w:rPr>
  </w:style>
  <w:style w:type="paragraph" w:customStyle="1" w:styleId="629">
    <w:name w:val="TOC1"/>
    <w:basedOn w:val="1"/>
    <w:next w:val="1"/>
    <w:qFormat/>
    <w:uiPriority w:val="0"/>
    <w:pPr>
      <w:tabs>
        <w:tab w:val="right" w:leader="dot" w:pos="9203"/>
      </w:tabs>
      <w:spacing w:before="120" w:after="120" w:line="360" w:lineRule="auto"/>
      <w:jc w:val="center"/>
      <w:textAlignment w:val="baseline"/>
    </w:pPr>
    <w:rPr>
      <w:rFonts w:ascii="宋体" w:hAnsi="宋体"/>
      <w:b/>
      <w:bCs/>
      <w:caps/>
      <w:sz w:val="20"/>
      <w:szCs w:val="20"/>
    </w:rPr>
  </w:style>
  <w:style w:type="paragraph" w:customStyle="1" w:styleId="630">
    <w:name w:val="正文文本 (2)1"/>
    <w:basedOn w:val="1"/>
    <w:qFormat/>
    <w:uiPriority w:val="99"/>
    <w:pPr>
      <w:shd w:val="clear" w:color="auto" w:fill="FFFFFF"/>
      <w:spacing w:line="480" w:lineRule="exact"/>
      <w:ind w:hanging="520"/>
      <w:jc w:val="distribute"/>
    </w:pPr>
    <w:rPr>
      <w:rFonts w:ascii="MingLiU" w:hAnsi="MingLiU" w:eastAsia="MingLiU"/>
      <w:sz w:val="22"/>
      <w:szCs w:val="22"/>
    </w:rPr>
  </w:style>
  <w:style w:type="paragraph" w:customStyle="1" w:styleId="631">
    <w:name w:val="Body Text First Indent 2"/>
    <w:basedOn w:val="632"/>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632">
    <w:name w:val="Body Text Indent"/>
    <w:basedOn w:val="1"/>
    <w:next w:val="1"/>
    <w:qFormat/>
    <w:uiPriority w:val="0"/>
    <w:pPr>
      <w:spacing w:after="120" w:afterLines="0"/>
      <w:ind w:left="420" w:leftChars="200"/>
    </w:pPr>
    <w:rPr>
      <w:color w:val="000000"/>
      <w:sz w:val="21"/>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70</Pages>
  <Words>26829</Words>
  <Characters>28788</Characters>
  <Lines>293</Lines>
  <Paragraphs>82</Paragraphs>
  <TotalTime>1053</TotalTime>
  <ScaleCrop>false</ScaleCrop>
  <LinksUpToDate>false</LinksUpToDate>
  <CharactersWithSpaces>29033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2023-06-09T11:54:00Z</dcterms:created>
  <dc:creator>玥</dc:creator>
  <cp:lastModifiedBy>琳</cp:lastModifiedBy>
  <cp:lastPrinted>2024-04-25T07:32:00Z</cp:lastPrinted>
  <dcterms:modified xsi:type="dcterms:W3CDTF">2025-03-28T00:44:36Z</dcterms:modified>
  <dc:title>绍兴市柯桥区政府采购招标文件示范文本</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C2765F437EB941A9B82443903AB52522_13</vt:lpwstr>
  </property>
  <property fmtid="{D5CDD505-2E9C-101B-9397-08002B2CF9AE}" pid="4" name="commondata">
    <vt:lpwstr>eyJoZGlkIjoiMjIyNWI0OWI3OGI5Nzc3N2ZhMDc4ODM1MTYyNWM4YTIifQ==</vt:lpwstr>
  </property>
  <property fmtid="{D5CDD505-2E9C-101B-9397-08002B2CF9AE}" pid="5" name="KSOTemplateDocerSaveRecord">
    <vt:lpwstr>eyJoZGlkIjoiYjU1YmE0NjFkOTk2YTJjYWQyNzlkZDVlODk5ZDVlM2QiLCJ1c2VySWQiOiIzMjE5MTQ0NzkifQ==</vt:lpwstr>
  </property>
</Properties>
</file>