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78B3A88">
      <w:pPr>
        <w:pStyle w:val="6"/>
        <w:keepNext w:val="0"/>
        <w:keepLines w:val="0"/>
        <w:widowControl/>
        <w:suppressLineNumbers w:val="0"/>
        <w:spacing w:before="0" w:beforeAutospacing="0" w:after="0" w:afterAutospacing="0"/>
        <w:ind w:left="0" w:right="0" w:firstLine="420"/>
      </w:pPr>
      <w:r>
        <w:rPr>
          <w:rFonts w:hint="eastAsia" w:ascii="微软雅黑" w:hAnsi="微软雅黑" w:eastAsia="微软雅黑" w:cs="微软雅黑"/>
          <w:i w:val="0"/>
          <w:iCs w:val="0"/>
          <w:caps w:val="0"/>
          <w:color w:val="000000"/>
          <w:spacing w:val="0"/>
          <w:sz w:val="24"/>
          <w:szCs w:val="24"/>
        </w:rPr>
        <w:t>更正内容：      </w:t>
      </w:r>
    </w:p>
    <w:tbl>
      <w:tblPr>
        <w:tblStyle w:val="8"/>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0" w:type="dxa"/>
          <w:bottom w:w="15" w:type="dxa"/>
          <w:right w:w="15" w:type="dxa"/>
        </w:tblCellMar>
      </w:tblPr>
      <w:tblGrid>
        <w:gridCol w:w="900"/>
        <w:gridCol w:w="2469"/>
        <w:gridCol w:w="2586"/>
        <w:gridCol w:w="2588"/>
      </w:tblGrid>
      <w:tr w14:paraId="1623DA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EEEEEE"/>
            <w:tcMar>
              <w:top w:w="120" w:type="dxa"/>
              <w:left w:w="120" w:type="dxa"/>
              <w:bottom w:w="120" w:type="dxa"/>
              <w:right w:w="120" w:type="dxa"/>
            </w:tcMar>
            <w:vAlign w:val="top"/>
          </w:tcPr>
          <w:p w14:paraId="54316F65">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序号</w:t>
            </w:r>
          </w:p>
        </w:tc>
        <w:tc>
          <w:tcPr>
            <w:tcW w:w="1445" w:type="pct"/>
            <w:tcBorders>
              <w:top w:val="single" w:color="DDDDDD" w:sz="6" w:space="0"/>
              <w:left w:val="single" w:color="DDDDDD" w:sz="6" w:space="0"/>
              <w:bottom w:val="single" w:color="DDDDDD" w:sz="6" w:space="0"/>
              <w:right w:val="single" w:color="DDDDDD" w:sz="6" w:space="0"/>
            </w:tcBorders>
            <w:shd w:val="clear" w:color="auto" w:fill="EEEEEE"/>
            <w:tcMar>
              <w:top w:w="120" w:type="dxa"/>
              <w:left w:w="120" w:type="dxa"/>
              <w:bottom w:w="120" w:type="dxa"/>
              <w:right w:w="120" w:type="dxa"/>
            </w:tcMar>
            <w:vAlign w:val="top"/>
          </w:tcPr>
          <w:p w14:paraId="166A3896">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更正项</w:t>
            </w:r>
          </w:p>
        </w:tc>
        <w:tc>
          <w:tcPr>
            <w:tcW w:w="1513" w:type="pct"/>
            <w:tcBorders>
              <w:top w:val="single" w:color="DDDDDD" w:sz="6" w:space="0"/>
              <w:left w:val="single" w:color="DDDDDD" w:sz="6" w:space="0"/>
              <w:bottom w:val="single" w:color="DDDDDD" w:sz="6" w:space="0"/>
              <w:right w:val="single" w:color="DDDDDD" w:sz="6" w:space="0"/>
            </w:tcBorders>
            <w:shd w:val="clear" w:color="auto" w:fill="EEEEEE"/>
            <w:tcMar>
              <w:top w:w="120" w:type="dxa"/>
              <w:left w:w="120" w:type="dxa"/>
              <w:bottom w:w="120" w:type="dxa"/>
              <w:right w:w="120" w:type="dxa"/>
            </w:tcMar>
            <w:vAlign w:val="top"/>
          </w:tcPr>
          <w:p w14:paraId="6A7285E6">
            <w:pPr>
              <w:keepNext w:val="0"/>
              <w:keepLines w:val="0"/>
              <w:widowControl/>
              <w:suppressLineNumbers w:val="0"/>
              <w:wordWrap w:val="0"/>
              <w:spacing w:line="240" w:lineRule="auto"/>
              <w:jc w:val="left"/>
              <w:textAlignment w:val="top"/>
              <w:rPr>
                <w:rFonts w:hint="eastAsia" w:ascii="仿宋" w:hAnsi="仿宋" w:eastAsia="仿宋" w:cs="仿宋"/>
                <w:sz w:val="24"/>
                <w:szCs w:val="24"/>
              </w:rPr>
            </w:pPr>
            <w:r>
              <w:rPr>
                <w:rFonts w:hint="eastAsia" w:ascii="仿宋" w:hAnsi="仿宋" w:eastAsia="仿宋" w:cs="仿宋"/>
                <w:kern w:val="0"/>
                <w:sz w:val="24"/>
                <w:szCs w:val="24"/>
                <w:lang w:val="en-US" w:eastAsia="zh-CN" w:bidi="ar"/>
              </w:rPr>
              <w:t>更正前内容</w:t>
            </w:r>
          </w:p>
        </w:tc>
        <w:tc>
          <w:tcPr>
            <w:tcW w:w="1514" w:type="pct"/>
            <w:tcBorders>
              <w:top w:val="single" w:color="DDDDDD" w:sz="6" w:space="0"/>
              <w:left w:val="single" w:color="DDDDDD" w:sz="6" w:space="0"/>
              <w:bottom w:val="single" w:color="DDDDDD" w:sz="6" w:space="0"/>
              <w:right w:val="single" w:color="DDDDDD" w:sz="6" w:space="0"/>
            </w:tcBorders>
            <w:shd w:val="clear" w:color="auto" w:fill="EEEEEE"/>
            <w:tcMar>
              <w:top w:w="120" w:type="dxa"/>
              <w:left w:w="120" w:type="dxa"/>
              <w:bottom w:w="120" w:type="dxa"/>
              <w:right w:w="120" w:type="dxa"/>
            </w:tcMar>
            <w:vAlign w:val="top"/>
          </w:tcPr>
          <w:p w14:paraId="013A65AA">
            <w:pPr>
              <w:keepNext w:val="0"/>
              <w:keepLines w:val="0"/>
              <w:widowControl/>
              <w:suppressLineNumbers w:val="0"/>
              <w:wordWrap w:val="0"/>
              <w:spacing w:line="240" w:lineRule="auto"/>
              <w:jc w:val="left"/>
              <w:textAlignment w:val="top"/>
              <w:rPr>
                <w:rFonts w:hint="eastAsia" w:ascii="仿宋" w:hAnsi="仿宋" w:eastAsia="仿宋" w:cs="仿宋"/>
                <w:sz w:val="24"/>
                <w:szCs w:val="24"/>
              </w:rPr>
            </w:pPr>
            <w:r>
              <w:rPr>
                <w:rFonts w:hint="eastAsia" w:ascii="仿宋" w:hAnsi="仿宋" w:eastAsia="仿宋" w:cs="仿宋"/>
                <w:kern w:val="0"/>
                <w:sz w:val="24"/>
                <w:szCs w:val="24"/>
                <w:lang w:val="en-US" w:eastAsia="zh-CN" w:bidi="ar"/>
              </w:rPr>
              <w:t>更正后内容</w:t>
            </w:r>
          </w:p>
        </w:tc>
      </w:tr>
      <w:tr w14:paraId="20743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17EB212">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899759F">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招标文件P25页二、服务要求、范围</w:t>
            </w:r>
          </w:p>
          <w:p w14:paraId="77960A43">
            <w:pPr>
              <w:pStyle w:val="2"/>
              <w:spacing w:line="240" w:lineRule="auto"/>
              <w:ind w:firstLine="480" w:firstLineChars="200"/>
              <w:rPr>
                <w:rFonts w:hint="eastAsia" w:ascii="仿宋" w:hAnsi="仿宋" w:eastAsia="仿宋" w:cs="仿宋"/>
                <w:color w:val="auto"/>
                <w:sz w:val="24"/>
                <w:szCs w:val="24"/>
                <w:highlight w:val="none"/>
                <w:lang w:val="en-US" w:eastAsia="zh-CN"/>
              </w:rPr>
            </w:pPr>
          </w:p>
          <w:p w14:paraId="4F746771">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7EC3B79F">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平水镇范围内镇（村）及其下属国有企业委托的a、标底编制及招标代理工作；b、标底审核工作，各工程的标底、审核、招标文件编制(包括标底编制时材料价格的市场询价)、</w:t>
            </w:r>
            <w:r>
              <w:rPr>
                <w:rFonts w:hint="eastAsia" w:ascii="仿宋" w:hAnsi="仿宋" w:eastAsia="仿宋" w:cs="仿宋"/>
                <w:color w:val="auto"/>
                <w:kern w:val="0"/>
                <w:sz w:val="24"/>
                <w:szCs w:val="24"/>
                <w:highlight w:val="none"/>
                <w:lang w:val="en-US" w:eastAsia="zh-CN"/>
              </w:rPr>
              <w:t>入围</w:t>
            </w:r>
            <w:r>
              <w:rPr>
                <w:rFonts w:hint="eastAsia" w:ascii="仿宋" w:hAnsi="仿宋" w:eastAsia="仿宋" w:cs="仿宋"/>
                <w:color w:val="auto"/>
                <w:kern w:val="0"/>
                <w:sz w:val="24"/>
                <w:szCs w:val="24"/>
                <w:highlight w:val="none"/>
              </w:rPr>
              <w:t>单位商务标的复核及审定、标底中发现漏项缺项等差错的复核、招投标资料整理等全过程招标代理服务和变更联系单的造价费用复核等</w:t>
            </w:r>
            <w:r>
              <w:rPr>
                <w:rFonts w:hint="eastAsia" w:ascii="仿宋" w:hAnsi="仿宋" w:eastAsia="仿宋" w:cs="仿宋"/>
                <w:color w:val="auto"/>
                <w:kern w:val="0"/>
                <w:sz w:val="24"/>
                <w:szCs w:val="24"/>
                <w:highlight w:val="none"/>
                <w:lang w:eastAsia="zh-CN"/>
              </w:rPr>
              <w:t>。</w:t>
            </w:r>
          </w:p>
          <w:p w14:paraId="29E908C6">
            <w:pPr>
              <w:keepNext w:val="0"/>
              <w:keepLines w:val="0"/>
              <w:widowControl/>
              <w:suppressLineNumbers w:val="0"/>
              <w:wordWrap w:val="0"/>
              <w:spacing w:line="240" w:lineRule="auto"/>
              <w:ind w:firstLine="480" w:firstLineChars="200"/>
              <w:jc w:val="left"/>
              <w:textAlignment w:val="top"/>
              <w:rPr>
                <w:rFonts w:hint="eastAsia" w:ascii="仿宋" w:hAnsi="仿宋" w:eastAsia="仿宋" w:cs="仿宋"/>
                <w:kern w:val="0"/>
                <w:sz w:val="24"/>
                <w:szCs w:val="24"/>
                <w:lang w:val="en-US" w:eastAsia="zh-CN" w:bidi="ar"/>
              </w:rPr>
            </w:pPr>
            <w:r>
              <w:rPr>
                <w:rFonts w:hint="eastAsia" w:ascii="仿宋" w:hAnsi="仿宋" w:eastAsia="仿宋" w:cs="仿宋"/>
                <w:color w:val="auto"/>
                <w:kern w:val="0"/>
                <w:sz w:val="24"/>
                <w:szCs w:val="24"/>
                <w:highlight w:val="none"/>
              </w:rPr>
              <w:t>标底编制人员要配备业务素质好、应急能力强、工作能力强的各专业注册造价师若干；招标代理人员需配备不少于2名业务素质好、应急能力强、工作能力强且需具有招标代理经验的人员（需具备交易中心发放的上岗证）</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31C219CE">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平水镇范围内镇（村）及其下属国有企业委托的a、标底编制及招标代理工作；b、标底审核工作，各工程的标底</w:t>
            </w:r>
            <w:r>
              <w:rPr>
                <w:rFonts w:hint="eastAsia" w:ascii="仿宋" w:hAnsi="仿宋" w:eastAsia="仿宋" w:cs="仿宋"/>
                <w:color w:val="FF0000"/>
                <w:kern w:val="0"/>
                <w:sz w:val="24"/>
                <w:szCs w:val="24"/>
                <w:highlight w:val="none"/>
                <w:lang w:val="en-US" w:eastAsia="zh-CN"/>
              </w:rPr>
              <w:t>编制</w:t>
            </w:r>
            <w:r>
              <w:rPr>
                <w:rFonts w:hint="eastAsia" w:ascii="仿宋" w:hAnsi="仿宋" w:eastAsia="仿宋" w:cs="仿宋"/>
                <w:color w:val="FF0000"/>
                <w:kern w:val="0"/>
                <w:sz w:val="24"/>
                <w:szCs w:val="24"/>
                <w:highlight w:val="none"/>
              </w:rPr>
              <w:t>、审核、招标文件编制(包括标底编制时材料价格的市场询价)、</w:t>
            </w:r>
            <w:r>
              <w:rPr>
                <w:rFonts w:hint="eastAsia" w:ascii="仿宋" w:hAnsi="仿宋" w:eastAsia="仿宋" w:cs="仿宋"/>
                <w:color w:val="FF0000"/>
                <w:kern w:val="0"/>
                <w:sz w:val="24"/>
                <w:szCs w:val="24"/>
                <w:highlight w:val="none"/>
                <w:lang w:val="en-US" w:eastAsia="zh-CN"/>
              </w:rPr>
              <w:t>入围</w:t>
            </w:r>
            <w:r>
              <w:rPr>
                <w:rFonts w:hint="eastAsia" w:ascii="仿宋" w:hAnsi="仿宋" w:eastAsia="仿宋" w:cs="仿宋"/>
                <w:color w:val="FF0000"/>
                <w:kern w:val="0"/>
                <w:sz w:val="24"/>
                <w:szCs w:val="24"/>
                <w:highlight w:val="none"/>
              </w:rPr>
              <w:t>单位商务标的复核及审定、标底中发现漏项缺项等差错的复核、招投标资料整理等全过程招标代理服务和变更联系单的造价费用复核等</w:t>
            </w:r>
            <w:r>
              <w:rPr>
                <w:rFonts w:hint="eastAsia" w:ascii="仿宋" w:hAnsi="仿宋" w:eastAsia="仿宋" w:cs="仿宋"/>
                <w:color w:val="FF0000"/>
                <w:kern w:val="0"/>
                <w:sz w:val="24"/>
                <w:szCs w:val="24"/>
                <w:highlight w:val="none"/>
                <w:lang w:eastAsia="zh-CN"/>
              </w:rPr>
              <w:t>。</w:t>
            </w:r>
          </w:p>
          <w:p w14:paraId="652F01D4">
            <w:pPr>
              <w:keepNext w:val="0"/>
              <w:keepLines w:val="0"/>
              <w:widowControl/>
              <w:suppressLineNumbers w:val="0"/>
              <w:wordWrap w:val="0"/>
              <w:spacing w:line="240" w:lineRule="auto"/>
              <w:ind w:firstLine="480" w:firstLineChars="200"/>
              <w:jc w:val="left"/>
              <w:textAlignment w:val="top"/>
              <w:rPr>
                <w:rFonts w:hint="eastAsia" w:ascii="仿宋" w:hAnsi="仿宋" w:eastAsia="仿宋" w:cs="仿宋"/>
                <w:kern w:val="0"/>
                <w:sz w:val="24"/>
                <w:szCs w:val="24"/>
                <w:lang w:val="en-US" w:eastAsia="zh-CN" w:bidi="ar"/>
              </w:rPr>
            </w:pPr>
            <w:r>
              <w:rPr>
                <w:rFonts w:hint="eastAsia" w:ascii="仿宋" w:hAnsi="仿宋" w:eastAsia="仿宋" w:cs="仿宋"/>
                <w:color w:val="FF0000"/>
                <w:kern w:val="0"/>
                <w:sz w:val="24"/>
                <w:szCs w:val="24"/>
                <w:highlight w:val="none"/>
                <w:lang w:val="en-US" w:eastAsia="zh-CN"/>
              </w:rPr>
              <w:t>造价咨询</w:t>
            </w:r>
            <w:r>
              <w:rPr>
                <w:rFonts w:hint="eastAsia" w:ascii="仿宋" w:hAnsi="仿宋" w:eastAsia="仿宋" w:cs="仿宋"/>
                <w:color w:val="FF0000"/>
                <w:kern w:val="0"/>
                <w:sz w:val="24"/>
                <w:szCs w:val="24"/>
                <w:highlight w:val="none"/>
              </w:rPr>
              <w:t>人员要配备业务素质好、应急能力强、工作能力强的各专业注册造价师若干；招标代理人员需配备不少于2名业务素质好、应急能力强、工作能力强且需具有招标代理经验的人员</w:t>
            </w:r>
          </w:p>
        </w:tc>
      </w:tr>
      <w:tr w14:paraId="321FC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24E544C7">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277FA651">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招标文件P26页四、采购人的权利和义务 </w:t>
            </w:r>
          </w:p>
          <w:p w14:paraId="6329C1EF">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DF6B03F">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2、负责对入围单位进行考核管理。根据项目审核情况对入围单位进行考核管理。 </w:t>
            </w:r>
          </w:p>
          <w:p w14:paraId="2C753087">
            <w:pPr>
              <w:keepNext w:val="0"/>
              <w:keepLines w:val="0"/>
              <w:widowControl/>
              <w:suppressLineNumbers w:val="0"/>
              <w:wordWrap w:val="0"/>
              <w:spacing w:line="240" w:lineRule="auto"/>
              <w:ind w:firstLine="480" w:firstLineChars="200"/>
              <w:jc w:val="left"/>
              <w:textAlignment w:val="top"/>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3、负责对</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及其派出人员完成的审核事项及工作结果进行审核验收评价。</w:t>
            </w:r>
          </w:p>
          <w:p w14:paraId="0B989386">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5、若</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未按要求派出投标书中项目负责人及项目组成员或未经</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同意更换人员，</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有权在审核业务分配中进行合理调整，取消</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当轮业务资格及下一轮业务安排资格。</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5EB0603">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 xml:space="preserve">2、负责对入围单位进行考核管理。根据项目情况对入围单位进行考核管理。 </w:t>
            </w:r>
          </w:p>
          <w:p w14:paraId="10BB6CD3">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3、负责对</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及其派出人员完成的事项及工作结果进行验收评价。</w:t>
            </w:r>
          </w:p>
          <w:p w14:paraId="26B7753A">
            <w:pPr>
              <w:keepNext w:val="0"/>
              <w:keepLines w:val="0"/>
              <w:widowControl/>
              <w:suppressLineNumbers w:val="0"/>
              <w:wordWrap w:val="0"/>
              <w:spacing w:line="240" w:lineRule="auto"/>
              <w:ind w:firstLine="480" w:firstLineChars="200"/>
              <w:jc w:val="left"/>
              <w:textAlignment w:val="top"/>
              <w:rPr>
                <w:rFonts w:hint="eastAsia" w:ascii="仿宋" w:hAnsi="仿宋" w:eastAsia="仿宋" w:cs="仿宋"/>
                <w:kern w:val="0"/>
                <w:sz w:val="24"/>
                <w:szCs w:val="24"/>
                <w:lang w:val="en-US" w:eastAsia="zh-CN" w:bidi="ar"/>
              </w:rPr>
            </w:pPr>
            <w:r>
              <w:rPr>
                <w:rFonts w:hint="eastAsia" w:ascii="仿宋" w:hAnsi="仿宋" w:eastAsia="仿宋" w:cs="仿宋"/>
                <w:color w:val="FF0000"/>
                <w:kern w:val="0"/>
                <w:sz w:val="24"/>
                <w:szCs w:val="24"/>
                <w:highlight w:val="none"/>
              </w:rPr>
              <w:t>5、若</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未按要求派出投标书中项目负责人及项目组成员或未经</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同意更换人员，</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有权在业务分配中进行合理调整，取消</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当轮业务资格及下一轮业务安排资格。</w:t>
            </w:r>
          </w:p>
        </w:tc>
      </w:tr>
      <w:tr w14:paraId="57EEC5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676D511">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B478F47">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招标文件P26页五、入围供应商的权利和义务</w:t>
            </w:r>
          </w:p>
          <w:p w14:paraId="098A140C">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41C6E43">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在审核服务过程中应遵守审核纪律、规范审核行为，严格按照行业规范要求开展工作。</w:t>
            </w:r>
          </w:p>
          <w:p w14:paraId="6A2A67F4">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应严格按照</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的有关规定和要求实施审核服务，接受</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的监督，并按期完成服务任务，并确保结果真实、合法和准确</w:t>
            </w:r>
          </w:p>
          <w:p w14:paraId="5B6A6088">
            <w:pPr>
              <w:pStyle w:val="3"/>
              <w:shd w:val="clear" w:color="auto" w:fill="auto"/>
              <w:tabs>
                <w:tab w:val="left" w:pos="840"/>
              </w:tabs>
              <w:spacing w:line="240" w:lineRule="auto"/>
              <w:ind w:firstLine="480" w:firstLineChars="200"/>
              <w:rPr>
                <w:rFonts w:hint="eastAsia" w:ascii="仿宋" w:hAnsi="仿宋" w:eastAsia="仿宋" w:cs="仿宋"/>
                <w:kern w:val="0"/>
                <w:sz w:val="24"/>
                <w:szCs w:val="24"/>
                <w:lang w:val="en-US" w:eastAsia="zh-CN" w:bidi="ar"/>
              </w:rPr>
            </w:pPr>
            <w:r>
              <w:rPr>
                <w:rFonts w:hint="eastAsia" w:ascii="仿宋" w:hAnsi="仿宋" w:eastAsia="仿宋" w:cs="仿宋"/>
                <w:color w:val="auto"/>
                <w:kern w:val="0"/>
                <w:sz w:val="24"/>
                <w:szCs w:val="24"/>
                <w:highlight w:val="none"/>
              </w:rPr>
              <w:t>6.审核相关资料移交给</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后，</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有义务对所有资料进行妥善保管，确保审核结束后完整移交送审资料。</w:t>
            </w:r>
            <w:r>
              <w:rPr>
                <w:rFonts w:hint="eastAsia" w:ascii="仿宋" w:hAnsi="仿宋" w:eastAsia="仿宋" w:cs="仿宋"/>
                <w:color w:val="auto"/>
                <w:kern w:val="0"/>
                <w:sz w:val="24"/>
                <w:szCs w:val="24"/>
                <w:highlight w:val="none"/>
                <w:lang w:eastAsia="zh-CN"/>
              </w:rPr>
              <w:t>入围供应商</w:t>
            </w:r>
            <w:r>
              <w:rPr>
                <w:rFonts w:hint="eastAsia" w:ascii="仿宋" w:hAnsi="仿宋" w:eastAsia="仿宋" w:cs="仿宋"/>
                <w:color w:val="auto"/>
                <w:kern w:val="0"/>
                <w:sz w:val="24"/>
                <w:szCs w:val="24"/>
                <w:highlight w:val="none"/>
              </w:rPr>
              <w:t>及其派出人员不得使用</w:t>
            </w:r>
            <w:r>
              <w:rPr>
                <w:rFonts w:hint="eastAsia" w:ascii="仿宋" w:hAnsi="仿宋" w:eastAsia="仿宋" w:cs="仿宋"/>
                <w:color w:val="auto"/>
                <w:kern w:val="0"/>
                <w:sz w:val="24"/>
                <w:szCs w:val="24"/>
                <w:highlight w:val="none"/>
                <w:lang w:eastAsia="zh-CN"/>
              </w:rPr>
              <w:t>采购人</w:t>
            </w:r>
            <w:r>
              <w:rPr>
                <w:rFonts w:hint="eastAsia" w:ascii="仿宋" w:hAnsi="仿宋" w:eastAsia="仿宋" w:cs="仿宋"/>
                <w:color w:val="auto"/>
                <w:kern w:val="0"/>
                <w:sz w:val="24"/>
                <w:szCs w:val="24"/>
                <w:highlight w:val="none"/>
              </w:rPr>
              <w:t>委托事项的资料和结果，用于与委托事项无关的目的。</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4CDBC71">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3.</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在服务过程中应遵守</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纪律、规范行为，严格按照行业规范要求开展工作。</w:t>
            </w:r>
          </w:p>
          <w:p w14:paraId="3D5F5772">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lang w:eastAsia="zh-CN"/>
              </w:rPr>
            </w:pPr>
            <w:r>
              <w:rPr>
                <w:rFonts w:hint="eastAsia" w:ascii="仿宋" w:hAnsi="仿宋" w:eastAsia="仿宋" w:cs="仿宋"/>
                <w:color w:val="FF0000"/>
                <w:kern w:val="0"/>
                <w:sz w:val="24"/>
                <w:szCs w:val="24"/>
                <w:highlight w:val="none"/>
              </w:rPr>
              <w:t>4.</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应严格按照</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的有关规定和要求实施服务，接受</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的监督，并按期完成服务任务，并确保结果真实、合法和准确</w:t>
            </w:r>
            <w:r>
              <w:rPr>
                <w:rFonts w:hint="eastAsia" w:ascii="仿宋" w:hAnsi="仿宋" w:eastAsia="仿宋" w:cs="仿宋"/>
                <w:color w:val="FF0000"/>
                <w:kern w:val="0"/>
                <w:sz w:val="24"/>
                <w:szCs w:val="24"/>
                <w:highlight w:val="none"/>
                <w:lang w:eastAsia="zh-CN"/>
              </w:rPr>
              <w:t>。</w:t>
            </w:r>
          </w:p>
          <w:p w14:paraId="76F1BDBD">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lang w:val="en-US" w:eastAsia="zh-CN"/>
              </w:rPr>
            </w:pPr>
            <w:r>
              <w:rPr>
                <w:rFonts w:hint="eastAsia" w:ascii="仿宋" w:hAnsi="仿宋" w:eastAsia="仿宋" w:cs="仿宋"/>
                <w:color w:val="FF0000"/>
                <w:kern w:val="0"/>
                <w:sz w:val="24"/>
                <w:szCs w:val="24"/>
                <w:highlight w:val="none"/>
              </w:rPr>
              <w:t>6.相关资料移交给</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后，</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有义务对所有资料进行妥善保管，确保</w:t>
            </w:r>
            <w:r>
              <w:rPr>
                <w:rFonts w:hint="eastAsia" w:ascii="仿宋" w:hAnsi="仿宋" w:eastAsia="仿宋" w:cs="仿宋"/>
                <w:color w:val="FF0000"/>
                <w:kern w:val="0"/>
                <w:sz w:val="24"/>
                <w:szCs w:val="24"/>
                <w:highlight w:val="none"/>
                <w:lang w:val="en-US" w:eastAsia="zh-CN"/>
              </w:rPr>
              <w:t>项目</w:t>
            </w:r>
            <w:r>
              <w:rPr>
                <w:rFonts w:hint="eastAsia" w:ascii="仿宋" w:hAnsi="仿宋" w:eastAsia="仿宋" w:cs="仿宋"/>
                <w:color w:val="FF0000"/>
                <w:kern w:val="0"/>
                <w:sz w:val="24"/>
                <w:szCs w:val="24"/>
                <w:highlight w:val="none"/>
              </w:rPr>
              <w:t>结束后完整移交</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资料。</w:t>
            </w:r>
            <w:r>
              <w:rPr>
                <w:rFonts w:hint="eastAsia" w:ascii="仿宋" w:hAnsi="仿宋" w:eastAsia="仿宋" w:cs="仿宋"/>
                <w:color w:val="FF0000"/>
                <w:kern w:val="0"/>
                <w:sz w:val="24"/>
                <w:szCs w:val="24"/>
                <w:highlight w:val="none"/>
                <w:lang w:eastAsia="zh-CN"/>
              </w:rPr>
              <w:t>入围供应商</w:t>
            </w:r>
            <w:r>
              <w:rPr>
                <w:rFonts w:hint="eastAsia" w:ascii="仿宋" w:hAnsi="仿宋" w:eastAsia="仿宋" w:cs="仿宋"/>
                <w:color w:val="FF0000"/>
                <w:kern w:val="0"/>
                <w:sz w:val="24"/>
                <w:szCs w:val="24"/>
                <w:highlight w:val="none"/>
              </w:rPr>
              <w:t>及其派出人员不得使用</w:t>
            </w:r>
            <w:r>
              <w:rPr>
                <w:rFonts w:hint="eastAsia" w:ascii="仿宋" w:hAnsi="仿宋" w:eastAsia="仿宋" w:cs="仿宋"/>
                <w:color w:val="FF0000"/>
                <w:kern w:val="0"/>
                <w:sz w:val="24"/>
                <w:szCs w:val="24"/>
                <w:highlight w:val="none"/>
                <w:lang w:eastAsia="zh-CN"/>
              </w:rPr>
              <w:t>采购人</w:t>
            </w:r>
            <w:r>
              <w:rPr>
                <w:rFonts w:hint="eastAsia" w:ascii="仿宋" w:hAnsi="仿宋" w:eastAsia="仿宋" w:cs="仿宋"/>
                <w:color w:val="FF0000"/>
                <w:kern w:val="0"/>
                <w:sz w:val="24"/>
                <w:szCs w:val="24"/>
                <w:highlight w:val="none"/>
              </w:rPr>
              <w:t>委托事项的资料和结果，用于与委托事项无关的目的。</w:t>
            </w:r>
          </w:p>
        </w:tc>
      </w:tr>
      <w:tr w14:paraId="27AA4F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6D647BD">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144FDB8D">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招标文件P27页六、入围供应商的清退和补充规则 </w:t>
            </w:r>
          </w:p>
          <w:p w14:paraId="041D6E81">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6265EA9">
            <w:pPr>
              <w:pStyle w:val="3"/>
              <w:shd w:val="clear" w:color="auto" w:fill="auto"/>
              <w:tabs>
                <w:tab w:val="left" w:pos="840"/>
              </w:tabs>
              <w:spacing w:line="24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7）入围供应商在审核过程中将审核资料丢失的；由此造成的经济损失，入围供应商应予赔偿；存在违法违规行为的，由相关部门进行处理；</w:t>
            </w:r>
          </w:p>
          <w:p w14:paraId="18E087AE">
            <w:pPr>
              <w:pStyle w:val="3"/>
              <w:shd w:val="clear" w:color="auto" w:fill="auto"/>
              <w:tabs>
                <w:tab w:val="left" w:pos="840"/>
              </w:tabs>
              <w:spacing w:line="240" w:lineRule="auto"/>
              <w:ind w:firstLine="480" w:firstLineChars="200"/>
              <w:rPr>
                <w:rFonts w:hint="eastAsia" w:ascii="仿宋" w:hAnsi="仿宋" w:eastAsia="仿宋" w:cs="仿宋"/>
                <w:kern w:val="0"/>
                <w:sz w:val="24"/>
                <w:szCs w:val="24"/>
                <w:lang w:val="en-US" w:eastAsia="zh-CN" w:bidi="ar"/>
              </w:rPr>
            </w:pPr>
            <w:r>
              <w:rPr>
                <w:rFonts w:hint="eastAsia" w:ascii="仿宋" w:hAnsi="仿宋" w:eastAsia="仿宋" w:cs="仿宋"/>
                <w:color w:val="auto"/>
                <w:kern w:val="0"/>
                <w:sz w:val="24"/>
                <w:szCs w:val="24"/>
                <w:highlight w:val="none"/>
              </w:rPr>
              <w:t>10）执行纠错机制，即因审核结果存在较大争议，相关单位提出投诉，并确认入围供应商为责任方的，采购人有权终止合同。</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3BFB7CD5">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rPr>
            </w:pPr>
            <w:r>
              <w:rPr>
                <w:rFonts w:hint="eastAsia" w:ascii="仿宋" w:hAnsi="仿宋" w:eastAsia="仿宋" w:cs="仿宋"/>
                <w:color w:val="FF0000"/>
                <w:kern w:val="0"/>
                <w:sz w:val="24"/>
                <w:szCs w:val="24"/>
                <w:highlight w:val="none"/>
              </w:rPr>
              <w:t>7）入围供应商在</w:t>
            </w:r>
            <w:r>
              <w:rPr>
                <w:rFonts w:hint="eastAsia" w:ascii="仿宋" w:hAnsi="仿宋" w:eastAsia="仿宋" w:cs="仿宋"/>
                <w:color w:val="FF0000"/>
                <w:kern w:val="0"/>
                <w:sz w:val="24"/>
                <w:szCs w:val="24"/>
                <w:highlight w:val="none"/>
                <w:lang w:val="en-US" w:eastAsia="zh-CN"/>
              </w:rPr>
              <w:t>服务</w:t>
            </w:r>
            <w:r>
              <w:rPr>
                <w:rFonts w:hint="eastAsia" w:ascii="仿宋" w:hAnsi="仿宋" w:eastAsia="仿宋" w:cs="仿宋"/>
                <w:color w:val="FF0000"/>
                <w:kern w:val="0"/>
                <w:sz w:val="24"/>
                <w:szCs w:val="24"/>
                <w:highlight w:val="none"/>
              </w:rPr>
              <w:t>过程中将</w:t>
            </w:r>
            <w:r>
              <w:rPr>
                <w:rFonts w:hint="eastAsia" w:ascii="仿宋" w:hAnsi="仿宋" w:eastAsia="仿宋" w:cs="仿宋"/>
                <w:color w:val="FF0000"/>
                <w:kern w:val="0"/>
                <w:sz w:val="24"/>
                <w:szCs w:val="24"/>
                <w:highlight w:val="none"/>
                <w:lang w:val="en-US" w:eastAsia="zh-CN"/>
              </w:rPr>
              <w:t>相关</w:t>
            </w:r>
            <w:r>
              <w:rPr>
                <w:rFonts w:hint="eastAsia" w:ascii="仿宋" w:hAnsi="仿宋" w:eastAsia="仿宋" w:cs="仿宋"/>
                <w:color w:val="FF0000"/>
                <w:kern w:val="0"/>
                <w:sz w:val="24"/>
                <w:szCs w:val="24"/>
                <w:highlight w:val="none"/>
              </w:rPr>
              <w:t>资料丢失的；由此造成的经济损失，入围供应商应予赔偿；存在违法违规行为的，由相关部门进行处理；</w:t>
            </w:r>
          </w:p>
          <w:p w14:paraId="663D64CB">
            <w:pPr>
              <w:pStyle w:val="3"/>
              <w:shd w:val="clear" w:color="auto" w:fill="auto"/>
              <w:tabs>
                <w:tab w:val="left" w:pos="840"/>
              </w:tabs>
              <w:spacing w:line="240" w:lineRule="auto"/>
              <w:ind w:firstLine="480" w:firstLineChars="200"/>
              <w:rPr>
                <w:rFonts w:hint="eastAsia" w:ascii="仿宋" w:hAnsi="仿宋" w:eastAsia="仿宋" w:cs="仿宋"/>
                <w:color w:val="FF0000"/>
                <w:kern w:val="0"/>
                <w:sz w:val="24"/>
                <w:szCs w:val="24"/>
                <w:highlight w:val="none"/>
                <w:lang w:val="en-US" w:eastAsia="zh-CN"/>
              </w:rPr>
            </w:pPr>
            <w:r>
              <w:rPr>
                <w:rFonts w:hint="eastAsia" w:ascii="仿宋" w:hAnsi="仿宋" w:eastAsia="仿宋" w:cs="仿宋"/>
                <w:color w:val="FF0000"/>
                <w:kern w:val="0"/>
                <w:sz w:val="24"/>
                <w:szCs w:val="24"/>
                <w:highlight w:val="none"/>
              </w:rPr>
              <w:t>10）执行纠错机制，即因</w:t>
            </w:r>
            <w:r>
              <w:rPr>
                <w:rFonts w:hint="eastAsia" w:ascii="仿宋" w:hAnsi="仿宋" w:eastAsia="仿宋" w:cs="仿宋"/>
                <w:color w:val="FF0000"/>
                <w:kern w:val="0"/>
                <w:sz w:val="24"/>
                <w:szCs w:val="24"/>
                <w:highlight w:val="none"/>
                <w:lang w:eastAsia="zh-CN"/>
              </w:rPr>
              <w:t>标底</w:t>
            </w:r>
            <w:r>
              <w:rPr>
                <w:rFonts w:hint="eastAsia" w:ascii="仿宋" w:hAnsi="仿宋" w:eastAsia="仿宋" w:cs="仿宋"/>
                <w:color w:val="FF0000"/>
                <w:kern w:val="0"/>
                <w:sz w:val="24"/>
                <w:szCs w:val="24"/>
                <w:highlight w:val="none"/>
              </w:rPr>
              <w:t>存在较大争议，相关单位提出投诉，并确认入围供应商为责任方的，采购人有权终止合同。</w:t>
            </w:r>
          </w:p>
        </w:tc>
      </w:tr>
      <w:tr w14:paraId="6887D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7E1819A3">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E948CD6">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招标文件P28页七、其他要求</w:t>
            </w:r>
          </w:p>
          <w:p w14:paraId="58210662">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F82FAF8">
            <w:pPr>
              <w:pStyle w:val="3"/>
              <w:shd w:val="clear" w:color="auto" w:fill="auto"/>
              <w:tabs>
                <w:tab w:val="left" w:pos="840"/>
              </w:tabs>
              <w:spacing w:line="240" w:lineRule="auto"/>
              <w:ind w:firstLine="480" w:firstLineChars="200"/>
              <w:rPr>
                <w:rFonts w:hint="eastAsia" w:ascii="仿宋" w:hAnsi="仿宋" w:eastAsia="仿宋" w:cs="仿宋"/>
                <w:b w:val="0"/>
                <w:bCs w:val="0"/>
                <w:i w:val="0"/>
                <w:iCs w:val="0"/>
                <w:color w:val="auto"/>
                <w:kern w:val="0"/>
                <w:sz w:val="24"/>
                <w:szCs w:val="24"/>
                <w:highlight w:val="none"/>
              </w:rPr>
            </w:pPr>
            <w:r>
              <w:rPr>
                <w:rFonts w:hint="eastAsia" w:ascii="仿宋" w:hAnsi="仿宋" w:eastAsia="仿宋" w:cs="仿宋"/>
                <w:b w:val="0"/>
                <w:bCs w:val="0"/>
                <w:i w:val="0"/>
                <w:iCs w:val="0"/>
                <w:color w:val="auto"/>
                <w:kern w:val="0"/>
                <w:sz w:val="24"/>
                <w:szCs w:val="24"/>
                <w:highlight w:val="none"/>
              </w:rPr>
              <w:t xml:space="preserve">1.第二阶段成交供应商确定：直接选定。采购人根据内部管理规定直接选定或抽签决定入围供应商，并签订审核合同。 </w:t>
            </w:r>
          </w:p>
          <w:p w14:paraId="38644631">
            <w:pPr>
              <w:pStyle w:val="3"/>
              <w:shd w:val="clear" w:color="auto" w:fill="auto"/>
              <w:tabs>
                <w:tab w:val="left" w:pos="840"/>
              </w:tabs>
              <w:spacing w:line="240" w:lineRule="auto"/>
              <w:ind w:firstLine="480" w:firstLineChars="200"/>
              <w:rPr>
                <w:rFonts w:hint="eastAsia" w:ascii="仿宋" w:hAnsi="仿宋" w:eastAsia="仿宋" w:cs="仿宋"/>
                <w:kern w:val="0"/>
                <w:sz w:val="24"/>
                <w:szCs w:val="24"/>
                <w:lang w:val="en-US" w:eastAsia="zh-CN" w:bidi="ar"/>
              </w:rPr>
            </w:pPr>
            <w:r>
              <w:rPr>
                <w:rFonts w:hint="eastAsia" w:ascii="仿宋" w:hAnsi="仿宋" w:eastAsia="仿宋" w:cs="仿宋"/>
                <w:b w:val="0"/>
                <w:bCs w:val="0"/>
                <w:i w:val="0"/>
                <w:iCs w:val="0"/>
                <w:color w:val="auto"/>
                <w:kern w:val="0"/>
                <w:sz w:val="24"/>
                <w:szCs w:val="24"/>
                <w:highlight w:val="none"/>
              </w:rPr>
              <w:t>2.审核集中办公要求：采购人要求审核项目供应商进行集中办公，入围供应商须无条件配合。若入围供应商未按采购人要求实施集中办公，采购人有权取消入围供应商的第二阶段成交供应商选定资格。</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60B824DA">
            <w:pPr>
              <w:pStyle w:val="3"/>
              <w:shd w:val="clear" w:color="auto" w:fill="auto"/>
              <w:tabs>
                <w:tab w:val="left" w:pos="840"/>
              </w:tabs>
              <w:spacing w:line="240" w:lineRule="auto"/>
              <w:ind w:firstLine="480" w:firstLineChars="200"/>
              <w:rPr>
                <w:rFonts w:hint="eastAsia" w:ascii="仿宋" w:hAnsi="仿宋" w:eastAsia="仿宋" w:cs="仿宋"/>
                <w:b w:val="0"/>
                <w:bCs w:val="0"/>
                <w:i w:val="0"/>
                <w:iCs w:val="0"/>
                <w:color w:val="FF0000"/>
                <w:kern w:val="0"/>
                <w:sz w:val="24"/>
                <w:szCs w:val="24"/>
                <w:highlight w:val="none"/>
              </w:rPr>
            </w:pPr>
            <w:r>
              <w:rPr>
                <w:rFonts w:hint="eastAsia" w:ascii="仿宋" w:hAnsi="仿宋" w:eastAsia="仿宋" w:cs="仿宋"/>
                <w:b w:val="0"/>
                <w:bCs w:val="0"/>
                <w:i w:val="0"/>
                <w:iCs w:val="0"/>
                <w:color w:val="FF0000"/>
                <w:kern w:val="0"/>
                <w:sz w:val="24"/>
                <w:szCs w:val="24"/>
                <w:highlight w:val="none"/>
              </w:rPr>
              <w:t xml:space="preserve">1.第二阶段成交供应商确定：直接选定。采购人根据内部管理规定直接选定或抽签决定入围供应商，并签订合同。 </w:t>
            </w:r>
          </w:p>
          <w:p w14:paraId="32FCF4FF">
            <w:pPr>
              <w:keepNext w:val="0"/>
              <w:keepLines w:val="0"/>
              <w:widowControl/>
              <w:suppressLineNumbers w:val="0"/>
              <w:wordWrap w:val="0"/>
              <w:spacing w:line="240" w:lineRule="auto"/>
              <w:ind w:firstLine="480" w:firstLineChars="200"/>
              <w:jc w:val="left"/>
              <w:textAlignment w:val="top"/>
              <w:rPr>
                <w:rFonts w:hint="eastAsia" w:ascii="仿宋" w:hAnsi="仿宋" w:eastAsia="仿宋" w:cs="仿宋"/>
                <w:color w:val="FF0000"/>
                <w:kern w:val="0"/>
                <w:sz w:val="24"/>
                <w:szCs w:val="24"/>
                <w:highlight w:val="none"/>
                <w:lang w:val="en-US" w:eastAsia="zh-CN"/>
              </w:rPr>
            </w:pPr>
            <w:r>
              <w:rPr>
                <w:rFonts w:hint="eastAsia" w:ascii="仿宋" w:hAnsi="仿宋" w:eastAsia="仿宋" w:cs="仿宋"/>
                <w:b w:val="0"/>
                <w:bCs w:val="0"/>
                <w:i w:val="0"/>
                <w:iCs w:val="0"/>
                <w:color w:val="FF0000"/>
                <w:kern w:val="0"/>
                <w:sz w:val="24"/>
                <w:szCs w:val="24"/>
                <w:highlight w:val="none"/>
              </w:rPr>
              <w:t>2.集中办公要求：采购人要求项目供应商进行集中办公，入围供应商须无条件配合。若入围供应商未按采购人要求实施集中办公，采购人有权取消入围供应商的第二阶段成交供应商选定资格。</w:t>
            </w:r>
          </w:p>
        </w:tc>
      </w:tr>
      <w:tr w14:paraId="25805A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7CD0816A">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5B1627E7">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招标文件P28页▲4、付款方式</w:t>
            </w:r>
          </w:p>
          <w:p w14:paraId="184B0867">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778BD39F">
            <w:pPr>
              <w:widowControl/>
              <w:shd w:val="clear" w:color="auto" w:fill="auto"/>
              <w:snapToGrid w:val="0"/>
              <w:spacing w:line="240" w:lineRule="auto"/>
              <w:ind w:firstLine="480"/>
              <w:rPr>
                <w:rFonts w:hint="eastAsia" w:ascii="仿宋" w:hAnsi="仿宋" w:eastAsia="仿宋" w:cs="仿宋"/>
                <w:kern w:val="0"/>
                <w:sz w:val="24"/>
                <w:szCs w:val="24"/>
                <w:lang w:val="en-US" w:eastAsia="zh-CN" w:bidi="ar"/>
              </w:rPr>
            </w:pPr>
            <w:r>
              <w:rPr>
                <w:rFonts w:hint="eastAsia" w:ascii="仿宋" w:hAnsi="仿宋" w:eastAsia="仿宋" w:cs="仿宋"/>
                <w:color w:val="auto"/>
                <w:sz w:val="24"/>
                <w:szCs w:val="24"/>
                <w:highlight w:val="none"/>
                <w:lang w:val="en-US" w:eastAsia="zh-CN"/>
              </w:rPr>
              <w:t>4.3</w:t>
            </w:r>
            <w:r>
              <w:rPr>
                <w:rFonts w:hint="eastAsia" w:ascii="仿宋" w:hAnsi="仿宋" w:eastAsia="仿宋" w:cs="仿宋"/>
                <w:color w:val="auto"/>
                <w:sz w:val="24"/>
                <w:szCs w:val="24"/>
                <w:highlight w:val="none"/>
              </w:rPr>
              <w:t>编制、审核费用：1、若标底审定造价＜400万元，在标底（预算）编制及审标完成，中标通知书签发后，工程中标单位无异议或有差错的与工程中标单位核对完成且经业主、编标单位、中标单位三方认可后，经业主审核且审批同意后付清；2、若标底审定造价≥400万元，编制费用在标底（预算）编制及柯桥区审核中心审标完成，中标通知书签发后，工程中标单位无异议或有差错的与工程中标单位核对完成且经业主、柯桥区审核中心、编标单位、中标单位四方认可后，经业主审核且审批同意后付清。</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3345A08E">
            <w:pPr>
              <w:widowControl/>
              <w:shd w:val="clear" w:color="auto" w:fill="auto"/>
              <w:snapToGrid w:val="0"/>
              <w:spacing w:line="240" w:lineRule="auto"/>
              <w:ind w:firstLine="480"/>
              <w:rPr>
                <w:rFonts w:hint="eastAsia" w:ascii="仿宋" w:hAnsi="仿宋" w:eastAsia="仿宋" w:cs="仿宋"/>
                <w:b w:val="0"/>
                <w:bCs w:val="0"/>
                <w:i w:val="0"/>
                <w:iCs w:val="0"/>
                <w:color w:val="FF0000"/>
                <w:kern w:val="0"/>
                <w:sz w:val="24"/>
                <w:szCs w:val="24"/>
                <w:highlight w:val="none"/>
              </w:rPr>
            </w:pPr>
            <w:r>
              <w:rPr>
                <w:rFonts w:hint="eastAsia" w:ascii="仿宋" w:hAnsi="仿宋" w:eastAsia="仿宋" w:cs="仿宋"/>
                <w:color w:val="FF0000"/>
                <w:sz w:val="24"/>
                <w:szCs w:val="24"/>
                <w:highlight w:val="none"/>
                <w:lang w:val="en-US" w:eastAsia="zh-CN"/>
              </w:rPr>
              <w:t>4.3</w:t>
            </w:r>
            <w:r>
              <w:rPr>
                <w:rFonts w:hint="eastAsia" w:ascii="仿宋" w:hAnsi="仿宋" w:eastAsia="仿宋" w:cs="仿宋"/>
                <w:color w:val="FF0000"/>
                <w:sz w:val="24"/>
                <w:szCs w:val="24"/>
                <w:highlight w:val="none"/>
              </w:rPr>
              <w:t>编制、审核费用：1、若标底审定造价＜400万元，在标底（预算）编制及审标完成，中标通知书签发后，工程中标单位无异议或有差错的与工程中标单位核对完成且经业主、编标单位、</w:t>
            </w:r>
            <w:r>
              <w:rPr>
                <w:rFonts w:hint="eastAsia" w:ascii="仿宋" w:hAnsi="仿宋" w:eastAsia="仿宋" w:cs="仿宋"/>
                <w:color w:val="FF0000"/>
                <w:sz w:val="24"/>
                <w:szCs w:val="24"/>
                <w:highlight w:val="none"/>
                <w:lang w:val="en-US" w:eastAsia="zh-CN"/>
              </w:rPr>
              <w:t>审标</w:t>
            </w:r>
            <w:r>
              <w:rPr>
                <w:rFonts w:hint="eastAsia" w:ascii="仿宋" w:hAnsi="仿宋" w:eastAsia="仿宋" w:cs="仿宋"/>
                <w:color w:val="FF0000"/>
                <w:sz w:val="24"/>
                <w:szCs w:val="24"/>
                <w:highlight w:val="none"/>
              </w:rPr>
              <w:t>单位三方认可后，经业主审核且审批同意后付清；2、若标底审定造价≥400万元，编制费用在标底（预算）编制及柯桥区审核中心审标完成，中标通知书签发后，工程中标单位无异议或有差错的与工程中标单位核对完成且经业主、柯桥区审核中心、编标单位、</w:t>
            </w:r>
            <w:r>
              <w:rPr>
                <w:rFonts w:hint="eastAsia" w:ascii="仿宋" w:hAnsi="仿宋" w:eastAsia="仿宋" w:cs="仿宋"/>
                <w:color w:val="FF0000"/>
                <w:sz w:val="24"/>
                <w:szCs w:val="24"/>
                <w:highlight w:val="none"/>
                <w:lang w:val="en-US" w:eastAsia="zh-CN"/>
              </w:rPr>
              <w:t>审标</w:t>
            </w:r>
            <w:r>
              <w:rPr>
                <w:rFonts w:hint="eastAsia" w:ascii="仿宋" w:hAnsi="仿宋" w:eastAsia="仿宋" w:cs="仿宋"/>
                <w:color w:val="FF0000"/>
                <w:sz w:val="24"/>
                <w:szCs w:val="24"/>
                <w:highlight w:val="none"/>
              </w:rPr>
              <w:t>单位四方认可后，经业主审核且审批同意后付清。</w:t>
            </w:r>
          </w:p>
        </w:tc>
      </w:tr>
      <w:tr w14:paraId="47D89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34D31929">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7</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7DE57E56">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招标文件P29页附表2：</w:t>
            </w:r>
          </w:p>
          <w:p w14:paraId="6C610261">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《建设工程造价咨询服务收费标准》</w:t>
            </w:r>
          </w:p>
          <w:p w14:paraId="00D5CB9B">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33"/>
              <w:gridCol w:w="1303"/>
            </w:tblGrid>
            <w:tr w14:paraId="584352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27AE47CE">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建安工程造价</w:t>
                  </w:r>
                </w:p>
              </w:tc>
              <w:tc>
                <w:tcPr>
                  <w:tcW w:w="4252" w:type="dxa"/>
                  <w:noWrap w:val="0"/>
                  <w:vAlign w:val="center"/>
                </w:tcPr>
                <w:p w14:paraId="1069F3F5">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 准</w:t>
                  </w:r>
                </w:p>
              </w:tc>
            </w:tr>
            <w:tr w14:paraId="68DA7B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1B88D1E8">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200万</w:t>
                  </w:r>
                  <w:r>
                    <w:rPr>
                      <w:rFonts w:hint="eastAsia" w:ascii="仿宋" w:hAnsi="仿宋" w:eastAsia="仿宋" w:cs="仿宋"/>
                      <w:color w:val="auto"/>
                      <w:sz w:val="24"/>
                      <w:szCs w:val="24"/>
                      <w:highlight w:val="none"/>
                    </w:rPr>
                    <w:t>元以内</w:t>
                  </w:r>
                </w:p>
              </w:tc>
              <w:tc>
                <w:tcPr>
                  <w:tcW w:w="4252" w:type="dxa"/>
                  <w:noWrap w:val="0"/>
                  <w:vAlign w:val="center"/>
                </w:tcPr>
                <w:p w14:paraId="7E3B14C2">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p>
              </w:tc>
            </w:tr>
          </w:tbl>
          <w:p w14:paraId="373BEA33">
            <w:pPr>
              <w:keepNext w:val="0"/>
              <w:keepLines w:val="0"/>
              <w:widowControl/>
              <w:suppressLineNumbers w:val="0"/>
              <w:wordWrap w:val="0"/>
              <w:spacing w:line="240" w:lineRule="auto"/>
              <w:jc w:val="left"/>
              <w:textAlignment w:val="top"/>
              <w:rPr>
                <w:rFonts w:hint="eastAsia" w:ascii="仿宋" w:hAnsi="仿宋" w:eastAsia="仿宋" w:cs="仿宋"/>
                <w:kern w:val="0"/>
                <w:sz w:val="24"/>
                <w:szCs w:val="24"/>
                <w:lang w:val="en-US" w:eastAsia="zh-CN" w:bidi="ar"/>
              </w:rPr>
            </w:pP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1034"/>
              <w:gridCol w:w="1304"/>
            </w:tblGrid>
            <w:tr w14:paraId="590FED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16" w:hRule="atLeast"/>
              </w:trPr>
              <w:tc>
                <w:tcPr>
                  <w:tcW w:w="3794" w:type="dxa"/>
                  <w:noWrap w:val="0"/>
                  <w:vAlign w:val="center"/>
                </w:tcPr>
                <w:p w14:paraId="04724F5D">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建安工程造价</w:t>
                  </w:r>
                </w:p>
              </w:tc>
              <w:tc>
                <w:tcPr>
                  <w:tcW w:w="4252" w:type="dxa"/>
                  <w:noWrap w:val="0"/>
                  <w:vAlign w:val="center"/>
                </w:tcPr>
                <w:p w14:paraId="4553CFA4">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 准</w:t>
                  </w:r>
                </w:p>
              </w:tc>
            </w:tr>
            <w:tr w14:paraId="51E4CA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3794" w:type="dxa"/>
                  <w:noWrap w:val="0"/>
                  <w:vAlign w:val="center"/>
                </w:tcPr>
                <w:p w14:paraId="42880003">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FF0000"/>
                      <w:sz w:val="24"/>
                      <w:szCs w:val="24"/>
                      <w:highlight w:val="none"/>
                      <w:lang w:val="en-US" w:eastAsia="zh-CN"/>
                    </w:rPr>
                    <w:t>1</w:t>
                  </w:r>
                  <w:r>
                    <w:rPr>
                      <w:rFonts w:hint="eastAsia" w:ascii="仿宋" w:hAnsi="仿宋" w:eastAsia="仿宋" w:cs="仿宋"/>
                      <w:color w:val="FF0000"/>
                      <w:sz w:val="24"/>
                      <w:szCs w:val="24"/>
                      <w:highlight w:val="none"/>
                      <w:lang w:eastAsia="zh-CN"/>
                    </w:rPr>
                    <w:t>00万</w:t>
                  </w:r>
                  <w:r>
                    <w:rPr>
                      <w:rFonts w:hint="eastAsia" w:ascii="仿宋" w:hAnsi="仿宋" w:eastAsia="仿宋" w:cs="仿宋"/>
                      <w:color w:val="FF0000"/>
                      <w:sz w:val="24"/>
                      <w:szCs w:val="24"/>
                      <w:highlight w:val="none"/>
                    </w:rPr>
                    <w:t>元以内</w:t>
                  </w:r>
                </w:p>
              </w:tc>
              <w:tc>
                <w:tcPr>
                  <w:tcW w:w="4252" w:type="dxa"/>
                  <w:noWrap w:val="0"/>
                  <w:vAlign w:val="center"/>
                </w:tcPr>
                <w:p w14:paraId="582D2712">
                  <w:pPr>
                    <w:spacing w:line="24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3.6‰</w:t>
                  </w:r>
                </w:p>
              </w:tc>
            </w:tr>
          </w:tbl>
          <w:p w14:paraId="13371745">
            <w:pPr>
              <w:widowControl/>
              <w:shd w:val="clear" w:color="auto" w:fill="auto"/>
              <w:snapToGrid w:val="0"/>
              <w:spacing w:line="240" w:lineRule="auto"/>
              <w:ind w:firstLine="480"/>
              <w:rPr>
                <w:rFonts w:hint="eastAsia" w:ascii="仿宋" w:hAnsi="仿宋" w:eastAsia="仿宋" w:cs="仿宋"/>
                <w:color w:val="FF0000"/>
                <w:sz w:val="24"/>
                <w:szCs w:val="24"/>
                <w:highlight w:val="none"/>
                <w:lang w:val="en-US" w:eastAsia="zh-CN"/>
              </w:rPr>
            </w:pPr>
          </w:p>
        </w:tc>
      </w:tr>
      <w:tr w14:paraId="2E154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EB3983A">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5FE1283">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招标文件P30页▲6、交货和提供服务的时间</w:t>
            </w:r>
          </w:p>
          <w:p w14:paraId="41F8C6B1">
            <w:pPr>
              <w:pStyle w:val="2"/>
              <w:spacing w:line="240" w:lineRule="auto"/>
              <w:ind w:firstLine="480" w:firstLineChars="200"/>
              <w:rPr>
                <w:rFonts w:hint="eastAsia" w:ascii="仿宋" w:hAnsi="仿宋" w:eastAsia="仿宋" w:cs="仿宋"/>
                <w:color w:val="auto"/>
                <w:sz w:val="24"/>
                <w:szCs w:val="24"/>
                <w:highlight w:val="none"/>
                <w:lang w:val="en-US" w:eastAsia="zh-CN"/>
              </w:rPr>
            </w:pP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3BD22C9C">
            <w:pPr>
              <w:pStyle w:val="2"/>
              <w:spacing w:line="240" w:lineRule="auto"/>
              <w:ind w:firstLine="480" w:firstLineChars="200"/>
              <w:rPr>
                <w:rFonts w:hint="eastAsia" w:ascii="仿宋" w:hAnsi="仿宋" w:eastAsia="仿宋" w:cs="仿宋"/>
                <w:kern w:val="0"/>
                <w:sz w:val="24"/>
                <w:szCs w:val="24"/>
                <w:lang w:val="en-US" w:eastAsia="zh-CN" w:bidi="ar"/>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lang w:val="en-US"/>
              </w:rPr>
              <w:t>.2标底编制(审核）时间按照业主要求。在接到业主通知3天内完成招标（采购）文件的编制。建设工程标底编制、标底审核全部完成合计时间在10天内（收到编标图纸开始计时起算）完成并出具报告，代理工作必须同步进行。从收到编标图纸日起算到开标日结束总计不得超过20天。</w:t>
            </w:r>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0938C36">
            <w:pPr>
              <w:pStyle w:val="2"/>
              <w:spacing w:line="240" w:lineRule="auto"/>
              <w:ind w:firstLine="480" w:firstLineChars="200"/>
              <w:rPr>
                <w:rFonts w:hint="eastAsia" w:ascii="仿宋" w:hAnsi="仿宋" w:eastAsia="仿宋" w:cs="仿宋"/>
                <w:color w:val="FF0000"/>
                <w:sz w:val="24"/>
                <w:szCs w:val="24"/>
                <w:highlight w:val="none"/>
                <w:lang w:val="en-US" w:eastAsia="zh-CN"/>
              </w:rPr>
            </w:pPr>
            <w:r>
              <w:rPr>
                <w:rFonts w:hint="eastAsia" w:ascii="仿宋" w:hAnsi="仿宋" w:eastAsia="仿宋" w:cs="仿宋"/>
                <w:color w:val="FF0000"/>
                <w:sz w:val="24"/>
                <w:szCs w:val="24"/>
                <w:highlight w:val="none"/>
                <w:lang w:val="en-US" w:eastAsia="zh-CN"/>
              </w:rPr>
              <w:t>6</w:t>
            </w:r>
            <w:r>
              <w:rPr>
                <w:rFonts w:hint="eastAsia" w:ascii="仿宋" w:hAnsi="仿宋" w:eastAsia="仿宋" w:cs="仿宋"/>
                <w:color w:val="FF0000"/>
                <w:sz w:val="24"/>
                <w:szCs w:val="24"/>
                <w:highlight w:val="none"/>
                <w:lang w:val="en-US"/>
              </w:rPr>
              <w:t>.2标底编制(审核）时间按照业主要求。在接到业主通知</w:t>
            </w:r>
            <w:r>
              <w:rPr>
                <w:rFonts w:hint="eastAsia" w:ascii="仿宋" w:hAnsi="仿宋" w:eastAsia="仿宋" w:cs="仿宋"/>
                <w:color w:val="FF0000"/>
                <w:sz w:val="24"/>
                <w:szCs w:val="24"/>
                <w:highlight w:val="none"/>
                <w:lang w:val="en-US" w:eastAsia="zh-CN"/>
              </w:rPr>
              <w:t>5</w:t>
            </w:r>
            <w:r>
              <w:rPr>
                <w:rFonts w:hint="eastAsia" w:ascii="仿宋" w:hAnsi="仿宋" w:eastAsia="仿宋" w:cs="仿宋"/>
                <w:color w:val="FF0000"/>
                <w:sz w:val="24"/>
                <w:szCs w:val="24"/>
                <w:highlight w:val="none"/>
                <w:lang w:val="en-US"/>
              </w:rPr>
              <w:t>天内完成招标（采购）文件的编制。建设工程标底编制、标底审核全部完成合计时间在10天内（收到编标图纸开始计时起算）完成并出具报告，代理工作必须同步进行。从收到编标图纸日起算到开标日结束总计不得超过20天。</w:t>
            </w:r>
          </w:p>
        </w:tc>
      </w:tr>
      <w:tr w14:paraId="02E868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0" w:type="dxa"/>
            <w:bottom w:w="15" w:type="dxa"/>
            <w:right w:w="15" w:type="dxa"/>
          </w:tblCellMar>
        </w:tblPrEx>
        <w:tc>
          <w:tcPr>
            <w:tcW w:w="526"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11CF186F">
            <w:pPr>
              <w:pStyle w:val="2"/>
              <w:spacing w:line="24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c>
          <w:tcPr>
            <w:tcW w:w="1445"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F926917">
            <w:pPr>
              <w:pStyle w:val="2"/>
              <w:spacing w:line="240" w:lineRule="auto"/>
              <w:ind w:firstLine="480" w:firstLineChars="20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招标文件P31页▲7、违约责任及处罚措施</w:t>
            </w:r>
          </w:p>
        </w:tc>
        <w:tc>
          <w:tcPr>
            <w:tcW w:w="1513"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00C0A2EC">
            <w:pPr>
              <w:pStyle w:val="2"/>
              <w:spacing w:line="240" w:lineRule="auto"/>
              <w:ind w:firstLine="480" w:firstLineChars="200"/>
              <w:rPr>
                <w:rFonts w:hint="eastAsia" w:ascii="仿宋" w:hAnsi="仿宋" w:eastAsia="仿宋" w:cs="仿宋"/>
                <w:color w:val="auto"/>
                <w:sz w:val="24"/>
                <w:szCs w:val="24"/>
                <w:highlight w:val="none"/>
                <w:lang w:val="en-US"/>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val="en-US"/>
              </w:rPr>
              <w:t>.2预算编制、询价时间：业主提供给</w:t>
            </w:r>
            <w:r>
              <w:rPr>
                <w:rFonts w:hint="eastAsia" w:ascii="仿宋" w:hAnsi="仿宋" w:eastAsia="仿宋" w:cs="仿宋"/>
                <w:color w:val="auto"/>
                <w:sz w:val="24"/>
                <w:szCs w:val="24"/>
                <w:highlight w:val="none"/>
                <w:lang w:val="en-US" w:eastAsia="zh-CN"/>
              </w:rPr>
              <w:t>入围</w:t>
            </w:r>
            <w:r>
              <w:rPr>
                <w:rFonts w:hint="eastAsia" w:ascii="仿宋" w:hAnsi="仿宋" w:eastAsia="仿宋" w:cs="仿宋"/>
                <w:color w:val="auto"/>
                <w:sz w:val="24"/>
                <w:szCs w:val="24"/>
                <w:highlight w:val="none"/>
                <w:lang w:val="en-US"/>
              </w:rPr>
              <w:t>单位施工图纸及图审文件后，</w:t>
            </w:r>
            <w:r>
              <w:rPr>
                <w:rFonts w:hint="eastAsia" w:ascii="仿宋" w:hAnsi="仿宋" w:eastAsia="仿宋" w:cs="仿宋"/>
                <w:color w:val="auto"/>
                <w:sz w:val="24"/>
                <w:szCs w:val="24"/>
                <w:highlight w:val="none"/>
                <w:lang w:val="en-US" w:eastAsia="zh-CN"/>
              </w:rPr>
              <w:t>入围</w:t>
            </w:r>
            <w:r>
              <w:rPr>
                <w:rFonts w:hint="eastAsia" w:ascii="仿宋" w:hAnsi="仿宋" w:eastAsia="仿宋" w:cs="仿宋"/>
                <w:color w:val="auto"/>
                <w:sz w:val="24"/>
                <w:szCs w:val="24"/>
                <w:highlight w:val="none"/>
                <w:lang w:val="en-US"/>
              </w:rPr>
              <w:t>单位按以下时间完成工作：限额以下工程类项目预算编制三天内完成、限额以下采购、服务类项目询价二天内完成；限额以上工程类项目预算编制七天内完成、限额以上采购、服务类项目询价五天内完成。未在规定时间未能完成预算编制工作的，每延迟一天扣1000元。（注：如遇项目较大、情况较复杂，经业主确认合理时间后，按业主规定的时间执行）。</w:t>
            </w:r>
          </w:p>
          <w:p w14:paraId="4C7AFBAB">
            <w:pPr>
              <w:pStyle w:val="2"/>
              <w:spacing w:line="240" w:lineRule="auto"/>
              <w:ind w:firstLine="480" w:firstLineChars="200"/>
              <w:rPr>
                <w:rFonts w:hint="eastAsia" w:ascii="仿宋" w:hAnsi="仿宋" w:eastAsia="仿宋" w:cs="仿宋"/>
                <w:kern w:val="0"/>
                <w:sz w:val="24"/>
                <w:szCs w:val="24"/>
                <w:lang w:val="en-US" w:eastAsia="zh-CN" w:bidi="ar"/>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lang w:val="en-US"/>
              </w:rPr>
              <w:t>.8不进入区公管办招标项目的标底审核需在收到预算标底及图纸送达后二天内完成标底审核工作，每延迟一天扣1000元。</w:t>
            </w:r>
            <w:bookmarkStart w:id="0" w:name="_GoBack"/>
            <w:bookmarkEnd w:id="0"/>
          </w:p>
        </w:tc>
        <w:tc>
          <w:tcPr>
            <w:tcW w:w="1514" w:type="pct"/>
            <w:tcBorders>
              <w:top w:val="single" w:color="DDDDDD" w:sz="6" w:space="0"/>
              <w:left w:val="single" w:color="DDDDDD" w:sz="6" w:space="0"/>
              <w:bottom w:val="single" w:color="DDDDDD" w:sz="6" w:space="0"/>
              <w:right w:val="single" w:color="DDDDDD" w:sz="6" w:space="0"/>
            </w:tcBorders>
            <w:shd w:val="clear" w:color="auto" w:fill="auto"/>
            <w:tcMar>
              <w:top w:w="180" w:type="dxa"/>
              <w:left w:w="120" w:type="dxa"/>
              <w:bottom w:w="180" w:type="dxa"/>
              <w:right w:w="120" w:type="dxa"/>
            </w:tcMar>
            <w:vAlign w:val="top"/>
          </w:tcPr>
          <w:p w14:paraId="4D486B96">
            <w:pPr>
              <w:pStyle w:val="2"/>
              <w:spacing w:line="240" w:lineRule="auto"/>
              <w:ind w:firstLine="480" w:firstLineChars="200"/>
              <w:rPr>
                <w:rFonts w:hint="eastAsia" w:ascii="仿宋" w:hAnsi="仿宋" w:eastAsia="仿宋" w:cs="仿宋"/>
                <w:color w:val="FF0000"/>
                <w:sz w:val="24"/>
                <w:szCs w:val="24"/>
                <w:highlight w:val="none"/>
                <w:lang w:val="en-US"/>
              </w:rPr>
            </w:pPr>
            <w:r>
              <w:rPr>
                <w:rFonts w:hint="eastAsia" w:ascii="仿宋" w:hAnsi="仿宋" w:eastAsia="仿宋" w:cs="仿宋"/>
                <w:color w:val="FF0000"/>
                <w:sz w:val="24"/>
                <w:szCs w:val="24"/>
                <w:highlight w:val="none"/>
                <w:lang w:val="en-US" w:eastAsia="zh-CN"/>
              </w:rPr>
              <w:t>7</w:t>
            </w:r>
            <w:r>
              <w:rPr>
                <w:rFonts w:hint="eastAsia" w:ascii="仿宋" w:hAnsi="仿宋" w:eastAsia="仿宋" w:cs="仿宋"/>
                <w:color w:val="FF0000"/>
                <w:sz w:val="24"/>
                <w:szCs w:val="24"/>
                <w:highlight w:val="none"/>
                <w:lang w:val="en-US"/>
              </w:rPr>
              <w:t>.2预算编制、询价时间：业主提供给</w:t>
            </w:r>
            <w:r>
              <w:rPr>
                <w:rFonts w:hint="eastAsia" w:ascii="仿宋" w:hAnsi="仿宋" w:eastAsia="仿宋" w:cs="仿宋"/>
                <w:color w:val="FF0000"/>
                <w:sz w:val="24"/>
                <w:szCs w:val="24"/>
                <w:highlight w:val="none"/>
                <w:lang w:val="en-US" w:eastAsia="zh-CN"/>
              </w:rPr>
              <w:t>入围</w:t>
            </w:r>
            <w:r>
              <w:rPr>
                <w:rFonts w:hint="eastAsia" w:ascii="仿宋" w:hAnsi="仿宋" w:eastAsia="仿宋" w:cs="仿宋"/>
                <w:color w:val="FF0000"/>
                <w:sz w:val="24"/>
                <w:szCs w:val="24"/>
                <w:highlight w:val="none"/>
                <w:lang w:val="en-US"/>
              </w:rPr>
              <w:t>单位施工图纸及图审文件后，</w:t>
            </w:r>
            <w:r>
              <w:rPr>
                <w:rFonts w:hint="eastAsia" w:ascii="仿宋" w:hAnsi="仿宋" w:eastAsia="仿宋" w:cs="仿宋"/>
                <w:color w:val="FF0000"/>
                <w:sz w:val="24"/>
                <w:szCs w:val="24"/>
                <w:highlight w:val="none"/>
                <w:lang w:val="en-US" w:eastAsia="zh-CN"/>
              </w:rPr>
              <w:t>入围</w:t>
            </w:r>
            <w:r>
              <w:rPr>
                <w:rFonts w:hint="eastAsia" w:ascii="仿宋" w:hAnsi="仿宋" w:eastAsia="仿宋" w:cs="仿宋"/>
                <w:color w:val="FF0000"/>
                <w:sz w:val="24"/>
                <w:szCs w:val="24"/>
                <w:highlight w:val="none"/>
                <w:lang w:val="en-US"/>
              </w:rPr>
              <w:t>单位按以下时间完成工作：限额以下工程类项目预算编制</w:t>
            </w:r>
            <w:r>
              <w:rPr>
                <w:rFonts w:hint="eastAsia" w:ascii="仿宋" w:hAnsi="仿宋" w:eastAsia="仿宋" w:cs="仿宋"/>
                <w:color w:val="FF0000"/>
                <w:sz w:val="24"/>
                <w:szCs w:val="24"/>
                <w:highlight w:val="none"/>
                <w:lang w:val="en-US" w:eastAsia="zh-CN"/>
              </w:rPr>
              <w:t>五</w:t>
            </w:r>
            <w:r>
              <w:rPr>
                <w:rFonts w:hint="eastAsia" w:ascii="仿宋" w:hAnsi="仿宋" w:eastAsia="仿宋" w:cs="仿宋"/>
                <w:color w:val="FF0000"/>
                <w:sz w:val="24"/>
                <w:szCs w:val="24"/>
                <w:highlight w:val="none"/>
                <w:lang w:val="en-US"/>
              </w:rPr>
              <w:t>天内完成、限额以下采购、服务类项目询价</w:t>
            </w:r>
            <w:r>
              <w:rPr>
                <w:rFonts w:hint="eastAsia" w:ascii="仿宋" w:hAnsi="仿宋" w:eastAsia="仿宋" w:cs="仿宋"/>
                <w:color w:val="FF0000"/>
                <w:sz w:val="24"/>
                <w:szCs w:val="24"/>
                <w:highlight w:val="none"/>
                <w:lang w:val="en-US" w:eastAsia="zh-CN"/>
              </w:rPr>
              <w:t>三</w:t>
            </w:r>
            <w:r>
              <w:rPr>
                <w:rFonts w:hint="eastAsia" w:ascii="仿宋" w:hAnsi="仿宋" w:eastAsia="仿宋" w:cs="仿宋"/>
                <w:color w:val="FF0000"/>
                <w:sz w:val="24"/>
                <w:szCs w:val="24"/>
                <w:highlight w:val="none"/>
                <w:lang w:val="en-US"/>
              </w:rPr>
              <w:t>天内完成；限额以上工程类项目预算编制</w:t>
            </w:r>
            <w:r>
              <w:rPr>
                <w:rFonts w:hint="eastAsia" w:ascii="仿宋" w:hAnsi="仿宋" w:eastAsia="仿宋" w:cs="仿宋"/>
                <w:color w:val="FF0000"/>
                <w:sz w:val="24"/>
                <w:szCs w:val="24"/>
                <w:highlight w:val="none"/>
                <w:lang w:val="en-US" w:eastAsia="zh-CN"/>
              </w:rPr>
              <w:t>十</w:t>
            </w:r>
            <w:r>
              <w:rPr>
                <w:rFonts w:hint="eastAsia" w:ascii="仿宋" w:hAnsi="仿宋" w:eastAsia="仿宋" w:cs="仿宋"/>
                <w:color w:val="FF0000"/>
                <w:sz w:val="24"/>
                <w:szCs w:val="24"/>
                <w:highlight w:val="none"/>
                <w:lang w:val="en-US"/>
              </w:rPr>
              <w:t>天内完成、限额以上采购、服务类项目询价五天内完成。未在规定时间未能完成预算编制工作的，每延迟一天扣1000元。（注：如遇项目较大、情况较复杂，经业主确认合理时间后，按业主规定的时间执行）。</w:t>
            </w:r>
          </w:p>
          <w:p w14:paraId="794AC216">
            <w:pPr>
              <w:pStyle w:val="2"/>
              <w:spacing w:line="240" w:lineRule="auto"/>
              <w:ind w:firstLine="480" w:firstLineChars="200"/>
              <w:rPr>
                <w:rFonts w:hint="eastAsia" w:ascii="仿宋" w:hAnsi="仿宋" w:eastAsia="仿宋" w:cs="仿宋"/>
                <w:color w:val="FF0000"/>
                <w:sz w:val="24"/>
                <w:szCs w:val="24"/>
                <w:highlight w:val="none"/>
                <w:lang w:val="en-US" w:eastAsia="zh-CN"/>
              </w:rPr>
            </w:pPr>
            <w:r>
              <w:rPr>
                <w:rFonts w:hint="eastAsia" w:ascii="仿宋" w:hAnsi="仿宋" w:eastAsia="仿宋" w:cs="仿宋"/>
                <w:color w:val="FF0000"/>
                <w:sz w:val="24"/>
                <w:szCs w:val="24"/>
                <w:highlight w:val="none"/>
                <w:lang w:val="en-US" w:eastAsia="zh-CN"/>
              </w:rPr>
              <w:t>7</w:t>
            </w:r>
            <w:r>
              <w:rPr>
                <w:rFonts w:hint="eastAsia" w:ascii="仿宋" w:hAnsi="仿宋" w:eastAsia="仿宋" w:cs="仿宋"/>
                <w:color w:val="FF0000"/>
                <w:sz w:val="24"/>
                <w:szCs w:val="24"/>
                <w:highlight w:val="none"/>
                <w:lang w:val="en-US"/>
              </w:rPr>
              <w:t>.8不进入区公管办招标项目的标底审核需在收到预算标底及图纸送达后</w:t>
            </w:r>
            <w:r>
              <w:rPr>
                <w:rFonts w:hint="eastAsia" w:ascii="仿宋" w:hAnsi="仿宋" w:eastAsia="仿宋" w:cs="仿宋"/>
                <w:color w:val="FF0000"/>
                <w:sz w:val="24"/>
                <w:szCs w:val="24"/>
                <w:highlight w:val="none"/>
                <w:lang w:val="en-US" w:eastAsia="zh-CN"/>
              </w:rPr>
              <w:t>三</w:t>
            </w:r>
            <w:r>
              <w:rPr>
                <w:rFonts w:hint="eastAsia" w:ascii="仿宋" w:hAnsi="仿宋" w:eastAsia="仿宋" w:cs="仿宋"/>
                <w:color w:val="FF0000"/>
                <w:sz w:val="24"/>
                <w:szCs w:val="24"/>
                <w:highlight w:val="none"/>
                <w:lang w:val="en-US"/>
              </w:rPr>
              <w:t>天内完成标底审核工作，每延迟一天扣1000元。</w:t>
            </w:r>
          </w:p>
        </w:tc>
      </w:tr>
    </w:tbl>
    <w:p w14:paraId="773CB94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Calibri Light">
    <w:panose1 w:val="020F0302020204030204"/>
    <w:charset w:val="00"/>
    <w:family w:val="auto"/>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5B0A93"/>
    <w:rsid w:val="21E53A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iPriority w:val="0"/>
  </w:style>
  <w:style w:type="table" w:default="1" w:styleId="8">
    <w:name w:val="Normal Table"/>
    <w:semiHidden/>
    <w:uiPriority w:val="0"/>
    <w:tblPr>
      <w:tblCellMar>
        <w:top w:w="0" w:type="dxa"/>
        <w:left w:w="108" w:type="dxa"/>
        <w:bottom w:w="0" w:type="dxa"/>
        <w:right w:w="108" w:type="dxa"/>
      </w:tblCellMar>
    </w:tblPr>
  </w:style>
  <w:style w:type="paragraph" w:styleId="2">
    <w:name w:val="Body Text"/>
    <w:basedOn w:val="1"/>
    <w:qFormat/>
    <w:uiPriority w:val="0"/>
    <w:pPr>
      <w:autoSpaceDE w:val="0"/>
      <w:autoSpaceDN w:val="0"/>
      <w:adjustRightInd w:val="0"/>
      <w:spacing w:line="360" w:lineRule="auto"/>
    </w:pPr>
    <w:rPr>
      <w:rFonts w:ascii="宋体" w:hAnsi="Arial" w:cs="Arial"/>
      <w:snapToGrid w:val="0"/>
      <w:sz w:val="24"/>
      <w:szCs w:val="21"/>
      <w:lang w:val="zh-CN"/>
    </w:rPr>
  </w:style>
  <w:style w:type="paragraph" w:styleId="3">
    <w:name w:val="Plain Text"/>
    <w:basedOn w:val="1"/>
    <w:qFormat/>
    <w:uiPriority w:val="0"/>
    <w:rPr>
      <w:rFonts w:ascii="宋体" w:hAnsi="Courier New" w:cs="Arial"/>
      <w:snapToGrid w:val="0"/>
      <w:szCs w:val="21"/>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rPr>
      <w:sz w:val="24"/>
    </w:rPr>
  </w:style>
  <w:style w:type="paragraph" w:styleId="7">
    <w:name w:val="Title"/>
    <w:basedOn w:val="1"/>
    <w:qFormat/>
    <w:uiPriority w:val="0"/>
    <w:pPr>
      <w:widowControl/>
      <w:overflowPunct w:val="0"/>
      <w:autoSpaceDE w:val="0"/>
      <w:autoSpaceDN w:val="0"/>
      <w:adjustRightInd w:val="0"/>
      <w:jc w:val="center"/>
      <w:textAlignment w:val="baseline"/>
    </w:pPr>
    <w:rPr>
      <w:b/>
      <w:kern w:val="0"/>
      <w:sz w:val="24"/>
      <w:szCs w:val="20"/>
      <w:lang w:val="en-GB"/>
    </w:rPr>
  </w:style>
  <w:style w:type="character" w:styleId="10">
    <w:name w:val="page number"/>
    <w:basedOn w:val="9"/>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724</Words>
  <Characters>772</Characters>
  <Lines>0</Lines>
  <Paragraphs>0</Paragraphs>
  <TotalTime>5</TotalTime>
  <ScaleCrop>false</ScaleCrop>
  <LinksUpToDate>false</LinksUpToDate>
  <CharactersWithSpaces>790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2025-03-26T08:01:00Z</dcterms:created>
  <dc:creator>admin</dc:creator>
  <cp:lastModifiedBy>琳</cp:lastModifiedBy>
  <dcterms:modified xsi:type="dcterms:W3CDTF">2025-03-28T01:05:38Z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eyJoZGlkIjoiYjU1YmE0NjFkOTk2YTJjYWQyNzlkZDVlODk5ZDVlM2QiLCJ1c2VySWQiOiIzMjE5MTQ0NzkifQ==</vt:lpwstr>
  </property>
  <property fmtid="{D5CDD505-2E9C-101B-9397-08002B2CF9AE}" pid="4" name="ICV">
    <vt:lpwstr>61C4FE48E84845258464DD845FE5B352_12</vt:lpwstr>
  </property>
</Properties>
</file>