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4042FC">
      <w:pPr>
        <w:spacing w:beforeLines="50"/>
        <w:jc w:val="center"/>
        <w:rPr>
          <w:rFonts w:hint="eastAsia" w:ascii="宋体" w:hAnsi="宋体" w:eastAsia="宋体" w:cs="宋体"/>
          <w:b/>
          <w:color w:val="auto"/>
          <w:sz w:val="44"/>
          <w:szCs w:val="44"/>
          <w:highlight w:val="none"/>
        </w:rPr>
      </w:pPr>
    </w:p>
    <w:p w14:paraId="1371D5A9">
      <w:pPr>
        <w:spacing w:beforeLines="50"/>
        <w:jc w:val="center"/>
        <w:outlineLvl w:val="0"/>
        <w:rPr>
          <w:rFonts w:hint="eastAsia" w:ascii="宋体" w:hAnsi="宋体" w:eastAsia="宋体" w:cs="宋体"/>
          <w:b/>
          <w:color w:val="auto"/>
          <w:sz w:val="44"/>
          <w:szCs w:val="44"/>
          <w:highlight w:val="none"/>
          <w:lang w:eastAsia="zh-CN"/>
        </w:rPr>
      </w:pPr>
      <w:bookmarkStart w:id="0" w:name="OLE_LINK28"/>
      <w:r>
        <w:rPr>
          <w:rFonts w:hint="eastAsia" w:ascii="宋体" w:hAnsi="宋体" w:eastAsia="宋体" w:cs="宋体"/>
          <w:b/>
          <w:color w:val="auto"/>
          <w:sz w:val="44"/>
          <w:szCs w:val="44"/>
          <w:highlight w:val="none"/>
          <w:lang w:eastAsia="zh-CN"/>
        </w:rPr>
        <w:t>平湖市中心城区污水管网扩容改建一期工程招标代理及造价咨询服务项目</w:t>
      </w:r>
      <w:bookmarkEnd w:id="0"/>
    </w:p>
    <w:p w14:paraId="519DA356">
      <w:pPr>
        <w:spacing w:beforeLines="50"/>
        <w:rPr>
          <w:rFonts w:hint="eastAsia" w:ascii="宋体" w:hAnsi="宋体" w:eastAsia="宋体" w:cs="宋体"/>
          <w:color w:val="auto"/>
          <w:sz w:val="72"/>
          <w:szCs w:val="72"/>
          <w:highlight w:val="none"/>
        </w:rPr>
      </w:pPr>
    </w:p>
    <w:p w14:paraId="0E6F8C29">
      <w:pPr>
        <w:keepNext/>
        <w:keepLines/>
        <w:spacing w:before="260" w:after="260" w:line="416" w:lineRule="auto"/>
        <w:outlineLvl w:val="9"/>
        <w:rPr>
          <w:rFonts w:hint="eastAsia" w:ascii="宋体" w:hAnsi="宋体" w:eastAsia="宋体" w:cs="宋体"/>
          <w:b/>
          <w:bCs/>
          <w:color w:val="auto"/>
          <w:sz w:val="32"/>
          <w:szCs w:val="32"/>
          <w:highlight w:val="none"/>
        </w:rPr>
      </w:pPr>
    </w:p>
    <w:p w14:paraId="23B79785">
      <w:pPr>
        <w:spacing w:beforeLines="50"/>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招标文件</w:t>
      </w:r>
    </w:p>
    <w:p w14:paraId="025AA6D1">
      <w:pPr>
        <w:snapToGrid w:val="0"/>
        <w:spacing w:beforeLines="50" w:line="360" w:lineRule="auto"/>
        <w:rPr>
          <w:rFonts w:hint="eastAsia" w:ascii="宋体" w:hAnsi="宋体" w:eastAsia="宋体" w:cs="宋体"/>
          <w:color w:val="auto"/>
          <w:sz w:val="30"/>
          <w:szCs w:val="72"/>
          <w:highlight w:val="none"/>
        </w:rPr>
      </w:pPr>
    </w:p>
    <w:p w14:paraId="012F37D8">
      <w:pPr>
        <w:snapToGrid w:val="0"/>
        <w:spacing w:beforeLines="50" w:line="360" w:lineRule="auto"/>
        <w:rPr>
          <w:rFonts w:hint="eastAsia" w:ascii="宋体" w:hAnsi="宋体" w:eastAsia="宋体" w:cs="宋体"/>
          <w:color w:val="auto"/>
          <w:sz w:val="30"/>
          <w:szCs w:val="72"/>
          <w:highlight w:val="none"/>
        </w:rPr>
      </w:pPr>
    </w:p>
    <w:p w14:paraId="3DA3A8B0">
      <w:pPr>
        <w:snapToGrid w:val="0"/>
        <w:spacing w:beforeLines="50" w:line="360" w:lineRule="auto"/>
        <w:rPr>
          <w:rFonts w:hint="eastAsia" w:ascii="宋体" w:hAnsi="宋体" w:eastAsia="宋体" w:cs="宋体"/>
          <w:color w:val="auto"/>
          <w:sz w:val="30"/>
          <w:szCs w:val="72"/>
          <w:highlight w:val="none"/>
        </w:rPr>
      </w:pPr>
    </w:p>
    <w:p w14:paraId="280BA9F2">
      <w:pPr>
        <w:snapToGrid w:val="0"/>
        <w:spacing w:beforeLines="50" w:line="360" w:lineRule="auto"/>
        <w:rPr>
          <w:rFonts w:hint="eastAsia" w:ascii="宋体" w:hAnsi="宋体" w:eastAsia="宋体" w:cs="宋体"/>
          <w:color w:val="auto"/>
          <w:sz w:val="30"/>
          <w:szCs w:val="72"/>
          <w:highlight w:val="none"/>
        </w:rPr>
      </w:pPr>
    </w:p>
    <w:p w14:paraId="51F7E9B8">
      <w:pPr>
        <w:pStyle w:val="41"/>
        <w:rPr>
          <w:rFonts w:hint="eastAsia" w:ascii="宋体" w:hAnsi="宋体" w:eastAsia="宋体" w:cs="宋体"/>
          <w:color w:val="auto"/>
          <w:highlight w:val="none"/>
        </w:rPr>
      </w:pPr>
    </w:p>
    <w:p w14:paraId="6797751E">
      <w:pPr>
        <w:pStyle w:val="25"/>
        <w:snapToGrid w:val="0"/>
        <w:spacing w:before="0" w:beforeLines="0" w:after="0" w:afterLines="0" w:line="560" w:lineRule="exact"/>
        <w:ind w:firstLine="904" w:firstLineChars="3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项目编号</w:t>
      </w:r>
      <w:bookmarkStart w:id="1" w:name="OLE_LINK31"/>
      <w:r>
        <w:rPr>
          <w:rFonts w:hint="eastAsia" w:ascii="宋体" w:hAnsi="宋体" w:eastAsia="宋体" w:cs="宋体"/>
          <w:b/>
          <w:color w:val="auto"/>
          <w:sz w:val="30"/>
          <w:szCs w:val="30"/>
          <w:highlight w:val="none"/>
        </w:rPr>
        <w:t>：</w:t>
      </w:r>
      <w:bookmarkEnd w:id="1"/>
      <w:r>
        <w:rPr>
          <w:rFonts w:hint="eastAsia" w:ascii="宋体" w:hAnsi="宋体" w:eastAsia="宋体" w:cs="宋体"/>
          <w:b/>
          <w:color w:val="auto"/>
          <w:sz w:val="30"/>
          <w:szCs w:val="30"/>
          <w:highlight w:val="none"/>
        </w:rPr>
        <w:t>JXPHCG-2024-89</w:t>
      </w:r>
    </w:p>
    <w:p w14:paraId="35D85784">
      <w:pPr>
        <w:pStyle w:val="25"/>
        <w:snapToGrid w:val="0"/>
        <w:spacing w:before="0" w:beforeLines="0" w:after="0" w:afterLines="0" w:line="560" w:lineRule="exact"/>
        <w:ind w:firstLine="904" w:firstLineChars="300"/>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lang w:val="en-US" w:eastAsia="zh-CN"/>
        </w:rPr>
        <w:t>采购单位：</w:t>
      </w:r>
      <w:r>
        <w:rPr>
          <w:rFonts w:hint="eastAsia" w:ascii="宋体" w:hAnsi="宋体" w:eastAsia="宋体" w:cs="宋体"/>
          <w:b/>
          <w:color w:val="auto"/>
          <w:sz w:val="30"/>
          <w:szCs w:val="30"/>
          <w:highlight w:val="none"/>
          <w:lang w:val="en-US" w:eastAsia="zh-CN"/>
        </w:rPr>
        <w:t>平湖市住房和城乡建设局（项目业主单位）、平湖市水务投资(集团)有限公司（项目代建单位）</w:t>
      </w:r>
    </w:p>
    <w:p w14:paraId="4E197992">
      <w:pPr>
        <w:pStyle w:val="25"/>
        <w:snapToGrid w:val="0"/>
        <w:spacing w:before="0" w:beforeLines="0" w:after="0" w:afterLines="0" w:line="560" w:lineRule="exact"/>
        <w:ind w:firstLine="904" w:firstLineChars="300"/>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代理机构</w:t>
      </w:r>
      <w:bookmarkStart w:id="2" w:name="OLE_LINK30"/>
      <w:r>
        <w:rPr>
          <w:rFonts w:hint="eastAsia" w:ascii="宋体" w:hAnsi="宋体" w:eastAsia="宋体" w:cs="宋体"/>
          <w:b/>
          <w:color w:val="auto"/>
          <w:sz w:val="30"/>
          <w:szCs w:val="30"/>
          <w:highlight w:val="none"/>
        </w:rPr>
        <w:t>：</w:t>
      </w:r>
      <w:bookmarkEnd w:id="2"/>
      <w:r>
        <w:rPr>
          <w:rFonts w:hint="eastAsia" w:ascii="宋体" w:hAnsi="宋体" w:eastAsia="宋体" w:cs="宋体"/>
          <w:b/>
          <w:color w:val="auto"/>
          <w:sz w:val="30"/>
          <w:szCs w:val="30"/>
          <w:highlight w:val="none"/>
          <w:lang w:eastAsia="zh-CN"/>
        </w:rPr>
        <w:t>嘉兴市建新工程造价咨询事务所有限公司</w:t>
      </w:r>
    </w:p>
    <w:p w14:paraId="7BE83EFA">
      <w:pPr>
        <w:pStyle w:val="25"/>
        <w:snapToGrid w:val="0"/>
        <w:spacing w:before="0" w:beforeLines="0" w:after="0" w:afterLines="0" w:line="560" w:lineRule="exact"/>
        <w:ind w:firstLine="904" w:firstLineChars="3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编制日期：2024年</w:t>
      </w:r>
      <w:r>
        <w:rPr>
          <w:rFonts w:hint="eastAsia" w:hAnsi="宋体" w:cs="宋体"/>
          <w:b/>
          <w:color w:val="auto"/>
          <w:sz w:val="30"/>
          <w:szCs w:val="30"/>
          <w:highlight w:val="none"/>
          <w:lang w:val="en-US" w:eastAsia="zh-CN"/>
        </w:rPr>
        <w:t>9</w:t>
      </w:r>
      <w:r>
        <w:rPr>
          <w:rFonts w:hint="eastAsia" w:ascii="宋体" w:hAnsi="宋体" w:eastAsia="宋体" w:cs="宋体"/>
          <w:b/>
          <w:color w:val="auto"/>
          <w:sz w:val="30"/>
          <w:szCs w:val="30"/>
          <w:highlight w:val="none"/>
        </w:rPr>
        <w:t>月</w:t>
      </w:r>
      <w:r>
        <w:rPr>
          <w:rFonts w:hint="eastAsia" w:hAnsi="宋体" w:cs="宋体"/>
          <w:b/>
          <w:color w:val="auto"/>
          <w:sz w:val="30"/>
          <w:szCs w:val="30"/>
          <w:highlight w:val="none"/>
          <w:lang w:val="en-US" w:eastAsia="zh-CN"/>
        </w:rPr>
        <w:t>27</w:t>
      </w:r>
      <w:r>
        <w:rPr>
          <w:rFonts w:hint="eastAsia" w:ascii="宋体" w:hAnsi="宋体" w:eastAsia="宋体" w:cs="宋体"/>
          <w:b/>
          <w:color w:val="auto"/>
          <w:sz w:val="30"/>
          <w:szCs w:val="30"/>
          <w:highlight w:val="none"/>
        </w:rPr>
        <w:t>日</w:t>
      </w:r>
    </w:p>
    <w:p w14:paraId="64FDD25C">
      <w:pPr>
        <w:spacing w:before="156" w:after="156" w:line="600" w:lineRule="exact"/>
        <w:jc w:val="center"/>
        <w:rPr>
          <w:rFonts w:hint="eastAsia" w:ascii="宋体" w:hAnsi="宋体" w:eastAsia="宋体" w:cs="宋体"/>
          <w:color w:val="auto"/>
          <w:sz w:val="32"/>
          <w:szCs w:val="32"/>
          <w:highlight w:val="none"/>
        </w:rPr>
      </w:pPr>
    </w:p>
    <w:p w14:paraId="415C48C2">
      <w:pPr>
        <w:tabs>
          <w:tab w:val="left" w:pos="8265"/>
        </w:tabs>
        <w:spacing w:before="156" w:after="156" w:line="500" w:lineRule="exact"/>
        <w:jc w:val="center"/>
        <w:rPr>
          <w:rFonts w:hint="eastAsia" w:ascii="宋体" w:hAnsi="宋体" w:eastAsia="宋体" w:cs="宋体"/>
          <w:b/>
          <w:color w:val="auto"/>
          <w:sz w:val="44"/>
          <w:szCs w:val="44"/>
          <w:highlight w:val="none"/>
        </w:rPr>
      </w:pPr>
    </w:p>
    <w:p w14:paraId="185EA8DF">
      <w:pPr>
        <w:pStyle w:val="41"/>
        <w:rPr>
          <w:rFonts w:hint="eastAsia" w:ascii="宋体" w:hAnsi="宋体" w:eastAsia="宋体" w:cs="宋体"/>
          <w:color w:val="auto"/>
          <w:highlight w:val="none"/>
        </w:rPr>
      </w:pPr>
    </w:p>
    <w:p w14:paraId="2D85D9D3">
      <w:pPr>
        <w:tabs>
          <w:tab w:val="left" w:pos="8265"/>
        </w:tabs>
        <w:spacing w:before="120" w:after="120" w:line="500" w:lineRule="exact"/>
        <w:jc w:val="center"/>
        <w:rPr>
          <w:rFonts w:hint="eastAsia" w:ascii="宋体" w:hAnsi="宋体" w:eastAsia="宋体" w:cs="宋体"/>
          <w:b/>
          <w:color w:val="auto"/>
          <w:sz w:val="44"/>
          <w:szCs w:val="44"/>
          <w:highlight w:val="none"/>
        </w:rPr>
      </w:pPr>
      <w:bookmarkStart w:id="30" w:name="_GoBack"/>
      <w:bookmarkEnd w:id="30"/>
    </w:p>
    <w:p w14:paraId="46E23630">
      <w:pPr>
        <w:spacing w:line="600" w:lineRule="exact"/>
        <w:jc w:val="center"/>
        <w:outlineLvl w:val="1"/>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目    录</w:t>
      </w:r>
    </w:p>
    <w:p w14:paraId="4272C9F4">
      <w:pPr>
        <w:snapToGrid w:val="0"/>
        <w:spacing w:before="120" w:after="120"/>
        <w:jc w:val="center"/>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14:paraId="4BF87D18">
      <w:pPr>
        <w:snapToGrid w:val="0"/>
        <w:spacing w:line="600" w:lineRule="exact"/>
        <w:ind w:firstLine="210" w:firstLineChars="100"/>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"_第一章__公开招标采购公告"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highlight w:val="none"/>
        </w:rPr>
        <w:t>第一章  公开招标采购公告………………………………………</w:t>
      </w:r>
      <w:r>
        <w:rPr>
          <w:rFonts w:hint="eastAsia" w:ascii="宋体" w:hAnsi="宋体" w:eastAsia="宋体" w:cs="宋体"/>
          <w:color w:val="auto"/>
          <w:sz w:val="28"/>
          <w:highlight w:val="none"/>
        </w:rPr>
        <w:fldChar w:fldCharType="end"/>
      </w:r>
      <w:r>
        <w:rPr>
          <w:rFonts w:hint="eastAsia" w:ascii="宋体" w:hAnsi="宋体" w:eastAsia="宋体" w:cs="宋体"/>
          <w:color w:val="auto"/>
          <w:sz w:val="28"/>
          <w:szCs w:val="28"/>
          <w:highlight w:val="none"/>
        </w:rPr>
        <w:t>3</w:t>
      </w:r>
    </w:p>
    <w:p w14:paraId="0E2C38F8">
      <w:pPr>
        <w:tabs>
          <w:tab w:val="left" w:pos="6120"/>
        </w:tabs>
        <w:snapToGrid w:val="0"/>
        <w:spacing w:line="600" w:lineRule="exact"/>
        <w:ind w:firstLine="210" w:firstLineChars="100"/>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"_第二章__招标需求"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highlight w:val="none"/>
        </w:rPr>
        <w:t>第二章  招标需求…………………………………………………</w:t>
      </w:r>
      <w:r>
        <w:rPr>
          <w:rFonts w:hint="eastAsia" w:ascii="宋体" w:hAnsi="宋体" w:eastAsia="宋体" w:cs="宋体"/>
          <w:color w:val="auto"/>
          <w:sz w:val="28"/>
          <w:highlight w:val="none"/>
        </w:rPr>
        <w:fldChar w:fldCharType="end"/>
      </w:r>
      <w:r>
        <w:rPr>
          <w:rFonts w:hint="eastAsia" w:ascii="宋体" w:hAnsi="宋体" w:eastAsia="宋体" w:cs="宋体"/>
          <w:color w:val="auto"/>
          <w:sz w:val="28"/>
          <w:szCs w:val="28"/>
          <w:highlight w:val="none"/>
        </w:rPr>
        <w:t>5</w:t>
      </w:r>
    </w:p>
    <w:p w14:paraId="5C8D2977">
      <w:pPr>
        <w:snapToGrid w:val="0"/>
        <w:spacing w:line="600" w:lineRule="exact"/>
        <w:ind w:firstLine="210" w:firstLineChars="100"/>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"_第三章__投标人须知"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28"/>
          <w:highlight w:val="none"/>
        </w:rPr>
        <w:t>第三章  投</w:t>
      </w:r>
      <w:bookmarkStart w:id="3" w:name="_Hlt374283879"/>
      <w:r>
        <w:rPr>
          <w:rFonts w:hint="eastAsia" w:ascii="宋体" w:hAnsi="宋体" w:eastAsia="宋体" w:cs="宋体"/>
          <w:color w:val="auto"/>
          <w:sz w:val="28"/>
          <w:szCs w:val="28"/>
          <w:highlight w:val="none"/>
        </w:rPr>
        <w:t>标</w:t>
      </w:r>
      <w:bookmarkEnd w:id="3"/>
      <w:r>
        <w:rPr>
          <w:rFonts w:hint="eastAsia" w:ascii="宋体" w:hAnsi="宋体" w:eastAsia="宋体" w:cs="宋体"/>
          <w:color w:val="auto"/>
          <w:sz w:val="28"/>
          <w:szCs w:val="28"/>
          <w:highlight w:val="none"/>
        </w:rPr>
        <w:t>人须知………………………………………………</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7</w:t>
      </w:r>
    </w:p>
    <w:p w14:paraId="0DB7AE0A">
      <w:pPr>
        <w:spacing w:line="600" w:lineRule="exact"/>
        <w:ind w:firstLine="210" w:firstLineChars="100"/>
        <w:rPr>
          <w:rFonts w:hint="default" w:ascii="宋体" w:hAnsi="宋体" w:eastAsia="宋体" w:cs="宋体"/>
          <w:color w:val="auto"/>
          <w:sz w:val="28"/>
          <w:szCs w:val="28"/>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"_第四章__评标办法及评分标准"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highlight w:val="none"/>
        </w:rPr>
        <w:t>第四章  评标办法及评分标准……………………………………</w:t>
      </w:r>
      <w:r>
        <w:rPr>
          <w:rFonts w:hint="eastAsia" w:ascii="宋体" w:hAnsi="宋体" w:eastAsia="宋体" w:cs="宋体"/>
          <w:color w:val="auto"/>
          <w:sz w:val="28"/>
          <w:highlight w:val="none"/>
        </w:rPr>
        <w:fldChar w:fldCharType="end"/>
      </w:r>
      <w:r>
        <w:rPr>
          <w:rFonts w:hint="eastAsia" w:ascii="宋体" w:hAnsi="宋体" w:eastAsia="宋体" w:cs="宋体"/>
          <w:color w:val="auto"/>
          <w:sz w:val="28"/>
          <w:szCs w:val="28"/>
          <w:highlight w:val="none"/>
          <w:lang w:val="en-US" w:eastAsia="zh-CN"/>
        </w:rPr>
        <w:t>18</w:t>
      </w:r>
    </w:p>
    <w:p w14:paraId="6FDB08FC">
      <w:pPr>
        <w:snapToGrid w:val="0"/>
        <w:spacing w:line="600" w:lineRule="exact"/>
        <w:ind w:firstLine="210" w:firstLineChars="100"/>
        <w:rPr>
          <w:rFonts w:hint="default" w:ascii="宋体" w:hAnsi="宋体" w:eastAsia="宋体" w:cs="宋体"/>
          <w:color w:val="auto"/>
          <w:sz w:val="28"/>
          <w:szCs w:val="28"/>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"_第五章__合同主要条款"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highlight w:val="none"/>
        </w:rPr>
        <w:t>第五章  合同主要条款……………………………………………</w:t>
      </w:r>
      <w:r>
        <w:rPr>
          <w:rFonts w:hint="eastAsia" w:ascii="宋体" w:hAnsi="宋体" w:eastAsia="宋体" w:cs="宋体"/>
          <w:color w:val="auto"/>
          <w:sz w:val="28"/>
          <w:highlight w:val="none"/>
        </w:rPr>
        <w:fldChar w:fldCharType="end"/>
      </w:r>
      <w:r>
        <w:rPr>
          <w:rFonts w:hint="eastAsia" w:ascii="宋体" w:hAnsi="宋体" w:eastAsia="宋体" w:cs="宋体"/>
          <w:color w:val="auto"/>
          <w:sz w:val="28"/>
          <w:szCs w:val="28"/>
          <w:highlight w:val="none"/>
          <w:lang w:val="en-US" w:eastAsia="zh-CN"/>
        </w:rPr>
        <w:t>21</w:t>
      </w:r>
    </w:p>
    <w:p w14:paraId="3B685AB4">
      <w:pPr>
        <w:snapToGrid w:val="0"/>
        <w:spacing w:line="600" w:lineRule="exact"/>
        <w:ind w:firstLine="210" w:firstLineChars="100"/>
        <w:rPr>
          <w:rFonts w:hint="default" w:ascii="宋体" w:hAnsi="宋体" w:eastAsia="宋体" w:cs="宋体"/>
          <w:color w:val="auto"/>
          <w:sz w:val="28"/>
          <w:szCs w:val="28"/>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"_第六章_投标文件格式"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28"/>
          <w:highlight w:val="none"/>
        </w:rPr>
        <w:t>第六章  投标文</w:t>
      </w:r>
      <w:bookmarkStart w:id="4" w:name="_Hlt395108317"/>
      <w:bookmarkStart w:id="5" w:name="_Hlt395108316"/>
      <w:r>
        <w:rPr>
          <w:rFonts w:hint="eastAsia" w:ascii="宋体" w:hAnsi="宋体" w:eastAsia="宋体" w:cs="宋体"/>
          <w:color w:val="auto"/>
          <w:sz w:val="28"/>
          <w:szCs w:val="28"/>
          <w:highlight w:val="none"/>
        </w:rPr>
        <w:t>件</w:t>
      </w:r>
      <w:bookmarkEnd w:id="4"/>
      <w:bookmarkEnd w:id="5"/>
      <w:r>
        <w:rPr>
          <w:rFonts w:hint="eastAsia" w:ascii="宋体" w:hAnsi="宋体" w:eastAsia="宋体" w:cs="宋体"/>
          <w:color w:val="auto"/>
          <w:sz w:val="28"/>
          <w:szCs w:val="28"/>
          <w:highlight w:val="none"/>
        </w:rPr>
        <w:t>格式……………………………………………</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val="en-US" w:eastAsia="zh-CN"/>
        </w:rPr>
        <w:t>29</w:t>
      </w:r>
    </w:p>
    <w:p w14:paraId="0F124E03">
      <w:pPr>
        <w:rPr>
          <w:rFonts w:hint="eastAsia" w:ascii="宋体" w:hAnsi="宋体" w:eastAsia="宋体" w:cs="宋体"/>
          <w:b/>
          <w:bCs/>
          <w:color w:val="auto"/>
          <w:sz w:val="32"/>
          <w:szCs w:val="32"/>
          <w:highlight w:val="none"/>
        </w:rPr>
      </w:pPr>
      <w:bookmarkStart w:id="6" w:name="_第一章__公开招标采购公告"/>
      <w:bookmarkEnd w:id="6"/>
      <w:bookmarkStart w:id="7" w:name="OLE_LINK32"/>
      <w:r>
        <w:rPr>
          <w:rFonts w:hint="eastAsia" w:ascii="宋体" w:hAnsi="宋体" w:eastAsia="宋体" w:cs="宋体"/>
          <w:b/>
          <w:bCs/>
          <w:color w:val="auto"/>
          <w:sz w:val="32"/>
          <w:szCs w:val="32"/>
          <w:highlight w:val="none"/>
        </w:rPr>
        <w:br w:type="page"/>
      </w:r>
    </w:p>
    <w:p w14:paraId="4B89D26D">
      <w:pPr>
        <w:keepNext/>
        <w:keepLines/>
        <w:tabs>
          <w:tab w:val="center" w:pos="4649"/>
        </w:tabs>
        <w:spacing w:before="260" w:after="260" w:line="416" w:lineRule="auto"/>
        <w:jc w:val="center"/>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第一章  公开招标采购公告</w:t>
      </w:r>
    </w:p>
    <w:p w14:paraId="0644DBD6">
      <w:pPr>
        <w:tabs>
          <w:tab w:val="left" w:pos="8265"/>
        </w:tabs>
        <w:spacing w:line="440" w:lineRule="exact"/>
        <w:rPr>
          <w:rFonts w:hint="eastAsia" w:ascii="宋体" w:hAnsi="宋体" w:eastAsia="宋体" w:cs="宋体"/>
          <w:color w:val="auto"/>
          <w:kern w:val="0"/>
          <w:sz w:val="24"/>
          <w:szCs w:val="21"/>
          <w:highlight w:val="none"/>
        </w:rPr>
      </w:pPr>
      <w:bookmarkStart w:id="8" w:name="_第二章__招标需求"/>
      <w:bookmarkEnd w:id="8"/>
      <w:bookmarkStart w:id="9" w:name="csmb"/>
      <w:bookmarkEnd w:id="9"/>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0"/>
          <w:szCs w:val="21"/>
          <w:highlight w:val="none"/>
        </w:rPr>
        <w:t>参</w:t>
      </w:r>
      <w:bookmarkStart w:id="10" w:name="OLE_LINK1"/>
      <w:r>
        <w:rPr>
          <w:rFonts w:hint="eastAsia" w:ascii="宋体" w:hAnsi="宋体" w:eastAsia="宋体" w:cs="宋体"/>
          <w:color w:val="auto"/>
          <w:kern w:val="0"/>
          <w:szCs w:val="21"/>
          <w:highlight w:val="none"/>
        </w:rPr>
        <w:t>考《中华人民共和国政府采购法》、《政府采购货物和服务招标投标管理办法》等规定，</w:t>
      </w:r>
      <w:r>
        <w:rPr>
          <w:rFonts w:hint="eastAsia" w:ascii="宋体" w:hAnsi="宋体" w:eastAsia="宋体" w:cs="宋体"/>
          <w:color w:val="auto"/>
          <w:kern w:val="0"/>
          <w:szCs w:val="21"/>
          <w:highlight w:val="none"/>
        </w:rPr>
        <w:t>现就</w:t>
      </w:r>
      <w:bookmarkStart w:id="11" w:name="OLE_LINK3"/>
      <w:r>
        <w:rPr>
          <w:rFonts w:hint="eastAsia" w:ascii="宋体" w:hAnsi="宋体" w:eastAsia="宋体" w:cs="宋体"/>
          <w:b/>
          <w:color w:val="auto"/>
          <w:kern w:val="0"/>
          <w:szCs w:val="21"/>
          <w:highlight w:val="none"/>
          <w:u w:val="single"/>
          <w:lang w:eastAsia="zh-CN"/>
        </w:rPr>
        <w:t>平湖市中心城区污水管网扩容改建一期工程</w:t>
      </w:r>
      <w:bookmarkEnd w:id="11"/>
      <w:r>
        <w:rPr>
          <w:rFonts w:hint="eastAsia" w:ascii="宋体" w:hAnsi="宋体" w:eastAsia="宋体" w:cs="宋体"/>
          <w:b/>
          <w:color w:val="auto"/>
          <w:kern w:val="0"/>
          <w:szCs w:val="21"/>
          <w:highlight w:val="none"/>
          <w:u w:val="single"/>
          <w:lang w:eastAsia="zh-CN"/>
        </w:rPr>
        <w:t>招标代理及造价咨询服务项目</w:t>
      </w:r>
      <w:r>
        <w:rPr>
          <w:rFonts w:hint="eastAsia" w:ascii="宋体" w:hAnsi="宋体" w:eastAsia="宋体" w:cs="宋体"/>
          <w:color w:val="auto"/>
          <w:kern w:val="0"/>
          <w:szCs w:val="21"/>
          <w:highlight w:val="none"/>
        </w:rPr>
        <w:t xml:space="preserve">进行公开招标采购，欢迎提供本项目服务的供应商前来投标。 </w:t>
      </w:r>
    </w:p>
    <w:p w14:paraId="1E63BA27">
      <w:pPr>
        <w:numPr>
          <w:ilvl w:val="0"/>
          <w:numId w:val="5"/>
        </w:numPr>
        <w:snapToGrid w:val="0"/>
        <w:spacing w:line="440" w:lineRule="exact"/>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项目编号</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rPr>
        <w:t>JXPHCG-2024-</w:t>
      </w:r>
      <w:r>
        <w:rPr>
          <w:rFonts w:hint="eastAsia" w:ascii="宋体" w:hAnsi="宋体" w:eastAsia="宋体" w:cs="宋体"/>
          <w:bCs/>
          <w:color w:val="auto"/>
          <w:szCs w:val="21"/>
          <w:highlight w:val="none"/>
          <w:lang w:val="en-US" w:eastAsia="zh-CN"/>
        </w:rPr>
        <w:t>89</w:t>
      </w:r>
    </w:p>
    <w:bookmarkEnd w:id="10"/>
    <w:p w14:paraId="1B9F7C2D">
      <w:pPr>
        <w:tabs>
          <w:tab w:val="left" w:pos="3330"/>
        </w:tabs>
        <w:snapToGrid w:val="0"/>
        <w:spacing w:line="44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二、采购方式</w:t>
      </w:r>
      <w:r>
        <w:rPr>
          <w:rFonts w:hint="eastAsia" w:ascii="宋体" w:hAnsi="宋体" w:eastAsia="宋体" w:cs="宋体"/>
          <w:color w:val="auto"/>
          <w:szCs w:val="21"/>
          <w:highlight w:val="none"/>
        </w:rPr>
        <w:t>：公开招标</w:t>
      </w:r>
    </w:p>
    <w:p w14:paraId="2745EDF3">
      <w:pPr>
        <w:snapToGrid w:val="0"/>
        <w:spacing w:line="44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三、</w:t>
      </w:r>
      <w:r>
        <w:rPr>
          <w:rFonts w:hint="eastAsia" w:ascii="宋体" w:hAnsi="宋体" w:eastAsia="宋体" w:cs="宋体"/>
          <w:b/>
          <w:bCs/>
          <w:color w:val="auto"/>
          <w:szCs w:val="21"/>
          <w:highlight w:val="none"/>
        </w:rPr>
        <w:t>采购内容及数量</w:t>
      </w:r>
    </w:p>
    <w:p w14:paraId="723BE252">
      <w:pPr>
        <w:spacing w:line="44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（一）</w:t>
      </w:r>
      <w:r>
        <w:rPr>
          <w:rFonts w:hint="eastAsia" w:ascii="宋体" w:hAnsi="宋体" w:eastAsia="宋体" w:cs="宋体"/>
          <w:color w:val="auto"/>
          <w:kern w:val="0"/>
          <w:szCs w:val="21"/>
          <w:highlight w:val="none"/>
        </w:rPr>
        <w:t>建安工程费约</w:t>
      </w:r>
      <w:r>
        <w:rPr>
          <w:rFonts w:hint="eastAsia" w:ascii="宋体" w:hAnsi="宋体" w:eastAsia="宋体" w:cs="宋体"/>
          <w:color w:val="auto"/>
          <w:szCs w:val="24"/>
          <w:highlight w:val="none"/>
          <w:lang w:val="en-US" w:eastAsia="zh-CN"/>
        </w:rPr>
        <w:t>30516.60</w:t>
      </w:r>
      <w:r>
        <w:rPr>
          <w:rFonts w:hint="eastAsia" w:ascii="宋体" w:hAnsi="宋体" w:eastAsia="宋体" w:cs="宋体"/>
          <w:color w:val="auto"/>
          <w:kern w:val="0"/>
          <w:szCs w:val="21"/>
          <w:highlight w:val="none"/>
        </w:rPr>
        <w:t>万元</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rPr>
        <w:t>招标估算价约</w:t>
      </w:r>
      <w:bookmarkStart w:id="12" w:name="OLE_LINK2"/>
      <w:r>
        <w:rPr>
          <w:rFonts w:hint="eastAsia" w:ascii="宋体" w:hAnsi="宋体" w:eastAsia="宋体" w:cs="宋体"/>
          <w:color w:val="auto"/>
          <w:szCs w:val="24"/>
          <w:highlight w:val="none"/>
        </w:rPr>
        <w:t>：</w:t>
      </w:r>
      <w:bookmarkEnd w:id="12"/>
      <w:r>
        <w:rPr>
          <w:rFonts w:hint="eastAsia" w:ascii="宋体" w:hAnsi="宋体" w:eastAsia="宋体" w:cs="宋体"/>
          <w:color w:val="auto"/>
          <w:szCs w:val="24"/>
          <w:highlight w:val="none"/>
          <w:lang w:val="en-US" w:eastAsia="zh-CN"/>
        </w:rPr>
        <w:t>68</w:t>
      </w:r>
      <w:r>
        <w:rPr>
          <w:rFonts w:hint="eastAsia" w:ascii="宋体" w:hAnsi="宋体" w:eastAsia="宋体" w:cs="宋体"/>
          <w:color w:val="auto"/>
          <w:szCs w:val="24"/>
          <w:highlight w:val="none"/>
        </w:rPr>
        <w:t>万元。</w:t>
      </w:r>
    </w:p>
    <w:p w14:paraId="021526A9">
      <w:pPr>
        <w:spacing w:line="44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（二）建设地点：</w:t>
      </w:r>
      <w:r>
        <w:rPr>
          <w:rFonts w:hint="eastAsia" w:ascii="宋体" w:hAnsi="宋体" w:eastAsia="宋体" w:cs="宋体"/>
          <w:color w:val="auto"/>
          <w:szCs w:val="21"/>
          <w:highlight w:val="none"/>
          <w:lang w:val="en-US" w:eastAsia="zh-CN"/>
        </w:rPr>
        <w:t>位于平湖市中心城区，包括当湖街道、钟埭街道。</w:t>
      </w:r>
    </w:p>
    <w:p w14:paraId="76206671">
      <w:pPr>
        <w:spacing w:line="44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（三）建设规模：</w:t>
      </w:r>
    </w:p>
    <w:p w14:paraId="18D99962">
      <w:pPr>
        <w:spacing w:line="44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drawing>
          <wp:inline distT="0" distB="0" distL="114300" distR="114300">
            <wp:extent cx="635" cy="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635" cy="0"/>
                    </a:xfrm>
                    <a:prstGeom prst="rect">
                      <a:avLst/>
                    </a:prstGeom>
                    <a:noFill/>
                    <a:ln>
                      <a:noFill/>
                    </a:ln>
                  </pic:spPr>
                </pic:pic>
              </a:graphicData>
            </a:graphic>
          </wp:inline>
        </w:drawing>
      </w:r>
      <w:bookmarkStart w:id="13" w:name="OLE_LINK16"/>
      <w:r>
        <w:rPr>
          <w:rFonts w:hint="eastAsia" w:ascii="宋体" w:hAnsi="宋体" w:eastAsia="宋体" w:cs="宋体"/>
          <w:color w:val="auto"/>
          <w:szCs w:val="21"/>
          <w:highlight w:val="none"/>
          <w:lang w:val="en-US" w:eastAsia="zh-CN"/>
        </w:rPr>
        <w:t>本项目平湖市中心城区</w:t>
      </w:r>
      <w:bookmarkStart w:id="14" w:name="OLE_LINK9"/>
      <w:r>
        <w:rPr>
          <w:rFonts w:hint="eastAsia" w:ascii="宋体" w:hAnsi="宋体" w:eastAsia="宋体" w:cs="宋体"/>
          <w:color w:val="auto"/>
          <w:szCs w:val="21"/>
          <w:highlight w:val="none"/>
          <w:lang w:val="en-US" w:eastAsia="zh-CN"/>
        </w:rPr>
        <w:t>污水管网扩容改建一期工程共分为三个子</w:t>
      </w:r>
      <w:bookmarkEnd w:id="14"/>
      <w:r>
        <w:rPr>
          <w:rFonts w:hint="eastAsia" w:ascii="宋体" w:hAnsi="宋体" w:eastAsia="宋体" w:cs="宋体"/>
          <w:color w:val="auto"/>
          <w:szCs w:val="21"/>
          <w:highlight w:val="none"/>
          <w:lang w:val="en-US" w:eastAsia="zh-CN"/>
        </w:rPr>
        <w:t>项，分别为:中心城区污水管网扩容工程、中心城区污水管网改建完善工程及智慧水务完善提升工程。</w:t>
      </w:r>
    </w:p>
    <w:p w14:paraId="1C6D0BD9">
      <w:pPr>
        <w:spacing w:line="44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(1)中心城区污水管网扩容工程:新建泵站2座，改造泵站1座 ,新建污水管网管径为 DN300-DN1000，管长约14km。 </w:t>
      </w:r>
    </w:p>
    <w:p w14:paraId="4BE866EC">
      <w:pPr>
        <w:spacing w:line="44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(2)中心城区污水管网改建完善工程:改建现状管线管径</w:t>
      </w:r>
      <w:bookmarkStart w:id="15" w:name="OLE_LINK10"/>
      <w:r>
        <w:rPr>
          <w:rFonts w:hint="eastAsia" w:ascii="宋体" w:hAnsi="宋体" w:eastAsia="宋体" w:cs="宋体"/>
          <w:color w:val="auto"/>
          <w:szCs w:val="21"/>
          <w:highlight w:val="none"/>
          <w:lang w:val="en-US" w:eastAsia="zh-CN"/>
        </w:rPr>
        <w:t>为</w:t>
      </w:r>
      <w:bookmarkEnd w:id="15"/>
      <w:r>
        <w:rPr>
          <w:rFonts w:hint="eastAsia" w:ascii="宋体" w:hAnsi="宋体" w:eastAsia="宋体" w:cs="宋体"/>
          <w:color w:val="auto"/>
          <w:szCs w:val="21"/>
          <w:highlight w:val="none"/>
          <w:lang w:val="en-US" w:eastAsia="zh-CN"/>
        </w:rPr>
        <w:t xml:space="preserve">DN400-DN1200,管长约9.1km；对现状192处截污设施改造升级；同时改造、完善当湖街道重点、难点区域的现状污水管网，区域范围约0.8平方公里。 </w:t>
      </w:r>
    </w:p>
    <w:p w14:paraId="243012B2">
      <w:pPr>
        <w:spacing w:line="44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1"/>
          <w:highlight w:val="none"/>
          <w:lang w:val="en-US" w:eastAsia="zh-CN"/>
        </w:rPr>
        <w:t>(3)智慧水务完善提升工程:对市域污水系统一级主泵站新增升级流量、水质检测设备。</w:t>
      </w:r>
      <w:bookmarkEnd w:id="13"/>
    </w:p>
    <w:p w14:paraId="2F0AABE6">
      <w:pPr>
        <w:spacing w:line="440" w:lineRule="exact"/>
        <w:ind w:firstLine="420" w:firstLineChars="20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招标范围：包括</w:t>
      </w:r>
      <w:r>
        <w:rPr>
          <w:rFonts w:hint="eastAsia" w:ascii="宋体" w:hAnsi="宋体" w:eastAsia="宋体" w:cs="宋体"/>
          <w:b/>
          <w:color w:val="auto"/>
          <w:szCs w:val="24"/>
          <w:highlight w:val="none"/>
          <w:u w:val="single"/>
          <w:lang w:eastAsia="zh-CN"/>
        </w:rPr>
        <w:t>平湖市中心城区污水管网扩容改建一期工程</w:t>
      </w:r>
      <w:r>
        <w:rPr>
          <w:rFonts w:hint="eastAsia" w:ascii="宋体" w:hAnsi="宋体" w:eastAsia="宋体" w:cs="宋体"/>
          <w:bCs/>
          <w:color w:val="auto"/>
          <w:szCs w:val="24"/>
          <w:highlight w:val="none"/>
        </w:rPr>
        <w:t>所涉及的施工、监理、服务、零星工程及政府采购类等工程建设涉及的需要招标的招标代理及清单编制类造价咨询等相关服务，具体实施由采购人确定。</w:t>
      </w:r>
    </w:p>
    <w:bookmarkEnd w:id="7"/>
    <w:p w14:paraId="7FC44593">
      <w:pPr>
        <w:snapToGrid w:val="0"/>
        <w:spacing w:line="44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四</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合格投标人的资格要求</w:t>
      </w:r>
    </w:p>
    <w:p w14:paraId="52A3F769">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（一）符合政府采购法第二十二条：</w:t>
      </w:r>
    </w:p>
    <w:p w14:paraId="0B516CB0">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具有独立承担民事责任的能力；2.具有良好的商业信誉和健全的财务会计制度；3.具有履行合同所必需的设备和专业技术能力；4.有依法缴纳税收和社会保障资金的良好记录；5.参加政府采购活动前三年，在经营活动中没有重大违法记录；6.法律、行政法规规定的其他条件；</w:t>
      </w:r>
    </w:p>
    <w:p w14:paraId="4F34A641">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（二）符合</w:t>
      </w:r>
      <w:r>
        <w:rPr>
          <w:rFonts w:hint="eastAsia" w:ascii="宋体" w:hAnsi="宋体" w:eastAsia="宋体" w:cs="宋体"/>
          <w:color w:val="auto"/>
          <w:szCs w:val="21"/>
          <w:highlight w:val="none"/>
        </w:rPr>
        <w:t>浙财采监【2013】24号</w:t>
      </w:r>
      <w:r>
        <w:rPr>
          <w:rFonts w:hint="eastAsia" w:ascii="宋体" w:hAnsi="宋体" w:eastAsia="宋体" w:cs="宋体"/>
          <w:color w:val="auto"/>
          <w:szCs w:val="21"/>
          <w:highlight w:val="none"/>
        </w:rPr>
        <w:t>《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14:paraId="1003357B">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落实政府采购政策需满足的资格要求：本项目为专门面向中小企业采购的项目，投标人所投产品制造商须符合工信部联企业[2011]300号规定的中小型、微型企业的划分标准(行业对应)（监狱企业及残疾人福利性单位视同中小型、微型企业）。</w:t>
      </w:r>
    </w:p>
    <w:p w14:paraId="063A0100">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（四）特定资格要求：拟派项目负责人须具有一级注册造价工程师（含原国家注册造价工程师），且注册在投标人单位。</w:t>
      </w:r>
    </w:p>
    <w:p w14:paraId="3753932C">
      <w:pPr>
        <w:snapToGrid w:val="0"/>
        <w:spacing w:line="44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（五）本项目实行资格后审。</w:t>
      </w:r>
    </w:p>
    <w:p w14:paraId="4E13FA74">
      <w:pPr>
        <w:snapToGrid w:val="0"/>
        <w:spacing w:line="440" w:lineRule="exact"/>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（六）本项目不接受联合体投标。</w:t>
      </w:r>
    </w:p>
    <w:p w14:paraId="1FA7C295">
      <w:pPr>
        <w:snapToGrid w:val="0"/>
        <w:spacing w:line="440" w:lineRule="exact"/>
        <w:ind w:firstLine="413" w:firstLineChars="196"/>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五、</w:t>
      </w:r>
      <w:r>
        <w:rPr>
          <w:rFonts w:hint="eastAsia" w:ascii="宋体" w:hAnsi="宋体" w:eastAsia="宋体" w:cs="宋体"/>
          <w:b/>
          <w:bCs/>
          <w:color w:val="auto"/>
          <w:szCs w:val="21"/>
          <w:highlight w:val="none"/>
          <w:lang w:val="en-US" w:eastAsia="zh-CN"/>
        </w:rPr>
        <w:t>公告时间、</w:t>
      </w:r>
      <w:r>
        <w:rPr>
          <w:rFonts w:hint="eastAsia" w:ascii="宋体" w:hAnsi="宋体" w:eastAsia="宋体" w:cs="宋体"/>
          <w:b/>
          <w:bCs/>
          <w:color w:val="auto"/>
          <w:szCs w:val="21"/>
          <w:highlight w:val="none"/>
        </w:rPr>
        <w:t>采购文件的获取</w:t>
      </w:r>
    </w:p>
    <w:p w14:paraId="43BD4A58">
      <w:pPr>
        <w:snapToGrid w:val="0"/>
        <w:spacing w:line="440" w:lineRule="exact"/>
        <w:ind w:firstLine="420" w:firstLineChars="200"/>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1.公告发布期限：5个工作日。</w:t>
      </w:r>
    </w:p>
    <w:p w14:paraId="131E12B1">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bidi="ar-SA"/>
        </w:rPr>
        <w:t>2.</w:t>
      </w:r>
      <w:r>
        <w:rPr>
          <w:rFonts w:hint="eastAsia" w:ascii="宋体" w:hAnsi="宋体" w:eastAsia="宋体" w:cs="宋体"/>
          <w:color w:val="auto"/>
          <w:sz w:val="21"/>
          <w:szCs w:val="21"/>
          <w:highlight w:val="none"/>
          <w:lang w:bidi="ar-SA"/>
        </w:rPr>
        <w:t>本项目招标文件和补充 (答疑、澄清)、修改文件等所有相关文件均以网上下载方式发放。下载地址：</w:t>
      </w:r>
      <w:r>
        <w:rPr>
          <w:rFonts w:hint="eastAsia" w:ascii="宋体" w:hAnsi="宋体" w:eastAsia="宋体" w:cs="宋体"/>
          <w:color w:val="auto"/>
          <w:sz w:val="21"/>
          <w:szCs w:val="21"/>
          <w:highlight w:val="none"/>
          <w:lang w:val="en-US" w:eastAsia="zh-CN" w:bidi="ar-SA"/>
        </w:rPr>
        <w:t>浙江政府采购网（https://zfcg.czt.zj.gov.cn/）公告附件自行下载</w:t>
      </w:r>
      <w:r>
        <w:rPr>
          <w:rFonts w:hint="eastAsia" w:ascii="宋体" w:hAnsi="宋体" w:eastAsia="宋体" w:cs="宋体"/>
          <w:color w:val="auto"/>
          <w:sz w:val="21"/>
          <w:szCs w:val="21"/>
          <w:highlight w:val="none"/>
          <w:lang w:bidi="ar-SA"/>
        </w:rPr>
        <w:t>。</w:t>
      </w:r>
    </w:p>
    <w:p w14:paraId="0A8777AC">
      <w:pPr>
        <w:snapToGrid w:val="0"/>
        <w:spacing w:line="44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六、</w:t>
      </w:r>
      <w:r>
        <w:rPr>
          <w:rFonts w:hint="eastAsia" w:ascii="宋体" w:hAnsi="宋体" w:eastAsia="宋体" w:cs="宋体"/>
          <w:b/>
          <w:bCs/>
          <w:color w:val="auto"/>
          <w:szCs w:val="21"/>
          <w:highlight w:val="none"/>
        </w:rPr>
        <w:t>投标保证金：本项目不设置</w:t>
      </w:r>
    </w:p>
    <w:p w14:paraId="7B74BC06">
      <w:pPr>
        <w:snapToGrid w:val="0"/>
        <w:spacing w:line="440" w:lineRule="exact"/>
        <w:ind w:firstLine="422" w:firstLineChars="200"/>
        <w:rPr>
          <w:rFonts w:hint="eastAsia" w:ascii="宋体" w:hAnsi="宋体" w:eastAsia="宋体" w:cs="宋体"/>
          <w:color w:val="auto"/>
          <w:szCs w:val="24"/>
          <w:highlight w:val="none"/>
        </w:rPr>
      </w:pPr>
      <w:r>
        <w:rPr>
          <w:rFonts w:hint="eastAsia" w:ascii="宋体" w:hAnsi="宋体" w:eastAsia="宋体" w:cs="宋体"/>
          <w:b/>
          <w:bCs/>
          <w:color w:val="auto"/>
          <w:szCs w:val="21"/>
          <w:highlight w:val="none"/>
        </w:rPr>
        <w:t>七、其他说明：</w:t>
      </w:r>
      <w:r>
        <w:rPr>
          <w:rFonts w:hint="eastAsia" w:ascii="宋体" w:hAnsi="宋体" w:eastAsia="宋体" w:cs="宋体"/>
          <w:b/>
          <w:color w:val="auto"/>
          <w:kern w:val="0"/>
          <w:szCs w:val="21"/>
          <w:highlight w:val="none"/>
          <w:u w:val="single"/>
        </w:rPr>
        <w:t>无</w:t>
      </w:r>
      <w:r>
        <w:rPr>
          <w:rFonts w:hint="eastAsia" w:ascii="宋体" w:hAnsi="宋体" w:eastAsia="宋体" w:cs="宋体"/>
          <w:color w:val="auto"/>
          <w:kern w:val="0"/>
          <w:szCs w:val="21"/>
          <w:highlight w:val="none"/>
        </w:rPr>
        <w:t>。</w:t>
      </w:r>
    </w:p>
    <w:p w14:paraId="4C243475">
      <w:pPr>
        <w:snapToGrid w:val="0"/>
        <w:spacing w:line="440" w:lineRule="exact"/>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八、投标截止时间和地点</w:t>
      </w:r>
    </w:p>
    <w:p w14:paraId="51D98733">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投标人应于</w:t>
      </w:r>
      <w:r>
        <w:rPr>
          <w:rFonts w:hint="eastAsia" w:ascii="宋体" w:hAnsi="宋体" w:eastAsia="宋体" w:cs="宋体"/>
          <w:b/>
          <w:bCs w:val="0"/>
          <w:color w:val="auto"/>
          <w:szCs w:val="21"/>
          <w:highlight w:val="none"/>
          <w:u w:val="single"/>
        </w:rPr>
        <w:t>2024年</w:t>
      </w:r>
      <w:r>
        <w:rPr>
          <w:rFonts w:hint="eastAsia" w:ascii="宋体" w:hAnsi="宋体" w:eastAsia="宋体" w:cs="宋体"/>
          <w:b/>
          <w:bCs w:val="0"/>
          <w:color w:val="auto"/>
          <w:szCs w:val="21"/>
          <w:highlight w:val="none"/>
          <w:u w:val="single"/>
          <w:lang w:val="en-US" w:eastAsia="zh-CN"/>
        </w:rPr>
        <w:t>10</w:t>
      </w:r>
      <w:r>
        <w:rPr>
          <w:rFonts w:hint="eastAsia" w:ascii="宋体" w:hAnsi="宋体" w:eastAsia="宋体" w:cs="宋体"/>
          <w:b/>
          <w:bCs w:val="0"/>
          <w:color w:val="auto"/>
          <w:szCs w:val="21"/>
          <w:highlight w:val="none"/>
          <w:u w:val="single"/>
        </w:rPr>
        <w:t>月</w:t>
      </w:r>
      <w:r>
        <w:rPr>
          <w:rFonts w:hint="eastAsia" w:ascii="宋体" w:hAnsi="宋体" w:eastAsia="宋体" w:cs="宋体"/>
          <w:b/>
          <w:bCs w:val="0"/>
          <w:color w:val="auto"/>
          <w:szCs w:val="21"/>
          <w:highlight w:val="none"/>
          <w:u w:val="single"/>
          <w:lang w:val="en-US" w:eastAsia="zh-CN"/>
        </w:rPr>
        <w:t>17</w:t>
      </w:r>
      <w:r>
        <w:rPr>
          <w:rFonts w:hint="eastAsia" w:ascii="宋体" w:hAnsi="宋体" w:eastAsia="宋体" w:cs="宋体"/>
          <w:b/>
          <w:bCs w:val="0"/>
          <w:color w:val="auto"/>
          <w:szCs w:val="21"/>
          <w:highlight w:val="none"/>
          <w:u w:val="single"/>
        </w:rPr>
        <w:t>日</w:t>
      </w:r>
      <w:r>
        <w:rPr>
          <w:rFonts w:hint="eastAsia" w:ascii="宋体" w:hAnsi="宋体" w:eastAsia="宋体" w:cs="宋体"/>
          <w:b/>
          <w:bCs w:val="0"/>
          <w:color w:val="auto"/>
          <w:szCs w:val="21"/>
          <w:highlight w:val="none"/>
          <w:u w:val="single"/>
          <w:lang w:val="en-US" w:eastAsia="zh-CN"/>
        </w:rPr>
        <w:t>9</w:t>
      </w:r>
      <w:r>
        <w:rPr>
          <w:rFonts w:hint="eastAsia" w:ascii="宋体" w:hAnsi="宋体" w:eastAsia="宋体" w:cs="宋体"/>
          <w:b/>
          <w:bCs w:val="0"/>
          <w:color w:val="auto"/>
          <w:szCs w:val="21"/>
          <w:highlight w:val="none"/>
          <w:u w:val="single"/>
        </w:rPr>
        <w:t>时</w:t>
      </w:r>
      <w:r>
        <w:rPr>
          <w:rFonts w:hint="eastAsia" w:ascii="宋体" w:hAnsi="宋体" w:eastAsia="宋体" w:cs="宋体"/>
          <w:b/>
          <w:bCs w:val="0"/>
          <w:color w:val="auto"/>
          <w:szCs w:val="21"/>
          <w:highlight w:val="none"/>
          <w:u w:val="single"/>
          <w:lang w:val="en-US" w:eastAsia="zh-CN"/>
        </w:rPr>
        <w:t>00</w:t>
      </w:r>
      <w:r>
        <w:rPr>
          <w:rFonts w:hint="eastAsia" w:ascii="宋体" w:hAnsi="宋体" w:eastAsia="宋体" w:cs="宋体"/>
          <w:b/>
          <w:bCs w:val="0"/>
          <w:color w:val="auto"/>
          <w:szCs w:val="21"/>
          <w:highlight w:val="none"/>
          <w:u w:val="single"/>
        </w:rPr>
        <w:t>分</w:t>
      </w:r>
      <w:r>
        <w:rPr>
          <w:rFonts w:hint="eastAsia" w:ascii="宋体" w:hAnsi="宋体" w:eastAsia="宋体" w:cs="宋体"/>
          <w:color w:val="auto"/>
          <w:szCs w:val="21"/>
          <w:highlight w:val="none"/>
        </w:rPr>
        <w:t>（北京时间，下同）前将投标文件密封送交到</w:t>
      </w:r>
      <w:r>
        <w:rPr>
          <w:rFonts w:hint="eastAsia" w:ascii="宋体" w:hAnsi="宋体" w:eastAsia="宋体" w:cs="宋体"/>
          <w:bCs/>
          <w:color w:val="auto"/>
          <w:szCs w:val="21"/>
          <w:highlight w:val="none"/>
          <w:u w:val="single"/>
        </w:rPr>
        <w:t>浙江省平湖市胜利路1号胜利广场1单元14楼（嘉兴建新平湖新成分公司）开标室</w:t>
      </w:r>
      <w:r>
        <w:rPr>
          <w:rFonts w:hint="eastAsia" w:ascii="宋体" w:hAnsi="宋体" w:eastAsia="宋体" w:cs="宋体"/>
          <w:b/>
          <w:color w:val="auto"/>
          <w:szCs w:val="21"/>
          <w:highlight w:val="none"/>
          <w:shd w:val="clear" w:color="auto" w:fill="FDFAF5"/>
        </w:rPr>
        <w:t>，</w:t>
      </w:r>
      <w:r>
        <w:rPr>
          <w:rFonts w:hint="eastAsia" w:ascii="宋体" w:hAnsi="宋体" w:eastAsia="宋体" w:cs="宋体"/>
          <w:color w:val="auto"/>
          <w:szCs w:val="21"/>
          <w:highlight w:val="none"/>
        </w:rPr>
        <w:t>逾期送达或未密封将予以拒收。</w:t>
      </w:r>
    </w:p>
    <w:p w14:paraId="0BA7C8D2">
      <w:pPr>
        <w:snapToGrid w:val="0"/>
        <w:spacing w:line="440" w:lineRule="exact"/>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九、开标时间及地点</w:t>
      </w:r>
    </w:p>
    <w:p w14:paraId="3CFD52E5">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本次招标将于</w:t>
      </w:r>
      <w:r>
        <w:rPr>
          <w:rFonts w:hint="eastAsia" w:ascii="宋体" w:hAnsi="宋体" w:eastAsia="宋体" w:cs="宋体"/>
          <w:b/>
          <w:bCs w:val="0"/>
          <w:color w:val="auto"/>
          <w:szCs w:val="21"/>
          <w:highlight w:val="none"/>
          <w:u w:val="single"/>
        </w:rPr>
        <w:t>2024年</w:t>
      </w:r>
      <w:r>
        <w:rPr>
          <w:rFonts w:hint="eastAsia" w:ascii="宋体" w:hAnsi="宋体" w:eastAsia="宋体" w:cs="宋体"/>
          <w:b/>
          <w:bCs w:val="0"/>
          <w:color w:val="auto"/>
          <w:szCs w:val="21"/>
          <w:highlight w:val="none"/>
          <w:u w:val="single"/>
          <w:lang w:val="en-US" w:eastAsia="zh-CN"/>
        </w:rPr>
        <w:t>10</w:t>
      </w:r>
      <w:r>
        <w:rPr>
          <w:rFonts w:hint="eastAsia" w:ascii="宋体" w:hAnsi="宋体" w:eastAsia="宋体" w:cs="宋体"/>
          <w:b/>
          <w:bCs w:val="0"/>
          <w:color w:val="auto"/>
          <w:szCs w:val="21"/>
          <w:highlight w:val="none"/>
          <w:u w:val="single"/>
        </w:rPr>
        <w:t>月</w:t>
      </w:r>
      <w:r>
        <w:rPr>
          <w:rFonts w:hint="eastAsia" w:ascii="宋体" w:hAnsi="宋体" w:eastAsia="宋体" w:cs="宋体"/>
          <w:b/>
          <w:bCs w:val="0"/>
          <w:color w:val="auto"/>
          <w:szCs w:val="21"/>
          <w:highlight w:val="none"/>
          <w:u w:val="single"/>
          <w:lang w:val="en-US" w:eastAsia="zh-CN"/>
        </w:rPr>
        <w:t>17</w:t>
      </w:r>
      <w:r>
        <w:rPr>
          <w:rFonts w:hint="eastAsia" w:ascii="宋体" w:hAnsi="宋体" w:eastAsia="宋体" w:cs="宋体"/>
          <w:b/>
          <w:bCs w:val="0"/>
          <w:color w:val="auto"/>
          <w:szCs w:val="21"/>
          <w:highlight w:val="none"/>
          <w:u w:val="single"/>
        </w:rPr>
        <w:t>日</w:t>
      </w:r>
      <w:r>
        <w:rPr>
          <w:rFonts w:hint="eastAsia" w:ascii="宋体" w:hAnsi="宋体" w:eastAsia="宋体" w:cs="宋体"/>
          <w:b/>
          <w:bCs w:val="0"/>
          <w:color w:val="auto"/>
          <w:szCs w:val="21"/>
          <w:highlight w:val="none"/>
          <w:u w:val="single"/>
          <w:lang w:val="en-US" w:eastAsia="zh-CN"/>
        </w:rPr>
        <w:t>9</w:t>
      </w:r>
      <w:r>
        <w:rPr>
          <w:rFonts w:hint="eastAsia" w:ascii="宋体" w:hAnsi="宋体" w:eastAsia="宋体" w:cs="宋体"/>
          <w:b/>
          <w:bCs w:val="0"/>
          <w:color w:val="auto"/>
          <w:szCs w:val="21"/>
          <w:highlight w:val="none"/>
          <w:u w:val="single"/>
        </w:rPr>
        <w:t>时</w:t>
      </w:r>
      <w:r>
        <w:rPr>
          <w:rFonts w:hint="eastAsia" w:ascii="宋体" w:hAnsi="宋体" w:eastAsia="宋体" w:cs="宋体"/>
          <w:b/>
          <w:bCs w:val="0"/>
          <w:color w:val="auto"/>
          <w:szCs w:val="21"/>
          <w:highlight w:val="none"/>
          <w:u w:val="single"/>
          <w:lang w:val="en-US" w:eastAsia="zh-CN"/>
        </w:rPr>
        <w:t>00</w:t>
      </w:r>
      <w:r>
        <w:rPr>
          <w:rFonts w:hint="eastAsia" w:ascii="宋体" w:hAnsi="宋体" w:eastAsia="宋体" w:cs="宋体"/>
          <w:b/>
          <w:bCs w:val="0"/>
          <w:color w:val="auto"/>
          <w:szCs w:val="21"/>
          <w:highlight w:val="none"/>
          <w:u w:val="single"/>
        </w:rPr>
        <w:t>分</w:t>
      </w:r>
      <w:r>
        <w:rPr>
          <w:rFonts w:hint="eastAsia" w:ascii="宋体" w:hAnsi="宋体" w:eastAsia="宋体" w:cs="宋体"/>
          <w:color w:val="auto"/>
          <w:szCs w:val="21"/>
          <w:highlight w:val="none"/>
        </w:rPr>
        <w:t>在</w:t>
      </w:r>
      <w:r>
        <w:rPr>
          <w:rFonts w:hint="eastAsia" w:ascii="宋体" w:hAnsi="宋体" w:eastAsia="宋体" w:cs="宋体"/>
          <w:bCs/>
          <w:color w:val="auto"/>
          <w:szCs w:val="21"/>
          <w:highlight w:val="none"/>
          <w:u w:val="single"/>
        </w:rPr>
        <w:t>浙江省平湖市胜利路1号胜利广场1单元14楼（嘉兴建新平湖新成分公司）开标室</w:t>
      </w:r>
      <w:r>
        <w:rPr>
          <w:rFonts w:hint="eastAsia" w:ascii="宋体" w:hAnsi="宋体" w:eastAsia="宋体" w:cs="宋体"/>
          <w:color w:val="auto"/>
          <w:szCs w:val="21"/>
          <w:highlight w:val="none"/>
        </w:rPr>
        <w:t>开标，投标人可以派授权代表出席开标会议（授权代表应携带身份证等有效证明出席）。</w:t>
      </w:r>
    </w:p>
    <w:p w14:paraId="7BAAE312">
      <w:pPr>
        <w:spacing w:line="44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十、联系方式</w:t>
      </w:r>
    </w:p>
    <w:p w14:paraId="2B2A07AD">
      <w:pPr>
        <w:spacing w:line="400" w:lineRule="atLeas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采购单位：</w:t>
      </w:r>
      <w:r>
        <w:rPr>
          <w:rFonts w:hint="eastAsia" w:ascii="宋体" w:hAnsi="宋体" w:eastAsia="宋体" w:cs="宋体"/>
          <w:color w:val="auto"/>
          <w:szCs w:val="21"/>
          <w:highlight w:val="none"/>
          <w:u w:val="single"/>
        </w:rPr>
        <w:t>平湖市住房和城乡建设局</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lang w:val="en-US" w:eastAsia="zh-CN"/>
        </w:rPr>
        <w:t>项目业主单位</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平湖市水务投资(集团)有限公司</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lang w:val="en-US" w:eastAsia="zh-CN"/>
        </w:rPr>
        <w:t>项目代建单位</w:t>
      </w:r>
      <w:r>
        <w:rPr>
          <w:rFonts w:hint="eastAsia" w:ascii="宋体" w:hAnsi="宋体" w:eastAsia="宋体" w:cs="宋体"/>
          <w:color w:val="auto"/>
          <w:szCs w:val="21"/>
          <w:highlight w:val="none"/>
          <w:u w:val="single"/>
          <w:lang w:eastAsia="zh-CN"/>
        </w:rPr>
        <w:t>）</w:t>
      </w:r>
    </w:p>
    <w:p w14:paraId="05763308">
      <w:pPr>
        <w:spacing w:line="440" w:lineRule="exact"/>
        <w:ind w:firstLine="840" w:firstLineChars="4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联系人：</w:t>
      </w:r>
      <w:r>
        <w:rPr>
          <w:rFonts w:hint="eastAsia" w:ascii="宋体" w:hAnsi="宋体" w:eastAsia="宋体" w:cs="宋体"/>
          <w:color w:val="auto"/>
          <w:kern w:val="0"/>
          <w:szCs w:val="21"/>
          <w:highlight w:val="none"/>
          <w:lang w:val="en-US" w:eastAsia="zh-CN"/>
        </w:rPr>
        <w:t>邹</w:t>
      </w:r>
      <w:r>
        <w:rPr>
          <w:rFonts w:hint="eastAsia" w:ascii="宋体" w:hAnsi="宋体" w:eastAsia="宋体" w:cs="宋体"/>
          <w:color w:val="auto"/>
          <w:kern w:val="0"/>
          <w:szCs w:val="21"/>
          <w:highlight w:val="none"/>
        </w:rPr>
        <w:t xml:space="preserve">先生   </w:t>
      </w:r>
    </w:p>
    <w:p w14:paraId="4089C263">
      <w:pPr>
        <w:spacing w:line="440" w:lineRule="exact"/>
        <w:ind w:firstLine="840" w:firstLineChars="4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联系电</w:t>
      </w:r>
      <w:r>
        <w:rPr>
          <w:rFonts w:hint="eastAsia" w:ascii="宋体" w:hAnsi="宋体" w:eastAsia="宋体" w:cs="宋体"/>
          <w:color w:val="auto"/>
          <w:kern w:val="0"/>
          <w:szCs w:val="21"/>
          <w:highlight w:val="none"/>
          <w:lang w:eastAsia="zh-CN"/>
        </w:rPr>
        <w:t>话：0573-</w:t>
      </w:r>
      <w:r>
        <w:rPr>
          <w:rFonts w:hint="eastAsia" w:ascii="宋体" w:hAnsi="宋体" w:eastAsia="宋体" w:cs="宋体"/>
          <w:color w:val="auto"/>
          <w:kern w:val="0"/>
          <w:szCs w:val="21"/>
          <w:highlight w:val="none"/>
          <w:lang w:val="en-US" w:eastAsia="zh-CN"/>
        </w:rPr>
        <w:t>85633790</w:t>
      </w:r>
    </w:p>
    <w:p w14:paraId="4A810174">
      <w:pPr>
        <w:spacing w:line="440" w:lineRule="exact"/>
        <w:ind w:firstLine="840" w:firstLineChars="4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地址：</w:t>
      </w:r>
      <w:r>
        <w:rPr>
          <w:rFonts w:hint="eastAsia" w:ascii="宋体" w:hAnsi="宋体" w:eastAsia="宋体" w:cs="宋体"/>
          <w:i w:val="0"/>
          <w:iCs w:val="0"/>
          <w:caps w:val="0"/>
          <w:color w:val="auto"/>
          <w:spacing w:val="0"/>
          <w:sz w:val="21"/>
          <w:szCs w:val="21"/>
          <w:highlight w:val="none"/>
        </w:rPr>
        <w:t>平湖市解放中路48号</w:t>
      </w:r>
    </w:p>
    <w:p w14:paraId="1D1B9209">
      <w:pPr>
        <w:spacing w:line="44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kern w:val="0"/>
          <w:szCs w:val="21"/>
          <w:highlight w:val="none"/>
        </w:rPr>
        <w:t xml:space="preserve">2. </w:t>
      </w:r>
      <w:r>
        <w:rPr>
          <w:rFonts w:hint="eastAsia" w:ascii="宋体" w:hAnsi="宋体" w:eastAsia="宋体" w:cs="宋体"/>
          <w:bCs/>
          <w:color w:val="auto"/>
          <w:szCs w:val="21"/>
          <w:highlight w:val="none"/>
        </w:rPr>
        <w:t>采购代理机构名称：嘉兴市建新工程造价咨询事务所有限公司</w:t>
      </w:r>
    </w:p>
    <w:p w14:paraId="21E23CD3">
      <w:pPr>
        <w:spacing w:line="440" w:lineRule="exact"/>
        <w:ind w:firstLine="840" w:firstLineChars="4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联系人：</w:t>
      </w:r>
      <w:r>
        <w:rPr>
          <w:rFonts w:hint="eastAsia" w:ascii="宋体" w:hAnsi="宋体" w:eastAsia="宋体" w:cs="宋体"/>
          <w:bCs/>
          <w:color w:val="auto"/>
          <w:szCs w:val="21"/>
          <w:highlight w:val="none"/>
          <w:lang w:val="en-US" w:eastAsia="zh-CN"/>
        </w:rPr>
        <w:t>周</w:t>
      </w:r>
      <w:r>
        <w:rPr>
          <w:rFonts w:hint="eastAsia" w:ascii="宋体" w:hAnsi="宋体" w:eastAsia="宋体" w:cs="宋体"/>
          <w:bCs/>
          <w:color w:val="auto"/>
          <w:szCs w:val="21"/>
          <w:highlight w:val="none"/>
        </w:rPr>
        <w:t>女士</w:t>
      </w:r>
    </w:p>
    <w:p w14:paraId="032E0F6C">
      <w:pPr>
        <w:spacing w:line="440" w:lineRule="exact"/>
        <w:ind w:firstLine="840" w:firstLineChars="4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联系电话：0573-85073363</w:t>
      </w:r>
    </w:p>
    <w:p w14:paraId="5664EF6D">
      <w:pPr>
        <w:spacing w:line="440" w:lineRule="exact"/>
        <w:ind w:firstLine="840" w:firstLineChars="400"/>
        <w:rPr>
          <w:rFonts w:hint="eastAsia" w:ascii="宋体" w:hAnsi="宋体" w:eastAsia="宋体" w:cs="宋体"/>
          <w:color w:val="auto"/>
          <w:kern w:val="0"/>
          <w:szCs w:val="21"/>
          <w:highlight w:val="none"/>
        </w:rPr>
      </w:pPr>
      <w:r>
        <w:rPr>
          <w:rFonts w:hint="eastAsia" w:ascii="宋体" w:hAnsi="宋体" w:eastAsia="宋体" w:cs="宋体"/>
          <w:bCs/>
          <w:color w:val="auto"/>
          <w:szCs w:val="21"/>
          <w:highlight w:val="none"/>
        </w:rPr>
        <w:t>地址：平湖市胜利路1号胜利广场1单元14楼</w:t>
      </w:r>
      <w:r>
        <w:rPr>
          <w:rFonts w:hint="eastAsia" w:ascii="宋体" w:hAnsi="宋体" w:eastAsia="宋体" w:cs="宋体"/>
          <w:color w:val="auto"/>
          <w:kern w:val="0"/>
          <w:szCs w:val="21"/>
          <w:highlight w:val="none"/>
        </w:rPr>
        <w:t xml:space="preserve">    </w:t>
      </w:r>
    </w:p>
    <w:p w14:paraId="7380A270">
      <w:pPr>
        <w:rPr>
          <w:rFonts w:hint="eastAsia" w:ascii="宋体" w:hAnsi="宋体" w:eastAsia="宋体" w:cs="宋体"/>
          <w:color w:val="auto"/>
          <w:szCs w:val="24"/>
          <w:highlight w:val="none"/>
        </w:rPr>
      </w:pPr>
    </w:p>
    <w:p w14:paraId="44B3CFBC">
      <w:pPr>
        <w:tabs>
          <w:tab w:val="left" w:pos="8265"/>
        </w:tabs>
        <w:spacing w:line="440" w:lineRule="exact"/>
        <w:ind w:firstLine="5670" w:firstLineChars="2700"/>
        <w:rPr>
          <w:rFonts w:hint="eastAsia" w:ascii="宋体" w:hAnsi="宋体" w:eastAsia="宋体" w:cs="宋体"/>
          <w:color w:val="auto"/>
          <w:kern w:val="0"/>
          <w:szCs w:val="21"/>
          <w:highlight w:val="none"/>
        </w:rPr>
      </w:pPr>
    </w:p>
    <w:p w14:paraId="45969ADD">
      <w:pPr>
        <w:keepNext/>
        <w:keepLines/>
        <w:tabs>
          <w:tab w:val="center" w:pos="4649"/>
        </w:tabs>
        <w:spacing w:before="260" w:after="260" w:line="416" w:lineRule="auto"/>
        <w:jc w:val="center"/>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 xml:space="preserve">第二章  </w:t>
      </w:r>
      <w:r>
        <w:rPr>
          <w:rFonts w:hint="eastAsia" w:ascii="宋体" w:hAnsi="宋体" w:eastAsia="宋体" w:cs="宋体"/>
          <w:b/>
          <w:bCs/>
          <w:color w:val="auto"/>
          <w:sz w:val="32"/>
          <w:szCs w:val="32"/>
          <w:highlight w:val="none"/>
        </w:rPr>
        <w:t>招标需求</w:t>
      </w:r>
      <w:bookmarkStart w:id="16" w:name="_第三章__投标人须知"/>
      <w:bookmarkEnd w:id="16"/>
    </w:p>
    <w:p w14:paraId="1D2391B5">
      <w:pPr>
        <w:spacing w:line="400" w:lineRule="exac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一、项目概况</w:t>
      </w:r>
    </w:p>
    <w:p w14:paraId="21BA599F">
      <w:pPr>
        <w:spacing w:line="400" w:lineRule="exact"/>
        <w:ind w:firstLine="420" w:firstLineChars="2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本项目位</w:t>
      </w:r>
      <w:r>
        <w:rPr>
          <w:rFonts w:hint="eastAsia" w:ascii="宋体" w:hAnsi="宋体" w:eastAsia="宋体" w:cs="宋体"/>
          <w:color w:val="auto"/>
          <w:kern w:val="0"/>
          <w:szCs w:val="21"/>
          <w:highlight w:val="none"/>
          <w:lang w:val="en-US" w:eastAsia="zh-CN"/>
        </w:rPr>
        <w:t>于平湖市中心城区，包括当湖街道、钟埭街道</w:t>
      </w:r>
      <w:bookmarkStart w:id="17" w:name="OLE_LINK33"/>
      <w:r>
        <w:rPr>
          <w:rFonts w:hint="eastAsia" w:ascii="宋体" w:hAnsi="宋体" w:eastAsia="宋体" w:cs="宋体"/>
          <w:color w:val="auto"/>
          <w:kern w:val="0"/>
          <w:szCs w:val="21"/>
          <w:highlight w:val="none"/>
        </w:rPr>
        <w:t>。本项目估算总投</w:t>
      </w:r>
      <w:bookmarkStart w:id="18" w:name="OLE_LINK34"/>
      <w:r>
        <w:rPr>
          <w:rFonts w:hint="eastAsia" w:ascii="宋体" w:hAnsi="宋体" w:eastAsia="宋体" w:cs="宋体"/>
          <w:color w:val="auto"/>
          <w:kern w:val="0"/>
          <w:szCs w:val="21"/>
          <w:highlight w:val="none"/>
        </w:rPr>
        <w:t>资</w:t>
      </w:r>
      <w:bookmarkEnd w:id="18"/>
      <w:r>
        <w:rPr>
          <w:rFonts w:hint="eastAsia" w:ascii="宋体" w:hAnsi="宋体" w:eastAsia="宋体" w:cs="宋体"/>
          <w:color w:val="auto"/>
          <w:kern w:val="0"/>
          <w:szCs w:val="21"/>
          <w:highlight w:val="none"/>
        </w:rPr>
        <w:t>34806.08万元。其中:工程费用为30516.60万元，工程建设其他费2632.05万元，预备费1657.43万元。</w:t>
      </w:r>
      <w:r>
        <w:rPr>
          <w:rFonts w:hint="eastAsia" w:ascii="宋体" w:hAnsi="宋体" w:eastAsia="宋体" w:cs="宋体"/>
          <w:color w:val="auto"/>
          <w:kern w:val="0"/>
          <w:szCs w:val="21"/>
          <w:highlight w:val="none"/>
          <w:lang w:val="en-US" w:eastAsia="zh-CN"/>
        </w:rPr>
        <w:t>本项目分五个标段实施。</w:t>
      </w:r>
    </w:p>
    <w:bookmarkEnd w:id="17"/>
    <w:p w14:paraId="74F7D322">
      <w:pPr>
        <w:spacing w:line="400" w:lineRule="exact"/>
        <w:rPr>
          <w:rFonts w:hint="eastAsia" w:ascii="宋体" w:hAnsi="宋体" w:eastAsia="宋体" w:cs="宋体"/>
          <w:b/>
          <w:color w:val="auto"/>
          <w:szCs w:val="21"/>
          <w:highlight w:val="none"/>
        </w:rPr>
      </w:pPr>
      <w:r>
        <w:rPr>
          <w:rFonts w:hint="eastAsia" w:ascii="宋体" w:hAnsi="宋体" w:eastAsia="宋体" w:cs="宋体"/>
          <w:b/>
          <w:bCs/>
          <w:color w:val="auto"/>
          <w:kern w:val="0"/>
          <w:szCs w:val="21"/>
          <w:highlight w:val="none"/>
        </w:rPr>
        <w:t xml:space="preserve">二、 </w:t>
      </w:r>
      <w:r>
        <w:rPr>
          <w:rFonts w:hint="eastAsia" w:ascii="宋体" w:hAnsi="宋体" w:eastAsia="宋体" w:cs="宋体"/>
          <w:b/>
          <w:color w:val="auto"/>
          <w:szCs w:val="21"/>
          <w:highlight w:val="none"/>
        </w:rPr>
        <w:t>中标单位服务范围</w:t>
      </w:r>
    </w:p>
    <w:p w14:paraId="493D4304">
      <w:pPr>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包括</w:t>
      </w:r>
      <w:r>
        <w:rPr>
          <w:rFonts w:hint="eastAsia" w:ascii="宋体" w:hAnsi="宋体" w:eastAsia="宋体" w:cs="宋体"/>
          <w:color w:val="auto"/>
          <w:kern w:val="0"/>
          <w:szCs w:val="21"/>
          <w:highlight w:val="none"/>
          <w:lang w:eastAsia="zh-CN"/>
        </w:rPr>
        <w:t>平湖市中心城区污水管网扩容改建一期工程</w:t>
      </w:r>
      <w:r>
        <w:rPr>
          <w:rFonts w:hint="eastAsia" w:ascii="宋体" w:hAnsi="宋体" w:eastAsia="宋体" w:cs="宋体"/>
          <w:color w:val="auto"/>
          <w:kern w:val="0"/>
          <w:szCs w:val="21"/>
          <w:highlight w:val="none"/>
        </w:rPr>
        <w:t>所涉及的施工、监理、服务、零星工程及政府采购类等工程建设涉及的需要招标的招标代理及清单编制类造价咨询等相关服务，具体实施由采购人确定。</w:t>
      </w:r>
    </w:p>
    <w:p w14:paraId="75BDDE37">
      <w:pPr>
        <w:spacing w:line="400" w:lineRule="exac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三、工期要求：</w:t>
      </w:r>
      <w:bookmarkStart w:id="19" w:name="OLE_LINK4"/>
      <w:r>
        <w:rPr>
          <w:rFonts w:hint="eastAsia" w:ascii="宋体" w:hAnsi="宋体" w:eastAsia="宋体" w:cs="宋体"/>
          <w:color w:val="auto"/>
          <w:kern w:val="0"/>
          <w:szCs w:val="21"/>
          <w:highlight w:val="none"/>
        </w:rPr>
        <w:t>具体根据采购人要求。</w:t>
      </w:r>
    </w:p>
    <w:p w14:paraId="787F9BE6">
      <w:pPr>
        <w:spacing w:line="400" w:lineRule="exac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四、质量目标：</w:t>
      </w:r>
      <w:r>
        <w:rPr>
          <w:rFonts w:hint="eastAsia" w:ascii="宋体" w:hAnsi="宋体" w:eastAsia="宋体" w:cs="宋体"/>
          <w:color w:val="auto"/>
          <w:szCs w:val="21"/>
          <w:highlight w:val="none"/>
        </w:rPr>
        <w:t>符合国家相关规定标准。</w:t>
      </w:r>
    </w:p>
    <w:p w14:paraId="517F72AF">
      <w:pPr>
        <w:snapToGrid w:val="0"/>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五、服务要求：</w:t>
      </w:r>
    </w:p>
    <w:bookmarkEnd w:id="19"/>
    <w:p w14:paraId="7C88CA74">
      <w:pPr>
        <w:spacing w:line="400" w:lineRule="exact"/>
        <w:ind w:firstLine="527" w:firstLineChars="250"/>
        <w:rPr>
          <w:rFonts w:hint="eastAsia" w:ascii="宋体" w:hAnsi="宋体" w:eastAsia="宋体" w:cs="宋体"/>
          <w:color w:val="auto"/>
          <w:szCs w:val="21"/>
          <w:highlight w:val="none"/>
        </w:rPr>
      </w:pPr>
      <w:bookmarkStart w:id="20" w:name="OLE_LINK6"/>
      <w:r>
        <w:rPr>
          <w:rFonts w:hint="eastAsia" w:ascii="宋体" w:hAnsi="宋体" w:eastAsia="宋体" w:cs="宋体"/>
          <w:b/>
          <w:color w:val="auto"/>
          <w:szCs w:val="21"/>
          <w:highlight w:val="none"/>
        </w:rPr>
        <w:t>（一）</w:t>
      </w:r>
      <w:r>
        <w:rPr>
          <w:rFonts w:hint="eastAsia" w:ascii="宋体" w:hAnsi="宋体" w:eastAsia="宋体" w:cs="宋体"/>
          <w:color w:val="auto"/>
          <w:szCs w:val="21"/>
          <w:highlight w:val="none"/>
        </w:rPr>
        <w:t>招标代理工作应合规有序的组织招标文件评审、开标、评标等活动；按照进度计划及时高效完成代理任务；在代理过程中必须为业主提供专业咨询服务，积极主动协助业主推进项目；招标代理机构及其工作人员必须熟悉政府招标投标政策法规、工作程序；招标代理机构项目负责人必须认真负责代理项目，具备代理项目的综合素质；在代理过程中必须准确、全面、及时发布招标公告、答疑公告、中标公示等内容；接受招标人及有关部门的监督和管理。招标组织工作：包括招标实施（含招标进度计划）方案制定、招标公告、招标文件的拟定、招标答疑、开标评标等服务工作，并出具相关的成果文件。</w:t>
      </w:r>
    </w:p>
    <w:p w14:paraId="51432C36">
      <w:pPr>
        <w:spacing w:line="400" w:lineRule="exact"/>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（二）</w:t>
      </w:r>
      <w:r>
        <w:rPr>
          <w:rFonts w:hint="eastAsia" w:ascii="宋体" w:hAnsi="宋体" w:eastAsia="宋体" w:cs="宋体"/>
          <w:color w:val="auto"/>
          <w:szCs w:val="21"/>
          <w:highlight w:val="none"/>
        </w:rPr>
        <w:t>质量要求及规定：招标代理编制的招标文件应符合有关招投标法律、法规及相关行业招投标管理办法的规定； 造价咨询工作应做到认真细致详尽。</w:t>
      </w:r>
    </w:p>
    <w:p w14:paraId="2AB54326">
      <w:pPr>
        <w:spacing w:line="400" w:lineRule="exact"/>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（三）</w:t>
      </w:r>
      <w:r>
        <w:rPr>
          <w:rFonts w:hint="eastAsia" w:ascii="宋体" w:hAnsi="宋体" w:eastAsia="宋体" w:cs="宋体"/>
          <w:color w:val="auto"/>
          <w:szCs w:val="21"/>
          <w:highlight w:val="none"/>
        </w:rPr>
        <w:t>专业人员配备齐全，信誉良好，无不良记录。</w:t>
      </w:r>
    </w:p>
    <w:p w14:paraId="1DC400A3">
      <w:pPr>
        <w:spacing w:line="400" w:lineRule="exact"/>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（四）</w:t>
      </w:r>
      <w:r>
        <w:rPr>
          <w:rFonts w:hint="eastAsia" w:ascii="宋体" w:hAnsi="宋体" w:eastAsia="宋体" w:cs="宋体"/>
          <w:color w:val="auto"/>
          <w:szCs w:val="21"/>
          <w:highlight w:val="none"/>
        </w:rPr>
        <w:t>委托业务禁止转包。一经发现，招标人可立即取消其代理资格，并由其承担引起的一切经济损失。</w:t>
      </w:r>
    </w:p>
    <w:p w14:paraId="58E20539">
      <w:pPr>
        <w:spacing w:line="400" w:lineRule="exact"/>
        <w:ind w:firstLine="426" w:firstLineChars="20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（五）</w:t>
      </w:r>
      <w:r>
        <w:rPr>
          <w:rFonts w:hint="eastAsia" w:ascii="宋体" w:hAnsi="宋体" w:eastAsia="宋体" w:cs="宋体"/>
          <w:color w:val="auto"/>
          <w:szCs w:val="21"/>
          <w:highlight w:val="none"/>
        </w:rPr>
        <w:t>熟悉嘉兴地区招投标相关交易规则及制度。</w:t>
      </w:r>
    </w:p>
    <w:p w14:paraId="5C5E03B1">
      <w:pPr>
        <w:snapToGrid w:val="0"/>
        <w:spacing w:line="400" w:lineRule="exact"/>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（六）</w:t>
      </w:r>
      <w:r>
        <w:rPr>
          <w:rFonts w:hint="eastAsia" w:ascii="宋体" w:hAnsi="宋体" w:eastAsia="宋体" w:cs="宋体"/>
          <w:color w:val="auto"/>
          <w:szCs w:val="21"/>
          <w:highlight w:val="none"/>
        </w:rPr>
        <w:t>招标代理服务内容：</w:t>
      </w:r>
    </w:p>
    <w:p w14:paraId="3FF94799">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1、项目涉及的所有项目的前期咨询、拟订招标方案；</w:t>
      </w:r>
    </w:p>
    <w:p w14:paraId="10B981E4">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2、向招投标监督管理部门提出招标申请，发布招标公告；</w:t>
      </w:r>
    </w:p>
    <w:bookmarkEnd w:id="20"/>
    <w:p w14:paraId="0DB1CEA9">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3、编制招标文件（包括资格预审文件）；</w:t>
      </w:r>
    </w:p>
    <w:p w14:paraId="1794AE26">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4、组织开标、评标和定标；</w:t>
      </w:r>
    </w:p>
    <w:p w14:paraId="2113E5E2">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5、提交招投标书面情况报告及相关材料；</w:t>
      </w:r>
    </w:p>
    <w:p w14:paraId="799C9BF1">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6、协助工程合同的签订；</w:t>
      </w:r>
    </w:p>
    <w:p w14:paraId="1AE4E449">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7、与工程招标有关的其它事项。</w:t>
      </w:r>
    </w:p>
    <w:p w14:paraId="25050C03">
      <w:pPr>
        <w:snapToGrid w:val="0"/>
        <w:spacing w:line="40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（七）造价咨询服务内容（具体根据采购人要求）：</w:t>
      </w:r>
    </w:p>
    <w:p w14:paraId="01999A52">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1、工程量清单、预算、招标控制价编制；</w:t>
      </w:r>
    </w:p>
    <w:p w14:paraId="42639DC3">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2、其他零星和咨询服务。</w:t>
      </w:r>
    </w:p>
    <w:p w14:paraId="78AAFB8C">
      <w:pPr>
        <w:snapToGrid w:val="0"/>
        <w:spacing w:line="400" w:lineRule="exact"/>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（八）</w:t>
      </w:r>
      <w:r>
        <w:rPr>
          <w:rFonts w:hint="eastAsia" w:ascii="宋体" w:hAnsi="宋体" w:eastAsia="宋体" w:cs="宋体"/>
          <w:color w:val="auto"/>
          <w:szCs w:val="21"/>
          <w:highlight w:val="none"/>
        </w:rPr>
        <w:t>若中标单位在未出具任何结论的情况下，因自身原因中途将委托项目退回给采购方的，甲方不支付乙方任何服务费并视情况暂停业务分配，情况严重的将中止合同。</w:t>
      </w:r>
    </w:p>
    <w:p w14:paraId="1598C3A7">
      <w:pPr>
        <w:snapToGrid w:val="0"/>
        <w:spacing w:line="400" w:lineRule="exact"/>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（九）</w:t>
      </w:r>
      <w:r>
        <w:rPr>
          <w:rFonts w:hint="eastAsia" w:ascii="宋体" w:hAnsi="宋体" w:eastAsia="宋体" w:cs="宋体"/>
          <w:color w:val="auto"/>
          <w:szCs w:val="21"/>
          <w:highlight w:val="none"/>
        </w:rPr>
        <w:t>中标单位应及时整理招标代理档案，协助招标人签订相关合同。</w:t>
      </w:r>
    </w:p>
    <w:p w14:paraId="1C426BE8">
      <w:pPr>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六、其他说明</w:t>
      </w:r>
    </w:p>
    <w:p w14:paraId="4A1D8773">
      <w:pPr>
        <w:snapToGrid w:val="0"/>
        <w:spacing w:line="400" w:lineRule="exact"/>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（一）</w:t>
      </w:r>
      <w:r>
        <w:rPr>
          <w:rFonts w:hint="eastAsia" w:ascii="宋体" w:hAnsi="宋体" w:eastAsia="宋体" w:cs="宋体"/>
          <w:color w:val="auto"/>
          <w:szCs w:val="21"/>
          <w:highlight w:val="none"/>
        </w:rPr>
        <w:t>本项目招标代理所发生的</w:t>
      </w:r>
      <w:r>
        <w:rPr>
          <w:rFonts w:hint="eastAsia" w:ascii="宋体" w:hAnsi="宋体" w:eastAsia="宋体" w:cs="宋体"/>
          <w:color w:val="auto"/>
          <w:szCs w:val="21"/>
          <w:highlight w:val="none"/>
          <w:lang w:val="zh-CN"/>
        </w:rPr>
        <w:t>场租费、交易费、公证费费用由采购方承担。</w:t>
      </w:r>
    </w:p>
    <w:p w14:paraId="322B65D0">
      <w:pPr>
        <w:snapToGrid w:val="0"/>
        <w:spacing w:line="400" w:lineRule="exact"/>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（二）因中标单位原因造成代理项目招标时间延误的，每延误一天扣罚人民币</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lang w:val="zh-CN"/>
        </w:rPr>
        <w:t xml:space="preserve">00元，依次类推。  </w:t>
      </w:r>
    </w:p>
    <w:p w14:paraId="3DAAD95C">
      <w:pPr>
        <w:snapToGrid w:val="0"/>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zh-CN"/>
        </w:rPr>
        <w:t>（三）付款方式：</w:t>
      </w:r>
      <w:r>
        <w:rPr>
          <w:rFonts w:hint="eastAsia" w:ascii="宋体" w:hAnsi="宋体" w:eastAsia="宋体" w:cs="宋体"/>
          <w:color w:val="auto"/>
          <w:szCs w:val="21"/>
          <w:highlight w:val="none"/>
        </w:rPr>
        <w:t>在具体每个项目招标代理合同履行完毕后</w:t>
      </w:r>
      <w:r>
        <w:rPr>
          <w:rFonts w:hint="eastAsia" w:ascii="宋体" w:hAnsi="宋体" w:eastAsia="宋体" w:cs="宋体"/>
          <w:color w:val="auto"/>
          <w:szCs w:val="21"/>
          <w:highlight w:val="none"/>
          <w:lang w:val="zh-CN"/>
        </w:rPr>
        <w:t>并</w:t>
      </w:r>
      <w:r>
        <w:rPr>
          <w:rFonts w:hint="eastAsia" w:ascii="宋体" w:hAnsi="宋体" w:eastAsia="宋体" w:cs="宋体"/>
          <w:color w:val="auto"/>
          <w:szCs w:val="21"/>
          <w:highlight w:val="none"/>
        </w:rPr>
        <w:t>提交招标汇编资料后一次性支付。</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清单编制费按</w:t>
      </w:r>
      <w:r>
        <w:rPr>
          <w:rFonts w:hint="eastAsia" w:ascii="宋体" w:hAnsi="宋体" w:eastAsia="宋体" w:cs="宋体"/>
          <w:color w:val="auto"/>
          <w:szCs w:val="21"/>
          <w:highlight w:val="none"/>
        </w:rPr>
        <w:t>每个项目</w:t>
      </w:r>
      <w:r>
        <w:rPr>
          <w:rFonts w:hint="eastAsia" w:ascii="宋体" w:hAnsi="宋体" w:eastAsia="宋体" w:cs="宋体"/>
          <w:color w:val="auto"/>
          <w:szCs w:val="21"/>
          <w:highlight w:val="none"/>
          <w:lang w:val="en-US" w:eastAsia="zh-CN"/>
        </w:rPr>
        <w:t>分别计算</w:t>
      </w:r>
      <w:r>
        <w:rPr>
          <w:rFonts w:hint="eastAsia" w:ascii="宋体" w:hAnsi="宋体" w:eastAsia="宋体" w:cs="宋体"/>
          <w:color w:val="auto"/>
          <w:szCs w:val="21"/>
          <w:highlight w:val="none"/>
          <w:lang w:eastAsia="zh-CN"/>
        </w:rPr>
        <w:t>）</w:t>
      </w:r>
    </w:p>
    <w:p w14:paraId="1E36892F">
      <w:pPr>
        <w:snapToGrid w:val="0"/>
        <w:spacing w:line="400" w:lineRule="exact"/>
        <w:ind w:firstLine="420" w:firstLineChars="200"/>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四</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本</w:t>
      </w:r>
      <w:r>
        <w:rPr>
          <w:rFonts w:hint="eastAsia" w:ascii="宋体" w:hAnsi="宋体" w:eastAsia="宋体" w:cs="宋体"/>
          <w:color w:val="auto"/>
          <w:szCs w:val="21"/>
          <w:highlight w:val="none"/>
        </w:rPr>
        <w:t>项目施工点</w:t>
      </w:r>
      <w:r>
        <w:rPr>
          <w:rFonts w:hint="eastAsia" w:ascii="宋体" w:hAnsi="宋体" w:eastAsia="宋体" w:cs="宋体"/>
          <w:color w:val="auto"/>
          <w:szCs w:val="21"/>
          <w:highlight w:val="none"/>
          <w:lang w:val="en-US" w:eastAsia="zh-CN"/>
        </w:rPr>
        <w:t>分散，范围较广</w:t>
      </w:r>
      <w:r>
        <w:rPr>
          <w:rFonts w:hint="eastAsia" w:ascii="宋体" w:hAnsi="宋体" w:eastAsia="宋体" w:cs="宋体"/>
          <w:color w:val="auto"/>
          <w:szCs w:val="21"/>
          <w:highlight w:val="none"/>
        </w:rPr>
        <w:t>，现场踏勘工作量大</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时效要求高</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请代理机构充分考虑需要额外投入的人力、物力成本</w:t>
      </w:r>
      <w:r>
        <w:rPr>
          <w:rFonts w:hint="eastAsia" w:ascii="宋体" w:hAnsi="宋体" w:eastAsia="宋体" w:cs="宋体"/>
          <w:color w:val="auto"/>
          <w:szCs w:val="21"/>
          <w:highlight w:val="none"/>
        </w:rPr>
        <w:t>。</w:t>
      </w:r>
    </w:p>
    <w:p w14:paraId="0CEABC45">
      <w:pPr>
        <w:spacing w:line="400" w:lineRule="exact"/>
        <w:ind w:firstLine="210" w:firstLineChars="100"/>
        <w:rPr>
          <w:rFonts w:hint="eastAsia" w:ascii="宋体" w:hAnsi="宋体" w:eastAsia="宋体" w:cs="宋体"/>
          <w:color w:val="auto"/>
          <w:kern w:val="0"/>
          <w:szCs w:val="21"/>
          <w:highlight w:val="none"/>
          <w:lang w:val="zh-CN"/>
        </w:rPr>
      </w:pPr>
    </w:p>
    <w:p w14:paraId="03DDDD0C">
      <w:pPr>
        <w:spacing w:line="400" w:lineRule="exact"/>
        <w:ind w:firstLine="210" w:firstLineChars="100"/>
        <w:rPr>
          <w:rFonts w:hint="eastAsia" w:ascii="宋体" w:hAnsi="宋体" w:eastAsia="宋体" w:cs="宋体"/>
          <w:color w:val="auto"/>
          <w:kern w:val="0"/>
          <w:szCs w:val="21"/>
          <w:highlight w:val="none"/>
          <w:lang w:val="zh-CN"/>
        </w:rPr>
      </w:pPr>
    </w:p>
    <w:p w14:paraId="7A0B08FD">
      <w:pPr>
        <w:spacing w:line="400" w:lineRule="exact"/>
        <w:ind w:firstLine="210" w:firstLineChars="100"/>
        <w:rPr>
          <w:rFonts w:hint="eastAsia" w:ascii="宋体" w:hAnsi="宋体" w:eastAsia="宋体" w:cs="宋体"/>
          <w:color w:val="auto"/>
          <w:kern w:val="0"/>
          <w:szCs w:val="21"/>
          <w:highlight w:val="none"/>
          <w:lang w:val="zh-CN"/>
        </w:rPr>
      </w:pPr>
    </w:p>
    <w:p w14:paraId="1536C021">
      <w:pPr>
        <w:spacing w:line="400" w:lineRule="exact"/>
        <w:ind w:firstLine="210" w:firstLineChars="100"/>
        <w:rPr>
          <w:rFonts w:hint="eastAsia" w:ascii="宋体" w:hAnsi="宋体" w:eastAsia="宋体" w:cs="宋体"/>
          <w:color w:val="auto"/>
          <w:kern w:val="0"/>
          <w:szCs w:val="21"/>
          <w:highlight w:val="none"/>
          <w:lang w:val="zh-CN"/>
        </w:rPr>
      </w:pPr>
    </w:p>
    <w:p w14:paraId="52824DEA">
      <w:pPr>
        <w:spacing w:line="400" w:lineRule="exact"/>
        <w:ind w:firstLine="210" w:firstLineChars="100"/>
        <w:rPr>
          <w:rFonts w:hint="eastAsia" w:ascii="宋体" w:hAnsi="宋体" w:eastAsia="宋体" w:cs="宋体"/>
          <w:color w:val="auto"/>
          <w:kern w:val="0"/>
          <w:szCs w:val="21"/>
          <w:highlight w:val="none"/>
          <w:lang w:val="zh-CN"/>
        </w:rPr>
      </w:pPr>
    </w:p>
    <w:p w14:paraId="7342C7C3">
      <w:pPr>
        <w:spacing w:line="400" w:lineRule="exact"/>
        <w:ind w:firstLine="210" w:firstLineChars="100"/>
        <w:rPr>
          <w:rFonts w:hint="eastAsia" w:ascii="宋体" w:hAnsi="宋体" w:eastAsia="宋体" w:cs="宋体"/>
          <w:color w:val="auto"/>
          <w:kern w:val="0"/>
          <w:szCs w:val="21"/>
          <w:highlight w:val="none"/>
          <w:lang w:val="zh-CN"/>
        </w:rPr>
      </w:pPr>
    </w:p>
    <w:p w14:paraId="0B8A42C3">
      <w:pPr>
        <w:spacing w:line="400" w:lineRule="exact"/>
        <w:ind w:firstLine="210" w:firstLineChars="100"/>
        <w:rPr>
          <w:rFonts w:hint="eastAsia" w:ascii="宋体" w:hAnsi="宋体" w:eastAsia="宋体" w:cs="宋体"/>
          <w:color w:val="auto"/>
          <w:kern w:val="0"/>
          <w:szCs w:val="21"/>
          <w:highlight w:val="none"/>
          <w:lang w:val="zh-CN"/>
        </w:rPr>
      </w:pPr>
    </w:p>
    <w:p w14:paraId="3665F9D6">
      <w:pPr>
        <w:spacing w:line="400" w:lineRule="exact"/>
        <w:ind w:firstLine="210" w:firstLineChars="100"/>
        <w:rPr>
          <w:rFonts w:hint="eastAsia" w:ascii="宋体" w:hAnsi="宋体" w:eastAsia="宋体" w:cs="宋体"/>
          <w:color w:val="auto"/>
          <w:kern w:val="0"/>
          <w:szCs w:val="21"/>
          <w:highlight w:val="none"/>
          <w:lang w:val="zh-CN"/>
        </w:rPr>
      </w:pPr>
    </w:p>
    <w:p w14:paraId="35F71BC0">
      <w:pPr>
        <w:spacing w:line="400" w:lineRule="exact"/>
        <w:ind w:firstLine="210" w:firstLineChars="100"/>
        <w:rPr>
          <w:rFonts w:hint="eastAsia" w:ascii="宋体" w:hAnsi="宋体" w:eastAsia="宋体" w:cs="宋体"/>
          <w:color w:val="auto"/>
          <w:kern w:val="0"/>
          <w:szCs w:val="21"/>
          <w:highlight w:val="none"/>
          <w:lang w:val="zh-CN"/>
        </w:rPr>
      </w:pPr>
    </w:p>
    <w:p w14:paraId="14B8FFD3">
      <w:pPr>
        <w:spacing w:line="400" w:lineRule="exact"/>
        <w:ind w:firstLine="210" w:firstLineChars="100"/>
        <w:rPr>
          <w:rFonts w:hint="eastAsia" w:ascii="宋体" w:hAnsi="宋体" w:eastAsia="宋体" w:cs="宋体"/>
          <w:color w:val="auto"/>
          <w:kern w:val="0"/>
          <w:szCs w:val="21"/>
          <w:highlight w:val="none"/>
          <w:lang w:val="zh-CN"/>
        </w:rPr>
      </w:pPr>
    </w:p>
    <w:p w14:paraId="2B0777B8">
      <w:pPr>
        <w:spacing w:line="400" w:lineRule="exact"/>
        <w:ind w:firstLine="210" w:firstLineChars="100"/>
        <w:rPr>
          <w:rFonts w:hint="eastAsia" w:ascii="宋体" w:hAnsi="宋体" w:eastAsia="宋体" w:cs="宋体"/>
          <w:color w:val="auto"/>
          <w:kern w:val="0"/>
          <w:szCs w:val="21"/>
          <w:highlight w:val="none"/>
          <w:lang w:val="zh-CN"/>
        </w:rPr>
      </w:pPr>
    </w:p>
    <w:p w14:paraId="677445CE">
      <w:pPr>
        <w:spacing w:line="400" w:lineRule="exact"/>
        <w:ind w:firstLine="210" w:firstLineChars="100"/>
        <w:rPr>
          <w:rFonts w:hint="eastAsia" w:ascii="宋体" w:hAnsi="宋体" w:eastAsia="宋体" w:cs="宋体"/>
          <w:color w:val="auto"/>
          <w:kern w:val="0"/>
          <w:szCs w:val="21"/>
          <w:highlight w:val="none"/>
          <w:lang w:val="zh-CN"/>
        </w:rPr>
      </w:pPr>
    </w:p>
    <w:p w14:paraId="271F279E">
      <w:pPr>
        <w:spacing w:line="400" w:lineRule="exact"/>
        <w:ind w:firstLine="210" w:firstLineChars="100"/>
        <w:rPr>
          <w:rFonts w:hint="eastAsia" w:ascii="宋体" w:hAnsi="宋体" w:eastAsia="宋体" w:cs="宋体"/>
          <w:color w:val="auto"/>
          <w:kern w:val="0"/>
          <w:szCs w:val="21"/>
          <w:highlight w:val="none"/>
          <w:lang w:val="zh-CN"/>
        </w:rPr>
      </w:pPr>
    </w:p>
    <w:p w14:paraId="2A5E4E58">
      <w:pPr>
        <w:spacing w:line="400" w:lineRule="exact"/>
        <w:ind w:firstLine="210" w:firstLineChars="100"/>
        <w:rPr>
          <w:rFonts w:hint="eastAsia" w:ascii="宋体" w:hAnsi="宋体" w:eastAsia="宋体" w:cs="宋体"/>
          <w:color w:val="auto"/>
          <w:kern w:val="0"/>
          <w:szCs w:val="21"/>
          <w:highlight w:val="none"/>
          <w:lang w:val="zh-CN"/>
        </w:rPr>
      </w:pPr>
    </w:p>
    <w:p w14:paraId="35199562">
      <w:pPr>
        <w:spacing w:line="400" w:lineRule="exact"/>
        <w:ind w:firstLine="210" w:firstLineChars="100"/>
        <w:rPr>
          <w:rFonts w:hint="eastAsia" w:ascii="宋体" w:hAnsi="宋体" w:eastAsia="宋体" w:cs="宋体"/>
          <w:color w:val="auto"/>
          <w:kern w:val="0"/>
          <w:szCs w:val="21"/>
          <w:highlight w:val="none"/>
          <w:lang w:val="zh-CN"/>
        </w:rPr>
      </w:pPr>
    </w:p>
    <w:p w14:paraId="345EDEB8">
      <w:pPr>
        <w:spacing w:line="400" w:lineRule="exact"/>
        <w:ind w:firstLine="210" w:firstLineChars="100"/>
        <w:rPr>
          <w:rFonts w:hint="eastAsia" w:ascii="宋体" w:hAnsi="宋体" w:eastAsia="宋体" w:cs="宋体"/>
          <w:color w:val="auto"/>
          <w:kern w:val="0"/>
          <w:szCs w:val="21"/>
          <w:highlight w:val="none"/>
          <w:lang w:val="zh-CN"/>
        </w:rPr>
      </w:pPr>
    </w:p>
    <w:p w14:paraId="7DD8508F">
      <w:pPr>
        <w:spacing w:line="400" w:lineRule="exact"/>
        <w:ind w:firstLine="210" w:firstLineChars="100"/>
        <w:rPr>
          <w:rFonts w:hint="eastAsia" w:ascii="宋体" w:hAnsi="宋体" w:eastAsia="宋体" w:cs="宋体"/>
          <w:color w:val="auto"/>
          <w:kern w:val="0"/>
          <w:szCs w:val="21"/>
          <w:highlight w:val="none"/>
          <w:lang w:val="zh-CN"/>
        </w:rPr>
      </w:pPr>
    </w:p>
    <w:p w14:paraId="06ABB2DC">
      <w:pPr>
        <w:spacing w:line="400" w:lineRule="exact"/>
        <w:ind w:firstLine="210" w:firstLineChars="100"/>
        <w:rPr>
          <w:rFonts w:hint="eastAsia" w:ascii="宋体" w:hAnsi="宋体" w:eastAsia="宋体" w:cs="宋体"/>
          <w:color w:val="auto"/>
          <w:kern w:val="0"/>
          <w:szCs w:val="21"/>
          <w:highlight w:val="none"/>
          <w:lang w:val="zh-CN"/>
        </w:rPr>
      </w:pPr>
    </w:p>
    <w:p w14:paraId="149AC7E5">
      <w:pPr>
        <w:pStyle w:val="31"/>
        <w:rPr>
          <w:rFonts w:hint="eastAsia" w:ascii="宋体" w:hAnsi="宋体" w:eastAsia="宋体" w:cs="宋体"/>
          <w:color w:val="auto"/>
          <w:kern w:val="0"/>
          <w:szCs w:val="21"/>
          <w:highlight w:val="none"/>
          <w:lang w:val="zh-CN"/>
        </w:rPr>
      </w:pPr>
    </w:p>
    <w:p w14:paraId="6B9B7A54">
      <w:pPr>
        <w:rPr>
          <w:rFonts w:hint="eastAsia" w:ascii="宋体" w:hAnsi="宋体" w:eastAsia="宋体" w:cs="宋体"/>
          <w:color w:val="auto"/>
          <w:kern w:val="0"/>
          <w:szCs w:val="21"/>
          <w:highlight w:val="none"/>
          <w:lang w:val="zh-CN"/>
        </w:rPr>
      </w:pPr>
    </w:p>
    <w:p w14:paraId="1FB1CC2B">
      <w:pPr>
        <w:pStyle w:val="31"/>
        <w:rPr>
          <w:rFonts w:hint="eastAsia" w:ascii="宋体" w:hAnsi="宋体" w:eastAsia="宋体" w:cs="宋体"/>
          <w:color w:val="auto"/>
          <w:kern w:val="0"/>
          <w:szCs w:val="21"/>
          <w:highlight w:val="none"/>
          <w:lang w:val="zh-CN"/>
        </w:rPr>
      </w:pPr>
    </w:p>
    <w:p w14:paraId="793C8CE8">
      <w:pPr>
        <w:keepNext/>
        <w:keepLines/>
        <w:spacing w:before="260" w:after="260" w:line="360" w:lineRule="auto"/>
        <w:jc w:val="center"/>
        <w:outlineLvl w:val="0"/>
        <w:rPr>
          <w:rFonts w:hint="eastAsia" w:ascii="宋体" w:hAnsi="宋体" w:eastAsia="宋体" w:cs="宋体"/>
          <w:b/>
          <w:bCs/>
          <w:color w:val="auto"/>
          <w:sz w:val="32"/>
          <w:szCs w:val="32"/>
          <w:highlight w:val="none"/>
        </w:rPr>
      </w:pPr>
      <w:bookmarkStart w:id="21" w:name="OLE_LINK7"/>
      <w:r>
        <w:rPr>
          <w:rFonts w:hint="eastAsia" w:ascii="宋体" w:hAnsi="宋体" w:eastAsia="宋体" w:cs="宋体"/>
          <w:b/>
          <w:bCs/>
          <w:color w:val="auto"/>
          <w:sz w:val="32"/>
          <w:szCs w:val="32"/>
          <w:highlight w:val="none"/>
        </w:rPr>
        <w:t>第三章</w:t>
      </w:r>
      <w:bookmarkEnd w:id="21"/>
      <w:r>
        <w:rPr>
          <w:rFonts w:hint="eastAsia" w:ascii="宋体" w:hAnsi="宋体" w:eastAsia="宋体" w:cs="宋体"/>
          <w:b/>
          <w:bCs/>
          <w:color w:val="auto"/>
          <w:sz w:val="32"/>
          <w:szCs w:val="32"/>
          <w:highlight w:val="none"/>
        </w:rPr>
        <w:t xml:space="preserve">  投标人须知</w:t>
      </w:r>
    </w:p>
    <w:p w14:paraId="446462D4">
      <w:pPr>
        <w:snapToGrid w:val="0"/>
        <w:spacing w:beforeLines="100"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前附表</w:t>
      </w:r>
    </w:p>
    <w:tbl>
      <w:tblPr>
        <w:tblStyle w:val="43"/>
        <w:tblW w:w="964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2"/>
        <w:gridCol w:w="8866"/>
      </w:tblGrid>
      <w:tr w14:paraId="69B341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14:paraId="2A22C4AF">
            <w:pPr>
              <w:keepNext w:val="0"/>
              <w:keepLines w:val="0"/>
              <w:pageBreakBefore w:val="0"/>
              <w:widowControl w:val="0"/>
              <w:kinsoku/>
              <w:wordWrap/>
              <w:overflowPunct/>
              <w:topLinePunct w:val="0"/>
              <w:bidi w:val="0"/>
              <w:adjustRightInd/>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8866" w:type="dxa"/>
            <w:tcBorders>
              <w:top w:val="single" w:color="auto" w:sz="4" w:space="0"/>
              <w:left w:val="single" w:color="auto" w:sz="4" w:space="0"/>
              <w:bottom w:val="single" w:color="auto" w:sz="4" w:space="0"/>
              <w:right w:val="single" w:color="auto" w:sz="4" w:space="0"/>
            </w:tcBorders>
            <w:vAlign w:val="center"/>
          </w:tcPr>
          <w:p w14:paraId="0798CDE7">
            <w:pPr>
              <w:keepNext w:val="0"/>
              <w:keepLines w:val="0"/>
              <w:pageBreakBefore w:val="0"/>
              <w:widowControl w:val="0"/>
              <w:kinsoku/>
              <w:wordWrap/>
              <w:overflowPunct/>
              <w:topLinePunct w:val="0"/>
              <w:bidi w:val="0"/>
              <w:adjustRightInd/>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内容、要求</w:t>
            </w:r>
          </w:p>
        </w:tc>
      </w:tr>
      <w:tr w14:paraId="6A5BC7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14:paraId="17539B25">
            <w:pPr>
              <w:keepNext w:val="0"/>
              <w:keepLines w:val="0"/>
              <w:pageBreakBefore w:val="0"/>
              <w:widowControl w:val="0"/>
              <w:kinsoku/>
              <w:wordWrap/>
              <w:overflowPunct/>
              <w:topLinePunct w:val="0"/>
              <w:bidi w:val="0"/>
              <w:adjustRightInd/>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866" w:type="dxa"/>
            <w:tcBorders>
              <w:top w:val="single" w:color="auto" w:sz="4" w:space="0"/>
              <w:left w:val="single" w:color="auto" w:sz="4" w:space="0"/>
              <w:bottom w:val="single" w:color="auto" w:sz="4" w:space="0"/>
              <w:right w:val="single" w:color="auto" w:sz="4" w:space="0"/>
            </w:tcBorders>
            <w:vAlign w:val="center"/>
          </w:tcPr>
          <w:p w14:paraId="2BED5995">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auto"/>
                <w:szCs w:val="21"/>
                <w:highlight w:val="none"/>
                <w:lang w:eastAsia="zh-CN"/>
              </w:rPr>
            </w:pPr>
            <w:r>
              <w:rPr>
                <w:rFonts w:hint="eastAsia" w:ascii="宋体" w:hAnsi="宋体" w:eastAsia="宋体" w:cs="宋体"/>
                <w:b/>
                <w:color w:val="auto"/>
                <w:szCs w:val="21"/>
                <w:highlight w:val="none"/>
              </w:rPr>
              <w:t>项目名称：</w:t>
            </w:r>
            <w:r>
              <w:rPr>
                <w:rFonts w:hint="eastAsia" w:ascii="宋体" w:hAnsi="宋体" w:eastAsia="宋体" w:cs="宋体"/>
                <w:color w:val="auto"/>
                <w:szCs w:val="21"/>
                <w:highlight w:val="none"/>
                <w:lang w:eastAsia="zh-CN"/>
              </w:rPr>
              <w:t>平湖市中心城区污水管网扩容改建一期工程招标代理及造价咨询服务项目</w:t>
            </w:r>
          </w:p>
        </w:tc>
      </w:tr>
      <w:tr w14:paraId="37567C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14:paraId="79B129D6">
            <w:pPr>
              <w:keepNext w:val="0"/>
              <w:keepLines w:val="0"/>
              <w:pageBreakBefore w:val="0"/>
              <w:widowControl w:val="0"/>
              <w:kinsoku/>
              <w:wordWrap/>
              <w:overflowPunct/>
              <w:topLinePunct w:val="0"/>
              <w:bidi w:val="0"/>
              <w:adjustRightInd/>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8866" w:type="dxa"/>
            <w:tcBorders>
              <w:top w:val="single" w:color="auto" w:sz="4" w:space="0"/>
              <w:left w:val="single" w:color="auto" w:sz="4" w:space="0"/>
              <w:bottom w:val="single" w:color="auto" w:sz="4" w:space="0"/>
              <w:right w:val="single" w:color="auto" w:sz="4" w:space="0"/>
            </w:tcBorders>
            <w:vAlign w:val="center"/>
          </w:tcPr>
          <w:p w14:paraId="2424CCB3">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采购内容：</w:t>
            </w:r>
            <w:r>
              <w:rPr>
                <w:rFonts w:hint="eastAsia" w:ascii="宋体" w:hAnsi="宋体" w:eastAsia="宋体" w:cs="宋体"/>
                <w:color w:val="auto"/>
                <w:szCs w:val="21"/>
                <w:highlight w:val="none"/>
              </w:rPr>
              <w:t>具体内容详见招标需求</w:t>
            </w:r>
          </w:p>
        </w:tc>
      </w:tr>
      <w:tr w14:paraId="65EE75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14:paraId="1A610F98">
            <w:pPr>
              <w:keepNext w:val="0"/>
              <w:keepLines w:val="0"/>
              <w:pageBreakBefore w:val="0"/>
              <w:widowControl w:val="0"/>
              <w:kinsoku/>
              <w:wordWrap/>
              <w:overflowPunct/>
              <w:topLinePunct w:val="0"/>
              <w:bidi w:val="0"/>
              <w:adjustRightInd/>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8866" w:type="dxa"/>
            <w:tcBorders>
              <w:top w:val="single" w:color="auto" w:sz="4" w:space="0"/>
              <w:left w:val="single" w:color="auto" w:sz="4" w:space="0"/>
              <w:bottom w:val="single" w:color="auto" w:sz="4" w:space="0"/>
              <w:right w:val="single" w:color="auto" w:sz="4" w:space="0"/>
            </w:tcBorders>
            <w:vAlign w:val="center"/>
          </w:tcPr>
          <w:p w14:paraId="03A523D3">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投标报价及费用：</w:t>
            </w:r>
            <w:r>
              <w:rPr>
                <w:rFonts w:hint="eastAsia" w:ascii="宋体" w:hAnsi="宋体" w:eastAsia="宋体" w:cs="宋体"/>
                <w:color w:val="auto"/>
                <w:szCs w:val="21"/>
                <w:highlight w:val="none"/>
              </w:rPr>
              <w:t>1、本项</w:t>
            </w:r>
            <w:bookmarkStart w:id="22" w:name="OLE_LINK8"/>
            <w:r>
              <w:rPr>
                <w:rFonts w:hint="eastAsia" w:ascii="宋体" w:hAnsi="宋体" w:eastAsia="宋体" w:cs="宋体"/>
                <w:color w:val="auto"/>
                <w:szCs w:val="21"/>
                <w:highlight w:val="none"/>
              </w:rPr>
              <w:t xml:space="preserve">目投标应以人民币报价；2、不论投标结果如何，投标人均应自行承担所有与投标有关的全部费用。 </w:t>
            </w:r>
          </w:p>
          <w:p w14:paraId="5F843988">
            <w:pPr>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3、特别说明：</w:t>
            </w:r>
            <w:r>
              <w:rPr>
                <w:rFonts w:hint="eastAsia" w:ascii="宋体" w:hAnsi="宋体" w:eastAsia="宋体" w:cs="宋体"/>
                <w:color w:val="auto"/>
                <w:szCs w:val="21"/>
                <w:highlight w:val="none"/>
              </w:rPr>
              <w:t xml:space="preserve"> </w:t>
            </w:r>
            <w:r>
              <w:rPr>
                <w:rFonts w:hint="eastAsia" w:ascii="宋体" w:hAnsi="宋体" w:eastAsia="宋体" w:cs="宋体"/>
                <w:b/>
                <w:color w:val="auto"/>
                <w:szCs w:val="21"/>
                <w:highlight w:val="none"/>
              </w:rPr>
              <w:t>投标报价由自行报价部分(清单、预算编制费)和固定报价部分(代理费)组成：①自行报价部分(清单、预算编制费)：工程量清单及预算编制参照《浙江省物价局关于进一步完善工程造价咨询服务收费的通知》(浙建价协〔2021〕13号)标准收费×中标费率X计取，基准收费计算基数为项目控制价。费率最高限价为：0.70。</w:t>
            </w:r>
          </w:p>
          <w:p w14:paraId="74799F39">
            <w:pPr>
              <w:keepNext w:val="0"/>
              <w:keepLines w:val="0"/>
              <w:pageBreakBefore w:val="0"/>
              <w:widowControl w:val="0"/>
              <w:kinsoku/>
              <w:wordWrap/>
              <w:overflowPunct/>
              <w:topLinePunct w:val="0"/>
              <w:bidi w:val="0"/>
              <w:adjustRightInd/>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②</w:t>
            </w:r>
            <w:r>
              <w:rPr>
                <w:rFonts w:hint="eastAsia" w:ascii="宋体" w:hAnsi="宋体" w:eastAsia="宋体" w:cs="宋体"/>
                <w:b/>
                <w:bCs/>
                <w:color w:val="auto"/>
                <w:szCs w:val="21"/>
                <w:highlight w:val="none"/>
              </w:rPr>
              <w:t>固定报价部分(代理费)（报价不作竞争）：</w:t>
            </w:r>
          </w:p>
          <w:bookmarkEnd w:id="22"/>
          <w:p w14:paraId="5A297856">
            <w:pPr>
              <w:keepNext w:val="0"/>
              <w:keepLines w:val="0"/>
              <w:pageBreakBefore w:val="0"/>
              <w:widowControl w:val="0"/>
              <w:numPr>
                <w:ilvl w:val="0"/>
                <w:numId w:val="0"/>
              </w:numPr>
              <w:kinsoku/>
              <w:wordWrap/>
              <w:overflowPunct/>
              <w:topLinePunct w:val="0"/>
              <w:bidi w:val="0"/>
              <w:adjustRightInd/>
              <w:snapToGrid w:val="0"/>
              <w:spacing w:line="40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（1）进入</w:t>
            </w:r>
            <w:r>
              <w:rPr>
                <w:rFonts w:hint="eastAsia" w:ascii="宋体" w:hAnsi="宋体" w:eastAsia="宋体" w:cs="宋体"/>
                <w:b/>
                <w:bCs/>
                <w:color w:val="auto"/>
                <w:szCs w:val="21"/>
                <w:highlight w:val="none"/>
                <w:lang w:val="en-US" w:eastAsia="zh-CN"/>
              </w:rPr>
              <w:t>水务集团</w:t>
            </w:r>
            <w:r>
              <w:rPr>
                <w:rFonts w:hint="eastAsia" w:ascii="宋体" w:hAnsi="宋体" w:eastAsia="宋体" w:cs="宋体"/>
                <w:b/>
                <w:bCs/>
                <w:color w:val="auto"/>
                <w:szCs w:val="21"/>
                <w:highlight w:val="none"/>
              </w:rPr>
              <w:t>平台招标项目按每次</w:t>
            </w:r>
            <w:r>
              <w:rPr>
                <w:rFonts w:hint="eastAsia" w:ascii="宋体" w:hAnsi="宋体" w:eastAsia="宋体" w:cs="宋体"/>
                <w:b/>
                <w:bCs/>
                <w:color w:val="auto"/>
                <w:szCs w:val="21"/>
                <w:highlight w:val="none"/>
                <w:lang w:val="en-US" w:eastAsia="zh-CN"/>
              </w:rPr>
              <w:t>4000</w:t>
            </w:r>
            <w:r>
              <w:rPr>
                <w:rFonts w:hint="eastAsia" w:ascii="宋体" w:hAnsi="宋体" w:eastAsia="宋体" w:cs="宋体"/>
                <w:b/>
                <w:bCs/>
                <w:color w:val="auto"/>
                <w:szCs w:val="21"/>
                <w:highlight w:val="none"/>
              </w:rPr>
              <w:t>元收取，专家评审费全部由代理公司负责；（2）进入市平台招标项目代理费按每次</w:t>
            </w:r>
            <w:r>
              <w:rPr>
                <w:rFonts w:hint="eastAsia" w:ascii="宋体" w:hAnsi="宋体" w:eastAsia="宋体" w:cs="宋体"/>
                <w:b/>
                <w:bCs/>
                <w:color w:val="auto"/>
                <w:szCs w:val="21"/>
                <w:highlight w:val="none"/>
                <w:lang w:val="en-US" w:eastAsia="zh-CN"/>
              </w:rPr>
              <w:t>8000</w:t>
            </w:r>
            <w:r>
              <w:rPr>
                <w:rFonts w:hint="eastAsia" w:ascii="宋体" w:hAnsi="宋体" w:eastAsia="宋体" w:cs="宋体"/>
                <w:b/>
                <w:bCs/>
                <w:color w:val="auto"/>
                <w:szCs w:val="21"/>
                <w:highlight w:val="none"/>
              </w:rPr>
              <w:t>元，专家评审费全部由代理公司负责；（3）如项目投标单位不足3家或其他情况需要重新组织招标的代理费用不另行计算，专家评委费用全部由代理单位负责。</w:t>
            </w:r>
          </w:p>
          <w:p w14:paraId="24249BAB">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val="en-US" w:eastAsia="zh-CN"/>
              </w:rPr>
              <w:t xml:space="preserve"> 政府采购</w:t>
            </w:r>
            <w:r>
              <w:rPr>
                <w:rFonts w:hint="eastAsia" w:ascii="宋体" w:hAnsi="宋体" w:eastAsia="宋体" w:cs="宋体"/>
                <w:b/>
                <w:bCs/>
                <w:color w:val="auto"/>
                <w:szCs w:val="21"/>
                <w:highlight w:val="none"/>
              </w:rPr>
              <w:t>招标代理服务费</w:t>
            </w:r>
            <w:r>
              <w:rPr>
                <w:rFonts w:hint="eastAsia" w:ascii="宋体" w:hAnsi="宋体" w:eastAsia="宋体" w:cs="宋体"/>
                <w:b/>
                <w:bCs/>
                <w:color w:val="auto"/>
                <w:szCs w:val="21"/>
                <w:highlight w:val="none"/>
                <w:lang w:val="en-US" w:eastAsia="zh-CN"/>
              </w:rPr>
              <w:t>按7000</w:t>
            </w:r>
            <w:r>
              <w:rPr>
                <w:rFonts w:hint="eastAsia" w:ascii="宋体" w:hAnsi="宋体" w:eastAsia="宋体" w:cs="宋体"/>
                <w:b/>
                <w:bCs/>
                <w:color w:val="auto"/>
                <w:szCs w:val="21"/>
                <w:highlight w:val="none"/>
              </w:rPr>
              <w:t>元</w:t>
            </w:r>
            <w:r>
              <w:rPr>
                <w:rFonts w:hint="eastAsia" w:ascii="宋体" w:hAnsi="宋体" w:eastAsia="宋体" w:cs="宋体"/>
                <w:b/>
                <w:bCs/>
                <w:color w:val="auto"/>
                <w:szCs w:val="21"/>
                <w:highlight w:val="none"/>
                <w:lang w:val="en-US" w:eastAsia="zh-CN"/>
              </w:rPr>
              <w:t>/个收取</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由中标单位在领取中标通知书的同时支付给招标代理公司</w:t>
            </w:r>
            <w:r>
              <w:rPr>
                <w:rFonts w:hint="eastAsia" w:ascii="宋体" w:hAnsi="宋体" w:eastAsia="宋体" w:cs="宋体"/>
                <w:b/>
                <w:bCs/>
                <w:color w:val="auto"/>
                <w:szCs w:val="21"/>
                <w:highlight w:val="none"/>
                <w:lang w:val="en-US" w:eastAsia="zh-CN"/>
              </w:rPr>
              <w:t>，</w:t>
            </w:r>
            <w:r>
              <w:rPr>
                <w:rFonts w:hint="eastAsia" w:ascii="宋体" w:hAnsi="宋体" w:eastAsia="宋体" w:cs="宋体"/>
                <w:b/>
                <w:bCs/>
                <w:color w:val="auto"/>
                <w:szCs w:val="21"/>
                <w:highlight w:val="none"/>
              </w:rPr>
              <w:t>专家评委费用全部由代理单位负责。</w:t>
            </w:r>
          </w:p>
        </w:tc>
      </w:tr>
      <w:tr w14:paraId="21EED5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14:paraId="292F8D21">
            <w:pPr>
              <w:keepNext w:val="0"/>
              <w:keepLines w:val="0"/>
              <w:pageBreakBefore w:val="0"/>
              <w:widowControl w:val="0"/>
              <w:kinsoku/>
              <w:wordWrap/>
              <w:overflowPunct/>
              <w:topLinePunct w:val="0"/>
              <w:bidi w:val="0"/>
              <w:adjustRightInd/>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8866" w:type="dxa"/>
            <w:tcBorders>
              <w:top w:val="single" w:color="auto" w:sz="4" w:space="0"/>
              <w:left w:val="single" w:color="auto" w:sz="4" w:space="0"/>
              <w:bottom w:val="single" w:color="auto" w:sz="4" w:space="0"/>
              <w:right w:val="single" w:color="auto" w:sz="4" w:space="0"/>
            </w:tcBorders>
            <w:vAlign w:val="center"/>
          </w:tcPr>
          <w:p w14:paraId="3EDD2D7F">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投标保证金：</w:t>
            </w:r>
            <w:r>
              <w:rPr>
                <w:rFonts w:hint="eastAsia" w:ascii="宋体" w:hAnsi="宋体" w:eastAsia="宋体" w:cs="宋体"/>
                <w:color w:val="auto"/>
                <w:szCs w:val="21"/>
                <w:highlight w:val="none"/>
              </w:rPr>
              <w:t>无</w:t>
            </w:r>
          </w:p>
        </w:tc>
      </w:tr>
      <w:tr w14:paraId="3B1102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14:paraId="2C85053A">
            <w:pPr>
              <w:keepNext w:val="0"/>
              <w:keepLines w:val="0"/>
              <w:pageBreakBefore w:val="0"/>
              <w:widowControl w:val="0"/>
              <w:kinsoku/>
              <w:wordWrap/>
              <w:overflowPunct/>
              <w:topLinePunct w:val="0"/>
              <w:bidi w:val="0"/>
              <w:adjustRightInd/>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8866" w:type="dxa"/>
            <w:tcBorders>
              <w:top w:val="single" w:color="auto" w:sz="4" w:space="0"/>
              <w:left w:val="single" w:color="auto" w:sz="4" w:space="0"/>
              <w:bottom w:val="single" w:color="auto" w:sz="4" w:space="0"/>
              <w:right w:val="single" w:color="auto" w:sz="4" w:space="0"/>
            </w:tcBorders>
            <w:vAlign w:val="center"/>
          </w:tcPr>
          <w:p w14:paraId="326095BC">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投标文件组成：</w:t>
            </w:r>
            <w:r>
              <w:rPr>
                <w:rFonts w:hint="eastAsia" w:ascii="宋体" w:hAnsi="宋体" w:eastAsia="宋体" w:cs="宋体"/>
                <w:color w:val="auto"/>
                <w:szCs w:val="21"/>
                <w:highlight w:val="none"/>
              </w:rPr>
              <w:t>资信商务及技术文件正本</w:t>
            </w:r>
            <w:r>
              <w:rPr>
                <w:rFonts w:hint="eastAsia" w:ascii="宋体" w:hAnsi="宋体" w:eastAsia="宋体" w:cs="宋体"/>
                <w:color w:val="auto"/>
                <w:szCs w:val="21"/>
                <w:highlight w:val="none"/>
                <w:u w:val="single"/>
              </w:rPr>
              <w:t xml:space="preserve"> 1 </w:t>
            </w:r>
            <w:r>
              <w:rPr>
                <w:rFonts w:hint="eastAsia" w:ascii="宋体" w:hAnsi="宋体" w:eastAsia="宋体" w:cs="宋体"/>
                <w:color w:val="auto"/>
                <w:szCs w:val="21"/>
                <w:highlight w:val="none"/>
              </w:rPr>
              <w:t>份、副本</w:t>
            </w:r>
            <w:r>
              <w:rPr>
                <w:rFonts w:hint="eastAsia" w:ascii="宋体" w:hAnsi="宋体" w:eastAsia="宋体" w:cs="宋体"/>
                <w:color w:val="auto"/>
                <w:szCs w:val="21"/>
                <w:highlight w:val="none"/>
                <w:u w:val="single"/>
              </w:rPr>
              <w:t>4</w:t>
            </w:r>
            <w:r>
              <w:rPr>
                <w:rFonts w:hint="eastAsia" w:ascii="宋体" w:hAnsi="宋体" w:eastAsia="宋体" w:cs="宋体"/>
                <w:color w:val="auto"/>
                <w:szCs w:val="21"/>
                <w:highlight w:val="none"/>
              </w:rPr>
              <w:t>份。</w:t>
            </w:r>
          </w:p>
          <w:p w14:paraId="5F0B50F2">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w:t>
            </w:r>
            <w:r>
              <w:rPr>
                <w:rFonts w:hint="eastAsia" w:ascii="宋体" w:hAnsi="宋体" w:eastAsia="宋体" w:cs="宋体"/>
                <w:color w:val="auto"/>
                <w:kern w:val="0"/>
                <w:szCs w:val="21"/>
                <w:highlight w:val="none"/>
              </w:rPr>
              <w:t>报价文件</w:t>
            </w:r>
            <w:r>
              <w:rPr>
                <w:rFonts w:hint="eastAsia" w:ascii="宋体" w:hAnsi="宋体" w:eastAsia="宋体" w:cs="宋体"/>
                <w:color w:val="auto"/>
                <w:szCs w:val="21"/>
                <w:highlight w:val="none"/>
              </w:rPr>
              <w:t>正本</w:t>
            </w:r>
            <w:r>
              <w:rPr>
                <w:rFonts w:hint="eastAsia" w:ascii="宋体" w:hAnsi="宋体" w:eastAsia="宋体" w:cs="宋体"/>
                <w:color w:val="auto"/>
                <w:szCs w:val="21"/>
                <w:highlight w:val="none"/>
                <w:u w:val="single"/>
              </w:rPr>
              <w:t xml:space="preserve"> 1 </w:t>
            </w:r>
            <w:r>
              <w:rPr>
                <w:rFonts w:hint="eastAsia" w:ascii="宋体" w:hAnsi="宋体" w:eastAsia="宋体" w:cs="宋体"/>
                <w:color w:val="auto"/>
                <w:szCs w:val="21"/>
                <w:highlight w:val="none"/>
              </w:rPr>
              <w:t>份、副本</w:t>
            </w:r>
            <w:r>
              <w:rPr>
                <w:rFonts w:hint="eastAsia" w:ascii="宋体" w:hAnsi="宋体" w:eastAsia="宋体" w:cs="宋体"/>
                <w:color w:val="auto"/>
                <w:szCs w:val="21"/>
                <w:highlight w:val="none"/>
                <w:u w:val="single"/>
              </w:rPr>
              <w:t>4</w:t>
            </w:r>
            <w:r>
              <w:rPr>
                <w:rFonts w:hint="eastAsia" w:ascii="宋体" w:hAnsi="宋体" w:eastAsia="宋体" w:cs="宋体"/>
                <w:color w:val="auto"/>
                <w:szCs w:val="21"/>
                <w:highlight w:val="none"/>
              </w:rPr>
              <w:t>份。</w:t>
            </w:r>
          </w:p>
        </w:tc>
      </w:tr>
      <w:tr w14:paraId="7CA84C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14:paraId="2360B77F">
            <w:pPr>
              <w:keepNext w:val="0"/>
              <w:keepLines w:val="0"/>
              <w:pageBreakBefore w:val="0"/>
              <w:widowControl w:val="0"/>
              <w:kinsoku/>
              <w:wordWrap/>
              <w:overflowPunct/>
              <w:topLinePunct w:val="0"/>
              <w:bidi w:val="0"/>
              <w:adjustRightInd/>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8866" w:type="dxa"/>
            <w:tcBorders>
              <w:top w:val="single" w:color="auto" w:sz="4" w:space="0"/>
              <w:left w:val="single" w:color="auto" w:sz="4" w:space="0"/>
              <w:bottom w:val="single" w:color="auto" w:sz="4" w:space="0"/>
              <w:right w:val="single" w:color="auto" w:sz="4" w:space="0"/>
            </w:tcBorders>
            <w:vAlign w:val="center"/>
          </w:tcPr>
          <w:p w14:paraId="14D2FD6D">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投标截止时间及地点：</w:t>
            </w:r>
            <w:r>
              <w:rPr>
                <w:rFonts w:hint="eastAsia" w:ascii="宋体" w:hAnsi="宋体" w:eastAsia="宋体" w:cs="宋体"/>
                <w:color w:val="auto"/>
                <w:szCs w:val="21"/>
                <w:highlight w:val="none"/>
              </w:rPr>
              <w:t>详见采购公告。</w:t>
            </w:r>
          </w:p>
          <w:p w14:paraId="3DE521E6">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投标文件送达回执、政府采购活动现场确认声明书（格式详见附件）应单独提供。投标人递交投标文件时，如出现下列情况之一的，投标文件将被拒收：</w:t>
            </w:r>
          </w:p>
          <w:p w14:paraId="206A0D29">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1、未按规定密封或标记的投标文件；</w:t>
            </w:r>
          </w:p>
          <w:p w14:paraId="6B42340A">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2、超过投标截止时间送达的投标文件。</w:t>
            </w:r>
          </w:p>
          <w:p w14:paraId="3941F345">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投标人在投标截止时间前，可以书面通知（加盖公章）采购人或采购代理机构，对所递交的投标文件进行补充、修改或者撤回。补充、修改的内容应当按照招标文件要求签署、盖章、密封后，作为投标文件的组成部分。</w:t>
            </w:r>
          </w:p>
        </w:tc>
      </w:tr>
      <w:tr w14:paraId="092B1B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14:paraId="061FAA8D">
            <w:pPr>
              <w:keepNext w:val="0"/>
              <w:keepLines w:val="0"/>
              <w:pageBreakBefore w:val="0"/>
              <w:widowControl w:val="0"/>
              <w:kinsoku/>
              <w:wordWrap/>
              <w:overflowPunct/>
              <w:topLinePunct w:val="0"/>
              <w:bidi w:val="0"/>
              <w:adjustRightInd/>
              <w:snapToGrid w:val="0"/>
              <w:spacing w:line="400" w:lineRule="exact"/>
              <w:jc w:val="center"/>
              <w:rPr>
                <w:rFonts w:hint="eastAsia" w:ascii="宋体" w:hAnsi="宋体" w:eastAsia="宋体" w:cs="宋体"/>
                <w:color w:val="auto"/>
                <w:szCs w:val="21"/>
                <w:highlight w:val="none"/>
              </w:rPr>
            </w:pPr>
            <w:bookmarkStart w:id="23" w:name="OLE_LINK12" w:colFirst="1" w:colLast="1"/>
            <w:r>
              <w:rPr>
                <w:rFonts w:hint="eastAsia" w:ascii="宋体" w:hAnsi="宋体" w:eastAsia="宋体" w:cs="宋体"/>
                <w:color w:val="auto"/>
                <w:szCs w:val="21"/>
                <w:highlight w:val="none"/>
              </w:rPr>
              <w:t>7</w:t>
            </w:r>
          </w:p>
        </w:tc>
        <w:tc>
          <w:tcPr>
            <w:tcW w:w="8866" w:type="dxa"/>
            <w:tcBorders>
              <w:top w:val="single" w:color="auto" w:sz="4" w:space="0"/>
              <w:left w:val="single" w:color="auto" w:sz="4" w:space="0"/>
              <w:bottom w:val="single" w:color="auto" w:sz="4" w:space="0"/>
              <w:right w:val="single" w:color="auto" w:sz="4" w:space="0"/>
            </w:tcBorders>
            <w:vAlign w:val="center"/>
          </w:tcPr>
          <w:p w14:paraId="3C2CFD10">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开标时间及地点：</w:t>
            </w:r>
            <w:r>
              <w:rPr>
                <w:rFonts w:hint="eastAsia" w:ascii="宋体" w:hAnsi="宋体" w:eastAsia="宋体" w:cs="宋体"/>
                <w:color w:val="auto"/>
                <w:szCs w:val="21"/>
                <w:highlight w:val="none"/>
              </w:rPr>
              <w:t>详见采购公告</w:t>
            </w:r>
          </w:p>
        </w:tc>
      </w:tr>
      <w:tr w14:paraId="0A4A16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14:paraId="3B9C5B68">
            <w:pPr>
              <w:keepNext w:val="0"/>
              <w:keepLines w:val="0"/>
              <w:pageBreakBefore w:val="0"/>
              <w:widowControl w:val="0"/>
              <w:kinsoku/>
              <w:wordWrap/>
              <w:overflowPunct/>
              <w:topLinePunct w:val="0"/>
              <w:bidi w:val="0"/>
              <w:adjustRightInd/>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8866" w:type="dxa"/>
            <w:tcBorders>
              <w:top w:val="single" w:color="auto" w:sz="4" w:space="0"/>
              <w:left w:val="single" w:color="auto" w:sz="4" w:space="0"/>
              <w:bottom w:val="single" w:color="auto" w:sz="4" w:space="0"/>
              <w:right w:val="single" w:color="auto" w:sz="4" w:space="0"/>
            </w:tcBorders>
            <w:vAlign w:val="center"/>
          </w:tcPr>
          <w:p w14:paraId="466AD83C">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评标办法及评分标准：</w:t>
            </w:r>
            <w:r>
              <w:rPr>
                <w:rFonts w:hint="eastAsia" w:ascii="宋体" w:hAnsi="宋体" w:eastAsia="宋体" w:cs="宋体"/>
                <w:color w:val="auto"/>
                <w:szCs w:val="21"/>
                <w:highlight w:val="none"/>
              </w:rPr>
              <w:t>详见第四章。</w:t>
            </w:r>
          </w:p>
        </w:tc>
      </w:tr>
      <w:tr w14:paraId="3589F9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14:paraId="79839BD2">
            <w:pPr>
              <w:keepNext w:val="0"/>
              <w:keepLines w:val="0"/>
              <w:pageBreakBefore w:val="0"/>
              <w:widowControl w:val="0"/>
              <w:kinsoku/>
              <w:wordWrap/>
              <w:overflowPunct/>
              <w:topLinePunct w:val="0"/>
              <w:bidi w:val="0"/>
              <w:adjustRightInd/>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8866" w:type="dxa"/>
            <w:tcBorders>
              <w:top w:val="single" w:color="auto" w:sz="4" w:space="0"/>
              <w:left w:val="single" w:color="auto" w:sz="4" w:space="0"/>
              <w:bottom w:val="single" w:color="auto" w:sz="4" w:space="0"/>
              <w:right w:val="single" w:color="auto" w:sz="4" w:space="0"/>
            </w:tcBorders>
            <w:vAlign w:val="center"/>
          </w:tcPr>
          <w:p w14:paraId="04E74CF8">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中标结果公告：</w:t>
            </w:r>
            <w:r>
              <w:rPr>
                <w:rFonts w:hint="eastAsia" w:ascii="宋体" w:hAnsi="宋体" w:eastAsia="宋体" w:cs="宋体"/>
                <w:color w:val="auto"/>
                <w:szCs w:val="21"/>
                <w:highlight w:val="none"/>
              </w:rPr>
              <w:t>自中标、成交供应商确定之日起2个工作日内结果公告于浙江省政府采购网(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"http://www.zjzfcg.gov.cn/"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https://www.zcygov.cn/)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网站或媒体。中标公告期限为</w:t>
            </w:r>
            <w:bookmarkStart w:id="24" w:name="OLE_LINK11"/>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个工</w:t>
            </w:r>
            <w:bookmarkEnd w:id="24"/>
            <w:r>
              <w:rPr>
                <w:rFonts w:hint="eastAsia" w:ascii="宋体" w:hAnsi="宋体" w:eastAsia="宋体" w:cs="宋体"/>
                <w:color w:val="auto"/>
                <w:szCs w:val="21"/>
                <w:highlight w:val="none"/>
              </w:rPr>
              <w:t>作日，如有异议请在公示期间以书面形式向招标人提出。</w:t>
            </w:r>
          </w:p>
        </w:tc>
      </w:tr>
      <w:bookmarkEnd w:id="23"/>
      <w:tr w14:paraId="19933B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14:paraId="5A637EE0">
            <w:pPr>
              <w:keepNext w:val="0"/>
              <w:keepLines w:val="0"/>
              <w:pageBreakBefore w:val="0"/>
              <w:widowControl w:val="0"/>
              <w:kinsoku/>
              <w:wordWrap/>
              <w:overflowPunct/>
              <w:topLinePunct w:val="0"/>
              <w:bidi w:val="0"/>
              <w:adjustRightInd/>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8866" w:type="dxa"/>
            <w:tcBorders>
              <w:top w:val="single" w:color="auto" w:sz="4" w:space="0"/>
              <w:left w:val="single" w:color="auto" w:sz="4" w:space="0"/>
              <w:bottom w:val="single" w:color="auto" w:sz="4" w:space="0"/>
              <w:right w:val="single" w:color="auto" w:sz="4" w:space="0"/>
            </w:tcBorders>
            <w:vAlign w:val="center"/>
          </w:tcPr>
          <w:p w14:paraId="647C7DE3">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中标通知书</w:t>
            </w:r>
            <w:r>
              <w:rPr>
                <w:rFonts w:hint="eastAsia" w:ascii="宋体" w:hAnsi="宋体" w:eastAsia="宋体" w:cs="宋体"/>
                <w:b/>
                <w:bCs/>
                <w:color w:val="auto"/>
                <w:szCs w:val="21"/>
                <w:highlight w:val="none"/>
              </w:rPr>
              <w:t>：</w:t>
            </w:r>
            <w:r>
              <w:rPr>
                <w:rFonts w:hint="eastAsia" w:ascii="宋体" w:hAnsi="宋体" w:eastAsia="宋体" w:cs="宋体"/>
                <w:color w:val="auto"/>
                <w:szCs w:val="21"/>
                <w:highlight w:val="none"/>
              </w:rPr>
              <w:t>在公告中标结果的同时向中标人发出中标通知书。</w:t>
            </w:r>
          </w:p>
        </w:tc>
      </w:tr>
      <w:tr w14:paraId="60744A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14:paraId="098F3740">
            <w:pPr>
              <w:keepNext w:val="0"/>
              <w:keepLines w:val="0"/>
              <w:pageBreakBefore w:val="0"/>
              <w:widowControl w:val="0"/>
              <w:kinsoku/>
              <w:wordWrap/>
              <w:overflowPunct/>
              <w:topLinePunct w:val="0"/>
              <w:bidi w:val="0"/>
              <w:adjustRightInd/>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8866" w:type="dxa"/>
            <w:tcBorders>
              <w:top w:val="single" w:color="auto" w:sz="4" w:space="0"/>
              <w:left w:val="single" w:color="auto" w:sz="4" w:space="0"/>
              <w:bottom w:val="single" w:color="auto" w:sz="4" w:space="0"/>
              <w:right w:val="single" w:color="auto" w:sz="4" w:space="0"/>
            </w:tcBorders>
            <w:vAlign w:val="center"/>
          </w:tcPr>
          <w:p w14:paraId="4685905A">
            <w:pPr>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履约担保的形式</w:t>
            </w:r>
            <w:r>
              <w:rPr>
                <w:rFonts w:hint="eastAsia" w:ascii="宋体" w:hAnsi="宋体" w:eastAsia="宋体" w:cs="宋体"/>
                <w:color w:val="auto"/>
                <w:szCs w:val="21"/>
                <w:highlight w:val="none"/>
              </w:rPr>
              <w:t>：无</w:t>
            </w:r>
          </w:p>
          <w:p w14:paraId="28D91F21">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履约担保的金额</w:t>
            </w:r>
            <w:r>
              <w:rPr>
                <w:rFonts w:hint="eastAsia" w:ascii="宋体" w:hAnsi="宋体" w:eastAsia="宋体" w:cs="宋体"/>
                <w:color w:val="auto"/>
                <w:szCs w:val="21"/>
                <w:highlight w:val="none"/>
              </w:rPr>
              <w:t>：无</w:t>
            </w:r>
          </w:p>
        </w:tc>
      </w:tr>
      <w:tr w14:paraId="584E03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6"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14:paraId="6AFC4D5A">
            <w:pPr>
              <w:keepNext w:val="0"/>
              <w:keepLines w:val="0"/>
              <w:pageBreakBefore w:val="0"/>
              <w:widowControl w:val="0"/>
              <w:kinsoku/>
              <w:wordWrap/>
              <w:overflowPunct/>
              <w:topLinePunct w:val="0"/>
              <w:bidi w:val="0"/>
              <w:adjustRightInd/>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8866" w:type="dxa"/>
            <w:tcBorders>
              <w:top w:val="single" w:color="auto" w:sz="4" w:space="0"/>
              <w:left w:val="single" w:color="auto" w:sz="4" w:space="0"/>
              <w:bottom w:val="single" w:color="auto" w:sz="4" w:space="0"/>
              <w:right w:val="single" w:color="auto" w:sz="4" w:space="0"/>
            </w:tcBorders>
            <w:vAlign w:val="center"/>
          </w:tcPr>
          <w:p w14:paraId="4E6ED091">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hint="eastAsia" w:ascii="宋体" w:hAnsi="宋体" w:eastAsia="宋体" w:cs="宋体"/>
                <w:b/>
                <w:color w:val="auto"/>
                <w:kern w:val="0"/>
                <w:szCs w:val="21"/>
                <w:highlight w:val="none"/>
              </w:rPr>
            </w:pPr>
            <w:r>
              <w:rPr>
                <w:rFonts w:hint="eastAsia" w:ascii="宋体" w:hAnsi="宋体" w:eastAsia="宋体" w:cs="宋体"/>
                <w:b/>
                <w:color w:val="auto"/>
                <w:szCs w:val="21"/>
                <w:highlight w:val="none"/>
              </w:rPr>
              <w:t>信用记录：</w:t>
            </w:r>
            <w:r>
              <w:rPr>
                <w:rFonts w:hint="eastAsia" w:ascii="宋体" w:hAnsi="宋体" w:eastAsia="宋体" w:cs="宋体"/>
                <w:color w:val="auto"/>
                <w:szCs w:val="21"/>
                <w:highlight w:val="none"/>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14:paraId="6BD67B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6"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14:paraId="76D9912F">
            <w:pPr>
              <w:keepNext w:val="0"/>
              <w:keepLines w:val="0"/>
              <w:pageBreakBefore w:val="0"/>
              <w:widowControl w:val="0"/>
              <w:kinsoku/>
              <w:wordWrap/>
              <w:overflowPunct/>
              <w:topLinePunct w:val="0"/>
              <w:bidi w:val="0"/>
              <w:adjustRightInd/>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8866" w:type="dxa"/>
            <w:tcBorders>
              <w:top w:val="single" w:color="auto" w:sz="4" w:space="0"/>
              <w:left w:val="single" w:color="auto" w:sz="4" w:space="0"/>
              <w:bottom w:val="single" w:color="auto" w:sz="4" w:space="0"/>
              <w:right w:val="single" w:color="auto" w:sz="4" w:space="0"/>
            </w:tcBorders>
            <w:vAlign w:val="center"/>
          </w:tcPr>
          <w:p w14:paraId="5203AE77">
            <w:pPr>
              <w:keepNext w:val="0"/>
              <w:keepLines w:val="0"/>
              <w:pageBreakBefore w:val="0"/>
              <w:widowControl w:val="0"/>
              <w:kinsoku/>
              <w:wordWrap/>
              <w:overflowPunct/>
              <w:topLinePunct w:val="0"/>
              <w:bidi w:val="0"/>
              <w:adjustRightInd/>
              <w:spacing w:line="400" w:lineRule="exact"/>
              <w:outlineLvl w:val="1"/>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中小企业预留份额情况：</w:t>
            </w:r>
            <w:r>
              <w:rPr>
                <w:rFonts w:hint="eastAsia" w:ascii="宋体" w:hAnsi="宋体" w:eastAsia="宋体" w:cs="宋体"/>
                <w:color w:val="auto"/>
                <w:szCs w:val="21"/>
                <w:highlight w:val="none"/>
              </w:rPr>
              <w:t>根据《政府</w:t>
            </w:r>
            <w:bookmarkStart w:id="25" w:name="OLE_LINK14"/>
            <w:r>
              <w:rPr>
                <w:rFonts w:hint="eastAsia" w:ascii="宋体" w:hAnsi="宋体" w:eastAsia="宋体" w:cs="宋体"/>
                <w:color w:val="auto"/>
                <w:szCs w:val="21"/>
                <w:highlight w:val="none"/>
              </w:rPr>
              <w:t>采购促进中小企业发展管理办法》财库〔2020〕46号文件的规定，本项目是属于预留份额专门面向中小企业采购的项目；</w:t>
            </w:r>
          </w:p>
          <w:p w14:paraId="5B719C84">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政策说明：</w:t>
            </w:r>
          </w:p>
          <w:p w14:paraId="45797A1F">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（1）项目属性：服务类</w:t>
            </w:r>
          </w:p>
          <w:bookmarkEnd w:id="25"/>
          <w:p w14:paraId="1C4FE9C7">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（2）所属行业：其他未列明行业</w:t>
            </w:r>
          </w:p>
          <w:p w14:paraId="7980DA07">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（3）本项目已专门面向中小企业采购，评审时不再进行价格扣除。</w:t>
            </w:r>
          </w:p>
        </w:tc>
      </w:tr>
      <w:tr w14:paraId="63D54F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14:paraId="11067D52">
            <w:pPr>
              <w:keepNext w:val="0"/>
              <w:keepLines w:val="0"/>
              <w:pageBreakBefore w:val="0"/>
              <w:widowControl w:val="0"/>
              <w:kinsoku/>
              <w:wordWrap/>
              <w:overflowPunct/>
              <w:topLinePunct w:val="0"/>
              <w:bidi w:val="0"/>
              <w:adjustRightInd/>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8866" w:type="dxa"/>
            <w:tcBorders>
              <w:top w:val="single" w:color="auto" w:sz="4" w:space="0"/>
              <w:left w:val="single" w:color="auto" w:sz="4" w:space="0"/>
              <w:bottom w:val="single" w:color="auto" w:sz="4" w:space="0"/>
              <w:right w:val="single" w:color="auto" w:sz="4" w:space="0"/>
            </w:tcBorders>
            <w:vAlign w:val="center"/>
          </w:tcPr>
          <w:p w14:paraId="7FE904EA">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签订合同时间：</w:t>
            </w:r>
            <w:r>
              <w:rPr>
                <w:rFonts w:hint="eastAsia" w:ascii="宋体" w:hAnsi="宋体" w:eastAsia="宋体" w:cs="宋体"/>
                <w:color w:val="auto"/>
                <w:szCs w:val="21"/>
                <w:highlight w:val="none"/>
              </w:rPr>
              <w:t>中标通知书发出后30日内。</w:t>
            </w:r>
          </w:p>
        </w:tc>
      </w:tr>
      <w:tr w14:paraId="31FF2B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14:paraId="0A02D0D7">
            <w:pPr>
              <w:keepNext w:val="0"/>
              <w:keepLines w:val="0"/>
              <w:pageBreakBefore w:val="0"/>
              <w:widowControl w:val="0"/>
              <w:kinsoku/>
              <w:wordWrap/>
              <w:overflowPunct/>
              <w:topLinePunct w:val="0"/>
              <w:bidi w:val="0"/>
              <w:adjustRightInd/>
              <w:snapToGrid w:val="0"/>
              <w:spacing w:line="400" w:lineRule="exact"/>
              <w:jc w:val="center"/>
              <w:rPr>
                <w:rFonts w:hint="eastAsia" w:ascii="宋体" w:hAnsi="宋体" w:eastAsia="宋体" w:cs="宋体"/>
                <w:b/>
                <w:color w:val="auto"/>
                <w:kern w:val="0"/>
                <w:szCs w:val="21"/>
                <w:highlight w:val="none"/>
              </w:rPr>
            </w:pPr>
            <w:r>
              <w:rPr>
                <w:rFonts w:hint="eastAsia" w:ascii="宋体" w:hAnsi="宋体" w:eastAsia="宋体" w:cs="宋体"/>
                <w:color w:val="auto"/>
                <w:szCs w:val="21"/>
                <w:highlight w:val="none"/>
              </w:rPr>
              <w:t>15</w:t>
            </w:r>
          </w:p>
        </w:tc>
        <w:tc>
          <w:tcPr>
            <w:tcW w:w="8866" w:type="dxa"/>
            <w:tcBorders>
              <w:top w:val="single" w:color="auto" w:sz="4" w:space="0"/>
              <w:left w:val="single" w:color="auto" w:sz="4" w:space="0"/>
              <w:bottom w:val="single" w:color="auto" w:sz="4" w:space="0"/>
              <w:right w:val="single" w:color="auto" w:sz="4" w:space="0"/>
            </w:tcBorders>
            <w:vAlign w:val="center"/>
          </w:tcPr>
          <w:p w14:paraId="48354014">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投标文件有效期：</w:t>
            </w:r>
            <w:r>
              <w:rPr>
                <w:rFonts w:hint="eastAsia" w:ascii="宋体" w:hAnsi="宋体" w:eastAsia="宋体" w:cs="宋体"/>
                <w:color w:val="auto"/>
                <w:szCs w:val="21"/>
                <w:highlight w:val="none"/>
                <w:u w:val="single"/>
              </w:rPr>
              <w:t xml:space="preserve"> 90 </w:t>
            </w:r>
            <w:r>
              <w:rPr>
                <w:rFonts w:hint="eastAsia" w:ascii="宋体" w:hAnsi="宋体" w:eastAsia="宋体" w:cs="宋体"/>
                <w:color w:val="auto"/>
                <w:szCs w:val="21"/>
                <w:highlight w:val="none"/>
              </w:rPr>
              <w:t>天。</w:t>
            </w:r>
          </w:p>
        </w:tc>
      </w:tr>
      <w:tr w14:paraId="7299E6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14:paraId="650EEB8A">
            <w:pPr>
              <w:keepNext w:val="0"/>
              <w:keepLines w:val="0"/>
              <w:pageBreakBefore w:val="0"/>
              <w:widowControl w:val="0"/>
              <w:kinsoku/>
              <w:wordWrap/>
              <w:overflowPunct/>
              <w:topLinePunct w:val="0"/>
              <w:bidi w:val="0"/>
              <w:adjustRightInd/>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8866" w:type="dxa"/>
            <w:tcBorders>
              <w:top w:val="single" w:color="auto" w:sz="4" w:space="0"/>
              <w:left w:val="single" w:color="auto" w:sz="4" w:space="0"/>
              <w:bottom w:val="single" w:color="auto" w:sz="4" w:space="0"/>
              <w:right w:val="single" w:color="auto" w:sz="4" w:space="0"/>
            </w:tcBorders>
            <w:vAlign w:val="center"/>
          </w:tcPr>
          <w:p w14:paraId="5AEAD039">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招标代理费：</w:t>
            </w:r>
            <w:r>
              <w:rPr>
                <w:rFonts w:hint="eastAsia" w:ascii="宋体" w:hAnsi="宋体" w:eastAsia="宋体" w:cs="宋体"/>
                <w:b/>
                <w:color w:val="auto"/>
                <w:szCs w:val="21"/>
                <w:highlight w:val="none"/>
                <w:lang w:val="en-US" w:eastAsia="zh-CN"/>
              </w:rPr>
              <w:t>68</w:t>
            </w:r>
            <w:r>
              <w:rPr>
                <w:rFonts w:hint="eastAsia" w:ascii="宋体" w:hAnsi="宋体" w:eastAsia="宋体" w:cs="宋体"/>
                <w:b/>
                <w:color w:val="auto"/>
                <w:szCs w:val="21"/>
                <w:highlight w:val="none"/>
              </w:rPr>
              <w:t>00元，</w:t>
            </w:r>
            <w:r>
              <w:rPr>
                <w:rFonts w:hint="eastAsia" w:ascii="宋体" w:hAnsi="宋体" w:eastAsia="宋体" w:cs="宋体"/>
                <w:color w:val="auto"/>
                <w:szCs w:val="21"/>
                <w:highlight w:val="none"/>
              </w:rPr>
              <w:t>由中标单位在领取中标通知书的时候支付给招标代理公司。</w:t>
            </w:r>
            <w:r>
              <w:rPr>
                <w:rFonts w:hint="eastAsia" w:ascii="宋体" w:hAnsi="宋体" w:eastAsia="宋体" w:cs="宋体"/>
                <w:b/>
                <w:color w:val="auto"/>
                <w:szCs w:val="21"/>
                <w:highlight w:val="none"/>
              </w:rPr>
              <w:t xml:space="preserve">（报价无须单列） </w:t>
            </w:r>
          </w:p>
        </w:tc>
      </w:tr>
      <w:tr w14:paraId="197CAE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14:paraId="073FCB9B">
            <w:pPr>
              <w:keepNext w:val="0"/>
              <w:keepLines w:val="0"/>
              <w:pageBreakBefore w:val="0"/>
              <w:widowControl w:val="0"/>
              <w:kinsoku/>
              <w:wordWrap/>
              <w:overflowPunct/>
              <w:topLinePunct w:val="0"/>
              <w:bidi w:val="0"/>
              <w:adjustRightInd/>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w:t>
            </w:r>
          </w:p>
        </w:tc>
        <w:tc>
          <w:tcPr>
            <w:tcW w:w="8866" w:type="dxa"/>
            <w:tcBorders>
              <w:top w:val="single" w:color="auto" w:sz="4" w:space="0"/>
              <w:left w:val="single" w:color="auto" w:sz="4" w:space="0"/>
              <w:bottom w:val="single" w:color="auto" w:sz="4" w:space="0"/>
              <w:right w:val="single" w:color="auto" w:sz="4" w:space="0"/>
            </w:tcBorders>
            <w:vAlign w:val="center"/>
          </w:tcPr>
          <w:p w14:paraId="310EA3DE">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解释：</w:t>
            </w:r>
            <w:r>
              <w:rPr>
                <w:rFonts w:hint="eastAsia" w:ascii="宋体" w:hAnsi="宋体" w:eastAsia="宋体" w:cs="宋体"/>
                <w:color w:val="auto"/>
                <w:szCs w:val="21"/>
                <w:highlight w:val="none"/>
              </w:rPr>
              <w:t>本招标文件的解释权属于招标采购单位。</w:t>
            </w:r>
          </w:p>
        </w:tc>
      </w:tr>
      <w:tr w14:paraId="41B5CD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14:paraId="4851B387">
            <w:pPr>
              <w:keepNext w:val="0"/>
              <w:keepLines w:val="0"/>
              <w:pageBreakBefore w:val="0"/>
              <w:widowControl w:val="0"/>
              <w:kinsoku/>
              <w:wordWrap/>
              <w:overflowPunct/>
              <w:topLinePunct w:val="0"/>
              <w:bidi w:val="0"/>
              <w:adjustRightInd/>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p>
        </w:tc>
        <w:tc>
          <w:tcPr>
            <w:tcW w:w="8866" w:type="dxa"/>
            <w:tcBorders>
              <w:top w:val="single" w:color="auto" w:sz="4" w:space="0"/>
              <w:left w:val="single" w:color="auto" w:sz="4" w:space="0"/>
              <w:bottom w:val="single" w:color="auto" w:sz="4" w:space="0"/>
              <w:right w:val="single" w:color="auto" w:sz="4" w:space="0"/>
            </w:tcBorders>
            <w:vAlign w:val="center"/>
          </w:tcPr>
          <w:p w14:paraId="3BBA6B96">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b/>
                <w:color w:val="auto"/>
                <w:spacing w:val="-4"/>
                <w:sz w:val="18"/>
                <w:szCs w:val="21"/>
                <w:highlight w:val="none"/>
              </w:rPr>
            </w:pPr>
            <w:r>
              <w:rPr>
                <w:rFonts w:hint="eastAsia" w:ascii="宋体" w:hAnsi="宋体" w:eastAsia="宋体" w:cs="宋体"/>
                <w:color w:val="auto"/>
                <w:szCs w:val="21"/>
                <w:highlight w:val="none"/>
              </w:rPr>
              <w:t>开标当天投标人代表须携带有效居民身份证件。如投标人代表不是法定代表人，须有法定代表人出具的授权委托书（正本用原件，格式见第六章）。（法定代表人授权书格式见附件，开标当天单独递交或放入投标文件内均予以认可）</w:t>
            </w:r>
          </w:p>
        </w:tc>
      </w:tr>
    </w:tbl>
    <w:p w14:paraId="13654B8B">
      <w:pPr>
        <w:rPr>
          <w:rFonts w:hint="eastAsia" w:ascii="宋体" w:hAnsi="宋体" w:eastAsia="宋体" w:cs="宋体"/>
          <w:color w:val="auto"/>
          <w:szCs w:val="24"/>
          <w:highlight w:val="none"/>
        </w:rPr>
      </w:pPr>
    </w:p>
    <w:p w14:paraId="246EE56E">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0CDDD3E7">
      <w:pPr>
        <w:keepNext w:val="0"/>
        <w:keepLines w:val="0"/>
        <w:pageBreakBefore w:val="0"/>
        <w:kinsoku/>
        <w:wordWrap/>
        <w:overflowPunct/>
        <w:topLinePunct w:val="0"/>
        <w:bidi w:val="0"/>
        <w:snapToGrid w:val="0"/>
        <w:spacing w:before="120" w:after="120" w:line="400" w:lineRule="exact"/>
        <w:ind w:left="802" w:leftChars="267" w:hanging="241" w:hangingChars="100"/>
        <w:jc w:val="center"/>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一、总  则</w:t>
      </w:r>
    </w:p>
    <w:p w14:paraId="5CEC1FF4">
      <w:pPr>
        <w:keepNext w:val="0"/>
        <w:keepLines w:val="0"/>
        <w:pageBreakBefore w:val="0"/>
        <w:kinsoku/>
        <w:wordWrap/>
        <w:overflowPunct/>
        <w:topLinePunct w:val="0"/>
        <w:bidi w:val="0"/>
        <w:snapToGrid w:val="0"/>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 适用范围</w:t>
      </w:r>
    </w:p>
    <w:p w14:paraId="55B1680C">
      <w:pPr>
        <w:keepNext w:val="0"/>
        <w:keepLines w:val="0"/>
        <w:pageBreakBefore w:val="0"/>
        <w:kinsoku/>
        <w:wordWrap/>
        <w:overflowPunct/>
        <w:topLinePunct w:val="0"/>
        <w:bidi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本招标文件适用于本次所述项目的招标、评标、定标、验收、合同履约、付款等（法律、法规另有规定的，从其规定）。</w:t>
      </w:r>
    </w:p>
    <w:p w14:paraId="7565CC85">
      <w:pPr>
        <w:keepNext w:val="0"/>
        <w:keepLines w:val="0"/>
        <w:pageBreakBefore w:val="0"/>
        <w:numPr>
          <w:ilvl w:val="0"/>
          <w:numId w:val="6"/>
        </w:numPr>
        <w:kinsoku/>
        <w:wordWrap/>
        <w:overflowPunct/>
        <w:topLinePunct w:val="0"/>
        <w:bidi w:val="0"/>
        <w:snapToGrid w:val="0"/>
        <w:spacing w:line="400" w:lineRule="exact"/>
        <w:ind w:firstLine="422" w:firstLineChars="200"/>
        <w:rPr>
          <w:rFonts w:hint="eastAsia" w:ascii="宋体" w:hAnsi="宋体" w:eastAsia="宋体" w:cs="宋体"/>
          <w:color w:val="auto"/>
          <w:highlight w:val="none"/>
        </w:rPr>
      </w:pPr>
      <w:r>
        <w:rPr>
          <w:rFonts w:hint="eastAsia" w:ascii="宋体" w:hAnsi="宋体" w:eastAsia="宋体" w:cs="宋体"/>
          <w:b/>
          <w:color w:val="auto"/>
          <w:szCs w:val="21"/>
          <w:highlight w:val="none"/>
        </w:rPr>
        <w:t>定义</w:t>
      </w:r>
    </w:p>
    <w:p w14:paraId="538BBB8F">
      <w:pPr>
        <w:keepNext w:val="0"/>
        <w:keepLines w:val="0"/>
        <w:pageBreakBefore w:val="0"/>
        <w:kinsoku/>
        <w:wordWrap/>
        <w:overflowPunct/>
        <w:topLinePunct w:val="0"/>
        <w:bidi w:val="0"/>
        <w:snapToGrid w:val="0"/>
        <w:spacing w:line="400" w:lineRule="exact"/>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 采购单位：</w:t>
      </w:r>
      <w:r>
        <w:rPr>
          <w:rFonts w:hint="eastAsia" w:ascii="宋体" w:hAnsi="宋体" w:eastAsia="宋体" w:cs="宋体"/>
          <w:color w:val="auto"/>
          <w:szCs w:val="21"/>
          <w:highlight w:val="none"/>
          <w:u w:val="single"/>
          <w:lang w:val="en-US" w:eastAsia="zh-CN"/>
        </w:rPr>
        <w:t>平湖市住房和城乡建设局（项目业主单位）、平湖市水务投资(集团)有限公司（项目代建单位）</w:t>
      </w:r>
      <w:r>
        <w:rPr>
          <w:rFonts w:hint="eastAsia" w:ascii="宋体" w:hAnsi="宋体" w:eastAsia="宋体" w:cs="宋体"/>
          <w:b/>
          <w:color w:val="auto"/>
          <w:szCs w:val="21"/>
          <w:highlight w:val="none"/>
          <w:u w:val="single"/>
        </w:rPr>
        <w:t>。</w:t>
      </w:r>
    </w:p>
    <w:p w14:paraId="6E889859">
      <w:pPr>
        <w:keepNext w:val="0"/>
        <w:keepLines w:val="0"/>
        <w:pageBreakBefore w:val="0"/>
        <w:kinsoku/>
        <w:wordWrap/>
        <w:overflowPunct/>
        <w:topLinePunct w:val="0"/>
        <w:bidi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.“服务”系指招标文件规定投标人须承担的安装、调试、技术协助、校准、培训、技术指导以及其他类似的义务。</w:t>
      </w:r>
    </w:p>
    <w:p w14:paraId="414BE45C">
      <w:pPr>
        <w:keepNext w:val="0"/>
        <w:keepLines w:val="0"/>
        <w:pageBreakBefore w:val="0"/>
        <w:kinsoku/>
        <w:wordWrap/>
        <w:overflowPunct/>
        <w:topLinePunct w:val="0"/>
        <w:bidi w:val="0"/>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.“产品”系指供方按招标文件规定，须向采购人提供的一切设备、保险、税金、备品备件、工具、手册及其它有关技术资料和材料。</w:t>
      </w:r>
    </w:p>
    <w:p w14:paraId="65B103B4">
      <w:pPr>
        <w:keepNext w:val="0"/>
        <w:keepLines w:val="0"/>
        <w:pageBreakBefore w:val="0"/>
        <w:kinsoku/>
        <w:wordWrap/>
        <w:overflowPunct/>
        <w:topLinePunct w:val="0"/>
        <w:bidi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.“项目”系指投标人按招标文件规定向采购人提供的产品和服务。</w:t>
      </w:r>
    </w:p>
    <w:p w14:paraId="37959CF3">
      <w:pPr>
        <w:keepNext w:val="0"/>
        <w:keepLines w:val="0"/>
        <w:pageBreakBefore w:val="0"/>
        <w:kinsoku/>
        <w:wordWrap/>
        <w:overflowPunct/>
        <w:topLinePunct w:val="0"/>
        <w:bidi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.“书面形式”包括信函、传真、电子文档等。</w:t>
      </w:r>
    </w:p>
    <w:p w14:paraId="3017F182">
      <w:pPr>
        <w:keepNext w:val="0"/>
        <w:keepLines w:val="0"/>
        <w:pageBreakBefore w:val="0"/>
        <w:kinsoku/>
        <w:wordWrap/>
        <w:overflowPunct/>
        <w:topLinePunct w:val="0"/>
        <w:bidi w:val="0"/>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 xml:space="preserve">.“▲”系指实质性要求条款，不满足实质性要求条款的投标文件无效。 </w:t>
      </w:r>
    </w:p>
    <w:p w14:paraId="1C64C009">
      <w:pPr>
        <w:keepNext w:val="0"/>
        <w:keepLines w:val="0"/>
        <w:pageBreakBefore w:val="0"/>
        <w:kinsoku/>
        <w:wordWrap/>
        <w:overflowPunct/>
        <w:topLinePunct w:val="0"/>
        <w:bidi w:val="0"/>
        <w:snapToGrid w:val="0"/>
        <w:spacing w:line="400" w:lineRule="exact"/>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（三）招标方式</w:t>
      </w:r>
    </w:p>
    <w:p w14:paraId="75E348CE">
      <w:pPr>
        <w:keepNext w:val="0"/>
        <w:keepLines w:val="0"/>
        <w:pageBreakBefore w:val="0"/>
        <w:kinsoku/>
        <w:wordWrap/>
        <w:overflowPunct/>
        <w:topLinePunct w:val="0"/>
        <w:bidi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1.本次招标采用公开招标方式进行。</w:t>
      </w:r>
    </w:p>
    <w:p w14:paraId="7C085A60">
      <w:pPr>
        <w:keepNext w:val="0"/>
        <w:keepLines w:val="0"/>
        <w:pageBreakBefore w:val="0"/>
        <w:kinsoku/>
        <w:wordWrap/>
        <w:overflowPunct/>
        <w:topLinePunct w:val="0"/>
        <w:bidi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2.本次招标设定最高限价。</w:t>
      </w:r>
    </w:p>
    <w:p w14:paraId="2AF8ACEC">
      <w:pPr>
        <w:keepNext w:val="0"/>
        <w:keepLines w:val="0"/>
        <w:pageBreakBefore w:val="0"/>
        <w:kinsoku/>
        <w:wordWrap/>
        <w:overflowPunct/>
        <w:topLinePunct w:val="0"/>
        <w:bidi w:val="0"/>
        <w:snapToGrid w:val="0"/>
        <w:spacing w:line="400" w:lineRule="exact"/>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（四）投标委托</w:t>
      </w:r>
    </w:p>
    <w:p w14:paraId="185394CF">
      <w:pPr>
        <w:keepNext w:val="0"/>
        <w:keepLines w:val="0"/>
        <w:pageBreakBefore w:val="0"/>
        <w:kinsoku/>
        <w:wordWrap/>
        <w:overflowPunct/>
        <w:topLinePunct w:val="0"/>
        <w:bidi w:val="0"/>
        <w:snapToGrid w:val="0"/>
        <w:spacing w:line="400" w:lineRule="exact"/>
        <w:ind w:firstLine="404"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投标人代表须携带有效居民身份证件。如投标人代表不是法定代表人，须有法定代表人出具的授权委托书（正本用原件，格式见第六章）。</w:t>
      </w:r>
    </w:p>
    <w:p w14:paraId="48A3B645">
      <w:pPr>
        <w:keepNext w:val="0"/>
        <w:keepLines w:val="0"/>
        <w:pageBreakBefore w:val="0"/>
        <w:kinsoku/>
        <w:wordWrap/>
        <w:overflowPunct/>
        <w:topLinePunct w:val="0"/>
        <w:bidi w:val="0"/>
        <w:snapToGrid w:val="0"/>
        <w:spacing w:line="400" w:lineRule="exact"/>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（五）投标费用</w:t>
      </w:r>
    </w:p>
    <w:p w14:paraId="503055A7">
      <w:pPr>
        <w:keepNext w:val="0"/>
        <w:keepLines w:val="0"/>
        <w:pageBreakBefore w:val="0"/>
        <w:kinsoku/>
        <w:wordWrap/>
        <w:overflowPunct/>
        <w:topLinePunct w:val="0"/>
        <w:bidi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不论投标结果如何，投标人均应自行承担所有与投标有关的全部费用（招标文件有相关规定除外）。</w:t>
      </w:r>
    </w:p>
    <w:p w14:paraId="56553FA6">
      <w:pPr>
        <w:keepNext w:val="0"/>
        <w:keepLines w:val="0"/>
        <w:pageBreakBefore w:val="0"/>
        <w:kinsoku/>
        <w:wordWrap/>
        <w:overflowPunct/>
        <w:topLinePunct w:val="0"/>
        <w:bidi w:val="0"/>
        <w:snapToGrid w:val="0"/>
        <w:spacing w:line="400" w:lineRule="exact"/>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（六）联合体投标</w:t>
      </w:r>
    </w:p>
    <w:p w14:paraId="0F784404">
      <w:pPr>
        <w:keepNext w:val="0"/>
        <w:keepLines w:val="0"/>
        <w:pageBreakBefore w:val="0"/>
        <w:kinsoku/>
        <w:wordWrap/>
        <w:overflowPunct/>
        <w:topLinePunct w:val="0"/>
        <w:bidi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本项目不接受联合体投标。</w:t>
      </w:r>
    </w:p>
    <w:p w14:paraId="66E834BE">
      <w:pPr>
        <w:keepNext w:val="0"/>
        <w:keepLines w:val="0"/>
        <w:pageBreakBefore w:val="0"/>
        <w:kinsoku/>
        <w:wordWrap/>
        <w:overflowPunct/>
        <w:topLinePunct w:val="0"/>
        <w:bidi w:val="0"/>
        <w:snapToGrid w:val="0"/>
        <w:spacing w:line="400" w:lineRule="exact"/>
        <w:ind w:firstLine="413" w:firstLineChars="196"/>
        <w:rPr>
          <w:rFonts w:hint="eastAsia" w:ascii="宋体" w:hAnsi="宋体" w:eastAsia="宋体" w:cs="宋体"/>
          <w:b/>
          <w:color w:val="auto"/>
          <w:kern w:val="0"/>
          <w:szCs w:val="21"/>
          <w:highlight w:val="none"/>
        </w:rPr>
      </w:pPr>
      <w:r>
        <w:rPr>
          <w:rFonts w:hint="eastAsia" w:ascii="宋体" w:hAnsi="宋体" w:eastAsia="宋体" w:cs="宋体"/>
          <w:b/>
          <w:color w:val="auto"/>
          <w:szCs w:val="21"/>
          <w:highlight w:val="none"/>
        </w:rPr>
        <w:t>（七）</w:t>
      </w:r>
      <w:r>
        <w:rPr>
          <w:rFonts w:hint="eastAsia" w:ascii="宋体" w:hAnsi="宋体" w:eastAsia="宋体" w:cs="宋体"/>
          <w:b/>
          <w:color w:val="auto"/>
          <w:kern w:val="0"/>
          <w:szCs w:val="21"/>
          <w:highlight w:val="none"/>
        </w:rPr>
        <w:t>转包与分包</w:t>
      </w:r>
    </w:p>
    <w:p w14:paraId="0A86B4EA">
      <w:pPr>
        <w:keepNext w:val="0"/>
        <w:keepLines w:val="0"/>
        <w:pageBreakBefore w:val="0"/>
        <w:kinsoku/>
        <w:wordWrap/>
        <w:overflowPunct/>
        <w:topLinePunct w:val="0"/>
        <w:bidi w:val="0"/>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1.本项目不允许转包。</w:t>
      </w:r>
    </w:p>
    <w:p w14:paraId="1DB44E85">
      <w:pPr>
        <w:keepNext w:val="0"/>
        <w:keepLines w:val="0"/>
        <w:pageBreakBefore w:val="0"/>
        <w:kinsoku/>
        <w:wordWrap/>
        <w:overflowPunct/>
        <w:topLinePunct w:val="0"/>
        <w:bidi w:val="0"/>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2.本项目不可以分包。</w:t>
      </w:r>
    </w:p>
    <w:p w14:paraId="7F0CC87F">
      <w:pPr>
        <w:keepNext w:val="0"/>
        <w:keepLines w:val="0"/>
        <w:pageBreakBefore w:val="0"/>
        <w:kinsoku/>
        <w:wordWrap/>
        <w:overflowPunct/>
        <w:topLinePunct w:val="0"/>
        <w:bidi w:val="0"/>
        <w:snapToGrid w:val="0"/>
        <w:spacing w:line="400" w:lineRule="exact"/>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（八）是否允许采购进口产品</w:t>
      </w:r>
    </w:p>
    <w:p w14:paraId="4E0FEEEE">
      <w:pPr>
        <w:keepNext w:val="0"/>
        <w:keepLines w:val="0"/>
        <w:pageBreakBefore w:val="0"/>
        <w:kinsoku/>
        <w:wordWrap/>
        <w:overflowPunct/>
        <w:topLinePunct w:val="0"/>
        <w:bidi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本项目不允采购进口产品。</w:t>
      </w:r>
    </w:p>
    <w:p w14:paraId="1144AC74">
      <w:pPr>
        <w:keepNext w:val="0"/>
        <w:keepLines w:val="0"/>
        <w:pageBreakBefore w:val="0"/>
        <w:kinsoku/>
        <w:wordWrap/>
        <w:overflowPunct/>
        <w:topLinePunct w:val="0"/>
        <w:bidi w:val="0"/>
        <w:snapToGrid w:val="0"/>
        <w:spacing w:line="400" w:lineRule="exact"/>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（九）特别说明：</w:t>
      </w:r>
    </w:p>
    <w:p w14:paraId="7E434F59">
      <w:pPr>
        <w:keepNext w:val="0"/>
        <w:keepLines w:val="0"/>
        <w:pageBreakBefore w:val="0"/>
        <w:kinsoku/>
        <w:wordWrap/>
        <w:overflowPunct/>
        <w:topLinePunct w:val="0"/>
        <w:bidi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1.投标人投标所使用的资格、信誉、荣誉、业绩与企业认证必须为本法人所拥有。投标人投标所使用的采购项目实施人员必须为本法人员工。</w:t>
      </w:r>
    </w:p>
    <w:p w14:paraId="0C9EC528">
      <w:pPr>
        <w:keepNext w:val="0"/>
        <w:keepLines w:val="0"/>
        <w:pageBreakBefore w:val="0"/>
        <w:kinsoku/>
        <w:wordWrap/>
        <w:overflowPunct/>
        <w:topLinePunct w:val="0"/>
        <w:bidi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2.投标人应仔细阅读招标文件的所有内容，按照招标文件的要求提交投标文件，并对所提供的全部资料的真实性承担法律责任。</w:t>
      </w:r>
    </w:p>
    <w:p w14:paraId="60551282">
      <w:pPr>
        <w:keepNext w:val="0"/>
        <w:keepLines w:val="0"/>
        <w:pageBreakBefore w:val="0"/>
        <w:kinsoku/>
        <w:wordWrap/>
        <w:overflowPunct/>
        <w:topLinePunct w:val="0"/>
        <w:bidi w:val="0"/>
        <w:snapToGrid w:val="0"/>
        <w:spacing w:line="40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3.投标人在投标活动中提供任何虚假材料，其投标无效，并报监管部门查处；中标后发现的，根据《</w:t>
      </w:r>
      <w:r>
        <w:rPr>
          <w:rFonts w:hint="eastAsia" w:ascii="宋体" w:hAnsi="宋体" w:eastAsia="宋体" w:cs="宋体"/>
          <w:bCs/>
          <w:color w:val="auto"/>
          <w:kern w:val="0"/>
          <w:szCs w:val="21"/>
          <w:highlight w:val="none"/>
        </w:rPr>
        <w:t>浙江省政府采购供应商注册及诚信管理暂行办法的通知》规定进行处罚；</w:t>
      </w:r>
      <w:r>
        <w:rPr>
          <w:rFonts w:hint="eastAsia" w:ascii="宋体" w:hAnsi="宋体" w:eastAsia="宋体" w:cs="宋体"/>
          <w:color w:val="auto"/>
          <w:szCs w:val="21"/>
          <w:highlight w:val="none"/>
        </w:rPr>
        <w:t>还将依照《中华人民共和国消费者权益保护法》第49条之规定由中标人双倍赔偿采购人，且民事赔偿并不免除违法投标人的行政与刑事责任。</w:t>
      </w:r>
    </w:p>
    <w:p w14:paraId="445F00EB">
      <w:pPr>
        <w:keepNext w:val="0"/>
        <w:keepLines w:val="0"/>
        <w:pageBreakBefore w:val="0"/>
        <w:kinsoku/>
        <w:wordWrap/>
        <w:overflowPunct/>
        <w:topLinePunct w:val="0"/>
        <w:bidi w:val="0"/>
        <w:snapToGrid w:val="0"/>
        <w:spacing w:line="400" w:lineRule="exact"/>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（十）质疑</w:t>
      </w:r>
    </w:p>
    <w:p w14:paraId="71FA036D">
      <w:pPr>
        <w:keepNext w:val="0"/>
        <w:keepLines w:val="0"/>
        <w:pageBreakBefore w:val="0"/>
        <w:kinsoku/>
        <w:wordWrap/>
        <w:overflowPunct/>
        <w:topLinePunct w:val="0"/>
        <w:bidi w:val="0"/>
        <w:snapToGrid w:val="0"/>
        <w:spacing w:line="400" w:lineRule="exact"/>
        <w:ind w:firstLine="420" w:firstLineChars="200"/>
        <w:jc w:val="left"/>
        <w:rPr>
          <w:rFonts w:hint="eastAsia" w:ascii="宋体" w:hAnsi="宋体" w:eastAsia="宋体" w:cs="宋体"/>
          <w:b/>
          <w:color w:val="auto"/>
          <w:szCs w:val="21"/>
          <w:highlight w:val="none"/>
        </w:rPr>
      </w:pPr>
      <w:r>
        <w:rPr>
          <w:rFonts w:hint="eastAsia" w:ascii="宋体" w:hAnsi="宋体" w:eastAsia="宋体" w:cs="宋体"/>
          <w:color w:val="auto"/>
          <w:szCs w:val="24"/>
          <w:highlight w:val="none"/>
        </w:rPr>
        <w:t>根据《中华人民共和国政府采购法》、《中华人民共和国政府采购法实施条例》《财政部关于加强政府采购供应商投诉受理审查工作的通知》(财库〔2007〕1号)、《政府采购质疑和投诉办法》（第94号令）和《浙江省政府采购供应商质疑处理办法》（浙财采监[2012]18号）等规定，政府采购供应商可以依法提起质疑和投诉。</w:t>
      </w:r>
    </w:p>
    <w:p w14:paraId="67B09074">
      <w:pPr>
        <w:keepNext w:val="0"/>
        <w:keepLines w:val="0"/>
        <w:pageBreakBefore w:val="0"/>
        <w:kinsoku/>
        <w:wordWrap/>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1.供应商询问</w:t>
      </w:r>
    </w:p>
    <w:p w14:paraId="01BE8EC6">
      <w:pPr>
        <w:keepNext w:val="0"/>
        <w:keepLines w:val="0"/>
        <w:pageBreakBefore w:val="0"/>
        <w:kinsoku/>
        <w:wordWrap/>
        <w:overflowPunct/>
        <w:topLinePunct w:val="0"/>
        <w:bidi w:val="0"/>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供应商对政府采购活动事项有疑问的，可以向招标采购单位提出询问，招标采购单位应当及时做出答复，但答复的内容不得涉及商业秘密。</w:t>
      </w:r>
    </w:p>
    <w:p w14:paraId="46FE45BC">
      <w:pPr>
        <w:keepNext w:val="0"/>
        <w:keepLines w:val="0"/>
        <w:pageBreakBefore w:val="0"/>
        <w:kinsoku/>
        <w:wordWrap/>
        <w:overflowPunct/>
        <w:topLinePunct w:val="0"/>
        <w:bidi w:val="0"/>
        <w:snapToGrid w:val="0"/>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2.供应商质疑</w:t>
      </w:r>
    </w:p>
    <w:p w14:paraId="308B097B">
      <w:pPr>
        <w:keepNext w:val="0"/>
        <w:keepLines w:val="0"/>
        <w:pageBreakBefore w:val="0"/>
        <w:kinsoku/>
        <w:wordWrap/>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（1）供应商如认为招标文件使自身的合法权益受到损害的，应于采购公告期限届满之日起七个工作日内以书面形式向招标采购单位提出质疑，且必须在开标前提出并告知采购单位，逾期不予受理。</w:t>
      </w:r>
    </w:p>
    <w:p w14:paraId="0F328DD3">
      <w:pPr>
        <w:keepNext w:val="0"/>
        <w:keepLines w:val="0"/>
        <w:pageBreakBefore w:val="0"/>
        <w:kinsoku/>
        <w:wordWrap/>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（2）供应商如认为采购过程中和中标结果使自身的合法权益受到损害的，应于公告期限届</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三个工作日</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以书面形式向招标采购单位提出质疑。</w:t>
      </w:r>
    </w:p>
    <w:p w14:paraId="1570CDED">
      <w:pPr>
        <w:keepNext w:val="0"/>
        <w:keepLines w:val="0"/>
        <w:pageBreakBefore w:val="0"/>
        <w:kinsoku/>
        <w:wordWrap/>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（3）供应商提交的质疑书需</w:t>
      </w:r>
      <w:r>
        <w:rPr>
          <w:rFonts w:hint="eastAsia" w:ascii="宋体" w:hAnsi="宋体" w:eastAsia="宋体" w:cs="宋体"/>
          <w:b/>
          <w:color w:val="auto"/>
          <w:szCs w:val="21"/>
          <w:highlight w:val="none"/>
        </w:rPr>
        <w:t>一式三份</w:t>
      </w:r>
      <w:r>
        <w:rPr>
          <w:rFonts w:hint="eastAsia" w:ascii="宋体" w:hAnsi="宋体" w:eastAsia="宋体" w:cs="宋体"/>
          <w:color w:val="auto"/>
          <w:szCs w:val="21"/>
          <w:highlight w:val="none"/>
        </w:rPr>
        <w:t>，由法定代表人签字（或盖章）并加盖单位公章。质疑书至少应包括下列主要内容：①质疑人的名称、地址、邮政编码、联系人、联系电话以及被质疑人名称及联系方式；②被质疑采购项目名称、编号及采购内容；③具体的质疑事项及事实依据；④认为自己合法权益受到损害或可能受到损害的相关证明材料；⑤提出质疑的日期。</w:t>
      </w:r>
    </w:p>
    <w:p w14:paraId="70F96E23">
      <w:pPr>
        <w:keepNext w:val="0"/>
        <w:keepLines w:val="0"/>
        <w:pageBreakBefore w:val="0"/>
        <w:kinsoku/>
        <w:wordWrap/>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（4）招标采购单位应当在收到供应商的书面质疑后七个工作日内做出答复，并以书面形式通知质疑供应商和其他与质疑处理结果有利害关系的政府采购当事人，但答复的内容不得涉及商业秘密。</w:t>
      </w:r>
    </w:p>
    <w:p w14:paraId="1F3D05F6">
      <w:pPr>
        <w:keepNext w:val="0"/>
        <w:keepLines w:val="0"/>
        <w:pageBreakBefore w:val="0"/>
        <w:kinsoku/>
        <w:wordWrap/>
        <w:overflowPunct/>
        <w:topLinePunct w:val="0"/>
        <w:bidi w:val="0"/>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3.供应商质疑、投诉应当有明确的请求和必要的证明材料。 </w:t>
      </w:r>
    </w:p>
    <w:p w14:paraId="7195E4E5">
      <w:pPr>
        <w:keepNext w:val="0"/>
        <w:keepLines w:val="0"/>
        <w:pageBreakBefore w:val="0"/>
        <w:kinsoku/>
        <w:wordWrap/>
        <w:overflowPunct/>
        <w:topLinePunct w:val="0"/>
        <w:bidi w:val="0"/>
        <w:adjustRightInd w:val="0"/>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4.质疑受理地点：</w:t>
      </w:r>
      <w:r>
        <w:rPr>
          <w:rFonts w:hint="eastAsia" w:ascii="宋体" w:hAnsi="宋体" w:eastAsia="宋体" w:cs="宋体"/>
          <w:color w:val="auto"/>
          <w:kern w:val="0"/>
          <w:szCs w:val="21"/>
          <w:highlight w:val="none"/>
          <w:lang w:eastAsia="zh-CN"/>
        </w:rPr>
        <w:t>嘉兴市建新工程造价咨询事务所有限公司</w:t>
      </w:r>
      <w:r>
        <w:rPr>
          <w:rFonts w:hint="eastAsia" w:ascii="宋体" w:hAnsi="宋体" w:eastAsia="宋体" w:cs="宋体"/>
          <w:color w:val="auto"/>
          <w:szCs w:val="21"/>
          <w:highlight w:val="none"/>
        </w:rPr>
        <w:t>；联系人：</w:t>
      </w:r>
      <w:r>
        <w:rPr>
          <w:rFonts w:hint="eastAsia" w:ascii="宋体" w:hAnsi="宋体" w:eastAsia="宋体" w:cs="宋体"/>
          <w:color w:val="auto"/>
          <w:kern w:val="0"/>
          <w:szCs w:val="21"/>
          <w:highlight w:val="none"/>
          <w:lang w:val="en-US" w:eastAsia="zh-CN"/>
        </w:rPr>
        <w:t>周</w:t>
      </w:r>
      <w:r>
        <w:rPr>
          <w:rFonts w:hint="eastAsia" w:ascii="宋体" w:hAnsi="宋体" w:eastAsia="宋体" w:cs="宋体"/>
          <w:color w:val="auto"/>
          <w:kern w:val="0"/>
          <w:szCs w:val="21"/>
          <w:highlight w:val="none"/>
        </w:rPr>
        <w:t>女士</w:t>
      </w:r>
      <w:r>
        <w:rPr>
          <w:rFonts w:hint="eastAsia" w:ascii="宋体" w:hAnsi="宋体" w:eastAsia="宋体" w:cs="宋体"/>
          <w:color w:val="auto"/>
          <w:szCs w:val="21"/>
          <w:highlight w:val="none"/>
        </w:rPr>
        <w:t xml:space="preserve"> ；联系电话：</w:t>
      </w:r>
      <w:r>
        <w:rPr>
          <w:rFonts w:hint="eastAsia" w:ascii="宋体" w:hAnsi="宋体" w:eastAsia="宋体" w:cs="宋体"/>
          <w:bCs/>
          <w:color w:val="auto"/>
          <w:szCs w:val="21"/>
          <w:highlight w:val="none"/>
        </w:rPr>
        <w:t>0573-85073363</w:t>
      </w:r>
      <w:r>
        <w:rPr>
          <w:rFonts w:hint="eastAsia" w:ascii="宋体" w:hAnsi="宋体" w:eastAsia="宋体" w:cs="宋体"/>
          <w:color w:val="auto"/>
          <w:kern w:val="0"/>
          <w:szCs w:val="21"/>
          <w:highlight w:val="none"/>
        </w:rPr>
        <w:t xml:space="preserve">   </w:t>
      </w:r>
    </w:p>
    <w:p w14:paraId="2EDF94E8">
      <w:pPr>
        <w:keepNext w:val="0"/>
        <w:keepLines w:val="0"/>
        <w:pageBreakBefore w:val="0"/>
        <w:kinsoku/>
        <w:wordWrap/>
        <w:overflowPunct/>
        <w:topLinePunct w:val="0"/>
        <w:bidi w:val="0"/>
        <w:snapToGrid w:val="0"/>
        <w:spacing w:line="400" w:lineRule="exact"/>
        <w:ind w:left="211" w:hanging="211" w:hangingChars="10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二、招标文件</w:t>
      </w:r>
    </w:p>
    <w:p w14:paraId="0D107662">
      <w:pPr>
        <w:keepNext w:val="0"/>
        <w:keepLines w:val="0"/>
        <w:pageBreakBefore w:val="0"/>
        <w:kinsoku/>
        <w:wordWrap/>
        <w:overflowPunct/>
        <w:topLinePunct w:val="0"/>
        <w:bidi w:val="0"/>
        <w:snapToGrid w:val="0"/>
        <w:spacing w:line="400" w:lineRule="exact"/>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（一）招标文件的构成</w:t>
      </w:r>
    </w:p>
    <w:p w14:paraId="552A27D8">
      <w:pPr>
        <w:keepNext w:val="0"/>
        <w:keepLines w:val="0"/>
        <w:pageBreakBefore w:val="0"/>
        <w:kinsoku/>
        <w:wordWrap/>
        <w:overflowPunct/>
        <w:topLinePunct w:val="0"/>
        <w:bidi w:val="0"/>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招标文件由招标文件目录所列的全部内容及在招标过程中发出的修正和补充文件组成。</w:t>
      </w:r>
    </w:p>
    <w:p w14:paraId="3B5D4E59">
      <w:pPr>
        <w:keepNext w:val="0"/>
        <w:keepLines w:val="0"/>
        <w:pageBreakBefore w:val="0"/>
        <w:kinsoku/>
        <w:wordWrap/>
        <w:overflowPunct/>
        <w:topLinePunct w:val="0"/>
        <w:bidi w:val="0"/>
        <w:snapToGrid w:val="0"/>
        <w:spacing w:line="400" w:lineRule="exact"/>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（二）投标人的风险</w:t>
      </w:r>
    </w:p>
    <w:p w14:paraId="2673F89D">
      <w:pPr>
        <w:keepNext w:val="0"/>
        <w:keepLines w:val="0"/>
        <w:pageBreakBefore w:val="0"/>
        <w:kinsoku/>
        <w:wordWrap/>
        <w:overflowPunct/>
        <w:topLinePunct w:val="0"/>
        <w:bidi w:val="0"/>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投标人没有按照招标文件要求提供全部资料，或者投标人没有对招标文件在各方面做出实质性响应是投标人的风险，并可能导致其投标无效。</w:t>
      </w:r>
    </w:p>
    <w:p w14:paraId="44AEAAF8">
      <w:pPr>
        <w:keepNext w:val="0"/>
        <w:keepLines w:val="0"/>
        <w:pageBreakBefore w:val="0"/>
        <w:tabs>
          <w:tab w:val="left" w:pos="454"/>
          <w:tab w:val="left" w:pos="720"/>
          <w:tab w:val="left" w:pos="900"/>
        </w:tabs>
        <w:kinsoku/>
        <w:wordWrap/>
        <w:overflowPunct/>
        <w:topLinePunct w:val="0"/>
        <w:bidi w:val="0"/>
        <w:snapToGrid w:val="0"/>
        <w:spacing w:line="400" w:lineRule="exact"/>
        <w:ind w:firstLine="413" w:firstLineChars="196"/>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（三）招标文件的澄清与修改 </w:t>
      </w:r>
    </w:p>
    <w:p w14:paraId="32081E06">
      <w:pPr>
        <w:keepNext w:val="0"/>
        <w:keepLines w:val="0"/>
        <w:pageBreakBefore w:val="0"/>
        <w:kinsoku/>
        <w:wordWrap/>
        <w:overflowPunct/>
        <w:topLinePunct w:val="0"/>
        <w:bidi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bCs/>
          <w:color w:val="auto"/>
          <w:szCs w:val="21"/>
          <w:highlight w:val="none"/>
        </w:rPr>
        <w:t>投标人应认真阅读本招标文件，发现其中有误或有不合理要求的，投标人必须在规定时间内以书面形式要求招标采购单位澄清</w:t>
      </w:r>
      <w:r>
        <w:rPr>
          <w:rFonts w:hint="eastAsia" w:ascii="宋体" w:hAnsi="宋体" w:eastAsia="宋体" w:cs="宋体"/>
          <w:color w:val="auto"/>
          <w:szCs w:val="21"/>
          <w:highlight w:val="none"/>
        </w:rPr>
        <w:t>。采购单位对已发出的招标文件进行必要澄清、答复、修改或补充的，应当在招标文件要求提交投标文件截止时间十五日前，在财政部门指定的政府采购信息发布媒体上发布更正公告，请各投标人自行关注网站。</w:t>
      </w:r>
    </w:p>
    <w:p w14:paraId="60C8BB0E">
      <w:pPr>
        <w:keepNext w:val="0"/>
        <w:keepLines w:val="0"/>
        <w:pageBreakBefore w:val="0"/>
        <w:kinsoku/>
        <w:wordWrap/>
        <w:overflowPunct/>
        <w:topLinePunct w:val="0"/>
        <w:bidi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2.采购单位必须以书面形式答复投标人要求澄清的问题，并将不包含问题来源的答复书面通知所有获取招标文件的投标人；除书面答复以外的其他澄清方式及澄清内容均无效。</w:t>
      </w:r>
    </w:p>
    <w:p w14:paraId="56C2B17D">
      <w:pPr>
        <w:keepNext w:val="0"/>
        <w:keepLines w:val="0"/>
        <w:pageBreakBefore w:val="0"/>
        <w:kinsoku/>
        <w:wordWrap/>
        <w:overflowPunct/>
        <w:topLinePunct w:val="0"/>
        <w:bidi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3.招标文件澄清、答复、修改、补充的内容为招标文件的组成部分。当招标文件与招标文件的答复、澄清、修改、补充通知就同一内容的表述不一致时，以最后发出的书面文件为准。</w:t>
      </w:r>
    </w:p>
    <w:p w14:paraId="6B7B2557">
      <w:pPr>
        <w:keepNext w:val="0"/>
        <w:keepLines w:val="0"/>
        <w:pageBreakBefore w:val="0"/>
        <w:kinsoku/>
        <w:wordWrap/>
        <w:overflowPunct/>
        <w:topLinePunct w:val="0"/>
        <w:bidi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4.招标文件的澄清、答复、修改或补充都应该通过采购单位以法定形式发布，不得擅自澄清、答复、修改或补充招标文件。</w:t>
      </w:r>
    </w:p>
    <w:p w14:paraId="5903E3AB">
      <w:pPr>
        <w:keepNext w:val="0"/>
        <w:keepLines w:val="0"/>
        <w:pageBreakBefore w:val="0"/>
        <w:kinsoku/>
        <w:wordWrap/>
        <w:overflowPunct/>
        <w:topLinePunct w:val="0"/>
        <w:bidi w:val="0"/>
        <w:snapToGrid w:val="0"/>
        <w:spacing w:line="400" w:lineRule="exact"/>
        <w:ind w:firstLine="333" w:firstLineChars="158"/>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三、投标文件的编制（若供应商投标文件未按照第六章“投标文件格式”要求由法定代表人或委托代理人签名并加盖单位公章的，做无效标处理。）</w:t>
      </w:r>
    </w:p>
    <w:p w14:paraId="0DEA65ED">
      <w:pPr>
        <w:keepNext w:val="0"/>
        <w:keepLines w:val="0"/>
        <w:pageBreakBefore w:val="0"/>
        <w:kinsoku/>
        <w:wordWrap/>
        <w:overflowPunct/>
        <w:topLinePunct w:val="0"/>
        <w:bidi w:val="0"/>
        <w:snapToGrid w:val="0"/>
        <w:spacing w:line="400" w:lineRule="exact"/>
        <w:ind w:firstLine="413" w:firstLineChars="196"/>
        <w:jc w:val="left"/>
        <w:outlineLvl w:val="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（一）投标文件的组成</w:t>
      </w:r>
    </w:p>
    <w:p w14:paraId="0C9A1655">
      <w:pPr>
        <w:keepNext w:val="0"/>
        <w:keepLines w:val="0"/>
        <w:pageBreakBefore w:val="0"/>
        <w:kinsoku/>
        <w:wordWrap/>
        <w:overflowPunct/>
        <w:topLinePunct w:val="0"/>
        <w:bidi w:val="0"/>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 资信商务及技术文件：</w:t>
      </w:r>
    </w:p>
    <w:p w14:paraId="582A36F1">
      <w:pPr>
        <w:keepNext w:val="0"/>
        <w:keepLines w:val="0"/>
        <w:pageBreakBefore w:val="0"/>
        <w:kinsoku/>
        <w:wordWrap/>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1）投标声明书（格式见附件）；</w:t>
      </w:r>
    </w:p>
    <w:p w14:paraId="1BBC43C2">
      <w:pPr>
        <w:keepNext w:val="0"/>
        <w:keepLines w:val="0"/>
        <w:pageBreakBefore w:val="0"/>
        <w:kinsoku/>
        <w:wordWrap/>
        <w:overflowPunct/>
        <w:topLinePunct w:val="0"/>
        <w:bidi w:val="0"/>
        <w:spacing w:line="400" w:lineRule="exact"/>
        <w:ind w:firstLine="420" w:firstLineChars="200"/>
        <w:rPr>
          <w:rFonts w:hint="eastAsia" w:ascii="宋体" w:hAnsi="宋体" w:eastAsia="宋体" w:cs="宋体"/>
          <w:color w:val="auto"/>
          <w:kern w:val="0"/>
          <w:szCs w:val="21"/>
          <w:highlight w:val="none"/>
        </w:rPr>
      </w:pPr>
      <w:bookmarkStart w:id="26" w:name="_Toc7820"/>
      <w:r>
        <w:rPr>
          <w:rFonts w:hint="eastAsia" w:ascii="宋体" w:hAnsi="宋体" w:eastAsia="宋体" w:cs="宋体"/>
          <w:color w:val="auto"/>
          <w:kern w:val="0"/>
          <w:szCs w:val="21"/>
          <w:highlight w:val="none"/>
        </w:rPr>
        <w:t>2）法定代表人授权委托书、法定代表人及被授权人的身份证（复印件）</w:t>
      </w:r>
      <w:bookmarkEnd w:id="26"/>
    </w:p>
    <w:p w14:paraId="619B9D5E">
      <w:pPr>
        <w:keepNext w:val="0"/>
        <w:keepLines w:val="0"/>
        <w:pageBreakBefore w:val="0"/>
        <w:kinsoku/>
        <w:wordWrap/>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bCs/>
          <w:color w:val="auto"/>
          <w:szCs w:val="21"/>
          <w:highlight w:val="none"/>
        </w:rPr>
        <w:t>投标人基本情况介绍</w:t>
      </w:r>
      <w:r>
        <w:rPr>
          <w:rFonts w:hint="eastAsia" w:ascii="宋体" w:hAnsi="宋体" w:eastAsia="宋体" w:cs="宋体"/>
          <w:color w:val="auto"/>
          <w:szCs w:val="21"/>
          <w:highlight w:val="none"/>
        </w:rPr>
        <w:t>（格式见附件）</w:t>
      </w:r>
      <w:r>
        <w:rPr>
          <w:rFonts w:hint="eastAsia" w:ascii="宋体" w:hAnsi="宋体" w:eastAsia="宋体" w:cs="宋体"/>
          <w:bCs/>
          <w:color w:val="auto"/>
          <w:szCs w:val="21"/>
          <w:highlight w:val="none"/>
        </w:rPr>
        <w:t>；</w:t>
      </w:r>
    </w:p>
    <w:p w14:paraId="61802540">
      <w:pPr>
        <w:keepNext w:val="0"/>
        <w:keepLines w:val="0"/>
        <w:pageBreakBefore w:val="0"/>
        <w:kinsoku/>
        <w:wordWrap/>
        <w:overflowPunct/>
        <w:topLinePunct w:val="0"/>
        <w:autoSpaceDE w:val="0"/>
        <w:autoSpaceDN w:val="0"/>
        <w:bidi w:val="0"/>
        <w:adjustRightInd w:val="0"/>
        <w:snapToGrid w:val="0"/>
        <w:spacing w:line="400" w:lineRule="exact"/>
        <w:ind w:firstLine="422" w:firstLineChars="200"/>
        <w:textAlignment w:val="bottom"/>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4）.基本资格条件证明材料：</w:t>
      </w:r>
    </w:p>
    <w:p w14:paraId="125CCB32">
      <w:pPr>
        <w:keepNext w:val="0"/>
        <w:keepLines w:val="0"/>
        <w:pageBreakBefore w:val="0"/>
        <w:kinsoku/>
        <w:wordWrap/>
        <w:overflowPunct/>
        <w:topLinePunct w:val="0"/>
        <w:autoSpaceDE w:val="0"/>
        <w:autoSpaceDN w:val="0"/>
        <w:bidi w:val="0"/>
        <w:adjustRightInd w:val="0"/>
        <w:snapToGrid w:val="0"/>
        <w:spacing w:line="400" w:lineRule="exact"/>
        <w:ind w:firstLine="422" w:firstLineChars="200"/>
        <w:textAlignment w:val="bottom"/>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（以下a~e项是基本资格条件对应证明材料的具体内容，各供应商须在响应文件中出具对应证明材料，其中b~e只需提供“承诺函”（格式见附件））</w:t>
      </w:r>
    </w:p>
    <w:p w14:paraId="463A2B1D">
      <w:pPr>
        <w:keepNext w:val="0"/>
        <w:keepLines w:val="0"/>
        <w:pageBreakBefore w:val="0"/>
        <w:kinsoku/>
        <w:wordWrap/>
        <w:overflowPunct/>
        <w:topLinePunct w:val="0"/>
        <w:autoSpaceDE w:val="0"/>
        <w:autoSpaceDN w:val="0"/>
        <w:bidi w:val="0"/>
        <w:adjustRightInd w:val="0"/>
        <w:snapToGrid w:val="0"/>
        <w:spacing w:line="400" w:lineRule="exact"/>
        <w:ind w:firstLine="210" w:firstLineChars="100"/>
        <w:textAlignment w:val="bottom"/>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a.具有独立承担民事责任的能力：</w:t>
      </w:r>
    </w:p>
    <w:p w14:paraId="28D23CF7">
      <w:pPr>
        <w:keepNext w:val="0"/>
        <w:keepLines w:val="0"/>
        <w:pageBreakBefore w:val="0"/>
        <w:kinsoku/>
        <w:wordWrap/>
        <w:overflowPunct/>
        <w:topLinePunct w:val="0"/>
        <w:autoSpaceDE w:val="0"/>
        <w:autoSpaceDN w:val="0"/>
        <w:bidi w:val="0"/>
        <w:adjustRightInd w:val="0"/>
        <w:snapToGrid w:val="0"/>
        <w:spacing w:line="400" w:lineRule="exact"/>
        <w:ind w:firstLine="210" w:firstLineChars="100"/>
        <w:textAlignment w:val="bottom"/>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供应商须在响应文件中出具符合以下情况的证明材料复印件（五选一）：</w:t>
      </w:r>
    </w:p>
    <w:p w14:paraId="309C5EDF">
      <w:pPr>
        <w:keepNext w:val="0"/>
        <w:keepLines w:val="0"/>
        <w:pageBreakBefore w:val="0"/>
        <w:kinsoku/>
        <w:wordWrap/>
        <w:overflowPunct/>
        <w:topLinePunct w:val="0"/>
        <w:autoSpaceDE w:val="0"/>
        <w:autoSpaceDN w:val="0"/>
        <w:bidi w:val="0"/>
        <w:adjustRightInd w:val="0"/>
        <w:snapToGrid w:val="0"/>
        <w:spacing w:line="400" w:lineRule="exact"/>
        <w:ind w:firstLine="210" w:firstLineChars="100"/>
        <w:textAlignment w:val="bottom"/>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①如供应商是企业（包括合伙企业），提供在工商部门注册的有效“企业法人营业执照”或“营业执照”；</w:t>
      </w:r>
    </w:p>
    <w:p w14:paraId="3174F205">
      <w:pPr>
        <w:keepNext w:val="0"/>
        <w:keepLines w:val="0"/>
        <w:pageBreakBefore w:val="0"/>
        <w:kinsoku/>
        <w:wordWrap/>
        <w:overflowPunct/>
        <w:topLinePunct w:val="0"/>
        <w:autoSpaceDE w:val="0"/>
        <w:autoSpaceDN w:val="0"/>
        <w:bidi w:val="0"/>
        <w:adjustRightInd w:val="0"/>
        <w:snapToGrid w:val="0"/>
        <w:spacing w:line="400" w:lineRule="exact"/>
        <w:ind w:firstLine="210" w:firstLineChars="100"/>
        <w:textAlignment w:val="bottom"/>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②如供应商是事业单位，提供有效的“事业单位法人证书”；</w:t>
      </w:r>
    </w:p>
    <w:p w14:paraId="27009D0B">
      <w:pPr>
        <w:keepNext w:val="0"/>
        <w:keepLines w:val="0"/>
        <w:pageBreakBefore w:val="0"/>
        <w:kinsoku/>
        <w:wordWrap/>
        <w:overflowPunct/>
        <w:topLinePunct w:val="0"/>
        <w:autoSpaceDE w:val="0"/>
        <w:autoSpaceDN w:val="0"/>
        <w:bidi w:val="0"/>
        <w:adjustRightInd w:val="0"/>
        <w:snapToGrid w:val="0"/>
        <w:spacing w:line="400" w:lineRule="exact"/>
        <w:ind w:firstLine="210" w:firstLineChars="100"/>
        <w:textAlignment w:val="bottom"/>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③如供应商是非企业专业服务机构的，提供执业许可证等证明文件；</w:t>
      </w:r>
    </w:p>
    <w:p w14:paraId="3D683046">
      <w:pPr>
        <w:keepNext w:val="0"/>
        <w:keepLines w:val="0"/>
        <w:pageBreakBefore w:val="0"/>
        <w:kinsoku/>
        <w:wordWrap/>
        <w:overflowPunct/>
        <w:topLinePunct w:val="0"/>
        <w:autoSpaceDE w:val="0"/>
        <w:autoSpaceDN w:val="0"/>
        <w:bidi w:val="0"/>
        <w:adjustRightInd w:val="0"/>
        <w:snapToGrid w:val="0"/>
        <w:spacing w:line="400" w:lineRule="exact"/>
        <w:ind w:firstLine="210" w:firstLineChars="100"/>
        <w:textAlignment w:val="bottom"/>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④如供应商是个体工商户，提供有效的“个体工商户营业执照”；</w:t>
      </w:r>
    </w:p>
    <w:p w14:paraId="0CAA7E29">
      <w:pPr>
        <w:keepNext w:val="0"/>
        <w:keepLines w:val="0"/>
        <w:pageBreakBefore w:val="0"/>
        <w:kinsoku/>
        <w:wordWrap/>
        <w:overflowPunct/>
        <w:topLinePunct w:val="0"/>
        <w:autoSpaceDE w:val="0"/>
        <w:autoSpaceDN w:val="0"/>
        <w:bidi w:val="0"/>
        <w:adjustRightInd w:val="0"/>
        <w:snapToGrid w:val="0"/>
        <w:spacing w:line="400" w:lineRule="exact"/>
        <w:ind w:firstLine="210" w:firstLineChars="100"/>
        <w:textAlignment w:val="bottom"/>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⑤如供应商是自然人，提供有效的自然人身份证明（居民身份证正反面或公安机关出具的临时居民身份证正反面或港澳台胞证或护照）。</w:t>
      </w:r>
    </w:p>
    <w:p w14:paraId="00CAEE46">
      <w:pPr>
        <w:keepNext w:val="0"/>
        <w:keepLines w:val="0"/>
        <w:pageBreakBefore w:val="0"/>
        <w:kinsoku/>
        <w:wordWrap/>
        <w:overflowPunct/>
        <w:topLinePunct w:val="0"/>
        <w:autoSpaceDE w:val="0"/>
        <w:autoSpaceDN w:val="0"/>
        <w:bidi w:val="0"/>
        <w:adjustRightInd w:val="0"/>
        <w:snapToGrid w:val="0"/>
        <w:spacing w:line="400" w:lineRule="exact"/>
        <w:ind w:firstLine="210" w:firstLineChars="100"/>
        <w:jc w:val="left"/>
        <w:textAlignment w:val="bottom"/>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b.具有良好的商业信誉和健全的财务会计制度；</w:t>
      </w:r>
    </w:p>
    <w:p w14:paraId="7EF1D801">
      <w:pPr>
        <w:keepNext w:val="0"/>
        <w:keepLines w:val="0"/>
        <w:pageBreakBefore w:val="0"/>
        <w:kinsoku/>
        <w:wordWrap/>
        <w:overflowPunct/>
        <w:topLinePunct w:val="0"/>
        <w:autoSpaceDE w:val="0"/>
        <w:autoSpaceDN w:val="0"/>
        <w:bidi w:val="0"/>
        <w:adjustRightInd w:val="0"/>
        <w:snapToGrid w:val="0"/>
        <w:spacing w:line="400" w:lineRule="exact"/>
        <w:ind w:firstLine="210" w:firstLineChars="100"/>
        <w:jc w:val="left"/>
        <w:textAlignment w:val="bottom"/>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c.具有履行合同所必需的设备和专业技术能力；</w:t>
      </w:r>
    </w:p>
    <w:p w14:paraId="09A58C96">
      <w:pPr>
        <w:keepNext w:val="0"/>
        <w:keepLines w:val="0"/>
        <w:pageBreakBefore w:val="0"/>
        <w:kinsoku/>
        <w:wordWrap/>
        <w:overflowPunct/>
        <w:topLinePunct w:val="0"/>
        <w:autoSpaceDE w:val="0"/>
        <w:autoSpaceDN w:val="0"/>
        <w:bidi w:val="0"/>
        <w:adjustRightInd w:val="0"/>
        <w:snapToGrid w:val="0"/>
        <w:spacing w:line="400" w:lineRule="exact"/>
        <w:ind w:firstLine="210" w:firstLineChars="100"/>
        <w:jc w:val="left"/>
        <w:textAlignment w:val="bottom"/>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d.有依法缴纳税收和社会保障资金的良好记录；</w:t>
      </w:r>
    </w:p>
    <w:p w14:paraId="7C1C6F60">
      <w:pPr>
        <w:keepNext w:val="0"/>
        <w:keepLines w:val="0"/>
        <w:pageBreakBefore w:val="0"/>
        <w:kinsoku/>
        <w:wordWrap/>
        <w:overflowPunct/>
        <w:topLinePunct w:val="0"/>
        <w:autoSpaceDE w:val="0"/>
        <w:autoSpaceDN w:val="0"/>
        <w:bidi w:val="0"/>
        <w:adjustRightInd w:val="0"/>
        <w:snapToGrid w:val="0"/>
        <w:spacing w:line="400" w:lineRule="exact"/>
        <w:ind w:firstLine="210" w:firstLineChars="100"/>
        <w:textAlignment w:val="bottom"/>
        <w:rPr>
          <w:rFonts w:hint="eastAsia" w:ascii="宋体" w:hAnsi="宋体" w:eastAsia="宋体" w:cs="宋体"/>
          <w:bCs/>
          <w:color w:val="auto"/>
          <w:szCs w:val="21"/>
          <w:highlight w:val="none"/>
        </w:rPr>
      </w:pPr>
      <w:r>
        <w:rPr>
          <w:rFonts w:hint="eastAsia" w:ascii="宋体" w:hAnsi="宋体" w:eastAsia="宋体" w:cs="宋体"/>
          <w:b w:val="0"/>
          <w:bCs/>
          <w:color w:val="auto"/>
          <w:szCs w:val="21"/>
          <w:highlight w:val="none"/>
        </w:rPr>
        <w:t>e.参加政府采购活动前三年内，在经营活动中没有重大违法记录。</w:t>
      </w:r>
    </w:p>
    <w:p w14:paraId="3F99724B">
      <w:pPr>
        <w:keepNext w:val="0"/>
        <w:keepLines w:val="0"/>
        <w:pageBreakBefore w:val="0"/>
        <w:kinsoku/>
        <w:wordWrap/>
        <w:overflowPunct/>
        <w:topLinePunct w:val="0"/>
        <w:autoSpaceDE w:val="0"/>
        <w:autoSpaceDN w:val="0"/>
        <w:bidi w:val="0"/>
        <w:adjustRightInd w:val="0"/>
        <w:snapToGrid w:val="0"/>
        <w:spacing w:line="400" w:lineRule="exact"/>
        <w:ind w:firstLine="422" w:firstLineChars="200"/>
        <w:textAlignment w:val="bottom"/>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5)落实政策要求的相关证明材料（中小企业声明函；或供应商为监狱企业的证明文件：省级以上监狱管理局、戒毒管理局（含新疆生产建设兵团）出具；或供应商符合《财政部、民政部、中国残疾人联合会关于促进残疾人就业政府采购政策的通知》（财库〔2017〕141 号）政策规定的，须提供《残疾人福利性单位声明函》）。 </w:t>
      </w:r>
    </w:p>
    <w:p w14:paraId="4DEDFFB5">
      <w:pPr>
        <w:keepNext w:val="0"/>
        <w:keepLines w:val="0"/>
        <w:pageBreakBefore w:val="0"/>
        <w:kinsoku/>
        <w:wordWrap/>
        <w:overflowPunct/>
        <w:topLinePunct w:val="0"/>
        <w:bidi w:val="0"/>
        <w:snapToGrid w:val="0"/>
        <w:spacing w:line="400" w:lineRule="exact"/>
        <w:ind w:firstLine="413" w:firstLineChars="196"/>
        <w:rPr>
          <w:rFonts w:hint="eastAsia" w:ascii="宋体" w:hAnsi="宋体" w:eastAsia="宋体" w:cs="宋体"/>
          <w:color w:val="auto"/>
          <w:szCs w:val="24"/>
          <w:highlight w:val="none"/>
        </w:rPr>
      </w:pPr>
      <w:r>
        <w:rPr>
          <w:rFonts w:hint="eastAsia" w:ascii="宋体" w:hAnsi="宋体" w:eastAsia="宋体" w:cs="宋体"/>
          <w:b/>
          <w:bCs/>
          <w:color w:val="auto"/>
          <w:szCs w:val="21"/>
          <w:highlight w:val="none"/>
        </w:rPr>
        <w:t>6）特定资格要求:详见公告</w:t>
      </w:r>
    </w:p>
    <w:p w14:paraId="7B28D9BA">
      <w:pPr>
        <w:keepNext w:val="0"/>
        <w:keepLines w:val="0"/>
        <w:pageBreakBefore w:val="0"/>
        <w:kinsoku/>
        <w:wordWrap/>
        <w:overflowPunct/>
        <w:topLinePunct w:val="0"/>
        <w:bidi w:val="0"/>
        <w:spacing w:line="400" w:lineRule="exact"/>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rPr>
        <w:t>7</w:t>
      </w:r>
      <w:r>
        <w:rPr>
          <w:rFonts w:hint="eastAsia" w:ascii="宋体" w:hAnsi="宋体" w:eastAsia="宋体" w:cs="宋体"/>
          <w:color w:val="auto"/>
          <w:kern w:val="0"/>
          <w:szCs w:val="21"/>
          <w:highlight w:val="none"/>
          <w:lang w:val="zh-CN"/>
        </w:rPr>
        <w:t xml:space="preserve">）同类项目业绩 </w:t>
      </w:r>
    </w:p>
    <w:p w14:paraId="6320BA85">
      <w:pPr>
        <w:keepNext w:val="0"/>
        <w:keepLines w:val="0"/>
        <w:pageBreakBefore w:val="0"/>
        <w:kinsoku/>
        <w:wordWrap/>
        <w:overflowPunct/>
        <w:topLinePunct w:val="0"/>
        <w:bidi w:val="0"/>
        <w:spacing w:line="400" w:lineRule="exact"/>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rPr>
        <w:t>8</w:t>
      </w:r>
      <w:r>
        <w:rPr>
          <w:rFonts w:hint="eastAsia" w:ascii="宋体" w:hAnsi="宋体" w:eastAsia="宋体" w:cs="宋体"/>
          <w:color w:val="auto"/>
          <w:kern w:val="0"/>
          <w:szCs w:val="21"/>
          <w:highlight w:val="none"/>
          <w:lang w:val="zh-CN"/>
        </w:rPr>
        <w:t>）廉政承诺书（格式见附件）；</w:t>
      </w:r>
    </w:p>
    <w:p w14:paraId="2BF12C9B">
      <w:pPr>
        <w:keepNext w:val="0"/>
        <w:keepLines w:val="0"/>
        <w:pageBreakBefore w:val="0"/>
        <w:kinsoku/>
        <w:wordWrap/>
        <w:overflowPunct/>
        <w:topLinePunct w:val="0"/>
        <w:bidi w:val="0"/>
        <w:spacing w:line="400" w:lineRule="exact"/>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kern w:val="24"/>
          <w:szCs w:val="21"/>
          <w:highlight w:val="none"/>
        </w:rPr>
        <w:t>9）</w:t>
      </w:r>
      <w:r>
        <w:rPr>
          <w:rFonts w:hint="eastAsia" w:ascii="宋体" w:hAnsi="宋体" w:eastAsia="宋体" w:cs="宋体"/>
          <w:color w:val="auto"/>
          <w:kern w:val="0"/>
          <w:szCs w:val="21"/>
          <w:highlight w:val="none"/>
          <w:lang w:val="zh-CN"/>
        </w:rPr>
        <w:t>关于对资信及商务文件中有关条款的拒绝声明（如果有）</w:t>
      </w:r>
      <w:r>
        <w:rPr>
          <w:rFonts w:hint="eastAsia" w:ascii="宋体" w:hAnsi="宋体" w:eastAsia="宋体" w:cs="宋体"/>
          <w:color w:val="auto"/>
          <w:szCs w:val="21"/>
          <w:highlight w:val="none"/>
          <w:lang w:val="zh-CN"/>
        </w:rPr>
        <w:t>；</w:t>
      </w:r>
    </w:p>
    <w:p w14:paraId="046DB6AF">
      <w:pPr>
        <w:keepNext w:val="0"/>
        <w:keepLines w:val="0"/>
        <w:pageBreakBefore w:val="0"/>
        <w:kinsoku/>
        <w:wordWrap/>
        <w:overflowPunct/>
        <w:topLinePunct w:val="0"/>
        <w:bidi w:val="0"/>
        <w:spacing w:line="400" w:lineRule="exact"/>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rPr>
        <w:t>10）</w:t>
      </w:r>
      <w:r>
        <w:rPr>
          <w:rFonts w:hint="eastAsia" w:ascii="宋体" w:hAnsi="宋体" w:eastAsia="宋体" w:cs="宋体"/>
          <w:color w:val="auto"/>
          <w:kern w:val="0"/>
          <w:szCs w:val="21"/>
          <w:highlight w:val="none"/>
          <w:lang w:val="zh-CN"/>
        </w:rPr>
        <w:t>投标人认为需要的其他</w:t>
      </w:r>
      <w:r>
        <w:rPr>
          <w:rFonts w:hint="eastAsia" w:ascii="宋体" w:hAnsi="宋体" w:eastAsia="宋体" w:cs="宋体"/>
          <w:color w:val="auto"/>
          <w:szCs w:val="21"/>
          <w:highlight w:val="none"/>
        </w:rPr>
        <w:t>资信及商务文件</w:t>
      </w:r>
      <w:r>
        <w:rPr>
          <w:rFonts w:hint="eastAsia" w:ascii="宋体" w:hAnsi="宋体" w:eastAsia="宋体" w:cs="宋体"/>
          <w:color w:val="auto"/>
          <w:kern w:val="0"/>
          <w:szCs w:val="21"/>
          <w:highlight w:val="none"/>
          <w:lang w:val="zh-CN"/>
        </w:rPr>
        <w:t>或说明。</w:t>
      </w:r>
    </w:p>
    <w:p w14:paraId="3E481B25">
      <w:pPr>
        <w:keepNext w:val="0"/>
        <w:keepLines w:val="0"/>
        <w:pageBreakBefore w:val="0"/>
        <w:kinsoku/>
        <w:wordWrap/>
        <w:overflowPunct/>
        <w:topLinePunct w:val="0"/>
        <w:bidi w:val="0"/>
        <w:snapToGrid w:val="0"/>
        <w:spacing w:line="400" w:lineRule="exact"/>
        <w:ind w:firstLine="413" w:firstLineChars="196"/>
        <w:jc w:val="left"/>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（2）</w:t>
      </w:r>
      <w:r>
        <w:rPr>
          <w:rFonts w:hint="eastAsia" w:ascii="宋体" w:hAnsi="宋体" w:eastAsia="宋体" w:cs="宋体"/>
          <w:b/>
          <w:bCs/>
          <w:color w:val="auto"/>
          <w:szCs w:val="21"/>
          <w:highlight w:val="none"/>
        </w:rPr>
        <w:t>技术文件：</w:t>
      </w:r>
    </w:p>
    <w:p w14:paraId="39886D8C">
      <w:pPr>
        <w:keepNext w:val="0"/>
        <w:keepLines w:val="0"/>
        <w:pageBreakBefore w:val="0"/>
        <w:kinsoku/>
        <w:wordWrap/>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1）对本项目要求的总体理解；</w:t>
      </w:r>
    </w:p>
    <w:p w14:paraId="2E29AAF6">
      <w:pPr>
        <w:keepNext w:val="0"/>
        <w:keepLines w:val="0"/>
        <w:pageBreakBefore w:val="0"/>
        <w:kinsoku/>
        <w:wordWrap/>
        <w:overflowPunct/>
        <w:topLinePunct w:val="0"/>
        <w:bidi w:val="0"/>
        <w:spacing w:line="400" w:lineRule="exact"/>
        <w:ind w:firstLine="407" w:firstLineChars="194"/>
        <w:rPr>
          <w:rFonts w:hint="eastAsia" w:ascii="宋体" w:hAnsi="宋体" w:eastAsia="宋体" w:cs="宋体"/>
          <w:color w:val="auto"/>
          <w:szCs w:val="21"/>
          <w:highlight w:val="none"/>
        </w:rPr>
      </w:pPr>
      <w:r>
        <w:rPr>
          <w:rFonts w:hint="eastAsia" w:ascii="宋体" w:hAnsi="宋体" w:eastAsia="宋体" w:cs="宋体"/>
          <w:color w:val="auto"/>
          <w:szCs w:val="21"/>
          <w:highlight w:val="none"/>
        </w:rPr>
        <w:t>2）招标代理方案：招标代理工作程序及时间安排；对本项目</w:t>
      </w:r>
      <w:r>
        <w:rPr>
          <w:rFonts w:hint="eastAsia" w:ascii="宋体" w:hAnsi="宋体" w:eastAsia="宋体" w:cs="宋体"/>
          <w:color w:val="auto"/>
          <w:szCs w:val="21"/>
          <w:highlight w:val="none"/>
        </w:rPr>
        <w:t>方案策划、标段划分、工程造价控制</w:t>
      </w:r>
      <w:r>
        <w:rPr>
          <w:rFonts w:hint="eastAsia" w:ascii="宋体" w:hAnsi="宋体" w:eastAsia="宋体" w:cs="宋体"/>
          <w:color w:val="auto"/>
          <w:szCs w:val="21"/>
          <w:highlight w:val="none"/>
        </w:rPr>
        <w:t>等方面的建议；</w:t>
      </w:r>
      <w:r>
        <w:rPr>
          <w:rFonts w:hint="eastAsia" w:ascii="宋体" w:hAnsi="宋体" w:eastAsia="宋体" w:cs="宋体"/>
          <w:color w:val="auto"/>
          <w:szCs w:val="21"/>
          <w:highlight w:val="none"/>
        </w:rPr>
        <w:t>质量保证措施；内部管理、控制制度；招标代理人员工作守则及廉政措施等</w:t>
      </w:r>
      <w:r>
        <w:rPr>
          <w:rFonts w:hint="eastAsia" w:ascii="宋体" w:hAnsi="宋体" w:eastAsia="宋体" w:cs="宋体"/>
          <w:color w:val="auto"/>
          <w:kern w:val="0"/>
          <w:szCs w:val="24"/>
          <w:highlight w:val="none"/>
        </w:rPr>
        <w:t>。</w:t>
      </w:r>
    </w:p>
    <w:p w14:paraId="146E4A84">
      <w:pPr>
        <w:keepNext w:val="0"/>
        <w:keepLines w:val="0"/>
        <w:pageBreakBefore w:val="0"/>
        <w:kinsoku/>
        <w:wordWrap/>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3）后期服务方案； </w:t>
      </w:r>
    </w:p>
    <w:p w14:paraId="3CDA8D2F">
      <w:pPr>
        <w:keepNext w:val="0"/>
        <w:keepLines w:val="0"/>
        <w:pageBreakBefore w:val="0"/>
        <w:kinsoku/>
        <w:wordWrap/>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4）拟派本项</w:t>
      </w:r>
      <w:r>
        <w:rPr>
          <w:rFonts w:hint="eastAsia" w:ascii="宋体" w:hAnsi="宋体" w:eastAsia="宋体" w:cs="宋体"/>
          <w:color w:val="auto"/>
          <w:szCs w:val="21"/>
          <w:highlight w:val="none"/>
        </w:rPr>
        <w:t>目的项目负责人情况表；</w:t>
      </w:r>
    </w:p>
    <w:p w14:paraId="199E12D0">
      <w:pPr>
        <w:keepNext w:val="0"/>
        <w:keepLines w:val="0"/>
        <w:pageBreakBefore w:val="0"/>
        <w:kinsoku/>
        <w:wordWrap/>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5）拟派项目实施人员情况表；</w:t>
      </w:r>
    </w:p>
    <w:p w14:paraId="6C6A141C">
      <w:pPr>
        <w:keepNext w:val="0"/>
        <w:keepLines w:val="0"/>
        <w:pageBreakBefore w:val="0"/>
        <w:kinsoku/>
        <w:wordWrap/>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6）投标单位参与综合评分时需提供的证明文件；</w:t>
      </w:r>
    </w:p>
    <w:p w14:paraId="74A405A6">
      <w:pPr>
        <w:keepNext w:val="0"/>
        <w:keepLines w:val="0"/>
        <w:pageBreakBefore w:val="0"/>
        <w:kinsoku/>
        <w:wordWrap/>
        <w:overflowPunct/>
        <w:topLinePunct w:val="0"/>
        <w:bidi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7）关于对技术文件中有关条款的拒绝声明（如果有）；</w:t>
      </w:r>
    </w:p>
    <w:p w14:paraId="7DE425FA">
      <w:pPr>
        <w:keepNext w:val="0"/>
        <w:keepLines w:val="0"/>
        <w:pageBreakBefore w:val="0"/>
        <w:kinsoku/>
        <w:wordWrap/>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8）投标人认为需要的其他技术文件或说明。</w:t>
      </w:r>
    </w:p>
    <w:p w14:paraId="2FEE1AE2">
      <w:pPr>
        <w:keepNext w:val="0"/>
        <w:keepLines w:val="0"/>
        <w:pageBreakBefore w:val="0"/>
        <w:kinsoku/>
        <w:wordWrap/>
        <w:overflowPunct/>
        <w:topLinePunct w:val="0"/>
        <w:bidi w:val="0"/>
        <w:snapToGrid w:val="0"/>
        <w:spacing w:line="400" w:lineRule="exact"/>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2.投标报价文件（包括以下内容，装订成一本）：</w:t>
      </w:r>
    </w:p>
    <w:p w14:paraId="37218436">
      <w:pPr>
        <w:keepNext w:val="0"/>
        <w:keepLines w:val="0"/>
        <w:pageBreakBefore w:val="0"/>
        <w:tabs>
          <w:tab w:val="left" w:pos="3870"/>
          <w:tab w:val="left" w:pos="4085"/>
        </w:tabs>
        <w:kinsoku/>
        <w:wordWrap/>
        <w:overflowPunct/>
        <w:topLinePunct w:val="0"/>
        <w:bidi w:val="0"/>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（1）投标函（格式见附件）； </w:t>
      </w:r>
    </w:p>
    <w:p w14:paraId="626E860C">
      <w:pPr>
        <w:keepNext w:val="0"/>
        <w:keepLines w:val="0"/>
        <w:pageBreakBefore w:val="0"/>
        <w:kinsoku/>
        <w:wordWrap/>
        <w:overflowPunct/>
        <w:topLinePunct w:val="0"/>
        <w:bidi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（2）投标(开标)一览表（格式见附件）；</w:t>
      </w:r>
    </w:p>
    <w:p w14:paraId="7CC5A107">
      <w:pPr>
        <w:keepNext w:val="0"/>
        <w:keepLines w:val="0"/>
        <w:pageBreakBefore w:val="0"/>
        <w:kinsoku/>
        <w:wordWrap/>
        <w:overflowPunct/>
        <w:topLinePunct w:val="0"/>
        <w:bidi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投标人针对报价需要说明的其他文件和说明（格式自拟）。</w:t>
      </w:r>
    </w:p>
    <w:p w14:paraId="7761E171">
      <w:pPr>
        <w:keepNext w:val="0"/>
        <w:keepLines w:val="0"/>
        <w:pageBreakBefore w:val="0"/>
        <w:kinsoku/>
        <w:wordWrap/>
        <w:overflowPunct/>
        <w:topLinePunct w:val="0"/>
        <w:bidi w:val="0"/>
        <w:snapToGrid w:val="0"/>
        <w:spacing w:line="400" w:lineRule="exact"/>
        <w:ind w:firstLine="413" w:firstLineChars="196"/>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（二）投标文件的语言及计量</w:t>
      </w:r>
    </w:p>
    <w:p w14:paraId="34DB4A48">
      <w:pPr>
        <w:keepNext w:val="0"/>
        <w:keepLines w:val="0"/>
        <w:pageBreakBefore w:val="0"/>
        <w:kinsoku/>
        <w:wordWrap/>
        <w:overflowPunct/>
        <w:topLinePunct w:val="0"/>
        <w:bidi w:val="0"/>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1.投标文件以及投标人与招标人就有关投标事宜的所有来往函电，均应以中文汉语书写。除签名、盖章、专用名称等特殊情形外，以中文汉语以外的文字表述的投标文件视同未提供。</w:t>
      </w:r>
    </w:p>
    <w:p w14:paraId="08B1E42E">
      <w:pPr>
        <w:keepNext w:val="0"/>
        <w:keepLines w:val="0"/>
        <w:pageBreakBefore w:val="0"/>
        <w:kinsoku/>
        <w:wordWrap/>
        <w:overflowPunct/>
        <w:topLinePunct w:val="0"/>
        <w:bidi w:val="0"/>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2.投标计量单位，招标文件已有明确规定的，使用招标文件规定的计量单位；招标文件没有规定的，应采用中华人民共和国法定计量单位（货币单位：人民币元），否则视同未响应。</w:t>
      </w:r>
    </w:p>
    <w:p w14:paraId="3C67B262">
      <w:pPr>
        <w:keepNext w:val="0"/>
        <w:keepLines w:val="0"/>
        <w:pageBreakBefore w:val="0"/>
        <w:kinsoku/>
        <w:wordWrap/>
        <w:overflowPunct/>
        <w:topLinePunct w:val="0"/>
        <w:bidi w:val="0"/>
        <w:snapToGrid w:val="0"/>
        <w:spacing w:line="400" w:lineRule="exact"/>
        <w:ind w:firstLine="413" w:firstLineChars="196"/>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（三）投标报价</w:t>
      </w:r>
    </w:p>
    <w:p w14:paraId="4C04D25F">
      <w:pPr>
        <w:keepNext w:val="0"/>
        <w:keepLines w:val="0"/>
        <w:pageBreakBefore w:val="0"/>
        <w:kinsoku/>
        <w:wordWrap/>
        <w:overflowPunct/>
        <w:topLinePunct w:val="0"/>
        <w:bidi w:val="0"/>
        <w:snapToGrid w:val="0"/>
        <w:spacing w:line="40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1.投标报价应按招标文件中相关附表格式填写。</w:t>
      </w:r>
    </w:p>
    <w:p w14:paraId="09E3063F">
      <w:pPr>
        <w:keepNext w:val="0"/>
        <w:keepLines w:val="0"/>
        <w:pageBreakBefore w:val="0"/>
        <w:kinsoku/>
        <w:wordWrap/>
        <w:overflowPunct/>
        <w:topLinePunct w:val="0"/>
        <w:bidi w:val="0"/>
        <w:snapToGrid w:val="0"/>
        <w:spacing w:line="400" w:lineRule="exact"/>
        <w:ind w:firstLine="42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 投标人根据项目具体情况并结合自身实力自行报价。投标单位的投标报价应包括人工费、专家评审费、造价咨询费、招标代理费、管理费、利润、规费、税金、政策性文件规定及合同包含的所有风险、责任等所有一切费用。</w:t>
      </w:r>
    </w:p>
    <w:p w14:paraId="65CCDBC1">
      <w:pPr>
        <w:keepNext w:val="0"/>
        <w:keepLines w:val="0"/>
        <w:pageBreakBefore w:val="0"/>
        <w:tabs>
          <w:tab w:val="left" w:pos="525"/>
        </w:tabs>
        <w:kinsoku/>
        <w:wordWrap/>
        <w:overflowPunct/>
        <w:topLinePunct w:val="0"/>
        <w:bidi w:val="0"/>
        <w:snapToGrid w:val="0"/>
        <w:spacing w:line="40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▲3.投标文件只允许有一个报价，有选择的或有条件的报价将不予接受。</w:t>
      </w:r>
    </w:p>
    <w:p w14:paraId="7824CC1D">
      <w:pPr>
        <w:keepNext w:val="0"/>
        <w:keepLines w:val="0"/>
        <w:pageBreakBefore w:val="0"/>
        <w:kinsoku/>
        <w:wordWrap/>
        <w:overflowPunct/>
        <w:topLinePunct w:val="0"/>
        <w:bidi w:val="0"/>
        <w:snapToGrid w:val="0"/>
        <w:spacing w:line="400" w:lineRule="exact"/>
        <w:ind w:firstLine="413" w:firstLineChars="196"/>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（四）投标文件的有效期</w:t>
      </w:r>
    </w:p>
    <w:p w14:paraId="0C5D4BD3">
      <w:pPr>
        <w:keepNext w:val="0"/>
        <w:keepLines w:val="0"/>
        <w:pageBreakBefore w:val="0"/>
        <w:tabs>
          <w:tab w:val="left" w:pos="454"/>
          <w:tab w:val="left" w:pos="720"/>
          <w:tab w:val="left" w:pos="900"/>
        </w:tabs>
        <w:kinsoku/>
        <w:wordWrap/>
        <w:overflowPunct/>
        <w:topLinePunct w:val="0"/>
        <w:bidi w:val="0"/>
        <w:snapToGrid w:val="0"/>
        <w:spacing w:line="400" w:lineRule="exact"/>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1.投标文件从投标文件递交截止之日起，有效期为</w:t>
      </w:r>
      <w:r>
        <w:rPr>
          <w:rFonts w:hint="eastAsia" w:ascii="宋体" w:hAnsi="宋体" w:eastAsia="宋体" w:cs="宋体"/>
          <w:b/>
          <w:color w:val="auto"/>
          <w:kern w:val="0"/>
          <w:szCs w:val="21"/>
          <w:highlight w:val="none"/>
          <w:u w:val="single"/>
        </w:rPr>
        <w:t>90</w:t>
      </w:r>
      <w:r>
        <w:rPr>
          <w:rFonts w:hint="eastAsia" w:ascii="宋体" w:hAnsi="宋体" w:eastAsia="宋体" w:cs="宋体"/>
          <w:color w:val="auto"/>
          <w:kern w:val="0"/>
          <w:szCs w:val="21"/>
          <w:highlight w:val="none"/>
        </w:rPr>
        <w:t>天，有效期不足的投标文件无效。</w:t>
      </w:r>
    </w:p>
    <w:p w14:paraId="7A76F9B0">
      <w:pPr>
        <w:keepNext w:val="0"/>
        <w:keepLines w:val="0"/>
        <w:pageBreakBefore w:val="0"/>
        <w:tabs>
          <w:tab w:val="left" w:pos="454"/>
          <w:tab w:val="left" w:pos="720"/>
          <w:tab w:val="left" w:pos="900"/>
        </w:tabs>
        <w:kinsoku/>
        <w:wordWrap/>
        <w:overflowPunct/>
        <w:topLinePunct w:val="0"/>
        <w:bidi w:val="0"/>
        <w:snapToGrid w:val="0"/>
        <w:spacing w:line="400" w:lineRule="exact"/>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2.在特殊情况下，招标人可与投标人协商延长投标书的有效期，这种要求和答复均以书面形式进行。</w:t>
      </w:r>
    </w:p>
    <w:p w14:paraId="7074D92A">
      <w:pPr>
        <w:keepNext w:val="0"/>
        <w:keepLines w:val="0"/>
        <w:pageBreakBefore w:val="0"/>
        <w:tabs>
          <w:tab w:val="left" w:pos="454"/>
          <w:tab w:val="left" w:pos="720"/>
          <w:tab w:val="left" w:pos="900"/>
        </w:tabs>
        <w:kinsoku/>
        <w:wordWrap/>
        <w:overflowPunct/>
        <w:topLinePunct w:val="0"/>
        <w:bidi w:val="0"/>
        <w:snapToGrid w:val="0"/>
        <w:spacing w:line="400" w:lineRule="exact"/>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3.投标人可拒绝接受延期要求。同意延长有效期的投标人不能修改投标文件。 </w:t>
      </w:r>
    </w:p>
    <w:p w14:paraId="7A61C91A">
      <w:pPr>
        <w:keepNext w:val="0"/>
        <w:keepLines w:val="0"/>
        <w:pageBreakBefore w:val="0"/>
        <w:tabs>
          <w:tab w:val="left" w:pos="454"/>
          <w:tab w:val="left" w:pos="720"/>
          <w:tab w:val="left" w:pos="900"/>
        </w:tabs>
        <w:kinsoku/>
        <w:wordWrap/>
        <w:overflowPunct/>
        <w:topLinePunct w:val="0"/>
        <w:bidi w:val="0"/>
        <w:snapToGrid w:val="0"/>
        <w:spacing w:line="400" w:lineRule="exact"/>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4.中标人的投标文件自开标之日起至合同履行完毕均应保持有效。</w:t>
      </w:r>
    </w:p>
    <w:p w14:paraId="02F1B504">
      <w:pPr>
        <w:keepNext w:val="0"/>
        <w:keepLines w:val="0"/>
        <w:pageBreakBefore w:val="0"/>
        <w:kinsoku/>
        <w:wordWrap/>
        <w:overflowPunct/>
        <w:topLinePunct w:val="0"/>
        <w:bidi w:val="0"/>
        <w:snapToGrid w:val="0"/>
        <w:spacing w:line="400" w:lineRule="exact"/>
        <w:ind w:firstLine="413" w:firstLineChars="196"/>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（五）投标文件的签署和份数</w:t>
      </w:r>
    </w:p>
    <w:p w14:paraId="472B5259">
      <w:pPr>
        <w:keepNext w:val="0"/>
        <w:keepLines w:val="0"/>
        <w:pageBreakBefore w:val="0"/>
        <w:kinsoku/>
        <w:wordWrap/>
        <w:overflowPunct/>
        <w:topLinePunct w:val="0"/>
        <w:bidi w:val="0"/>
        <w:snapToGrid w:val="0"/>
        <w:spacing w:line="400" w:lineRule="exact"/>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应按本招标文件规定的格式和顺序编制、装订投标文件（采用A4幅面，提倡双面打印）并标注页码，投标文件内容不完整、编排混乱导致投标文件被误读、漏读或者查找不到相关内容的，是投标人的责任。</w:t>
      </w:r>
    </w:p>
    <w:p w14:paraId="3BC4BE52">
      <w:pPr>
        <w:keepNext w:val="0"/>
        <w:keepLines w:val="0"/>
        <w:pageBreakBefore w:val="0"/>
        <w:kinsoku/>
        <w:wordWrap/>
        <w:overflowPunct/>
        <w:topLinePunct w:val="0"/>
        <w:bidi w:val="0"/>
        <w:spacing w:line="40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2.投标人应按资信商务及技术文件的顺序装订成册（资信商务及技术文件装订在一起），投标报价文件单独装订成册，正本各1份、副本各4份，投标文件的封面应注明“正本”字样。活页装订</w:t>
      </w:r>
      <w:r>
        <w:rPr>
          <w:rFonts w:hint="eastAsia" w:ascii="宋体" w:hAnsi="宋体" w:eastAsia="宋体" w:cs="宋体"/>
          <w:b/>
          <w:color w:val="auto"/>
          <w:szCs w:val="21"/>
          <w:highlight w:val="none"/>
        </w:rPr>
        <w:t>（是指用卡条、抽杆夹、订书机等形式装订，使标书可以拆卸或者在翻动过程中易脱落的一种装订方式）</w:t>
      </w:r>
      <w:r>
        <w:rPr>
          <w:rFonts w:hint="eastAsia" w:ascii="宋体" w:hAnsi="宋体" w:eastAsia="宋体" w:cs="宋体"/>
          <w:color w:val="auto"/>
          <w:szCs w:val="21"/>
          <w:highlight w:val="none"/>
        </w:rPr>
        <w:t>的投标文件作无效标处理。</w:t>
      </w:r>
    </w:p>
    <w:p w14:paraId="7C93089A">
      <w:pPr>
        <w:keepNext w:val="0"/>
        <w:keepLines w:val="0"/>
        <w:pageBreakBefore w:val="0"/>
        <w:kinsoku/>
        <w:wordWrap/>
        <w:overflowPunct/>
        <w:topLinePunct w:val="0"/>
        <w:bidi w:val="0"/>
        <w:snapToGrid w:val="0"/>
        <w:spacing w:line="400" w:lineRule="exact"/>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3.投标文件的正本需打印或用不褪色的墨水填写，投标文件正本除本《投标人须知》中规定的可提供复印件外均须提供原件。副本为投标文件正本的复印件，有出入时以正本为准。</w:t>
      </w:r>
    </w:p>
    <w:p w14:paraId="6C444B7B">
      <w:pPr>
        <w:keepNext w:val="0"/>
        <w:keepLines w:val="0"/>
        <w:pageBreakBefore w:val="0"/>
        <w:kinsoku/>
        <w:wordWrap/>
        <w:overflowPunct/>
        <w:topLinePunct w:val="0"/>
        <w:bidi w:val="0"/>
        <w:snapToGrid w:val="0"/>
        <w:spacing w:line="400" w:lineRule="exact"/>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4.投标文件“正本”须由投标人在规定位置盖章并由法定代表人或法定代表人的授权委托人签署，投标人应写全称。投标文件副本除盖章外必须同正本保持一致。</w:t>
      </w:r>
    </w:p>
    <w:p w14:paraId="626466A9">
      <w:pPr>
        <w:keepNext w:val="0"/>
        <w:keepLines w:val="0"/>
        <w:pageBreakBefore w:val="0"/>
        <w:kinsoku/>
        <w:wordWrap/>
        <w:overflowPunct/>
        <w:topLinePunct w:val="0"/>
        <w:bidi w:val="0"/>
        <w:snapToGrid w:val="0"/>
        <w:spacing w:line="400" w:lineRule="exact"/>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5.投标文件不得涂改，若有修改错漏处，须加盖单位公章或者法定代表人或授权委托人签字或盖章。投标文件因字迹潦草或表达不清所引起的后果由投标人负责。</w:t>
      </w:r>
    </w:p>
    <w:p w14:paraId="0EB020A5">
      <w:pPr>
        <w:keepNext w:val="0"/>
        <w:keepLines w:val="0"/>
        <w:pageBreakBefore w:val="0"/>
        <w:kinsoku/>
        <w:wordWrap/>
        <w:overflowPunct/>
        <w:topLinePunct w:val="0"/>
        <w:bidi w:val="0"/>
        <w:snapToGrid w:val="0"/>
        <w:spacing w:line="400" w:lineRule="exact"/>
        <w:ind w:firstLine="413" w:firstLineChars="196"/>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（六）投标文件的包装、递交、修改和撤回</w:t>
      </w:r>
    </w:p>
    <w:p w14:paraId="40593D6E">
      <w:pPr>
        <w:keepNext w:val="0"/>
        <w:keepLines w:val="0"/>
        <w:pageBreakBefore w:val="0"/>
        <w:kinsoku/>
        <w:wordWrap/>
        <w:overflowPunct/>
        <w:topLinePunct w:val="0"/>
        <w:bidi w:val="0"/>
        <w:snapToGrid w:val="0"/>
        <w:spacing w:line="400" w:lineRule="exact"/>
        <w:ind w:firstLine="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b/>
          <w:color w:val="auto"/>
          <w:szCs w:val="21"/>
          <w:highlight w:val="none"/>
        </w:rPr>
        <w:t>投标人应按资信商务及技术文件、投标报价文件二部分分别密封封装投标文件</w:t>
      </w:r>
      <w:r>
        <w:rPr>
          <w:rFonts w:hint="eastAsia" w:ascii="宋体" w:hAnsi="宋体" w:eastAsia="宋体" w:cs="宋体"/>
          <w:color w:val="auto"/>
          <w:szCs w:val="21"/>
          <w:highlight w:val="none"/>
        </w:rPr>
        <w:t>，并在封口上加盖投标单位的公章。投标文件的包装封面上应注明投标人名称、投标人地址、投标文件名称（资信商务及技术文件，投标报价文件）、投标项目名称、项目编号，以及“在  年  月  日  时  分之前不得启封”的字样。信袋封口均须加盖投标人公章。</w:t>
      </w:r>
    </w:p>
    <w:p w14:paraId="5FF20C76">
      <w:pPr>
        <w:keepNext w:val="0"/>
        <w:keepLines w:val="0"/>
        <w:pageBreakBefore w:val="0"/>
        <w:kinsoku/>
        <w:wordWrap/>
        <w:overflowPunct/>
        <w:topLinePunct w:val="0"/>
        <w:bidi w:val="0"/>
        <w:snapToGrid w:val="0"/>
        <w:spacing w:line="400" w:lineRule="exact"/>
        <w:ind w:firstLine="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2.未按规定密封或标记的投标文件将被拒绝，由此造成投标文件被误投或提前拆封的风险由投标人承担。</w:t>
      </w:r>
    </w:p>
    <w:p w14:paraId="03947D19">
      <w:pPr>
        <w:keepNext w:val="0"/>
        <w:keepLines w:val="0"/>
        <w:pageBreakBefore w:val="0"/>
        <w:kinsoku/>
        <w:wordWrap/>
        <w:overflowPunct/>
        <w:topLinePunct w:val="0"/>
        <w:bidi w:val="0"/>
        <w:snapToGrid w:val="0"/>
        <w:spacing w:line="400" w:lineRule="exact"/>
        <w:ind w:firstLine="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在投标截止时间之前，可以对已提交的投标文件进行修改或撤回，并书面通知招标采购单位；投标截止时间后，投标人不得撤回、修改投标文件。修改后重新递交的投标文件应当按本招标文件的要求签署、盖章和密封。</w:t>
      </w:r>
    </w:p>
    <w:p w14:paraId="01F9FC9E">
      <w:pPr>
        <w:keepNext w:val="0"/>
        <w:keepLines w:val="0"/>
        <w:pageBreakBefore w:val="0"/>
        <w:kinsoku/>
        <w:wordWrap/>
        <w:overflowPunct/>
        <w:topLinePunct w:val="0"/>
        <w:bidi w:val="0"/>
        <w:snapToGrid w:val="0"/>
        <w:spacing w:line="400" w:lineRule="exact"/>
        <w:ind w:firstLine="413" w:firstLineChars="196"/>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（七）投标无效的情形</w:t>
      </w:r>
    </w:p>
    <w:p w14:paraId="448AE17A">
      <w:pPr>
        <w:keepNext w:val="0"/>
        <w:keepLines w:val="0"/>
        <w:pageBreakBefore w:val="0"/>
        <w:kinsoku/>
        <w:wordWrap/>
        <w:overflowPunct/>
        <w:topLinePunct w:val="0"/>
        <w:bidi w:val="0"/>
        <w:snapToGrid w:val="0"/>
        <w:spacing w:line="400" w:lineRule="exact"/>
        <w:ind w:firstLine="420" w:firstLineChars="200"/>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30748900">
      <w:pPr>
        <w:keepNext w:val="0"/>
        <w:keepLines w:val="0"/>
        <w:pageBreakBefore w:val="0"/>
        <w:kinsoku/>
        <w:wordWrap/>
        <w:overflowPunct/>
        <w:topLinePunct w:val="0"/>
        <w:bidi w:val="0"/>
        <w:snapToGrid w:val="0"/>
        <w:spacing w:line="400" w:lineRule="exact"/>
        <w:ind w:firstLine="411" w:firstLineChars="196"/>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1.在符合性审查和商务评审时，如发现下列情形之一的，投标文件将被视为无效：</w:t>
      </w:r>
    </w:p>
    <w:p w14:paraId="1126EBF7">
      <w:pPr>
        <w:keepNext w:val="0"/>
        <w:keepLines w:val="0"/>
        <w:pageBreakBefore w:val="0"/>
        <w:kinsoku/>
        <w:wordWrap/>
        <w:overflowPunct/>
        <w:topLinePunct w:val="0"/>
        <w:bidi w:val="0"/>
        <w:snapToGrid w:val="0"/>
        <w:spacing w:line="400" w:lineRule="exact"/>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（1）资格证明文件不全的，或者不符合招标文件标明的资格要求的；</w:t>
      </w:r>
    </w:p>
    <w:p w14:paraId="645D571A">
      <w:pPr>
        <w:keepNext w:val="0"/>
        <w:keepLines w:val="0"/>
        <w:pageBreakBefore w:val="0"/>
        <w:kinsoku/>
        <w:wordWrap/>
        <w:overflowPunct/>
        <w:topLinePunct w:val="0"/>
        <w:bidi w:val="0"/>
        <w:snapToGrid w:val="0"/>
        <w:spacing w:line="400" w:lineRule="exact"/>
        <w:ind w:firstLine="411" w:firstLineChars="196"/>
        <w:outlineLvl w:val="9"/>
        <w:rPr>
          <w:rFonts w:hint="eastAsia" w:ascii="宋体" w:hAnsi="宋体" w:eastAsia="宋体" w:cs="宋体"/>
          <w:bCs/>
          <w:color w:val="auto"/>
          <w:kern w:val="0"/>
          <w:szCs w:val="21"/>
          <w:highlight w:val="none"/>
        </w:rPr>
      </w:pPr>
      <w:r>
        <w:rPr>
          <w:rFonts w:hint="eastAsia" w:ascii="宋体" w:hAnsi="宋体" w:eastAsia="宋体" w:cs="宋体"/>
          <w:color w:val="auto"/>
          <w:szCs w:val="21"/>
          <w:highlight w:val="none"/>
        </w:rPr>
        <w:t>（2）投标文件无法定代表人签字，或未</w:t>
      </w:r>
      <w:r>
        <w:rPr>
          <w:rFonts w:hint="eastAsia" w:ascii="宋体" w:hAnsi="宋体" w:eastAsia="宋体" w:cs="宋体"/>
          <w:bCs/>
          <w:color w:val="auto"/>
          <w:kern w:val="0"/>
          <w:szCs w:val="21"/>
          <w:highlight w:val="none"/>
        </w:rPr>
        <w:t>提供法定代表人授权委托书、投标声明书或者填写项目不齐全的；</w:t>
      </w:r>
    </w:p>
    <w:p w14:paraId="06CD7BAD">
      <w:pPr>
        <w:keepNext w:val="0"/>
        <w:keepLines w:val="0"/>
        <w:pageBreakBefore w:val="0"/>
        <w:kinsoku/>
        <w:wordWrap/>
        <w:overflowPunct/>
        <w:topLinePunct w:val="0"/>
        <w:bidi w:val="0"/>
        <w:snapToGrid w:val="0"/>
        <w:spacing w:line="400" w:lineRule="exact"/>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（3）投标代表人未能出具身份证明或与法定代表人授权委托人身份不符的； </w:t>
      </w:r>
    </w:p>
    <w:p w14:paraId="2DA4E3CF">
      <w:pPr>
        <w:keepNext w:val="0"/>
        <w:keepLines w:val="0"/>
        <w:pageBreakBefore w:val="0"/>
        <w:kinsoku/>
        <w:wordWrap/>
        <w:overflowPunct/>
        <w:topLinePunct w:val="0"/>
        <w:bidi w:val="0"/>
        <w:snapToGrid w:val="0"/>
        <w:spacing w:line="400" w:lineRule="exact"/>
        <w:ind w:firstLine="395" w:firstLineChars="196"/>
        <w:outlineLvl w:val="9"/>
        <w:rPr>
          <w:rFonts w:hint="eastAsia" w:ascii="宋体" w:hAnsi="宋体" w:eastAsia="宋体" w:cs="宋体"/>
          <w:snapToGrid w:val="0"/>
          <w:color w:val="auto"/>
          <w:spacing w:val="-4"/>
          <w:szCs w:val="21"/>
          <w:highlight w:val="none"/>
        </w:rPr>
      </w:pPr>
      <w:r>
        <w:rPr>
          <w:rFonts w:hint="eastAsia" w:ascii="宋体" w:hAnsi="宋体" w:eastAsia="宋体" w:cs="宋体"/>
          <w:color w:val="auto"/>
          <w:spacing w:val="-4"/>
          <w:szCs w:val="21"/>
          <w:highlight w:val="none"/>
        </w:rPr>
        <w:t>（4）投标文件格式不规范、项目不齐全或者内容虚假的；</w:t>
      </w:r>
    </w:p>
    <w:p w14:paraId="1E44728E">
      <w:pPr>
        <w:keepNext w:val="0"/>
        <w:keepLines w:val="0"/>
        <w:pageBreakBefore w:val="0"/>
        <w:kinsoku/>
        <w:wordWrap/>
        <w:overflowPunct/>
        <w:topLinePunct w:val="0"/>
        <w:bidi w:val="0"/>
        <w:snapToGrid w:val="0"/>
        <w:spacing w:line="400" w:lineRule="exact"/>
        <w:ind w:firstLine="395" w:firstLineChars="196"/>
        <w:outlineLvl w:val="9"/>
        <w:rPr>
          <w:rFonts w:hint="eastAsia" w:ascii="宋体" w:hAnsi="宋体" w:eastAsia="宋体" w:cs="宋体"/>
          <w:snapToGrid w:val="0"/>
          <w:color w:val="auto"/>
          <w:spacing w:val="-4"/>
          <w:szCs w:val="21"/>
          <w:highlight w:val="none"/>
        </w:rPr>
      </w:pPr>
      <w:r>
        <w:rPr>
          <w:rFonts w:hint="eastAsia" w:ascii="宋体" w:hAnsi="宋体" w:eastAsia="宋体" w:cs="宋体"/>
          <w:color w:val="auto"/>
          <w:spacing w:val="-4"/>
          <w:szCs w:val="21"/>
          <w:highlight w:val="none"/>
        </w:rPr>
        <w:t>（5）投标文件的实质性内容未使用中文表述、意思表述不明确、前后矛盾或者使用计量单位不符合招标文件要求的（经评标委员会认定并允许其当场更正的笔误除外）</w:t>
      </w:r>
    </w:p>
    <w:p w14:paraId="61D59624">
      <w:pPr>
        <w:keepNext w:val="0"/>
        <w:keepLines w:val="0"/>
        <w:pageBreakBefore w:val="0"/>
        <w:kinsoku/>
        <w:wordWrap/>
        <w:overflowPunct/>
        <w:topLinePunct w:val="0"/>
        <w:bidi w:val="0"/>
        <w:snapToGrid w:val="0"/>
        <w:spacing w:line="400" w:lineRule="exact"/>
        <w:ind w:firstLine="395" w:firstLineChars="196"/>
        <w:rPr>
          <w:rFonts w:hint="eastAsia" w:ascii="宋体" w:hAnsi="宋体" w:eastAsia="宋体" w:cs="宋体"/>
          <w:snapToGrid w:val="0"/>
          <w:color w:val="auto"/>
          <w:spacing w:val="-4"/>
          <w:szCs w:val="21"/>
          <w:highlight w:val="none"/>
        </w:rPr>
      </w:pPr>
      <w:r>
        <w:rPr>
          <w:rFonts w:hint="eastAsia" w:ascii="宋体" w:hAnsi="宋体" w:eastAsia="宋体" w:cs="宋体"/>
          <w:color w:val="auto"/>
          <w:spacing w:val="-4"/>
          <w:szCs w:val="21"/>
          <w:highlight w:val="none"/>
        </w:rPr>
        <w:t>（</w:t>
      </w:r>
      <w:r>
        <w:rPr>
          <w:rFonts w:hint="eastAsia" w:ascii="宋体" w:hAnsi="宋体" w:eastAsia="宋体" w:cs="宋体"/>
          <w:snapToGrid w:val="0"/>
          <w:color w:val="auto"/>
          <w:spacing w:val="-4"/>
          <w:szCs w:val="21"/>
          <w:highlight w:val="none"/>
        </w:rPr>
        <w:t>6）投标有效期、交货（付）时间、质保（服务）期等商务条款不能满足招标文件要求的；</w:t>
      </w:r>
    </w:p>
    <w:p w14:paraId="1883ED76">
      <w:pPr>
        <w:keepNext w:val="0"/>
        <w:keepLines w:val="0"/>
        <w:pageBreakBefore w:val="0"/>
        <w:kinsoku/>
        <w:wordWrap/>
        <w:overflowPunct/>
        <w:topLinePunct w:val="0"/>
        <w:bidi w:val="0"/>
        <w:snapToGrid w:val="0"/>
        <w:spacing w:line="400" w:lineRule="exact"/>
        <w:ind w:firstLine="395" w:firstLineChars="196"/>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（7）未实质性响应招标文件要求或者投标文件有招标人不能接受的附加条件的；</w:t>
      </w:r>
    </w:p>
    <w:p w14:paraId="0728F8B3">
      <w:pPr>
        <w:keepNext w:val="0"/>
        <w:keepLines w:val="0"/>
        <w:pageBreakBefore w:val="0"/>
        <w:kinsoku/>
        <w:wordWrap/>
        <w:overflowPunct/>
        <w:topLinePunct w:val="0"/>
        <w:bidi w:val="0"/>
        <w:snapToGrid w:val="0"/>
        <w:spacing w:line="400" w:lineRule="exact"/>
        <w:ind w:firstLine="395" w:firstLineChars="196"/>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（8）未按采购文件要求编制的；</w:t>
      </w:r>
    </w:p>
    <w:p w14:paraId="110BF3F0">
      <w:pPr>
        <w:keepNext w:val="0"/>
        <w:keepLines w:val="0"/>
        <w:pageBreakBefore w:val="0"/>
        <w:kinsoku/>
        <w:wordWrap/>
        <w:overflowPunct/>
        <w:topLinePunct w:val="0"/>
        <w:bidi w:val="0"/>
        <w:snapToGrid w:val="0"/>
        <w:spacing w:line="400" w:lineRule="exact"/>
        <w:ind w:firstLine="395" w:firstLineChars="196"/>
        <w:rPr>
          <w:rFonts w:hint="eastAsia" w:ascii="宋体" w:hAnsi="宋体" w:eastAsia="宋体" w:cs="宋体"/>
          <w:bCs/>
          <w:color w:val="auto"/>
          <w:spacing w:val="-4"/>
          <w:szCs w:val="21"/>
          <w:highlight w:val="none"/>
        </w:rPr>
      </w:pPr>
      <w:r>
        <w:rPr>
          <w:rFonts w:hint="eastAsia" w:ascii="宋体" w:hAnsi="宋体" w:eastAsia="宋体" w:cs="宋体"/>
          <w:bCs/>
          <w:color w:val="auto"/>
          <w:spacing w:val="-4"/>
          <w:szCs w:val="21"/>
          <w:highlight w:val="none"/>
        </w:rPr>
        <w:t>2.在技术评审时，如发现下列情形之一的，投标文件将被视为无效：</w:t>
      </w:r>
    </w:p>
    <w:p w14:paraId="23B204EF">
      <w:pPr>
        <w:keepNext w:val="0"/>
        <w:keepLines w:val="0"/>
        <w:pageBreakBefore w:val="0"/>
        <w:kinsoku/>
        <w:wordWrap/>
        <w:overflowPunct/>
        <w:topLinePunct w:val="0"/>
        <w:bidi w:val="0"/>
        <w:snapToGrid w:val="0"/>
        <w:spacing w:line="400" w:lineRule="exact"/>
        <w:ind w:firstLine="395" w:firstLineChars="196"/>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（1）未提供或未如实提供投标货物的技术参数，或者投标文件标明的响应或偏离与事实不符或虚假投标的；</w:t>
      </w:r>
    </w:p>
    <w:p w14:paraId="2BDF393B">
      <w:pPr>
        <w:keepNext w:val="0"/>
        <w:keepLines w:val="0"/>
        <w:pageBreakBefore w:val="0"/>
        <w:kinsoku/>
        <w:wordWrap/>
        <w:overflowPunct/>
        <w:topLinePunct w:val="0"/>
        <w:bidi w:val="0"/>
        <w:snapToGrid w:val="0"/>
        <w:spacing w:line="400" w:lineRule="exact"/>
        <w:ind w:firstLine="395" w:firstLineChars="196"/>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（2）</w:t>
      </w:r>
      <w:r>
        <w:rPr>
          <w:rFonts w:hint="eastAsia" w:ascii="宋体" w:hAnsi="宋体" w:eastAsia="宋体" w:cs="宋体"/>
          <w:snapToGrid w:val="0"/>
          <w:color w:val="auto"/>
          <w:spacing w:val="-4"/>
          <w:szCs w:val="21"/>
          <w:highlight w:val="none"/>
        </w:rPr>
        <w:t>明显不符合招标文件要求的规格型号、质量标准，或者与</w:t>
      </w:r>
      <w:r>
        <w:rPr>
          <w:rFonts w:hint="eastAsia" w:ascii="宋体" w:hAnsi="宋体" w:eastAsia="宋体" w:cs="宋体"/>
          <w:color w:val="auto"/>
          <w:spacing w:val="-4"/>
          <w:szCs w:val="21"/>
          <w:highlight w:val="none"/>
        </w:rPr>
        <w:t>招标文件中标“▲”的技术指标、主要功能项目发生实质性偏离的；</w:t>
      </w:r>
    </w:p>
    <w:p w14:paraId="063326E9">
      <w:pPr>
        <w:keepNext w:val="0"/>
        <w:keepLines w:val="0"/>
        <w:pageBreakBefore w:val="0"/>
        <w:kinsoku/>
        <w:wordWrap/>
        <w:overflowPunct/>
        <w:topLinePunct w:val="0"/>
        <w:bidi w:val="0"/>
        <w:snapToGrid w:val="0"/>
        <w:spacing w:line="400" w:lineRule="exact"/>
        <w:ind w:firstLine="395" w:firstLineChars="196"/>
        <w:rPr>
          <w:rFonts w:hint="eastAsia" w:ascii="宋体" w:hAnsi="宋体" w:eastAsia="宋体" w:cs="宋体"/>
          <w:color w:val="auto"/>
          <w:szCs w:val="21"/>
          <w:highlight w:val="none"/>
        </w:rPr>
      </w:pPr>
      <w:r>
        <w:rPr>
          <w:rFonts w:hint="eastAsia" w:ascii="宋体" w:hAnsi="宋体" w:eastAsia="宋体" w:cs="宋体"/>
          <w:color w:val="auto"/>
          <w:spacing w:val="-4"/>
          <w:szCs w:val="21"/>
          <w:highlight w:val="none"/>
        </w:rPr>
        <w:t>（3）投</w:t>
      </w:r>
      <w:r>
        <w:rPr>
          <w:rFonts w:hint="eastAsia" w:ascii="宋体" w:hAnsi="宋体" w:eastAsia="宋体" w:cs="宋体"/>
          <w:color w:val="auto"/>
          <w:szCs w:val="21"/>
          <w:highlight w:val="none"/>
        </w:rPr>
        <w:t>标技术方案不明确，存在一个或一个以上备选（替代）投标方案的；</w:t>
      </w:r>
    </w:p>
    <w:p w14:paraId="2EA68717">
      <w:pPr>
        <w:keepNext w:val="0"/>
        <w:keepLines w:val="0"/>
        <w:pageBreakBefore w:val="0"/>
        <w:kinsoku/>
        <w:wordWrap/>
        <w:overflowPunct/>
        <w:topLinePunct w:val="0"/>
        <w:bidi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（4）与其他参加本次投标供应商的投标文件（技术文件）的文字表述内容相同连续20行以上或者差错相同2处以上的。</w:t>
      </w:r>
    </w:p>
    <w:p w14:paraId="0F738226">
      <w:pPr>
        <w:keepNext w:val="0"/>
        <w:keepLines w:val="0"/>
        <w:pageBreakBefore w:val="0"/>
        <w:kinsoku/>
        <w:wordWrap/>
        <w:overflowPunct/>
        <w:topLinePunct w:val="0"/>
        <w:bidi w:val="0"/>
        <w:snapToGrid w:val="0"/>
        <w:spacing w:line="400" w:lineRule="exact"/>
        <w:ind w:firstLine="411" w:firstLineChars="196"/>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3.在报价评审时，如发现下列情形之一的，投标文件将被视为无效：</w:t>
      </w:r>
    </w:p>
    <w:p w14:paraId="1FFB97A3">
      <w:pPr>
        <w:keepNext w:val="0"/>
        <w:keepLines w:val="0"/>
        <w:pageBreakBefore w:val="0"/>
        <w:kinsoku/>
        <w:wordWrap/>
        <w:overflowPunct/>
        <w:topLinePunct w:val="0"/>
        <w:bidi w:val="0"/>
        <w:snapToGrid w:val="0"/>
        <w:spacing w:line="40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（1）未采用人民币报价或者未按照招标文件标明的币种报价的；</w:t>
      </w:r>
    </w:p>
    <w:p w14:paraId="3896E10A">
      <w:pPr>
        <w:keepNext w:val="0"/>
        <w:keepLines w:val="0"/>
        <w:pageBreakBefore w:val="0"/>
        <w:kinsoku/>
        <w:wordWrap/>
        <w:overflowPunct/>
        <w:topLinePunct w:val="0"/>
        <w:bidi w:val="0"/>
        <w:snapToGrid w:val="0"/>
        <w:spacing w:line="40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（2）报价超出最高限价；</w:t>
      </w:r>
    </w:p>
    <w:p w14:paraId="7291B0D2">
      <w:pPr>
        <w:keepNext w:val="0"/>
        <w:keepLines w:val="0"/>
        <w:pageBreakBefore w:val="0"/>
        <w:kinsoku/>
        <w:wordWrap/>
        <w:overflowPunct/>
        <w:topLinePunct w:val="0"/>
        <w:bidi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（3）投标报价具有选择性，或者开标价格与投标文件承诺的优惠（折扣）价格不一致的。</w:t>
      </w:r>
    </w:p>
    <w:p w14:paraId="0559C7AA">
      <w:pPr>
        <w:keepNext w:val="0"/>
        <w:keepLines w:val="0"/>
        <w:pageBreakBefore w:val="0"/>
        <w:kinsoku/>
        <w:wordWrap/>
        <w:overflowPunct/>
        <w:topLinePunct w:val="0"/>
        <w:bidi w:val="0"/>
        <w:snapToGrid w:val="0"/>
        <w:spacing w:line="400" w:lineRule="exact"/>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(4)未按采购文件要求编制报价文件。</w:t>
      </w:r>
    </w:p>
    <w:p w14:paraId="3BF74B8E">
      <w:pPr>
        <w:keepNext w:val="0"/>
        <w:keepLines w:val="0"/>
        <w:pageBreakBefore w:val="0"/>
        <w:kinsoku/>
        <w:wordWrap/>
        <w:overflowPunct/>
        <w:topLinePunct w:val="0"/>
        <w:bidi w:val="0"/>
        <w:snapToGrid w:val="0"/>
        <w:spacing w:line="400" w:lineRule="exact"/>
        <w:ind w:firstLine="413" w:firstLineChars="196"/>
        <w:jc w:val="left"/>
        <w:outlineLvl w:val="9"/>
        <w:rPr>
          <w:rFonts w:hint="eastAsia" w:ascii="宋体" w:hAnsi="宋体" w:eastAsia="宋体" w:cs="宋体"/>
          <w:b/>
          <w:color w:val="auto"/>
          <w:szCs w:val="21"/>
          <w:highlight w:val="none"/>
        </w:rPr>
      </w:pPr>
      <w:bookmarkStart w:id="27" w:name="_Toc366144037"/>
      <w:r>
        <w:rPr>
          <w:rFonts w:hint="eastAsia" w:ascii="宋体" w:hAnsi="宋体" w:eastAsia="宋体" w:cs="宋体"/>
          <w:b/>
          <w:color w:val="auto"/>
          <w:szCs w:val="21"/>
          <w:highlight w:val="none"/>
        </w:rPr>
        <w:t>（八）废标的情形</w:t>
      </w:r>
      <w:bookmarkEnd w:id="27"/>
    </w:p>
    <w:p w14:paraId="60E6E55B">
      <w:pPr>
        <w:keepNext w:val="0"/>
        <w:keepLines w:val="0"/>
        <w:pageBreakBefore w:val="0"/>
        <w:kinsoku/>
        <w:wordWrap/>
        <w:overflowPunct/>
        <w:topLinePunct w:val="0"/>
        <w:bidi w:val="0"/>
        <w:snapToGrid w:val="0"/>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采购中出现下列情形之一的，应予废标（</w:t>
      </w:r>
      <w:r>
        <w:rPr>
          <w:rFonts w:hint="eastAsia" w:ascii="宋体" w:hAnsi="宋体" w:eastAsia="宋体" w:cs="宋体"/>
          <w:color w:val="auto"/>
          <w:szCs w:val="21"/>
          <w:highlight w:val="none"/>
        </w:rPr>
        <w:t>废标后，采购单位应当将废标理由通知所有投标人）</w:t>
      </w:r>
      <w:r>
        <w:rPr>
          <w:rFonts w:hint="eastAsia" w:ascii="宋体" w:hAnsi="宋体" w:eastAsia="宋体" w:cs="宋体"/>
          <w:bCs/>
          <w:color w:val="auto"/>
          <w:szCs w:val="21"/>
          <w:highlight w:val="none"/>
        </w:rPr>
        <w:t>：</w:t>
      </w:r>
    </w:p>
    <w:p w14:paraId="3AE78BF2">
      <w:pPr>
        <w:keepNext w:val="0"/>
        <w:keepLines w:val="0"/>
        <w:pageBreakBefore w:val="0"/>
        <w:kinsoku/>
        <w:wordWrap/>
        <w:overflowPunct/>
        <w:topLinePunct w:val="0"/>
        <w:bidi w:val="0"/>
        <w:snapToGrid w:val="0"/>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1.符合专业条件的投标人或对招标文件作实质性响应的投标人不足三家的；</w:t>
      </w:r>
    </w:p>
    <w:p w14:paraId="188FFB5B">
      <w:pPr>
        <w:keepNext w:val="0"/>
        <w:keepLines w:val="0"/>
        <w:pageBreakBefore w:val="0"/>
        <w:kinsoku/>
        <w:wordWrap/>
        <w:overflowPunct/>
        <w:topLinePunct w:val="0"/>
        <w:bidi w:val="0"/>
        <w:snapToGrid w:val="0"/>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2.出现影响采购公正的违法、违规行为的；</w:t>
      </w:r>
    </w:p>
    <w:p w14:paraId="6B14BC7F">
      <w:pPr>
        <w:keepNext w:val="0"/>
        <w:keepLines w:val="0"/>
        <w:pageBreakBefore w:val="0"/>
        <w:kinsoku/>
        <w:wordWrap/>
        <w:overflowPunct/>
        <w:topLinePunct w:val="0"/>
        <w:bidi w:val="0"/>
        <w:snapToGrid w:val="0"/>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3.投标人的报价均超过了采购预算，采购人不能支付的；</w:t>
      </w:r>
    </w:p>
    <w:p w14:paraId="5EA8AAD3">
      <w:pPr>
        <w:keepNext w:val="0"/>
        <w:keepLines w:val="0"/>
        <w:pageBreakBefore w:val="0"/>
        <w:kinsoku/>
        <w:wordWrap/>
        <w:overflowPunct/>
        <w:topLinePunct w:val="0"/>
        <w:bidi w:val="0"/>
        <w:snapToGrid w:val="0"/>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4.因重大变故，采购任务取消的。</w:t>
      </w:r>
    </w:p>
    <w:p w14:paraId="71FB595B">
      <w:pPr>
        <w:keepNext w:val="0"/>
        <w:keepLines w:val="0"/>
        <w:pageBreakBefore w:val="0"/>
        <w:kinsoku/>
        <w:wordWrap/>
        <w:overflowPunct/>
        <w:topLinePunct w:val="0"/>
        <w:bidi w:val="0"/>
        <w:snapToGrid w:val="0"/>
        <w:spacing w:line="400" w:lineRule="exact"/>
        <w:ind w:left="211" w:hanging="211" w:hangingChars="10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四、开标</w:t>
      </w:r>
    </w:p>
    <w:p w14:paraId="54958237">
      <w:pPr>
        <w:keepNext w:val="0"/>
        <w:keepLines w:val="0"/>
        <w:pageBreakBefore w:val="0"/>
        <w:kinsoku/>
        <w:wordWrap/>
        <w:overflowPunct/>
        <w:topLinePunct w:val="0"/>
        <w:bidi w:val="0"/>
        <w:snapToGrid w:val="0"/>
        <w:spacing w:line="400" w:lineRule="exact"/>
        <w:ind w:firstLine="413" w:firstLineChars="196"/>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（一）开标准备</w:t>
      </w:r>
    </w:p>
    <w:p w14:paraId="16508207">
      <w:pPr>
        <w:keepNext w:val="0"/>
        <w:keepLines w:val="0"/>
        <w:pageBreakBefore w:val="0"/>
        <w:kinsoku/>
        <w:wordWrap/>
        <w:overflowPunct/>
        <w:topLinePunct w:val="0"/>
        <w:bidi w:val="0"/>
        <w:snapToGrid w:val="0"/>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采购单位将在</w:t>
      </w:r>
      <w:r>
        <w:rPr>
          <w:rFonts w:hint="eastAsia" w:ascii="宋体" w:hAnsi="宋体" w:eastAsia="宋体" w:cs="宋体"/>
          <w:color w:val="auto"/>
          <w:szCs w:val="21"/>
          <w:highlight w:val="none"/>
        </w:rPr>
        <w:t>招标公告</w:t>
      </w:r>
      <w:r>
        <w:rPr>
          <w:rFonts w:hint="eastAsia" w:ascii="宋体" w:hAnsi="宋体" w:eastAsia="宋体" w:cs="宋体"/>
          <w:bCs/>
          <w:color w:val="auto"/>
          <w:szCs w:val="21"/>
          <w:highlight w:val="none"/>
        </w:rPr>
        <w:t>规定的时间和地点进行开标，投标人的法定代表人或其授权代表应参加开标会并签到。投标人的法定代表人或其授权代表未按时签到的，视同放弃开标监督权利、认可开标结果。</w:t>
      </w:r>
    </w:p>
    <w:p w14:paraId="0B5C64B6">
      <w:pPr>
        <w:keepNext w:val="0"/>
        <w:keepLines w:val="0"/>
        <w:pageBreakBefore w:val="0"/>
        <w:kinsoku/>
        <w:wordWrap/>
        <w:overflowPunct/>
        <w:topLinePunct w:val="0"/>
        <w:bidi w:val="0"/>
        <w:snapToGrid w:val="0"/>
        <w:spacing w:line="400" w:lineRule="exact"/>
        <w:ind w:firstLine="413" w:firstLineChars="196"/>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（二）开标程序</w:t>
      </w:r>
    </w:p>
    <w:p w14:paraId="1DE8EB06">
      <w:pPr>
        <w:keepNext w:val="0"/>
        <w:keepLines w:val="0"/>
        <w:pageBreakBefore w:val="0"/>
        <w:kinsoku/>
        <w:wordWrap/>
        <w:overflowPunct/>
        <w:topLinePunct w:val="0"/>
        <w:bidi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1.开标会由采购单位主持，主持人宣布开标会议开始，介绍参加开标会议的人员； </w:t>
      </w:r>
    </w:p>
    <w:p w14:paraId="0B5EA66D">
      <w:pPr>
        <w:keepNext w:val="0"/>
        <w:keepLines w:val="0"/>
        <w:pageBreakBefore w:val="0"/>
        <w:kinsoku/>
        <w:wordWrap/>
        <w:overflowPunct/>
        <w:topLinePunct w:val="0"/>
        <w:bidi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2.主持人宣布开标纪律和有关事项，告知应当回避的情形，提请有关人员回避；</w:t>
      </w:r>
    </w:p>
    <w:p w14:paraId="501F6DD0">
      <w:pPr>
        <w:keepNext w:val="0"/>
        <w:keepLines w:val="0"/>
        <w:pageBreakBefore w:val="0"/>
        <w:widowControl/>
        <w:kinsoku/>
        <w:wordWrap/>
        <w:overflowPunct/>
        <w:topLinePunct w:val="0"/>
        <w:bidi w:val="0"/>
        <w:adjustRightInd w:val="0"/>
        <w:snapToGrid w:val="0"/>
        <w:spacing w:line="400" w:lineRule="exact"/>
        <w:ind w:firstLine="304" w:firstLineChars="145"/>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3.请供应商签署《投标声明书》（格式见附件）</w:t>
      </w:r>
      <w:r>
        <w:rPr>
          <w:rFonts w:hint="eastAsia" w:ascii="宋体" w:hAnsi="宋体" w:eastAsia="宋体" w:cs="宋体"/>
          <w:color w:val="auto"/>
          <w:kern w:val="0"/>
          <w:szCs w:val="21"/>
          <w:highlight w:val="none"/>
        </w:rPr>
        <w:t>，对有无影响公平竞争的情况予以确认；</w:t>
      </w:r>
    </w:p>
    <w:p w14:paraId="6C2EE06E">
      <w:pPr>
        <w:keepNext w:val="0"/>
        <w:keepLines w:val="0"/>
        <w:pageBreakBefore w:val="0"/>
        <w:kinsoku/>
        <w:wordWrap/>
        <w:overflowPunct/>
        <w:topLinePunct w:val="0"/>
        <w:bidi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4.投标人代表检查投标文件密封的情况；</w:t>
      </w:r>
    </w:p>
    <w:p w14:paraId="1A573F27">
      <w:pPr>
        <w:keepNext w:val="0"/>
        <w:keepLines w:val="0"/>
        <w:pageBreakBefore w:val="0"/>
        <w:kinsoku/>
        <w:wordWrap/>
        <w:overflowPunct/>
        <w:topLinePunct w:val="0"/>
        <w:bidi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按各投标人提交投标文件时间的先后顺序（先到后开）打开资信及商务技术的外包装，清点投标文件正本、副本数量，符合招标文件要求的送评标室评审；不符合要求的，当场退还投标人，并由投标人代表签字确认。</w:t>
      </w:r>
    </w:p>
    <w:p w14:paraId="65C932EE">
      <w:pPr>
        <w:keepNext w:val="0"/>
        <w:keepLines w:val="0"/>
        <w:pageBreakBefore w:val="0"/>
        <w:kinsoku/>
        <w:wordWrap/>
        <w:overflowPunct/>
        <w:topLinePunct w:val="0"/>
        <w:bidi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 资信及商务技术评标期间，投标人可以退场离开，采购单位应当安排继 续留在现场的投标人休息等候；</w:t>
      </w:r>
    </w:p>
    <w:p w14:paraId="32AB7FFC">
      <w:pPr>
        <w:keepNext w:val="0"/>
        <w:keepLines w:val="0"/>
        <w:pageBreakBefore w:val="0"/>
        <w:kinsoku/>
        <w:wordWrap/>
        <w:overflowPunct/>
        <w:topLinePunct w:val="0"/>
        <w:bidi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 资信及商务技术分评分结束后，由主持人公布无效投标的投标人名单、投标无效的原因及其他有效投标的评分结果；</w:t>
      </w:r>
    </w:p>
    <w:p w14:paraId="35B09902">
      <w:pPr>
        <w:keepNext w:val="0"/>
        <w:keepLines w:val="0"/>
        <w:pageBreakBefore w:val="0"/>
        <w:kinsoku/>
        <w:wordWrap/>
        <w:overflowPunct/>
        <w:topLinePunct w:val="0"/>
        <w:bidi w:val="0"/>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8.资信商务及技术分宣布后，主持人宣布开投标报价文件，唱标人当众拆封、宣读有效投标文件的《投标(开标)一览表》中的投标人名称、投标报价，以及采购单位认为有必要宣读的其他内容；</w:t>
      </w:r>
    </w:p>
    <w:p w14:paraId="0BF4E1CB">
      <w:pPr>
        <w:keepNext w:val="0"/>
        <w:keepLines w:val="0"/>
        <w:pageBreakBefore w:val="0"/>
        <w:kinsoku/>
        <w:wordWrap/>
        <w:overflowPunct/>
        <w:topLinePunct w:val="0"/>
        <w:bidi w:val="0"/>
        <w:adjustRightInd w:val="0"/>
        <w:snapToGrid w:val="0"/>
        <w:spacing w:line="400" w:lineRule="exact"/>
        <w:ind w:firstLine="388" w:firstLineChars="185"/>
        <w:rPr>
          <w:rFonts w:hint="eastAsia" w:ascii="宋体" w:hAnsi="宋体" w:eastAsia="宋体" w:cs="宋体"/>
          <w:color w:val="auto"/>
          <w:szCs w:val="21"/>
          <w:highlight w:val="none"/>
        </w:rPr>
      </w:pPr>
      <w:r>
        <w:rPr>
          <w:rFonts w:hint="eastAsia" w:ascii="宋体" w:hAnsi="宋体" w:eastAsia="宋体" w:cs="宋体"/>
          <w:color w:val="auto"/>
          <w:szCs w:val="21"/>
          <w:highlight w:val="none"/>
        </w:rPr>
        <w:t>9.记录人做开标记录, 开标记录应由投标人代表、唱标人、记录人和监督人签字确认。投标人代表未到场签字确认或者拒绝签字确认的，不影响评标过程。</w:t>
      </w:r>
    </w:p>
    <w:p w14:paraId="293F36F8">
      <w:pPr>
        <w:keepNext w:val="0"/>
        <w:keepLines w:val="0"/>
        <w:pageBreakBefore w:val="0"/>
        <w:kinsoku/>
        <w:wordWrap/>
        <w:overflowPunct/>
        <w:topLinePunct w:val="0"/>
        <w:bidi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10.主持人公布评审结果并宣布开标会议结束。</w:t>
      </w:r>
    </w:p>
    <w:p w14:paraId="0D87D99B">
      <w:pPr>
        <w:keepNext w:val="0"/>
        <w:keepLines w:val="0"/>
        <w:pageBreakBefore w:val="0"/>
        <w:kinsoku/>
        <w:wordWrap/>
        <w:overflowPunct/>
        <w:topLinePunct w:val="0"/>
        <w:bidi w:val="0"/>
        <w:snapToGrid w:val="0"/>
        <w:spacing w:line="400" w:lineRule="exact"/>
        <w:ind w:left="211" w:hanging="211" w:hangingChars="10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五、评标</w:t>
      </w:r>
    </w:p>
    <w:p w14:paraId="04BFE3F5">
      <w:pPr>
        <w:keepNext w:val="0"/>
        <w:keepLines w:val="0"/>
        <w:pageBreakBefore w:val="0"/>
        <w:kinsoku/>
        <w:wordWrap/>
        <w:overflowPunct/>
        <w:topLinePunct w:val="0"/>
        <w:bidi w:val="0"/>
        <w:snapToGrid w:val="0"/>
        <w:spacing w:line="400" w:lineRule="exact"/>
        <w:ind w:firstLine="413" w:firstLineChars="196"/>
        <w:jc w:val="left"/>
        <w:outlineLvl w:val="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（一）组建评标委员会</w:t>
      </w:r>
    </w:p>
    <w:p w14:paraId="338E9C29">
      <w:pPr>
        <w:keepNext w:val="0"/>
        <w:keepLines w:val="0"/>
        <w:pageBreakBefore w:val="0"/>
        <w:kinsoku/>
        <w:wordWrap/>
        <w:overflowPunct/>
        <w:topLinePunct w:val="0"/>
        <w:bidi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本项目评标委员会由评审专家</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4</w:t>
      </w:r>
      <w:r>
        <w:rPr>
          <w:rFonts w:hint="eastAsia" w:ascii="宋体" w:hAnsi="宋体" w:eastAsia="宋体" w:cs="宋体"/>
          <w:color w:val="auto"/>
          <w:szCs w:val="21"/>
          <w:highlight w:val="none"/>
        </w:rPr>
        <w:t>人和采购人代表</w:t>
      </w:r>
      <w:r>
        <w:rPr>
          <w:rFonts w:hint="eastAsia" w:ascii="宋体" w:hAnsi="宋体" w:eastAsia="宋体" w:cs="宋体"/>
          <w:color w:val="auto"/>
          <w:szCs w:val="21"/>
          <w:highlight w:val="none"/>
          <w:u w:val="single"/>
          <w:lang w:val="en-US" w:eastAsia="zh-CN"/>
        </w:rPr>
        <w:t>1</w:t>
      </w:r>
      <w:r>
        <w:rPr>
          <w:rFonts w:hint="eastAsia" w:ascii="宋体" w:hAnsi="宋体" w:eastAsia="宋体" w:cs="宋体"/>
          <w:color w:val="auto"/>
          <w:szCs w:val="21"/>
          <w:highlight w:val="none"/>
        </w:rPr>
        <w:t>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共</w:t>
      </w:r>
      <w:r>
        <w:rPr>
          <w:rFonts w:hint="eastAsia" w:ascii="宋体" w:hAnsi="宋体" w:eastAsia="宋体" w:cs="宋体"/>
          <w:color w:val="auto"/>
          <w:szCs w:val="21"/>
          <w:highlight w:val="none"/>
          <w:u w:val="single"/>
        </w:rPr>
        <w:t>5</w:t>
      </w:r>
      <w:r>
        <w:rPr>
          <w:rFonts w:hint="eastAsia" w:ascii="宋体" w:hAnsi="宋体" w:eastAsia="宋体" w:cs="宋体"/>
          <w:color w:val="auto"/>
          <w:szCs w:val="21"/>
          <w:highlight w:val="none"/>
        </w:rPr>
        <w:t>人组成</w:t>
      </w:r>
      <w:r>
        <w:rPr>
          <w:rFonts w:hint="eastAsia" w:ascii="宋体" w:hAnsi="宋体" w:eastAsia="宋体" w:cs="宋体"/>
          <w:color w:val="auto"/>
          <w:szCs w:val="21"/>
          <w:highlight w:val="none"/>
        </w:rPr>
        <w:t>。</w:t>
      </w:r>
    </w:p>
    <w:p w14:paraId="0526F239">
      <w:pPr>
        <w:keepNext w:val="0"/>
        <w:keepLines w:val="0"/>
        <w:pageBreakBefore w:val="0"/>
        <w:kinsoku/>
        <w:wordWrap/>
        <w:overflowPunct/>
        <w:topLinePunct w:val="0"/>
        <w:bidi w:val="0"/>
        <w:snapToGrid w:val="0"/>
        <w:spacing w:line="400" w:lineRule="exact"/>
        <w:ind w:firstLine="413" w:firstLineChars="196"/>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（二）评标的方式</w:t>
      </w:r>
    </w:p>
    <w:p w14:paraId="57B94796">
      <w:pPr>
        <w:keepNext w:val="0"/>
        <w:keepLines w:val="0"/>
        <w:pageBreakBefore w:val="0"/>
        <w:kinsoku/>
        <w:wordWrap/>
        <w:overflowPunct/>
        <w:topLinePunct w:val="0"/>
        <w:bidi w:val="0"/>
        <w:snapToGrid w:val="0"/>
        <w:spacing w:line="400" w:lineRule="exact"/>
        <w:ind w:left="210" w:leftChars="100" w:firstLine="105" w:firstLineChars="5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本项目采用不公开方式评标，评标的依据为招标文件和投标文件。</w:t>
      </w:r>
    </w:p>
    <w:p w14:paraId="70F63A0F">
      <w:pPr>
        <w:keepNext w:val="0"/>
        <w:keepLines w:val="0"/>
        <w:pageBreakBefore w:val="0"/>
        <w:kinsoku/>
        <w:wordWrap/>
        <w:overflowPunct/>
        <w:topLinePunct w:val="0"/>
        <w:bidi w:val="0"/>
        <w:snapToGrid w:val="0"/>
        <w:spacing w:line="400" w:lineRule="exact"/>
        <w:ind w:firstLine="413" w:firstLineChars="196"/>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（三）评标程序</w:t>
      </w:r>
    </w:p>
    <w:p w14:paraId="51C524C1">
      <w:pPr>
        <w:keepNext w:val="0"/>
        <w:keepLines w:val="0"/>
        <w:pageBreakBefore w:val="0"/>
        <w:kinsoku/>
        <w:wordWrap/>
        <w:overflowPunct/>
        <w:topLinePunct w:val="0"/>
        <w:bidi w:val="0"/>
        <w:snapToGrid w:val="0"/>
        <w:spacing w:line="400" w:lineRule="exact"/>
        <w:ind w:firstLine="411" w:firstLineChars="196"/>
        <w:jc w:val="left"/>
        <w:outlineLvl w:val="9"/>
        <w:rPr>
          <w:rFonts w:hint="eastAsia" w:ascii="宋体" w:hAnsi="宋体" w:eastAsia="宋体" w:cs="宋体"/>
          <w:b/>
          <w:color w:val="auto"/>
          <w:szCs w:val="21"/>
          <w:highlight w:val="none"/>
        </w:rPr>
      </w:pPr>
      <w:r>
        <w:rPr>
          <w:rFonts w:hint="eastAsia" w:ascii="宋体" w:hAnsi="宋体" w:eastAsia="宋体" w:cs="宋体"/>
          <w:bCs/>
          <w:color w:val="auto"/>
          <w:szCs w:val="21"/>
          <w:highlight w:val="none"/>
        </w:rPr>
        <w:t>采购人可以在评标前说明项目背景和采购需求，说明内容不得含有歧视性、倾向性意见，不得超出招标文件所述范围。说明应当提交书面材料，并随采购文件一并存档。</w:t>
      </w:r>
    </w:p>
    <w:p w14:paraId="601B5602">
      <w:pPr>
        <w:keepNext w:val="0"/>
        <w:keepLines w:val="0"/>
        <w:pageBreakBefore w:val="0"/>
        <w:kinsoku/>
        <w:wordWrap/>
        <w:overflowPunct/>
        <w:topLinePunct w:val="0"/>
        <w:bidi w:val="0"/>
        <w:snapToGrid w:val="0"/>
        <w:spacing w:line="400" w:lineRule="exact"/>
        <w:ind w:firstLine="413" w:firstLineChars="196"/>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1.形式审查</w:t>
      </w:r>
    </w:p>
    <w:p w14:paraId="79EBDBE1">
      <w:pPr>
        <w:keepNext w:val="0"/>
        <w:keepLines w:val="0"/>
        <w:pageBreakBefore w:val="0"/>
        <w:kinsoku/>
        <w:wordWrap/>
        <w:overflowPunct/>
        <w:topLinePunct w:val="0"/>
        <w:bidi w:val="0"/>
        <w:snapToGrid w:val="0"/>
        <w:spacing w:line="400" w:lineRule="exact"/>
        <w:ind w:firstLine="420" w:firstLineChars="200"/>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形式审查包括资格审查（除符合性审查以外的关于投标人资格条件等内容）和符合性审查，即对投标人的资格和投标文件的完整性、合法性等进行审查。投标文件形式审查未通过的投标人，其投标文件将不再评审。</w:t>
      </w:r>
    </w:p>
    <w:p w14:paraId="4761ACBA">
      <w:pPr>
        <w:keepNext w:val="0"/>
        <w:keepLines w:val="0"/>
        <w:pageBreakBefore w:val="0"/>
        <w:kinsoku/>
        <w:wordWrap/>
        <w:overflowPunct/>
        <w:topLinePunct w:val="0"/>
        <w:bidi w:val="0"/>
        <w:snapToGrid w:val="0"/>
        <w:spacing w:line="400" w:lineRule="exact"/>
        <w:ind w:firstLine="413" w:firstLineChars="196"/>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2.实质审查与比较</w:t>
      </w:r>
    </w:p>
    <w:p w14:paraId="6BBD191B">
      <w:pPr>
        <w:keepNext w:val="0"/>
        <w:keepLines w:val="0"/>
        <w:pageBreakBefore w:val="0"/>
        <w:kinsoku/>
        <w:wordWrap/>
        <w:overflowPunct/>
        <w:topLinePunct w:val="0"/>
        <w:bidi w:val="0"/>
        <w:snapToGrid w:val="0"/>
        <w:spacing w:line="40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（1）评标委员会审查投标文件的实质性内容是否符合招标文件的实质性要求。</w:t>
      </w:r>
    </w:p>
    <w:p w14:paraId="4F4DED66">
      <w:pPr>
        <w:keepNext w:val="0"/>
        <w:keepLines w:val="0"/>
        <w:pageBreakBefore w:val="0"/>
        <w:kinsoku/>
        <w:wordWrap/>
        <w:overflowPunct/>
        <w:topLinePunct w:val="0"/>
        <w:bidi w:val="0"/>
        <w:snapToGrid w:val="0"/>
        <w:spacing w:line="40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（2）评标委员会将根据投标人的投标文件进行审查、核对，如有疑问，将对投标人进行询标，投标人要向评标委员会澄清有关问题，并最终以书面形式进行答复。</w:t>
      </w:r>
    </w:p>
    <w:p w14:paraId="21572240">
      <w:pPr>
        <w:keepNext w:val="0"/>
        <w:keepLines w:val="0"/>
        <w:pageBreakBefore w:val="0"/>
        <w:kinsoku/>
        <w:wordWrap/>
        <w:overflowPunct/>
        <w:topLinePunct w:val="0"/>
        <w:bidi w:val="0"/>
        <w:snapToGrid w:val="0"/>
        <w:spacing w:line="40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投标人代表未到场或者拒绝澄清或者澄清的内容改变了投标文件的实质性内容的，评标委员会有权对该投标文件做出不利于投标人的评判。</w:t>
      </w:r>
    </w:p>
    <w:p w14:paraId="39061E72">
      <w:pPr>
        <w:keepNext w:val="0"/>
        <w:keepLines w:val="0"/>
        <w:pageBreakBefore w:val="0"/>
        <w:kinsoku/>
        <w:wordWrap/>
        <w:overflowPunct/>
        <w:topLinePunct w:val="0"/>
        <w:bidi w:val="0"/>
        <w:snapToGrid w:val="0"/>
        <w:spacing w:line="40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（3）各投标人的资信及商务技术分按照评标委员会成员的独立评分结果汇后的算术平均分计算。</w:t>
      </w:r>
    </w:p>
    <w:p w14:paraId="16A5AE36">
      <w:pPr>
        <w:keepNext w:val="0"/>
        <w:keepLines w:val="0"/>
        <w:pageBreakBefore w:val="0"/>
        <w:kinsoku/>
        <w:wordWrap/>
        <w:overflowPunct/>
        <w:topLinePunct w:val="0"/>
        <w:bidi w:val="0"/>
        <w:snapToGrid w:val="0"/>
        <w:spacing w:line="40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（4）采购单位工作人员协助评标委员会根据本项目的评分标准操作政府采购业务系统，由系统计算各投标人的商务报价得分。</w:t>
      </w:r>
    </w:p>
    <w:p w14:paraId="7765F955">
      <w:pPr>
        <w:keepNext w:val="0"/>
        <w:keepLines w:val="0"/>
        <w:pageBreakBefore w:val="0"/>
        <w:kinsoku/>
        <w:wordWrap/>
        <w:overflowPunct/>
        <w:topLinePunct w:val="0"/>
        <w:bidi w:val="0"/>
        <w:snapToGrid w:val="0"/>
        <w:spacing w:line="40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（5）评标委员会完成评标后，评委对各部分得分汇总，计算出本项目最终得分、性价比、评标价等。评标委员会按评标原则推荐中标候选人同时起草评标报告。</w:t>
      </w:r>
    </w:p>
    <w:p w14:paraId="1CFF5887">
      <w:pPr>
        <w:keepNext w:val="0"/>
        <w:keepLines w:val="0"/>
        <w:pageBreakBefore w:val="0"/>
        <w:kinsoku/>
        <w:wordWrap/>
        <w:overflowPunct/>
        <w:topLinePunct w:val="0"/>
        <w:bidi w:val="0"/>
        <w:snapToGrid w:val="0"/>
        <w:spacing w:line="400" w:lineRule="exact"/>
        <w:ind w:firstLine="413" w:firstLineChars="196"/>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（四）澄清问题的形式</w:t>
      </w:r>
    </w:p>
    <w:p w14:paraId="0573F462">
      <w:pPr>
        <w:keepNext w:val="0"/>
        <w:keepLines w:val="0"/>
        <w:pageBreakBefore w:val="0"/>
        <w:kinsoku/>
        <w:wordWrap/>
        <w:overflowPunct/>
        <w:topLinePunct w:val="0"/>
        <w:bidi w:val="0"/>
        <w:snapToGrid w:val="0"/>
        <w:spacing w:line="40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投标文件中含义不明确、同类问题表述不一致或者有明显文字和计算错误等内容，评标委员会可要求投标人做出必要的澄清、说明或者纠正。投标人的澄清、说明或者补正应当采用书面形式，由其授权代表签字或盖章确认，并不得超出投标文件的范围或者改变投标文件的实质性内容。</w:t>
      </w:r>
    </w:p>
    <w:p w14:paraId="624F17C4">
      <w:pPr>
        <w:keepNext w:val="0"/>
        <w:keepLines w:val="0"/>
        <w:pageBreakBefore w:val="0"/>
        <w:kinsoku/>
        <w:wordWrap/>
        <w:overflowPunct/>
        <w:topLinePunct w:val="0"/>
        <w:bidi w:val="0"/>
        <w:snapToGrid w:val="0"/>
        <w:spacing w:line="400" w:lineRule="exact"/>
        <w:ind w:firstLine="413" w:firstLineChars="196"/>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（五）错误修正</w:t>
      </w:r>
    </w:p>
    <w:p w14:paraId="188248FE">
      <w:pPr>
        <w:keepNext w:val="0"/>
        <w:keepLines w:val="0"/>
        <w:pageBreakBefore w:val="0"/>
        <w:kinsoku/>
        <w:wordWrap/>
        <w:overflowPunct/>
        <w:topLinePunct w:val="0"/>
        <w:bidi w:val="0"/>
        <w:snapToGrid w:val="0"/>
        <w:spacing w:line="400" w:lineRule="exact"/>
        <w:ind w:firstLine="420" w:firstLineChars="200"/>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投标文件如果出现计算或表达上的错误，修正错误的原则如下：</w:t>
      </w:r>
    </w:p>
    <w:p w14:paraId="3A660912">
      <w:pPr>
        <w:keepNext w:val="0"/>
        <w:keepLines w:val="0"/>
        <w:pageBreakBefore w:val="0"/>
        <w:kinsoku/>
        <w:wordWrap/>
        <w:overflowPunct/>
        <w:topLinePunct w:val="0"/>
        <w:bidi w:val="0"/>
        <w:snapToGrid w:val="0"/>
        <w:spacing w:line="400" w:lineRule="exact"/>
        <w:ind w:firstLine="420" w:firstLineChars="200"/>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1.开标一览表总价与投标报价明细表汇总数不一致的，以开标一览表为准；</w:t>
      </w:r>
    </w:p>
    <w:p w14:paraId="1550C4CF">
      <w:pPr>
        <w:keepNext w:val="0"/>
        <w:keepLines w:val="0"/>
        <w:pageBreakBefore w:val="0"/>
        <w:kinsoku/>
        <w:wordWrap/>
        <w:overflowPunct/>
        <w:topLinePunct w:val="0"/>
        <w:bidi w:val="0"/>
        <w:snapToGrid w:val="0"/>
        <w:spacing w:line="400" w:lineRule="exact"/>
        <w:ind w:firstLine="420" w:firstLineChars="200"/>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2.投标文件的大写金额和小写金额不一致的，以大写金额为准；</w:t>
      </w:r>
    </w:p>
    <w:p w14:paraId="061E0E08">
      <w:pPr>
        <w:keepNext w:val="0"/>
        <w:keepLines w:val="0"/>
        <w:pageBreakBefore w:val="0"/>
        <w:kinsoku/>
        <w:wordWrap/>
        <w:overflowPunct/>
        <w:topLinePunct w:val="0"/>
        <w:bidi w:val="0"/>
        <w:snapToGrid w:val="0"/>
        <w:spacing w:line="400" w:lineRule="exact"/>
        <w:ind w:firstLine="420" w:firstLineChars="200"/>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3.总价金额与按单价汇总金额不一致的，以单价金额计算结果为准；</w:t>
      </w:r>
    </w:p>
    <w:p w14:paraId="4867A9D0">
      <w:pPr>
        <w:keepNext w:val="0"/>
        <w:keepLines w:val="0"/>
        <w:pageBreakBefore w:val="0"/>
        <w:kinsoku/>
        <w:wordWrap/>
        <w:overflowPunct/>
        <w:topLinePunct w:val="0"/>
        <w:bidi w:val="0"/>
        <w:snapToGrid w:val="0"/>
        <w:spacing w:line="400" w:lineRule="exact"/>
        <w:ind w:firstLine="420" w:firstLineChars="200"/>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4.对不同文字文本投标文件的解释发生异议的，以中文文本为准。</w:t>
      </w:r>
    </w:p>
    <w:p w14:paraId="5B656A9B">
      <w:pPr>
        <w:keepNext w:val="0"/>
        <w:keepLines w:val="0"/>
        <w:pageBreakBefore w:val="0"/>
        <w:kinsoku/>
        <w:wordWrap/>
        <w:overflowPunct/>
        <w:topLinePunct w:val="0"/>
        <w:bidi w:val="0"/>
        <w:snapToGrid w:val="0"/>
        <w:spacing w:line="400" w:lineRule="exact"/>
        <w:ind w:firstLine="420" w:firstLineChars="200"/>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按上述修正错误的原则及方法调整或修正投标文件的投标报价，投标人同意并签字确认后，调整后的投标报价对投标人具有约束作用。如果投标人不接受修正后的报价，则其投标将作为无效投标处理。</w:t>
      </w:r>
    </w:p>
    <w:p w14:paraId="0ED43B5B">
      <w:pPr>
        <w:keepNext w:val="0"/>
        <w:keepLines w:val="0"/>
        <w:pageBreakBefore w:val="0"/>
        <w:kinsoku/>
        <w:wordWrap/>
        <w:overflowPunct/>
        <w:topLinePunct w:val="0"/>
        <w:bidi w:val="0"/>
        <w:snapToGrid w:val="0"/>
        <w:spacing w:line="400" w:lineRule="exact"/>
        <w:ind w:firstLine="413" w:firstLineChars="196"/>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（六）评标原则和评标办法</w:t>
      </w:r>
    </w:p>
    <w:p w14:paraId="08D0D3AC">
      <w:pPr>
        <w:keepNext w:val="0"/>
        <w:keepLines w:val="0"/>
        <w:pageBreakBefore w:val="0"/>
        <w:kinsoku/>
        <w:wordWrap/>
        <w:overflowPunct/>
        <w:topLinePunct w:val="0"/>
        <w:bidi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73CDC41E">
      <w:pPr>
        <w:keepNext w:val="0"/>
        <w:keepLines w:val="0"/>
        <w:pageBreakBefore w:val="0"/>
        <w:kinsoku/>
        <w:wordWrap/>
        <w:overflowPunct/>
        <w:topLinePunct w:val="0"/>
        <w:bidi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2.评标办法。本项目评标办法是</w:t>
      </w:r>
      <w:r>
        <w:rPr>
          <w:rFonts w:hint="eastAsia" w:ascii="宋体" w:hAnsi="宋体" w:eastAsia="宋体" w:cs="宋体"/>
          <w:color w:val="auto"/>
          <w:szCs w:val="21"/>
          <w:highlight w:val="none"/>
          <w:u w:val="single"/>
        </w:rPr>
        <w:t>综合评分法</w:t>
      </w:r>
      <w:r>
        <w:rPr>
          <w:rFonts w:hint="eastAsia" w:ascii="宋体" w:hAnsi="宋体" w:eastAsia="宋体" w:cs="宋体"/>
          <w:color w:val="auto"/>
          <w:szCs w:val="21"/>
          <w:highlight w:val="none"/>
        </w:rPr>
        <w:t>，具体评标内容及评分标准等详见《第四章：评标办法及评分标准》。</w:t>
      </w:r>
    </w:p>
    <w:p w14:paraId="5FD700AB">
      <w:pPr>
        <w:keepNext w:val="0"/>
        <w:keepLines w:val="0"/>
        <w:pageBreakBefore w:val="0"/>
        <w:kinsoku/>
        <w:wordWrap/>
        <w:overflowPunct/>
        <w:topLinePunct w:val="0"/>
        <w:bidi w:val="0"/>
        <w:snapToGrid w:val="0"/>
        <w:spacing w:line="400" w:lineRule="exact"/>
        <w:ind w:firstLine="413" w:firstLineChars="196"/>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（七）评标过程的监控</w:t>
      </w:r>
    </w:p>
    <w:p w14:paraId="1F4C4B87">
      <w:pPr>
        <w:keepNext w:val="0"/>
        <w:keepLines w:val="0"/>
        <w:pageBreakBefore w:val="0"/>
        <w:kinsoku/>
        <w:wordWrap/>
        <w:overflowPunct/>
        <w:topLinePunct w:val="0"/>
        <w:bidi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本项目评标过程实行全程录像监控，投标人在评标过程中所进行的试图影响评标结果的不公正活动，将按有关法律法规处理。</w:t>
      </w:r>
    </w:p>
    <w:p w14:paraId="39EED781">
      <w:pPr>
        <w:keepNext w:val="0"/>
        <w:keepLines w:val="0"/>
        <w:pageBreakBefore w:val="0"/>
        <w:kinsoku/>
        <w:wordWrap/>
        <w:overflowPunct/>
        <w:topLinePunct w:val="0"/>
        <w:bidi w:val="0"/>
        <w:snapToGrid w:val="0"/>
        <w:spacing w:line="400" w:lineRule="exact"/>
        <w:ind w:firstLine="20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六、定标</w:t>
      </w:r>
    </w:p>
    <w:p w14:paraId="021C2DEB">
      <w:pPr>
        <w:keepNext w:val="0"/>
        <w:keepLines w:val="0"/>
        <w:pageBreakBefore w:val="0"/>
        <w:kinsoku/>
        <w:wordWrap/>
        <w:overflowPunct/>
        <w:topLinePunct w:val="0"/>
        <w:bidi w:val="0"/>
        <w:snapToGrid w:val="0"/>
        <w:spacing w:line="400" w:lineRule="exact"/>
        <w:ind w:firstLine="413" w:firstLineChars="196"/>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确定中标人。</w:t>
      </w:r>
    </w:p>
    <w:p w14:paraId="472C5553">
      <w:pPr>
        <w:keepNext w:val="0"/>
        <w:keepLines w:val="0"/>
        <w:pageBreakBefore w:val="0"/>
        <w:kinsoku/>
        <w:wordWrap/>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评标委员会根据招标文件和有关规定，履行评标工作职责，以评标原则和评标办法为标准，全面衡量各投标人对招标文件的响应情况。评标委员会按照各投标单位的综合得分情况，确定1名中标候选人。评标委员会根据评标结果向采购人提交评标报告。</w:t>
      </w:r>
    </w:p>
    <w:p w14:paraId="5A655A21">
      <w:pPr>
        <w:keepNext w:val="0"/>
        <w:keepLines w:val="0"/>
        <w:pageBreakBefore w:val="0"/>
        <w:kinsoku/>
        <w:wordWrap/>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2.采购单位应在收到评标报告后5个工作日内，按照评标报告中推荐的中标候选供应商顺序确定中标供应商，对评标结果进行确认；并在发布招标公告的网站上公布中标结果公告。</w:t>
      </w:r>
    </w:p>
    <w:p w14:paraId="108A100A">
      <w:pPr>
        <w:keepNext w:val="0"/>
        <w:keepLines w:val="0"/>
        <w:pageBreakBefore w:val="0"/>
        <w:kinsoku/>
        <w:wordWrap/>
        <w:overflowPunct/>
        <w:topLinePunct w:val="0"/>
        <w:bidi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 在公告中标结果的同时，采购单位以书面形式向中标人发出《中标通知书》。</w:t>
      </w:r>
    </w:p>
    <w:p w14:paraId="0C91330D">
      <w:pPr>
        <w:keepNext w:val="0"/>
        <w:keepLines w:val="0"/>
        <w:pageBreakBefore w:val="0"/>
        <w:kinsoku/>
        <w:wordWrap/>
        <w:overflowPunct/>
        <w:topLinePunct w:val="0"/>
        <w:bidi w:val="0"/>
        <w:snapToGrid w:val="0"/>
        <w:spacing w:line="400" w:lineRule="exact"/>
        <w:ind w:firstLine="413" w:firstLineChars="196"/>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七、合同授予</w:t>
      </w:r>
    </w:p>
    <w:p w14:paraId="12540CDA">
      <w:pPr>
        <w:keepNext w:val="0"/>
        <w:keepLines w:val="0"/>
        <w:pageBreakBefore w:val="0"/>
        <w:kinsoku/>
        <w:wordWrap/>
        <w:overflowPunct/>
        <w:topLinePunct w:val="0"/>
        <w:bidi w:val="0"/>
        <w:snapToGrid w:val="0"/>
        <w:spacing w:line="400" w:lineRule="exact"/>
        <w:ind w:firstLine="413" w:firstLineChars="196"/>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（一）签订合同</w:t>
      </w:r>
    </w:p>
    <w:p w14:paraId="01433D2D">
      <w:pPr>
        <w:keepNext w:val="0"/>
        <w:keepLines w:val="0"/>
        <w:pageBreakBefore w:val="0"/>
        <w:kinsoku/>
        <w:wordWrap/>
        <w:overflowPunct/>
        <w:topLinePunct w:val="0"/>
        <w:bidi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1.采购人与中标人应当在《中标通知书》发出之日起30日内签订采购合同。同时，采购单位对合同内容进行审查，如发现与采购结果和投标承诺内容不一致的，应予以纠正。</w:t>
      </w:r>
    </w:p>
    <w:p w14:paraId="62CFFE94">
      <w:pPr>
        <w:keepNext w:val="0"/>
        <w:keepLines w:val="0"/>
        <w:pageBreakBefore w:val="0"/>
        <w:kinsoku/>
        <w:wordWrap/>
        <w:overflowPunct/>
        <w:topLinePunct w:val="0"/>
        <w:bidi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中标人拖延、拒签合同的，将被取消中标资格。中标供应商在接到《中标通知书》后，违反采购文件有关规定和要求，不履行投标承诺，在规定时间内拒交履约保证金、拒签合同或放弃中标的，则取消该投标人的中标资格，中标供应商改为综合得分第二名的投标人，或重新组织采购。</w:t>
      </w:r>
    </w:p>
    <w:p w14:paraId="5303E5DF">
      <w:pPr>
        <w:keepNext w:val="0"/>
        <w:keepLines w:val="0"/>
        <w:pageBreakBefore w:val="0"/>
        <w:kinsoku/>
        <w:wordWrap/>
        <w:overflowPunct/>
        <w:topLinePunct w:val="0"/>
        <w:bidi w:val="0"/>
        <w:snapToGrid w:val="0"/>
        <w:spacing w:line="400" w:lineRule="exact"/>
        <w:ind w:firstLine="413" w:firstLineChars="196"/>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（二）履约保证金</w:t>
      </w:r>
    </w:p>
    <w:p w14:paraId="49585ED7">
      <w:pPr>
        <w:keepNext w:val="0"/>
        <w:keepLines w:val="0"/>
        <w:pageBreakBefore w:val="0"/>
        <w:kinsoku/>
        <w:wordWrap/>
        <w:overflowPunct/>
        <w:topLinePunct w:val="0"/>
        <w:bidi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本项目不设置。</w:t>
      </w:r>
    </w:p>
    <w:p w14:paraId="2AF9CBF7">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776C77EB">
      <w:pPr>
        <w:keepNext/>
        <w:keepLines/>
        <w:spacing w:before="260" w:after="260" w:line="360" w:lineRule="auto"/>
        <w:jc w:val="center"/>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 xml:space="preserve">第四章  </w:t>
      </w:r>
      <w:r>
        <w:rPr>
          <w:rFonts w:hint="eastAsia" w:ascii="宋体" w:hAnsi="宋体" w:eastAsia="宋体" w:cs="宋体"/>
          <w:b/>
          <w:bCs/>
          <w:color w:val="auto"/>
          <w:sz w:val="32"/>
          <w:szCs w:val="32"/>
          <w:highlight w:val="none"/>
        </w:rPr>
        <w:t>评标办法及评分标准</w:t>
      </w:r>
    </w:p>
    <w:p w14:paraId="56A53745">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为公正、公平、科学地选择中标人，参照《中华人民共和国政府采购法》等有关法律法规的规定，并结合本项目的实际，制定本办法。</w:t>
      </w:r>
    </w:p>
    <w:p w14:paraId="3BA1C140">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本办法</w:t>
      </w:r>
      <w:r>
        <w:rPr>
          <w:rFonts w:hint="eastAsia" w:ascii="宋体" w:hAnsi="宋体" w:eastAsia="宋体" w:cs="宋体"/>
          <w:color w:val="auto"/>
          <w:szCs w:val="21"/>
          <w:highlight w:val="none"/>
        </w:rPr>
        <w:t>适用于</w:t>
      </w:r>
      <w:r>
        <w:rPr>
          <w:rFonts w:hint="eastAsia" w:ascii="宋体" w:hAnsi="宋体" w:eastAsia="宋体" w:cs="宋体"/>
          <w:b/>
          <w:color w:val="auto"/>
          <w:kern w:val="0"/>
          <w:szCs w:val="21"/>
          <w:highlight w:val="none"/>
          <w:u w:val="single"/>
          <w:lang w:eastAsia="zh-CN"/>
        </w:rPr>
        <w:t>平湖市中心城区污水管网扩容改建一期工程招标代理及造价咨询服务项目</w:t>
      </w:r>
      <w:r>
        <w:rPr>
          <w:rFonts w:hint="eastAsia" w:ascii="宋体" w:hAnsi="宋体" w:eastAsia="宋体" w:cs="宋体"/>
          <w:bCs/>
          <w:color w:val="auto"/>
          <w:szCs w:val="21"/>
          <w:highlight w:val="none"/>
        </w:rPr>
        <w:t>的评标。</w:t>
      </w:r>
    </w:p>
    <w:p w14:paraId="6E758052">
      <w:pPr>
        <w:keepNext w:val="0"/>
        <w:keepLines w:val="0"/>
        <w:pageBreakBefore w:val="0"/>
        <w:widowControl w:val="0"/>
        <w:kinsoku/>
        <w:wordWrap/>
        <w:overflowPunct/>
        <w:topLinePunct w:val="0"/>
        <w:autoSpaceDE/>
        <w:autoSpaceDN/>
        <w:bidi w:val="0"/>
        <w:spacing w:line="400" w:lineRule="exact"/>
        <w:ind w:firstLine="413" w:firstLineChars="196"/>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一、总则</w:t>
      </w:r>
    </w:p>
    <w:p w14:paraId="055F5139">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bCs/>
          <w:color w:val="auto"/>
          <w:szCs w:val="21"/>
          <w:highlight w:val="none"/>
        </w:rPr>
        <w:t xml:space="preserve"> 本次评标采用综合评分法，总分为100分，其中价格分10分，</w:t>
      </w:r>
      <w:r>
        <w:rPr>
          <w:rFonts w:hint="eastAsia" w:ascii="宋体" w:hAnsi="宋体" w:eastAsia="宋体" w:cs="宋体"/>
          <w:color w:val="auto"/>
          <w:szCs w:val="21"/>
          <w:highlight w:val="none"/>
        </w:rPr>
        <w:t>资信及商务技术</w:t>
      </w:r>
      <w:r>
        <w:rPr>
          <w:rFonts w:hint="eastAsia" w:ascii="宋体" w:hAnsi="宋体" w:eastAsia="宋体" w:cs="宋体"/>
          <w:bCs/>
          <w:color w:val="auto"/>
          <w:szCs w:val="21"/>
          <w:highlight w:val="none"/>
        </w:rPr>
        <w:t>分90分组成。</w:t>
      </w:r>
      <w:r>
        <w:rPr>
          <w:rFonts w:hint="eastAsia" w:ascii="宋体" w:hAnsi="宋体" w:eastAsia="宋体" w:cs="宋体"/>
          <w:color w:val="auto"/>
          <w:szCs w:val="21"/>
          <w:highlight w:val="none"/>
        </w:rPr>
        <w:t>合格投标人的评标得分为各项目汇总得分，中标候选资格按评标得分由高到低顺序排列，得分相同的，按投标报价由低到高顺序排列；得分且投标报价相同的，按资信及商务技术得分由高到低顺序排列；如按照上述条件依然无法确定投标人排序先后的，则由投标人代表抽签决定排名。排名第一的投标人为中标候选人。评分过程中采用四舍五入法，并保留小数点后2位。</w:t>
      </w:r>
    </w:p>
    <w:p w14:paraId="731C401F">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2.投标人的投标报价不得超过采购人设定的上限价。价格是评标的重要因素之一，但最低报价不是中标的唯一依据。</w:t>
      </w:r>
      <w:r>
        <w:rPr>
          <w:rFonts w:hint="eastAsia" w:ascii="宋体" w:hAnsi="宋体" w:eastAsia="宋体" w:cs="宋体"/>
          <w:bCs/>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投标人不能证明其报价合理性的，评标委员会应当将其作为无效投标处理。</w:t>
      </w:r>
    </w:p>
    <w:p w14:paraId="0783F4F7">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3.投标人评标综合得分=价格分+资信及商务技术分。</w:t>
      </w:r>
    </w:p>
    <w:p w14:paraId="23760867">
      <w:pPr>
        <w:keepNext w:val="0"/>
        <w:keepLines w:val="0"/>
        <w:pageBreakBefore w:val="0"/>
        <w:widowControl w:val="0"/>
        <w:kinsoku/>
        <w:wordWrap/>
        <w:overflowPunct/>
        <w:topLinePunct w:val="0"/>
        <w:autoSpaceDE/>
        <w:autoSpaceDN/>
        <w:bidi w:val="0"/>
        <w:spacing w:line="40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二、评标内容及标准</w:t>
      </w:r>
    </w:p>
    <w:p w14:paraId="73B3727D">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各评委成员按评标具体办法独立进行评判，每人一张评分计算票，并记名。如某张票的一个因素项目超过规定的范围，则该票无效。各投标人的资信及商务技术分值为所有评标成员给出的值算术平均值。（保留小数点后2位，四舍五入法）</w:t>
      </w:r>
    </w:p>
    <w:p w14:paraId="2DB4334A">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（一）价格分（10分）</w:t>
      </w:r>
    </w:p>
    <w:p w14:paraId="1FDFE9D8">
      <w:pPr>
        <w:keepNext w:val="0"/>
        <w:keepLines w:val="0"/>
        <w:pageBreakBefore w:val="0"/>
        <w:widowControl w:val="0"/>
        <w:tabs>
          <w:tab w:val="left" w:pos="6264"/>
        </w:tabs>
        <w:kinsoku/>
        <w:wordWrap/>
        <w:overflowPunct/>
        <w:topLinePunct w:val="0"/>
        <w:autoSpaceDE/>
        <w:autoSpaceDN/>
        <w:bidi w:val="0"/>
        <w:snapToGrid w:val="0"/>
        <w:spacing w:line="400" w:lineRule="exact"/>
        <w:ind w:firstLine="476"/>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财政部《关于加强政府采购货物和服务项目价格评审管理的通知》，综合评分法中的价格分统一采用低价优先法计算，即满足招标文件要求且投标价格最低的投标报价为评标基准价，其价格分为满分。其他投标人的价格分统一按照下列公式计算:</w:t>
      </w:r>
    </w:p>
    <w:p w14:paraId="4580DAB3">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投标报价得分=(评标基准价/投标报价)×10%×100</w:t>
      </w:r>
    </w:p>
    <w:p w14:paraId="14454169">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（二）资信商务及技术分（90分）</w:t>
      </w:r>
    </w:p>
    <w:tbl>
      <w:tblPr>
        <w:tblStyle w:val="43"/>
        <w:tblW w:w="9010"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5"/>
        <w:gridCol w:w="6930"/>
        <w:gridCol w:w="1275"/>
      </w:tblGrid>
      <w:tr w14:paraId="37AA9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805" w:type="dxa"/>
            <w:tcBorders>
              <w:right w:val="single" w:color="auto" w:sz="4" w:space="0"/>
            </w:tcBorders>
            <w:noWrap w:val="0"/>
            <w:vAlign w:val="center"/>
          </w:tcPr>
          <w:p w14:paraId="1E845065">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6930" w:type="dxa"/>
            <w:tcBorders>
              <w:left w:val="single" w:color="auto" w:sz="4" w:space="0"/>
              <w:right w:val="single" w:color="auto" w:sz="4" w:space="0"/>
            </w:tcBorders>
            <w:noWrap w:val="0"/>
            <w:vAlign w:val="center"/>
          </w:tcPr>
          <w:p w14:paraId="3481C3FC">
            <w:pPr>
              <w:keepNext w:val="0"/>
              <w:keepLines w:val="0"/>
              <w:pageBreakBefore w:val="0"/>
              <w:kinsoku/>
              <w:wordWrap/>
              <w:overflowPunct/>
              <w:topLinePunct w:val="0"/>
              <w:autoSpaceDE/>
              <w:autoSpaceDN/>
              <w:bidi w:val="0"/>
              <w:adjustRightInd/>
              <w:snapToGrid w:val="0"/>
              <w:spacing w:line="400" w:lineRule="exact"/>
              <w:ind w:left="0"/>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评分因素与评分标准</w:t>
            </w:r>
          </w:p>
        </w:tc>
        <w:tc>
          <w:tcPr>
            <w:tcW w:w="1275" w:type="dxa"/>
            <w:tcBorders>
              <w:left w:val="single" w:color="auto" w:sz="4" w:space="0"/>
            </w:tcBorders>
            <w:noWrap w:val="0"/>
            <w:vAlign w:val="center"/>
          </w:tcPr>
          <w:p w14:paraId="3B44A8D8">
            <w:pPr>
              <w:keepNext w:val="0"/>
              <w:keepLines w:val="0"/>
              <w:pageBreakBefore w:val="0"/>
              <w:kinsoku/>
              <w:wordWrap/>
              <w:overflowPunct/>
              <w:topLinePunct w:val="0"/>
              <w:autoSpaceDE/>
              <w:autoSpaceDN/>
              <w:bidi w:val="0"/>
              <w:adjustRightInd/>
              <w:snapToGrid w:val="0"/>
              <w:spacing w:line="400" w:lineRule="exact"/>
              <w:ind w:left="0"/>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最高得分</w:t>
            </w:r>
          </w:p>
        </w:tc>
      </w:tr>
      <w:tr w14:paraId="084B6E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805" w:type="dxa"/>
            <w:tcBorders>
              <w:bottom w:val="single" w:color="auto" w:sz="4" w:space="0"/>
            </w:tcBorders>
            <w:noWrap w:val="0"/>
            <w:vAlign w:val="center"/>
          </w:tcPr>
          <w:p w14:paraId="6626D859">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w:t>
            </w:r>
          </w:p>
        </w:tc>
        <w:tc>
          <w:tcPr>
            <w:tcW w:w="6930" w:type="dxa"/>
            <w:tcBorders>
              <w:bottom w:val="single" w:color="auto" w:sz="4" w:space="0"/>
              <w:right w:val="single" w:color="auto" w:sz="4" w:space="0"/>
            </w:tcBorders>
            <w:noWrap w:val="0"/>
            <w:vAlign w:val="center"/>
          </w:tcPr>
          <w:p w14:paraId="50653753">
            <w:pPr>
              <w:keepNext w:val="0"/>
              <w:keepLines w:val="0"/>
              <w:pageBreakBefore w:val="0"/>
              <w:widowControl/>
              <w:kinsoku/>
              <w:wordWrap/>
              <w:overflowPunct/>
              <w:topLinePunct w:val="0"/>
              <w:autoSpaceDE/>
              <w:autoSpaceDN/>
              <w:bidi w:val="0"/>
              <w:adjustRightInd/>
              <w:snapToGrid w:val="0"/>
              <w:spacing w:line="400" w:lineRule="exact"/>
              <w:ind w:left="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本项目造价咨询人员专业配备</w:t>
            </w:r>
            <w:r>
              <w:rPr>
                <w:rFonts w:hint="eastAsia" w:ascii="宋体" w:hAnsi="宋体" w:eastAsia="宋体" w:cs="宋体"/>
                <w:b/>
                <w:color w:val="auto"/>
                <w:sz w:val="21"/>
                <w:szCs w:val="21"/>
                <w:highlight w:val="none"/>
                <w:lang w:val="en-US" w:eastAsia="zh-CN"/>
              </w:rPr>
              <w:t>等</w:t>
            </w:r>
            <w:r>
              <w:rPr>
                <w:rFonts w:hint="eastAsia" w:ascii="宋体" w:hAnsi="宋体" w:eastAsia="宋体" w:cs="宋体"/>
                <w:b/>
                <w:color w:val="auto"/>
                <w:sz w:val="21"/>
                <w:szCs w:val="21"/>
                <w:highlight w:val="none"/>
              </w:rPr>
              <w:t>情况(0～1</w:t>
            </w:r>
            <w:r>
              <w:rPr>
                <w:rFonts w:hint="eastAsia" w:ascii="宋体" w:hAnsi="宋体" w:eastAsia="宋体" w:cs="宋体"/>
                <w:b/>
                <w:color w:val="auto"/>
                <w:sz w:val="21"/>
                <w:szCs w:val="21"/>
                <w:highlight w:val="none"/>
                <w:lang w:val="en-US" w:eastAsia="zh-CN"/>
              </w:rPr>
              <w:t>6</w:t>
            </w:r>
            <w:r>
              <w:rPr>
                <w:rFonts w:hint="eastAsia" w:ascii="宋体" w:hAnsi="宋体" w:eastAsia="宋体" w:cs="宋体"/>
                <w:b/>
                <w:color w:val="auto"/>
                <w:sz w:val="21"/>
                <w:szCs w:val="21"/>
                <w:highlight w:val="none"/>
              </w:rPr>
              <w:t>分)。</w:t>
            </w:r>
          </w:p>
          <w:p w14:paraId="0C4332DE">
            <w:pPr>
              <w:keepNext w:val="0"/>
              <w:keepLines w:val="0"/>
              <w:pageBreakBefore w:val="0"/>
              <w:kinsoku/>
              <w:wordWrap/>
              <w:overflowPunct/>
              <w:topLinePunct w:val="0"/>
              <w:autoSpaceDE/>
              <w:autoSpaceDN/>
              <w:bidi w:val="0"/>
              <w:adjustRightInd/>
              <w:snapToGrid w:val="0"/>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（1）配备建筑（或土木建筑）</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安装专业注册造价师（含全国注册造价师、一级、二级，）各2名，</w:t>
            </w:r>
            <w:r>
              <w:rPr>
                <w:rFonts w:hint="eastAsia" w:ascii="宋体" w:hAnsi="宋体" w:eastAsia="宋体" w:cs="宋体"/>
                <w:color w:val="auto"/>
                <w:sz w:val="21"/>
                <w:szCs w:val="21"/>
                <w:highlight w:val="none"/>
                <w:lang w:val="en-US" w:eastAsia="zh-CN"/>
              </w:rPr>
              <w:t>以上</w:t>
            </w:r>
            <w:r>
              <w:rPr>
                <w:rFonts w:hint="eastAsia" w:ascii="宋体" w:hAnsi="宋体" w:eastAsia="宋体" w:cs="宋体"/>
                <w:color w:val="auto"/>
                <w:sz w:val="21"/>
                <w:szCs w:val="21"/>
                <w:highlight w:val="none"/>
              </w:rPr>
              <w:t>专业每增加1名加2分（同一专业累计加分最多2人），本项最高得8分。（0-8分）</w:t>
            </w:r>
          </w:p>
          <w:p w14:paraId="177500C6">
            <w:pPr>
              <w:keepNext w:val="0"/>
              <w:keepLines w:val="0"/>
              <w:pageBreakBefore w:val="0"/>
              <w:kinsoku/>
              <w:wordWrap/>
              <w:overflowPunct/>
              <w:topLinePunct w:val="0"/>
              <w:autoSpaceDE/>
              <w:autoSpaceDN/>
              <w:bidi w:val="0"/>
              <w:adjustRightInd/>
              <w:snapToGrid w:val="0"/>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（2）本项目配备建筑（或土木建筑）</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安装专业一级注册造价师（含全国注册造价师）总数至少2人，2人以上每增加1人加2分，最多得6分。（0-6分）</w:t>
            </w:r>
          </w:p>
          <w:p w14:paraId="1530FF22">
            <w:pPr>
              <w:keepNext w:val="0"/>
              <w:keepLines w:val="0"/>
              <w:pageBreakBefore w:val="0"/>
              <w:widowControl/>
              <w:kinsoku/>
              <w:wordWrap/>
              <w:overflowPunct/>
              <w:topLinePunct w:val="0"/>
              <w:autoSpaceDE/>
              <w:autoSpaceDN/>
              <w:bidi w:val="0"/>
              <w:adjustRightInd/>
              <w:snapToGrid w:val="0"/>
              <w:spacing w:line="40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注：上述(1)、(2)项人员不重复计分，只计取一次最高分，提供相关证书及单位为其连续缴费达到3个月及以上的养老保险证明，由投标人所属社保机构（含分公司缴纳）出具(社保证明的出具日期在招标公告日至投标截止日内有效，除此以外一律不予认可）。省内投标人的社保证明格式仅限于“浙江政务服务网”等网络端下载打印的加盖电子印章纸质证明，扫描二维码与纸质内容一致。省外投标人必须为社保管理机构出具的证明原件，如省外社保管理机构实行社保网上办理的，可以提供该机构出具的加盖电子印章的有效证明复印件。</w:t>
            </w:r>
          </w:p>
          <w:p w14:paraId="7436D380">
            <w:pPr>
              <w:keepNext w:val="0"/>
              <w:keepLines w:val="0"/>
              <w:pageBreakBefore w:val="0"/>
              <w:widowControl/>
              <w:kinsoku/>
              <w:wordWrap/>
              <w:overflowPunct/>
              <w:topLinePunct w:val="0"/>
              <w:autoSpaceDE/>
              <w:autoSpaceDN/>
              <w:bidi w:val="0"/>
              <w:adjustRightInd/>
              <w:snapToGrid w:val="0"/>
              <w:spacing w:line="400" w:lineRule="exact"/>
              <w:ind w:lef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拟派项目负责人</w:t>
            </w:r>
            <w:r>
              <w:rPr>
                <w:rFonts w:hint="eastAsia" w:ascii="宋体" w:hAnsi="宋体" w:eastAsia="宋体" w:cs="宋体"/>
                <w:color w:val="auto"/>
                <w:sz w:val="21"/>
                <w:szCs w:val="21"/>
                <w:highlight w:val="none"/>
              </w:rPr>
              <w:t>自</w:t>
            </w:r>
            <w:r>
              <w:rPr>
                <w:rFonts w:hint="eastAsia" w:ascii="宋体" w:hAnsi="宋体" w:eastAsia="宋体" w:cs="宋体"/>
                <w:color w:val="auto"/>
                <w:sz w:val="21"/>
                <w:szCs w:val="21"/>
                <w:highlight w:val="none"/>
                <w:lang w:val="en-US" w:eastAsia="zh-CN"/>
              </w:rPr>
              <w:t>2021</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月1日以来承担过</w:t>
            </w:r>
            <w:r>
              <w:rPr>
                <w:rFonts w:hint="eastAsia" w:ascii="宋体" w:hAnsi="宋体" w:eastAsia="宋体" w:cs="宋体"/>
                <w:color w:val="auto"/>
                <w:sz w:val="21"/>
                <w:szCs w:val="21"/>
                <w:highlight w:val="none"/>
                <w:lang w:val="en-US" w:eastAsia="zh-CN"/>
              </w:rPr>
              <w:t>类似</w:t>
            </w:r>
            <w:r>
              <w:rPr>
                <w:rFonts w:hint="eastAsia" w:ascii="宋体" w:hAnsi="宋体" w:eastAsia="宋体" w:cs="宋体"/>
                <w:color w:val="auto"/>
                <w:sz w:val="21"/>
                <w:szCs w:val="21"/>
                <w:highlight w:val="none"/>
              </w:rPr>
              <w:t>施工</w:t>
            </w:r>
            <w:r>
              <w:rPr>
                <w:rFonts w:hint="eastAsia" w:ascii="宋体" w:hAnsi="宋体" w:eastAsia="宋体" w:cs="宋体"/>
                <w:color w:val="auto"/>
                <w:sz w:val="21"/>
                <w:szCs w:val="21"/>
                <w:highlight w:val="none"/>
                <w:lang w:val="en-US" w:eastAsia="zh-CN"/>
              </w:rPr>
              <w:t>项目的</w:t>
            </w:r>
            <w:r>
              <w:rPr>
                <w:rFonts w:hint="eastAsia" w:ascii="宋体" w:hAnsi="宋体" w:eastAsia="宋体" w:cs="宋体"/>
                <w:color w:val="auto"/>
                <w:sz w:val="21"/>
                <w:szCs w:val="21"/>
                <w:highlight w:val="none"/>
              </w:rPr>
              <w:t>招标代理及造价咨询业绩的每个得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分，最高得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分（需提供的证明材料：①招标代理合同或委托书②施工招标中标通知书，两者缺一不可，否则不得分。时间以中标通知书核发时间为准，金额以施工中标通知书中载明的金额为准。（0-</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1275" w:type="dxa"/>
            <w:tcBorders>
              <w:left w:val="single" w:color="auto" w:sz="4" w:space="0"/>
              <w:bottom w:val="single" w:color="auto" w:sz="4" w:space="0"/>
            </w:tcBorders>
            <w:noWrap w:val="0"/>
            <w:vAlign w:val="center"/>
          </w:tcPr>
          <w:p w14:paraId="28295315">
            <w:pPr>
              <w:keepNext w:val="0"/>
              <w:keepLines w:val="0"/>
              <w:pageBreakBefore w:val="0"/>
              <w:kinsoku/>
              <w:wordWrap/>
              <w:overflowPunct/>
              <w:topLinePunct w:val="0"/>
              <w:autoSpaceDE/>
              <w:autoSpaceDN/>
              <w:bidi w:val="0"/>
              <w:adjustRightInd/>
              <w:snapToGrid w:val="0"/>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tc>
      </w:tr>
      <w:tr w14:paraId="12378B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4" w:hRule="atLeast"/>
        </w:trPr>
        <w:tc>
          <w:tcPr>
            <w:tcW w:w="805" w:type="dxa"/>
            <w:tcBorders>
              <w:bottom w:val="single" w:color="auto" w:sz="4" w:space="0"/>
            </w:tcBorders>
            <w:noWrap w:val="0"/>
            <w:vAlign w:val="center"/>
          </w:tcPr>
          <w:p w14:paraId="7FB765BE">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2</w:t>
            </w:r>
          </w:p>
        </w:tc>
        <w:tc>
          <w:tcPr>
            <w:tcW w:w="6930" w:type="dxa"/>
            <w:tcBorders>
              <w:bottom w:val="single" w:color="auto" w:sz="4" w:space="0"/>
              <w:right w:val="single" w:color="auto" w:sz="4" w:space="0"/>
            </w:tcBorders>
            <w:noWrap w:val="0"/>
            <w:vAlign w:val="center"/>
          </w:tcPr>
          <w:p w14:paraId="633424E8">
            <w:pPr>
              <w:keepNext w:val="0"/>
              <w:keepLines w:val="0"/>
              <w:pageBreakBefore w:val="0"/>
              <w:kinsoku/>
              <w:wordWrap/>
              <w:overflowPunct/>
              <w:topLinePunct w:val="0"/>
              <w:autoSpaceDE/>
              <w:autoSpaceDN/>
              <w:bidi w:val="0"/>
              <w:adjustRightInd/>
              <w:snapToGrid w:val="0"/>
              <w:spacing w:line="400" w:lineRule="exact"/>
              <w:ind w:left="0" w:firstLine="105" w:firstLineChars="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1、企业信誉及综合服务考评（0-1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11EDC8E1">
            <w:pPr>
              <w:keepNext w:val="0"/>
              <w:keepLines w:val="0"/>
              <w:pageBreakBefore w:val="0"/>
              <w:kinsoku/>
              <w:wordWrap/>
              <w:overflowPunct/>
              <w:topLinePunct w:val="0"/>
              <w:autoSpaceDE/>
              <w:autoSpaceDN/>
              <w:bidi w:val="0"/>
              <w:adjustRightInd/>
              <w:snapToGrid w:val="0"/>
              <w:spacing w:line="400" w:lineRule="exact"/>
              <w:ind w:left="0" w:firstLine="105" w:firstLineChars="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行业动态考评：获得省工程造价咨询企业动态信用等级AAAA级及以上的得5分，AAA级的得3分，AA级的得1分，其余不得分。（提供网站查询截图及有效期内动态证书，并加盖单位公章，否则不得分），查询网站（http://www.zjzj.net/）（0-5分）   </w:t>
            </w:r>
          </w:p>
          <w:p w14:paraId="1D2DD030">
            <w:pPr>
              <w:keepNext w:val="0"/>
              <w:keepLines w:val="0"/>
              <w:pageBreakBefore w:val="0"/>
              <w:kinsoku/>
              <w:wordWrap/>
              <w:overflowPunct/>
              <w:topLinePunct w:val="0"/>
              <w:autoSpaceDE/>
              <w:autoSpaceDN/>
              <w:bidi w:val="0"/>
              <w:adjustRightInd/>
              <w:snapToGrid w:val="0"/>
              <w:spacing w:line="400" w:lineRule="exact"/>
              <w:ind w:left="0" w:firstLine="105" w:firstLineChars="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（2）202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日以来投单位获得过省级建设工程造价管理总站颁发的工程造价咨询品牌企业或工程造价咨询优秀企业的得3分。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需提供相关证明文件复印件，并加盖单位公章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03F03146">
            <w:pPr>
              <w:keepNext w:val="0"/>
              <w:keepLines w:val="0"/>
              <w:pageBreakBefore w:val="0"/>
              <w:numPr>
                <w:ilvl w:val="0"/>
                <w:numId w:val="7"/>
              </w:numPr>
              <w:kinsoku/>
              <w:wordWrap/>
              <w:overflowPunct/>
              <w:topLinePunct w:val="0"/>
              <w:autoSpaceDE/>
              <w:autoSpaceDN/>
              <w:bidi w:val="0"/>
              <w:adjustRightInd/>
              <w:snapToGrid w:val="0"/>
              <w:spacing w:line="400" w:lineRule="exact"/>
              <w:ind w:left="0" w:firstLine="105" w:firstLineChars="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投标人具备有效的ISO9000（同时具有工程招标代理和工程造价咨询）质量管理体系认证证书且在有效期内的得2分，否则不得分。（需提供有效的相关证书复印件，并加盖单位公章）（0-2分）</w:t>
            </w:r>
          </w:p>
          <w:p w14:paraId="15FCFE72">
            <w:pPr>
              <w:keepNext w:val="0"/>
              <w:keepLines w:val="0"/>
              <w:pageBreakBefore w:val="0"/>
              <w:widowControl/>
              <w:kinsoku/>
              <w:wordWrap/>
              <w:overflowPunct/>
              <w:topLinePunct w:val="0"/>
              <w:autoSpaceDE/>
              <w:autoSpaceDN/>
              <w:bidi w:val="0"/>
              <w:adjustRightInd/>
              <w:snapToGrid w:val="0"/>
              <w:spacing w:line="400" w:lineRule="exact"/>
              <w:ind w:left="0" w:firstLine="105" w:firstLineChars="5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2、项目负责人技术力量（</w:t>
            </w:r>
            <w:r>
              <w:rPr>
                <w:rFonts w:hint="eastAsia" w:ascii="宋体" w:hAnsi="宋体" w:eastAsia="宋体" w:cs="宋体"/>
                <w:color w:val="auto"/>
                <w:szCs w:val="21"/>
                <w:highlight w:val="none"/>
                <w:lang w:eastAsia="zh-CN"/>
              </w:rPr>
              <w:t>4</w:t>
            </w:r>
            <w:r>
              <w:rPr>
                <w:rFonts w:hint="eastAsia" w:ascii="宋体" w:hAnsi="宋体" w:eastAsia="宋体" w:cs="宋体"/>
                <w:color w:val="auto"/>
                <w:szCs w:val="21"/>
                <w:highlight w:val="none"/>
              </w:rPr>
              <w:t>分）</w:t>
            </w:r>
          </w:p>
          <w:p w14:paraId="1A5A1DC2">
            <w:pPr>
              <w:keepNext w:val="0"/>
              <w:keepLines w:val="0"/>
              <w:pageBreakBefore w:val="0"/>
              <w:widowControl/>
              <w:kinsoku/>
              <w:wordWrap/>
              <w:overflowPunct/>
              <w:topLinePunct w:val="0"/>
              <w:autoSpaceDE/>
              <w:autoSpaceDN/>
              <w:bidi w:val="0"/>
              <w:adjustRightInd/>
              <w:snapToGrid w:val="0"/>
              <w:spacing w:line="400" w:lineRule="exact"/>
              <w:ind w:left="0" w:firstLine="105" w:firstLineChars="5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（1）拟派项目负责人获得过省级及以上优秀造价从业人员(包括优秀造价工程师)荣誉得</w:t>
            </w:r>
            <w:r>
              <w:rPr>
                <w:rFonts w:hint="eastAsia" w:ascii="宋体" w:hAnsi="宋体" w:eastAsia="宋体" w:cs="宋体"/>
                <w:color w:val="auto"/>
                <w:szCs w:val="21"/>
                <w:highlight w:val="none"/>
                <w:lang w:eastAsia="zh-CN"/>
              </w:rPr>
              <w:t>2</w:t>
            </w:r>
            <w:r>
              <w:rPr>
                <w:rFonts w:hint="eastAsia" w:ascii="宋体" w:hAnsi="宋体" w:eastAsia="宋体" w:cs="宋体"/>
                <w:color w:val="auto"/>
                <w:szCs w:val="21"/>
                <w:highlight w:val="none"/>
              </w:rPr>
              <w:t>分。（提供有效证明复印件）</w:t>
            </w:r>
          </w:p>
          <w:p w14:paraId="1D8C4609">
            <w:pPr>
              <w:keepNext w:val="0"/>
              <w:keepLines w:val="0"/>
              <w:pageBreakBefore w:val="0"/>
              <w:kinsoku/>
              <w:wordWrap/>
              <w:overflowPunct/>
              <w:topLinePunct w:val="0"/>
              <w:autoSpaceDE/>
              <w:autoSpaceDN/>
              <w:bidi w:val="0"/>
              <w:adjustRightInd/>
              <w:snapToGrid w:val="0"/>
              <w:spacing w:line="400" w:lineRule="exact"/>
              <w:ind w:left="0" w:firstLine="105" w:firstLineChars="50"/>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rPr>
              <w:t>（2）拟派项目负责人具有高级工程师职称的得1分，具有正高级工程师及以上职称的得2分。（提供有效证明复印件及社保证明文件（社保证明的出具日期在招标公告日至投标截止日内有效，除此以外一律不予认可）。省内投标人的社保证明格式仅限于“浙江政务服务网”网络端下载打印的加盖电子印章纸质证明，扫描二维码与纸质内容一致。省外投标人必须为社保管理机构出具的证明原件，如省外社保管理机构实行社保网上办理的，可以提供该机构出具的加盖电子印章的有效纸质证明）</w:t>
            </w:r>
          </w:p>
        </w:tc>
        <w:tc>
          <w:tcPr>
            <w:tcW w:w="1275" w:type="dxa"/>
            <w:tcBorders>
              <w:left w:val="single" w:color="auto" w:sz="4" w:space="0"/>
              <w:bottom w:val="single" w:color="auto" w:sz="4" w:space="0"/>
            </w:tcBorders>
            <w:noWrap w:val="0"/>
            <w:vAlign w:val="center"/>
          </w:tcPr>
          <w:p w14:paraId="1D2A0637">
            <w:pPr>
              <w:keepNext w:val="0"/>
              <w:keepLines w:val="0"/>
              <w:pageBreakBefore w:val="0"/>
              <w:kinsoku/>
              <w:wordWrap/>
              <w:overflowPunct/>
              <w:topLinePunct w:val="0"/>
              <w:autoSpaceDE/>
              <w:autoSpaceDN/>
              <w:bidi w:val="0"/>
              <w:adjustRightInd/>
              <w:snapToGrid w:val="0"/>
              <w:spacing w:line="400" w:lineRule="exact"/>
              <w:ind w:left="0" w:firstLine="210" w:firstLineChars="1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r>
      <w:tr w14:paraId="7AFB9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805" w:type="dxa"/>
            <w:tcBorders>
              <w:top w:val="single" w:color="auto" w:sz="4" w:space="0"/>
              <w:bottom w:val="single" w:color="auto" w:sz="4" w:space="0"/>
            </w:tcBorders>
            <w:noWrap w:val="0"/>
            <w:vAlign w:val="center"/>
          </w:tcPr>
          <w:p w14:paraId="2F9F41E9">
            <w:pPr>
              <w:keepNext w:val="0"/>
              <w:keepLines w:val="0"/>
              <w:pageBreakBefore w:val="0"/>
              <w:kinsoku/>
              <w:wordWrap/>
              <w:overflowPunct/>
              <w:topLinePunct w:val="0"/>
              <w:autoSpaceDE/>
              <w:autoSpaceDN/>
              <w:bidi w:val="0"/>
              <w:adjustRightInd/>
              <w:snapToGrid w:val="0"/>
              <w:spacing w:line="400" w:lineRule="exact"/>
              <w:ind w:left="0"/>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w:t>
            </w:r>
          </w:p>
        </w:tc>
        <w:tc>
          <w:tcPr>
            <w:tcW w:w="6930" w:type="dxa"/>
            <w:tcBorders>
              <w:top w:val="single" w:color="auto" w:sz="4" w:space="0"/>
              <w:bottom w:val="single" w:color="auto" w:sz="4" w:space="0"/>
              <w:right w:val="single" w:color="auto" w:sz="4" w:space="0"/>
            </w:tcBorders>
            <w:noWrap w:val="0"/>
            <w:vAlign w:val="center"/>
          </w:tcPr>
          <w:p w14:paraId="3C1E3A68">
            <w:pPr>
              <w:keepNext w:val="0"/>
              <w:keepLines w:val="0"/>
              <w:pageBreakBefore w:val="0"/>
              <w:kinsoku/>
              <w:wordWrap/>
              <w:overflowPunct/>
              <w:topLinePunct w:val="0"/>
              <w:autoSpaceDE/>
              <w:autoSpaceDN/>
              <w:bidi w:val="0"/>
              <w:adjustRightInd/>
              <w:snapToGrid w:val="0"/>
              <w:spacing w:line="400" w:lineRule="exact"/>
              <w:ind w:lef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业绩（0-1分）：</w:t>
            </w:r>
          </w:p>
          <w:p w14:paraId="0732ECCD">
            <w:pPr>
              <w:keepNext w:val="0"/>
              <w:keepLines w:val="0"/>
              <w:pageBreakBefore w:val="0"/>
              <w:widowControl/>
              <w:kinsoku/>
              <w:wordWrap/>
              <w:overflowPunct/>
              <w:topLinePunct w:val="0"/>
              <w:autoSpaceDE/>
              <w:autoSpaceDN/>
              <w:bidi w:val="0"/>
              <w:adjustRightInd/>
              <w:snapToGrid w:val="0"/>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投标单位自</w:t>
            </w:r>
            <w:r>
              <w:rPr>
                <w:rFonts w:hint="eastAsia" w:ascii="宋体" w:hAnsi="宋体" w:eastAsia="宋体" w:cs="宋体"/>
                <w:bCs/>
                <w:color w:val="auto"/>
                <w:sz w:val="21"/>
                <w:szCs w:val="21"/>
                <w:highlight w:val="none"/>
                <w:lang w:val="en-US" w:eastAsia="zh-CN"/>
              </w:rPr>
              <w:t>2021</w:t>
            </w:r>
            <w:r>
              <w:rPr>
                <w:rFonts w:hint="eastAsia" w:ascii="宋体" w:hAnsi="宋体" w:eastAsia="宋体" w:cs="宋体"/>
                <w:bCs/>
                <w:color w:val="auto"/>
                <w:sz w:val="21"/>
                <w:szCs w:val="21"/>
                <w:highlight w:val="none"/>
              </w:rPr>
              <w:t>年</w:t>
            </w:r>
            <w:r>
              <w:rPr>
                <w:rFonts w:hint="eastAsia" w:ascii="宋体" w:hAnsi="宋体" w:eastAsia="宋体" w:cs="宋体"/>
                <w:bCs/>
                <w:color w:val="auto"/>
                <w:sz w:val="21"/>
                <w:szCs w:val="21"/>
                <w:highlight w:val="none"/>
                <w:lang w:val="en-US" w:eastAsia="zh-CN"/>
              </w:rPr>
              <w:t>7</w:t>
            </w:r>
            <w:r>
              <w:rPr>
                <w:rFonts w:hint="eastAsia" w:ascii="宋体" w:hAnsi="宋体" w:eastAsia="宋体" w:cs="宋体"/>
                <w:bCs/>
                <w:color w:val="auto"/>
                <w:sz w:val="21"/>
                <w:szCs w:val="21"/>
                <w:highlight w:val="none"/>
              </w:rPr>
              <w:t>月1日以来承担过</w:t>
            </w:r>
            <w:r>
              <w:rPr>
                <w:rFonts w:hint="eastAsia" w:ascii="宋体" w:hAnsi="宋体" w:eastAsia="宋体" w:cs="宋体"/>
                <w:bCs/>
                <w:color w:val="auto"/>
                <w:sz w:val="21"/>
                <w:szCs w:val="21"/>
                <w:highlight w:val="none"/>
                <w:lang w:val="en-US" w:eastAsia="zh-CN"/>
              </w:rPr>
              <w:t>类似施工项目的</w:t>
            </w:r>
            <w:r>
              <w:rPr>
                <w:rFonts w:hint="eastAsia" w:ascii="宋体" w:hAnsi="宋体" w:eastAsia="宋体" w:cs="宋体"/>
                <w:bCs/>
                <w:color w:val="auto"/>
                <w:sz w:val="21"/>
                <w:szCs w:val="21"/>
                <w:highlight w:val="none"/>
              </w:rPr>
              <w:t>招标代理及造价咨询业绩的每个得0.5分，最高得1分（需提供的证明材料：①招标代理合同或委托书②施工招标中标通知书，两者缺一不可，否则不得分。时间以中标通知书核发时间为准。 （0-1分）</w:t>
            </w:r>
          </w:p>
        </w:tc>
        <w:tc>
          <w:tcPr>
            <w:tcW w:w="1275" w:type="dxa"/>
            <w:tcBorders>
              <w:top w:val="single" w:color="auto" w:sz="4" w:space="0"/>
              <w:left w:val="single" w:color="auto" w:sz="4" w:space="0"/>
              <w:bottom w:val="single" w:color="auto" w:sz="4" w:space="0"/>
            </w:tcBorders>
            <w:noWrap w:val="0"/>
            <w:vAlign w:val="center"/>
          </w:tcPr>
          <w:p w14:paraId="1E36AC57">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1分</w:t>
            </w:r>
          </w:p>
        </w:tc>
      </w:tr>
      <w:tr w14:paraId="6970F6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805" w:type="dxa"/>
            <w:tcBorders>
              <w:top w:val="single" w:color="auto" w:sz="4" w:space="0"/>
              <w:bottom w:val="single" w:color="auto" w:sz="4" w:space="0"/>
            </w:tcBorders>
            <w:noWrap w:val="0"/>
            <w:vAlign w:val="center"/>
          </w:tcPr>
          <w:p w14:paraId="008CBA20">
            <w:pPr>
              <w:keepNext w:val="0"/>
              <w:keepLines w:val="0"/>
              <w:pageBreakBefore w:val="0"/>
              <w:kinsoku/>
              <w:wordWrap/>
              <w:overflowPunct/>
              <w:topLinePunct w:val="0"/>
              <w:autoSpaceDE/>
              <w:autoSpaceDN/>
              <w:bidi w:val="0"/>
              <w:adjustRightInd/>
              <w:snapToGrid w:val="0"/>
              <w:spacing w:line="400" w:lineRule="exact"/>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w:t>
            </w:r>
          </w:p>
        </w:tc>
        <w:tc>
          <w:tcPr>
            <w:tcW w:w="6930" w:type="dxa"/>
            <w:tcBorders>
              <w:top w:val="single" w:color="auto" w:sz="4" w:space="0"/>
              <w:bottom w:val="single" w:color="auto" w:sz="4" w:space="0"/>
              <w:right w:val="single" w:color="auto" w:sz="4" w:space="0"/>
            </w:tcBorders>
            <w:noWrap w:val="0"/>
            <w:vAlign w:val="center"/>
          </w:tcPr>
          <w:p w14:paraId="2D4A9CB5">
            <w:pPr>
              <w:keepNext w:val="0"/>
              <w:keepLines w:val="0"/>
              <w:pageBreakBefore w:val="0"/>
              <w:kinsoku/>
              <w:wordWrap/>
              <w:overflowPunct/>
              <w:topLinePunct w:val="0"/>
              <w:autoSpaceDE/>
              <w:autoSpaceDN/>
              <w:bidi w:val="0"/>
              <w:adjustRightInd/>
              <w:snapToGrid w:val="0"/>
              <w:spacing w:line="400" w:lineRule="exact"/>
              <w:ind w:lef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招标代理方案（40-5</w:t>
            </w: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分）：</w:t>
            </w:r>
          </w:p>
          <w:p w14:paraId="3BCCF08E">
            <w:pPr>
              <w:keepNext w:val="0"/>
              <w:keepLines w:val="0"/>
              <w:pageBreakBefore w:val="0"/>
              <w:widowControl/>
              <w:kinsoku/>
              <w:wordWrap/>
              <w:overflowPunct/>
              <w:topLinePunct w:val="0"/>
              <w:autoSpaceDE/>
              <w:autoSpaceDN/>
              <w:bidi w:val="0"/>
              <w:adjustRightInd/>
              <w:snapToGrid w:val="0"/>
              <w:spacing w:line="400" w:lineRule="exact"/>
              <w:ind w:left="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(1)招标代理方案是否完整、切实可行、有理有据。 (8-11分)</w:t>
            </w:r>
          </w:p>
          <w:p w14:paraId="5F4C4A78">
            <w:pPr>
              <w:keepNext w:val="0"/>
              <w:keepLines w:val="0"/>
              <w:pageBreakBefore w:val="0"/>
              <w:widowControl/>
              <w:kinsoku/>
              <w:wordWrap/>
              <w:overflowPunct/>
              <w:topLinePunct w:val="0"/>
              <w:autoSpaceDE/>
              <w:autoSpaceDN/>
              <w:bidi w:val="0"/>
              <w:adjustRightInd/>
              <w:snapToGrid w:val="0"/>
              <w:spacing w:line="400" w:lineRule="exact"/>
              <w:ind w:left="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(2)招标代理工作程序及时间安排是否科学合理、满足工程需要。(</w:t>
            </w:r>
            <w:r>
              <w:rPr>
                <w:rFonts w:hint="eastAsia" w:ascii="宋体" w:hAnsi="宋体" w:eastAsia="宋体" w:cs="宋体"/>
                <w:bCs/>
                <w:color w:val="auto"/>
                <w:sz w:val="21"/>
                <w:szCs w:val="21"/>
                <w:highlight w:val="none"/>
                <w:lang w:eastAsia="zh-CN"/>
              </w:rPr>
              <w:t>7</w:t>
            </w: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0</w:t>
            </w:r>
            <w:r>
              <w:rPr>
                <w:rFonts w:hint="eastAsia" w:ascii="宋体" w:hAnsi="宋体" w:eastAsia="宋体" w:cs="宋体"/>
                <w:bCs/>
                <w:color w:val="auto"/>
                <w:sz w:val="21"/>
                <w:szCs w:val="21"/>
                <w:highlight w:val="none"/>
              </w:rPr>
              <w:t>分)</w:t>
            </w:r>
          </w:p>
          <w:p w14:paraId="77F1C200">
            <w:pPr>
              <w:keepNext w:val="0"/>
              <w:keepLines w:val="0"/>
              <w:pageBreakBefore w:val="0"/>
              <w:widowControl/>
              <w:kinsoku/>
              <w:wordWrap/>
              <w:overflowPunct/>
              <w:topLinePunct w:val="0"/>
              <w:autoSpaceDE/>
              <w:autoSpaceDN/>
              <w:bidi w:val="0"/>
              <w:adjustRightInd/>
              <w:snapToGrid w:val="0"/>
              <w:spacing w:line="400" w:lineRule="exact"/>
              <w:ind w:left="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(3)对本项目招标方案策划、标段划分、工程造价控制等建议是否科学、合理。（8-11分)</w:t>
            </w:r>
          </w:p>
          <w:p w14:paraId="49570399">
            <w:pPr>
              <w:keepNext w:val="0"/>
              <w:keepLines w:val="0"/>
              <w:pageBreakBefore w:val="0"/>
              <w:widowControl/>
              <w:kinsoku/>
              <w:wordWrap/>
              <w:overflowPunct/>
              <w:topLinePunct w:val="0"/>
              <w:autoSpaceDE/>
              <w:autoSpaceDN/>
              <w:bidi w:val="0"/>
              <w:adjustRightInd/>
              <w:snapToGrid w:val="0"/>
              <w:spacing w:line="400" w:lineRule="exact"/>
              <w:ind w:left="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(4)招标过程中防止投标人串标、抬价、恶性竞标的应对措施是否科学，可操作性（</w:t>
            </w:r>
            <w:r>
              <w:rPr>
                <w:rFonts w:hint="eastAsia" w:ascii="宋体" w:hAnsi="宋体" w:eastAsia="宋体" w:cs="宋体"/>
                <w:bCs/>
                <w:color w:val="auto"/>
                <w:sz w:val="21"/>
                <w:szCs w:val="21"/>
                <w:highlight w:val="none"/>
                <w:lang w:eastAsia="zh-CN"/>
              </w:rPr>
              <w:t>7</w:t>
            </w: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0</w:t>
            </w:r>
            <w:r>
              <w:rPr>
                <w:rFonts w:hint="eastAsia" w:ascii="宋体" w:hAnsi="宋体" w:eastAsia="宋体" w:cs="宋体"/>
                <w:bCs/>
                <w:color w:val="auto"/>
                <w:sz w:val="21"/>
                <w:szCs w:val="21"/>
                <w:highlight w:val="none"/>
              </w:rPr>
              <w:t>分)</w:t>
            </w:r>
          </w:p>
          <w:p w14:paraId="0824F23F">
            <w:pPr>
              <w:keepNext w:val="0"/>
              <w:keepLines w:val="0"/>
              <w:pageBreakBefore w:val="0"/>
              <w:widowControl/>
              <w:kinsoku/>
              <w:wordWrap/>
              <w:overflowPunct/>
              <w:topLinePunct w:val="0"/>
              <w:autoSpaceDE/>
              <w:autoSpaceDN/>
              <w:bidi w:val="0"/>
              <w:adjustRightInd/>
              <w:snapToGrid w:val="0"/>
              <w:spacing w:line="400" w:lineRule="exact"/>
              <w:ind w:left="0"/>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kern w:val="2"/>
                <w:sz w:val="21"/>
                <w:szCs w:val="21"/>
                <w:highlight w:val="none"/>
                <w:lang w:val="en-US" w:eastAsia="zh-CN" w:bidi="ar-SA"/>
              </w:rPr>
              <w:t>(5)</w:t>
            </w:r>
            <w:r>
              <w:rPr>
                <w:rFonts w:hint="eastAsia" w:ascii="宋体" w:hAnsi="宋体" w:eastAsia="宋体" w:cs="宋体"/>
                <w:bCs/>
                <w:color w:val="auto"/>
                <w:szCs w:val="21"/>
                <w:highlight w:val="none"/>
              </w:rPr>
              <w:t>服务承诺时限是否及时规范</w:t>
            </w:r>
            <w:r>
              <w:rPr>
                <w:rFonts w:hint="eastAsia" w:ascii="宋体" w:hAnsi="宋体" w:eastAsia="宋体" w:cs="宋体"/>
                <w:bCs/>
                <w:color w:val="auto"/>
                <w:szCs w:val="21"/>
                <w:highlight w:val="none"/>
                <w:lang w:eastAsia="zh-CN"/>
              </w:rPr>
              <w:t>、</w:t>
            </w:r>
            <w:r>
              <w:rPr>
                <w:rFonts w:hint="eastAsia" w:ascii="宋体" w:hAnsi="宋体" w:eastAsia="宋体" w:cs="宋体"/>
                <w:color w:val="auto"/>
                <w:sz w:val="21"/>
                <w:szCs w:val="21"/>
                <w:highlight w:val="none"/>
              </w:rPr>
              <w:t>招标代理人员工作守则及廉政措施是否科学、合理</w:t>
            </w:r>
            <w:r>
              <w:rPr>
                <w:rFonts w:hint="eastAsia" w:ascii="宋体" w:hAnsi="宋体" w:eastAsia="宋体" w:cs="宋体"/>
                <w:bCs/>
                <w:color w:val="auto"/>
                <w:szCs w:val="21"/>
                <w:highlight w:val="none"/>
              </w:rPr>
              <w:t>。</w:t>
            </w:r>
            <w:r>
              <w:rPr>
                <w:rFonts w:hint="eastAsia" w:ascii="宋体" w:hAnsi="宋体" w:eastAsia="宋体" w:cs="宋体"/>
                <w:bCs/>
                <w:color w:val="auto"/>
                <w:sz w:val="21"/>
                <w:szCs w:val="21"/>
                <w:highlight w:val="none"/>
              </w:rPr>
              <w:t>（8-1</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p>
          <w:p w14:paraId="344C5C24">
            <w:pPr>
              <w:keepNext w:val="0"/>
              <w:keepLines w:val="0"/>
              <w:pageBreakBefore w:val="0"/>
              <w:kinsoku/>
              <w:wordWrap/>
              <w:overflowPunct/>
              <w:topLinePunct w:val="0"/>
              <w:autoSpaceDE/>
              <w:autoSpaceDN/>
              <w:bidi w:val="0"/>
              <w:adjustRightInd/>
              <w:snapToGrid w:val="0"/>
              <w:spacing w:line="40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备注：以上各项评审内容若有缺项或不满足要求则该项为0分。</w:t>
            </w:r>
          </w:p>
        </w:tc>
        <w:tc>
          <w:tcPr>
            <w:tcW w:w="1275" w:type="dxa"/>
            <w:tcBorders>
              <w:top w:val="single" w:color="auto" w:sz="4" w:space="0"/>
              <w:left w:val="single" w:color="auto" w:sz="4" w:space="0"/>
              <w:bottom w:val="single" w:color="auto" w:sz="4" w:space="0"/>
            </w:tcBorders>
            <w:noWrap w:val="0"/>
            <w:vAlign w:val="center"/>
          </w:tcPr>
          <w:p w14:paraId="7D074396">
            <w:pPr>
              <w:keepNext w:val="0"/>
              <w:keepLines w:val="0"/>
              <w:pageBreakBefore w:val="0"/>
              <w:kinsoku/>
              <w:wordWrap/>
              <w:overflowPunct/>
              <w:topLinePunct w:val="0"/>
              <w:autoSpaceDE/>
              <w:autoSpaceDN/>
              <w:bidi w:val="0"/>
              <w:adjustRightInd/>
              <w:snapToGrid w:val="0"/>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r>
      <w:tr w14:paraId="51098D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805" w:type="dxa"/>
            <w:tcBorders>
              <w:top w:val="single" w:color="auto" w:sz="4" w:space="0"/>
              <w:bottom w:val="single" w:color="auto" w:sz="4" w:space="0"/>
            </w:tcBorders>
            <w:noWrap w:val="0"/>
            <w:vAlign w:val="center"/>
          </w:tcPr>
          <w:p w14:paraId="13F106E1">
            <w:pPr>
              <w:keepNext w:val="0"/>
              <w:keepLines w:val="0"/>
              <w:pageBreakBefore w:val="0"/>
              <w:kinsoku/>
              <w:wordWrap/>
              <w:overflowPunct/>
              <w:topLinePunct w:val="0"/>
              <w:autoSpaceDE/>
              <w:autoSpaceDN/>
              <w:bidi w:val="0"/>
              <w:adjustRightInd/>
              <w:snapToGrid w:val="0"/>
              <w:spacing w:line="400" w:lineRule="exact"/>
              <w:ind w:left="0"/>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5</w:t>
            </w:r>
          </w:p>
        </w:tc>
        <w:tc>
          <w:tcPr>
            <w:tcW w:w="6930" w:type="dxa"/>
            <w:tcBorders>
              <w:top w:val="single" w:color="auto" w:sz="4" w:space="0"/>
              <w:bottom w:val="single" w:color="auto" w:sz="4" w:space="0"/>
              <w:right w:val="single" w:color="auto" w:sz="4" w:space="0"/>
            </w:tcBorders>
            <w:noWrap w:val="0"/>
            <w:vAlign w:val="center"/>
          </w:tcPr>
          <w:p w14:paraId="1A23E26C">
            <w:pPr>
              <w:keepNext w:val="0"/>
              <w:keepLines w:val="0"/>
              <w:pageBreakBefore w:val="0"/>
              <w:kinsoku/>
              <w:wordWrap/>
              <w:overflowPunct/>
              <w:topLinePunct w:val="0"/>
              <w:autoSpaceDE/>
              <w:autoSpaceDN/>
              <w:bidi w:val="0"/>
              <w:adjustRightInd/>
              <w:snapToGrid w:val="0"/>
              <w:spacing w:line="400" w:lineRule="exact"/>
              <w:ind w:left="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根据投标人最近服务网点的情况：是否具有较强的最近服务网点服务能力以及较强的专业技术队伍，项目投入人员到位及时性承诺等进行综合打分（</w:t>
            </w:r>
            <w:r>
              <w:rPr>
                <w:rFonts w:hint="eastAsia" w:ascii="宋体" w:hAnsi="宋体" w:eastAsia="宋体" w:cs="宋体"/>
                <w:bCs/>
                <w:color w:val="auto"/>
                <w:kern w:val="0"/>
                <w:sz w:val="21"/>
                <w:szCs w:val="21"/>
                <w:highlight w:val="none"/>
                <w:lang w:val="en-US" w:eastAsia="zh-CN"/>
              </w:rPr>
              <w:t>2</w:t>
            </w:r>
            <w:r>
              <w:rPr>
                <w:rFonts w:hint="eastAsia" w:ascii="宋体" w:hAnsi="宋体" w:eastAsia="宋体" w:cs="宋体"/>
                <w:bCs/>
                <w:color w:val="auto"/>
                <w:kern w:val="0"/>
                <w:sz w:val="21"/>
                <w:szCs w:val="21"/>
                <w:highlight w:val="none"/>
              </w:rPr>
              <w:t>-</w:t>
            </w:r>
            <w:r>
              <w:rPr>
                <w:rFonts w:hint="eastAsia" w:ascii="宋体" w:hAnsi="宋体" w:eastAsia="宋体" w:cs="宋体"/>
                <w:bCs/>
                <w:color w:val="auto"/>
                <w:kern w:val="0"/>
                <w:sz w:val="21"/>
                <w:szCs w:val="21"/>
                <w:highlight w:val="none"/>
                <w:lang w:val="en-US" w:eastAsia="zh-CN"/>
              </w:rPr>
              <w:t>6</w:t>
            </w:r>
            <w:r>
              <w:rPr>
                <w:rFonts w:hint="eastAsia" w:ascii="宋体" w:hAnsi="宋体" w:eastAsia="宋体" w:cs="宋体"/>
                <w:bCs/>
                <w:color w:val="auto"/>
                <w:kern w:val="0"/>
                <w:sz w:val="21"/>
                <w:szCs w:val="21"/>
                <w:highlight w:val="none"/>
              </w:rPr>
              <w:t>分）。</w:t>
            </w:r>
          </w:p>
        </w:tc>
        <w:tc>
          <w:tcPr>
            <w:tcW w:w="1275" w:type="dxa"/>
            <w:tcBorders>
              <w:top w:val="single" w:color="auto" w:sz="4" w:space="0"/>
              <w:left w:val="single" w:color="auto" w:sz="4" w:space="0"/>
              <w:bottom w:val="single" w:color="auto" w:sz="4" w:space="0"/>
            </w:tcBorders>
            <w:noWrap w:val="0"/>
            <w:vAlign w:val="center"/>
          </w:tcPr>
          <w:p w14:paraId="736EAEB7">
            <w:pPr>
              <w:keepNext w:val="0"/>
              <w:keepLines w:val="0"/>
              <w:pageBreakBefore w:val="0"/>
              <w:kinsoku/>
              <w:wordWrap/>
              <w:overflowPunct/>
              <w:topLinePunct w:val="0"/>
              <w:autoSpaceDE/>
              <w:autoSpaceDN/>
              <w:bidi w:val="0"/>
              <w:adjustRightInd/>
              <w:snapToGrid w:val="0"/>
              <w:spacing w:line="400" w:lineRule="exact"/>
              <w:ind w:left="0"/>
              <w:jc w:val="center"/>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6</w:t>
            </w:r>
            <w:r>
              <w:rPr>
                <w:rFonts w:hint="eastAsia" w:ascii="宋体" w:hAnsi="宋体" w:eastAsia="宋体" w:cs="宋体"/>
                <w:bCs/>
                <w:color w:val="auto"/>
                <w:kern w:val="0"/>
                <w:sz w:val="21"/>
                <w:szCs w:val="21"/>
                <w:highlight w:val="none"/>
              </w:rPr>
              <w:t>分</w:t>
            </w:r>
          </w:p>
        </w:tc>
      </w:tr>
    </w:tbl>
    <w:p w14:paraId="1F32FA55">
      <w:pPr>
        <w:snapToGrid w:val="0"/>
        <w:spacing w:line="40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备注：以上评审内容若有缺项或不满足要求则为0分。</w:t>
      </w:r>
    </w:p>
    <w:p w14:paraId="68D61382">
      <w:pPr>
        <w:numPr>
          <w:ilvl w:val="0"/>
          <w:numId w:val="0"/>
        </w:numPr>
        <w:spacing w:line="440" w:lineRule="exact"/>
        <w:ind w:firstLine="404" w:firstLineChars="200"/>
        <w:rPr>
          <w:rFonts w:hint="eastAsia" w:ascii="宋体" w:hAnsi="宋体" w:eastAsia="宋体" w:cs="宋体"/>
          <w:bCs/>
          <w:color w:val="auto"/>
          <w:spacing w:val="-4"/>
          <w:szCs w:val="21"/>
          <w:highlight w:val="none"/>
        </w:rPr>
      </w:pPr>
      <w:r>
        <w:rPr>
          <w:rFonts w:hint="eastAsia" w:ascii="宋体" w:hAnsi="宋体" w:eastAsia="宋体" w:cs="宋体"/>
          <w:bCs/>
          <w:color w:val="auto"/>
          <w:spacing w:val="-4"/>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8B31213">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3F573547">
      <w:pPr>
        <w:keepNext/>
        <w:keepLines/>
        <w:spacing w:before="260" w:after="260" w:line="360" w:lineRule="auto"/>
        <w:jc w:val="center"/>
        <w:outlineLvl w:val="0"/>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第五章  合同主要条款</w:t>
      </w:r>
    </w:p>
    <w:p w14:paraId="39E530E7">
      <w:pPr>
        <w:spacing w:line="760" w:lineRule="exact"/>
        <w:jc w:val="center"/>
        <w:rPr>
          <w:rFonts w:hint="eastAsia" w:ascii="宋体" w:hAnsi="宋体" w:eastAsia="宋体" w:cs="宋体"/>
          <w:color w:val="auto"/>
          <w:sz w:val="44"/>
          <w:highlight w:val="none"/>
        </w:rPr>
      </w:pPr>
      <w:r>
        <w:rPr>
          <w:rFonts w:hint="eastAsia" w:ascii="宋体" w:hAnsi="宋体" w:eastAsia="宋体" w:cs="宋体"/>
          <w:b/>
          <w:bCs/>
          <w:color w:val="auto"/>
          <w:sz w:val="36"/>
          <w:szCs w:val="20"/>
          <w:highlight w:val="none"/>
        </w:rPr>
        <w:t>招标代理协议书</w:t>
      </w:r>
    </w:p>
    <w:p w14:paraId="7273E04D">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平湖市住房和城乡建设局</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lang w:val="en-US" w:eastAsia="zh-CN"/>
        </w:rPr>
        <w:t>项目业主单位</w:t>
      </w:r>
      <w:r>
        <w:rPr>
          <w:rFonts w:hint="eastAsia" w:ascii="宋体" w:hAnsi="宋体" w:eastAsia="宋体" w:cs="宋体"/>
          <w:color w:val="auto"/>
          <w:szCs w:val="21"/>
          <w:highlight w:val="none"/>
          <w:u w:val="single"/>
          <w:lang w:eastAsia="zh-CN"/>
        </w:rPr>
        <w:t>）</w:t>
      </w:r>
    </w:p>
    <w:p w14:paraId="78DEB9FC">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平湖市水务投资(集团)有限公司</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lang w:val="en-US" w:eastAsia="zh-CN"/>
        </w:rPr>
        <w:t>项目代建单位</w:t>
      </w:r>
      <w:r>
        <w:rPr>
          <w:rFonts w:hint="eastAsia" w:ascii="宋体" w:hAnsi="宋体" w:eastAsia="宋体" w:cs="宋体"/>
          <w:color w:val="auto"/>
          <w:szCs w:val="21"/>
          <w:highlight w:val="none"/>
          <w:u w:val="single"/>
          <w:lang w:eastAsia="zh-CN"/>
        </w:rPr>
        <w:t>）</w:t>
      </w:r>
    </w:p>
    <w:p w14:paraId="5CC29B2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szCs w:val="21"/>
          <w:highlight w:val="none"/>
          <w:lang w:val="en-US" w:eastAsia="zh-CN"/>
        </w:rPr>
        <w:t>丙</w:t>
      </w:r>
      <w:r>
        <w:rPr>
          <w:rFonts w:hint="eastAsia" w:ascii="宋体" w:hAnsi="宋体" w:eastAsia="宋体" w:cs="宋体"/>
          <w:color w:val="auto"/>
          <w:szCs w:val="21"/>
          <w:highlight w:val="none"/>
        </w:rPr>
        <w:t>方：</w:t>
      </w:r>
      <w:r>
        <w:rPr>
          <w:rFonts w:hint="eastAsia" w:ascii="宋体" w:hAnsi="宋体" w:eastAsia="宋体" w:cs="宋体"/>
          <w:color w:val="auto"/>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highlight w:val="none"/>
          <w:u w:val="single"/>
        </w:rPr>
        <w:t xml:space="preserve">          </w:t>
      </w:r>
    </w:p>
    <w:p w14:paraId="5FE1BDF7">
      <w:pPr>
        <w:keepNext w:val="0"/>
        <w:keepLines w:val="0"/>
        <w:pageBreakBefore w:val="0"/>
        <w:widowControl w:val="0"/>
        <w:kinsoku/>
        <w:wordWrap/>
        <w:overflowPunct/>
        <w:topLinePunct w:val="0"/>
        <w:autoSpaceDE/>
        <w:autoSpaceDN/>
        <w:bidi w:val="0"/>
        <w:adjustRightInd/>
        <w:snapToGrid/>
        <w:spacing w:line="440" w:lineRule="exact"/>
        <w:ind w:firstLineChars="200"/>
        <w:textAlignment w:val="auto"/>
        <w:rPr>
          <w:rFonts w:hint="eastAsia" w:ascii="宋体" w:hAnsi="宋体" w:eastAsia="宋体" w:cs="宋体"/>
          <w:color w:val="auto"/>
          <w:highlight w:val="none"/>
          <w:u w:val="none"/>
        </w:rPr>
      </w:pPr>
      <w:r>
        <w:rPr>
          <w:rFonts w:hint="eastAsia" w:ascii="宋体" w:hAnsi="宋体" w:eastAsia="宋体" w:cs="宋体"/>
          <w:color w:val="auto"/>
          <w:szCs w:val="21"/>
          <w:highlight w:val="none"/>
          <w:u w:val="none"/>
          <w:lang w:val="en-US" w:eastAsia="zh-CN"/>
        </w:rPr>
        <w:t>鉴证方：嘉兴市建新工程造价咨询事务所有限公司</w:t>
      </w:r>
    </w:p>
    <w:p w14:paraId="786179CF">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依照《中华人民共和国民法典》、《中华人民共和国招标投标法》</w:t>
      </w:r>
      <w:r>
        <w:rPr>
          <w:rFonts w:hint="eastAsia" w:ascii="宋体" w:hAnsi="宋体" w:eastAsia="宋体" w:cs="宋体"/>
          <w:color w:val="auto"/>
          <w:highlight w:val="none"/>
          <w:lang w:eastAsia="zh-CN"/>
        </w:rPr>
        <w:t>、《中华人民共和国政府采购法》</w:t>
      </w:r>
      <w:r>
        <w:rPr>
          <w:rFonts w:hint="eastAsia" w:ascii="宋体" w:hAnsi="宋体" w:eastAsia="宋体" w:cs="宋体"/>
          <w:color w:val="auto"/>
          <w:highlight w:val="none"/>
        </w:rPr>
        <w:t>及国家的有关法律、行政法规，遵循平等、 自愿、公平和诚实信用的原则，双方就</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招标代理事项协商一致，订立本合同。</w:t>
      </w:r>
    </w:p>
    <w:p w14:paraId="0AF71978">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工程概况</w:t>
      </w:r>
    </w:p>
    <w:p w14:paraId="5C586DC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工程名称：</w:t>
      </w:r>
      <w:r>
        <w:rPr>
          <w:rFonts w:hint="eastAsia" w:ascii="宋体" w:hAnsi="宋体" w:eastAsia="宋体" w:cs="宋体"/>
          <w:color w:val="auto"/>
          <w:highlight w:val="none"/>
          <w:u w:val="single"/>
          <w:lang w:val="en-US" w:eastAsia="zh-CN"/>
        </w:rPr>
        <w:t>****</w:t>
      </w:r>
      <w:r>
        <w:rPr>
          <w:rFonts w:hint="eastAsia" w:ascii="宋体" w:hAnsi="宋体" w:eastAsia="宋体" w:cs="宋体"/>
          <w:color w:val="auto"/>
          <w:highlight w:val="none"/>
          <w:u w:val="single"/>
        </w:rPr>
        <w:t xml:space="preserve">              </w:t>
      </w:r>
    </w:p>
    <w:p w14:paraId="295559F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u w:val="single"/>
          <w:lang w:val="en-US" w:eastAsia="zh-CN" w:bidi="ar-SA"/>
        </w:rPr>
      </w:pPr>
      <w:r>
        <w:rPr>
          <w:rFonts w:hint="eastAsia" w:ascii="宋体" w:hAnsi="宋体" w:eastAsia="宋体" w:cs="宋体"/>
          <w:color w:val="auto"/>
          <w:sz w:val="24"/>
          <w:szCs w:val="24"/>
          <w:highlight w:val="none"/>
        </w:rPr>
        <w:t>地    点：</w:t>
      </w:r>
      <w:r>
        <w:rPr>
          <w:rFonts w:hint="eastAsia" w:ascii="宋体" w:hAnsi="宋体" w:eastAsia="宋体" w:cs="宋体"/>
          <w:color w:val="auto"/>
          <w:sz w:val="24"/>
          <w:szCs w:val="24"/>
          <w:highlight w:val="none"/>
          <w:u w:val="single"/>
          <w:lang w:val="en-US" w:eastAsia="zh-CN" w:bidi="ar-SA"/>
        </w:rPr>
        <w:t>****</w:t>
      </w:r>
    </w:p>
    <w:p w14:paraId="18A959D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rPr>
        <w:t>规        模：</w:t>
      </w:r>
      <w:r>
        <w:rPr>
          <w:rFonts w:hint="eastAsia" w:ascii="宋体" w:hAnsi="宋体" w:eastAsia="宋体" w:cs="宋体"/>
          <w:color w:val="auto"/>
          <w:highlight w:val="none"/>
          <w:u w:val="single"/>
          <w:lang w:val="en-US" w:eastAsia="zh-CN"/>
        </w:rPr>
        <w:t>***</w:t>
      </w:r>
    </w:p>
    <w:p w14:paraId="23FD321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rPr>
        <w:t>招标规模：</w:t>
      </w:r>
      <w:r>
        <w:rPr>
          <w:rFonts w:hint="eastAsia" w:ascii="宋体" w:hAnsi="宋体" w:eastAsia="宋体" w:cs="宋体"/>
          <w:color w:val="auto"/>
          <w:highlight w:val="none"/>
          <w:u w:val="single"/>
          <w:lang w:val="en-US" w:eastAsia="zh-CN"/>
        </w:rPr>
        <w:t>**</w:t>
      </w:r>
    </w:p>
    <w:p w14:paraId="34B1F60A">
      <w:pPr>
        <w:keepNext w:val="0"/>
        <w:keepLines w:val="0"/>
        <w:pageBreakBefore w:val="0"/>
        <w:widowControl w:val="0"/>
        <w:kinsoku/>
        <w:wordWrap/>
        <w:overflowPunct/>
        <w:topLinePunct w:val="0"/>
        <w:autoSpaceDE/>
        <w:autoSpaceDN/>
        <w:bidi w:val="0"/>
        <w:adjustRightInd/>
        <w:snapToGrid/>
        <w:spacing w:line="440" w:lineRule="exact"/>
        <w:ind w:firstLine="404" w:firstLineChars="200"/>
        <w:jc w:val="both"/>
        <w:textAlignment w:val="auto"/>
        <w:rPr>
          <w:rFonts w:hint="eastAsia" w:ascii="宋体" w:hAnsi="宋体" w:eastAsia="宋体" w:cs="宋体"/>
          <w:color w:val="auto"/>
          <w:sz w:val="24"/>
          <w:szCs w:val="24"/>
          <w:highlight w:val="none"/>
          <w:u w:val="single"/>
          <w:lang w:val="en-US" w:eastAsia="zh-CN" w:bidi="ar-SA"/>
        </w:rPr>
      </w:pPr>
      <w:r>
        <w:rPr>
          <w:rFonts w:hint="eastAsia" w:ascii="宋体" w:hAnsi="宋体" w:eastAsia="宋体" w:cs="宋体"/>
          <w:color w:val="auto"/>
          <w:spacing w:val="-4"/>
          <w:szCs w:val="21"/>
          <w:highlight w:val="none"/>
        </w:rPr>
        <w:t>总投资：</w:t>
      </w:r>
      <w:r>
        <w:rPr>
          <w:rFonts w:hint="eastAsia" w:ascii="宋体" w:hAnsi="宋体" w:eastAsia="宋体" w:cs="宋体"/>
          <w:color w:val="auto"/>
          <w:highlight w:val="none"/>
          <w:u w:val="single"/>
          <w:lang w:val="en-US" w:eastAsia="zh-CN"/>
        </w:rPr>
        <w:t>***</w:t>
      </w:r>
    </w:p>
    <w:p w14:paraId="5DF005C5">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二、</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委托</w:t>
      </w:r>
      <w:r>
        <w:rPr>
          <w:rFonts w:hint="eastAsia" w:ascii="宋体" w:hAnsi="宋体" w:eastAsia="宋体" w:cs="宋体"/>
          <w:color w:val="auto"/>
          <w:highlight w:val="none"/>
          <w:lang w:eastAsia="zh-CN"/>
        </w:rPr>
        <w:t>丙方</w:t>
      </w:r>
      <w:r>
        <w:rPr>
          <w:rFonts w:hint="eastAsia" w:ascii="宋体" w:hAnsi="宋体" w:eastAsia="宋体" w:cs="宋体"/>
          <w:color w:val="auto"/>
          <w:highlight w:val="none"/>
        </w:rPr>
        <w:t>为</w:t>
      </w:r>
      <w:r>
        <w:rPr>
          <w:rFonts w:hint="eastAsia" w:ascii="宋体" w:hAnsi="宋体" w:eastAsia="宋体" w:cs="宋体"/>
          <w:color w:val="auto"/>
          <w:highlight w:val="none"/>
          <w:u w:val="single"/>
          <w:lang w:val="en-US" w:eastAsia="zh-CN"/>
        </w:rPr>
        <w:t>***</w:t>
      </w:r>
      <w:r>
        <w:rPr>
          <w:rFonts w:hint="eastAsia" w:ascii="宋体" w:hAnsi="宋体" w:eastAsia="宋体" w:cs="宋体"/>
          <w:color w:val="auto"/>
          <w:highlight w:val="none"/>
        </w:rPr>
        <w:t>的招标代理机构，承担本工程的</w:t>
      </w:r>
      <w:r>
        <w:rPr>
          <w:rFonts w:hint="eastAsia" w:ascii="宋体" w:hAnsi="宋体" w:eastAsia="宋体" w:cs="宋体"/>
          <w:color w:val="auto"/>
          <w:highlight w:val="none"/>
          <w:u w:val="single"/>
          <w:lang w:val="en-US" w:eastAsia="zh-CN"/>
        </w:rPr>
        <w:t>*****</w:t>
      </w:r>
      <w:r>
        <w:rPr>
          <w:rFonts w:hint="eastAsia" w:ascii="宋体" w:hAnsi="宋体" w:eastAsia="宋体" w:cs="宋体"/>
          <w:color w:val="auto"/>
          <w:highlight w:val="none"/>
        </w:rPr>
        <w:t>所有建设内容的招标代理工作。</w:t>
      </w:r>
    </w:p>
    <w:p w14:paraId="4B335730">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三、合同价款</w:t>
      </w:r>
    </w:p>
    <w:p w14:paraId="7088B07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代理报酬：</w:t>
      </w:r>
      <w:r>
        <w:rPr>
          <w:rFonts w:hint="eastAsia" w:ascii="宋体" w:hAnsi="宋体" w:eastAsia="宋体" w:cs="宋体"/>
          <w:color w:val="auto"/>
          <w:highlight w:val="none"/>
          <w:u w:val="single"/>
          <w:lang w:val="en-US" w:eastAsia="zh-CN"/>
        </w:rPr>
        <w:t>*****</w:t>
      </w:r>
    </w:p>
    <w:p w14:paraId="392266BC">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四、组成本合同的文件：</w:t>
      </w:r>
    </w:p>
    <w:p w14:paraId="127C936E">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1、本合同履行过程中双方以书面形式签署的补充和修正文件；</w:t>
      </w:r>
    </w:p>
    <w:p w14:paraId="44E5FFB9">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2、本合同协议书；</w:t>
      </w:r>
    </w:p>
    <w:p w14:paraId="34CF717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3、本合同专用条款；</w:t>
      </w:r>
    </w:p>
    <w:p w14:paraId="2A47FAE8">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4、本合同通用条款。</w:t>
      </w:r>
    </w:p>
    <w:p w14:paraId="55C40FA5">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五、本协议书中的有关词语定义与本合同第一部分《通用条款》中分别赋予它们的定义相同。</w:t>
      </w:r>
    </w:p>
    <w:p w14:paraId="3996A3E1">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六、</w:t>
      </w:r>
      <w:r>
        <w:rPr>
          <w:rFonts w:hint="eastAsia" w:ascii="宋体" w:hAnsi="宋体" w:eastAsia="宋体" w:cs="宋体"/>
          <w:color w:val="auto"/>
          <w:highlight w:val="none"/>
          <w:lang w:eastAsia="zh-CN"/>
        </w:rPr>
        <w:t>丙方</w:t>
      </w:r>
      <w:r>
        <w:rPr>
          <w:rFonts w:hint="eastAsia" w:ascii="宋体" w:hAnsi="宋体" w:eastAsia="宋体" w:cs="宋体"/>
          <w:color w:val="auto"/>
          <w:highlight w:val="none"/>
        </w:rPr>
        <w:t>向</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承诺，按照本合同的约定，承担本合同专用条款中约定范围内的代理业务。</w:t>
      </w:r>
    </w:p>
    <w:p w14:paraId="07788FF1">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七、</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向</w:t>
      </w:r>
      <w:r>
        <w:rPr>
          <w:rFonts w:hint="eastAsia" w:ascii="宋体" w:hAnsi="宋体" w:eastAsia="宋体" w:cs="宋体"/>
          <w:color w:val="auto"/>
          <w:highlight w:val="none"/>
          <w:lang w:eastAsia="zh-CN"/>
        </w:rPr>
        <w:t>丙方</w:t>
      </w:r>
      <w:r>
        <w:rPr>
          <w:rFonts w:hint="eastAsia" w:ascii="宋体" w:hAnsi="宋体" w:eastAsia="宋体" w:cs="宋体"/>
          <w:color w:val="auto"/>
          <w:highlight w:val="none"/>
        </w:rPr>
        <w:t>承诺，按照本合同的约定，确保代理报酬的支付。</w:t>
      </w:r>
    </w:p>
    <w:p w14:paraId="6232CCC6">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八、合同订立</w:t>
      </w:r>
    </w:p>
    <w:p w14:paraId="4E00533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合同订立时间：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年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月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日</w:t>
      </w:r>
    </w:p>
    <w:p w14:paraId="6DA4447C">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rPr>
        <w:t>合同订立地点：</w:t>
      </w:r>
      <w:r>
        <w:rPr>
          <w:rFonts w:hint="eastAsia" w:ascii="宋体" w:hAnsi="宋体" w:eastAsia="宋体" w:cs="宋体"/>
          <w:color w:val="auto"/>
          <w:szCs w:val="21"/>
          <w:highlight w:val="none"/>
          <w:u w:val="single"/>
          <w:lang w:val="en-US" w:eastAsia="zh-CN"/>
        </w:rPr>
        <w:t>*******</w:t>
      </w:r>
    </w:p>
    <w:p w14:paraId="63DB7AA5">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九、合同生效</w:t>
      </w:r>
    </w:p>
    <w:p w14:paraId="3ADECDF2">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本合同双方约定</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三</w:t>
      </w:r>
      <w:r>
        <w:rPr>
          <w:rFonts w:hint="eastAsia" w:ascii="宋体" w:hAnsi="宋体" w:eastAsia="宋体" w:cs="宋体"/>
          <w:color w:val="auto"/>
          <w:highlight w:val="none"/>
          <w:u w:val="single"/>
        </w:rPr>
        <w:t>方盖章</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后生效。</w:t>
      </w:r>
    </w:p>
    <w:p w14:paraId="6EF0C09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highlight w:val="none"/>
        </w:rPr>
      </w:pPr>
    </w:p>
    <w:p w14:paraId="4D7DDA70">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甲</w:t>
      </w:r>
      <w:r>
        <w:rPr>
          <w:rFonts w:hint="eastAsia" w:ascii="宋体" w:hAnsi="宋体" w:eastAsia="宋体" w:cs="宋体"/>
          <w:color w:val="auto"/>
          <w:highlight w:val="none"/>
          <w:lang w:eastAsia="zh-CN"/>
        </w:rPr>
        <w:t>方</w:t>
      </w:r>
      <w:r>
        <w:rPr>
          <w:rFonts w:hint="eastAsia" w:ascii="宋体" w:hAnsi="宋体" w:eastAsia="宋体" w:cs="宋体"/>
          <w:color w:val="auto"/>
          <w:highlight w:val="none"/>
        </w:rPr>
        <w:t xml:space="preserve">（盖章）：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丙方</w:t>
      </w:r>
      <w:r>
        <w:rPr>
          <w:rFonts w:hint="eastAsia" w:ascii="宋体" w:hAnsi="宋体" w:eastAsia="宋体" w:cs="宋体"/>
          <w:color w:val="auto"/>
          <w:highlight w:val="none"/>
        </w:rPr>
        <w:t>（盖章）：</w:t>
      </w:r>
    </w:p>
    <w:p w14:paraId="58B9B930">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法定代表人</w:t>
      </w:r>
      <w:r>
        <w:rPr>
          <w:rFonts w:hint="eastAsia" w:ascii="宋体" w:hAnsi="宋体" w:eastAsia="宋体" w:cs="宋体"/>
          <w:color w:val="auto"/>
          <w:highlight w:val="none"/>
          <w:lang w:val="en-US" w:eastAsia="zh-CN"/>
        </w:rPr>
        <w:t>或</w:t>
      </w:r>
      <w:r>
        <w:rPr>
          <w:rFonts w:hint="eastAsia" w:ascii="宋体" w:hAnsi="宋体" w:eastAsia="宋体" w:cs="宋体"/>
          <w:color w:val="auto"/>
          <w:highlight w:val="none"/>
        </w:rPr>
        <w:t>授权代理人</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法定代表人</w:t>
      </w:r>
      <w:r>
        <w:rPr>
          <w:rFonts w:hint="eastAsia" w:ascii="宋体" w:hAnsi="宋体" w:eastAsia="宋体" w:cs="宋体"/>
          <w:color w:val="auto"/>
          <w:highlight w:val="none"/>
          <w:lang w:val="en-US" w:eastAsia="zh-CN"/>
        </w:rPr>
        <w:t>或</w:t>
      </w:r>
      <w:r>
        <w:rPr>
          <w:rFonts w:hint="eastAsia" w:ascii="宋体" w:hAnsi="宋体" w:eastAsia="宋体" w:cs="宋体"/>
          <w:color w:val="auto"/>
          <w:highlight w:val="none"/>
        </w:rPr>
        <w:t>授权代理人</w:t>
      </w:r>
    </w:p>
    <w:p w14:paraId="6842F939">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（签字或盖章）：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（签字或盖章）：</w:t>
      </w:r>
    </w:p>
    <w:p w14:paraId="547438AF">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单位地址：                                   单位地址：</w:t>
      </w:r>
    </w:p>
    <w:p w14:paraId="53670C51">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邮政编码：                                   邮政编码：</w:t>
      </w:r>
    </w:p>
    <w:p w14:paraId="1D47A7CD">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联系电话：                                   联系电话：</w:t>
      </w:r>
    </w:p>
    <w:p w14:paraId="0F226460">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传    真：                                   传    真：</w:t>
      </w:r>
    </w:p>
    <w:p w14:paraId="0D3DC2DA">
      <w:pPr>
        <w:keepNext w:val="0"/>
        <w:keepLines w:val="0"/>
        <w:pageBreakBefore w:val="0"/>
        <w:widowControl w:val="0"/>
        <w:tabs>
          <w:tab w:val="left" w:pos="4500"/>
        </w:tabs>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电子信箱：                                   电子信箱：</w:t>
      </w:r>
    </w:p>
    <w:p w14:paraId="0742745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开户银行：                                   开户银行：</w:t>
      </w:r>
    </w:p>
    <w:p w14:paraId="3C75C31D">
      <w:pPr>
        <w:keepNext w:val="0"/>
        <w:keepLines w:val="0"/>
        <w:pageBreakBefore w:val="0"/>
        <w:widowControl w:val="0"/>
        <w:tabs>
          <w:tab w:val="left" w:pos="4500"/>
          <w:tab w:val="left" w:pos="4680"/>
          <w:tab w:val="left" w:pos="4860"/>
        </w:tabs>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账</w:t>
      </w:r>
      <w:r>
        <w:rPr>
          <w:rFonts w:hint="eastAsia" w:ascii="宋体" w:hAnsi="宋体" w:eastAsia="宋体" w:cs="宋体"/>
          <w:color w:val="auto"/>
          <w:highlight w:val="none"/>
        </w:rPr>
        <w:t xml:space="preserve">    号：                                   </w:t>
      </w:r>
      <w:r>
        <w:rPr>
          <w:rFonts w:hint="eastAsia" w:ascii="宋体" w:hAnsi="宋体" w:eastAsia="宋体" w:cs="宋体"/>
          <w:color w:val="auto"/>
          <w:highlight w:val="none"/>
          <w:lang w:eastAsia="zh-CN"/>
        </w:rPr>
        <w:t>账</w:t>
      </w:r>
      <w:r>
        <w:rPr>
          <w:rFonts w:hint="eastAsia" w:ascii="宋体" w:hAnsi="宋体" w:eastAsia="宋体" w:cs="宋体"/>
          <w:color w:val="auto"/>
          <w:highlight w:val="none"/>
        </w:rPr>
        <w:t xml:space="preserve">    号：</w:t>
      </w:r>
    </w:p>
    <w:p w14:paraId="17DD4B91">
      <w:pPr>
        <w:keepNext w:val="0"/>
        <w:keepLines w:val="0"/>
        <w:pageBreakBefore w:val="0"/>
        <w:widowControl w:val="0"/>
        <w:tabs>
          <w:tab w:val="left" w:pos="4500"/>
          <w:tab w:val="left" w:pos="4680"/>
          <w:tab w:val="left" w:pos="4860"/>
        </w:tabs>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highlight w:val="none"/>
        </w:rPr>
      </w:pPr>
    </w:p>
    <w:p w14:paraId="4FA780CC">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 xml:space="preserve">（盖章）：                            </w:t>
      </w:r>
      <w:r>
        <w:rPr>
          <w:rFonts w:hint="eastAsia" w:ascii="宋体" w:hAnsi="宋体" w:eastAsia="宋体" w:cs="宋体"/>
          <w:color w:val="auto"/>
          <w:szCs w:val="21"/>
          <w:highlight w:val="none"/>
          <w:lang w:val="en-US" w:eastAsia="zh-CN"/>
        </w:rPr>
        <w:t>鉴证</w:t>
      </w:r>
      <w:r>
        <w:rPr>
          <w:rFonts w:hint="eastAsia" w:ascii="宋体" w:hAnsi="宋体" w:eastAsia="宋体" w:cs="宋体"/>
          <w:color w:val="auto"/>
          <w:szCs w:val="21"/>
          <w:highlight w:val="none"/>
        </w:rPr>
        <w:t>方</w:t>
      </w:r>
      <w:r>
        <w:rPr>
          <w:rFonts w:hint="eastAsia" w:ascii="宋体" w:hAnsi="宋体" w:eastAsia="宋体" w:cs="宋体"/>
          <w:color w:val="auto"/>
          <w:highlight w:val="none"/>
        </w:rPr>
        <w:t>（盖章）</w:t>
      </w:r>
      <w:r>
        <w:rPr>
          <w:rFonts w:hint="eastAsia" w:ascii="宋体" w:hAnsi="宋体" w:eastAsia="宋体" w:cs="宋体"/>
          <w:color w:val="auto"/>
          <w:szCs w:val="21"/>
          <w:highlight w:val="none"/>
        </w:rPr>
        <w:t>:</w:t>
      </w:r>
    </w:p>
    <w:p w14:paraId="0DB5944B">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法定代表人</w:t>
      </w:r>
      <w:r>
        <w:rPr>
          <w:rFonts w:hint="eastAsia" w:ascii="宋体" w:hAnsi="宋体" w:eastAsia="宋体" w:cs="宋体"/>
          <w:color w:val="auto"/>
          <w:highlight w:val="none"/>
          <w:lang w:val="en-US" w:eastAsia="zh-CN"/>
        </w:rPr>
        <w:t>或</w:t>
      </w:r>
      <w:r>
        <w:rPr>
          <w:rFonts w:hint="eastAsia" w:ascii="宋体" w:hAnsi="宋体" w:eastAsia="宋体" w:cs="宋体"/>
          <w:color w:val="auto"/>
          <w:highlight w:val="none"/>
        </w:rPr>
        <w:t>授权代理人</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法定代表人</w:t>
      </w:r>
      <w:r>
        <w:rPr>
          <w:rFonts w:hint="eastAsia" w:ascii="宋体" w:hAnsi="宋体" w:eastAsia="宋体" w:cs="宋体"/>
          <w:color w:val="auto"/>
          <w:highlight w:val="none"/>
          <w:lang w:val="en-US" w:eastAsia="zh-CN"/>
        </w:rPr>
        <w:t>或</w:t>
      </w:r>
      <w:r>
        <w:rPr>
          <w:rFonts w:hint="eastAsia" w:ascii="宋体" w:hAnsi="宋体" w:eastAsia="宋体" w:cs="宋体"/>
          <w:color w:val="auto"/>
          <w:highlight w:val="none"/>
        </w:rPr>
        <w:t>授权代理人</w:t>
      </w:r>
    </w:p>
    <w:p w14:paraId="0CF560A0">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（签字或盖章）：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（签字或盖章）：</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w:t>
      </w:r>
    </w:p>
    <w:p w14:paraId="2390CBC0">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单位地址：                                </w:t>
      </w:r>
      <w:r>
        <w:rPr>
          <w:rFonts w:hint="eastAsia" w:ascii="宋体" w:hAnsi="宋体" w:eastAsia="宋体" w:cs="宋体"/>
          <w:color w:val="auto"/>
          <w:highlight w:val="none"/>
          <w:lang w:val="en-US" w:eastAsia="zh-CN"/>
        </w:rPr>
        <w:t>鉴证日期：</w:t>
      </w:r>
      <w:r>
        <w:rPr>
          <w:rFonts w:hint="eastAsia" w:ascii="宋体" w:hAnsi="宋体" w:eastAsia="宋体" w:cs="宋体"/>
          <w:color w:val="auto"/>
          <w:highlight w:val="none"/>
        </w:rPr>
        <w:t xml:space="preserve">  </w:t>
      </w:r>
    </w:p>
    <w:p w14:paraId="04AAB7B2">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邮政编码：                                </w:t>
      </w:r>
      <w:r>
        <w:rPr>
          <w:rFonts w:hint="eastAsia" w:ascii="宋体" w:hAnsi="宋体" w:eastAsia="宋体" w:cs="宋体"/>
          <w:color w:val="auto"/>
          <w:highlight w:val="none"/>
          <w:lang w:val="en-US" w:eastAsia="zh-CN"/>
        </w:rPr>
        <w:t>签订地点：浙江平湖</w:t>
      </w:r>
      <w:r>
        <w:rPr>
          <w:rFonts w:hint="eastAsia" w:ascii="宋体" w:hAnsi="宋体" w:eastAsia="宋体" w:cs="宋体"/>
          <w:color w:val="auto"/>
          <w:highlight w:val="none"/>
        </w:rPr>
        <w:t xml:space="preserve">  </w:t>
      </w:r>
    </w:p>
    <w:p w14:paraId="2783D4A5">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联系电话：                                   </w:t>
      </w:r>
    </w:p>
    <w:p w14:paraId="616192B7">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传    真：                                  </w:t>
      </w:r>
    </w:p>
    <w:p w14:paraId="503B7C17">
      <w:pPr>
        <w:keepNext w:val="0"/>
        <w:keepLines w:val="0"/>
        <w:pageBreakBefore w:val="0"/>
        <w:widowControl w:val="0"/>
        <w:tabs>
          <w:tab w:val="left" w:pos="4500"/>
        </w:tabs>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电子信箱：                                   </w:t>
      </w:r>
    </w:p>
    <w:p w14:paraId="26248EE7">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开户银行：                                  </w:t>
      </w:r>
    </w:p>
    <w:p w14:paraId="4EA7F1F4">
      <w:pPr>
        <w:keepNext w:val="0"/>
        <w:keepLines w:val="0"/>
        <w:pageBreakBefore w:val="0"/>
        <w:widowControl w:val="0"/>
        <w:tabs>
          <w:tab w:val="left" w:pos="4500"/>
          <w:tab w:val="left" w:pos="4680"/>
          <w:tab w:val="left" w:pos="4860"/>
        </w:tabs>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账</w:t>
      </w:r>
      <w:r>
        <w:rPr>
          <w:rFonts w:hint="eastAsia" w:ascii="宋体" w:hAnsi="宋体" w:eastAsia="宋体" w:cs="宋体"/>
          <w:color w:val="auto"/>
          <w:highlight w:val="none"/>
        </w:rPr>
        <w:t xml:space="preserve">    号：                                   </w:t>
      </w:r>
    </w:p>
    <w:p w14:paraId="67335D7A">
      <w:pPr>
        <w:rPr>
          <w:rFonts w:hint="eastAsia" w:ascii="宋体" w:hAnsi="宋体" w:eastAsia="宋体" w:cs="宋体"/>
          <w:b/>
          <w:bCs/>
          <w:color w:val="auto"/>
          <w:sz w:val="44"/>
          <w:highlight w:val="none"/>
        </w:rPr>
      </w:pPr>
      <w:r>
        <w:rPr>
          <w:rFonts w:hint="eastAsia" w:ascii="宋体" w:hAnsi="宋体" w:eastAsia="宋体" w:cs="宋体"/>
          <w:b/>
          <w:bCs/>
          <w:color w:val="auto"/>
          <w:sz w:val="44"/>
          <w:highlight w:val="none"/>
        </w:rPr>
        <w:br w:type="page"/>
      </w:r>
    </w:p>
    <w:p w14:paraId="1FF546CD">
      <w:pPr>
        <w:spacing w:line="540" w:lineRule="exact"/>
        <w:jc w:val="center"/>
        <w:rPr>
          <w:rFonts w:hint="eastAsia" w:ascii="宋体" w:hAnsi="宋体" w:eastAsia="宋体" w:cs="宋体"/>
          <w:b/>
          <w:bCs/>
          <w:color w:val="auto"/>
          <w:sz w:val="44"/>
          <w:highlight w:val="none"/>
        </w:rPr>
      </w:pPr>
      <w:r>
        <w:rPr>
          <w:rFonts w:hint="eastAsia" w:ascii="宋体" w:hAnsi="宋体" w:eastAsia="宋体" w:cs="宋体"/>
          <w:b/>
          <w:bCs/>
          <w:color w:val="auto"/>
          <w:sz w:val="44"/>
          <w:highlight w:val="none"/>
        </w:rPr>
        <w:t>第一部分    通用条款</w:t>
      </w:r>
    </w:p>
    <w:p w14:paraId="69D4229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szCs w:val="30"/>
          <w:highlight w:val="none"/>
          <w:lang w:val="zh-CN"/>
        </w:rPr>
      </w:pPr>
      <w:r>
        <w:rPr>
          <w:rFonts w:hint="eastAsia" w:ascii="宋体" w:hAnsi="宋体" w:eastAsia="宋体" w:cs="宋体"/>
          <w:color w:val="auto"/>
          <w:szCs w:val="30"/>
          <w:highlight w:val="none"/>
        </w:rPr>
        <w:t>本部分略，详见：国家工商行政管理总局和中华人民共和国建设部联合于2005年颁布的《建设工程招标代理合同（示范文本）》（GF-2005-0215）中的第一部分建设工程招标代理合同通用条款。</w:t>
      </w:r>
    </w:p>
    <w:p w14:paraId="3E32C290">
      <w:pPr>
        <w:widowControl w:val="0"/>
        <w:autoSpaceDE w:val="0"/>
        <w:autoSpaceDN w:val="0"/>
        <w:adjustRightInd w:val="0"/>
        <w:spacing w:line="500" w:lineRule="exact"/>
        <w:jc w:val="center"/>
        <w:rPr>
          <w:rFonts w:hint="eastAsia" w:ascii="宋体" w:hAnsi="宋体" w:eastAsia="宋体" w:cs="宋体"/>
          <w:b/>
          <w:bCs/>
          <w:color w:val="auto"/>
          <w:sz w:val="44"/>
          <w:szCs w:val="30"/>
          <w:highlight w:val="none"/>
          <w:lang w:val="zh-CN"/>
        </w:rPr>
      </w:pPr>
      <w:r>
        <w:rPr>
          <w:rFonts w:hint="eastAsia" w:ascii="宋体" w:hAnsi="宋体" w:eastAsia="宋体" w:cs="宋体"/>
          <w:b/>
          <w:bCs/>
          <w:color w:val="auto"/>
          <w:sz w:val="44"/>
          <w:szCs w:val="30"/>
          <w:highlight w:val="none"/>
          <w:lang w:val="zh-CN"/>
        </w:rPr>
        <w:t>第二部分   专用条款</w:t>
      </w:r>
    </w:p>
    <w:p w14:paraId="7149304E">
      <w:pPr>
        <w:widowControl w:val="0"/>
        <w:autoSpaceDE w:val="0"/>
        <w:autoSpaceDN w:val="0"/>
        <w:adjustRightInd w:val="0"/>
        <w:spacing w:line="420" w:lineRule="atLeast"/>
        <w:ind w:firstLine="422" w:firstLineChars="200"/>
        <w:rPr>
          <w:rFonts w:hint="eastAsia" w:ascii="宋体" w:hAnsi="宋体" w:eastAsia="宋体" w:cs="宋体"/>
          <w:b/>
          <w:bCs/>
          <w:color w:val="auto"/>
          <w:szCs w:val="30"/>
          <w:highlight w:val="none"/>
          <w:lang w:val="zh-CN"/>
        </w:rPr>
      </w:pPr>
      <w:r>
        <w:rPr>
          <w:rFonts w:hint="eastAsia" w:ascii="宋体" w:hAnsi="宋体" w:eastAsia="宋体" w:cs="宋体"/>
          <w:b/>
          <w:bCs/>
          <w:color w:val="auto"/>
          <w:szCs w:val="30"/>
          <w:highlight w:val="none"/>
          <w:lang w:val="zh-CN"/>
        </w:rPr>
        <w:t>一、词语定义和适用法律</w:t>
      </w:r>
    </w:p>
    <w:p w14:paraId="6C2CEAA5">
      <w:pPr>
        <w:widowControl w:val="0"/>
        <w:autoSpaceDE w:val="0"/>
        <w:autoSpaceDN w:val="0"/>
        <w:adjustRightInd w:val="0"/>
        <w:spacing w:line="420" w:lineRule="atLeast"/>
        <w:ind w:firstLine="420" w:firstLineChars="200"/>
        <w:rPr>
          <w:rFonts w:hint="eastAsia" w:ascii="宋体" w:hAnsi="宋体" w:eastAsia="宋体" w:cs="宋体"/>
          <w:color w:val="auto"/>
          <w:szCs w:val="30"/>
          <w:highlight w:val="none"/>
          <w:lang w:val="zh-CN"/>
        </w:rPr>
      </w:pPr>
      <w:r>
        <w:rPr>
          <w:rFonts w:hint="eastAsia" w:ascii="宋体" w:hAnsi="宋体" w:eastAsia="宋体" w:cs="宋体"/>
          <w:color w:val="auto"/>
          <w:szCs w:val="30"/>
          <w:highlight w:val="none"/>
          <w:lang w:val="zh-CN"/>
        </w:rPr>
        <w:t>2、合同文件及解释顺序</w:t>
      </w:r>
    </w:p>
    <w:p w14:paraId="241D7044">
      <w:pPr>
        <w:widowControl w:val="0"/>
        <w:autoSpaceDE w:val="0"/>
        <w:autoSpaceDN w:val="0"/>
        <w:adjustRightInd w:val="0"/>
        <w:spacing w:line="420" w:lineRule="atLeast"/>
        <w:ind w:firstLine="420" w:firstLineChars="200"/>
        <w:rPr>
          <w:rFonts w:hint="eastAsia" w:ascii="宋体" w:hAnsi="宋体" w:eastAsia="宋体" w:cs="宋体"/>
          <w:color w:val="auto"/>
          <w:szCs w:val="30"/>
          <w:highlight w:val="none"/>
          <w:lang w:val="zh-CN"/>
        </w:rPr>
      </w:pPr>
      <w:r>
        <w:rPr>
          <w:rFonts w:hint="eastAsia" w:ascii="宋体" w:hAnsi="宋体" w:eastAsia="宋体" w:cs="宋体"/>
          <w:color w:val="auto"/>
          <w:szCs w:val="30"/>
          <w:highlight w:val="none"/>
          <w:lang w:val="zh-CN"/>
        </w:rPr>
        <w:t>2.1 合同文件及解释顺序</w:t>
      </w:r>
      <w:r>
        <w:rPr>
          <w:rFonts w:hint="eastAsia" w:ascii="宋体" w:hAnsi="宋体" w:eastAsia="宋体" w:cs="宋体"/>
          <w:color w:val="auto"/>
          <w:szCs w:val="30"/>
          <w:highlight w:val="none"/>
          <w:u w:val="single"/>
          <w:lang w:val="zh-CN"/>
        </w:rPr>
        <w:t xml:space="preserve">                按通用条款                     </w:t>
      </w:r>
      <w:r>
        <w:rPr>
          <w:rFonts w:hint="eastAsia" w:ascii="宋体" w:hAnsi="宋体" w:eastAsia="宋体" w:cs="宋体"/>
          <w:color w:val="auto"/>
          <w:szCs w:val="30"/>
          <w:highlight w:val="none"/>
          <w:lang w:val="zh-CN"/>
        </w:rPr>
        <w:t>。</w:t>
      </w:r>
    </w:p>
    <w:p w14:paraId="43B86099">
      <w:pPr>
        <w:widowControl w:val="0"/>
        <w:autoSpaceDE w:val="0"/>
        <w:autoSpaceDN w:val="0"/>
        <w:adjustRightInd w:val="0"/>
        <w:spacing w:line="420" w:lineRule="atLeast"/>
        <w:ind w:firstLine="420" w:firstLineChars="200"/>
        <w:rPr>
          <w:rFonts w:hint="eastAsia" w:ascii="宋体" w:hAnsi="宋体" w:eastAsia="宋体" w:cs="宋体"/>
          <w:color w:val="auto"/>
          <w:szCs w:val="30"/>
          <w:highlight w:val="none"/>
          <w:lang w:val="zh-CN"/>
        </w:rPr>
      </w:pPr>
      <w:r>
        <w:rPr>
          <w:rFonts w:hint="eastAsia" w:ascii="宋体" w:hAnsi="宋体" w:eastAsia="宋体" w:cs="宋体"/>
          <w:color w:val="auto"/>
          <w:szCs w:val="30"/>
          <w:highlight w:val="none"/>
          <w:lang w:val="zh-CN"/>
        </w:rPr>
        <w:t>3、语言文字和适用法律</w:t>
      </w:r>
    </w:p>
    <w:p w14:paraId="085F73A1">
      <w:pPr>
        <w:widowControl w:val="0"/>
        <w:autoSpaceDE w:val="0"/>
        <w:autoSpaceDN w:val="0"/>
        <w:adjustRightInd w:val="0"/>
        <w:spacing w:line="420" w:lineRule="atLeast"/>
        <w:ind w:firstLine="420" w:firstLineChars="200"/>
        <w:rPr>
          <w:rFonts w:hint="eastAsia" w:ascii="宋体" w:hAnsi="宋体" w:eastAsia="宋体" w:cs="宋体"/>
          <w:color w:val="auto"/>
          <w:szCs w:val="30"/>
          <w:highlight w:val="none"/>
          <w:lang w:val="zh-CN"/>
        </w:rPr>
      </w:pPr>
      <w:r>
        <w:rPr>
          <w:rFonts w:hint="eastAsia" w:ascii="宋体" w:hAnsi="宋体" w:eastAsia="宋体" w:cs="宋体"/>
          <w:color w:val="auto"/>
          <w:szCs w:val="30"/>
          <w:highlight w:val="none"/>
          <w:lang w:val="zh-CN"/>
        </w:rPr>
        <w:t>3.1 语言文字</w:t>
      </w:r>
    </w:p>
    <w:p w14:paraId="2E2F0622">
      <w:pPr>
        <w:autoSpaceDE w:val="0"/>
        <w:autoSpaceDN w:val="0"/>
        <w:adjustRightInd w:val="0"/>
        <w:spacing w:line="420" w:lineRule="atLeast"/>
        <w:ind w:firstLine="420" w:firstLineChars="200"/>
        <w:rPr>
          <w:rFonts w:hint="eastAsia" w:ascii="宋体" w:hAnsi="宋体" w:eastAsia="宋体" w:cs="宋体"/>
          <w:color w:val="auto"/>
          <w:szCs w:val="30"/>
          <w:highlight w:val="none"/>
          <w:lang w:val="zh-CN"/>
        </w:rPr>
      </w:pPr>
      <w:r>
        <w:rPr>
          <w:rFonts w:hint="eastAsia" w:ascii="宋体" w:hAnsi="宋体" w:eastAsia="宋体" w:cs="宋体"/>
          <w:color w:val="auto"/>
          <w:szCs w:val="30"/>
          <w:highlight w:val="none"/>
          <w:lang w:val="zh-CN"/>
        </w:rPr>
        <w:t>本合同采用的文字为：</w:t>
      </w:r>
      <w:r>
        <w:rPr>
          <w:rFonts w:hint="eastAsia" w:ascii="宋体" w:hAnsi="宋体" w:eastAsia="宋体" w:cs="宋体"/>
          <w:color w:val="auto"/>
          <w:szCs w:val="30"/>
          <w:highlight w:val="none"/>
          <w:u w:val="single"/>
          <w:lang w:val="zh-CN"/>
        </w:rPr>
        <w:t xml:space="preserve">            汉语                               </w:t>
      </w:r>
      <w:r>
        <w:rPr>
          <w:rFonts w:hint="eastAsia" w:ascii="宋体" w:hAnsi="宋体" w:eastAsia="宋体" w:cs="宋体"/>
          <w:color w:val="auto"/>
          <w:szCs w:val="30"/>
          <w:highlight w:val="none"/>
          <w:lang w:val="zh-CN"/>
        </w:rPr>
        <w:t xml:space="preserve"> 。</w:t>
      </w:r>
    </w:p>
    <w:p w14:paraId="1C323710">
      <w:pPr>
        <w:widowControl w:val="0"/>
        <w:autoSpaceDE w:val="0"/>
        <w:autoSpaceDN w:val="0"/>
        <w:adjustRightInd w:val="0"/>
        <w:spacing w:line="420" w:lineRule="atLeast"/>
        <w:ind w:firstLine="420" w:firstLineChars="200"/>
        <w:rPr>
          <w:rFonts w:hint="eastAsia" w:ascii="宋体" w:hAnsi="宋体" w:eastAsia="宋体" w:cs="宋体"/>
          <w:color w:val="auto"/>
          <w:szCs w:val="30"/>
          <w:highlight w:val="none"/>
          <w:lang w:val="zh-CN"/>
        </w:rPr>
      </w:pPr>
      <w:r>
        <w:rPr>
          <w:rFonts w:hint="eastAsia" w:ascii="宋体" w:hAnsi="宋体" w:eastAsia="宋体" w:cs="宋体"/>
          <w:color w:val="auto"/>
          <w:szCs w:val="30"/>
          <w:highlight w:val="none"/>
          <w:lang w:val="zh-CN"/>
        </w:rPr>
        <w:t>3.2 本合同需要明示的法律、行政法规：</w:t>
      </w:r>
      <w:r>
        <w:rPr>
          <w:rFonts w:hint="eastAsia" w:ascii="宋体" w:hAnsi="宋体" w:eastAsia="宋体" w:cs="宋体"/>
          <w:color w:val="auto"/>
          <w:szCs w:val="30"/>
          <w:highlight w:val="none"/>
          <w:u w:val="single"/>
          <w:lang w:val="zh-CN"/>
        </w:rPr>
        <w:t xml:space="preserve">   按现行国家及地方法律、法规     </w:t>
      </w:r>
      <w:r>
        <w:rPr>
          <w:rFonts w:hint="eastAsia" w:ascii="宋体" w:hAnsi="宋体" w:eastAsia="宋体" w:cs="宋体"/>
          <w:color w:val="auto"/>
          <w:szCs w:val="30"/>
          <w:highlight w:val="none"/>
          <w:lang w:val="zh-CN"/>
        </w:rPr>
        <w:t>。</w:t>
      </w:r>
    </w:p>
    <w:p w14:paraId="7D383FA7">
      <w:pPr>
        <w:widowControl w:val="0"/>
        <w:autoSpaceDE w:val="0"/>
        <w:autoSpaceDN w:val="0"/>
        <w:adjustRightInd w:val="0"/>
        <w:spacing w:line="420" w:lineRule="atLeast"/>
        <w:ind w:firstLine="422" w:firstLineChars="200"/>
        <w:rPr>
          <w:rFonts w:hint="eastAsia" w:ascii="宋体" w:hAnsi="宋体" w:eastAsia="宋体" w:cs="宋体"/>
          <w:b/>
          <w:bCs/>
          <w:color w:val="auto"/>
          <w:szCs w:val="30"/>
          <w:highlight w:val="none"/>
          <w:lang w:val="zh-CN"/>
        </w:rPr>
      </w:pPr>
      <w:r>
        <w:rPr>
          <w:rFonts w:hint="eastAsia" w:ascii="宋体" w:hAnsi="宋体" w:eastAsia="宋体" w:cs="宋体"/>
          <w:b/>
          <w:bCs/>
          <w:color w:val="auto"/>
          <w:szCs w:val="30"/>
          <w:highlight w:val="none"/>
          <w:lang w:val="zh-CN"/>
        </w:rPr>
        <w:t>二、双方一般权利和义务</w:t>
      </w:r>
    </w:p>
    <w:p w14:paraId="704D93CA">
      <w:pPr>
        <w:widowControl w:val="0"/>
        <w:autoSpaceDE w:val="0"/>
        <w:autoSpaceDN w:val="0"/>
        <w:adjustRightInd w:val="0"/>
        <w:spacing w:line="420" w:lineRule="atLeast"/>
        <w:ind w:firstLine="420" w:firstLineChars="200"/>
        <w:rPr>
          <w:rFonts w:hint="eastAsia" w:ascii="宋体" w:hAnsi="宋体" w:eastAsia="宋体" w:cs="宋体"/>
          <w:color w:val="auto"/>
          <w:szCs w:val="30"/>
          <w:highlight w:val="none"/>
          <w:lang w:val="zh-CN"/>
        </w:rPr>
      </w:pPr>
      <w:r>
        <w:rPr>
          <w:rFonts w:hint="eastAsia" w:ascii="宋体" w:hAnsi="宋体" w:eastAsia="宋体" w:cs="宋体"/>
          <w:color w:val="auto"/>
          <w:szCs w:val="30"/>
          <w:highlight w:val="none"/>
          <w:lang w:val="zh-CN"/>
        </w:rPr>
        <w:t>4、乙方的义务</w:t>
      </w:r>
    </w:p>
    <w:p w14:paraId="7607F8CE">
      <w:pPr>
        <w:widowControl w:val="0"/>
        <w:autoSpaceDE w:val="0"/>
        <w:autoSpaceDN w:val="0"/>
        <w:adjustRightInd w:val="0"/>
        <w:spacing w:line="420" w:lineRule="atLeast"/>
        <w:ind w:firstLine="420" w:firstLineChars="200"/>
        <w:rPr>
          <w:rFonts w:hint="eastAsia" w:ascii="宋体" w:hAnsi="宋体" w:eastAsia="宋体" w:cs="宋体"/>
          <w:color w:val="auto"/>
          <w:szCs w:val="30"/>
          <w:highlight w:val="none"/>
          <w:lang w:val="zh-CN"/>
        </w:rPr>
      </w:pPr>
      <w:r>
        <w:rPr>
          <w:rFonts w:hint="eastAsia" w:ascii="宋体" w:hAnsi="宋体" w:eastAsia="宋体" w:cs="宋体"/>
          <w:color w:val="auto"/>
          <w:szCs w:val="30"/>
          <w:highlight w:val="none"/>
          <w:lang w:val="zh-CN"/>
        </w:rPr>
        <w:t>4.1 委托招标代理工作的具体范围和内容：</w:t>
      </w:r>
      <w:r>
        <w:rPr>
          <w:rFonts w:hint="eastAsia" w:ascii="宋体" w:hAnsi="宋体" w:eastAsia="宋体" w:cs="宋体"/>
          <w:color w:val="auto"/>
          <w:szCs w:val="30"/>
          <w:highlight w:val="none"/>
          <w:u w:val="single"/>
          <w:lang w:val="zh-CN"/>
        </w:rPr>
        <w:t>组织招标文件会审、提交招标申请备案；拟定招标方案；编制发布招标信息或投标邀请书；接收现场报名资料（需现场报名）；编制和发放招标文件；组织投标人现场踏勘和答疑；组织开标评标，填写评标报告；发放中标通知书；提交招标投标书面情况报告及备案资料；协助业主签订合同等</w:t>
      </w:r>
      <w:r>
        <w:rPr>
          <w:rFonts w:hint="eastAsia" w:ascii="宋体" w:hAnsi="宋体" w:eastAsia="宋体" w:cs="宋体"/>
          <w:color w:val="auto"/>
          <w:szCs w:val="30"/>
          <w:highlight w:val="none"/>
          <w:lang w:val="zh-CN"/>
        </w:rPr>
        <w:t>。</w:t>
      </w:r>
    </w:p>
    <w:p w14:paraId="796A86C0">
      <w:pPr>
        <w:widowControl w:val="0"/>
        <w:autoSpaceDE w:val="0"/>
        <w:autoSpaceDN w:val="0"/>
        <w:adjustRightInd w:val="0"/>
        <w:spacing w:line="420" w:lineRule="atLeast"/>
        <w:ind w:firstLine="420" w:firstLineChars="200"/>
        <w:rPr>
          <w:rFonts w:hint="eastAsia" w:ascii="宋体" w:hAnsi="宋体" w:eastAsia="宋体" w:cs="宋体"/>
          <w:color w:val="auto"/>
          <w:szCs w:val="30"/>
          <w:highlight w:val="none"/>
          <w:lang w:val="zh-CN"/>
        </w:rPr>
      </w:pPr>
      <w:r>
        <w:rPr>
          <w:rFonts w:hint="eastAsia" w:ascii="宋体" w:hAnsi="宋体" w:eastAsia="宋体" w:cs="宋体"/>
          <w:color w:val="auto"/>
          <w:szCs w:val="30"/>
          <w:highlight w:val="none"/>
          <w:lang w:val="zh-CN"/>
        </w:rPr>
        <w:t>4.2 乙方应按约定的时间和要求完成下列工作：</w:t>
      </w:r>
    </w:p>
    <w:p w14:paraId="1D94D644">
      <w:pPr>
        <w:widowControl w:val="0"/>
        <w:autoSpaceDE w:val="0"/>
        <w:autoSpaceDN w:val="0"/>
        <w:adjustRightInd w:val="0"/>
        <w:spacing w:line="420" w:lineRule="atLeast"/>
        <w:ind w:firstLine="420" w:firstLineChars="200"/>
        <w:rPr>
          <w:rFonts w:hint="eastAsia" w:ascii="宋体" w:hAnsi="宋体" w:eastAsia="宋体" w:cs="宋体"/>
          <w:color w:val="auto"/>
          <w:szCs w:val="30"/>
          <w:highlight w:val="none"/>
        </w:rPr>
      </w:pPr>
      <w:r>
        <w:rPr>
          <w:rFonts w:hint="eastAsia" w:ascii="宋体" w:hAnsi="宋体" w:eastAsia="宋体" w:cs="宋体"/>
          <w:color w:val="auto"/>
          <w:szCs w:val="30"/>
          <w:highlight w:val="none"/>
          <w:lang w:val="zh-CN"/>
        </w:rPr>
        <w:t>（1）向丙方提供本工程招标代理业务应具备的相关工作前期资料（如立项批准手续、规划许可、报建证等）及资金落实情况资料的时间：</w:t>
      </w:r>
      <w:r>
        <w:rPr>
          <w:rFonts w:hint="eastAsia" w:ascii="宋体" w:hAnsi="宋体" w:eastAsia="宋体" w:cs="宋体"/>
          <w:color w:val="auto"/>
          <w:highlight w:val="none"/>
          <w:u w:val="single"/>
          <w:vertAlign w:val="subscript"/>
        </w:rPr>
        <w:t xml:space="preserve">    </w:t>
      </w:r>
      <w:r>
        <w:rPr>
          <w:rFonts w:hint="eastAsia" w:ascii="宋体" w:hAnsi="宋体" w:eastAsia="宋体" w:cs="宋体"/>
          <w:color w:val="auto"/>
          <w:highlight w:val="none"/>
          <w:u w:val="single"/>
        </w:rPr>
        <w:t>签订合同后 。</w:t>
      </w:r>
    </w:p>
    <w:p w14:paraId="6D290779">
      <w:pPr>
        <w:widowControl w:val="0"/>
        <w:autoSpaceDE w:val="0"/>
        <w:autoSpaceDN w:val="0"/>
        <w:adjustRightInd w:val="0"/>
        <w:spacing w:line="420" w:lineRule="atLeast"/>
        <w:ind w:firstLine="420" w:firstLineChars="200"/>
        <w:rPr>
          <w:rFonts w:hint="eastAsia" w:ascii="宋体" w:hAnsi="宋体" w:eastAsia="宋体" w:cs="宋体"/>
          <w:color w:val="auto"/>
          <w:sz w:val="20"/>
          <w:szCs w:val="30"/>
          <w:highlight w:val="none"/>
        </w:rPr>
      </w:pPr>
      <w:r>
        <w:rPr>
          <w:rFonts w:hint="eastAsia" w:ascii="宋体" w:hAnsi="宋体" w:eastAsia="宋体" w:cs="宋体"/>
          <w:color w:val="auto"/>
          <w:szCs w:val="30"/>
          <w:highlight w:val="none"/>
          <w:lang w:val="zh-CN"/>
        </w:rPr>
        <w:t>（2）向丙方提供完全代理招标业务所需的全部资料的时间：</w:t>
      </w:r>
      <w:r>
        <w:rPr>
          <w:rFonts w:hint="eastAsia" w:ascii="宋体" w:hAnsi="宋体" w:eastAsia="宋体" w:cs="宋体"/>
          <w:color w:val="auto"/>
          <w:highlight w:val="none"/>
          <w:u w:val="single"/>
        </w:rPr>
        <w:t>签订合同后</w:t>
      </w:r>
      <w:r>
        <w:rPr>
          <w:rFonts w:hint="eastAsia" w:ascii="宋体" w:hAnsi="宋体" w:eastAsia="宋体" w:cs="宋体"/>
          <w:color w:val="auto"/>
          <w:sz w:val="20"/>
          <w:szCs w:val="30"/>
          <w:highlight w:val="none"/>
          <w:u w:val="single"/>
        </w:rPr>
        <w:t>。</w:t>
      </w:r>
      <w:r>
        <w:rPr>
          <w:rFonts w:hint="eastAsia" w:ascii="宋体" w:hAnsi="宋体" w:eastAsia="宋体" w:cs="宋体"/>
          <w:color w:val="auto"/>
          <w:sz w:val="20"/>
          <w:szCs w:val="30"/>
          <w:highlight w:val="none"/>
        </w:rPr>
        <w:t xml:space="preserve"> </w:t>
      </w:r>
    </w:p>
    <w:p w14:paraId="0E5E40D9">
      <w:pPr>
        <w:widowControl w:val="0"/>
        <w:autoSpaceDE w:val="0"/>
        <w:autoSpaceDN w:val="0"/>
        <w:adjustRightInd w:val="0"/>
        <w:spacing w:line="420" w:lineRule="atLeast"/>
        <w:ind w:firstLine="420" w:firstLineChars="200"/>
        <w:rPr>
          <w:rFonts w:hint="eastAsia" w:ascii="宋体" w:hAnsi="宋体" w:eastAsia="宋体" w:cs="宋体"/>
          <w:color w:val="auto"/>
          <w:szCs w:val="30"/>
          <w:highlight w:val="none"/>
          <w:lang w:val="zh-CN"/>
        </w:rPr>
      </w:pPr>
      <w:r>
        <w:rPr>
          <w:rFonts w:hint="eastAsia" w:ascii="宋体" w:hAnsi="宋体" w:eastAsia="宋体" w:cs="宋体"/>
          <w:color w:val="auto"/>
          <w:szCs w:val="30"/>
          <w:highlight w:val="none"/>
          <w:lang w:val="zh-CN"/>
        </w:rPr>
        <w:t xml:space="preserve">（3）向丙方提供保证招标工作顺利完成的条件：明确招标范围。                          </w:t>
      </w:r>
    </w:p>
    <w:p w14:paraId="6CACAE39">
      <w:pPr>
        <w:widowControl w:val="0"/>
        <w:autoSpaceDE w:val="0"/>
        <w:autoSpaceDN w:val="0"/>
        <w:adjustRightInd w:val="0"/>
        <w:spacing w:line="420" w:lineRule="atLeast"/>
        <w:ind w:firstLine="420" w:firstLineChars="200"/>
        <w:rPr>
          <w:rFonts w:hint="eastAsia" w:ascii="宋体" w:hAnsi="宋体" w:eastAsia="宋体" w:cs="宋体"/>
          <w:color w:val="auto"/>
          <w:szCs w:val="30"/>
          <w:highlight w:val="none"/>
          <w:lang w:val="zh-CN"/>
        </w:rPr>
      </w:pPr>
      <w:r>
        <w:rPr>
          <w:rFonts w:hint="eastAsia" w:ascii="宋体" w:hAnsi="宋体" w:eastAsia="宋体" w:cs="宋体"/>
          <w:color w:val="auto"/>
          <w:szCs w:val="30"/>
          <w:highlight w:val="none"/>
          <w:lang w:val="zh-CN"/>
        </w:rPr>
        <w:t>（4）指定的与丙方联系的人员</w:t>
      </w:r>
    </w:p>
    <w:p w14:paraId="62CEE6E2">
      <w:pPr>
        <w:widowControl w:val="0"/>
        <w:autoSpaceDE w:val="0"/>
        <w:autoSpaceDN w:val="0"/>
        <w:adjustRightInd w:val="0"/>
        <w:spacing w:line="420" w:lineRule="atLeast"/>
        <w:ind w:firstLine="420" w:firstLineChars="200"/>
        <w:rPr>
          <w:rFonts w:hint="eastAsia" w:ascii="宋体" w:hAnsi="宋体" w:eastAsia="宋体" w:cs="宋体"/>
          <w:color w:val="auto"/>
          <w:szCs w:val="30"/>
          <w:highlight w:val="none"/>
          <w:u w:val="none"/>
          <w:lang w:val="en-US" w:eastAsia="zh-CN"/>
        </w:rPr>
      </w:pPr>
      <w:r>
        <w:rPr>
          <w:rFonts w:hint="eastAsia" w:ascii="宋体" w:hAnsi="宋体" w:eastAsia="宋体" w:cs="宋体"/>
          <w:color w:val="auto"/>
          <w:szCs w:val="30"/>
          <w:highlight w:val="none"/>
          <w:lang w:val="en-US" w:eastAsia="zh-CN"/>
        </w:rPr>
        <w:t>姓名：</w:t>
      </w:r>
      <w:r>
        <w:rPr>
          <w:rFonts w:hint="eastAsia" w:ascii="宋体" w:hAnsi="宋体" w:eastAsia="宋体" w:cs="宋体"/>
          <w:color w:val="auto"/>
          <w:szCs w:val="30"/>
          <w:highlight w:val="none"/>
          <w:u w:val="single"/>
          <w:lang w:val="en-US" w:eastAsia="zh-CN"/>
        </w:rPr>
        <w:t xml:space="preserve">  ******</w:t>
      </w:r>
      <w:r>
        <w:rPr>
          <w:rFonts w:hint="eastAsia" w:ascii="宋体" w:hAnsi="宋体" w:eastAsia="宋体" w:cs="宋体"/>
          <w:color w:val="auto"/>
          <w:szCs w:val="30"/>
          <w:highlight w:val="none"/>
          <w:u w:val="none"/>
          <w:lang w:val="en-US" w:eastAsia="zh-CN"/>
        </w:rPr>
        <w:t xml:space="preserve">       </w:t>
      </w:r>
    </w:p>
    <w:p w14:paraId="30157BF1">
      <w:pPr>
        <w:widowControl w:val="0"/>
        <w:autoSpaceDE w:val="0"/>
        <w:autoSpaceDN w:val="0"/>
        <w:adjustRightInd w:val="0"/>
        <w:spacing w:line="420" w:lineRule="atLeast"/>
        <w:ind w:firstLine="420" w:firstLineChars="200"/>
        <w:rPr>
          <w:rFonts w:hint="eastAsia" w:ascii="宋体" w:hAnsi="宋体" w:eastAsia="宋体" w:cs="宋体"/>
          <w:color w:val="auto"/>
          <w:szCs w:val="30"/>
          <w:highlight w:val="none"/>
          <w:u w:val="single"/>
          <w:lang w:val="en-US" w:eastAsia="zh-CN"/>
        </w:rPr>
      </w:pPr>
      <w:r>
        <w:rPr>
          <w:rFonts w:hint="eastAsia" w:ascii="宋体" w:hAnsi="宋体" w:eastAsia="宋体" w:cs="宋体"/>
          <w:color w:val="auto"/>
          <w:szCs w:val="30"/>
          <w:highlight w:val="none"/>
          <w:lang w:val="en-US" w:eastAsia="zh-CN"/>
        </w:rPr>
        <w:t>电话：</w:t>
      </w:r>
      <w:r>
        <w:rPr>
          <w:rFonts w:hint="eastAsia" w:ascii="宋体" w:hAnsi="宋体" w:eastAsia="宋体" w:cs="宋体"/>
          <w:color w:val="auto"/>
          <w:szCs w:val="30"/>
          <w:highlight w:val="none"/>
          <w:u w:val="single"/>
          <w:lang w:val="en-US" w:eastAsia="zh-CN"/>
        </w:rPr>
        <w:t>*****</w:t>
      </w:r>
    </w:p>
    <w:p w14:paraId="549A0DD5">
      <w:pPr>
        <w:widowControl w:val="0"/>
        <w:autoSpaceDE w:val="0"/>
        <w:autoSpaceDN w:val="0"/>
        <w:adjustRightInd w:val="0"/>
        <w:spacing w:line="420" w:lineRule="atLeast"/>
        <w:ind w:firstLine="420" w:firstLineChars="200"/>
        <w:rPr>
          <w:rFonts w:hint="eastAsia" w:ascii="宋体" w:hAnsi="宋体" w:eastAsia="宋体" w:cs="宋体"/>
          <w:color w:val="auto"/>
          <w:szCs w:val="30"/>
          <w:highlight w:val="none"/>
          <w:lang w:val="zh-CN"/>
        </w:rPr>
      </w:pPr>
      <w:r>
        <w:rPr>
          <w:rFonts w:hint="eastAsia" w:ascii="宋体" w:hAnsi="宋体" w:eastAsia="宋体" w:cs="宋体"/>
          <w:color w:val="auto"/>
          <w:szCs w:val="30"/>
          <w:highlight w:val="none"/>
          <w:lang w:val="zh-CN"/>
        </w:rPr>
        <w:t>（5）需要与第三方协调的工作：需设计解决的问题</w:t>
      </w:r>
    </w:p>
    <w:p w14:paraId="02773C76">
      <w:pPr>
        <w:widowControl w:val="0"/>
        <w:autoSpaceDE w:val="0"/>
        <w:autoSpaceDN w:val="0"/>
        <w:adjustRightInd w:val="0"/>
        <w:spacing w:line="420" w:lineRule="atLeast"/>
        <w:ind w:firstLine="420" w:firstLineChars="200"/>
        <w:rPr>
          <w:rFonts w:hint="eastAsia" w:ascii="宋体" w:hAnsi="宋体" w:eastAsia="宋体" w:cs="宋体"/>
          <w:color w:val="auto"/>
          <w:szCs w:val="30"/>
          <w:highlight w:val="none"/>
          <w:lang w:val="zh-CN"/>
        </w:rPr>
      </w:pPr>
      <w:r>
        <w:rPr>
          <w:rFonts w:hint="eastAsia" w:ascii="宋体" w:hAnsi="宋体" w:eastAsia="宋体" w:cs="宋体"/>
          <w:color w:val="auto"/>
          <w:szCs w:val="30"/>
          <w:highlight w:val="none"/>
          <w:lang w:val="zh-CN"/>
        </w:rPr>
        <w:t>（</w:t>
      </w:r>
      <w:r>
        <w:rPr>
          <w:rFonts w:hint="eastAsia" w:ascii="宋体" w:hAnsi="宋体" w:eastAsia="宋体" w:cs="宋体"/>
          <w:color w:val="auto"/>
          <w:szCs w:val="30"/>
          <w:highlight w:val="none"/>
          <w:lang w:val="en-US" w:eastAsia="zh-CN"/>
        </w:rPr>
        <w:t>6</w:t>
      </w:r>
      <w:r>
        <w:rPr>
          <w:rFonts w:hint="eastAsia" w:ascii="宋体" w:hAnsi="宋体" w:eastAsia="宋体" w:cs="宋体"/>
          <w:color w:val="auto"/>
          <w:szCs w:val="30"/>
          <w:highlight w:val="none"/>
          <w:lang w:val="zh-CN"/>
        </w:rPr>
        <w:t>）应尽的其他义务：支付交易费、公证费等</w:t>
      </w:r>
    </w:p>
    <w:p w14:paraId="1013F754">
      <w:pPr>
        <w:widowControl w:val="0"/>
        <w:autoSpaceDE w:val="0"/>
        <w:autoSpaceDN w:val="0"/>
        <w:adjustRightInd w:val="0"/>
        <w:spacing w:line="420" w:lineRule="atLeast"/>
        <w:ind w:firstLine="420" w:firstLineChars="200"/>
        <w:rPr>
          <w:rFonts w:hint="eastAsia" w:ascii="宋体" w:hAnsi="宋体" w:eastAsia="宋体" w:cs="宋体"/>
          <w:color w:val="auto"/>
          <w:szCs w:val="30"/>
          <w:highlight w:val="none"/>
          <w:lang w:val="zh-CN"/>
        </w:rPr>
      </w:pPr>
      <w:r>
        <w:rPr>
          <w:rFonts w:hint="eastAsia" w:ascii="宋体" w:hAnsi="宋体" w:eastAsia="宋体" w:cs="宋体"/>
          <w:color w:val="auto"/>
          <w:szCs w:val="30"/>
          <w:highlight w:val="none"/>
          <w:lang w:val="zh-CN"/>
        </w:rPr>
        <w:t>5、丙方的义务</w:t>
      </w:r>
    </w:p>
    <w:p w14:paraId="241948BC">
      <w:pPr>
        <w:autoSpaceDE w:val="0"/>
        <w:autoSpaceDN w:val="0"/>
        <w:adjustRightInd w:val="0"/>
        <w:spacing w:line="440" w:lineRule="exact"/>
        <w:ind w:firstLine="540"/>
        <w:rPr>
          <w:rFonts w:hint="eastAsia" w:ascii="宋体" w:hAnsi="宋体" w:eastAsia="宋体" w:cs="宋体"/>
          <w:color w:val="auto"/>
          <w:szCs w:val="30"/>
          <w:highlight w:val="none"/>
          <w:u w:val="single"/>
          <w:lang w:val="en-US" w:eastAsia="zh-CN"/>
        </w:rPr>
      </w:pPr>
      <w:r>
        <w:rPr>
          <w:rFonts w:hint="eastAsia" w:ascii="宋体" w:hAnsi="宋体" w:eastAsia="宋体" w:cs="宋体"/>
          <w:color w:val="auto"/>
          <w:highlight w:val="none"/>
          <w:lang w:val="zh-CN"/>
        </w:rPr>
        <w:t>5.1 招标代理项目负责人姓名：</w:t>
      </w:r>
      <w:r>
        <w:rPr>
          <w:rFonts w:hint="eastAsia" w:ascii="宋体" w:hAnsi="宋体" w:eastAsia="宋体" w:cs="宋体"/>
          <w:color w:val="auto"/>
          <w:szCs w:val="30"/>
          <w:highlight w:val="none"/>
          <w:u w:val="single"/>
          <w:lang w:val="en-US" w:eastAsia="zh-CN"/>
        </w:rPr>
        <w:t>*****</w:t>
      </w:r>
      <w:r>
        <w:rPr>
          <w:rFonts w:hint="eastAsia" w:ascii="宋体" w:hAnsi="宋体" w:eastAsia="宋体" w:cs="宋体"/>
          <w:color w:val="auto"/>
          <w:szCs w:val="30"/>
          <w:highlight w:val="none"/>
          <w:u w:val="single"/>
          <w:lang w:val="zh-CN"/>
        </w:rPr>
        <w:t xml:space="preserve"> </w:t>
      </w:r>
      <w:r>
        <w:rPr>
          <w:rFonts w:hint="eastAsia" w:ascii="宋体" w:hAnsi="宋体" w:eastAsia="宋体" w:cs="宋体"/>
          <w:color w:val="auto"/>
          <w:szCs w:val="30"/>
          <w:highlight w:val="none"/>
          <w:lang w:val="zh-CN"/>
        </w:rPr>
        <w:t xml:space="preserve"> </w:t>
      </w:r>
      <w:r>
        <w:rPr>
          <w:rFonts w:hint="eastAsia" w:ascii="宋体" w:hAnsi="宋体" w:eastAsia="宋体" w:cs="宋体"/>
          <w:color w:val="auto"/>
          <w:szCs w:val="30"/>
          <w:highlight w:val="none"/>
          <w:lang w:val="en-US" w:eastAsia="zh-CN"/>
        </w:rPr>
        <w:t>电话</w:t>
      </w:r>
      <w:r>
        <w:rPr>
          <w:rFonts w:hint="eastAsia" w:ascii="宋体" w:hAnsi="宋体" w:eastAsia="宋体" w:cs="宋体"/>
          <w:color w:val="auto"/>
          <w:szCs w:val="30"/>
          <w:highlight w:val="none"/>
          <w:lang w:val="zh-CN"/>
        </w:rPr>
        <w:t>：</w:t>
      </w:r>
      <w:r>
        <w:rPr>
          <w:rFonts w:hint="eastAsia" w:ascii="宋体" w:hAnsi="宋体" w:eastAsia="宋体" w:cs="宋体"/>
          <w:color w:val="auto"/>
          <w:szCs w:val="30"/>
          <w:highlight w:val="none"/>
          <w:u w:val="single"/>
          <w:lang w:val="en-US" w:eastAsia="zh-CN"/>
        </w:rPr>
        <w:t>****</w:t>
      </w:r>
    </w:p>
    <w:p w14:paraId="100BA1E1">
      <w:pPr>
        <w:autoSpaceDE w:val="0"/>
        <w:autoSpaceDN w:val="0"/>
        <w:adjustRightInd w:val="0"/>
        <w:spacing w:line="420" w:lineRule="atLeast"/>
        <w:ind w:firstLine="420" w:firstLineChars="200"/>
        <w:rPr>
          <w:rFonts w:hint="eastAsia" w:ascii="宋体" w:hAnsi="宋体" w:eastAsia="宋体" w:cs="宋体"/>
          <w:color w:val="auto"/>
          <w:szCs w:val="30"/>
          <w:highlight w:val="none"/>
          <w:lang w:val="zh-CN"/>
        </w:rPr>
      </w:pPr>
      <w:r>
        <w:rPr>
          <w:rFonts w:hint="eastAsia" w:ascii="宋体" w:hAnsi="宋体" w:eastAsia="宋体" w:cs="宋体"/>
          <w:color w:val="auto"/>
          <w:szCs w:val="30"/>
          <w:highlight w:val="none"/>
          <w:lang w:val="zh-CN"/>
        </w:rPr>
        <w:t>5.2 丙方应按约定的时间和要求完全下列工作：</w:t>
      </w:r>
    </w:p>
    <w:p w14:paraId="28390704">
      <w:pPr>
        <w:widowControl w:val="0"/>
        <w:autoSpaceDE w:val="0"/>
        <w:autoSpaceDN w:val="0"/>
        <w:adjustRightInd w:val="0"/>
        <w:spacing w:line="420" w:lineRule="atLeast"/>
        <w:ind w:firstLine="420" w:firstLineChars="200"/>
        <w:rPr>
          <w:rFonts w:hint="eastAsia" w:ascii="宋体" w:hAnsi="宋体" w:eastAsia="宋体" w:cs="宋体"/>
          <w:color w:val="auto"/>
          <w:szCs w:val="30"/>
          <w:highlight w:val="none"/>
          <w:u w:val="single"/>
          <w:lang w:val="zh-CN"/>
        </w:rPr>
      </w:pPr>
      <w:r>
        <w:rPr>
          <w:rFonts w:hint="eastAsia" w:ascii="宋体" w:hAnsi="宋体" w:eastAsia="宋体" w:cs="宋体"/>
          <w:color w:val="auto"/>
          <w:szCs w:val="30"/>
          <w:highlight w:val="none"/>
          <w:lang w:val="zh-CN"/>
        </w:rPr>
        <w:t>（1）组织招标工作的内容和时间：</w:t>
      </w:r>
      <w:r>
        <w:rPr>
          <w:rFonts w:hint="eastAsia" w:ascii="宋体" w:hAnsi="宋体" w:eastAsia="宋体" w:cs="宋体"/>
          <w:color w:val="auto"/>
          <w:szCs w:val="30"/>
          <w:highlight w:val="none"/>
          <w:u w:val="single"/>
          <w:lang w:val="en-US" w:eastAsia="zh-CN"/>
        </w:rPr>
        <w:t>代理中选</w:t>
      </w:r>
      <w:r>
        <w:rPr>
          <w:rFonts w:hint="eastAsia" w:ascii="宋体" w:hAnsi="宋体" w:eastAsia="宋体" w:cs="宋体"/>
          <w:color w:val="auto"/>
          <w:szCs w:val="30"/>
          <w:highlight w:val="none"/>
          <w:u w:val="single"/>
          <w:lang w:val="zh-CN"/>
        </w:rPr>
        <w:t>公示结束后48小时内受理业务，根据</w:t>
      </w:r>
      <w:r>
        <w:rPr>
          <w:rFonts w:hint="eastAsia" w:ascii="宋体" w:hAnsi="宋体" w:eastAsia="宋体" w:cs="宋体"/>
          <w:color w:val="auto"/>
          <w:szCs w:val="30"/>
          <w:highlight w:val="none"/>
          <w:u w:val="single"/>
          <w:lang w:val="en-US" w:eastAsia="zh-CN"/>
        </w:rPr>
        <w:t>甲、乙方</w:t>
      </w:r>
      <w:r>
        <w:rPr>
          <w:rFonts w:hint="eastAsia" w:ascii="宋体" w:hAnsi="宋体" w:eastAsia="宋体" w:cs="宋体"/>
          <w:color w:val="auto"/>
          <w:szCs w:val="30"/>
          <w:highlight w:val="none"/>
          <w:u w:val="single"/>
          <w:lang w:val="zh-CN"/>
        </w:rPr>
        <w:t>要求开始实施；在</w:t>
      </w:r>
      <w:r>
        <w:rPr>
          <w:rFonts w:hint="eastAsia" w:ascii="宋体" w:hAnsi="宋体" w:eastAsia="宋体" w:cs="宋体"/>
          <w:color w:val="auto"/>
          <w:szCs w:val="30"/>
          <w:highlight w:val="none"/>
          <w:u w:val="single"/>
          <w:lang w:val="en-US" w:eastAsia="zh-CN"/>
        </w:rPr>
        <w:t>甲、乙方</w:t>
      </w:r>
      <w:r>
        <w:rPr>
          <w:rFonts w:hint="eastAsia" w:ascii="宋体" w:hAnsi="宋体" w:eastAsia="宋体" w:cs="宋体"/>
          <w:color w:val="auto"/>
          <w:szCs w:val="30"/>
          <w:highlight w:val="none"/>
          <w:u w:val="single"/>
          <w:lang w:val="zh-CN"/>
        </w:rPr>
        <w:t>要求的时间内完成</w:t>
      </w:r>
      <w:r>
        <w:rPr>
          <w:rFonts w:hint="eastAsia" w:ascii="宋体" w:hAnsi="宋体" w:eastAsia="宋体" w:cs="宋体"/>
          <w:color w:val="auto"/>
          <w:szCs w:val="30"/>
          <w:highlight w:val="none"/>
          <w:u w:val="single"/>
          <w:lang w:val="en-US" w:eastAsia="zh-CN"/>
        </w:rPr>
        <w:t>工作</w:t>
      </w:r>
      <w:r>
        <w:rPr>
          <w:rFonts w:hint="eastAsia" w:ascii="宋体" w:hAnsi="宋体" w:eastAsia="宋体" w:cs="宋体"/>
          <w:color w:val="auto"/>
          <w:szCs w:val="30"/>
          <w:highlight w:val="none"/>
          <w:u w:val="single"/>
          <w:lang w:val="zh-CN"/>
        </w:rPr>
        <w:t>。</w:t>
      </w:r>
    </w:p>
    <w:p w14:paraId="452CD073">
      <w:pPr>
        <w:widowControl w:val="0"/>
        <w:autoSpaceDE w:val="0"/>
        <w:autoSpaceDN w:val="0"/>
        <w:adjustRightInd w:val="0"/>
        <w:spacing w:line="420" w:lineRule="atLeast"/>
        <w:ind w:firstLine="420" w:firstLineChars="200"/>
        <w:rPr>
          <w:rFonts w:hint="eastAsia" w:ascii="宋体" w:hAnsi="宋体" w:eastAsia="宋体" w:cs="宋体"/>
          <w:color w:val="auto"/>
          <w:szCs w:val="30"/>
          <w:highlight w:val="none"/>
          <w:u w:val="single"/>
          <w:lang w:val="zh-CN"/>
        </w:rPr>
      </w:pPr>
      <w:r>
        <w:rPr>
          <w:rFonts w:hint="eastAsia" w:ascii="宋体" w:hAnsi="宋体" w:eastAsia="宋体" w:cs="宋体"/>
          <w:color w:val="auto"/>
          <w:szCs w:val="30"/>
          <w:highlight w:val="none"/>
          <w:lang w:val="zh-CN"/>
        </w:rPr>
        <w:t>（2）为招标人提供的为完成招标工作的相关咨询服务：</w:t>
      </w:r>
      <w:r>
        <w:rPr>
          <w:rFonts w:hint="eastAsia" w:ascii="宋体" w:hAnsi="宋体" w:eastAsia="宋体" w:cs="宋体"/>
          <w:color w:val="auto"/>
          <w:szCs w:val="30"/>
          <w:highlight w:val="none"/>
          <w:u w:val="single"/>
          <w:lang w:val="zh-CN"/>
        </w:rPr>
        <w:t xml:space="preserve"> </w:t>
      </w:r>
      <w:r>
        <w:rPr>
          <w:rFonts w:hint="eastAsia" w:ascii="宋体" w:hAnsi="宋体" w:eastAsia="宋体" w:cs="宋体"/>
          <w:color w:val="auto"/>
          <w:kern w:val="0"/>
          <w:szCs w:val="21"/>
          <w:highlight w:val="none"/>
          <w:u w:val="single"/>
        </w:rPr>
        <w:t>清单、预算的编制及施工图设计完成后的相关预算审核造价咨询服务</w:t>
      </w:r>
      <w:r>
        <w:rPr>
          <w:rFonts w:hint="eastAsia" w:ascii="宋体" w:hAnsi="宋体" w:eastAsia="宋体" w:cs="宋体"/>
          <w:color w:val="auto"/>
          <w:szCs w:val="21"/>
          <w:highlight w:val="none"/>
          <w:u w:val="single"/>
          <w:lang w:val="zh-CN"/>
        </w:rPr>
        <w:t>，其它按</w:t>
      </w:r>
      <w:r>
        <w:rPr>
          <w:rFonts w:hint="eastAsia" w:ascii="宋体" w:hAnsi="宋体" w:eastAsia="宋体" w:cs="宋体"/>
          <w:color w:val="auto"/>
          <w:szCs w:val="21"/>
          <w:highlight w:val="none"/>
          <w:u w:val="single"/>
          <w:lang w:val="en-US" w:eastAsia="zh-CN"/>
        </w:rPr>
        <w:t>甲、乙方</w:t>
      </w:r>
      <w:r>
        <w:rPr>
          <w:rFonts w:hint="eastAsia" w:ascii="宋体" w:hAnsi="宋体" w:eastAsia="宋体" w:cs="宋体"/>
          <w:color w:val="auto"/>
          <w:szCs w:val="21"/>
          <w:highlight w:val="none"/>
          <w:u w:val="single"/>
          <w:lang w:val="zh-CN"/>
        </w:rPr>
        <w:t>要求确定。</w:t>
      </w:r>
      <w:r>
        <w:rPr>
          <w:rFonts w:hint="eastAsia" w:ascii="宋体" w:hAnsi="宋体" w:eastAsia="宋体" w:cs="宋体"/>
          <w:color w:val="auto"/>
          <w:szCs w:val="30"/>
          <w:highlight w:val="none"/>
          <w:u w:val="single"/>
          <w:lang w:val="zh-CN"/>
        </w:rPr>
        <w:t xml:space="preserve"> </w:t>
      </w:r>
    </w:p>
    <w:p w14:paraId="04529180">
      <w:pPr>
        <w:widowControl w:val="0"/>
        <w:autoSpaceDE w:val="0"/>
        <w:autoSpaceDN w:val="0"/>
        <w:adjustRightInd w:val="0"/>
        <w:spacing w:line="420" w:lineRule="atLeast"/>
        <w:ind w:firstLine="420" w:firstLineChars="200"/>
        <w:rPr>
          <w:rFonts w:hint="eastAsia" w:ascii="宋体" w:hAnsi="宋体" w:eastAsia="宋体" w:cs="宋体"/>
          <w:color w:val="auto"/>
          <w:szCs w:val="30"/>
          <w:highlight w:val="none"/>
          <w:lang w:val="zh-CN"/>
        </w:rPr>
      </w:pPr>
      <w:r>
        <w:rPr>
          <w:rFonts w:hint="eastAsia" w:ascii="宋体" w:hAnsi="宋体" w:eastAsia="宋体" w:cs="宋体"/>
          <w:color w:val="auto"/>
          <w:szCs w:val="30"/>
          <w:highlight w:val="none"/>
          <w:lang w:val="zh-CN"/>
        </w:rPr>
        <w:t>（3）承担招标代理业务过程中，应由丙方支付的费用：</w:t>
      </w:r>
      <w:r>
        <w:rPr>
          <w:rFonts w:hint="eastAsia" w:ascii="宋体" w:hAnsi="宋体" w:eastAsia="宋体" w:cs="宋体"/>
          <w:color w:val="auto"/>
          <w:szCs w:val="30"/>
          <w:highlight w:val="none"/>
          <w:u w:val="single"/>
          <w:lang w:val="zh-CN"/>
        </w:rPr>
        <w:t xml:space="preserve">专家评审费  </w:t>
      </w:r>
      <w:r>
        <w:rPr>
          <w:rFonts w:hint="eastAsia" w:ascii="宋体" w:hAnsi="宋体" w:eastAsia="宋体" w:cs="宋体"/>
          <w:color w:val="auto"/>
          <w:szCs w:val="30"/>
          <w:highlight w:val="none"/>
          <w:lang w:val="zh-CN"/>
        </w:rPr>
        <w:t xml:space="preserve"> </w:t>
      </w:r>
    </w:p>
    <w:p w14:paraId="324D4C1A">
      <w:pPr>
        <w:widowControl w:val="0"/>
        <w:autoSpaceDE w:val="0"/>
        <w:autoSpaceDN w:val="0"/>
        <w:adjustRightInd w:val="0"/>
        <w:spacing w:line="420" w:lineRule="atLeast"/>
        <w:ind w:firstLine="420" w:firstLineChars="200"/>
        <w:rPr>
          <w:rFonts w:hint="eastAsia" w:ascii="宋体" w:hAnsi="宋体" w:eastAsia="宋体" w:cs="宋体"/>
          <w:color w:val="auto"/>
          <w:szCs w:val="30"/>
          <w:highlight w:val="none"/>
          <w:lang w:val="zh-CN" w:eastAsia="zh-CN"/>
        </w:rPr>
      </w:pPr>
      <w:r>
        <w:rPr>
          <w:rFonts w:hint="eastAsia" w:ascii="宋体" w:hAnsi="宋体" w:eastAsia="宋体" w:cs="宋体"/>
          <w:color w:val="auto"/>
          <w:szCs w:val="30"/>
          <w:highlight w:val="none"/>
          <w:lang w:val="zh-CN"/>
        </w:rPr>
        <w:t>（4）应尽的其他义务：</w:t>
      </w:r>
      <w:r>
        <w:rPr>
          <w:rFonts w:hint="eastAsia" w:ascii="宋体" w:hAnsi="宋体" w:eastAsia="宋体" w:cs="宋体"/>
          <w:color w:val="auto"/>
          <w:highlight w:val="none"/>
          <w:u w:val="single"/>
        </w:rPr>
        <w:t>编制招标文件等代理工作</w:t>
      </w:r>
      <w:r>
        <w:rPr>
          <w:rFonts w:hint="eastAsia" w:ascii="宋体" w:hAnsi="宋体" w:eastAsia="宋体" w:cs="宋体"/>
          <w:color w:val="auto"/>
          <w:highlight w:val="none"/>
          <w:u w:val="single"/>
          <w:lang w:eastAsia="zh-CN"/>
        </w:rPr>
        <w:t>；</w:t>
      </w:r>
      <w:r>
        <w:rPr>
          <w:rFonts w:hint="eastAsia" w:ascii="宋体" w:hAnsi="宋体" w:eastAsia="宋体" w:cs="宋体"/>
          <w:color w:val="auto"/>
          <w:szCs w:val="21"/>
          <w:highlight w:val="none"/>
          <w:u w:val="single"/>
          <w:lang w:val="zh-CN"/>
        </w:rPr>
        <w:t>根据甲、</w:t>
      </w:r>
      <w:r>
        <w:rPr>
          <w:rFonts w:hint="eastAsia" w:ascii="宋体" w:hAnsi="宋体" w:eastAsia="宋体" w:cs="宋体"/>
          <w:color w:val="auto"/>
          <w:szCs w:val="21"/>
          <w:highlight w:val="none"/>
          <w:u w:val="single"/>
          <w:lang w:val="en-US" w:eastAsia="zh-CN"/>
        </w:rPr>
        <w:t>乙</w:t>
      </w:r>
      <w:r>
        <w:rPr>
          <w:rFonts w:hint="eastAsia" w:ascii="宋体" w:hAnsi="宋体" w:eastAsia="宋体" w:cs="宋体"/>
          <w:color w:val="auto"/>
          <w:szCs w:val="21"/>
          <w:highlight w:val="none"/>
          <w:u w:val="single"/>
          <w:lang w:val="zh-CN"/>
        </w:rPr>
        <w:t>方要求：提交招标申请备案；拟定招标方案；编制发布招标信息或投标邀请书；组织投标人现场踏勘和答疑；组织开标评标，填写评标报告；发放中标通知书；提交招标投标书面情况报告及备案资料；协助业主签订合同等。</w:t>
      </w:r>
    </w:p>
    <w:p w14:paraId="0CB28C0C">
      <w:pPr>
        <w:widowControl w:val="0"/>
        <w:autoSpaceDE w:val="0"/>
        <w:autoSpaceDN w:val="0"/>
        <w:adjustRightInd w:val="0"/>
        <w:spacing w:line="420" w:lineRule="atLeast"/>
        <w:ind w:firstLine="420" w:firstLineChars="200"/>
        <w:rPr>
          <w:rFonts w:hint="eastAsia" w:ascii="宋体" w:hAnsi="宋体" w:eastAsia="宋体" w:cs="宋体"/>
          <w:color w:val="auto"/>
          <w:szCs w:val="30"/>
          <w:highlight w:val="none"/>
          <w:lang w:val="zh-CN"/>
        </w:rPr>
      </w:pPr>
      <w:r>
        <w:rPr>
          <w:rFonts w:hint="eastAsia" w:ascii="宋体" w:hAnsi="宋体" w:eastAsia="宋体" w:cs="宋体"/>
          <w:color w:val="auto"/>
          <w:szCs w:val="30"/>
          <w:highlight w:val="none"/>
          <w:lang w:val="zh-CN"/>
        </w:rPr>
        <w:t>6、乙方的权利</w:t>
      </w:r>
    </w:p>
    <w:p w14:paraId="06E1E10E">
      <w:pPr>
        <w:widowControl w:val="0"/>
        <w:autoSpaceDE w:val="0"/>
        <w:autoSpaceDN w:val="0"/>
        <w:adjustRightInd w:val="0"/>
        <w:spacing w:line="420" w:lineRule="atLeast"/>
        <w:ind w:firstLine="420" w:firstLineChars="200"/>
        <w:rPr>
          <w:rFonts w:hint="eastAsia" w:ascii="宋体" w:hAnsi="宋体" w:eastAsia="宋体" w:cs="宋体"/>
          <w:color w:val="auto"/>
          <w:szCs w:val="30"/>
          <w:highlight w:val="none"/>
          <w:lang w:val="zh-CN"/>
        </w:rPr>
      </w:pPr>
      <w:r>
        <w:rPr>
          <w:rFonts w:hint="eastAsia" w:ascii="宋体" w:hAnsi="宋体" w:eastAsia="宋体" w:cs="宋体"/>
          <w:color w:val="auto"/>
          <w:szCs w:val="30"/>
          <w:highlight w:val="none"/>
          <w:lang w:val="zh-CN"/>
        </w:rPr>
        <w:t>6.1 乙方拥有的权利：</w:t>
      </w:r>
      <w:r>
        <w:rPr>
          <w:rFonts w:hint="eastAsia" w:ascii="宋体" w:hAnsi="宋体" w:eastAsia="宋体" w:cs="宋体"/>
          <w:color w:val="auto"/>
          <w:szCs w:val="30"/>
          <w:highlight w:val="none"/>
          <w:u w:val="single"/>
          <w:lang w:val="zh-CN"/>
        </w:rPr>
        <w:t>按通用条款</w:t>
      </w:r>
    </w:p>
    <w:p w14:paraId="5353B4AC">
      <w:pPr>
        <w:widowControl w:val="0"/>
        <w:autoSpaceDE w:val="0"/>
        <w:autoSpaceDN w:val="0"/>
        <w:adjustRightInd w:val="0"/>
        <w:spacing w:line="420" w:lineRule="atLeast"/>
        <w:ind w:firstLine="420" w:firstLineChars="200"/>
        <w:rPr>
          <w:rFonts w:hint="eastAsia" w:ascii="宋体" w:hAnsi="宋体" w:eastAsia="宋体" w:cs="宋体"/>
          <w:color w:val="auto"/>
          <w:highlight w:val="none"/>
          <w:u w:val="single"/>
          <w:vertAlign w:val="subscript"/>
        </w:rPr>
      </w:pPr>
      <w:r>
        <w:rPr>
          <w:rFonts w:hint="eastAsia" w:ascii="宋体" w:hAnsi="宋体" w:eastAsia="宋体" w:cs="宋体"/>
          <w:color w:val="auto"/>
          <w:szCs w:val="30"/>
          <w:highlight w:val="none"/>
          <w:lang w:val="zh-CN"/>
        </w:rPr>
        <w:t>6.2 乙方拥有的其他权利：</w:t>
      </w:r>
      <w:r>
        <w:rPr>
          <w:rFonts w:hint="eastAsia" w:ascii="宋体" w:hAnsi="宋体" w:eastAsia="宋体" w:cs="宋体"/>
          <w:color w:val="auto"/>
          <w:szCs w:val="30"/>
          <w:highlight w:val="none"/>
          <w:u w:val="single"/>
          <w:lang w:val="zh-CN"/>
        </w:rPr>
        <w:t>/</w:t>
      </w:r>
    </w:p>
    <w:p w14:paraId="08025B03">
      <w:pPr>
        <w:widowControl w:val="0"/>
        <w:tabs>
          <w:tab w:val="left" w:pos="540"/>
        </w:tabs>
        <w:autoSpaceDE w:val="0"/>
        <w:autoSpaceDN w:val="0"/>
        <w:adjustRightInd w:val="0"/>
        <w:spacing w:line="420" w:lineRule="atLeast"/>
        <w:ind w:firstLine="420" w:firstLineChars="200"/>
        <w:rPr>
          <w:rFonts w:hint="eastAsia" w:ascii="宋体" w:hAnsi="宋体" w:eastAsia="宋体" w:cs="宋体"/>
          <w:color w:val="auto"/>
          <w:szCs w:val="30"/>
          <w:highlight w:val="none"/>
          <w:lang w:val="zh-CN"/>
        </w:rPr>
      </w:pPr>
      <w:r>
        <w:rPr>
          <w:rFonts w:hint="eastAsia" w:ascii="宋体" w:hAnsi="宋体" w:eastAsia="宋体" w:cs="宋体"/>
          <w:color w:val="auto"/>
          <w:szCs w:val="30"/>
          <w:highlight w:val="none"/>
          <w:lang w:val="zh-CN"/>
        </w:rPr>
        <w:t>7、丙方的权利</w:t>
      </w:r>
    </w:p>
    <w:p w14:paraId="523592B9">
      <w:pPr>
        <w:widowControl w:val="0"/>
        <w:autoSpaceDE w:val="0"/>
        <w:autoSpaceDN w:val="0"/>
        <w:adjustRightInd w:val="0"/>
        <w:spacing w:line="420" w:lineRule="atLeast"/>
        <w:ind w:firstLine="420" w:firstLineChars="200"/>
        <w:rPr>
          <w:rFonts w:hint="eastAsia" w:ascii="宋体" w:hAnsi="宋体" w:eastAsia="宋体" w:cs="宋体"/>
          <w:color w:val="auto"/>
          <w:szCs w:val="30"/>
          <w:highlight w:val="none"/>
          <w:u w:val="single"/>
          <w:lang w:val="zh-CN"/>
        </w:rPr>
      </w:pPr>
      <w:r>
        <w:rPr>
          <w:rFonts w:hint="eastAsia" w:ascii="宋体" w:hAnsi="宋体" w:eastAsia="宋体" w:cs="宋体"/>
          <w:color w:val="auto"/>
          <w:szCs w:val="30"/>
          <w:highlight w:val="none"/>
          <w:lang w:val="zh-CN"/>
        </w:rPr>
        <w:t>7.1 丙方拥有的权利：</w:t>
      </w:r>
      <w:r>
        <w:rPr>
          <w:rFonts w:hint="eastAsia" w:ascii="宋体" w:hAnsi="宋体" w:eastAsia="宋体" w:cs="宋体"/>
          <w:color w:val="auto"/>
          <w:szCs w:val="30"/>
          <w:highlight w:val="none"/>
          <w:u w:val="single"/>
          <w:lang w:val="zh-CN"/>
        </w:rPr>
        <w:t>按通用条款</w:t>
      </w:r>
    </w:p>
    <w:p w14:paraId="4D1DB52C">
      <w:pPr>
        <w:widowControl w:val="0"/>
        <w:tabs>
          <w:tab w:val="left" w:pos="720"/>
          <w:tab w:val="left" w:pos="900"/>
        </w:tabs>
        <w:autoSpaceDE w:val="0"/>
        <w:autoSpaceDN w:val="0"/>
        <w:adjustRightInd w:val="0"/>
        <w:spacing w:line="420" w:lineRule="atLeast"/>
        <w:ind w:firstLine="420" w:firstLineChars="200"/>
        <w:rPr>
          <w:rFonts w:hint="eastAsia" w:ascii="宋体" w:hAnsi="宋体" w:eastAsia="宋体" w:cs="宋体"/>
          <w:color w:val="auto"/>
          <w:szCs w:val="30"/>
          <w:highlight w:val="none"/>
          <w:lang w:val="zh-CN"/>
        </w:rPr>
      </w:pPr>
      <w:r>
        <w:rPr>
          <w:rFonts w:hint="eastAsia" w:ascii="宋体" w:hAnsi="宋体" w:eastAsia="宋体" w:cs="宋体"/>
          <w:color w:val="auto"/>
          <w:szCs w:val="30"/>
          <w:highlight w:val="none"/>
          <w:lang w:val="zh-CN"/>
        </w:rPr>
        <w:t>7.2 丙方拥有的其他权利：</w:t>
      </w:r>
      <w:r>
        <w:rPr>
          <w:rFonts w:hint="eastAsia" w:ascii="宋体" w:hAnsi="宋体" w:eastAsia="宋体" w:cs="宋体"/>
          <w:color w:val="auto"/>
          <w:szCs w:val="30"/>
          <w:highlight w:val="none"/>
          <w:u w:val="single"/>
          <w:lang w:val="zh-CN"/>
        </w:rPr>
        <w:t>/</w:t>
      </w:r>
      <w:r>
        <w:rPr>
          <w:rFonts w:hint="eastAsia" w:ascii="宋体" w:hAnsi="宋体" w:eastAsia="宋体" w:cs="宋体"/>
          <w:color w:val="auto"/>
          <w:sz w:val="20"/>
          <w:szCs w:val="30"/>
          <w:highlight w:val="none"/>
        </w:rPr>
        <w:t xml:space="preserve"> </w:t>
      </w:r>
      <w:r>
        <w:rPr>
          <w:rFonts w:hint="eastAsia" w:ascii="宋体" w:hAnsi="宋体" w:eastAsia="宋体" w:cs="宋体"/>
          <w:color w:val="auto"/>
          <w:szCs w:val="30"/>
          <w:highlight w:val="none"/>
          <w:lang w:val="zh-CN"/>
        </w:rPr>
        <w:t xml:space="preserve"> </w:t>
      </w:r>
    </w:p>
    <w:p w14:paraId="7BBA2DB0">
      <w:pPr>
        <w:widowControl w:val="0"/>
        <w:autoSpaceDE w:val="0"/>
        <w:autoSpaceDN w:val="0"/>
        <w:adjustRightInd w:val="0"/>
        <w:spacing w:line="420" w:lineRule="atLeast"/>
        <w:ind w:firstLine="422" w:firstLineChars="200"/>
        <w:rPr>
          <w:rFonts w:hint="eastAsia" w:ascii="宋体" w:hAnsi="宋体" w:eastAsia="宋体" w:cs="宋体"/>
          <w:b/>
          <w:bCs/>
          <w:color w:val="auto"/>
          <w:szCs w:val="30"/>
          <w:highlight w:val="none"/>
          <w:lang w:val="zh-CN"/>
        </w:rPr>
      </w:pPr>
      <w:r>
        <w:rPr>
          <w:rFonts w:hint="eastAsia" w:ascii="宋体" w:hAnsi="宋体" w:eastAsia="宋体" w:cs="宋体"/>
          <w:b/>
          <w:bCs/>
          <w:color w:val="auto"/>
          <w:szCs w:val="30"/>
          <w:highlight w:val="none"/>
          <w:lang w:val="zh-CN"/>
        </w:rPr>
        <w:t>三、委托代理报酬与收取</w:t>
      </w:r>
    </w:p>
    <w:p w14:paraId="56129060">
      <w:pPr>
        <w:widowControl w:val="0"/>
        <w:autoSpaceDE w:val="0"/>
        <w:autoSpaceDN w:val="0"/>
        <w:adjustRightInd w:val="0"/>
        <w:spacing w:line="420" w:lineRule="atLeast"/>
        <w:ind w:firstLine="420" w:firstLineChars="200"/>
        <w:rPr>
          <w:rFonts w:hint="eastAsia" w:ascii="宋体" w:hAnsi="宋体" w:eastAsia="宋体" w:cs="宋体"/>
          <w:color w:val="auto"/>
          <w:szCs w:val="30"/>
          <w:highlight w:val="none"/>
          <w:lang w:val="zh-CN"/>
        </w:rPr>
      </w:pPr>
      <w:r>
        <w:rPr>
          <w:rFonts w:hint="eastAsia" w:ascii="宋体" w:hAnsi="宋体" w:eastAsia="宋体" w:cs="宋体"/>
          <w:color w:val="auto"/>
          <w:szCs w:val="30"/>
          <w:highlight w:val="none"/>
          <w:lang w:val="zh-CN"/>
        </w:rPr>
        <w:t>8、委托代理报酬</w:t>
      </w:r>
    </w:p>
    <w:p w14:paraId="5A632C57">
      <w:pPr>
        <w:numPr>
          <w:ilvl w:val="0"/>
          <w:numId w:val="0"/>
        </w:numPr>
        <w:snapToGrid w:val="0"/>
        <w:spacing w:line="420" w:lineRule="exact"/>
        <w:ind w:firstLine="211" w:firstLineChars="1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一</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投标报价由自行报价部分(清单、预算编制费)和固定报价部分(代理费)组成：①自行报价部分(清单、预算编制费)：工程量清单及预算编制参照《浙江省物价局关于进一步完善工程造价咨询服务收费的通知》(浙建价协〔2021〕13号)标准收费×中标费率X计取，基准收费计算基数为项目建安中标价。</w:t>
      </w:r>
      <w:r>
        <w:rPr>
          <w:rFonts w:hint="eastAsia" w:ascii="宋体" w:hAnsi="宋体" w:eastAsia="宋体" w:cs="宋体"/>
          <w:b/>
          <w:bCs/>
          <w:color w:val="auto"/>
          <w:szCs w:val="21"/>
          <w:highlight w:val="none"/>
          <w:lang w:val="en-US" w:eastAsia="zh-CN"/>
        </w:rPr>
        <w:t>中标</w:t>
      </w:r>
      <w:r>
        <w:rPr>
          <w:rFonts w:hint="eastAsia" w:ascii="宋体" w:hAnsi="宋体" w:eastAsia="宋体" w:cs="宋体"/>
          <w:b/>
          <w:bCs/>
          <w:color w:val="auto"/>
          <w:szCs w:val="21"/>
          <w:highlight w:val="none"/>
        </w:rPr>
        <w:t>费率为：</w:t>
      </w:r>
      <w:r>
        <w:rPr>
          <w:rFonts w:hint="eastAsia" w:ascii="宋体" w:hAnsi="宋体" w:eastAsia="宋体" w:cs="宋体"/>
          <w:b/>
          <w:bCs/>
          <w:color w:val="auto"/>
          <w:szCs w:val="21"/>
          <w:highlight w:val="none"/>
          <w:u w:val="single"/>
          <w:lang w:val="en-US" w:eastAsia="zh-CN"/>
        </w:rPr>
        <w:t xml:space="preserve">        </w:t>
      </w:r>
      <w:r>
        <w:rPr>
          <w:rFonts w:hint="eastAsia" w:ascii="宋体" w:hAnsi="宋体" w:eastAsia="宋体" w:cs="宋体"/>
          <w:b/>
          <w:bCs/>
          <w:color w:val="auto"/>
          <w:szCs w:val="21"/>
          <w:highlight w:val="none"/>
        </w:rPr>
        <w:t>。</w:t>
      </w:r>
    </w:p>
    <w:p w14:paraId="7981A77D">
      <w:pPr>
        <w:numPr>
          <w:ilvl w:val="0"/>
          <w:numId w:val="0"/>
        </w:numPr>
        <w:snapToGrid w:val="0"/>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②固定报价部分(代理费)（报价不作竞争）：（1）进入</w:t>
      </w:r>
      <w:r>
        <w:rPr>
          <w:rFonts w:hint="eastAsia" w:ascii="宋体" w:hAnsi="宋体" w:eastAsia="宋体" w:cs="宋体"/>
          <w:b/>
          <w:bCs/>
          <w:color w:val="auto"/>
          <w:szCs w:val="21"/>
          <w:highlight w:val="none"/>
          <w:lang w:val="en-US" w:eastAsia="zh-CN"/>
        </w:rPr>
        <w:t>水务集团</w:t>
      </w:r>
      <w:r>
        <w:rPr>
          <w:rFonts w:hint="eastAsia" w:ascii="宋体" w:hAnsi="宋体" w:eastAsia="宋体" w:cs="宋体"/>
          <w:b/>
          <w:bCs/>
          <w:color w:val="auto"/>
          <w:szCs w:val="21"/>
          <w:highlight w:val="none"/>
        </w:rPr>
        <w:t>平台招标项目按每次</w:t>
      </w:r>
      <w:r>
        <w:rPr>
          <w:rFonts w:hint="eastAsia" w:ascii="宋体" w:hAnsi="宋体" w:eastAsia="宋体" w:cs="宋体"/>
          <w:b/>
          <w:bCs/>
          <w:color w:val="auto"/>
          <w:szCs w:val="21"/>
          <w:highlight w:val="none"/>
          <w:lang w:val="en-US" w:eastAsia="zh-CN"/>
        </w:rPr>
        <w:t>4000</w:t>
      </w:r>
      <w:r>
        <w:rPr>
          <w:rFonts w:hint="eastAsia" w:ascii="宋体" w:hAnsi="宋体" w:eastAsia="宋体" w:cs="宋体"/>
          <w:b/>
          <w:bCs/>
          <w:color w:val="auto"/>
          <w:szCs w:val="21"/>
          <w:highlight w:val="none"/>
        </w:rPr>
        <w:t>元收取，专家评审费全部由代理公司负责；（2）进入市平台招标项目代理费按每次</w:t>
      </w:r>
      <w:r>
        <w:rPr>
          <w:rFonts w:hint="eastAsia" w:ascii="宋体" w:hAnsi="宋体" w:eastAsia="宋体" w:cs="宋体"/>
          <w:b/>
          <w:bCs/>
          <w:color w:val="auto"/>
          <w:szCs w:val="21"/>
          <w:highlight w:val="none"/>
          <w:lang w:val="en-US" w:eastAsia="zh-CN"/>
        </w:rPr>
        <w:t>8000</w:t>
      </w:r>
      <w:r>
        <w:rPr>
          <w:rFonts w:hint="eastAsia" w:ascii="宋体" w:hAnsi="宋体" w:eastAsia="宋体" w:cs="宋体"/>
          <w:b/>
          <w:bCs/>
          <w:color w:val="auto"/>
          <w:szCs w:val="21"/>
          <w:highlight w:val="none"/>
        </w:rPr>
        <w:t>元，专家评审费全部由代理公司负责；（3）如项目投标单位不足3家或其他情况需要重新组织招标的代理费用不另行计算，专家评委费用全部由代理单位负责。</w:t>
      </w:r>
    </w:p>
    <w:p w14:paraId="07150B85">
      <w:pPr>
        <w:pStyle w:val="31"/>
        <w:spacing w:line="420" w:lineRule="exact"/>
        <w:rPr>
          <w:rFonts w:hint="eastAsia" w:ascii="宋体" w:hAnsi="宋体" w:eastAsia="宋体" w:cs="宋体"/>
          <w:color w:val="auto"/>
          <w:highlight w:val="none"/>
          <w:lang w:val="zh-CN"/>
        </w:rPr>
      </w:pPr>
      <w:r>
        <w:rPr>
          <w:rFonts w:hint="eastAsia" w:ascii="宋体" w:hAnsi="宋体" w:eastAsia="宋体" w:cs="宋体"/>
          <w:b/>
          <w:bCs/>
          <w:color w:val="auto"/>
          <w:szCs w:val="21"/>
          <w:highlight w:val="none"/>
          <w:lang w:val="en-US" w:eastAsia="zh-CN"/>
        </w:rPr>
        <w:t xml:space="preserve"> （二）政府采购</w:t>
      </w:r>
      <w:r>
        <w:rPr>
          <w:rFonts w:hint="eastAsia" w:ascii="宋体" w:hAnsi="宋体" w:eastAsia="宋体" w:cs="宋体"/>
          <w:b/>
          <w:bCs/>
          <w:color w:val="auto"/>
          <w:szCs w:val="21"/>
          <w:highlight w:val="none"/>
        </w:rPr>
        <w:t>招标代理服务费</w:t>
      </w:r>
      <w:r>
        <w:rPr>
          <w:rFonts w:hint="eastAsia" w:ascii="宋体" w:hAnsi="宋体" w:eastAsia="宋体" w:cs="宋体"/>
          <w:b/>
          <w:bCs/>
          <w:color w:val="auto"/>
          <w:szCs w:val="21"/>
          <w:highlight w:val="none"/>
          <w:lang w:val="en-US" w:eastAsia="zh-CN"/>
        </w:rPr>
        <w:t>按7000</w:t>
      </w:r>
      <w:r>
        <w:rPr>
          <w:rFonts w:hint="eastAsia" w:ascii="宋体" w:hAnsi="宋体" w:eastAsia="宋体" w:cs="宋体"/>
          <w:b/>
          <w:bCs/>
          <w:color w:val="auto"/>
          <w:szCs w:val="21"/>
          <w:highlight w:val="none"/>
        </w:rPr>
        <w:t>元</w:t>
      </w:r>
      <w:r>
        <w:rPr>
          <w:rFonts w:hint="eastAsia" w:ascii="宋体" w:hAnsi="宋体" w:eastAsia="宋体" w:cs="宋体"/>
          <w:b/>
          <w:bCs/>
          <w:color w:val="auto"/>
          <w:szCs w:val="21"/>
          <w:highlight w:val="none"/>
          <w:lang w:val="en-US" w:eastAsia="zh-CN"/>
        </w:rPr>
        <w:t>/个收取</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由中标单位在领取中标通知书的同时支付给招标代理公司</w:t>
      </w:r>
      <w:r>
        <w:rPr>
          <w:rFonts w:hint="eastAsia" w:ascii="宋体" w:hAnsi="宋体" w:eastAsia="宋体" w:cs="宋体"/>
          <w:b/>
          <w:bCs/>
          <w:color w:val="auto"/>
          <w:szCs w:val="21"/>
          <w:highlight w:val="none"/>
          <w:lang w:val="en-US" w:eastAsia="zh-CN"/>
        </w:rPr>
        <w:t>，</w:t>
      </w:r>
      <w:r>
        <w:rPr>
          <w:rFonts w:hint="eastAsia" w:ascii="宋体" w:hAnsi="宋体" w:eastAsia="宋体" w:cs="宋体"/>
          <w:b/>
          <w:bCs/>
          <w:color w:val="auto"/>
          <w:szCs w:val="21"/>
          <w:highlight w:val="none"/>
        </w:rPr>
        <w:t>专家评委费用全部由代理单位负责。</w:t>
      </w:r>
    </w:p>
    <w:p w14:paraId="7CE213D0">
      <w:pPr>
        <w:widowControl w:val="0"/>
        <w:autoSpaceDE w:val="0"/>
        <w:autoSpaceDN w:val="0"/>
        <w:adjustRightInd w:val="0"/>
        <w:spacing w:line="420" w:lineRule="atLeast"/>
        <w:ind w:firstLine="420" w:firstLineChars="200"/>
        <w:rPr>
          <w:rFonts w:hint="eastAsia" w:ascii="宋体" w:hAnsi="宋体" w:eastAsia="宋体" w:cs="宋体"/>
          <w:color w:val="auto"/>
          <w:szCs w:val="30"/>
          <w:highlight w:val="none"/>
          <w:u w:val="single"/>
          <w:lang w:val="zh-CN"/>
        </w:rPr>
      </w:pPr>
      <w:r>
        <w:rPr>
          <w:rFonts w:hint="eastAsia" w:ascii="宋体" w:hAnsi="宋体" w:eastAsia="宋体" w:cs="宋体"/>
          <w:strike w:val="0"/>
          <w:color w:val="auto"/>
          <w:highlight w:val="none"/>
          <w:lang w:val="en-US" w:eastAsia="zh-CN"/>
        </w:rPr>
        <w:t>丙方应按6%开立发票，</w:t>
      </w:r>
      <w:r>
        <w:rPr>
          <w:rFonts w:hint="eastAsia" w:ascii="宋体" w:hAnsi="宋体" w:eastAsia="宋体" w:cs="宋体"/>
          <w:color w:val="auto"/>
          <w:highlight w:val="none"/>
          <w:lang w:val="en-US" w:eastAsia="zh-CN"/>
        </w:rPr>
        <w:t>如未按税率6%开具发票的，结算时将扣除相应费用。</w:t>
      </w:r>
      <w:r>
        <w:rPr>
          <w:rFonts w:hint="eastAsia" w:ascii="宋体" w:hAnsi="宋体" w:eastAsia="宋体" w:cs="宋体"/>
          <w:color w:val="auto"/>
          <w:szCs w:val="30"/>
          <w:highlight w:val="none"/>
          <w:u w:val="single"/>
          <w:lang w:val="zh-CN"/>
        </w:rPr>
        <w:t xml:space="preserve">  </w:t>
      </w:r>
    </w:p>
    <w:p w14:paraId="2DB99592">
      <w:pPr>
        <w:autoSpaceDE w:val="0"/>
        <w:autoSpaceDN w:val="0"/>
        <w:adjustRightInd w:val="0"/>
        <w:spacing w:line="440" w:lineRule="exact"/>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代理报酬的金额或收取比例：</w:t>
      </w:r>
      <w:r>
        <w:rPr>
          <w:rFonts w:hint="eastAsia" w:ascii="宋体" w:hAnsi="宋体" w:eastAsia="宋体" w:cs="宋体"/>
          <w:color w:val="auto"/>
          <w:szCs w:val="21"/>
          <w:highlight w:val="none"/>
          <w:u w:val="single"/>
          <w:lang w:val="zh-CN"/>
        </w:rPr>
        <w:t xml:space="preserve"> /</w:t>
      </w:r>
    </w:p>
    <w:p w14:paraId="3CF3CDD6">
      <w:pPr>
        <w:autoSpaceDE w:val="0"/>
        <w:autoSpaceDN w:val="0"/>
        <w:adjustRightInd w:val="0"/>
        <w:spacing w:line="440" w:lineRule="exact"/>
        <w:ind w:firstLine="420" w:firstLineChars="200"/>
        <w:rPr>
          <w:rFonts w:hint="eastAsia" w:ascii="宋体" w:hAnsi="宋体" w:eastAsia="宋体" w:cs="宋体"/>
          <w:color w:val="auto"/>
          <w:szCs w:val="21"/>
          <w:highlight w:val="none"/>
          <w:u w:val="single"/>
          <w:lang w:val="zh-CN"/>
        </w:rPr>
      </w:pPr>
      <w:r>
        <w:rPr>
          <w:rFonts w:hint="eastAsia" w:ascii="宋体" w:hAnsi="宋体" w:eastAsia="宋体" w:cs="宋体"/>
          <w:color w:val="auto"/>
          <w:szCs w:val="21"/>
          <w:highlight w:val="none"/>
          <w:lang w:val="zh-CN"/>
        </w:rPr>
        <w:t>代理报酬的币种：</w:t>
      </w:r>
      <w:r>
        <w:rPr>
          <w:rFonts w:hint="eastAsia" w:ascii="宋体" w:hAnsi="宋体" w:eastAsia="宋体" w:cs="宋体"/>
          <w:color w:val="auto"/>
          <w:szCs w:val="21"/>
          <w:highlight w:val="none"/>
          <w:u w:val="single"/>
          <w:lang w:val="zh-CN"/>
        </w:rPr>
        <w:t>人民币</w:t>
      </w:r>
      <w:r>
        <w:rPr>
          <w:rFonts w:hint="eastAsia" w:ascii="宋体" w:hAnsi="宋体" w:eastAsia="宋体" w:cs="宋体"/>
          <w:color w:val="auto"/>
          <w:szCs w:val="21"/>
          <w:highlight w:val="none"/>
        </w:rPr>
        <w:t>汇率：</w:t>
      </w:r>
      <w:r>
        <w:rPr>
          <w:rFonts w:hint="eastAsia" w:ascii="宋体" w:hAnsi="宋体" w:eastAsia="宋体" w:cs="宋体"/>
          <w:color w:val="auto"/>
          <w:szCs w:val="21"/>
          <w:highlight w:val="none"/>
          <w:u w:val="single"/>
        </w:rPr>
        <w:t xml:space="preserve"> /</w:t>
      </w:r>
    </w:p>
    <w:p w14:paraId="7E59E0FB">
      <w:pPr>
        <w:autoSpaceDE w:val="0"/>
        <w:autoSpaceDN w:val="0"/>
        <w:adjustRightInd w:val="0"/>
        <w:spacing w:line="440" w:lineRule="exact"/>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代理报酬的支付方式：</w:t>
      </w:r>
      <w:r>
        <w:rPr>
          <w:rFonts w:hint="eastAsia" w:ascii="宋体" w:hAnsi="宋体" w:eastAsia="宋体" w:cs="宋体"/>
          <w:color w:val="auto"/>
          <w:szCs w:val="21"/>
          <w:highlight w:val="none"/>
          <w:u w:val="single"/>
        </w:rPr>
        <w:t>转</w:t>
      </w:r>
      <w:r>
        <w:rPr>
          <w:rFonts w:hint="eastAsia" w:ascii="宋体" w:hAnsi="宋体" w:eastAsia="宋体" w:cs="宋体"/>
          <w:color w:val="auto"/>
          <w:szCs w:val="21"/>
          <w:highlight w:val="none"/>
          <w:u w:val="single"/>
          <w:lang w:eastAsia="zh-CN"/>
        </w:rPr>
        <w:t>账</w:t>
      </w:r>
      <w:r>
        <w:rPr>
          <w:rFonts w:hint="eastAsia" w:ascii="宋体" w:hAnsi="宋体" w:eastAsia="宋体" w:cs="宋体"/>
          <w:color w:val="auto"/>
          <w:szCs w:val="21"/>
          <w:highlight w:val="none"/>
          <w:u w:val="single"/>
        </w:rPr>
        <w:t>。</w:t>
      </w:r>
    </w:p>
    <w:p w14:paraId="22BE261F">
      <w:pPr>
        <w:spacing w:line="46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szCs w:val="21"/>
          <w:highlight w:val="none"/>
          <w:lang w:val="zh-CN"/>
        </w:rPr>
        <w:t>代理报酬的支付时间：</w:t>
      </w:r>
      <w:r>
        <w:rPr>
          <w:rFonts w:hint="eastAsia" w:ascii="宋体" w:hAnsi="宋体" w:eastAsia="宋体" w:cs="宋体"/>
          <w:b/>
          <w:bCs/>
          <w:color w:val="auto"/>
          <w:highlight w:val="none"/>
          <w:u w:val="single"/>
        </w:rPr>
        <w:t>与工程有关的施工</w:t>
      </w:r>
      <w:r>
        <w:rPr>
          <w:rFonts w:hint="eastAsia" w:ascii="宋体" w:hAnsi="宋体" w:eastAsia="宋体" w:cs="宋体"/>
          <w:b/>
          <w:bCs/>
          <w:color w:val="auto"/>
          <w:highlight w:val="none"/>
          <w:u w:val="single"/>
          <w:lang w:eastAsia="zh-CN"/>
        </w:rPr>
        <w:t>、</w:t>
      </w:r>
      <w:r>
        <w:rPr>
          <w:rFonts w:hint="eastAsia" w:ascii="宋体" w:hAnsi="宋体" w:eastAsia="宋体" w:cs="宋体"/>
          <w:b/>
          <w:bCs/>
          <w:color w:val="auto"/>
          <w:highlight w:val="none"/>
          <w:u w:val="single"/>
        </w:rPr>
        <w:t>监理、设备或材料采购等该工程建设涉及的货物及服务项目的招标代理费在具体工程项目招标代理合同履行完毕后一次性付清</w:t>
      </w:r>
      <w:r>
        <w:rPr>
          <w:rFonts w:hint="eastAsia" w:ascii="宋体" w:hAnsi="宋体" w:eastAsia="宋体" w:cs="宋体"/>
          <w:b/>
          <w:bCs/>
          <w:color w:val="auto"/>
          <w:highlight w:val="none"/>
          <w:u w:val="single"/>
          <w:lang w:eastAsia="zh-CN"/>
        </w:rPr>
        <w:t>，</w:t>
      </w:r>
      <w:r>
        <w:rPr>
          <w:rFonts w:hint="eastAsia" w:ascii="宋体" w:hAnsi="宋体" w:eastAsia="宋体" w:cs="宋体"/>
          <w:b/>
          <w:bCs/>
          <w:color w:val="auto"/>
          <w:highlight w:val="none"/>
          <w:u w:val="single"/>
          <w:lang w:val="en-US" w:eastAsia="zh-CN"/>
        </w:rPr>
        <w:t>涉及清单预算编制的造价咨询服务费在</w:t>
      </w:r>
      <w:r>
        <w:rPr>
          <w:rFonts w:hint="eastAsia" w:ascii="宋体" w:hAnsi="宋体" w:eastAsia="宋体" w:cs="宋体"/>
          <w:b/>
          <w:bCs/>
          <w:color w:val="auto"/>
          <w:highlight w:val="none"/>
          <w:u w:val="single"/>
        </w:rPr>
        <w:t>具体工程项目招标代理合同履行完毕后</w:t>
      </w:r>
      <w:r>
        <w:rPr>
          <w:rFonts w:hint="eastAsia" w:ascii="宋体" w:hAnsi="宋体" w:eastAsia="宋体" w:cs="宋体"/>
          <w:b/>
          <w:bCs/>
          <w:color w:val="auto"/>
          <w:highlight w:val="none"/>
          <w:u w:val="single"/>
          <w:lang w:val="en-US" w:eastAsia="zh-CN"/>
        </w:rPr>
        <w:t>先预付造价咨询服务费的50%，在单位工程竣工验收完成后再付剩余的50%造价咨询服务费</w:t>
      </w:r>
      <w:r>
        <w:rPr>
          <w:rFonts w:hint="eastAsia" w:ascii="宋体" w:hAnsi="宋体" w:eastAsia="宋体" w:cs="宋体"/>
          <w:b/>
          <w:bCs/>
          <w:color w:val="auto"/>
          <w:highlight w:val="none"/>
          <w:u w:val="single"/>
        </w:rPr>
        <w:t>。</w:t>
      </w:r>
    </w:p>
    <w:p w14:paraId="1BECB649">
      <w:pPr>
        <w:autoSpaceDE w:val="0"/>
        <w:autoSpaceDN w:val="0"/>
        <w:adjustRightInd w:val="0"/>
        <w:spacing w:line="440" w:lineRule="exact"/>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9、委托代理报酬的收取</w:t>
      </w:r>
    </w:p>
    <w:p w14:paraId="5388B22C">
      <w:pPr>
        <w:autoSpaceDE w:val="0"/>
        <w:autoSpaceDN w:val="0"/>
        <w:adjustRightInd w:val="0"/>
        <w:spacing w:line="440" w:lineRule="exact"/>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9.1 预计委托代理费用额度(比例)：</w:t>
      </w:r>
      <w:r>
        <w:rPr>
          <w:rFonts w:hint="eastAsia" w:ascii="宋体" w:hAnsi="宋体" w:eastAsia="宋体" w:cs="宋体"/>
          <w:color w:val="auto"/>
          <w:szCs w:val="21"/>
          <w:highlight w:val="none"/>
          <w:u w:val="single"/>
          <w:lang w:val="zh-CN"/>
        </w:rPr>
        <w:t xml:space="preserve"> /</w:t>
      </w:r>
    </w:p>
    <w:p w14:paraId="1A80B03E">
      <w:pPr>
        <w:autoSpaceDE w:val="0"/>
        <w:autoSpaceDN w:val="0"/>
        <w:adjustRightInd w:val="0"/>
        <w:spacing w:line="440" w:lineRule="exact"/>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9.3 逾期支付时，银行贷款利率：</w:t>
      </w:r>
      <w:r>
        <w:rPr>
          <w:rFonts w:hint="eastAsia" w:ascii="宋体" w:hAnsi="宋体" w:eastAsia="宋体" w:cs="宋体"/>
          <w:color w:val="auto"/>
          <w:szCs w:val="21"/>
          <w:highlight w:val="none"/>
          <w:u w:val="single"/>
          <w:lang w:val="zh-CN"/>
        </w:rPr>
        <w:t>按通用条款。</w:t>
      </w:r>
    </w:p>
    <w:p w14:paraId="79EFD21C">
      <w:pPr>
        <w:autoSpaceDE w:val="0"/>
        <w:autoSpaceDN w:val="0"/>
        <w:adjustRightInd w:val="0"/>
        <w:spacing w:line="440" w:lineRule="exact"/>
        <w:ind w:firstLine="420" w:firstLineChars="200"/>
        <w:rPr>
          <w:rFonts w:hint="eastAsia" w:ascii="宋体" w:hAnsi="宋体" w:eastAsia="宋体" w:cs="宋体"/>
          <w:color w:val="auto"/>
          <w:highlight w:val="none"/>
          <w:lang w:val="zh-CN"/>
        </w:rPr>
      </w:pPr>
      <w:r>
        <w:rPr>
          <w:rFonts w:hint="eastAsia" w:ascii="宋体" w:hAnsi="宋体" w:eastAsia="宋体" w:cs="宋体"/>
          <w:color w:val="auto"/>
          <w:szCs w:val="21"/>
          <w:highlight w:val="none"/>
          <w:lang w:val="zh-CN"/>
        </w:rPr>
        <w:t>9.4 逾期支付时，应收取的利息：</w:t>
      </w:r>
      <w:r>
        <w:rPr>
          <w:rFonts w:hint="eastAsia" w:ascii="宋体" w:hAnsi="宋体" w:eastAsia="宋体" w:cs="宋体"/>
          <w:color w:val="auto"/>
          <w:szCs w:val="21"/>
          <w:highlight w:val="none"/>
          <w:u w:val="single"/>
          <w:lang w:val="zh-CN"/>
        </w:rPr>
        <w:t>按通用条款。</w:t>
      </w:r>
    </w:p>
    <w:p w14:paraId="3C1ECFC9">
      <w:pPr>
        <w:widowControl w:val="0"/>
        <w:autoSpaceDE w:val="0"/>
        <w:autoSpaceDN w:val="0"/>
        <w:adjustRightInd w:val="0"/>
        <w:spacing w:line="420" w:lineRule="atLeast"/>
        <w:ind w:firstLine="422" w:firstLineChars="200"/>
        <w:rPr>
          <w:rFonts w:hint="eastAsia" w:ascii="宋体" w:hAnsi="宋体" w:eastAsia="宋体" w:cs="宋体"/>
          <w:b/>
          <w:bCs/>
          <w:color w:val="auto"/>
          <w:szCs w:val="30"/>
          <w:highlight w:val="none"/>
          <w:lang w:val="zh-CN"/>
        </w:rPr>
      </w:pPr>
      <w:r>
        <w:rPr>
          <w:rFonts w:hint="eastAsia" w:ascii="宋体" w:hAnsi="宋体" w:eastAsia="宋体" w:cs="宋体"/>
          <w:b/>
          <w:bCs/>
          <w:color w:val="auto"/>
          <w:szCs w:val="30"/>
          <w:highlight w:val="none"/>
          <w:lang w:val="zh-CN"/>
        </w:rPr>
        <w:t>四、违约、索赔和争议</w:t>
      </w:r>
    </w:p>
    <w:p w14:paraId="4CB76899">
      <w:pPr>
        <w:widowControl w:val="0"/>
        <w:autoSpaceDE w:val="0"/>
        <w:autoSpaceDN w:val="0"/>
        <w:adjustRightInd w:val="0"/>
        <w:spacing w:line="420" w:lineRule="atLeast"/>
        <w:ind w:firstLine="420" w:firstLineChars="200"/>
        <w:rPr>
          <w:rFonts w:hint="eastAsia" w:ascii="宋体" w:hAnsi="宋体" w:eastAsia="宋体" w:cs="宋体"/>
          <w:color w:val="auto"/>
          <w:szCs w:val="30"/>
          <w:highlight w:val="none"/>
          <w:lang w:val="zh-CN"/>
        </w:rPr>
      </w:pPr>
      <w:r>
        <w:rPr>
          <w:rFonts w:hint="eastAsia" w:ascii="宋体" w:hAnsi="宋体" w:eastAsia="宋体" w:cs="宋体"/>
          <w:color w:val="auto"/>
          <w:szCs w:val="30"/>
          <w:highlight w:val="none"/>
          <w:lang w:val="zh-CN"/>
        </w:rPr>
        <w:t>10、违约</w:t>
      </w:r>
    </w:p>
    <w:p w14:paraId="744CC375">
      <w:pPr>
        <w:widowControl w:val="0"/>
        <w:autoSpaceDE w:val="0"/>
        <w:autoSpaceDN w:val="0"/>
        <w:adjustRightInd w:val="0"/>
        <w:spacing w:line="420" w:lineRule="atLeast"/>
        <w:ind w:firstLine="420" w:firstLineChars="200"/>
        <w:rPr>
          <w:rFonts w:hint="eastAsia" w:ascii="宋体" w:hAnsi="宋体" w:eastAsia="宋体" w:cs="宋体"/>
          <w:color w:val="auto"/>
          <w:szCs w:val="30"/>
          <w:highlight w:val="none"/>
          <w:lang w:val="zh-CN"/>
        </w:rPr>
      </w:pPr>
      <w:r>
        <w:rPr>
          <w:rFonts w:hint="eastAsia" w:ascii="宋体" w:hAnsi="宋体" w:eastAsia="宋体" w:cs="宋体"/>
          <w:color w:val="auto"/>
          <w:szCs w:val="30"/>
          <w:highlight w:val="none"/>
          <w:lang w:val="zh-CN"/>
        </w:rPr>
        <w:t xml:space="preserve">10.1 本合同关于乙方违约的具体责任： </w:t>
      </w:r>
    </w:p>
    <w:p w14:paraId="7D38A423">
      <w:pPr>
        <w:widowControl w:val="0"/>
        <w:autoSpaceDE w:val="0"/>
        <w:autoSpaceDN w:val="0"/>
        <w:adjustRightInd w:val="0"/>
        <w:spacing w:line="420" w:lineRule="atLeast"/>
        <w:ind w:firstLine="420" w:firstLineChars="200"/>
        <w:rPr>
          <w:rFonts w:hint="eastAsia" w:ascii="宋体" w:hAnsi="宋体" w:eastAsia="宋体" w:cs="宋体"/>
          <w:color w:val="auto"/>
          <w:szCs w:val="30"/>
          <w:highlight w:val="none"/>
          <w:lang w:val="zh-CN"/>
        </w:rPr>
      </w:pPr>
      <w:r>
        <w:rPr>
          <w:rFonts w:hint="eastAsia" w:ascii="宋体" w:hAnsi="宋体" w:eastAsia="宋体" w:cs="宋体"/>
          <w:color w:val="auto"/>
          <w:szCs w:val="30"/>
          <w:highlight w:val="none"/>
          <w:lang w:val="zh-CN"/>
        </w:rPr>
        <w:t>（1）乙方未按照本合同通用条款第4.2－（3）款的约定，向丙方提供保证招标工作顺利完成的条件应承担的违约责任：</w:t>
      </w:r>
      <w:r>
        <w:rPr>
          <w:rFonts w:hint="eastAsia" w:ascii="宋体" w:hAnsi="宋体" w:eastAsia="宋体" w:cs="宋体"/>
          <w:color w:val="auto"/>
          <w:highlight w:val="none"/>
          <w:u w:val="single"/>
          <w:lang w:val="en-US" w:eastAsia="zh-CN"/>
        </w:rPr>
        <w:t xml:space="preserve">   /   </w:t>
      </w:r>
      <w:r>
        <w:rPr>
          <w:rFonts w:hint="eastAsia" w:ascii="宋体" w:hAnsi="宋体" w:eastAsia="宋体" w:cs="宋体"/>
          <w:color w:val="auto"/>
          <w:highlight w:val="none"/>
          <w:u w:val="single"/>
        </w:rPr>
        <w:t>。</w:t>
      </w:r>
      <w:r>
        <w:rPr>
          <w:rFonts w:hint="eastAsia" w:ascii="宋体" w:hAnsi="宋体" w:eastAsia="宋体" w:cs="宋体"/>
          <w:color w:val="auto"/>
          <w:szCs w:val="30"/>
          <w:highlight w:val="none"/>
          <w:u w:val="single"/>
          <w:lang w:val="zh-CN"/>
        </w:rPr>
        <w:t xml:space="preserve">  </w:t>
      </w:r>
    </w:p>
    <w:p w14:paraId="4F75B926">
      <w:pPr>
        <w:widowControl w:val="0"/>
        <w:autoSpaceDE w:val="0"/>
        <w:autoSpaceDN w:val="0"/>
        <w:adjustRightInd w:val="0"/>
        <w:spacing w:line="420" w:lineRule="atLeast"/>
        <w:ind w:firstLine="420" w:firstLineChars="200"/>
        <w:rPr>
          <w:rFonts w:hint="eastAsia" w:ascii="宋体" w:hAnsi="宋体" w:eastAsia="宋体" w:cs="宋体"/>
          <w:color w:val="auto"/>
          <w:highlight w:val="none"/>
          <w:vertAlign w:val="subscript"/>
        </w:rPr>
      </w:pPr>
      <w:r>
        <w:rPr>
          <w:rFonts w:hint="eastAsia" w:ascii="宋体" w:hAnsi="宋体" w:eastAsia="宋体" w:cs="宋体"/>
          <w:color w:val="auto"/>
          <w:szCs w:val="30"/>
          <w:highlight w:val="none"/>
          <w:lang w:val="zh-CN"/>
        </w:rPr>
        <w:t>（2）乙方未按本合同通用条款第4.2－（6）款的约定，向丙方支付委托代理报酬应承担的违约责任：</w:t>
      </w:r>
      <w:r>
        <w:rPr>
          <w:rFonts w:hint="eastAsia" w:ascii="宋体" w:hAnsi="宋体" w:eastAsia="宋体" w:cs="宋体"/>
          <w:color w:val="auto"/>
          <w:highlight w:val="none"/>
          <w:u w:val="single"/>
          <w:lang w:val="en-US" w:eastAsia="zh-CN"/>
        </w:rPr>
        <w:t xml:space="preserve">  /   </w:t>
      </w:r>
      <w:r>
        <w:rPr>
          <w:rFonts w:hint="eastAsia" w:ascii="宋体" w:hAnsi="宋体" w:eastAsia="宋体" w:cs="宋体"/>
          <w:color w:val="auto"/>
          <w:highlight w:val="none"/>
          <w:u w:val="single"/>
        </w:rPr>
        <w:t>。</w:t>
      </w:r>
    </w:p>
    <w:p w14:paraId="28F133AE">
      <w:pPr>
        <w:widowControl w:val="0"/>
        <w:autoSpaceDE w:val="0"/>
        <w:autoSpaceDN w:val="0"/>
        <w:adjustRightInd w:val="0"/>
        <w:spacing w:line="420" w:lineRule="atLeast"/>
        <w:ind w:firstLine="420" w:firstLineChars="200"/>
        <w:rPr>
          <w:rFonts w:hint="eastAsia" w:ascii="宋体" w:hAnsi="宋体" w:eastAsia="宋体" w:cs="宋体"/>
          <w:color w:val="auto"/>
          <w:highlight w:val="none"/>
          <w:u w:val="single"/>
          <w:vertAlign w:val="subscript"/>
        </w:rPr>
      </w:pPr>
      <w:r>
        <w:rPr>
          <w:rFonts w:hint="eastAsia" w:ascii="宋体" w:hAnsi="宋体" w:eastAsia="宋体" w:cs="宋体"/>
          <w:color w:val="auto"/>
          <w:szCs w:val="30"/>
          <w:highlight w:val="none"/>
          <w:lang w:val="zh-CN"/>
        </w:rPr>
        <w:t>（3）双方约定的乙方的其他违约责任：</w:t>
      </w:r>
      <w:r>
        <w:rPr>
          <w:rFonts w:hint="eastAsia" w:ascii="宋体" w:hAnsi="宋体" w:eastAsia="宋体" w:cs="宋体"/>
          <w:color w:val="auto"/>
          <w:szCs w:val="30"/>
          <w:highlight w:val="none"/>
          <w:u w:val="single"/>
          <w:lang w:val="zh-CN"/>
        </w:rPr>
        <w:t xml:space="preserve">/   </w:t>
      </w:r>
    </w:p>
    <w:p w14:paraId="758394AD">
      <w:pPr>
        <w:widowControl w:val="0"/>
        <w:autoSpaceDE w:val="0"/>
        <w:autoSpaceDN w:val="0"/>
        <w:adjustRightInd w:val="0"/>
        <w:spacing w:line="420" w:lineRule="atLeast"/>
        <w:ind w:firstLine="420" w:firstLineChars="200"/>
        <w:rPr>
          <w:rFonts w:hint="eastAsia" w:ascii="宋体" w:hAnsi="宋体" w:eastAsia="宋体" w:cs="宋体"/>
          <w:color w:val="auto"/>
          <w:szCs w:val="30"/>
          <w:highlight w:val="none"/>
          <w:lang w:val="zh-CN"/>
        </w:rPr>
      </w:pPr>
      <w:r>
        <w:rPr>
          <w:rFonts w:hint="eastAsia" w:ascii="宋体" w:hAnsi="宋体" w:eastAsia="宋体" w:cs="宋体"/>
          <w:color w:val="auto"/>
          <w:szCs w:val="30"/>
          <w:highlight w:val="none"/>
          <w:lang w:val="zh-CN"/>
        </w:rPr>
        <w:t xml:space="preserve">10.2 本合同关于丙方违约的具体责任： </w:t>
      </w:r>
    </w:p>
    <w:p w14:paraId="6D74A256">
      <w:pPr>
        <w:widowControl w:val="0"/>
        <w:autoSpaceDE w:val="0"/>
        <w:autoSpaceDN w:val="0"/>
        <w:adjustRightInd w:val="0"/>
        <w:spacing w:line="420" w:lineRule="atLeast"/>
        <w:ind w:firstLine="420" w:firstLineChars="200"/>
        <w:rPr>
          <w:rFonts w:hint="eastAsia" w:ascii="宋体" w:hAnsi="宋体" w:eastAsia="宋体" w:cs="宋体"/>
          <w:color w:val="auto"/>
          <w:szCs w:val="30"/>
          <w:highlight w:val="none"/>
          <w:lang w:val="zh-CN"/>
        </w:rPr>
      </w:pPr>
      <w:r>
        <w:rPr>
          <w:rFonts w:hint="eastAsia" w:ascii="宋体" w:hAnsi="宋体" w:eastAsia="宋体" w:cs="宋体"/>
          <w:color w:val="auto"/>
          <w:szCs w:val="30"/>
          <w:highlight w:val="none"/>
          <w:lang w:val="zh-CN"/>
        </w:rPr>
        <w:t>（1）受托人未按照本合同通用条款第5.2－（2）款的约定，向委托人提供为完成招标工作的咨询服务应承担的责任：</w:t>
      </w:r>
      <w:r>
        <w:rPr>
          <w:rFonts w:hint="eastAsia" w:ascii="宋体" w:hAnsi="宋体" w:eastAsia="宋体" w:cs="宋体"/>
          <w:color w:val="auto"/>
          <w:szCs w:val="30"/>
          <w:highlight w:val="none"/>
          <w:u w:val="single"/>
          <w:lang w:val="zh-CN"/>
        </w:rPr>
        <w:t>委托人有权委托他人完成招标工作，受托人需赔偿100%代理费用。</w:t>
      </w:r>
    </w:p>
    <w:p w14:paraId="28522027">
      <w:pPr>
        <w:widowControl w:val="0"/>
        <w:autoSpaceDE w:val="0"/>
        <w:autoSpaceDN w:val="0"/>
        <w:adjustRightInd w:val="0"/>
        <w:spacing w:line="420" w:lineRule="atLeast"/>
        <w:ind w:firstLine="420" w:firstLineChars="200"/>
        <w:rPr>
          <w:rFonts w:hint="eastAsia" w:ascii="宋体" w:hAnsi="宋体" w:eastAsia="宋体" w:cs="宋体"/>
          <w:color w:val="auto"/>
          <w:szCs w:val="30"/>
          <w:highlight w:val="none"/>
          <w:lang w:val="zh-CN"/>
        </w:rPr>
      </w:pPr>
      <w:r>
        <w:rPr>
          <w:rFonts w:hint="eastAsia" w:ascii="宋体" w:hAnsi="宋体" w:eastAsia="宋体" w:cs="宋体"/>
          <w:color w:val="auto"/>
          <w:szCs w:val="30"/>
          <w:highlight w:val="none"/>
          <w:lang w:val="zh-CN"/>
        </w:rPr>
        <w:t>（2）受托人违反本合同通用条款第5.4款的约定，接受了与本合同工程建设项目有关的投标咨询业务应承担的违约责任：</w:t>
      </w:r>
      <w:r>
        <w:rPr>
          <w:rFonts w:hint="eastAsia" w:ascii="宋体" w:hAnsi="宋体" w:eastAsia="宋体" w:cs="宋体"/>
          <w:color w:val="auto"/>
          <w:szCs w:val="30"/>
          <w:highlight w:val="none"/>
          <w:u w:val="single"/>
          <w:lang w:val="zh-CN"/>
        </w:rPr>
        <w:t>承担相应法律责任。</w:t>
      </w:r>
      <w:r>
        <w:rPr>
          <w:rFonts w:hint="eastAsia" w:ascii="宋体" w:hAnsi="宋体" w:eastAsia="宋体" w:cs="宋体"/>
          <w:color w:val="auto"/>
          <w:szCs w:val="30"/>
          <w:highlight w:val="none"/>
          <w:lang w:val="zh-CN"/>
        </w:rPr>
        <w:t xml:space="preserve">  </w:t>
      </w:r>
    </w:p>
    <w:p w14:paraId="206A4FD9">
      <w:pPr>
        <w:widowControl w:val="0"/>
        <w:autoSpaceDE w:val="0"/>
        <w:autoSpaceDN w:val="0"/>
        <w:adjustRightInd w:val="0"/>
        <w:spacing w:line="420" w:lineRule="atLeast"/>
        <w:ind w:firstLine="420" w:firstLineChars="200"/>
        <w:rPr>
          <w:rFonts w:hint="eastAsia" w:ascii="宋体" w:hAnsi="宋体" w:eastAsia="宋体" w:cs="宋体"/>
          <w:color w:val="auto"/>
          <w:szCs w:val="30"/>
          <w:highlight w:val="none"/>
          <w:lang w:val="zh-CN"/>
        </w:rPr>
      </w:pPr>
      <w:r>
        <w:rPr>
          <w:rFonts w:hint="eastAsia" w:ascii="宋体" w:hAnsi="宋体" w:eastAsia="宋体" w:cs="宋体"/>
          <w:color w:val="auto"/>
          <w:szCs w:val="30"/>
          <w:highlight w:val="none"/>
          <w:lang w:val="zh-CN"/>
        </w:rPr>
        <w:t>（3）受托人违反本合同通用条款第5.7款的约定，泄露了与本合同工程有关的任何不应泄露的招标资料和情况应承担的违约责任：</w:t>
      </w:r>
      <w:r>
        <w:rPr>
          <w:rFonts w:hint="eastAsia" w:ascii="宋体" w:hAnsi="宋体" w:eastAsia="宋体" w:cs="宋体"/>
          <w:color w:val="auto"/>
          <w:szCs w:val="30"/>
          <w:highlight w:val="none"/>
          <w:u w:val="single"/>
          <w:lang w:val="zh-CN"/>
        </w:rPr>
        <w:t xml:space="preserve">  承担相应法律责任。</w:t>
      </w:r>
      <w:r>
        <w:rPr>
          <w:rFonts w:hint="eastAsia" w:ascii="宋体" w:hAnsi="宋体" w:eastAsia="宋体" w:cs="宋体"/>
          <w:color w:val="auto"/>
          <w:szCs w:val="30"/>
          <w:highlight w:val="none"/>
          <w:lang w:val="zh-CN"/>
        </w:rPr>
        <w:t xml:space="preserve">  </w:t>
      </w:r>
    </w:p>
    <w:p w14:paraId="5E223F00">
      <w:pPr>
        <w:widowControl w:val="0"/>
        <w:autoSpaceDE w:val="0"/>
        <w:autoSpaceDN w:val="0"/>
        <w:adjustRightInd w:val="0"/>
        <w:spacing w:line="420" w:lineRule="atLeast"/>
        <w:ind w:firstLine="420" w:firstLineChars="200"/>
        <w:rPr>
          <w:rFonts w:hint="eastAsia" w:ascii="宋体" w:hAnsi="宋体" w:eastAsia="宋体" w:cs="宋体"/>
          <w:color w:val="auto"/>
          <w:szCs w:val="30"/>
          <w:highlight w:val="none"/>
          <w:lang w:val="zh-CN"/>
        </w:rPr>
      </w:pPr>
      <w:r>
        <w:rPr>
          <w:rFonts w:hint="eastAsia" w:ascii="宋体" w:hAnsi="宋体" w:eastAsia="宋体" w:cs="宋体"/>
          <w:color w:val="auto"/>
          <w:szCs w:val="30"/>
          <w:highlight w:val="none"/>
          <w:lang w:val="zh-CN"/>
        </w:rPr>
        <w:t>（4）双方约定的受托人的其他违约责任：</w:t>
      </w:r>
    </w:p>
    <w:p w14:paraId="49A88B09">
      <w:pPr>
        <w:autoSpaceDE w:val="0"/>
        <w:autoSpaceDN w:val="0"/>
        <w:adjustRightInd w:val="0"/>
        <w:spacing w:line="440" w:lineRule="exact"/>
        <w:ind w:firstLine="480"/>
        <w:rPr>
          <w:rFonts w:hint="eastAsia" w:ascii="宋体" w:hAnsi="宋体" w:eastAsia="宋体" w:cs="宋体"/>
          <w:color w:val="auto"/>
          <w:highlight w:val="none"/>
          <w:u w:val="single"/>
          <w:lang w:val="zh-CN"/>
        </w:rPr>
      </w:pPr>
      <w:r>
        <w:rPr>
          <w:rFonts w:hint="eastAsia" w:ascii="宋体" w:hAnsi="宋体" w:eastAsia="宋体" w:cs="宋体"/>
          <w:color w:val="auto"/>
          <w:highlight w:val="none"/>
          <w:u w:val="single"/>
          <w:lang w:val="zh-CN"/>
        </w:rPr>
        <w:t>（1）由于</w:t>
      </w:r>
      <w:r>
        <w:rPr>
          <w:rFonts w:hint="eastAsia" w:ascii="宋体" w:hAnsi="宋体" w:eastAsia="宋体" w:cs="宋体"/>
          <w:color w:val="auto"/>
          <w:highlight w:val="none"/>
          <w:u w:val="single"/>
          <w:lang w:val="zh-CN" w:eastAsia="zh-CN"/>
        </w:rPr>
        <w:t>丙方</w:t>
      </w:r>
      <w:r>
        <w:rPr>
          <w:rFonts w:hint="eastAsia" w:ascii="宋体" w:hAnsi="宋体" w:eastAsia="宋体" w:cs="宋体"/>
          <w:color w:val="auto"/>
          <w:highlight w:val="none"/>
          <w:u w:val="single"/>
          <w:lang w:val="zh-CN"/>
        </w:rPr>
        <w:t>原因延误招标进程按1000元/天支付违约金。</w:t>
      </w:r>
    </w:p>
    <w:p w14:paraId="5DDBF274">
      <w:pPr>
        <w:autoSpaceDE w:val="0"/>
        <w:autoSpaceDN w:val="0"/>
        <w:adjustRightInd w:val="0"/>
        <w:spacing w:line="440" w:lineRule="exact"/>
        <w:ind w:firstLine="480"/>
        <w:rPr>
          <w:rFonts w:hint="eastAsia" w:ascii="宋体" w:hAnsi="宋体" w:eastAsia="宋体" w:cs="宋体"/>
          <w:color w:val="auto"/>
          <w:highlight w:val="none"/>
          <w:u w:val="single"/>
          <w:lang w:val="zh-CN"/>
        </w:rPr>
      </w:pPr>
      <w:r>
        <w:rPr>
          <w:rFonts w:hint="eastAsia" w:ascii="宋体" w:hAnsi="宋体" w:eastAsia="宋体" w:cs="宋体"/>
          <w:color w:val="auto"/>
          <w:highlight w:val="none"/>
          <w:u w:val="single"/>
          <w:lang w:val="zh-CN"/>
        </w:rPr>
        <w:t>（2）由于</w:t>
      </w:r>
      <w:r>
        <w:rPr>
          <w:rFonts w:hint="eastAsia" w:ascii="宋体" w:hAnsi="宋体" w:eastAsia="宋体" w:cs="宋体"/>
          <w:color w:val="auto"/>
          <w:highlight w:val="none"/>
          <w:u w:val="single"/>
          <w:lang w:val="zh-CN" w:eastAsia="zh-CN"/>
        </w:rPr>
        <w:t>丙方</w:t>
      </w:r>
      <w:r>
        <w:rPr>
          <w:rFonts w:hint="eastAsia" w:ascii="宋体" w:hAnsi="宋体" w:eastAsia="宋体" w:cs="宋体"/>
          <w:color w:val="auto"/>
          <w:highlight w:val="none"/>
          <w:u w:val="single"/>
          <w:lang w:val="zh-CN"/>
        </w:rPr>
        <w:t>原因引起有效投诉的扣除代理费用的5%。</w:t>
      </w:r>
    </w:p>
    <w:p w14:paraId="23AD89A6">
      <w:pPr>
        <w:autoSpaceDE w:val="0"/>
        <w:autoSpaceDN w:val="0"/>
        <w:adjustRightInd w:val="0"/>
        <w:spacing w:line="440" w:lineRule="exact"/>
        <w:ind w:firstLine="480"/>
        <w:rPr>
          <w:rFonts w:hint="eastAsia" w:ascii="宋体" w:hAnsi="宋体" w:eastAsia="宋体" w:cs="宋体"/>
          <w:color w:val="auto"/>
          <w:highlight w:val="none"/>
          <w:u w:val="single"/>
          <w:lang w:val="zh-CN"/>
        </w:rPr>
      </w:pPr>
      <w:r>
        <w:rPr>
          <w:rFonts w:hint="eastAsia" w:ascii="宋体" w:hAnsi="宋体" w:eastAsia="宋体" w:cs="宋体"/>
          <w:color w:val="auto"/>
          <w:highlight w:val="none"/>
          <w:u w:val="single"/>
          <w:lang w:val="zh-CN"/>
        </w:rPr>
        <w:t>（3）由于</w:t>
      </w:r>
      <w:r>
        <w:rPr>
          <w:rFonts w:hint="eastAsia" w:ascii="宋体" w:hAnsi="宋体" w:eastAsia="宋体" w:cs="宋体"/>
          <w:color w:val="auto"/>
          <w:highlight w:val="none"/>
          <w:u w:val="single"/>
          <w:lang w:val="zh-CN" w:eastAsia="zh-CN"/>
        </w:rPr>
        <w:t>丙方</w:t>
      </w:r>
      <w:r>
        <w:rPr>
          <w:rFonts w:hint="eastAsia" w:ascii="宋体" w:hAnsi="宋体" w:eastAsia="宋体" w:cs="宋体"/>
          <w:color w:val="auto"/>
          <w:highlight w:val="none"/>
          <w:u w:val="single"/>
          <w:lang w:val="zh-CN"/>
        </w:rPr>
        <w:t>原因出现项目特征描述不全面、不清楚和漏项、</w:t>
      </w:r>
      <w:r>
        <w:rPr>
          <w:rFonts w:hint="eastAsia" w:ascii="宋体" w:hAnsi="宋体" w:eastAsia="宋体" w:cs="宋体"/>
          <w:color w:val="auto"/>
          <w:highlight w:val="none"/>
          <w:u w:val="single"/>
          <w:lang w:val="zh-CN" w:eastAsia="zh-CN"/>
        </w:rPr>
        <w:t>错误</w:t>
      </w:r>
      <w:r>
        <w:rPr>
          <w:rFonts w:hint="eastAsia" w:ascii="宋体" w:hAnsi="宋体" w:eastAsia="宋体" w:cs="宋体"/>
          <w:color w:val="auto"/>
          <w:highlight w:val="none"/>
          <w:u w:val="single"/>
          <w:lang w:val="zh-CN"/>
        </w:rPr>
        <w:t>等代理质量问题影响为施工合同价影响偏差在±3%以内，但由此造成单次追加（减）金额在5~20万（不含20万），扣除10%代理费；由此造成单次追加（减）金额在20~50万（不含50万），扣除20%代理费；代理服务质量问题对施工合同价影响偏差在±3%以上或由于</w:t>
      </w:r>
      <w:r>
        <w:rPr>
          <w:rFonts w:hint="eastAsia" w:ascii="宋体" w:hAnsi="宋体" w:eastAsia="宋体" w:cs="宋体"/>
          <w:color w:val="auto"/>
          <w:highlight w:val="none"/>
          <w:u w:val="single"/>
          <w:lang w:val="zh-CN" w:eastAsia="zh-CN"/>
        </w:rPr>
        <w:t>丙方</w:t>
      </w:r>
      <w:r>
        <w:rPr>
          <w:rFonts w:hint="eastAsia" w:ascii="宋体" w:hAnsi="宋体" w:eastAsia="宋体" w:cs="宋体"/>
          <w:color w:val="auto"/>
          <w:highlight w:val="none"/>
          <w:u w:val="single"/>
          <w:lang w:val="zh-CN"/>
        </w:rPr>
        <w:t>服务质量问题由此造成单次追加（减）金额在50万以上,扣除30%代理费。累计扣除不超过代理费的50%。</w:t>
      </w:r>
      <w:r>
        <w:rPr>
          <w:rFonts w:hint="eastAsia" w:ascii="宋体" w:hAnsi="宋体" w:eastAsia="宋体" w:cs="宋体"/>
          <w:color w:val="auto"/>
          <w:highlight w:val="none"/>
          <w:u w:val="single"/>
          <w:lang w:val="en-US" w:eastAsia="zh-CN"/>
        </w:rPr>
        <w:t>并且委托人有权终止合同，由此产生的一切损失由受托人承担。终止合同属情节严重。</w:t>
      </w:r>
    </w:p>
    <w:p w14:paraId="281BFC49">
      <w:pPr>
        <w:autoSpaceDE w:val="0"/>
        <w:autoSpaceDN w:val="0"/>
        <w:adjustRightInd w:val="0"/>
        <w:spacing w:line="440" w:lineRule="exact"/>
        <w:ind w:firstLine="480"/>
        <w:rPr>
          <w:rFonts w:hint="eastAsia" w:ascii="宋体" w:hAnsi="宋体" w:eastAsia="宋体" w:cs="宋体"/>
          <w:color w:val="auto"/>
          <w:highlight w:val="none"/>
          <w:u w:val="single"/>
          <w:lang w:val="zh-CN"/>
        </w:rPr>
      </w:pPr>
      <w:r>
        <w:rPr>
          <w:rFonts w:hint="eastAsia" w:ascii="宋体" w:hAnsi="宋体" w:eastAsia="宋体" w:cs="宋体"/>
          <w:color w:val="auto"/>
          <w:highlight w:val="none"/>
          <w:u w:val="single"/>
          <w:lang w:val="zh-CN"/>
        </w:rPr>
        <w:t>（4）由于</w:t>
      </w:r>
      <w:r>
        <w:rPr>
          <w:rFonts w:hint="eastAsia" w:ascii="宋体" w:hAnsi="宋体" w:eastAsia="宋体" w:cs="宋体"/>
          <w:color w:val="auto"/>
          <w:highlight w:val="none"/>
          <w:u w:val="single"/>
          <w:lang w:val="zh-CN" w:eastAsia="zh-CN"/>
        </w:rPr>
        <w:t>丙方</w:t>
      </w:r>
      <w:r>
        <w:rPr>
          <w:rFonts w:hint="eastAsia" w:ascii="宋体" w:hAnsi="宋体" w:eastAsia="宋体" w:cs="宋体"/>
          <w:color w:val="auto"/>
          <w:highlight w:val="none"/>
          <w:u w:val="single"/>
          <w:lang w:val="zh-CN"/>
        </w:rPr>
        <w:t>原因对</w:t>
      </w:r>
      <w:r>
        <w:rPr>
          <w:rFonts w:hint="eastAsia" w:ascii="宋体" w:hAnsi="宋体" w:eastAsia="宋体" w:cs="宋体"/>
          <w:color w:val="auto"/>
          <w:highlight w:val="none"/>
          <w:u w:val="single"/>
          <w:lang w:val="zh-CN" w:eastAsia="zh-CN"/>
        </w:rPr>
        <w:t>乙方</w:t>
      </w:r>
      <w:r>
        <w:rPr>
          <w:rFonts w:hint="eastAsia" w:ascii="宋体" w:hAnsi="宋体" w:eastAsia="宋体" w:cs="宋体"/>
          <w:color w:val="auto"/>
          <w:highlight w:val="none"/>
          <w:u w:val="single"/>
          <w:lang w:val="zh-CN"/>
        </w:rPr>
        <w:t>造成较大不良影响的，</w:t>
      </w:r>
      <w:r>
        <w:rPr>
          <w:rFonts w:hint="eastAsia" w:ascii="宋体" w:hAnsi="宋体" w:eastAsia="宋体" w:cs="宋体"/>
          <w:color w:val="auto"/>
          <w:highlight w:val="none"/>
          <w:u w:val="single"/>
          <w:lang w:val="zh-CN" w:eastAsia="zh-CN"/>
        </w:rPr>
        <w:t>乙方</w:t>
      </w:r>
      <w:r>
        <w:rPr>
          <w:rFonts w:hint="eastAsia" w:ascii="宋体" w:hAnsi="宋体" w:eastAsia="宋体" w:cs="宋体"/>
          <w:color w:val="auto"/>
          <w:highlight w:val="none"/>
          <w:u w:val="single"/>
          <w:lang w:val="zh-CN"/>
        </w:rPr>
        <w:t>可立即解除合约，并由</w:t>
      </w:r>
      <w:r>
        <w:rPr>
          <w:rFonts w:hint="eastAsia" w:ascii="宋体" w:hAnsi="宋体" w:eastAsia="宋体" w:cs="宋体"/>
          <w:color w:val="auto"/>
          <w:highlight w:val="none"/>
          <w:u w:val="single"/>
          <w:lang w:val="zh-CN" w:eastAsia="zh-CN"/>
        </w:rPr>
        <w:t>丙方</w:t>
      </w:r>
      <w:r>
        <w:rPr>
          <w:rFonts w:hint="eastAsia" w:ascii="宋体" w:hAnsi="宋体" w:eastAsia="宋体" w:cs="宋体"/>
          <w:color w:val="auto"/>
          <w:highlight w:val="none"/>
          <w:u w:val="single"/>
          <w:lang w:val="zh-CN"/>
        </w:rPr>
        <w:t>赔偿委托人一切损失。</w:t>
      </w:r>
    </w:p>
    <w:p w14:paraId="771B63E2">
      <w:pPr>
        <w:autoSpaceDE w:val="0"/>
        <w:autoSpaceDN w:val="0"/>
        <w:adjustRightInd w:val="0"/>
        <w:spacing w:line="440" w:lineRule="exact"/>
        <w:ind w:firstLine="480"/>
        <w:rPr>
          <w:rFonts w:hint="eastAsia" w:ascii="宋体" w:hAnsi="宋体" w:eastAsia="宋体" w:cs="宋体"/>
          <w:color w:val="auto"/>
          <w:sz w:val="21"/>
          <w:szCs w:val="22"/>
          <w:highlight w:val="none"/>
          <w:u w:val="single"/>
          <w:lang w:val="zh-CN"/>
        </w:rPr>
      </w:pPr>
      <w:r>
        <w:rPr>
          <w:rFonts w:hint="eastAsia" w:ascii="宋体" w:hAnsi="宋体" w:eastAsia="宋体" w:cs="宋体"/>
          <w:color w:val="auto"/>
          <w:sz w:val="21"/>
          <w:szCs w:val="22"/>
          <w:highlight w:val="none"/>
          <w:u w:val="single"/>
          <w:lang w:val="zh-CN"/>
        </w:rPr>
        <w:t>（5）由于</w:t>
      </w:r>
      <w:r>
        <w:rPr>
          <w:rFonts w:hint="eastAsia" w:ascii="宋体" w:hAnsi="宋体" w:eastAsia="宋体" w:cs="宋体"/>
          <w:color w:val="auto"/>
          <w:sz w:val="21"/>
          <w:szCs w:val="22"/>
          <w:highlight w:val="none"/>
          <w:u w:val="single"/>
          <w:lang w:val="zh-CN" w:eastAsia="zh-CN"/>
        </w:rPr>
        <w:t>丙方</w:t>
      </w:r>
      <w:r>
        <w:rPr>
          <w:rFonts w:hint="eastAsia" w:ascii="宋体" w:hAnsi="宋体" w:eastAsia="宋体" w:cs="宋体"/>
          <w:color w:val="auto"/>
          <w:sz w:val="21"/>
          <w:szCs w:val="22"/>
          <w:highlight w:val="none"/>
          <w:u w:val="single"/>
          <w:lang w:val="zh-CN"/>
        </w:rPr>
        <w:t>原因造成</w:t>
      </w:r>
      <w:r>
        <w:rPr>
          <w:rFonts w:hint="eastAsia" w:ascii="宋体" w:hAnsi="宋体" w:eastAsia="宋体" w:cs="宋体"/>
          <w:color w:val="auto"/>
          <w:sz w:val="21"/>
          <w:szCs w:val="22"/>
          <w:highlight w:val="none"/>
          <w:u w:val="single"/>
          <w:lang w:val="zh-CN" w:eastAsia="zh-CN"/>
        </w:rPr>
        <w:t>乙方</w:t>
      </w:r>
      <w:r>
        <w:rPr>
          <w:rFonts w:hint="eastAsia" w:ascii="宋体" w:hAnsi="宋体" w:eastAsia="宋体" w:cs="宋体"/>
          <w:color w:val="auto"/>
          <w:sz w:val="21"/>
          <w:szCs w:val="22"/>
          <w:highlight w:val="none"/>
          <w:u w:val="single"/>
          <w:lang w:val="zh-CN"/>
        </w:rPr>
        <w:t>重大损失则起诉至人民法院，由人民法院裁定。</w:t>
      </w:r>
    </w:p>
    <w:p w14:paraId="7CA8BBB6">
      <w:pPr>
        <w:autoSpaceDE w:val="0"/>
        <w:autoSpaceDN w:val="0"/>
        <w:adjustRightInd w:val="0"/>
        <w:spacing w:line="440" w:lineRule="exact"/>
        <w:ind w:firstLine="480"/>
        <w:rPr>
          <w:rFonts w:hint="eastAsia" w:ascii="宋体" w:hAnsi="宋体" w:eastAsia="宋体" w:cs="宋体"/>
          <w:color w:val="auto"/>
          <w:highlight w:val="none"/>
          <w:u w:val="single"/>
          <w:lang w:val="en-US" w:eastAsia="zh-CN"/>
        </w:rPr>
      </w:pPr>
      <w:r>
        <w:rPr>
          <w:rFonts w:hint="eastAsia" w:ascii="宋体" w:hAnsi="宋体" w:eastAsia="宋体" w:cs="宋体"/>
          <w:color w:val="auto"/>
          <w:sz w:val="21"/>
          <w:szCs w:val="22"/>
          <w:highlight w:val="none"/>
          <w:u w:val="single"/>
          <w:lang w:val="zh-CN"/>
        </w:rPr>
        <w:t>（</w:t>
      </w:r>
      <w:r>
        <w:rPr>
          <w:rFonts w:hint="eastAsia" w:ascii="宋体" w:hAnsi="宋体" w:eastAsia="宋体" w:cs="宋体"/>
          <w:color w:val="auto"/>
          <w:sz w:val="21"/>
          <w:szCs w:val="22"/>
          <w:highlight w:val="none"/>
          <w:u w:val="single"/>
          <w:lang w:val="zh-CN" w:eastAsia="zh-CN"/>
        </w:rPr>
        <w:t>6</w:t>
      </w:r>
      <w:r>
        <w:rPr>
          <w:rFonts w:hint="eastAsia" w:ascii="宋体" w:hAnsi="宋体" w:eastAsia="宋体" w:cs="宋体"/>
          <w:color w:val="auto"/>
          <w:sz w:val="21"/>
          <w:szCs w:val="22"/>
          <w:highlight w:val="none"/>
          <w:u w:val="single"/>
          <w:lang w:val="zh-CN"/>
        </w:rPr>
        <w:t>）</w:t>
      </w:r>
      <w:r>
        <w:rPr>
          <w:rFonts w:hint="eastAsia" w:ascii="宋体" w:hAnsi="宋体" w:eastAsia="宋体" w:cs="宋体"/>
          <w:color w:val="auto"/>
          <w:sz w:val="21"/>
          <w:szCs w:val="22"/>
          <w:highlight w:val="none"/>
          <w:u w:val="single"/>
          <w:lang w:val="zh-CN" w:eastAsia="zh-CN"/>
        </w:rPr>
        <w:t>丙方</w:t>
      </w:r>
      <w:r>
        <w:rPr>
          <w:rFonts w:hint="eastAsia" w:ascii="宋体" w:hAnsi="宋体" w:eastAsia="宋体" w:cs="宋体"/>
          <w:color w:val="auto"/>
          <w:sz w:val="21"/>
          <w:szCs w:val="22"/>
          <w:highlight w:val="none"/>
          <w:u w:val="single"/>
          <w:lang w:val="zh-CN"/>
        </w:rPr>
        <w:t>泄露了与本合同工程有关的任何不应泄露的招标资料和情况</w:t>
      </w:r>
      <w:r>
        <w:rPr>
          <w:rFonts w:hint="eastAsia" w:ascii="宋体" w:hAnsi="宋体" w:eastAsia="宋体" w:cs="宋体"/>
          <w:color w:val="auto"/>
          <w:sz w:val="21"/>
          <w:szCs w:val="22"/>
          <w:highlight w:val="none"/>
          <w:u w:val="single"/>
          <w:lang w:val="zh-CN" w:eastAsia="zh-CN"/>
        </w:rPr>
        <w:t>的，应</w:t>
      </w:r>
      <w:r>
        <w:rPr>
          <w:rFonts w:hint="eastAsia" w:ascii="宋体" w:hAnsi="宋体" w:eastAsia="宋体" w:cs="宋体"/>
          <w:color w:val="auto"/>
          <w:sz w:val="21"/>
          <w:szCs w:val="22"/>
          <w:highlight w:val="none"/>
          <w:u w:val="single"/>
          <w:lang w:val="zh-CN"/>
        </w:rPr>
        <w:t>扣除代理费用的5%</w:t>
      </w:r>
      <w:r>
        <w:rPr>
          <w:rFonts w:hint="eastAsia" w:ascii="宋体" w:hAnsi="宋体" w:eastAsia="宋体" w:cs="宋体"/>
          <w:color w:val="auto"/>
          <w:highlight w:val="none"/>
          <w:u w:val="single"/>
          <w:lang w:val="en-US" w:eastAsia="zh-CN"/>
        </w:rPr>
        <w:t>，并且委托人有权终止合同，由此产生的一切损失由受托人承担。终止合同属情节严重。</w:t>
      </w:r>
    </w:p>
    <w:p w14:paraId="2062E9DE">
      <w:pPr>
        <w:autoSpaceDE w:val="0"/>
        <w:autoSpaceDN w:val="0"/>
        <w:adjustRightInd w:val="0"/>
        <w:spacing w:line="440" w:lineRule="exact"/>
        <w:ind w:firstLine="480"/>
        <w:rPr>
          <w:rFonts w:hint="eastAsia" w:ascii="宋体" w:hAnsi="宋体" w:eastAsia="宋体" w:cs="宋体"/>
          <w:color w:val="auto"/>
          <w:sz w:val="21"/>
          <w:szCs w:val="22"/>
          <w:highlight w:val="none"/>
          <w:u w:val="single"/>
          <w:lang w:val="zh-CN"/>
        </w:rPr>
      </w:pPr>
      <w:r>
        <w:rPr>
          <w:rFonts w:hint="eastAsia" w:ascii="宋体" w:hAnsi="宋体" w:eastAsia="宋体" w:cs="宋体"/>
          <w:color w:val="auto"/>
          <w:highlight w:val="none"/>
          <w:u w:val="single"/>
          <w:lang w:val="en-US" w:eastAsia="zh-CN"/>
        </w:rPr>
        <w:t>（7）如出现上述（2）、（3）、（6）条中情节严重的，丙方放弃此后一年内参与乙方的招标项目即使中标，乙方有权认定为废标，不签订项目合同。</w:t>
      </w:r>
    </w:p>
    <w:p w14:paraId="39760D26">
      <w:pPr>
        <w:widowControl w:val="0"/>
        <w:autoSpaceDE w:val="0"/>
        <w:autoSpaceDN w:val="0"/>
        <w:adjustRightInd w:val="0"/>
        <w:spacing w:line="420" w:lineRule="atLeast"/>
        <w:ind w:firstLine="420" w:firstLineChars="200"/>
        <w:rPr>
          <w:rFonts w:hint="eastAsia" w:ascii="宋体" w:hAnsi="宋体" w:eastAsia="宋体" w:cs="宋体"/>
          <w:color w:val="auto"/>
          <w:szCs w:val="30"/>
          <w:highlight w:val="none"/>
          <w:lang w:val="zh-CN"/>
        </w:rPr>
      </w:pPr>
      <w:r>
        <w:rPr>
          <w:rFonts w:hint="eastAsia" w:ascii="宋体" w:hAnsi="宋体" w:eastAsia="宋体" w:cs="宋体"/>
          <w:color w:val="auto"/>
          <w:szCs w:val="30"/>
          <w:highlight w:val="none"/>
          <w:lang w:val="zh-CN"/>
        </w:rPr>
        <w:t>12、争议</w:t>
      </w:r>
    </w:p>
    <w:p w14:paraId="1B7DCAD8">
      <w:pPr>
        <w:widowControl w:val="0"/>
        <w:autoSpaceDE w:val="0"/>
        <w:autoSpaceDN w:val="0"/>
        <w:adjustRightInd w:val="0"/>
        <w:spacing w:line="420" w:lineRule="atLeast"/>
        <w:ind w:firstLine="420" w:firstLineChars="200"/>
        <w:rPr>
          <w:rFonts w:hint="eastAsia" w:ascii="宋体" w:hAnsi="宋体" w:eastAsia="宋体" w:cs="宋体"/>
          <w:color w:val="auto"/>
          <w:szCs w:val="30"/>
          <w:highlight w:val="none"/>
          <w:lang w:val="zh-CN"/>
        </w:rPr>
      </w:pPr>
      <w:r>
        <w:rPr>
          <w:rFonts w:hint="eastAsia" w:ascii="宋体" w:hAnsi="宋体" w:eastAsia="宋体" w:cs="宋体"/>
          <w:color w:val="auto"/>
          <w:szCs w:val="30"/>
          <w:highlight w:val="none"/>
          <w:lang w:val="zh-CN"/>
        </w:rPr>
        <w:t>12.1 双方约定，凡因执行本合同所发生的与本合同有关的一切争议，当和解或调解不成时，选择下列第</w:t>
      </w:r>
      <w:r>
        <w:rPr>
          <w:rFonts w:hint="eastAsia" w:ascii="宋体" w:hAnsi="宋体" w:eastAsia="宋体" w:cs="宋体"/>
          <w:color w:val="auto"/>
          <w:highlight w:val="none"/>
          <w:vertAlign w:val="subscript"/>
        </w:rPr>
        <w:t xml:space="preserve">    </w:t>
      </w:r>
      <w:r>
        <w:rPr>
          <w:rFonts w:hint="eastAsia" w:ascii="宋体" w:hAnsi="宋体" w:eastAsia="宋体" w:cs="宋体"/>
          <w:color w:val="auto"/>
          <w:szCs w:val="30"/>
          <w:highlight w:val="none"/>
          <w:u w:val="single"/>
          <w:lang w:val="zh-CN"/>
        </w:rPr>
        <w:t xml:space="preserve">  （2）   </w:t>
      </w:r>
      <w:r>
        <w:rPr>
          <w:rFonts w:hint="eastAsia" w:ascii="宋体" w:hAnsi="宋体" w:eastAsia="宋体" w:cs="宋体"/>
          <w:color w:val="auto"/>
          <w:highlight w:val="none"/>
          <w:vertAlign w:val="subscript"/>
        </w:rPr>
        <w:t xml:space="preserve">   </w:t>
      </w:r>
      <w:r>
        <w:rPr>
          <w:rFonts w:hint="eastAsia" w:ascii="宋体" w:hAnsi="宋体" w:eastAsia="宋体" w:cs="宋体"/>
          <w:color w:val="auto"/>
          <w:szCs w:val="30"/>
          <w:highlight w:val="none"/>
          <w:lang w:val="zh-CN"/>
        </w:rPr>
        <w:t>种方式解决：</w:t>
      </w:r>
    </w:p>
    <w:p w14:paraId="53C17AC9">
      <w:pPr>
        <w:widowControl w:val="0"/>
        <w:autoSpaceDE w:val="0"/>
        <w:autoSpaceDN w:val="0"/>
        <w:adjustRightInd w:val="0"/>
        <w:spacing w:line="420" w:lineRule="atLeast"/>
        <w:ind w:firstLine="400" w:firstLineChars="200"/>
        <w:rPr>
          <w:rFonts w:hint="eastAsia" w:ascii="宋体" w:hAnsi="宋体" w:eastAsia="宋体" w:cs="宋体"/>
          <w:color w:val="auto"/>
          <w:szCs w:val="30"/>
          <w:highlight w:val="none"/>
          <w:lang w:val="zh-CN"/>
        </w:rPr>
      </w:pPr>
      <w:r>
        <w:rPr>
          <w:rFonts w:hint="eastAsia" w:ascii="宋体" w:hAnsi="宋体" w:eastAsia="宋体" w:cs="宋体"/>
          <w:color w:val="auto"/>
          <w:sz w:val="20"/>
          <w:szCs w:val="30"/>
          <w:highlight w:val="none"/>
        </w:rPr>
        <mc:AlternateContent>
          <mc:Choice Requires="wps">
            <w:drawing>
              <wp:anchor distT="0" distB="0" distL="114300" distR="114300" simplePos="0" relativeHeight="251659264" behindDoc="0" locked="0" layoutInCell="1" allowOverlap="1">
                <wp:simplePos x="0" y="0"/>
                <wp:positionH relativeFrom="column">
                  <wp:posOffset>1485900</wp:posOffset>
                </wp:positionH>
                <wp:positionV relativeFrom="paragraph">
                  <wp:posOffset>266700</wp:posOffset>
                </wp:positionV>
                <wp:extent cx="1143000"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1143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7pt;margin-top:21pt;height:0pt;width:90pt;z-index:251659264;mso-width-relative:page;mso-height-relative:page;" filled="f" stroked="t" coordsize="21600,21600" o:gfxdata="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yBCTbWAAAACQEAAA8AAAAAAAAAAQAgAAAAIgAAAGRycy9kb3ducmV2LnhtbFBLAQIU&#10;ABQAAAAIAIdO4kD4NQCJ9QEAAOQDAAAOAAAAAAAAAAEAIAAAACUBAABkcnMvZTJvRG9jLnhtbFBL&#10;BQYAAAAABgAGAFkBAACMBQAAAAA=&#10;">
                <v:fill on="f" focussize="0,0"/>
                <v:stroke color="#000000" joinstyle="round"/>
                <v:imagedata o:title=""/>
                <o:lock v:ext="edit" aspectratio="f"/>
              </v:line>
            </w:pict>
          </mc:Fallback>
        </mc:AlternateContent>
      </w:r>
      <w:r>
        <w:rPr>
          <w:rFonts w:hint="eastAsia" w:ascii="宋体" w:hAnsi="宋体" w:eastAsia="宋体" w:cs="宋体"/>
          <w:color w:val="auto"/>
          <w:szCs w:val="30"/>
          <w:highlight w:val="none"/>
          <w:lang w:val="zh-CN"/>
        </w:rPr>
        <w:t>（1）将争议提交                仲裁委员会仲裁；</w:t>
      </w:r>
    </w:p>
    <w:p w14:paraId="5756D42A">
      <w:pPr>
        <w:widowControl w:val="0"/>
        <w:autoSpaceDE w:val="0"/>
        <w:autoSpaceDN w:val="0"/>
        <w:adjustRightInd w:val="0"/>
        <w:spacing w:line="420" w:lineRule="atLeast"/>
        <w:ind w:firstLine="420" w:firstLineChars="200"/>
        <w:rPr>
          <w:rFonts w:hint="eastAsia" w:ascii="宋体" w:hAnsi="宋体" w:eastAsia="宋体" w:cs="宋体"/>
          <w:color w:val="auto"/>
          <w:szCs w:val="30"/>
          <w:highlight w:val="none"/>
          <w:lang w:val="zh-CN"/>
        </w:rPr>
      </w:pPr>
      <w:r>
        <w:rPr>
          <w:rFonts w:hint="eastAsia" w:ascii="宋体" w:hAnsi="宋体" w:eastAsia="宋体" w:cs="宋体"/>
          <w:color w:val="auto"/>
          <w:szCs w:val="30"/>
          <w:highlight w:val="none"/>
          <w:lang w:val="zh-CN"/>
        </w:rPr>
        <w:t>（2）依法向      平湖市          人民法院提起诉讼。</w:t>
      </w:r>
    </w:p>
    <w:p w14:paraId="5D0889BC">
      <w:pPr>
        <w:widowControl w:val="0"/>
        <w:autoSpaceDE w:val="0"/>
        <w:autoSpaceDN w:val="0"/>
        <w:adjustRightInd w:val="0"/>
        <w:spacing w:line="420" w:lineRule="atLeast"/>
        <w:ind w:firstLine="402" w:firstLineChars="200"/>
        <w:rPr>
          <w:rFonts w:hint="eastAsia" w:ascii="宋体" w:hAnsi="宋体" w:eastAsia="宋体" w:cs="宋体"/>
          <w:b/>
          <w:bCs/>
          <w:color w:val="auto"/>
          <w:szCs w:val="30"/>
          <w:highlight w:val="none"/>
          <w:lang w:val="zh-CN"/>
        </w:rPr>
      </w:pPr>
      <w:r>
        <w:rPr>
          <w:rFonts w:hint="eastAsia" w:ascii="宋体" w:hAnsi="宋体" w:eastAsia="宋体" w:cs="宋体"/>
          <w:b/>
          <w:bCs/>
          <w:color w:val="auto"/>
          <w:sz w:val="20"/>
          <w:szCs w:val="30"/>
          <w:highlight w:val="none"/>
        </w:rPr>
        <mc:AlternateContent>
          <mc:Choice Requires="wps">
            <w:drawing>
              <wp:anchor distT="0" distB="0" distL="114300" distR="114300" simplePos="0" relativeHeight="251660288" behindDoc="0" locked="0" layoutInCell="1" allowOverlap="1">
                <wp:simplePos x="0" y="0"/>
                <wp:positionH relativeFrom="column">
                  <wp:posOffset>1257300</wp:posOffset>
                </wp:positionH>
                <wp:positionV relativeFrom="paragraph">
                  <wp:posOffset>0</wp:posOffset>
                </wp:positionV>
                <wp:extent cx="1371600"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1371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9pt;margin-top:0pt;height:0pt;width:108pt;z-index:251660288;mso-width-relative:page;mso-height-relative:page;" filled="f" stroked="t" coordsize="21600,21600" o:gfxdata="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m/CH7TAAAABQEAAA8AAAAAAAAAAQAgAAAAIgAAAGRycy9kb3ducmV2LnhtbFBLAQIUABQA&#10;AAAIAIdO4kDO59oH9QEAAOQDAAAOAAAAAAAAAAEAIAAAACIBAABkcnMvZTJvRG9jLnhtbFBLBQYA&#10;AAAABgAGAFkBAACJBQAAAAA=&#10;">
                <v:fill on="f" focussize="0,0"/>
                <v:stroke color="#000000" joinstyle="round"/>
                <v:imagedata o:title=""/>
                <o:lock v:ext="edit" aspectratio="f"/>
              </v:line>
            </w:pict>
          </mc:Fallback>
        </mc:AlternateContent>
      </w:r>
      <w:r>
        <w:rPr>
          <w:rFonts w:hint="eastAsia" w:ascii="宋体" w:hAnsi="宋体" w:eastAsia="宋体" w:cs="宋体"/>
          <w:b/>
          <w:bCs/>
          <w:color w:val="auto"/>
          <w:szCs w:val="30"/>
          <w:highlight w:val="none"/>
          <w:lang w:val="zh-CN"/>
        </w:rPr>
        <w:t>六、其他</w:t>
      </w:r>
    </w:p>
    <w:p w14:paraId="1CD9F1E8">
      <w:pPr>
        <w:widowControl w:val="0"/>
        <w:autoSpaceDE w:val="0"/>
        <w:autoSpaceDN w:val="0"/>
        <w:adjustRightInd w:val="0"/>
        <w:spacing w:line="420" w:lineRule="atLeast"/>
        <w:ind w:firstLine="420" w:firstLineChars="200"/>
        <w:rPr>
          <w:rFonts w:hint="eastAsia" w:ascii="宋体" w:hAnsi="宋体" w:eastAsia="宋体" w:cs="宋体"/>
          <w:color w:val="auto"/>
          <w:szCs w:val="30"/>
          <w:highlight w:val="none"/>
          <w:lang w:val="zh-CN"/>
        </w:rPr>
      </w:pPr>
      <w:r>
        <w:rPr>
          <w:rFonts w:hint="eastAsia" w:ascii="宋体" w:hAnsi="宋体" w:eastAsia="宋体" w:cs="宋体"/>
          <w:color w:val="auto"/>
          <w:szCs w:val="30"/>
          <w:highlight w:val="none"/>
          <w:lang w:val="zh-CN"/>
        </w:rPr>
        <w:t>16、合同份数</w:t>
      </w:r>
    </w:p>
    <w:p w14:paraId="32AEEA96">
      <w:pPr>
        <w:widowControl w:val="0"/>
        <w:autoSpaceDE w:val="0"/>
        <w:autoSpaceDN w:val="0"/>
        <w:adjustRightInd w:val="0"/>
        <w:spacing w:line="420" w:lineRule="atLeast"/>
        <w:ind w:firstLine="420" w:firstLineChars="200"/>
        <w:rPr>
          <w:rFonts w:hint="eastAsia" w:ascii="宋体" w:hAnsi="宋体" w:eastAsia="宋体" w:cs="宋体"/>
          <w:color w:val="auto"/>
          <w:szCs w:val="30"/>
          <w:highlight w:val="none"/>
          <w:lang w:val="zh-CN"/>
        </w:rPr>
      </w:pPr>
      <w:r>
        <w:rPr>
          <w:rFonts w:hint="eastAsia" w:ascii="宋体" w:hAnsi="宋体" w:eastAsia="宋体" w:cs="宋体"/>
          <w:color w:val="auto"/>
          <w:szCs w:val="30"/>
          <w:highlight w:val="none"/>
          <w:lang w:val="zh-CN"/>
        </w:rPr>
        <w:t>16.2 双方约定本合同副本</w:t>
      </w:r>
      <w:r>
        <w:rPr>
          <w:rFonts w:hint="eastAsia" w:ascii="宋体" w:hAnsi="宋体" w:eastAsia="宋体" w:cs="宋体"/>
          <w:color w:val="auto"/>
          <w:szCs w:val="30"/>
          <w:highlight w:val="none"/>
          <w:u w:val="single"/>
          <w:lang w:val="zh-CN"/>
        </w:rPr>
        <w:t xml:space="preserve"> </w:t>
      </w:r>
      <w:r>
        <w:rPr>
          <w:rFonts w:hint="eastAsia" w:ascii="宋体" w:hAnsi="宋体" w:eastAsia="宋体" w:cs="宋体"/>
          <w:color w:val="auto"/>
          <w:szCs w:val="30"/>
          <w:highlight w:val="none"/>
          <w:u w:val="single"/>
          <w:lang w:val="en-US" w:eastAsia="zh-CN"/>
        </w:rPr>
        <w:t>6</w:t>
      </w:r>
      <w:r>
        <w:rPr>
          <w:rFonts w:hint="eastAsia" w:ascii="宋体" w:hAnsi="宋体" w:eastAsia="宋体" w:cs="宋体"/>
          <w:color w:val="auto"/>
          <w:szCs w:val="30"/>
          <w:highlight w:val="none"/>
          <w:u w:val="single"/>
          <w:lang w:val="zh-CN"/>
        </w:rPr>
        <w:t xml:space="preserve"> </w:t>
      </w:r>
      <w:r>
        <w:rPr>
          <w:rFonts w:hint="eastAsia" w:ascii="宋体" w:hAnsi="宋体" w:eastAsia="宋体" w:cs="宋体"/>
          <w:color w:val="auto"/>
          <w:szCs w:val="30"/>
          <w:highlight w:val="none"/>
          <w:lang w:val="zh-CN"/>
        </w:rPr>
        <w:t>份，其中，</w:t>
      </w:r>
      <w:r>
        <w:rPr>
          <w:rFonts w:hint="eastAsia" w:ascii="宋体" w:hAnsi="宋体" w:eastAsia="宋体" w:cs="宋体"/>
          <w:color w:val="auto"/>
          <w:szCs w:val="30"/>
          <w:highlight w:val="none"/>
          <w:lang w:val="en-US" w:eastAsia="zh-CN"/>
        </w:rPr>
        <w:t>甲</w:t>
      </w:r>
      <w:r>
        <w:rPr>
          <w:rFonts w:hint="eastAsia" w:ascii="宋体" w:hAnsi="宋体" w:eastAsia="宋体" w:cs="宋体"/>
          <w:color w:val="auto"/>
          <w:szCs w:val="30"/>
          <w:highlight w:val="none"/>
          <w:lang w:val="zh-CN"/>
        </w:rPr>
        <w:t>方</w:t>
      </w:r>
      <w:r>
        <w:rPr>
          <w:rFonts w:hint="eastAsia" w:ascii="宋体" w:hAnsi="宋体" w:eastAsia="宋体" w:cs="宋体"/>
          <w:color w:val="auto"/>
          <w:szCs w:val="30"/>
          <w:highlight w:val="none"/>
          <w:u w:val="single"/>
          <w:lang w:val="en-US" w:eastAsia="zh-CN"/>
        </w:rPr>
        <w:t xml:space="preserve"> 2 </w:t>
      </w:r>
      <w:r>
        <w:rPr>
          <w:rFonts w:hint="eastAsia" w:ascii="宋体" w:hAnsi="宋体" w:eastAsia="宋体" w:cs="宋体"/>
          <w:color w:val="auto"/>
          <w:szCs w:val="30"/>
          <w:highlight w:val="none"/>
          <w:lang w:val="zh-CN"/>
        </w:rPr>
        <w:t>份，乙方</w:t>
      </w:r>
      <w:r>
        <w:rPr>
          <w:rFonts w:hint="eastAsia" w:ascii="宋体" w:hAnsi="宋体" w:eastAsia="宋体" w:cs="宋体"/>
          <w:color w:val="auto"/>
          <w:szCs w:val="30"/>
          <w:highlight w:val="none"/>
          <w:u w:val="single"/>
          <w:lang w:val="en-US" w:eastAsia="zh-CN"/>
        </w:rPr>
        <w:t xml:space="preserve"> 2 </w:t>
      </w:r>
      <w:r>
        <w:rPr>
          <w:rFonts w:hint="eastAsia" w:ascii="宋体" w:hAnsi="宋体" w:eastAsia="宋体" w:cs="宋体"/>
          <w:color w:val="auto"/>
          <w:szCs w:val="30"/>
          <w:highlight w:val="none"/>
          <w:lang w:val="zh-CN"/>
        </w:rPr>
        <w:t>份，丙方</w:t>
      </w:r>
      <w:r>
        <w:rPr>
          <w:rFonts w:hint="eastAsia" w:ascii="宋体" w:hAnsi="宋体" w:eastAsia="宋体" w:cs="宋体"/>
          <w:color w:val="auto"/>
          <w:szCs w:val="30"/>
          <w:highlight w:val="none"/>
          <w:u w:val="single"/>
          <w:lang w:val="en-US" w:eastAsia="zh-CN"/>
        </w:rPr>
        <w:t xml:space="preserve"> 2 </w:t>
      </w:r>
      <w:r>
        <w:rPr>
          <w:rFonts w:hint="eastAsia" w:ascii="宋体" w:hAnsi="宋体" w:eastAsia="宋体" w:cs="宋体"/>
          <w:color w:val="auto"/>
          <w:szCs w:val="30"/>
          <w:highlight w:val="none"/>
          <w:lang w:val="zh-CN"/>
        </w:rPr>
        <w:t>份。</w:t>
      </w:r>
    </w:p>
    <w:p w14:paraId="0785DEDC">
      <w:pPr>
        <w:pStyle w:val="41"/>
        <w:rPr>
          <w:rFonts w:hint="eastAsia" w:ascii="宋体" w:hAnsi="宋体" w:eastAsia="宋体" w:cs="宋体"/>
          <w:color w:val="auto"/>
          <w:szCs w:val="30"/>
          <w:highlight w:val="none"/>
          <w:lang w:val="zh-CN"/>
        </w:rPr>
      </w:pPr>
    </w:p>
    <w:p w14:paraId="50209576">
      <w:pPr>
        <w:pStyle w:val="33"/>
        <w:rPr>
          <w:rFonts w:hint="eastAsia" w:ascii="宋体" w:hAnsi="宋体" w:eastAsia="宋体" w:cs="宋体"/>
          <w:color w:val="auto"/>
          <w:szCs w:val="30"/>
          <w:highlight w:val="none"/>
          <w:lang w:val="zh-CN"/>
        </w:rPr>
      </w:pPr>
    </w:p>
    <w:p w14:paraId="78C25E10">
      <w:pPr>
        <w:rPr>
          <w:rFonts w:hint="eastAsia" w:ascii="宋体" w:hAnsi="宋体" w:eastAsia="宋体" w:cs="宋体"/>
          <w:color w:val="auto"/>
          <w:szCs w:val="30"/>
          <w:highlight w:val="none"/>
          <w:lang w:val="zh-CN"/>
        </w:rPr>
      </w:pPr>
    </w:p>
    <w:p w14:paraId="0A42CC46">
      <w:pPr>
        <w:pStyle w:val="41"/>
        <w:rPr>
          <w:rFonts w:hint="eastAsia" w:ascii="宋体" w:hAnsi="宋体" w:eastAsia="宋体" w:cs="宋体"/>
          <w:color w:val="auto"/>
          <w:szCs w:val="30"/>
          <w:highlight w:val="none"/>
          <w:lang w:val="zh-CN"/>
        </w:rPr>
      </w:pPr>
    </w:p>
    <w:p w14:paraId="48E7809D">
      <w:pPr>
        <w:pStyle w:val="33"/>
        <w:rPr>
          <w:rFonts w:hint="eastAsia" w:ascii="宋体" w:hAnsi="宋体" w:eastAsia="宋体" w:cs="宋体"/>
          <w:color w:val="auto"/>
          <w:szCs w:val="30"/>
          <w:highlight w:val="none"/>
          <w:lang w:val="zh-CN"/>
        </w:rPr>
      </w:pPr>
    </w:p>
    <w:p w14:paraId="71EFF6D0">
      <w:pPr>
        <w:rPr>
          <w:rFonts w:hint="eastAsia" w:ascii="宋体" w:hAnsi="宋体" w:eastAsia="宋体" w:cs="宋体"/>
          <w:color w:val="auto"/>
          <w:szCs w:val="30"/>
          <w:highlight w:val="none"/>
          <w:lang w:val="zh-CN"/>
        </w:rPr>
      </w:pPr>
    </w:p>
    <w:p w14:paraId="6A97A0E2">
      <w:pPr>
        <w:pStyle w:val="41"/>
        <w:rPr>
          <w:rFonts w:hint="eastAsia" w:ascii="宋体" w:hAnsi="宋体" w:eastAsia="宋体" w:cs="宋体"/>
          <w:color w:val="auto"/>
          <w:highlight w:val="none"/>
          <w:lang w:val="zh-CN"/>
        </w:rPr>
      </w:pPr>
    </w:p>
    <w:p w14:paraId="282E64CB">
      <w:pPr>
        <w:pStyle w:val="31"/>
        <w:rPr>
          <w:rFonts w:hint="eastAsia" w:ascii="宋体" w:hAnsi="宋体" w:eastAsia="宋体" w:cs="宋体"/>
          <w:color w:val="auto"/>
          <w:szCs w:val="30"/>
          <w:highlight w:val="none"/>
          <w:lang w:val="zh-CN"/>
        </w:rPr>
      </w:pPr>
    </w:p>
    <w:p w14:paraId="1EF44DB5">
      <w:pPr>
        <w:rPr>
          <w:rFonts w:hint="eastAsia" w:ascii="宋体" w:hAnsi="宋体" w:eastAsia="宋体" w:cs="宋体"/>
          <w:color w:val="auto"/>
          <w:szCs w:val="30"/>
          <w:highlight w:val="none"/>
          <w:lang w:val="zh-CN"/>
        </w:rPr>
      </w:pPr>
    </w:p>
    <w:p w14:paraId="22E7582A">
      <w:pPr>
        <w:pStyle w:val="31"/>
        <w:rPr>
          <w:rFonts w:hint="eastAsia" w:ascii="宋体" w:hAnsi="宋体" w:eastAsia="宋体" w:cs="宋体"/>
          <w:color w:val="auto"/>
          <w:szCs w:val="30"/>
          <w:highlight w:val="none"/>
          <w:lang w:val="zh-CN"/>
        </w:rPr>
      </w:pPr>
    </w:p>
    <w:p w14:paraId="668DB408">
      <w:pPr>
        <w:rPr>
          <w:rFonts w:hint="eastAsia" w:ascii="宋体" w:hAnsi="宋体" w:eastAsia="宋体" w:cs="宋体"/>
          <w:color w:val="auto"/>
          <w:szCs w:val="30"/>
          <w:highlight w:val="none"/>
          <w:lang w:val="en-US" w:eastAsia="zh-CN"/>
        </w:rPr>
      </w:pPr>
    </w:p>
    <w:p w14:paraId="3D9A5D37">
      <w:pPr>
        <w:pStyle w:val="41"/>
        <w:rPr>
          <w:rFonts w:hint="eastAsia" w:ascii="宋体" w:hAnsi="宋体" w:eastAsia="宋体" w:cs="宋体"/>
          <w:color w:val="auto"/>
          <w:szCs w:val="30"/>
          <w:highlight w:val="none"/>
          <w:lang w:val="en-US" w:eastAsia="zh-CN"/>
        </w:rPr>
      </w:pPr>
    </w:p>
    <w:p w14:paraId="13730C54">
      <w:pPr>
        <w:pStyle w:val="33"/>
        <w:rPr>
          <w:rFonts w:hint="eastAsia" w:ascii="宋体" w:hAnsi="宋体" w:eastAsia="宋体" w:cs="宋体"/>
          <w:color w:val="auto"/>
          <w:szCs w:val="30"/>
          <w:highlight w:val="none"/>
          <w:lang w:val="en-US" w:eastAsia="zh-CN"/>
        </w:rPr>
      </w:pPr>
    </w:p>
    <w:p w14:paraId="79377A95">
      <w:pPr>
        <w:rPr>
          <w:rFonts w:hint="eastAsia" w:ascii="宋体" w:hAnsi="宋体" w:eastAsia="宋体" w:cs="宋体"/>
          <w:color w:val="auto"/>
          <w:szCs w:val="30"/>
          <w:highlight w:val="none"/>
          <w:lang w:val="en-US" w:eastAsia="zh-CN"/>
        </w:rPr>
      </w:pPr>
    </w:p>
    <w:p w14:paraId="295FBD27">
      <w:pPr>
        <w:pStyle w:val="41"/>
        <w:rPr>
          <w:rFonts w:hint="eastAsia" w:ascii="宋体" w:hAnsi="宋体" w:eastAsia="宋体" w:cs="宋体"/>
          <w:color w:val="auto"/>
          <w:szCs w:val="30"/>
          <w:highlight w:val="none"/>
          <w:lang w:val="en-US" w:eastAsia="zh-CN"/>
        </w:rPr>
      </w:pPr>
    </w:p>
    <w:p w14:paraId="0FE5D054">
      <w:pPr>
        <w:pStyle w:val="33"/>
        <w:rPr>
          <w:rFonts w:hint="eastAsia" w:ascii="宋体" w:hAnsi="宋体" w:eastAsia="宋体" w:cs="宋体"/>
          <w:color w:val="auto"/>
          <w:szCs w:val="30"/>
          <w:highlight w:val="none"/>
          <w:lang w:val="en-US" w:eastAsia="zh-CN"/>
        </w:rPr>
      </w:pPr>
    </w:p>
    <w:p w14:paraId="48ADACA5">
      <w:pPr>
        <w:rPr>
          <w:rFonts w:hint="eastAsia" w:ascii="宋体" w:hAnsi="宋体" w:eastAsia="宋体" w:cs="宋体"/>
          <w:color w:val="auto"/>
          <w:szCs w:val="30"/>
          <w:highlight w:val="none"/>
          <w:lang w:val="en-US" w:eastAsia="zh-CN"/>
        </w:rPr>
      </w:pPr>
    </w:p>
    <w:p w14:paraId="08211353">
      <w:pPr>
        <w:pStyle w:val="41"/>
        <w:rPr>
          <w:rFonts w:hint="eastAsia" w:ascii="宋体" w:hAnsi="宋体" w:eastAsia="宋体" w:cs="宋体"/>
          <w:color w:val="auto"/>
          <w:szCs w:val="30"/>
          <w:highlight w:val="none"/>
          <w:lang w:val="en-US" w:eastAsia="zh-CN"/>
        </w:rPr>
      </w:pPr>
    </w:p>
    <w:p w14:paraId="0EB53FA3">
      <w:pPr>
        <w:topLinePunct/>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廉 政 责 任 合 同</w:t>
      </w:r>
    </w:p>
    <w:p w14:paraId="6A0CB573">
      <w:pPr>
        <w:pStyle w:val="193"/>
        <w:ind w:firstLine="422"/>
        <w:rPr>
          <w:rFonts w:hint="eastAsia" w:ascii="宋体" w:hAnsi="宋体" w:eastAsia="宋体" w:cs="宋体"/>
          <w:bCs/>
          <w:color w:val="auto"/>
          <w:highlight w:val="none"/>
        </w:rPr>
      </w:pPr>
      <w:r>
        <w:rPr>
          <w:rFonts w:hint="eastAsia" w:ascii="宋体" w:hAnsi="宋体" w:eastAsia="宋体" w:cs="宋体"/>
          <w:b/>
          <w:bCs/>
          <w:color w:val="auto"/>
          <w:highlight w:val="none"/>
        </w:rPr>
        <w:t>第一条：</w:t>
      </w:r>
      <w:r>
        <w:rPr>
          <w:rFonts w:hint="eastAsia" w:ascii="宋体" w:hAnsi="宋体" w:eastAsia="宋体" w:cs="宋体"/>
          <w:bCs/>
          <w:color w:val="auto"/>
          <w:highlight w:val="none"/>
        </w:rPr>
        <w:t>根据国家建设部、监察部《关于在工程建设中深入开展反对腐败和反不正当竞争的通知》精神和党风廉政建设的有关规定，为进一步规范工程建设中的经济活动管理，经双方协商一致，制订以下廉政责任合同。</w:t>
      </w:r>
    </w:p>
    <w:p w14:paraId="6DA087F9">
      <w:pPr>
        <w:pStyle w:val="193"/>
        <w:ind w:firstLine="422"/>
        <w:rPr>
          <w:rFonts w:hint="eastAsia" w:ascii="宋体" w:hAnsi="宋体" w:eastAsia="宋体" w:cs="宋体"/>
          <w:color w:val="auto"/>
          <w:highlight w:val="none"/>
        </w:rPr>
      </w:pPr>
      <w:r>
        <w:rPr>
          <w:rFonts w:hint="eastAsia" w:ascii="宋体" w:hAnsi="宋体" w:eastAsia="宋体" w:cs="宋体"/>
          <w:b/>
          <w:bCs/>
          <w:color w:val="auto"/>
          <w:highlight w:val="none"/>
        </w:rPr>
        <w:t>第二条</w:t>
      </w:r>
      <w:r>
        <w:rPr>
          <w:rFonts w:hint="eastAsia" w:ascii="宋体" w:hAnsi="宋体" w:eastAsia="宋体" w:cs="宋体"/>
          <w:color w:val="auto"/>
          <w:highlight w:val="none"/>
        </w:rPr>
        <w:t>：廉政责任合同（以下简称本合同）由</w:t>
      </w:r>
      <w:r>
        <w:rPr>
          <w:rFonts w:hint="eastAsia" w:ascii="宋体" w:hAnsi="宋体" w:eastAsia="宋体" w:cs="宋体"/>
          <w:b w:val="0"/>
          <w:bCs w:val="0"/>
          <w:color w:val="auto"/>
          <w:highlight w:val="none"/>
          <w:u w:val="single"/>
        </w:rPr>
        <w:t xml:space="preserve">  </w:t>
      </w:r>
      <w:r>
        <w:rPr>
          <w:rFonts w:hint="eastAsia" w:ascii="宋体" w:hAnsi="宋体" w:eastAsia="宋体" w:cs="宋体"/>
          <w:b w:val="0"/>
          <w:bCs w:val="0"/>
          <w:color w:val="auto"/>
          <w:highlight w:val="none"/>
          <w:u w:val="single"/>
          <w:lang w:val="en-US" w:eastAsia="zh-CN"/>
        </w:rPr>
        <w:t xml:space="preserve">                       </w:t>
      </w:r>
      <w:r>
        <w:rPr>
          <w:rStyle w:val="194"/>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color w:val="auto"/>
          <w:highlight w:val="none"/>
        </w:rPr>
        <w:t>或委托代理人（以下简称甲方）与承包方</w:t>
      </w:r>
      <w:r>
        <w:rPr>
          <w:rFonts w:hint="eastAsia" w:ascii="宋体" w:hAnsi="宋体" w:eastAsia="宋体" w:cs="宋体"/>
          <w:b/>
          <w:color w:val="auto"/>
          <w:highlight w:val="none"/>
          <w:u w:val="single"/>
        </w:rPr>
        <w:t xml:space="preserve">                       </w:t>
      </w:r>
      <w:r>
        <w:rPr>
          <w:rFonts w:hint="eastAsia" w:ascii="宋体" w:hAnsi="宋体" w:eastAsia="宋体" w:cs="宋体"/>
          <w:color w:val="auto"/>
          <w:highlight w:val="none"/>
        </w:rPr>
        <w:t>（以下简称乙方）共同签订。</w:t>
      </w:r>
    </w:p>
    <w:p w14:paraId="7497932F">
      <w:pPr>
        <w:pStyle w:val="193"/>
        <w:ind w:firstLine="422"/>
        <w:rPr>
          <w:rFonts w:hint="eastAsia" w:ascii="宋体" w:hAnsi="宋体" w:eastAsia="宋体" w:cs="宋体"/>
          <w:color w:val="auto"/>
          <w:highlight w:val="none"/>
        </w:rPr>
      </w:pPr>
      <w:r>
        <w:rPr>
          <w:rFonts w:hint="eastAsia" w:ascii="宋体" w:hAnsi="宋体" w:eastAsia="宋体" w:cs="宋体"/>
          <w:b/>
          <w:bCs/>
          <w:color w:val="auto"/>
          <w:highlight w:val="none"/>
        </w:rPr>
        <w:t>第三条</w:t>
      </w:r>
      <w:r>
        <w:rPr>
          <w:rFonts w:hint="eastAsia" w:ascii="宋体" w:hAnsi="宋体" w:eastAsia="宋体" w:cs="宋体"/>
          <w:color w:val="auto"/>
          <w:highlight w:val="none"/>
        </w:rPr>
        <w:t>：纪检监察部门负责履行本合同的监督管理工作。</w:t>
      </w:r>
    </w:p>
    <w:p w14:paraId="3AB27574">
      <w:pPr>
        <w:pStyle w:val="193"/>
        <w:ind w:firstLine="422"/>
        <w:rPr>
          <w:rFonts w:hint="eastAsia" w:ascii="宋体" w:hAnsi="宋体" w:eastAsia="宋体" w:cs="宋体"/>
          <w:color w:val="auto"/>
          <w:highlight w:val="none"/>
        </w:rPr>
      </w:pPr>
      <w:r>
        <w:rPr>
          <w:rFonts w:hint="eastAsia" w:ascii="宋体" w:hAnsi="宋体" w:eastAsia="宋体" w:cs="宋体"/>
          <w:b/>
          <w:bCs/>
          <w:color w:val="auto"/>
          <w:highlight w:val="none"/>
        </w:rPr>
        <w:t>第四条</w:t>
      </w:r>
      <w:r>
        <w:rPr>
          <w:rFonts w:hint="eastAsia" w:ascii="宋体" w:hAnsi="宋体" w:eastAsia="宋体" w:cs="宋体"/>
          <w:color w:val="auto"/>
          <w:highlight w:val="none"/>
        </w:rPr>
        <w:t>：甲乙双方的权利和义务</w:t>
      </w:r>
    </w:p>
    <w:p w14:paraId="4F40E071">
      <w:pPr>
        <w:pStyle w:val="193"/>
        <w:ind w:firstLine="420"/>
        <w:rPr>
          <w:rFonts w:hint="eastAsia" w:ascii="宋体" w:hAnsi="宋体" w:eastAsia="宋体" w:cs="宋体"/>
          <w:color w:val="auto"/>
          <w:highlight w:val="none"/>
        </w:rPr>
      </w:pPr>
      <w:r>
        <w:rPr>
          <w:rFonts w:hint="eastAsia" w:ascii="宋体" w:hAnsi="宋体" w:eastAsia="宋体" w:cs="宋体"/>
          <w:color w:val="auto"/>
          <w:highlight w:val="none"/>
        </w:rPr>
        <w:t>一、甲乙双方应严格遵守党和国家法规、党风廉政建设及《反不正当竞争法》的各项规定。</w:t>
      </w:r>
    </w:p>
    <w:p w14:paraId="14D34E37">
      <w:pPr>
        <w:pStyle w:val="193"/>
        <w:ind w:firstLine="420"/>
        <w:rPr>
          <w:rFonts w:hint="eastAsia" w:ascii="宋体" w:hAnsi="宋体" w:eastAsia="宋体" w:cs="宋体"/>
          <w:color w:val="auto"/>
          <w:highlight w:val="none"/>
        </w:rPr>
      </w:pPr>
      <w:r>
        <w:rPr>
          <w:rFonts w:hint="eastAsia" w:ascii="宋体" w:hAnsi="宋体" w:eastAsia="宋体" w:cs="宋体"/>
          <w:color w:val="auto"/>
          <w:highlight w:val="none"/>
        </w:rPr>
        <w:t>二、甲乙双方严格执行所签订的经济合同各项条款，自觉按合同办事，严禁因违法违纪、违反工程建设管理的各项规章制度而损害国家和集体利益。</w:t>
      </w:r>
    </w:p>
    <w:p w14:paraId="7EDAA8A0">
      <w:pPr>
        <w:pStyle w:val="193"/>
        <w:ind w:firstLine="420"/>
        <w:rPr>
          <w:rFonts w:hint="eastAsia" w:ascii="宋体" w:hAnsi="宋体" w:eastAsia="宋体" w:cs="宋体"/>
          <w:color w:val="auto"/>
          <w:highlight w:val="none"/>
        </w:rPr>
      </w:pPr>
      <w:r>
        <w:rPr>
          <w:rFonts w:hint="eastAsia" w:ascii="宋体" w:hAnsi="宋体" w:eastAsia="宋体" w:cs="宋体"/>
          <w:color w:val="auto"/>
          <w:highlight w:val="none"/>
        </w:rPr>
        <w:t>三、甲、乙双方人员洽谈业务时，必须选择在办公场所或招标人确定的其它公共场所由二人以上共同进行，严禁私下商谈串通。</w:t>
      </w:r>
    </w:p>
    <w:p w14:paraId="59E78248">
      <w:pPr>
        <w:pStyle w:val="193"/>
        <w:ind w:firstLine="422"/>
        <w:rPr>
          <w:rFonts w:hint="eastAsia" w:ascii="宋体" w:hAnsi="宋体" w:eastAsia="宋体" w:cs="宋体"/>
          <w:color w:val="auto"/>
          <w:highlight w:val="none"/>
        </w:rPr>
      </w:pPr>
      <w:r>
        <w:rPr>
          <w:rFonts w:hint="eastAsia" w:ascii="宋体" w:hAnsi="宋体" w:eastAsia="宋体" w:cs="宋体"/>
          <w:b/>
          <w:bCs/>
          <w:color w:val="auto"/>
          <w:highlight w:val="none"/>
        </w:rPr>
        <w:t>第五条：</w:t>
      </w:r>
      <w:r>
        <w:rPr>
          <w:rFonts w:hint="eastAsia" w:ascii="宋体" w:hAnsi="宋体" w:eastAsia="宋体" w:cs="宋体"/>
          <w:color w:val="auto"/>
          <w:highlight w:val="none"/>
        </w:rPr>
        <w:t>甲方的权利和义务</w:t>
      </w:r>
    </w:p>
    <w:p w14:paraId="03FAA33E">
      <w:pPr>
        <w:pStyle w:val="193"/>
        <w:ind w:firstLine="420"/>
        <w:rPr>
          <w:rFonts w:hint="eastAsia" w:ascii="宋体" w:hAnsi="宋体" w:eastAsia="宋体" w:cs="宋体"/>
          <w:color w:val="auto"/>
          <w:highlight w:val="none"/>
        </w:rPr>
      </w:pPr>
      <w:r>
        <w:rPr>
          <w:rFonts w:hint="eastAsia" w:ascii="宋体" w:hAnsi="宋体" w:eastAsia="宋体" w:cs="宋体"/>
          <w:color w:val="auto"/>
          <w:highlight w:val="none"/>
        </w:rPr>
        <w:t>一、甲方人员不得以任何形式向乙方索要回扣；对无法拒收的，应及时上交纪检部门。</w:t>
      </w:r>
    </w:p>
    <w:p w14:paraId="50489E81">
      <w:pPr>
        <w:pStyle w:val="193"/>
        <w:ind w:firstLine="420"/>
        <w:rPr>
          <w:rFonts w:hint="eastAsia" w:ascii="宋体" w:hAnsi="宋体" w:eastAsia="宋体" w:cs="宋体"/>
          <w:color w:val="auto"/>
          <w:highlight w:val="none"/>
        </w:rPr>
      </w:pPr>
      <w:r>
        <w:rPr>
          <w:rFonts w:hint="eastAsia" w:ascii="宋体" w:hAnsi="宋体" w:eastAsia="宋体" w:cs="宋体"/>
          <w:color w:val="auto"/>
          <w:highlight w:val="none"/>
        </w:rPr>
        <w:t>二、甲方人员在业务交往中或项目结束后，不得接受乙方以任何形式给予的礼金、礼品和有价证券，不得在乙方报销应由个人支付的任何费用。</w:t>
      </w:r>
    </w:p>
    <w:p w14:paraId="4A4AAB36">
      <w:pPr>
        <w:pStyle w:val="193"/>
        <w:ind w:firstLine="420"/>
        <w:rPr>
          <w:rFonts w:hint="eastAsia" w:ascii="宋体" w:hAnsi="宋体" w:eastAsia="宋体" w:cs="宋体"/>
          <w:color w:val="auto"/>
          <w:highlight w:val="none"/>
        </w:rPr>
      </w:pPr>
      <w:r>
        <w:rPr>
          <w:rFonts w:hint="eastAsia" w:ascii="宋体" w:hAnsi="宋体" w:eastAsia="宋体" w:cs="宋体"/>
          <w:color w:val="auto"/>
          <w:highlight w:val="none"/>
        </w:rPr>
        <w:t>三、甲方人员不得参加可能对公正执行公务有影响的宴请、旅游和娱乐活动。</w:t>
      </w:r>
    </w:p>
    <w:p w14:paraId="706E7794">
      <w:pPr>
        <w:pStyle w:val="193"/>
        <w:ind w:firstLine="420"/>
        <w:rPr>
          <w:rFonts w:hint="eastAsia" w:ascii="宋体" w:hAnsi="宋体" w:eastAsia="宋体" w:cs="宋体"/>
          <w:color w:val="auto"/>
          <w:highlight w:val="none"/>
        </w:rPr>
      </w:pPr>
      <w:r>
        <w:rPr>
          <w:rFonts w:hint="eastAsia" w:ascii="宋体" w:hAnsi="宋体" w:eastAsia="宋体" w:cs="宋体"/>
          <w:color w:val="auto"/>
          <w:highlight w:val="none"/>
        </w:rPr>
        <w:t>四、甲方人员不得向乙方介绍家属或亲友从事与甲方工程有关的材料设备供应、工程分包等经济活动。</w:t>
      </w:r>
    </w:p>
    <w:p w14:paraId="100E4700">
      <w:pPr>
        <w:pStyle w:val="193"/>
        <w:ind w:firstLine="422"/>
        <w:rPr>
          <w:rFonts w:hint="eastAsia" w:ascii="宋体" w:hAnsi="宋体" w:eastAsia="宋体" w:cs="宋体"/>
          <w:color w:val="auto"/>
          <w:highlight w:val="none"/>
        </w:rPr>
      </w:pPr>
      <w:r>
        <w:rPr>
          <w:rFonts w:hint="eastAsia" w:ascii="宋体" w:hAnsi="宋体" w:eastAsia="宋体" w:cs="宋体"/>
          <w:b/>
          <w:bCs/>
          <w:color w:val="auto"/>
          <w:highlight w:val="none"/>
        </w:rPr>
        <w:t>第六条</w:t>
      </w:r>
      <w:r>
        <w:rPr>
          <w:rFonts w:hint="eastAsia" w:ascii="宋体" w:hAnsi="宋体" w:eastAsia="宋体" w:cs="宋体"/>
          <w:color w:val="auto"/>
          <w:highlight w:val="none"/>
        </w:rPr>
        <w:t>：乙方的权利和义务</w:t>
      </w:r>
    </w:p>
    <w:p w14:paraId="60746E35">
      <w:pPr>
        <w:pStyle w:val="193"/>
        <w:ind w:firstLine="420"/>
        <w:rPr>
          <w:rFonts w:hint="eastAsia" w:ascii="宋体" w:hAnsi="宋体" w:eastAsia="宋体" w:cs="宋体"/>
          <w:color w:val="auto"/>
          <w:highlight w:val="none"/>
        </w:rPr>
      </w:pPr>
      <w:r>
        <w:rPr>
          <w:rFonts w:hint="eastAsia" w:ascii="宋体" w:hAnsi="宋体" w:eastAsia="宋体" w:cs="宋体"/>
          <w:color w:val="auto"/>
          <w:highlight w:val="none"/>
        </w:rPr>
        <w:t>一、乙方人员不得以任何形式向甲方人员赠送礼金、礼品和有价证券。项目结束后，也不得进行上述赠送。</w:t>
      </w:r>
    </w:p>
    <w:p w14:paraId="04324938">
      <w:pPr>
        <w:pStyle w:val="193"/>
        <w:ind w:firstLine="420"/>
        <w:rPr>
          <w:rFonts w:hint="eastAsia" w:ascii="宋体" w:hAnsi="宋体" w:eastAsia="宋体" w:cs="宋体"/>
          <w:color w:val="auto"/>
          <w:highlight w:val="none"/>
        </w:rPr>
      </w:pPr>
      <w:r>
        <w:rPr>
          <w:rFonts w:hint="eastAsia" w:ascii="宋体" w:hAnsi="宋体" w:eastAsia="宋体" w:cs="宋体"/>
          <w:color w:val="auto"/>
          <w:highlight w:val="none"/>
        </w:rPr>
        <w:t>二、乙方不准以任何名义为甲方人员报销应由甲方人员个人支付的费用。</w:t>
      </w:r>
    </w:p>
    <w:p w14:paraId="556D0A35">
      <w:pPr>
        <w:pStyle w:val="193"/>
        <w:ind w:firstLine="420"/>
        <w:rPr>
          <w:rFonts w:hint="eastAsia" w:ascii="宋体" w:hAnsi="宋体" w:eastAsia="宋体" w:cs="宋体"/>
          <w:color w:val="auto"/>
          <w:highlight w:val="none"/>
        </w:rPr>
      </w:pPr>
      <w:r>
        <w:rPr>
          <w:rFonts w:hint="eastAsia" w:ascii="宋体" w:hAnsi="宋体" w:eastAsia="宋体" w:cs="宋体"/>
          <w:color w:val="auto"/>
          <w:highlight w:val="none"/>
        </w:rPr>
        <w:t>三、乙方人员不得以洽谈业务、签订经济合同为借口，邀请甲方人员参加宴会、旅游和娱乐活动等。</w:t>
      </w:r>
    </w:p>
    <w:p w14:paraId="2BDD356B">
      <w:pPr>
        <w:pStyle w:val="193"/>
        <w:ind w:firstLine="422"/>
        <w:rPr>
          <w:rFonts w:hint="eastAsia" w:ascii="宋体" w:hAnsi="宋体" w:eastAsia="宋体" w:cs="宋体"/>
          <w:color w:val="auto"/>
          <w:highlight w:val="none"/>
        </w:rPr>
      </w:pPr>
      <w:r>
        <w:rPr>
          <w:rFonts w:hint="eastAsia" w:ascii="宋体" w:hAnsi="宋体" w:eastAsia="宋体" w:cs="宋体"/>
          <w:b/>
          <w:bCs/>
          <w:color w:val="auto"/>
          <w:highlight w:val="none"/>
        </w:rPr>
        <w:t>第七条</w:t>
      </w:r>
      <w:r>
        <w:rPr>
          <w:rFonts w:hint="eastAsia" w:ascii="宋体" w:hAnsi="宋体" w:eastAsia="宋体" w:cs="宋体"/>
          <w:color w:val="auto"/>
          <w:highlight w:val="none"/>
        </w:rPr>
        <w:t>：违约责任</w:t>
      </w:r>
    </w:p>
    <w:p w14:paraId="6971DC89">
      <w:pPr>
        <w:pStyle w:val="193"/>
        <w:ind w:firstLine="420"/>
        <w:rPr>
          <w:rFonts w:hint="eastAsia" w:ascii="宋体" w:hAnsi="宋体" w:eastAsia="宋体" w:cs="宋体"/>
          <w:color w:val="auto"/>
          <w:highlight w:val="none"/>
        </w:rPr>
      </w:pPr>
      <w:r>
        <w:rPr>
          <w:rFonts w:hint="eastAsia" w:ascii="宋体" w:hAnsi="宋体" w:eastAsia="宋体" w:cs="宋体"/>
          <w:color w:val="auto"/>
          <w:highlight w:val="none"/>
        </w:rPr>
        <w:t>一、甲方人员若违反本合同，其主管部门将对违法、违纪、违规人员严肃查处。因此而给乙方造成的损失，甲方按有关规定予以赔偿。</w:t>
      </w:r>
    </w:p>
    <w:p w14:paraId="75A0B260">
      <w:pPr>
        <w:pStyle w:val="193"/>
        <w:ind w:firstLine="420"/>
        <w:rPr>
          <w:rFonts w:hint="eastAsia" w:ascii="宋体" w:hAnsi="宋体" w:eastAsia="宋体" w:cs="宋体"/>
          <w:color w:val="auto"/>
          <w:highlight w:val="none"/>
        </w:rPr>
      </w:pPr>
      <w:r>
        <w:rPr>
          <w:rFonts w:hint="eastAsia" w:ascii="宋体" w:hAnsi="宋体" w:eastAsia="宋体" w:cs="宋体"/>
          <w:color w:val="auto"/>
          <w:highlight w:val="none"/>
        </w:rPr>
        <w:t>二、甲方主管部门如发现乙方人员违反本合同规定，一经查实，有权终止其经济合同，由此而造成的损失由乙方负责赔偿，另外对乙方处以本工程造价1%的罚款；并将乙方列入不良行为名单登记入册，取消其在该工程任何经济项目的投标活动。同时，有义务向政府主管部门提供其不良记录情况。</w:t>
      </w:r>
    </w:p>
    <w:p w14:paraId="4DD02651">
      <w:pPr>
        <w:pStyle w:val="193"/>
        <w:ind w:firstLine="420"/>
        <w:rPr>
          <w:rFonts w:hint="eastAsia" w:ascii="宋体" w:hAnsi="宋体" w:eastAsia="宋体" w:cs="宋体"/>
          <w:color w:val="auto"/>
          <w:highlight w:val="none"/>
        </w:rPr>
      </w:pPr>
      <w:r>
        <w:rPr>
          <w:rFonts w:hint="eastAsia" w:ascii="宋体" w:hAnsi="宋体" w:eastAsia="宋体" w:cs="宋体"/>
          <w:color w:val="auto"/>
          <w:highlight w:val="none"/>
        </w:rPr>
        <w:t>三、乙方人员若违反本合同，其主管部门应对违法违纪人员严肃查处，因此而给甲方造成的损失，乙方按有关规定予以赔偿。</w:t>
      </w:r>
    </w:p>
    <w:p w14:paraId="6817BCA0">
      <w:pPr>
        <w:pStyle w:val="193"/>
        <w:ind w:firstLine="420"/>
        <w:rPr>
          <w:rFonts w:hint="eastAsia" w:ascii="宋体" w:hAnsi="宋体" w:eastAsia="宋体" w:cs="宋体"/>
          <w:color w:val="auto"/>
          <w:highlight w:val="none"/>
        </w:rPr>
      </w:pPr>
      <w:r>
        <w:rPr>
          <w:rFonts w:hint="eastAsia" w:ascii="宋体" w:hAnsi="宋体" w:eastAsia="宋体" w:cs="宋体"/>
          <w:color w:val="auto"/>
          <w:highlight w:val="none"/>
        </w:rPr>
        <w:t>四、如乙方发现甲方人员有违反本合同的行为，应及时向甲方纪检监察部门举报。甲方不得以任何借口报复乙方。</w:t>
      </w:r>
    </w:p>
    <w:p w14:paraId="431C7161">
      <w:pPr>
        <w:pStyle w:val="193"/>
        <w:ind w:firstLine="422"/>
        <w:rPr>
          <w:rFonts w:hint="eastAsia" w:ascii="宋体" w:hAnsi="宋体" w:eastAsia="宋体" w:cs="宋体"/>
          <w:color w:val="auto"/>
          <w:highlight w:val="none"/>
        </w:rPr>
      </w:pPr>
      <w:r>
        <w:rPr>
          <w:rFonts w:hint="eastAsia" w:ascii="宋体" w:hAnsi="宋体" w:eastAsia="宋体" w:cs="宋体"/>
          <w:b/>
          <w:bCs/>
          <w:color w:val="auto"/>
          <w:highlight w:val="none"/>
        </w:rPr>
        <w:t>第八条</w:t>
      </w:r>
      <w:r>
        <w:rPr>
          <w:rFonts w:hint="eastAsia" w:ascii="宋体" w:hAnsi="宋体" w:eastAsia="宋体" w:cs="宋体"/>
          <w:color w:val="auto"/>
          <w:highlight w:val="none"/>
        </w:rPr>
        <w:t>：甲乙双方必须将“廉政责任合同”贯穿于所签订的经济合同实施的全过程，及时布置、认真检查、严格考核。</w:t>
      </w:r>
    </w:p>
    <w:p w14:paraId="3145F23E">
      <w:pPr>
        <w:pStyle w:val="193"/>
        <w:ind w:firstLine="422"/>
        <w:rPr>
          <w:rFonts w:hint="eastAsia" w:ascii="宋体" w:hAnsi="宋体" w:eastAsia="宋体" w:cs="宋体"/>
          <w:color w:val="auto"/>
          <w:highlight w:val="none"/>
        </w:rPr>
      </w:pPr>
      <w:r>
        <w:rPr>
          <w:rFonts w:hint="eastAsia" w:ascii="宋体" w:hAnsi="宋体" w:eastAsia="宋体" w:cs="宋体"/>
          <w:b/>
          <w:bCs/>
          <w:color w:val="auto"/>
          <w:highlight w:val="none"/>
        </w:rPr>
        <w:t>第九条</w:t>
      </w:r>
      <w:r>
        <w:rPr>
          <w:rFonts w:hint="eastAsia" w:ascii="宋体" w:hAnsi="宋体" w:eastAsia="宋体" w:cs="宋体"/>
          <w:color w:val="auto"/>
          <w:highlight w:val="none"/>
        </w:rPr>
        <w:t>：本合同在甲乙双方签订重大经济合同的同时签订。</w:t>
      </w:r>
    </w:p>
    <w:p w14:paraId="2D2E923A">
      <w:pPr>
        <w:pStyle w:val="193"/>
        <w:ind w:firstLine="422"/>
        <w:rPr>
          <w:rFonts w:hint="eastAsia" w:ascii="宋体" w:hAnsi="宋体" w:eastAsia="宋体" w:cs="宋体"/>
          <w:color w:val="auto"/>
          <w:highlight w:val="none"/>
        </w:rPr>
      </w:pPr>
      <w:r>
        <w:rPr>
          <w:rFonts w:hint="eastAsia" w:ascii="宋体" w:hAnsi="宋体" w:eastAsia="宋体" w:cs="宋体"/>
          <w:b/>
          <w:bCs/>
          <w:color w:val="auto"/>
          <w:highlight w:val="none"/>
        </w:rPr>
        <w:t>第十条</w:t>
      </w:r>
      <w:r>
        <w:rPr>
          <w:rFonts w:hint="eastAsia" w:ascii="宋体" w:hAnsi="宋体" w:eastAsia="宋体" w:cs="宋体"/>
          <w:color w:val="auto"/>
          <w:highlight w:val="none"/>
        </w:rPr>
        <w:t>：本合同作为本次所签订的《 采购合同 》的附件，经合同双方共同签署后立即生效。</w:t>
      </w:r>
    </w:p>
    <w:p w14:paraId="4237CD5E">
      <w:pPr>
        <w:pStyle w:val="193"/>
        <w:ind w:firstLine="422"/>
        <w:rPr>
          <w:rFonts w:hint="eastAsia" w:ascii="宋体" w:hAnsi="宋体" w:eastAsia="宋体" w:cs="宋体"/>
          <w:color w:val="auto"/>
          <w:highlight w:val="none"/>
        </w:rPr>
      </w:pPr>
      <w:r>
        <w:rPr>
          <w:rFonts w:hint="eastAsia" w:ascii="宋体" w:hAnsi="宋体" w:eastAsia="宋体" w:cs="宋体"/>
          <w:b/>
          <w:bCs/>
          <w:color w:val="auto"/>
          <w:highlight w:val="none"/>
        </w:rPr>
        <w:t>第十一条</w:t>
      </w:r>
      <w:r>
        <w:rPr>
          <w:rFonts w:hint="eastAsia" w:ascii="宋体" w:hAnsi="宋体" w:eastAsia="宋体" w:cs="宋体"/>
          <w:color w:val="auto"/>
          <w:highlight w:val="none"/>
        </w:rPr>
        <w:t>：本合同一式贰份，由甲乙双方各执壹份。</w:t>
      </w:r>
    </w:p>
    <w:p w14:paraId="4CAAE585">
      <w:pPr>
        <w:topLinePunct/>
        <w:spacing w:line="560" w:lineRule="exact"/>
        <w:ind w:firstLine="64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14:paraId="3E76E524">
      <w:pPr>
        <w:pStyle w:val="42"/>
        <w:ind w:firstLine="400"/>
        <w:rPr>
          <w:rFonts w:hint="eastAsia" w:ascii="宋体" w:hAnsi="宋体" w:eastAsia="宋体" w:cs="宋体"/>
          <w:color w:val="auto"/>
          <w:highlight w:val="none"/>
        </w:rPr>
      </w:pPr>
    </w:p>
    <w:p w14:paraId="65D6C716">
      <w:pPr>
        <w:pStyle w:val="193"/>
        <w:ind w:firstLine="420"/>
        <w:rPr>
          <w:rFonts w:hint="eastAsia" w:ascii="宋体" w:hAnsi="宋体" w:eastAsia="宋体" w:cs="宋体"/>
          <w:color w:val="auto"/>
          <w:highlight w:val="none"/>
        </w:rPr>
      </w:pPr>
      <w:r>
        <w:rPr>
          <w:rFonts w:hint="eastAsia" w:ascii="宋体" w:hAnsi="宋体" w:eastAsia="宋体" w:cs="宋体"/>
          <w:color w:val="auto"/>
          <w:highlight w:val="none"/>
        </w:rPr>
        <w:t>甲方（盖章）                             乙方（盖章）</w:t>
      </w:r>
    </w:p>
    <w:p w14:paraId="69336EC7">
      <w:pPr>
        <w:pStyle w:val="193"/>
        <w:ind w:firstLine="420"/>
        <w:rPr>
          <w:rFonts w:hint="eastAsia" w:ascii="宋体" w:hAnsi="宋体" w:eastAsia="宋体" w:cs="宋体"/>
          <w:color w:val="auto"/>
          <w:highlight w:val="none"/>
        </w:rPr>
      </w:pPr>
    </w:p>
    <w:p w14:paraId="58C91268">
      <w:pPr>
        <w:pStyle w:val="193"/>
        <w:ind w:firstLine="420"/>
        <w:rPr>
          <w:rFonts w:hint="eastAsia" w:ascii="宋体" w:hAnsi="宋体" w:eastAsia="宋体" w:cs="宋体"/>
          <w:color w:val="auto"/>
          <w:highlight w:val="none"/>
        </w:rPr>
      </w:pPr>
      <w:r>
        <w:rPr>
          <w:rFonts w:hint="eastAsia" w:ascii="宋体" w:hAnsi="宋体" w:eastAsia="宋体" w:cs="宋体"/>
          <w:color w:val="auto"/>
          <w:highlight w:val="none"/>
        </w:rPr>
        <w:t>甲方法定代表人 ：                        乙方法定代表人：</w:t>
      </w:r>
    </w:p>
    <w:p w14:paraId="36D1F1EB">
      <w:pPr>
        <w:pStyle w:val="193"/>
        <w:ind w:firstLine="420"/>
        <w:rPr>
          <w:rFonts w:hint="eastAsia" w:ascii="宋体" w:hAnsi="宋体" w:eastAsia="宋体" w:cs="宋体"/>
          <w:color w:val="auto"/>
          <w:highlight w:val="none"/>
        </w:rPr>
      </w:pPr>
      <w:r>
        <w:rPr>
          <w:rFonts w:hint="eastAsia" w:ascii="宋体" w:hAnsi="宋体" w:eastAsia="宋体" w:cs="宋体"/>
          <w:color w:val="auto"/>
          <w:highlight w:val="none"/>
        </w:rPr>
        <w:t>或                                       或</w:t>
      </w:r>
    </w:p>
    <w:p w14:paraId="793C2A5C">
      <w:pPr>
        <w:pStyle w:val="193"/>
        <w:ind w:firstLine="420"/>
        <w:rPr>
          <w:rFonts w:hint="eastAsia" w:ascii="宋体" w:hAnsi="宋体" w:eastAsia="宋体" w:cs="宋体"/>
          <w:color w:val="auto"/>
          <w:highlight w:val="none"/>
        </w:rPr>
      </w:pPr>
      <w:r>
        <w:rPr>
          <w:rFonts w:hint="eastAsia" w:ascii="宋体" w:hAnsi="宋体" w:eastAsia="宋体" w:cs="宋体"/>
          <w:color w:val="auto"/>
          <w:highlight w:val="none"/>
        </w:rPr>
        <w:t>甲方委托代理人：                         乙方委托代理人：</w:t>
      </w:r>
    </w:p>
    <w:p w14:paraId="0461C1EC">
      <w:pPr>
        <w:pStyle w:val="193"/>
        <w:ind w:firstLine="420"/>
        <w:rPr>
          <w:rFonts w:hint="eastAsia" w:ascii="宋体" w:hAnsi="宋体" w:eastAsia="宋体" w:cs="宋体"/>
          <w:color w:val="auto"/>
          <w:highlight w:val="none"/>
        </w:rPr>
      </w:pPr>
    </w:p>
    <w:p w14:paraId="343DFEEF">
      <w:pPr>
        <w:pStyle w:val="193"/>
        <w:ind w:firstLine="827" w:firstLineChars="394"/>
        <w:rPr>
          <w:rFonts w:hint="eastAsia" w:ascii="宋体" w:hAnsi="宋体" w:eastAsia="宋体" w:cs="宋体"/>
          <w:color w:val="auto"/>
          <w:highlight w:val="none"/>
        </w:rPr>
      </w:pPr>
      <w:r>
        <w:rPr>
          <w:rFonts w:hint="eastAsia" w:ascii="宋体" w:hAnsi="宋体" w:eastAsia="宋体" w:cs="宋体"/>
          <w:color w:val="auto"/>
          <w:highlight w:val="none"/>
        </w:rPr>
        <w:t xml:space="preserve">年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月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日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年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月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日</w:t>
      </w:r>
    </w:p>
    <w:p w14:paraId="47DDF2B1">
      <w:pPr>
        <w:pStyle w:val="193"/>
        <w:ind w:firstLine="420"/>
        <w:rPr>
          <w:rFonts w:hint="eastAsia" w:ascii="宋体" w:hAnsi="宋体" w:eastAsia="宋体" w:cs="宋体"/>
          <w:color w:val="auto"/>
          <w:highlight w:val="none"/>
        </w:rPr>
      </w:pPr>
    </w:p>
    <w:p w14:paraId="0753DA15">
      <w:pPr>
        <w:pStyle w:val="41"/>
        <w:rPr>
          <w:rFonts w:hint="eastAsia" w:ascii="宋体" w:hAnsi="宋体" w:eastAsia="宋体" w:cs="宋体"/>
          <w:color w:val="auto"/>
          <w:highlight w:val="none"/>
          <w:lang w:val="en-US" w:eastAsia="zh-CN"/>
        </w:rPr>
      </w:pPr>
      <w:r>
        <w:rPr>
          <w:rFonts w:hint="eastAsia" w:ascii="宋体" w:hAnsi="宋体" w:eastAsia="宋体" w:cs="宋体"/>
          <w:b/>
          <w:bCs/>
          <w:color w:val="auto"/>
          <w:sz w:val="21"/>
          <w:szCs w:val="20"/>
          <w:highlight w:val="none"/>
        </w:rPr>
        <w:t>签约地点：</w:t>
      </w:r>
    </w:p>
    <w:p w14:paraId="1A47AB08">
      <w:pPr>
        <w:pStyle w:val="31"/>
        <w:rPr>
          <w:rFonts w:hint="eastAsia" w:ascii="宋体" w:hAnsi="宋体" w:eastAsia="宋体" w:cs="宋体"/>
          <w:color w:val="auto"/>
          <w:szCs w:val="30"/>
          <w:highlight w:val="none"/>
          <w:lang w:val="zh-CN"/>
        </w:rPr>
      </w:pPr>
    </w:p>
    <w:p w14:paraId="2B9A205C">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7143692C">
      <w:pPr>
        <w:keepNext/>
        <w:keepLines/>
        <w:spacing w:before="260" w:after="260" w:line="360" w:lineRule="auto"/>
        <w:jc w:val="center"/>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第六章　投标文件格式</w:t>
      </w:r>
    </w:p>
    <w:p w14:paraId="5DD6B806">
      <w:pPr>
        <w:snapToGrid w:val="0"/>
        <w:spacing w:beforeLines="50" w:afterLines="50" w:line="360" w:lineRule="auto"/>
        <w:ind w:firstLine="640"/>
        <w:jc w:val="center"/>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政府采购活动现场确认声明书</w:t>
      </w:r>
    </w:p>
    <w:p w14:paraId="75AEB16D">
      <w:pPr>
        <w:snapToGrid w:val="0"/>
        <w:spacing w:beforeLines="50" w:afterLines="50"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（要求开标前单独提交，不要封存于投标文件里）</w:t>
      </w:r>
    </w:p>
    <w:p w14:paraId="1D8BC2C6">
      <w:pPr>
        <w:keepNext w:val="0"/>
        <w:keepLines w:val="0"/>
        <w:pageBreakBefore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color w:val="auto"/>
          <w:szCs w:val="21"/>
          <w:highlight w:val="none"/>
          <w:u w:val="single"/>
        </w:rPr>
      </w:pPr>
      <w:r>
        <w:rPr>
          <w:rFonts w:hint="eastAsia" w:ascii="宋体" w:hAnsi="宋体" w:eastAsia="宋体" w:cs="宋体"/>
          <w:color w:val="auto"/>
          <w:spacing w:val="6"/>
          <w:szCs w:val="21"/>
          <w:highlight w:val="none"/>
          <w:u w:val="single"/>
          <w:lang w:val="en-US" w:eastAsia="zh-CN"/>
        </w:rPr>
        <w:t xml:space="preserve">        </w:t>
      </w:r>
      <w:r>
        <w:rPr>
          <w:rFonts w:hint="eastAsia" w:ascii="宋体" w:hAnsi="宋体" w:eastAsia="宋体" w:cs="宋体"/>
          <w:b/>
          <w:color w:val="auto"/>
          <w:kern w:val="0"/>
          <w:szCs w:val="21"/>
          <w:highlight w:val="none"/>
          <w:u w:val="single"/>
        </w:rPr>
        <w:t>：</w:t>
      </w:r>
    </w:p>
    <w:p w14:paraId="73139620">
      <w:pPr>
        <w:keepNext w:val="0"/>
        <w:keepLines w:val="0"/>
        <w:pageBreakBefore w:val="0"/>
        <w:kinsoku/>
        <w:wordWrap/>
        <w:overflowPunct/>
        <w:topLinePunct w:val="0"/>
        <w:autoSpaceDE/>
        <w:autoSpaceDN/>
        <w:bidi w:val="0"/>
        <w:adjustRightInd/>
        <w:snapToGrid w:val="0"/>
        <w:spacing w:line="400" w:lineRule="exact"/>
        <w:ind w:firstLine="444" w:firstLineChars="200"/>
        <w:textAlignment w:val="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本人经由</w:t>
      </w:r>
      <w:r>
        <w:rPr>
          <w:rFonts w:hint="eastAsia" w:ascii="宋体" w:hAnsi="宋体" w:eastAsia="宋体" w:cs="宋体"/>
          <w:color w:val="auto"/>
          <w:spacing w:val="6"/>
          <w:szCs w:val="21"/>
          <w:highlight w:val="none"/>
          <w:u w:val="single"/>
        </w:rPr>
        <w:t xml:space="preserve">                  （单位）</w:t>
      </w:r>
      <w:r>
        <w:rPr>
          <w:rFonts w:hint="eastAsia" w:ascii="宋体" w:hAnsi="宋体" w:eastAsia="宋体" w:cs="宋体"/>
          <w:color w:val="auto"/>
          <w:spacing w:val="6"/>
          <w:szCs w:val="21"/>
          <w:highlight w:val="none"/>
        </w:rPr>
        <w:t>负责人</w:t>
      </w:r>
      <w:r>
        <w:rPr>
          <w:rFonts w:hint="eastAsia" w:ascii="宋体" w:hAnsi="宋体" w:eastAsia="宋体" w:cs="宋体"/>
          <w:color w:val="auto"/>
          <w:spacing w:val="6"/>
          <w:szCs w:val="21"/>
          <w:highlight w:val="none"/>
          <w:u w:val="single"/>
        </w:rPr>
        <w:t xml:space="preserve">        （姓名）</w:t>
      </w:r>
      <w:r>
        <w:rPr>
          <w:rFonts w:hint="eastAsia" w:ascii="宋体" w:hAnsi="宋体" w:eastAsia="宋体" w:cs="宋体"/>
          <w:color w:val="auto"/>
          <w:spacing w:val="6"/>
          <w:szCs w:val="21"/>
          <w:highlight w:val="none"/>
        </w:rPr>
        <w:t>合法授权参加</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项目（编号：</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 xml:space="preserve">）政府采购活动，经与本单位法人代表（负责人）联系确认，现就有关公平竞争事项郑重声明如下： </w:t>
      </w:r>
    </w:p>
    <w:p w14:paraId="540F7234">
      <w:pPr>
        <w:keepNext w:val="0"/>
        <w:keepLines w:val="0"/>
        <w:pageBreakBefore w:val="0"/>
        <w:widowControl/>
        <w:numPr>
          <w:ilvl w:val="0"/>
          <w:numId w:val="9"/>
        </w:numPr>
        <w:kinsoku/>
        <w:wordWrap/>
        <w:overflowPunct/>
        <w:topLinePunct w:val="0"/>
        <w:autoSpaceDE/>
        <w:autoSpaceDN/>
        <w:bidi w:val="0"/>
        <w:adjustRightInd/>
        <w:snapToGrid w:val="0"/>
        <w:spacing w:line="400" w:lineRule="exact"/>
        <w:ind w:firstLine="396" w:firstLineChars="189"/>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本单位与采购人之间 □不存在利害关系 □存在下列利害关系</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14:paraId="73B98BE3">
      <w:pPr>
        <w:keepNext w:val="0"/>
        <w:keepLines w:val="0"/>
        <w:pageBreakBefore w:val="0"/>
        <w:widowControl/>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A.投资关系    B.行政隶属关系    C.业务指导关系</w:t>
      </w:r>
    </w:p>
    <w:p w14:paraId="00633A4E">
      <w:pPr>
        <w:keepNext w:val="0"/>
        <w:keepLines w:val="0"/>
        <w:pageBreakBefore w:val="0"/>
        <w:widowControl/>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D.其他可能</w:t>
      </w:r>
      <w:r>
        <w:rPr>
          <w:rFonts w:hint="eastAsia" w:ascii="宋体" w:hAnsi="宋体" w:eastAsia="宋体" w:cs="宋体"/>
          <w:color w:val="auto"/>
          <w:szCs w:val="21"/>
          <w:highlight w:val="none"/>
        </w:rPr>
        <w:t>影响采购公正的</w:t>
      </w:r>
      <w:r>
        <w:rPr>
          <w:rFonts w:hint="eastAsia" w:ascii="宋体" w:hAnsi="宋体" w:eastAsia="宋体" w:cs="宋体"/>
          <w:color w:val="auto"/>
          <w:kern w:val="0"/>
          <w:szCs w:val="21"/>
          <w:highlight w:val="none"/>
        </w:rPr>
        <w:t>利害关系</w:t>
      </w:r>
      <w:r>
        <w:rPr>
          <w:rFonts w:hint="eastAsia" w:ascii="宋体" w:hAnsi="宋体" w:eastAsia="宋体" w:cs="宋体"/>
          <w:color w:val="auto"/>
          <w:kern w:val="0"/>
          <w:szCs w:val="21"/>
          <w:highlight w:val="none"/>
          <w:u w:val="single"/>
        </w:rPr>
        <w:t xml:space="preserve">（如有，请如实说明）                 </w:t>
      </w:r>
      <w:r>
        <w:rPr>
          <w:rFonts w:hint="eastAsia" w:ascii="宋体" w:hAnsi="宋体" w:eastAsia="宋体" w:cs="宋体"/>
          <w:color w:val="auto"/>
          <w:kern w:val="0"/>
          <w:szCs w:val="21"/>
          <w:highlight w:val="none"/>
        </w:rPr>
        <w:t>。</w:t>
      </w:r>
    </w:p>
    <w:p w14:paraId="200B7FBC">
      <w:pPr>
        <w:keepNext w:val="0"/>
        <w:keepLines w:val="0"/>
        <w:pageBreakBefore w:val="0"/>
        <w:widowControl/>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kern w:val="0"/>
          <w:szCs w:val="21"/>
          <w:highlight w:val="none"/>
        </w:rPr>
      </w:pPr>
      <w:r>
        <w:rPr>
          <w:rFonts w:hint="eastAsia" w:ascii="宋体" w:hAnsi="宋体" w:eastAsia="宋体" w:cs="宋体"/>
          <w:color w:val="auto"/>
          <w:spacing w:val="6"/>
          <w:szCs w:val="21"/>
          <w:highlight w:val="none"/>
        </w:rPr>
        <w:t xml:space="preserve">  二、</w:t>
      </w:r>
      <w:r>
        <w:rPr>
          <w:rFonts w:hint="eastAsia" w:ascii="宋体" w:hAnsi="宋体" w:eastAsia="宋体" w:cs="宋体"/>
          <w:color w:val="auto"/>
          <w:kern w:val="0"/>
          <w:szCs w:val="21"/>
          <w:highlight w:val="none"/>
        </w:rPr>
        <w:t>现已清楚知道参加本项目采购活动的其他所有供应商名称，本单位  □与其他所有供应商之间均不存在利害关系 □与</w:t>
      </w:r>
      <w:r>
        <w:rPr>
          <w:rFonts w:hint="eastAsia" w:ascii="宋体" w:hAnsi="宋体" w:eastAsia="宋体" w:cs="宋体"/>
          <w:color w:val="auto"/>
          <w:kern w:val="0"/>
          <w:szCs w:val="21"/>
          <w:highlight w:val="none"/>
          <w:u w:val="single"/>
        </w:rPr>
        <w:t xml:space="preserve">           （供应商名称）</w:t>
      </w:r>
      <w:r>
        <w:rPr>
          <w:rFonts w:hint="eastAsia" w:ascii="宋体" w:hAnsi="宋体" w:eastAsia="宋体" w:cs="宋体"/>
          <w:color w:val="auto"/>
          <w:kern w:val="0"/>
          <w:szCs w:val="21"/>
          <w:highlight w:val="none"/>
        </w:rPr>
        <w:t>之间存在下列利害关系</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14:paraId="4CCA9D04">
      <w:pPr>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A.法定代表人或负责人或实际控制人是同一人</w:t>
      </w:r>
    </w:p>
    <w:p w14:paraId="22B6443A">
      <w:pPr>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pacing w:val="6"/>
          <w:szCs w:val="21"/>
          <w:highlight w:val="none"/>
        </w:rPr>
      </w:pPr>
      <w:r>
        <w:rPr>
          <w:rFonts w:hint="eastAsia" w:ascii="宋体" w:hAnsi="宋体" w:eastAsia="宋体" w:cs="宋体"/>
          <w:color w:val="auto"/>
          <w:kern w:val="0"/>
          <w:szCs w:val="21"/>
          <w:highlight w:val="none"/>
        </w:rPr>
        <w:t xml:space="preserve">  B.法定代表人或负责人或实际控制人是夫妻关系</w:t>
      </w:r>
    </w:p>
    <w:p w14:paraId="58C8C2C0">
      <w:pPr>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pacing w:val="6"/>
          <w:szCs w:val="21"/>
          <w:highlight w:val="none"/>
        </w:rPr>
      </w:pPr>
      <w:r>
        <w:rPr>
          <w:rFonts w:hint="eastAsia" w:ascii="宋体" w:hAnsi="宋体" w:eastAsia="宋体" w:cs="宋体"/>
          <w:color w:val="auto"/>
          <w:kern w:val="0"/>
          <w:szCs w:val="21"/>
          <w:highlight w:val="none"/>
        </w:rPr>
        <w:t xml:space="preserve">  C.法定代表人或负责人或实际控制人是直系血亲关系</w:t>
      </w:r>
    </w:p>
    <w:p w14:paraId="054884BE">
      <w:pPr>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pacing w:val="6"/>
          <w:szCs w:val="21"/>
          <w:highlight w:val="none"/>
        </w:rPr>
      </w:pPr>
      <w:r>
        <w:rPr>
          <w:rFonts w:hint="eastAsia" w:ascii="宋体" w:hAnsi="宋体" w:eastAsia="宋体" w:cs="宋体"/>
          <w:color w:val="auto"/>
          <w:kern w:val="0"/>
          <w:szCs w:val="21"/>
          <w:highlight w:val="none"/>
        </w:rPr>
        <w:t xml:space="preserve">  D.法定代表人或负责人或实际控制人存在三代以内旁系血亲关系</w:t>
      </w:r>
    </w:p>
    <w:p w14:paraId="6F79F9D8">
      <w:pPr>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E.法定代表人或负责人或实际控制人存在近姻亲关系</w:t>
      </w:r>
    </w:p>
    <w:p w14:paraId="5FEDCE25">
      <w:pPr>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F.法定代表人或负责人或实际控制人存在股份控制或实际控制关系</w:t>
      </w:r>
    </w:p>
    <w:p w14:paraId="436E423F">
      <w:pPr>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G.存在共同直接或间接投资设立子公司、联营企业和合营企业情况</w:t>
      </w:r>
    </w:p>
    <w:p w14:paraId="401787D2">
      <w:pPr>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H.存在分级代理或代销关系、同一生产制造商关系、</w:t>
      </w:r>
      <w:r>
        <w:rPr>
          <w:rFonts w:hint="eastAsia" w:ascii="宋体" w:hAnsi="宋体" w:eastAsia="宋体" w:cs="宋体"/>
          <w:color w:val="auto"/>
          <w:szCs w:val="21"/>
          <w:highlight w:val="none"/>
        </w:rPr>
        <w:t>管理关系、重要业务（占主营业务收入50%以上）或重要财务往来关系（如融资）等其他实质性控制关系</w:t>
      </w:r>
    </w:p>
    <w:p w14:paraId="4397993C">
      <w:pPr>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 xml:space="preserve">    I</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其他利害关系情况</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w:t>
      </w:r>
    </w:p>
    <w:p w14:paraId="178AF496">
      <w:pPr>
        <w:keepNext w:val="0"/>
        <w:keepLines w:val="0"/>
        <w:pageBreakBefore w:val="0"/>
        <w:widowControl/>
        <w:numPr>
          <w:ilvl w:val="0"/>
          <w:numId w:val="10"/>
        </w:numPr>
        <w:kinsoku/>
        <w:wordWrap/>
        <w:overflowPunct/>
        <w:topLinePunct w:val="0"/>
        <w:autoSpaceDE/>
        <w:autoSpaceDN/>
        <w:bidi w:val="0"/>
        <w:adjustRightInd/>
        <w:snapToGrid w:val="0"/>
        <w:spacing w:line="400" w:lineRule="exact"/>
        <w:ind w:firstLine="396" w:firstLineChars="189"/>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现已清楚知道并</w:t>
      </w:r>
      <w:r>
        <w:rPr>
          <w:rFonts w:hint="eastAsia" w:ascii="宋体" w:hAnsi="宋体" w:eastAsia="宋体" w:cs="宋体"/>
          <w:color w:val="auto"/>
          <w:kern w:val="0"/>
          <w:szCs w:val="21"/>
          <w:highlight w:val="none"/>
        </w:rPr>
        <w:t>严格遵守政府采购法律法规和现场纪律。</w:t>
      </w:r>
    </w:p>
    <w:p w14:paraId="68BD25B6">
      <w:pPr>
        <w:keepNext w:val="0"/>
        <w:keepLines w:val="0"/>
        <w:pageBreakBefore w:val="0"/>
        <w:widowControl/>
        <w:numPr>
          <w:ilvl w:val="0"/>
          <w:numId w:val="10"/>
        </w:numPr>
        <w:kinsoku/>
        <w:wordWrap/>
        <w:overflowPunct/>
        <w:topLinePunct w:val="0"/>
        <w:autoSpaceDE/>
        <w:autoSpaceDN/>
        <w:bidi w:val="0"/>
        <w:adjustRightInd/>
        <w:snapToGrid w:val="0"/>
        <w:spacing w:line="400" w:lineRule="exact"/>
        <w:ind w:firstLine="396" w:firstLineChars="189"/>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我发现</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供应商之间存在或可能存在上述第二条第</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项利害关系。</w:t>
      </w:r>
    </w:p>
    <w:p w14:paraId="387EAB57">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供应商代表签名：</w:t>
      </w:r>
    </w:p>
    <w:p w14:paraId="2DBDCE0C">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  月  日</w:t>
      </w:r>
    </w:p>
    <w:p w14:paraId="4F03B17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0F2FCE4A">
      <w:pPr>
        <w:snapToGrid w:val="0"/>
        <w:spacing w:beforeLines="50" w:afterLines="50" w:line="360" w:lineRule="auto"/>
        <w:jc w:val="center"/>
        <w:outlineLvl w:val="1"/>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投标文件接收回执</w:t>
      </w:r>
    </w:p>
    <w:p w14:paraId="298D6F5B">
      <w:pPr>
        <w:spacing w:line="360" w:lineRule="auto"/>
        <w:jc w:val="center"/>
        <w:rPr>
          <w:rFonts w:hint="eastAsia" w:ascii="宋体" w:hAnsi="宋体" w:eastAsia="宋体" w:cs="宋体"/>
          <w:b/>
          <w:color w:val="auto"/>
          <w:spacing w:val="6"/>
          <w:sz w:val="24"/>
          <w:szCs w:val="24"/>
          <w:highlight w:val="none"/>
        </w:rPr>
      </w:pPr>
      <w:r>
        <w:rPr>
          <w:rFonts w:hint="eastAsia" w:ascii="宋体" w:hAnsi="宋体" w:eastAsia="宋体" w:cs="宋体"/>
          <w:b/>
          <w:color w:val="auto"/>
          <w:sz w:val="24"/>
          <w:szCs w:val="24"/>
          <w:highlight w:val="none"/>
        </w:rPr>
        <w:t>（要求开标前单独提交，不要封存于投标文件里）</w:t>
      </w:r>
    </w:p>
    <w:p w14:paraId="2E974DEF">
      <w:pPr>
        <w:spacing w:line="360" w:lineRule="auto"/>
        <w:rPr>
          <w:rFonts w:hint="eastAsia" w:ascii="宋体" w:hAnsi="宋体" w:eastAsia="宋体" w:cs="宋体"/>
          <w:b/>
          <w:color w:val="auto"/>
          <w:spacing w:val="6"/>
          <w:sz w:val="21"/>
          <w:szCs w:val="21"/>
          <w:highlight w:val="none"/>
        </w:rPr>
      </w:pP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（投标人全称）</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14:paraId="02D3E01B">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贵单位递交的以下项目投标文件，经查验，投标文件的包装、密封情况符合招标文件要求，已于</w:t>
      </w:r>
      <w:r>
        <w:rPr>
          <w:rFonts w:hint="eastAsia" w:ascii="宋体" w:hAnsi="宋体" w:eastAsia="宋体" w:cs="宋体"/>
          <w:color w:val="auto"/>
          <w:sz w:val="21"/>
          <w:szCs w:val="21"/>
          <w:highlight w:val="none"/>
          <w:u w:val="single"/>
        </w:rPr>
        <w:t xml:space="preserve">    年   月   日   时 分</w:t>
      </w:r>
      <w:r>
        <w:rPr>
          <w:rFonts w:hint="eastAsia" w:ascii="宋体" w:hAnsi="宋体" w:eastAsia="宋体" w:cs="宋体"/>
          <w:color w:val="auto"/>
          <w:sz w:val="21"/>
          <w:szCs w:val="21"/>
          <w:highlight w:val="none"/>
        </w:rPr>
        <w:t>由我中心工作人员接受。</w:t>
      </w:r>
    </w:p>
    <w:tbl>
      <w:tblPr>
        <w:tblStyle w:val="43"/>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3600"/>
        <w:gridCol w:w="1080"/>
        <w:gridCol w:w="2160"/>
      </w:tblGrid>
      <w:tr w14:paraId="38296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582" w:type="dxa"/>
            <w:tcBorders>
              <w:top w:val="single" w:color="auto" w:sz="4" w:space="0"/>
              <w:left w:val="single" w:color="auto" w:sz="4" w:space="0"/>
              <w:bottom w:val="single" w:color="auto" w:sz="4" w:space="0"/>
              <w:right w:val="single" w:color="auto" w:sz="4" w:space="0"/>
            </w:tcBorders>
            <w:vAlign w:val="center"/>
          </w:tcPr>
          <w:p w14:paraId="61C1299F">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p>
        </w:tc>
        <w:tc>
          <w:tcPr>
            <w:tcW w:w="3600" w:type="dxa"/>
            <w:tcBorders>
              <w:top w:val="single" w:color="auto" w:sz="4" w:space="0"/>
              <w:left w:val="single" w:color="auto" w:sz="4" w:space="0"/>
              <w:bottom w:val="single" w:color="auto" w:sz="4" w:space="0"/>
              <w:right w:val="single" w:color="auto" w:sz="4" w:space="0"/>
            </w:tcBorders>
            <w:vAlign w:val="center"/>
          </w:tcPr>
          <w:p w14:paraId="7749B39F">
            <w:pPr>
              <w:snapToGrid w:val="0"/>
              <w:spacing w:line="360" w:lineRule="auto"/>
              <w:ind w:firstLine="420" w:firstLineChars="200"/>
              <w:rPr>
                <w:rFonts w:hint="eastAsia" w:ascii="宋体" w:hAnsi="宋体" w:eastAsia="宋体" w:cs="宋体"/>
                <w:color w:val="auto"/>
                <w:sz w:val="21"/>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58EEAF1D">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 项</w:t>
            </w:r>
          </w:p>
        </w:tc>
        <w:tc>
          <w:tcPr>
            <w:tcW w:w="2160" w:type="dxa"/>
            <w:tcBorders>
              <w:top w:val="single" w:color="auto" w:sz="4" w:space="0"/>
              <w:left w:val="single" w:color="auto" w:sz="4" w:space="0"/>
              <w:bottom w:val="single" w:color="auto" w:sz="4" w:space="0"/>
              <w:right w:val="single" w:color="auto" w:sz="4" w:space="0"/>
            </w:tcBorders>
            <w:vAlign w:val="center"/>
          </w:tcPr>
          <w:p w14:paraId="686C88D0">
            <w:pPr>
              <w:snapToGrid w:val="0"/>
              <w:spacing w:line="360" w:lineRule="auto"/>
              <w:ind w:firstLine="420" w:firstLineChars="200"/>
              <w:rPr>
                <w:rFonts w:hint="eastAsia" w:ascii="宋体" w:hAnsi="宋体" w:eastAsia="宋体" w:cs="宋体"/>
                <w:color w:val="auto"/>
                <w:sz w:val="21"/>
                <w:szCs w:val="21"/>
                <w:highlight w:val="none"/>
              </w:rPr>
            </w:pPr>
          </w:p>
        </w:tc>
      </w:tr>
      <w:tr w14:paraId="7AEF8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582" w:type="dxa"/>
            <w:tcBorders>
              <w:top w:val="single" w:color="auto" w:sz="4" w:space="0"/>
              <w:left w:val="single" w:color="auto" w:sz="4" w:space="0"/>
              <w:bottom w:val="single" w:color="auto" w:sz="4" w:space="0"/>
              <w:right w:val="single" w:color="auto" w:sz="4" w:space="0"/>
            </w:tcBorders>
            <w:vAlign w:val="center"/>
          </w:tcPr>
          <w:p w14:paraId="5DC22F3F">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6840" w:type="dxa"/>
            <w:gridSpan w:val="3"/>
            <w:tcBorders>
              <w:top w:val="single" w:color="auto" w:sz="4" w:space="0"/>
              <w:left w:val="single" w:color="auto" w:sz="4" w:space="0"/>
              <w:bottom w:val="single" w:color="auto" w:sz="4" w:space="0"/>
              <w:right w:val="single" w:color="auto" w:sz="4" w:space="0"/>
            </w:tcBorders>
            <w:vAlign w:val="center"/>
          </w:tcPr>
          <w:p w14:paraId="78F496DA">
            <w:pPr>
              <w:snapToGrid w:val="0"/>
              <w:spacing w:line="360" w:lineRule="auto"/>
              <w:ind w:firstLine="420" w:firstLineChars="200"/>
              <w:rPr>
                <w:rFonts w:hint="eastAsia" w:ascii="宋体" w:hAnsi="宋体" w:eastAsia="宋体" w:cs="宋体"/>
                <w:color w:val="auto"/>
                <w:sz w:val="21"/>
                <w:szCs w:val="21"/>
                <w:highlight w:val="none"/>
              </w:rPr>
            </w:pPr>
          </w:p>
        </w:tc>
      </w:tr>
    </w:tbl>
    <w:p w14:paraId="0BDDE88D">
      <w:pPr>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请仔细阅读以下内容：</w:t>
      </w:r>
    </w:p>
    <w:p w14:paraId="1E40BF56">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1、本回执中除接收时间、接收人签名以外均为必填，如因信息填写错误、疏漏等造成投标文件接收出现任何问题，责任由投标单位自负。</w:t>
      </w:r>
    </w:p>
    <w:p w14:paraId="42C08D1F">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2、标项填写方式：如该项目只有一个标项填“1”，多个标项请填写投标的完整标项号。</w:t>
      </w:r>
    </w:p>
    <w:p w14:paraId="56D64FA8">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3、本回执投标单位按要求填写打印后，由授权代表携带至投标现场，与投标文件一并交至采购代理机构现场工作人员。如投标人递交投标文件时未提供回执，视同不需要回执。</w:t>
      </w:r>
    </w:p>
    <w:p w14:paraId="4D47883E">
      <w:pPr>
        <w:snapToGrid w:val="0"/>
        <w:spacing w:line="360" w:lineRule="auto"/>
        <w:ind w:firstLine="420" w:firstLineChars="200"/>
        <w:rPr>
          <w:rFonts w:hint="eastAsia" w:ascii="宋体" w:hAnsi="宋体" w:eastAsia="宋体" w:cs="宋体"/>
          <w:color w:val="auto"/>
          <w:sz w:val="21"/>
          <w:szCs w:val="21"/>
          <w:highlight w:val="none"/>
        </w:rPr>
      </w:pPr>
    </w:p>
    <w:p w14:paraId="28FFD081">
      <w:pPr>
        <w:spacing w:line="360" w:lineRule="auto"/>
        <w:ind w:firstLine="444" w:firstLineChars="200"/>
        <w:rPr>
          <w:rFonts w:hint="eastAsia" w:ascii="宋体" w:hAnsi="宋体" w:eastAsia="宋体" w:cs="宋体"/>
          <w:color w:val="auto"/>
          <w:spacing w:val="6"/>
          <w:sz w:val="21"/>
          <w:szCs w:val="21"/>
          <w:highlight w:val="none"/>
        </w:rPr>
      </w:pPr>
    </w:p>
    <w:p w14:paraId="76D22F17">
      <w:pPr>
        <w:snapToGrid w:val="0"/>
        <w:spacing w:line="360" w:lineRule="auto"/>
        <w:ind w:firstLine="444" w:firstLineChars="200"/>
        <w:jc w:val="right"/>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 xml:space="preserve">         </w:t>
      </w:r>
    </w:p>
    <w:p w14:paraId="7603EB47">
      <w:pPr>
        <w:snapToGrid w:val="0"/>
        <w:spacing w:before="50" w:after="50" w:line="360" w:lineRule="auto"/>
        <w:ind w:firstLine="4410" w:firstLineChars="210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1"/>
          <w:szCs w:val="21"/>
          <w:highlight w:val="none"/>
        </w:rPr>
        <w:t>接收人签名或签章：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4"/>
          <w:szCs w:val="24"/>
          <w:highlight w:val="none"/>
          <w:u w:val="single"/>
        </w:rPr>
        <w:t xml:space="preserve"> </w:t>
      </w:r>
    </w:p>
    <w:p w14:paraId="6BF20840">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p>
    <w:p w14:paraId="2F2C78C5">
      <w:pPr>
        <w:snapToGrid w:val="0"/>
        <w:spacing w:before="120" w:after="120" w:line="360" w:lineRule="auto"/>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一、资信商务及技术文件格式</w:t>
      </w:r>
    </w:p>
    <w:p w14:paraId="657C8069">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资信商务及技术文件</w:t>
      </w:r>
      <w:r>
        <w:rPr>
          <w:rFonts w:hint="eastAsia" w:ascii="宋体" w:hAnsi="宋体" w:eastAsia="宋体" w:cs="宋体"/>
          <w:bCs/>
          <w:color w:val="auto"/>
          <w:szCs w:val="21"/>
          <w:highlight w:val="none"/>
        </w:rPr>
        <w:t>的外包装封面格式：</w:t>
      </w:r>
    </w:p>
    <w:p w14:paraId="170ED3B8">
      <w:pPr>
        <w:snapToGrid w:val="0"/>
        <w:spacing w:beforeLines="50"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资信商务及技术</w:t>
      </w:r>
      <w:r>
        <w:rPr>
          <w:rFonts w:hint="eastAsia" w:ascii="宋体" w:hAnsi="宋体" w:eastAsia="宋体" w:cs="宋体"/>
          <w:b/>
          <w:color w:val="auto"/>
          <w:szCs w:val="21"/>
          <w:highlight w:val="none"/>
        </w:rPr>
        <w:t>文件</w:t>
      </w:r>
    </w:p>
    <w:p w14:paraId="1DE6A115">
      <w:pPr>
        <w:snapToGrid w:val="0"/>
        <w:spacing w:line="360" w:lineRule="auto"/>
        <w:ind w:firstLine="787" w:firstLineChars="375"/>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项目名称：</w:t>
      </w:r>
    </w:p>
    <w:p w14:paraId="2077DC1E">
      <w:pPr>
        <w:snapToGrid w:val="0"/>
        <w:spacing w:line="360" w:lineRule="auto"/>
        <w:ind w:firstLine="787" w:firstLineChars="375"/>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项目编号：</w:t>
      </w:r>
    </w:p>
    <w:p w14:paraId="3DFED9A6">
      <w:pPr>
        <w:snapToGrid w:val="0"/>
        <w:spacing w:line="360" w:lineRule="auto"/>
        <w:ind w:firstLine="787" w:firstLineChars="375"/>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投标人名称（盖章）：</w:t>
      </w:r>
    </w:p>
    <w:p w14:paraId="350B3E51">
      <w:pPr>
        <w:snapToGrid w:val="0"/>
        <w:spacing w:line="360" w:lineRule="auto"/>
        <w:ind w:firstLine="787" w:firstLineChars="375"/>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投标人地址：</w:t>
      </w:r>
    </w:p>
    <w:p w14:paraId="32082086">
      <w:pPr>
        <w:snapToGrid w:val="0"/>
        <w:spacing w:line="360" w:lineRule="auto"/>
        <w:ind w:firstLine="787" w:firstLineChars="375"/>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在  年  月  日  时  分之前不得启封</w:t>
      </w:r>
    </w:p>
    <w:p w14:paraId="1673869A">
      <w:pPr>
        <w:snapToGrid w:val="0"/>
        <w:spacing w:line="360" w:lineRule="auto"/>
        <w:ind w:firstLine="645"/>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  月  日</w:t>
      </w:r>
    </w:p>
    <w:p w14:paraId="3D51CB70">
      <w:pPr>
        <w:snapToGrid w:val="0"/>
        <w:spacing w:line="360" w:lineRule="auto"/>
        <w:rPr>
          <w:rFonts w:hint="eastAsia" w:ascii="宋体" w:hAnsi="宋体" w:eastAsia="宋体" w:cs="宋体"/>
          <w:color w:val="auto"/>
          <w:szCs w:val="21"/>
          <w:highlight w:val="none"/>
        </w:rPr>
      </w:pPr>
    </w:p>
    <w:p w14:paraId="113CE864">
      <w:pPr>
        <w:snapToGrid w:val="0"/>
        <w:spacing w:line="360" w:lineRule="auto"/>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w:t>
      </w:r>
      <w:r>
        <w:rPr>
          <w:rFonts w:hint="eastAsia" w:ascii="宋体" w:hAnsi="宋体" w:eastAsia="宋体" w:cs="宋体"/>
          <w:color w:val="auto"/>
          <w:szCs w:val="21"/>
          <w:highlight w:val="none"/>
        </w:rPr>
        <w:t>.资信商务及技术文件封面格式</w:t>
      </w:r>
    </w:p>
    <w:p w14:paraId="3A18FA3E">
      <w:pPr>
        <w:snapToGrid w:val="0"/>
        <w:spacing w:line="360" w:lineRule="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b/>
          <w:bCs/>
          <w:color w:val="auto"/>
          <w:szCs w:val="21"/>
          <w:highlight w:val="none"/>
        </w:rPr>
        <w:t>正本/或副本</w:t>
      </w:r>
    </w:p>
    <w:p w14:paraId="13A21706">
      <w:pPr>
        <w:snapToGrid w:val="0"/>
        <w:spacing w:beforeLines="50"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资信商务及技术文件</w:t>
      </w:r>
    </w:p>
    <w:p w14:paraId="6261735B">
      <w:pPr>
        <w:snapToGrid w:val="0"/>
        <w:spacing w:line="360" w:lineRule="auto"/>
        <w:ind w:firstLine="787" w:firstLineChars="375"/>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项目名称：</w:t>
      </w:r>
    </w:p>
    <w:p w14:paraId="0A9D6C40">
      <w:pPr>
        <w:snapToGrid w:val="0"/>
        <w:spacing w:line="360" w:lineRule="auto"/>
        <w:ind w:firstLine="787" w:firstLineChars="375"/>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项目编号：</w:t>
      </w:r>
    </w:p>
    <w:p w14:paraId="69E58462">
      <w:pPr>
        <w:snapToGrid w:val="0"/>
        <w:spacing w:line="360" w:lineRule="auto"/>
        <w:ind w:firstLine="787" w:firstLineChars="375"/>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投标人名称（盖章）：</w:t>
      </w:r>
    </w:p>
    <w:p w14:paraId="11D5BE98">
      <w:pPr>
        <w:snapToGrid w:val="0"/>
        <w:spacing w:line="360" w:lineRule="auto"/>
        <w:ind w:firstLine="787" w:firstLineChars="375"/>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投标人地址：</w:t>
      </w:r>
    </w:p>
    <w:p w14:paraId="47504346">
      <w:pPr>
        <w:snapToGrid w:val="0"/>
        <w:spacing w:line="360" w:lineRule="auto"/>
        <w:ind w:firstLine="2870" w:firstLineChars="1367"/>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  月  日</w:t>
      </w:r>
    </w:p>
    <w:p w14:paraId="66BB53B7">
      <w:pPr>
        <w:snapToGrid w:val="0"/>
        <w:spacing w:line="360" w:lineRule="auto"/>
        <w:rPr>
          <w:rFonts w:hint="eastAsia" w:ascii="宋体" w:hAnsi="宋体" w:eastAsia="宋体" w:cs="宋体"/>
          <w:color w:val="auto"/>
          <w:szCs w:val="21"/>
          <w:highlight w:val="none"/>
        </w:rPr>
      </w:pPr>
    </w:p>
    <w:p w14:paraId="6A65DFEF">
      <w:pPr>
        <w:snapToGrid w:val="0"/>
        <w:spacing w:line="360" w:lineRule="auto"/>
        <w:rPr>
          <w:rFonts w:hint="eastAsia" w:ascii="宋体" w:hAnsi="宋体" w:eastAsia="宋体" w:cs="宋体"/>
          <w:color w:val="auto"/>
          <w:szCs w:val="21"/>
          <w:highlight w:val="none"/>
        </w:rPr>
      </w:pPr>
    </w:p>
    <w:p w14:paraId="28DE68B4">
      <w:pPr>
        <w:snapToGrid w:val="0"/>
        <w:spacing w:line="360" w:lineRule="auto"/>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bCs/>
          <w:color w:val="auto"/>
          <w:szCs w:val="21"/>
          <w:highlight w:val="none"/>
        </w:rPr>
        <w:t>资信商务及技术文件</w:t>
      </w:r>
    </w:p>
    <w:p w14:paraId="3B621775">
      <w:pPr>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目 录</w:t>
      </w:r>
    </w:p>
    <w:p w14:paraId="11B06960">
      <w:pPr>
        <w:snapToGrid w:val="0"/>
        <w:spacing w:line="360" w:lineRule="auto"/>
        <w:ind w:firstLine="787" w:firstLineChars="37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（1）投标声明书…………………………………………………………………（页码）</w:t>
      </w:r>
    </w:p>
    <w:p w14:paraId="003D1D23">
      <w:pPr>
        <w:snapToGrid w:val="0"/>
        <w:spacing w:line="360" w:lineRule="auto"/>
        <w:ind w:firstLine="787" w:firstLineChars="37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（2）法定代表人授权委托书、法定代表人及被授权人的身份证（复印件）（页码）</w:t>
      </w:r>
    </w:p>
    <w:p w14:paraId="6EA5CA79">
      <w:pPr>
        <w:snapToGrid w:val="0"/>
        <w:spacing w:line="360" w:lineRule="auto"/>
        <w:ind w:firstLine="787" w:firstLineChars="37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p w14:paraId="0B6B8139">
      <w:pPr>
        <w:snapToGrid w:val="0"/>
        <w:spacing w:line="360" w:lineRule="auto"/>
        <w:ind w:firstLine="787" w:firstLineChars="37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详见投标人须知</w:t>
      </w:r>
    </w:p>
    <w:p w14:paraId="23F91830">
      <w:pPr>
        <w:spacing w:line="360" w:lineRule="auto"/>
        <w:outlineLvl w:val="9"/>
        <w:rPr>
          <w:rFonts w:hint="eastAsia" w:ascii="宋体" w:hAnsi="宋体" w:eastAsia="宋体" w:cs="宋体"/>
          <w:color w:val="auto"/>
          <w:kern w:val="0"/>
          <w:szCs w:val="21"/>
          <w:highlight w:val="none"/>
        </w:rPr>
      </w:pPr>
    </w:p>
    <w:p w14:paraId="7BC9FD35">
      <w:pPr>
        <w:snapToGrid w:val="0"/>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注：以上目录是编制投标资信商务及技术文件的基本格式要求，各投标人可根据自身情况进一步细化。</w:t>
      </w:r>
    </w:p>
    <w:p w14:paraId="4F26151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5CC9DE79">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3.1 投标声明书格式：</w:t>
      </w:r>
    </w:p>
    <w:p w14:paraId="2D2C1CC3">
      <w:pPr>
        <w:keepNext/>
        <w:keepLines/>
        <w:spacing w:before="260" w:after="260" w:line="400" w:lineRule="exact"/>
        <w:jc w:val="center"/>
        <w:outlineLvl w:val="1"/>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投标声明书</w:t>
      </w:r>
    </w:p>
    <w:p w14:paraId="17E87C8F">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b/>
          <w:color w:val="auto"/>
          <w:szCs w:val="21"/>
          <w:highlight w:val="none"/>
          <w:u w:val="single"/>
          <w:lang w:val="en-US" w:eastAsia="zh-CN"/>
        </w:rPr>
        <w:t xml:space="preserve">              </w:t>
      </w:r>
      <w:r>
        <w:rPr>
          <w:rFonts w:hint="eastAsia" w:ascii="宋体" w:hAnsi="宋体" w:eastAsia="宋体" w:cs="宋体"/>
          <w:b w:val="0"/>
          <w:bCs/>
          <w:color w:val="auto"/>
          <w:szCs w:val="21"/>
          <w:highlight w:val="none"/>
          <w:u w:val="none"/>
        </w:rPr>
        <w:t>（</w:t>
      </w:r>
      <w:r>
        <w:rPr>
          <w:rFonts w:hint="eastAsia" w:ascii="宋体" w:hAnsi="宋体" w:eastAsia="宋体" w:cs="宋体"/>
          <w:color w:val="auto"/>
          <w:szCs w:val="21"/>
          <w:highlight w:val="none"/>
        </w:rPr>
        <w:t>招标采购单位名称）：</w:t>
      </w:r>
    </w:p>
    <w:p w14:paraId="5EFED79C">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（投标人名称）系中华人民共和国合法企业，经营地址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17F335D1">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（姓名）系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（投标人名称）的法定代表人，我方自愿参加贵方组织的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项目的投标，为便于贵方公正、择优地确定中标人及其投标产品和服务，我方就本次投标有关事项郑重声明如下：</w:t>
      </w:r>
    </w:p>
    <w:p w14:paraId="6858FB39">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1.我公司声明截止投标时间近三年以来，在浙江省范围内政府采购领域中，在项目招标、投标和合同履约期间无任何不良行为记录和违法、违规行为。</w:t>
      </w:r>
    </w:p>
    <w:p w14:paraId="652CCC3F">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2.我方向贵方提交的所有投标文件及相关资料都是真实的、合法的。</w:t>
      </w:r>
    </w:p>
    <w:p w14:paraId="02602606">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3.我方不是采购人的附属机构；在获知本项目采购信息后，与采购人聘请的为此项目提供咨询服务的公司及其附属机构没有任何联系。</w:t>
      </w:r>
    </w:p>
    <w:p w14:paraId="5C37837A">
      <w:pPr>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4.我公司已详细阅读全部“招标文件”，包括修改文件（如果有）以及全部招标资料和相关附件，并已了解我公司在招投标过程中的权利和义务。</w:t>
      </w:r>
    </w:p>
    <w:p w14:paraId="099E6C90">
      <w:pPr>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5.我公司理解并接受招标文件的各项规定和要求，同意此次招标文件中的各项内容，并同意提供按照贵方可能要求的与投标有关的一切数据或资料等。</w:t>
      </w:r>
    </w:p>
    <w:p w14:paraId="353ECED1">
      <w:pPr>
        <w:snapToGrid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6.本公司如中标，保证按照投标文件的承诺与贵方签订合同，保证履行合同条款。</w:t>
      </w:r>
    </w:p>
    <w:p w14:paraId="1C143679">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7.以上事项如有虚假或隐瞒，我方愿意承担一切后果，并不再寻求任何旨在减轻或免除法律责任的辩解。</w:t>
      </w:r>
    </w:p>
    <w:p w14:paraId="0F9D3C1C">
      <w:pPr>
        <w:snapToGrid w:val="0"/>
        <w:spacing w:line="400" w:lineRule="exact"/>
        <w:ind w:firstLine="420" w:firstLineChars="200"/>
        <w:rPr>
          <w:rFonts w:hint="eastAsia" w:ascii="宋体" w:hAnsi="宋体" w:eastAsia="宋体" w:cs="宋体"/>
          <w:color w:val="auto"/>
          <w:szCs w:val="21"/>
          <w:highlight w:val="none"/>
        </w:rPr>
      </w:pPr>
    </w:p>
    <w:p w14:paraId="0A27B797">
      <w:pPr>
        <w:tabs>
          <w:tab w:val="left" w:pos="1418"/>
        </w:tabs>
        <w:spacing w:line="460" w:lineRule="exact"/>
        <w:ind w:firstLine="4515" w:firstLineChars="215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法定代表人或委托代理人签字（或盖章）：</w:t>
      </w:r>
      <w:r>
        <w:rPr>
          <w:rFonts w:hint="eastAsia" w:ascii="宋体" w:hAnsi="宋体" w:eastAsia="宋体" w:cs="宋体"/>
          <w:bCs/>
          <w:color w:val="auto"/>
          <w:szCs w:val="21"/>
          <w:highlight w:val="none"/>
        </w:rPr>
        <w:t xml:space="preserve"> </w:t>
      </w:r>
    </w:p>
    <w:p w14:paraId="2BADA26F">
      <w:pPr>
        <w:tabs>
          <w:tab w:val="left" w:pos="1418"/>
        </w:tabs>
        <w:spacing w:line="460" w:lineRule="exact"/>
        <w:ind w:firstLine="4830" w:firstLineChars="23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投 标 人（盖章）：                             </w:t>
      </w:r>
    </w:p>
    <w:p w14:paraId="2D462247">
      <w:pPr>
        <w:tabs>
          <w:tab w:val="left" w:pos="1418"/>
        </w:tabs>
        <w:spacing w:line="460" w:lineRule="exact"/>
        <w:rPr>
          <w:rFonts w:hint="eastAsia" w:ascii="宋体" w:hAnsi="宋体" w:eastAsia="宋体" w:cs="宋体"/>
          <w:b/>
          <w:bCs/>
          <w:color w:val="auto"/>
          <w:szCs w:val="21"/>
          <w:highlight w:val="none"/>
        </w:rPr>
      </w:pPr>
      <w:r>
        <w:rPr>
          <w:rFonts w:hint="eastAsia" w:ascii="宋体" w:hAnsi="宋体" w:eastAsia="宋体" w:cs="宋体"/>
          <w:bCs/>
          <w:color w:val="auto"/>
          <w:szCs w:val="21"/>
          <w:highlight w:val="none"/>
        </w:rPr>
        <w:t xml:space="preserve">                                                 年  月  日</w:t>
      </w:r>
    </w:p>
    <w:p w14:paraId="5B379C74">
      <w:pPr>
        <w:snapToGrid w:val="0"/>
        <w:spacing w:line="400" w:lineRule="exact"/>
        <w:rPr>
          <w:rFonts w:hint="eastAsia" w:ascii="宋体" w:hAnsi="宋体" w:eastAsia="宋体" w:cs="宋体"/>
          <w:color w:val="auto"/>
          <w:szCs w:val="21"/>
          <w:highlight w:val="none"/>
        </w:rPr>
      </w:pPr>
    </w:p>
    <w:p w14:paraId="4850EF6F">
      <w:pPr>
        <w:snapToGrid w:val="0"/>
        <w:spacing w:line="400" w:lineRule="exact"/>
        <w:rPr>
          <w:rFonts w:hint="eastAsia" w:ascii="宋体" w:hAnsi="宋体" w:eastAsia="宋体" w:cs="宋体"/>
          <w:color w:val="auto"/>
          <w:szCs w:val="21"/>
          <w:highlight w:val="none"/>
        </w:rPr>
      </w:pPr>
    </w:p>
    <w:p w14:paraId="121EA1E1">
      <w:pPr>
        <w:snapToGrid w:val="0"/>
        <w:spacing w:line="360" w:lineRule="auto"/>
        <w:rPr>
          <w:rFonts w:hint="eastAsia" w:ascii="宋体" w:hAnsi="宋体" w:eastAsia="宋体" w:cs="宋体"/>
          <w:color w:val="auto"/>
          <w:sz w:val="24"/>
          <w:szCs w:val="24"/>
          <w:highlight w:val="none"/>
        </w:rPr>
      </w:pPr>
    </w:p>
    <w:p w14:paraId="36775A6B">
      <w:pPr>
        <w:snapToGrid w:val="0"/>
        <w:spacing w:line="360" w:lineRule="auto"/>
        <w:rPr>
          <w:rFonts w:hint="eastAsia" w:ascii="宋体" w:hAnsi="宋体" w:eastAsia="宋体" w:cs="宋体"/>
          <w:color w:val="auto"/>
          <w:sz w:val="24"/>
          <w:szCs w:val="24"/>
          <w:highlight w:val="none"/>
        </w:rPr>
      </w:pPr>
    </w:p>
    <w:p w14:paraId="5E651CEE">
      <w:pPr>
        <w:snapToGrid w:val="0"/>
        <w:spacing w:line="360" w:lineRule="auto"/>
        <w:rPr>
          <w:rFonts w:hint="eastAsia" w:ascii="宋体" w:hAnsi="宋体" w:eastAsia="宋体" w:cs="宋体"/>
          <w:color w:val="auto"/>
          <w:sz w:val="24"/>
          <w:szCs w:val="24"/>
          <w:highlight w:val="none"/>
        </w:rPr>
      </w:pPr>
    </w:p>
    <w:p w14:paraId="2620A0C6">
      <w:pPr>
        <w:snapToGrid w:val="0"/>
        <w:spacing w:line="360" w:lineRule="auto"/>
        <w:rPr>
          <w:rFonts w:hint="eastAsia" w:ascii="宋体" w:hAnsi="宋体" w:eastAsia="宋体" w:cs="宋体"/>
          <w:color w:val="auto"/>
          <w:sz w:val="24"/>
          <w:szCs w:val="24"/>
          <w:highlight w:val="none"/>
        </w:rPr>
      </w:pPr>
    </w:p>
    <w:p w14:paraId="445CE43D">
      <w:pPr>
        <w:snapToGrid w:val="0"/>
        <w:spacing w:line="360" w:lineRule="auto"/>
        <w:rPr>
          <w:rFonts w:hint="eastAsia" w:ascii="宋体" w:hAnsi="宋体" w:eastAsia="宋体" w:cs="宋体"/>
          <w:color w:val="auto"/>
          <w:sz w:val="24"/>
          <w:szCs w:val="24"/>
          <w:highlight w:val="none"/>
        </w:rPr>
      </w:pPr>
    </w:p>
    <w:p w14:paraId="3C4EFB0E">
      <w:pPr>
        <w:snapToGrid w:val="0"/>
        <w:spacing w:line="360" w:lineRule="auto"/>
        <w:rPr>
          <w:rFonts w:hint="eastAsia" w:ascii="宋体" w:hAnsi="宋体" w:eastAsia="宋体" w:cs="宋体"/>
          <w:color w:val="auto"/>
          <w:sz w:val="24"/>
          <w:szCs w:val="24"/>
          <w:highlight w:val="none"/>
        </w:rPr>
      </w:pPr>
    </w:p>
    <w:p w14:paraId="6E1CBDA8">
      <w:pPr>
        <w:snapToGrid w:val="0"/>
        <w:spacing w:line="360" w:lineRule="auto"/>
        <w:rPr>
          <w:rFonts w:hint="eastAsia" w:ascii="宋体" w:hAnsi="宋体" w:eastAsia="宋体" w:cs="宋体"/>
          <w:color w:val="auto"/>
          <w:sz w:val="24"/>
          <w:szCs w:val="24"/>
          <w:highlight w:val="none"/>
        </w:rPr>
      </w:pPr>
    </w:p>
    <w:p w14:paraId="3F695690">
      <w:pPr>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3.2 法定代表人授权委托书格式：</w:t>
      </w:r>
    </w:p>
    <w:p w14:paraId="67961014">
      <w:pPr>
        <w:keepNext/>
        <w:keepLines/>
        <w:spacing w:before="260" w:after="260" w:line="400" w:lineRule="exact"/>
        <w:jc w:val="center"/>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法定代表人授权委托书</w:t>
      </w:r>
    </w:p>
    <w:p w14:paraId="52CE4015">
      <w:pPr>
        <w:snapToGrid w:val="0"/>
        <w:spacing w:beforeLines="100" w:line="440" w:lineRule="exact"/>
        <w:rPr>
          <w:rFonts w:hint="eastAsia" w:ascii="宋体" w:hAnsi="宋体" w:eastAsia="宋体" w:cs="宋体"/>
          <w:b/>
          <w:bCs/>
          <w:color w:val="auto"/>
          <w:szCs w:val="21"/>
          <w:highlight w:val="none"/>
        </w:rPr>
      </w:pPr>
      <w:r>
        <w:rPr>
          <w:rFonts w:hint="eastAsia" w:ascii="宋体" w:hAnsi="宋体" w:eastAsia="宋体" w:cs="宋体"/>
          <w:bCs/>
          <w:color w:val="auto"/>
          <w:szCs w:val="21"/>
          <w:highlight w:val="none"/>
        </w:rPr>
        <w:t>致：</w:t>
      </w:r>
      <w:r>
        <w:rPr>
          <w:rFonts w:hint="eastAsia" w:ascii="宋体" w:hAnsi="宋体" w:eastAsia="宋体" w:cs="宋体"/>
          <w:b/>
          <w:color w:val="auto"/>
          <w:szCs w:val="21"/>
          <w:highlight w:val="none"/>
          <w:u w:val="single"/>
          <w:lang w:val="en-US" w:eastAsia="zh-CN"/>
        </w:rPr>
        <w:t xml:space="preserve">                  </w:t>
      </w:r>
      <w:r>
        <w:rPr>
          <w:rFonts w:hint="eastAsia" w:ascii="宋体" w:hAnsi="宋体" w:eastAsia="宋体" w:cs="宋体"/>
          <w:color w:val="auto"/>
          <w:szCs w:val="21"/>
          <w:highlight w:val="none"/>
        </w:rPr>
        <w:t>（招标采购单位名称）：</w:t>
      </w:r>
    </w:p>
    <w:p w14:paraId="281723A1">
      <w:pPr>
        <w:snapToGrid w:val="0"/>
        <w:spacing w:line="440" w:lineRule="exact"/>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我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（投标人名称）的法定代表人，现授权委托本单位在职职工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（姓名）以我方的名义参加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政府采购项目的投标活动，并代表我方全权办理针对上述项目的投标、开标、评标、签约等具体事务和签署相关文件。</w:t>
      </w:r>
    </w:p>
    <w:p w14:paraId="4639AE7D">
      <w:pPr>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我方对被授权人的签名事项负全部责任。</w:t>
      </w:r>
    </w:p>
    <w:p w14:paraId="2F7D3E13">
      <w:pPr>
        <w:snapToGrid w:val="0"/>
        <w:spacing w:line="44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在撤销授权的书面通知以前，本授权书一直有效。被授权人在授权书有效期内签署的所有文件不因授权的撤销而失效。</w:t>
      </w:r>
    </w:p>
    <w:p w14:paraId="10578DDF">
      <w:pPr>
        <w:snapToGrid w:val="0"/>
        <w:spacing w:line="44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被授权人无转委托权，特此委托。</w:t>
      </w:r>
    </w:p>
    <w:p w14:paraId="0D290AB5">
      <w:pPr>
        <w:snapToGrid w:val="0"/>
        <w:spacing w:line="440" w:lineRule="exact"/>
        <w:rPr>
          <w:rFonts w:hint="eastAsia" w:ascii="宋体" w:hAnsi="宋体" w:eastAsia="宋体" w:cs="宋体"/>
          <w:color w:val="auto"/>
          <w:szCs w:val="21"/>
          <w:highlight w:val="none"/>
        </w:rPr>
      </w:pPr>
    </w:p>
    <w:p w14:paraId="4B1B9A2F">
      <w:pPr>
        <w:snapToGrid w:val="0"/>
        <w:spacing w:line="44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被授权人签名：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法定代表人签字（或盖章）：</w:t>
      </w:r>
      <w:r>
        <w:rPr>
          <w:rFonts w:hint="eastAsia" w:ascii="宋体" w:hAnsi="宋体" w:eastAsia="宋体" w:cs="宋体"/>
          <w:color w:val="auto"/>
          <w:szCs w:val="21"/>
          <w:highlight w:val="none"/>
          <w:u w:val="single"/>
        </w:rPr>
        <w:t xml:space="preserve">          </w:t>
      </w:r>
    </w:p>
    <w:p w14:paraId="55CF7166">
      <w:pPr>
        <w:snapToGrid w:val="0"/>
        <w:spacing w:line="440" w:lineRule="exact"/>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职务：</w:t>
      </w:r>
      <w:r>
        <w:rPr>
          <w:rFonts w:hint="eastAsia" w:ascii="宋体" w:hAnsi="宋体" w:eastAsia="宋体" w:cs="宋体"/>
          <w:color w:val="auto"/>
          <w:szCs w:val="21"/>
          <w:highlight w:val="none"/>
          <w:u w:val="single"/>
        </w:rPr>
        <w:t xml:space="preserve">           </w:t>
      </w:r>
    </w:p>
    <w:p w14:paraId="52305DF1">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被授权人身份证号码：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010EEE5A">
      <w:pPr>
        <w:spacing w:line="440" w:lineRule="exact"/>
        <w:rPr>
          <w:rFonts w:hint="eastAsia" w:ascii="宋体" w:hAnsi="宋体" w:eastAsia="宋体" w:cs="宋体"/>
          <w:color w:val="auto"/>
          <w:szCs w:val="21"/>
          <w:highlight w:val="none"/>
        </w:rPr>
      </w:pPr>
    </w:p>
    <w:p w14:paraId="6500F372">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投标人公章：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年    月    日</w:t>
      </w:r>
    </w:p>
    <w:p w14:paraId="0DEF3B59">
      <w:pPr>
        <w:spacing w:line="440" w:lineRule="exact"/>
        <w:ind w:firstLine="3150" w:firstLineChars="1500"/>
        <w:rPr>
          <w:rFonts w:hint="eastAsia" w:ascii="宋体" w:hAnsi="宋体" w:eastAsia="宋体" w:cs="宋体"/>
          <w:color w:val="auto"/>
          <w:szCs w:val="21"/>
          <w:highlight w:val="none"/>
        </w:rPr>
      </w:pPr>
    </w:p>
    <w:p w14:paraId="626528A9">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法定代表人身份证复印件：                被授权人身份证复印件：</w:t>
      </w:r>
    </w:p>
    <w:p w14:paraId="06BD191E">
      <w:pPr>
        <w:snapToGrid w:val="0"/>
        <w:spacing w:beforeLines="50" w:after="50" w:line="440" w:lineRule="exact"/>
        <w:rPr>
          <w:rFonts w:hint="eastAsia" w:ascii="宋体" w:hAnsi="宋体" w:eastAsia="宋体" w:cs="宋体"/>
          <w:color w:val="auto"/>
          <w:szCs w:val="21"/>
          <w:highlight w:val="none"/>
        </w:rPr>
      </w:pPr>
    </w:p>
    <w:p w14:paraId="6509DF95">
      <w:pPr>
        <w:snapToGrid w:val="0"/>
        <w:spacing w:beforeLines="50" w:after="50" w:line="360" w:lineRule="auto"/>
        <w:rPr>
          <w:rFonts w:hint="eastAsia" w:ascii="宋体" w:hAnsi="宋体" w:eastAsia="宋体" w:cs="宋体"/>
          <w:color w:val="auto"/>
          <w:sz w:val="24"/>
          <w:szCs w:val="24"/>
          <w:highlight w:val="none"/>
        </w:rPr>
      </w:pPr>
    </w:p>
    <w:p w14:paraId="034283A8">
      <w:pPr>
        <w:snapToGrid w:val="0"/>
        <w:spacing w:beforeLines="50" w:after="50" w:line="360" w:lineRule="auto"/>
        <w:rPr>
          <w:rFonts w:hint="eastAsia" w:ascii="宋体" w:hAnsi="宋体" w:eastAsia="宋体" w:cs="宋体"/>
          <w:color w:val="auto"/>
          <w:sz w:val="24"/>
          <w:szCs w:val="24"/>
          <w:highlight w:val="none"/>
        </w:rPr>
      </w:pPr>
    </w:p>
    <w:p w14:paraId="125B751D">
      <w:pPr>
        <w:snapToGrid w:val="0"/>
        <w:spacing w:beforeLines="50" w:after="50" w:line="360" w:lineRule="auto"/>
        <w:rPr>
          <w:rFonts w:hint="eastAsia" w:ascii="宋体" w:hAnsi="宋体" w:eastAsia="宋体" w:cs="宋体"/>
          <w:color w:val="auto"/>
          <w:sz w:val="24"/>
          <w:szCs w:val="24"/>
          <w:highlight w:val="none"/>
        </w:rPr>
      </w:pPr>
    </w:p>
    <w:p w14:paraId="6C52505A">
      <w:pPr>
        <w:snapToGrid w:val="0"/>
        <w:spacing w:beforeLines="50" w:after="50" w:line="360" w:lineRule="auto"/>
        <w:rPr>
          <w:rFonts w:hint="eastAsia" w:ascii="宋体" w:hAnsi="宋体" w:eastAsia="宋体" w:cs="宋体"/>
          <w:color w:val="auto"/>
          <w:sz w:val="24"/>
          <w:szCs w:val="24"/>
          <w:highlight w:val="none"/>
        </w:rPr>
      </w:pPr>
    </w:p>
    <w:p w14:paraId="7783E446">
      <w:pPr>
        <w:snapToGrid w:val="0"/>
        <w:spacing w:beforeLines="50" w:after="50" w:line="360" w:lineRule="auto"/>
        <w:rPr>
          <w:rFonts w:hint="eastAsia" w:ascii="宋体" w:hAnsi="宋体" w:eastAsia="宋体" w:cs="宋体"/>
          <w:color w:val="auto"/>
          <w:sz w:val="24"/>
          <w:szCs w:val="24"/>
          <w:highlight w:val="none"/>
        </w:rPr>
      </w:pPr>
    </w:p>
    <w:p w14:paraId="12A83130">
      <w:pPr>
        <w:snapToGrid w:val="0"/>
        <w:spacing w:beforeLines="50" w:after="50" w:line="360" w:lineRule="auto"/>
        <w:rPr>
          <w:rFonts w:hint="eastAsia" w:ascii="宋体" w:hAnsi="宋体" w:eastAsia="宋体" w:cs="宋体"/>
          <w:color w:val="auto"/>
          <w:sz w:val="24"/>
          <w:szCs w:val="24"/>
          <w:highlight w:val="none"/>
        </w:rPr>
      </w:pPr>
    </w:p>
    <w:p w14:paraId="3CB8A84C">
      <w:pPr>
        <w:snapToGrid w:val="0"/>
        <w:spacing w:beforeLines="50" w:after="50" w:line="360" w:lineRule="auto"/>
        <w:rPr>
          <w:rFonts w:hint="eastAsia" w:ascii="宋体" w:hAnsi="宋体" w:eastAsia="宋体" w:cs="宋体"/>
          <w:color w:val="auto"/>
          <w:sz w:val="24"/>
          <w:szCs w:val="24"/>
          <w:highlight w:val="none"/>
        </w:rPr>
      </w:pPr>
    </w:p>
    <w:p w14:paraId="68DF8E8B">
      <w:pPr>
        <w:snapToGrid w:val="0"/>
        <w:spacing w:beforeLines="50" w:after="50" w:line="360" w:lineRule="auto"/>
        <w:rPr>
          <w:rFonts w:hint="eastAsia" w:ascii="宋体" w:hAnsi="宋体" w:eastAsia="宋体" w:cs="宋体"/>
          <w:color w:val="auto"/>
          <w:sz w:val="24"/>
          <w:szCs w:val="24"/>
          <w:highlight w:val="none"/>
        </w:rPr>
      </w:pPr>
    </w:p>
    <w:p w14:paraId="610D5B45">
      <w:pPr>
        <w:snapToGrid w:val="0"/>
        <w:spacing w:beforeLines="50" w:after="50"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3.3 </w:t>
      </w:r>
      <w:r>
        <w:rPr>
          <w:rFonts w:hint="eastAsia" w:ascii="宋体" w:hAnsi="宋体" w:eastAsia="宋体" w:cs="宋体"/>
          <w:bCs/>
          <w:color w:val="auto"/>
          <w:szCs w:val="21"/>
          <w:highlight w:val="none"/>
        </w:rPr>
        <w:t>投标人基本情况介绍</w:t>
      </w:r>
      <w:r>
        <w:rPr>
          <w:rFonts w:hint="eastAsia" w:ascii="宋体" w:hAnsi="宋体" w:eastAsia="宋体" w:cs="宋体"/>
          <w:color w:val="auto"/>
          <w:szCs w:val="21"/>
          <w:highlight w:val="none"/>
        </w:rPr>
        <w:t>格式：</w:t>
      </w:r>
    </w:p>
    <w:p w14:paraId="4CEAEB10">
      <w:pPr>
        <w:keepNext/>
        <w:keepLines/>
        <w:spacing w:before="260" w:after="260" w:line="400" w:lineRule="exact"/>
        <w:jc w:val="center"/>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投标人经营情况介绍</w:t>
      </w:r>
    </w:p>
    <w:tbl>
      <w:tblPr>
        <w:tblStyle w:val="4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520"/>
        <w:gridCol w:w="768"/>
        <w:gridCol w:w="496"/>
        <w:gridCol w:w="654"/>
        <w:gridCol w:w="1010"/>
        <w:gridCol w:w="531"/>
        <w:gridCol w:w="515"/>
        <w:gridCol w:w="70"/>
        <w:gridCol w:w="1170"/>
        <w:gridCol w:w="412"/>
        <w:gridCol w:w="686"/>
        <w:gridCol w:w="1560"/>
      </w:tblGrid>
      <w:tr w14:paraId="20984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734" w:type="dxa"/>
            <w:gridSpan w:val="2"/>
            <w:tcBorders>
              <w:top w:val="single" w:color="auto" w:sz="4" w:space="0"/>
              <w:left w:val="single" w:color="auto" w:sz="4" w:space="0"/>
              <w:bottom w:val="single" w:color="auto" w:sz="4" w:space="0"/>
              <w:right w:val="single" w:color="auto" w:sz="4" w:space="0"/>
            </w:tcBorders>
            <w:vAlign w:val="center"/>
          </w:tcPr>
          <w:p w14:paraId="13387D0F">
            <w:pPr>
              <w:keepNext w:val="0"/>
              <w:keepLines w:val="0"/>
              <w:pageBreakBefore w:val="0"/>
              <w:kinsoku/>
              <w:wordWrap/>
              <w:overflowPunct/>
              <w:topLinePunct w:val="0"/>
              <w:autoSpaceDE/>
              <w:autoSpaceDN/>
              <w:bidi w:val="0"/>
              <w:adjustRightInd/>
              <w:spacing w:beforeLines="20" w:afterLines="20"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投标单位名称</w:t>
            </w:r>
          </w:p>
        </w:tc>
        <w:tc>
          <w:tcPr>
            <w:tcW w:w="7872" w:type="dxa"/>
            <w:gridSpan w:val="11"/>
            <w:tcBorders>
              <w:top w:val="single" w:color="auto" w:sz="4" w:space="0"/>
              <w:left w:val="single" w:color="auto" w:sz="4" w:space="0"/>
              <w:bottom w:val="single" w:color="auto" w:sz="4" w:space="0"/>
              <w:right w:val="single" w:color="auto" w:sz="4" w:space="0"/>
            </w:tcBorders>
            <w:vAlign w:val="center"/>
          </w:tcPr>
          <w:p w14:paraId="6329F911">
            <w:pPr>
              <w:keepNext w:val="0"/>
              <w:keepLines w:val="0"/>
              <w:pageBreakBefore w:val="0"/>
              <w:kinsoku/>
              <w:wordWrap/>
              <w:overflowPunct/>
              <w:topLinePunct w:val="0"/>
              <w:autoSpaceDE/>
              <w:autoSpaceDN/>
              <w:bidi w:val="0"/>
              <w:adjustRightInd/>
              <w:spacing w:beforeLines="20" w:afterLines="20"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tc>
      </w:tr>
      <w:tr w14:paraId="1C017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734" w:type="dxa"/>
            <w:gridSpan w:val="2"/>
            <w:tcBorders>
              <w:top w:val="single" w:color="auto" w:sz="4" w:space="0"/>
              <w:left w:val="single" w:color="auto" w:sz="4" w:space="0"/>
              <w:bottom w:val="single" w:color="auto" w:sz="4" w:space="0"/>
              <w:right w:val="single" w:color="auto" w:sz="4" w:space="0"/>
            </w:tcBorders>
            <w:vAlign w:val="center"/>
          </w:tcPr>
          <w:p w14:paraId="07BC868F">
            <w:pPr>
              <w:keepNext w:val="0"/>
              <w:keepLines w:val="0"/>
              <w:pageBreakBefore w:val="0"/>
              <w:kinsoku/>
              <w:wordWrap/>
              <w:overflowPunct/>
              <w:topLinePunct w:val="0"/>
              <w:autoSpaceDE/>
              <w:autoSpaceDN/>
              <w:bidi w:val="0"/>
              <w:adjustRightInd/>
              <w:spacing w:beforeLines="20" w:afterLines="20"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注册地址</w:t>
            </w:r>
          </w:p>
        </w:tc>
        <w:tc>
          <w:tcPr>
            <w:tcW w:w="7872" w:type="dxa"/>
            <w:gridSpan w:val="11"/>
            <w:tcBorders>
              <w:top w:val="single" w:color="auto" w:sz="4" w:space="0"/>
              <w:left w:val="single" w:color="auto" w:sz="4" w:space="0"/>
              <w:bottom w:val="single" w:color="auto" w:sz="4" w:space="0"/>
              <w:right w:val="single" w:color="auto" w:sz="4" w:space="0"/>
            </w:tcBorders>
            <w:vAlign w:val="center"/>
          </w:tcPr>
          <w:p w14:paraId="37D81815">
            <w:pPr>
              <w:keepNext w:val="0"/>
              <w:keepLines w:val="0"/>
              <w:pageBreakBefore w:val="0"/>
              <w:kinsoku/>
              <w:wordWrap/>
              <w:overflowPunct/>
              <w:topLinePunct w:val="0"/>
              <w:autoSpaceDE/>
              <w:autoSpaceDN/>
              <w:bidi w:val="0"/>
              <w:adjustRightInd/>
              <w:spacing w:beforeLines="20" w:afterLines="20"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tc>
      </w:tr>
      <w:tr w14:paraId="5AD99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734" w:type="dxa"/>
            <w:gridSpan w:val="2"/>
            <w:vMerge w:val="restart"/>
            <w:tcBorders>
              <w:top w:val="single" w:color="auto" w:sz="4" w:space="0"/>
              <w:left w:val="single" w:color="auto" w:sz="4" w:space="0"/>
              <w:bottom w:val="single" w:color="auto" w:sz="4" w:space="0"/>
              <w:right w:val="single" w:color="auto" w:sz="4" w:space="0"/>
            </w:tcBorders>
            <w:vAlign w:val="center"/>
          </w:tcPr>
          <w:p w14:paraId="2851C0E8">
            <w:pPr>
              <w:keepNext w:val="0"/>
              <w:keepLines w:val="0"/>
              <w:pageBreakBefore w:val="0"/>
              <w:kinsoku/>
              <w:wordWrap/>
              <w:overflowPunct/>
              <w:topLinePunct w:val="0"/>
              <w:autoSpaceDE/>
              <w:autoSpaceDN/>
              <w:bidi w:val="0"/>
              <w:adjustRightInd/>
              <w:spacing w:beforeLines="20" w:afterLines="20"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通信代码</w:t>
            </w:r>
          </w:p>
        </w:tc>
        <w:tc>
          <w:tcPr>
            <w:tcW w:w="1264" w:type="dxa"/>
            <w:gridSpan w:val="2"/>
            <w:tcBorders>
              <w:top w:val="single" w:color="auto" w:sz="4" w:space="0"/>
              <w:left w:val="single" w:color="auto" w:sz="4" w:space="0"/>
              <w:bottom w:val="single" w:color="auto" w:sz="4" w:space="0"/>
              <w:right w:val="single" w:color="auto" w:sz="4" w:space="0"/>
            </w:tcBorders>
            <w:vAlign w:val="center"/>
          </w:tcPr>
          <w:p w14:paraId="6CC745B4">
            <w:pPr>
              <w:keepNext w:val="0"/>
              <w:keepLines w:val="0"/>
              <w:pageBreakBefore w:val="0"/>
              <w:kinsoku/>
              <w:wordWrap/>
              <w:overflowPunct/>
              <w:topLinePunct w:val="0"/>
              <w:autoSpaceDE/>
              <w:autoSpaceDN/>
              <w:bidi w:val="0"/>
              <w:adjustRightInd/>
              <w:spacing w:beforeLines="20" w:afterLines="20"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2780" w:type="dxa"/>
            <w:gridSpan w:val="5"/>
            <w:tcBorders>
              <w:top w:val="single" w:color="auto" w:sz="4" w:space="0"/>
              <w:left w:val="single" w:color="auto" w:sz="4" w:space="0"/>
              <w:bottom w:val="single" w:color="auto" w:sz="4" w:space="0"/>
              <w:right w:val="single" w:color="auto" w:sz="4" w:space="0"/>
            </w:tcBorders>
            <w:vAlign w:val="center"/>
          </w:tcPr>
          <w:p w14:paraId="3AE67615">
            <w:pPr>
              <w:keepNext w:val="0"/>
              <w:keepLines w:val="0"/>
              <w:pageBreakBefore w:val="0"/>
              <w:kinsoku/>
              <w:wordWrap/>
              <w:overflowPunct/>
              <w:topLinePunct w:val="0"/>
              <w:autoSpaceDE/>
              <w:autoSpaceDN/>
              <w:bidi w:val="0"/>
              <w:adjustRightInd/>
              <w:spacing w:beforeLines="20" w:afterLines="20"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tc>
        <w:tc>
          <w:tcPr>
            <w:tcW w:w="1582" w:type="dxa"/>
            <w:gridSpan w:val="2"/>
            <w:tcBorders>
              <w:top w:val="single" w:color="auto" w:sz="4" w:space="0"/>
              <w:left w:val="single" w:color="auto" w:sz="4" w:space="0"/>
              <w:bottom w:val="single" w:color="auto" w:sz="4" w:space="0"/>
              <w:right w:val="single" w:color="auto" w:sz="4" w:space="0"/>
            </w:tcBorders>
            <w:vAlign w:val="center"/>
          </w:tcPr>
          <w:p w14:paraId="7552EF57">
            <w:pPr>
              <w:keepNext w:val="0"/>
              <w:keepLines w:val="0"/>
              <w:pageBreakBefore w:val="0"/>
              <w:kinsoku/>
              <w:wordWrap/>
              <w:overflowPunct/>
              <w:topLinePunct w:val="0"/>
              <w:autoSpaceDE/>
              <w:autoSpaceDN/>
              <w:bidi w:val="0"/>
              <w:adjustRightInd/>
              <w:spacing w:beforeLines="20" w:afterLines="20"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w:t>
            </w:r>
          </w:p>
        </w:tc>
        <w:tc>
          <w:tcPr>
            <w:tcW w:w="2246" w:type="dxa"/>
            <w:gridSpan w:val="2"/>
            <w:tcBorders>
              <w:top w:val="single" w:color="auto" w:sz="4" w:space="0"/>
              <w:left w:val="single" w:color="auto" w:sz="4" w:space="0"/>
              <w:bottom w:val="single" w:color="auto" w:sz="4" w:space="0"/>
              <w:right w:val="single" w:color="auto" w:sz="4" w:space="0"/>
            </w:tcBorders>
            <w:vAlign w:val="center"/>
          </w:tcPr>
          <w:p w14:paraId="287A2008">
            <w:pPr>
              <w:keepNext w:val="0"/>
              <w:keepLines w:val="0"/>
              <w:pageBreakBefore w:val="0"/>
              <w:kinsoku/>
              <w:wordWrap/>
              <w:overflowPunct/>
              <w:topLinePunct w:val="0"/>
              <w:autoSpaceDE/>
              <w:autoSpaceDN/>
              <w:bidi w:val="0"/>
              <w:adjustRightInd/>
              <w:spacing w:beforeLines="20" w:afterLines="20"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tc>
      </w:tr>
      <w:tr w14:paraId="2436F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734" w:type="dxa"/>
            <w:gridSpan w:val="2"/>
            <w:vMerge w:val="continue"/>
            <w:tcBorders>
              <w:top w:val="single" w:color="auto" w:sz="4" w:space="0"/>
              <w:left w:val="single" w:color="auto" w:sz="4" w:space="0"/>
              <w:bottom w:val="single" w:color="auto" w:sz="4" w:space="0"/>
              <w:right w:val="single" w:color="auto" w:sz="4" w:space="0"/>
            </w:tcBorders>
            <w:vAlign w:val="center"/>
          </w:tcPr>
          <w:p w14:paraId="0B46B3A6">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szCs w:val="21"/>
                <w:highlight w:val="none"/>
              </w:rPr>
            </w:pPr>
          </w:p>
        </w:tc>
        <w:tc>
          <w:tcPr>
            <w:tcW w:w="1264" w:type="dxa"/>
            <w:gridSpan w:val="2"/>
            <w:tcBorders>
              <w:top w:val="single" w:color="auto" w:sz="4" w:space="0"/>
              <w:left w:val="single" w:color="auto" w:sz="4" w:space="0"/>
              <w:bottom w:val="single" w:color="auto" w:sz="4" w:space="0"/>
              <w:right w:val="single" w:color="auto" w:sz="4" w:space="0"/>
            </w:tcBorders>
            <w:vAlign w:val="center"/>
          </w:tcPr>
          <w:p w14:paraId="25008879">
            <w:pPr>
              <w:keepNext w:val="0"/>
              <w:keepLines w:val="0"/>
              <w:pageBreakBefore w:val="0"/>
              <w:kinsoku/>
              <w:wordWrap/>
              <w:overflowPunct/>
              <w:topLinePunct w:val="0"/>
              <w:autoSpaceDE/>
              <w:autoSpaceDN/>
              <w:bidi w:val="0"/>
              <w:adjustRightInd/>
              <w:spacing w:beforeLines="20" w:afterLines="20"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电子信箱</w:t>
            </w:r>
          </w:p>
        </w:tc>
        <w:tc>
          <w:tcPr>
            <w:tcW w:w="2780" w:type="dxa"/>
            <w:gridSpan w:val="5"/>
            <w:tcBorders>
              <w:top w:val="single" w:color="auto" w:sz="4" w:space="0"/>
              <w:left w:val="single" w:color="auto" w:sz="4" w:space="0"/>
              <w:bottom w:val="single" w:color="auto" w:sz="4" w:space="0"/>
              <w:right w:val="single" w:color="auto" w:sz="4" w:space="0"/>
            </w:tcBorders>
            <w:vAlign w:val="center"/>
          </w:tcPr>
          <w:p w14:paraId="6E89B943">
            <w:pPr>
              <w:keepNext w:val="0"/>
              <w:keepLines w:val="0"/>
              <w:pageBreakBefore w:val="0"/>
              <w:kinsoku/>
              <w:wordWrap/>
              <w:overflowPunct/>
              <w:topLinePunct w:val="0"/>
              <w:autoSpaceDE/>
              <w:autoSpaceDN/>
              <w:bidi w:val="0"/>
              <w:adjustRightInd/>
              <w:spacing w:beforeLines="20" w:afterLines="20"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tc>
        <w:tc>
          <w:tcPr>
            <w:tcW w:w="1582" w:type="dxa"/>
            <w:gridSpan w:val="2"/>
            <w:tcBorders>
              <w:top w:val="single" w:color="auto" w:sz="4" w:space="0"/>
              <w:left w:val="single" w:color="auto" w:sz="4" w:space="0"/>
              <w:bottom w:val="single" w:color="auto" w:sz="4" w:space="0"/>
              <w:right w:val="single" w:color="auto" w:sz="4" w:space="0"/>
            </w:tcBorders>
            <w:vAlign w:val="center"/>
          </w:tcPr>
          <w:p w14:paraId="69370B02">
            <w:pPr>
              <w:keepNext w:val="0"/>
              <w:keepLines w:val="0"/>
              <w:pageBreakBefore w:val="0"/>
              <w:kinsoku/>
              <w:wordWrap/>
              <w:overflowPunct/>
              <w:topLinePunct w:val="0"/>
              <w:autoSpaceDE/>
              <w:autoSpaceDN/>
              <w:bidi w:val="0"/>
              <w:adjustRightInd/>
              <w:spacing w:beforeLines="20" w:afterLines="20"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c>
          <w:tcPr>
            <w:tcW w:w="2246" w:type="dxa"/>
            <w:gridSpan w:val="2"/>
            <w:tcBorders>
              <w:top w:val="single" w:color="auto" w:sz="4" w:space="0"/>
              <w:left w:val="single" w:color="auto" w:sz="4" w:space="0"/>
              <w:bottom w:val="single" w:color="auto" w:sz="4" w:space="0"/>
              <w:right w:val="single" w:color="auto" w:sz="4" w:space="0"/>
            </w:tcBorders>
            <w:vAlign w:val="center"/>
          </w:tcPr>
          <w:p w14:paraId="4CCC2AAC">
            <w:pPr>
              <w:keepNext w:val="0"/>
              <w:keepLines w:val="0"/>
              <w:pageBreakBefore w:val="0"/>
              <w:kinsoku/>
              <w:wordWrap/>
              <w:overflowPunct/>
              <w:topLinePunct w:val="0"/>
              <w:autoSpaceDE/>
              <w:autoSpaceDN/>
              <w:bidi w:val="0"/>
              <w:adjustRightInd/>
              <w:spacing w:beforeLines="20" w:afterLines="20"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tc>
      </w:tr>
      <w:tr w14:paraId="17851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734" w:type="dxa"/>
            <w:gridSpan w:val="2"/>
            <w:tcBorders>
              <w:top w:val="single" w:color="auto" w:sz="4" w:space="0"/>
              <w:left w:val="single" w:color="auto" w:sz="4" w:space="0"/>
              <w:bottom w:val="single" w:color="auto" w:sz="4" w:space="0"/>
              <w:right w:val="single" w:color="auto" w:sz="4" w:space="0"/>
            </w:tcBorders>
            <w:vAlign w:val="center"/>
          </w:tcPr>
          <w:p w14:paraId="392CF11C">
            <w:pPr>
              <w:keepNext w:val="0"/>
              <w:keepLines w:val="0"/>
              <w:pageBreakBefore w:val="0"/>
              <w:kinsoku/>
              <w:wordWrap/>
              <w:overflowPunct/>
              <w:topLinePunct w:val="0"/>
              <w:autoSpaceDE/>
              <w:autoSpaceDN/>
              <w:bidi w:val="0"/>
              <w:adjustRightInd/>
              <w:spacing w:beforeLines="20" w:afterLines="20"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成立时间</w:t>
            </w:r>
          </w:p>
        </w:tc>
        <w:tc>
          <w:tcPr>
            <w:tcW w:w="7872" w:type="dxa"/>
            <w:gridSpan w:val="11"/>
            <w:tcBorders>
              <w:top w:val="single" w:color="auto" w:sz="4" w:space="0"/>
              <w:left w:val="single" w:color="auto" w:sz="4" w:space="0"/>
              <w:bottom w:val="single" w:color="auto" w:sz="4" w:space="0"/>
              <w:right w:val="single" w:color="auto" w:sz="4" w:space="0"/>
            </w:tcBorders>
            <w:vAlign w:val="center"/>
          </w:tcPr>
          <w:p w14:paraId="3C878D3D">
            <w:pPr>
              <w:keepNext w:val="0"/>
              <w:keepLines w:val="0"/>
              <w:pageBreakBefore w:val="0"/>
              <w:kinsoku/>
              <w:wordWrap/>
              <w:overflowPunct/>
              <w:topLinePunct w:val="0"/>
              <w:autoSpaceDE/>
              <w:autoSpaceDN/>
              <w:bidi w:val="0"/>
              <w:adjustRightInd/>
              <w:spacing w:beforeLines="20" w:afterLines="20"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tc>
      </w:tr>
      <w:tr w14:paraId="7D373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734" w:type="dxa"/>
            <w:gridSpan w:val="2"/>
            <w:tcBorders>
              <w:top w:val="single" w:color="auto" w:sz="4" w:space="0"/>
              <w:left w:val="single" w:color="auto" w:sz="4" w:space="0"/>
              <w:bottom w:val="single" w:color="auto" w:sz="4" w:space="0"/>
              <w:right w:val="single" w:color="auto" w:sz="4" w:space="0"/>
            </w:tcBorders>
            <w:vAlign w:val="center"/>
          </w:tcPr>
          <w:p w14:paraId="25DFBC65">
            <w:pPr>
              <w:keepNext w:val="0"/>
              <w:keepLines w:val="0"/>
              <w:pageBreakBefore w:val="0"/>
              <w:kinsoku/>
              <w:wordWrap/>
              <w:overflowPunct/>
              <w:topLinePunct w:val="0"/>
              <w:autoSpaceDE/>
              <w:autoSpaceDN/>
              <w:bidi w:val="0"/>
              <w:adjustRightInd/>
              <w:spacing w:beforeLines="20" w:afterLines="20"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企业资质</w:t>
            </w:r>
          </w:p>
        </w:tc>
        <w:tc>
          <w:tcPr>
            <w:tcW w:w="1918" w:type="dxa"/>
            <w:gridSpan w:val="3"/>
            <w:tcBorders>
              <w:top w:val="single" w:color="auto" w:sz="4" w:space="0"/>
              <w:left w:val="single" w:color="auto" w:sz="4" w:space="0"/>
              <w:bottom w:val="single" w:color="auto" w:sz="4" w:space="0"/>
              <w:right w:val="single" w:color="auto" w:sz="4" w:space="0"/>
            </w:tcBorders>
            <w:vAlign w:val="center"/>
          </w:tcPr>
          <w:p w14:paraId="35945575">
            <w:pPr>
              <w:keepNext w:val="0"/>
              <w:keepLines w:val="0"/>
              <w:pageBreakBefore w:val="0"/>
              <w:kinsoku/>
              <w:wordWrap/>
              <w:overflowPunct/>
              <w:topLinePunct w:val="0"/>
              <w:autoSpaceDE/>
              <w:autoSpaceDN/>
              <w:bidi w:val="0"/>
              <w:adjustRightInd/>
              <w:spacing w:beforeLines="20" w:afterLines="20"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资质证书号</w:t>
            </w:r>
          </w:p>
        </w:tc>
        <w:tc>
          <w:tcPr>
            <w:tcW w:w="3296" w:type="dxa"/>
            <w:gridSpan w:val="5"/>
            <w:tcBorders>
              <w:top w:val="single" w:color="auto" w:sz="4" w:space="0"/>
              <w:left w:val="single" w:color="auto" w:sz="4" w:space="0"/>
              <w:bottom w:val="single" w:color="auto" w:sz="4" w:space="0"/>
              <w:right w:val="single" w:color="auto" w:sz="4" w:space="0"/>
            </w:tcBorders>
            <w:vAlign w:val="center"/>
          </w:tcPr>
          <w:p w14:paraId="28BC5332">
            <w:pPr>
              <w:keepNext w:val="0"/>
              <w:keepLines w:val="0"/>
              <w:pageBreakBefore w:val="0"/>
              <w:kinsoku/>
              <w:wordWrap/>
              <w:overflowPunct/>
              <w:topLinePunct w:val="0"/>
              <w:autoSpaceDE/>
              <w:autoSpaceDN/>
              <w:bidi w:val="0"/>
              <w:adjustRightInd/>
              <w:spacing w:beforeLines="20" w:afterLines="20" w:line="400" w:lineRule="exact"/>
              <w:jc w:val="center"/>
              <w:textAlignment w:val="auto"/>
              <w:rPr>
                <w:rFonts w:hint="eastAsia" w:ascii="宋体" w:hAnsi="宋体" w:eastAsia="宋体" w:cs="宋体"/>
                <w:color w:val="auto"/>
                <w:szCs w:val="21"/>
                <w:highlight w:val="none"/>
              </w:rPr>
            </w:pPr>
          </w:p>
        </w:tc>
        <w:tc>
          <w:tcPr>
            <w:tcW w:w="1098" w:type="dxa"/>
            <w:gridSpan w:val="2"/>
            <w:tcBorders>
              <w:top w:val="single" w:color="auto" w:sz="4" w:space="0"/>
              <w:left w:val="single" w:color="auto" w:sz="4" w:space="0"/>
              <w:bottom w:val="single" w:color="auto" w:sz="4" w:space="0"/>
              <w:right w:val="single" w:color="auto" w:sz="4" w:space="0"/>
            </w:tcBorders>
            <w:vAlign w:val="center"/>
          </w:tcPr>
          <w:p w14:paraId="2ACE6B9A">
            <w:pPr>
              <w:keepNext w:val="0"/>
              <w:keepLines w:val="0"/>
              <w:pageBreakBefore w:val="0"/>
              <w:kinsoku/>
              <w:wordWrap/>
              <w:overflowPunct/>
              <w:topLinePunct w:val="0"/>
              <w:autoSpaceDE/>
              <w:autoSpaceDN/>
              <w:bidi w:val="0"/>
              <w:adjustRightInd/>
              <w:spacing w:beforeLines="20" w:afterLines="20"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等级</w:t>
            </w:r>
          </w:p>
        </w:tc>
        <w:tc>
          <w:tcPr>
            <w:tcW w:w="1560" w:type="dxa"/>
            <w:tcBorders>
              <w:top w:val="single" w:color="auto" w:sz="4" w:space="0"/>
              <w:left w:val="single" w:color="auto" w:sz="4" w:space="0"/>
              <w:bottom w:val="single" w:color="auto" w:sz="4" w:space="0"/>
              <w:right w:val="single" w:color="auto" w:sz="4" w:space="0"/>
            </w:tcBorders>
            <w:vAlign w:val="center"/>
          </w:tcPr>
          <w:p w14:paraId="104D420A">
            <w:pPr>
              <w:keepNext w:val="0"/>
              <w:keepLines w:val="0"/>
              <w:pageBreakBefore w:val="0"/>
              <w:kinsoku/>
              <w:wordWrap/>
              <w:overflowPunct/>
              <w:topLinePunct w:val="0"/>
              <w:autoSpaceDE/>
              <w:autoSpaceDN/>
              <w:bidi w:val="0"/>
              <w:adjustRightInd/>
              <w:spacing w:beforeLines="20" w:afterLines="20"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tc>
      </w:tr>
      <w:tr w14:paraId="42F2B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734" w:type="dxa"/>
            <w:gridSpan w:val="2"/>
            <w:tcBorders>
              <w:top w:val="single" w:color="auto" w:sz="4" w:space="0"/>
              <w:left w:val="single" w:color="auto" w:sz="4" w:space="0"/>
              <w:bottom w:val="single" w:color="auto" w:sz="4" w:space="0"/>
              <w:right w:val="single" w:color="auto" w:sz="4" w:space="0"/>
            </w:tcBorders>
            <w:vAlign w:val="center"/>
          </w:tcPr>
          <w:p w14:paraId="0359E821">
            <w:pPr>
              <w:keepNext w:val="0"/>
              <w:keepLines w:val="0"/>
              <w:pageBreakBefore w:val="0"/>
              <w:kinsoku/>
              <w:wordWrap/>
              <w:overflowPunct/>
              <w:topLinePunct w:val="0"/>
              <w:autoSpaceDE/>
              <w:autoSpaceDN/>
              <w:bidi w:val="0"/>
              <w:adjustRightInd/>
              <w:spacing w:beforeLines="20" w:afterLines="20"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tc>
        <w:tc>
          <w:tcPr>
            <w:tcW w:w="768" w:type="dxa"/>
            <w:tcBorders>
              <w:top w:val="single" w:color="auto" w:sz="4" w:space="0"/>
              <w:left w:val="single" w:color="auto" w:sz="4" w:space="0"/>
              <w:bottom w:val="single" w:color="auto" w:sz="4" w:space="0"/>
              <w:right w:val="single" w:color="auto" w:sz="4" w:space="0"/>
            </w:tcBorders>
            <w:vAlign w:val="center"/>
          </w:tcPr>
          <w:p w14:paraId="31137F3E">
            <w:pPr>
              <w:keepNext w:val="0"/>
              <w:keepLines w:val="0"/>
              <w:pageBreakBefore w:val="0"/>
              <w:kinsoku/>
              <w:wordWrap/>
              <w:overflowPunct/>
              <w:topLinePunct w:val="0"/>
              <w:autoSpaceDE/>
              <w:autoSpaceDN/>
              <w:bidi w:val="0"/>
              <w:adjustRightInd/>
              <w:spacing w:beforeLines="20" w:afterLines="20"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1150" w:type="dxa"/>
            <w:gridSpan w:val="2"/>
            <w:tcBorders>
              <w:top w:val="single" w:color="auto" w:sz="4" w:space="0"/>
              <w:left w:val="single" w:color="auto" w:sz="4" w:space="0"/>
              <w:bottom w:val="single" w:color="auto" w:sz="4" w:space="0"/>
              <w:right w:val="single" w:color="auto" w:sz="4" w:space="0"/>
            </w:tcBorders>
            <w:vAlign w:val="center"/>
          </w:tcPr>
          <w:p w14:paraId="5D05CCC5">
            <w:pPr>
              <w:keepNext w:val="0"/>
              <w:keepLines w:val="0"/>
              <w:pageBreakBefore w:val="0"/>
              <w:kinsoku/>
              <w:wordWrap/>
              <w:overflowPunct/>
              <w:topLinePunct w:val="0"/>
              <w:autoSpaceDE/>
              <w:autoSpaceDN/>
              <w:bidi w:val="0"/>
              <w:adjustRightInd/>
              <w:spacing w:beforeLines="20" w:afterLines="20"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tc>
        <w:tc>
          <w:tcPr>
            <w:tcW w:w="1541" w:type="dxa"/>
            <w:gridSpan w:val="2"/>
            <w:tcBorders>
              <w:top w:val="single" w:color="auto" w:sz="4" w:space="0"/>
              <w:left w:val="single" w:color="auto" w:sz="4" w:space="0"/>
              <w:bottom w:val="single" w:color="auto" w:sz="4" w:space="0"/>
              <w:right w:val="single" w:color="auto" w:sz="4" w:space="0"/>
            </w:tcBorders>
            <w:vAlign w:val="center"/>
          </w:tcPr>
          <w:p w14:paraId="515CD926">
            <w:pPr>
              <w:keepNext w:val="0"/>
              <w:keepLines w:val="0"/>
              <w:pageBreakBefore w:val="0"/>
              <w:kinsoku/>
              <w:wordWrap/>
              <w:overflowPunct/>
              <w:topLinePunct w:val="0"/>
              <w:autoSpaceDE/>
              <w:autoSpaceDN/>
              <w:bidi w:val="0"/>
              <w:adjustRightInd/>
              <w:spacing w:beforeLines="20" w:afterLines="20"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出生年月</w:t>
            </w:r>
          </w:p>
        </w:tc>
        <w:tc>
          <w:tcPr>
            <w:tcW w:w="1755" w:type="dxa"/>
            <w:gridSpan w:val="3"/>
            <w:tcBorders>
              <w:top w:val="single" w:color="auto" w:sz="4" w:space="0"/>
              <w:left w:val="single" w:color="auto" w:sz="4" w:space="0"/>
              <w:bottom w:val="single" w:color="auto" w:sz="4" w:space="0"/>
              <w:right w:val="single" w:color="auto" w:sz="4" w:space="0"/>
            </w:tcBorders>
            <w:vAlign w:val="center"/>
          </w:tcPr>
          <w:p w14:paraId="5FD34E4F">
            <w:pPr>
              <w:keepNext w:val="0"/>
              <w:keepLines w:val="0"/>
              <w:pageBreakBefore w:val="0"/>
              <w:kinsoku/>
              <w:wordWrap/>
              <w:overflowPunct/>
              <w:topLinePunct w:val="0"/>
              <w:autoSpaceDE/>
              <w:autoSpaceDN/>
              <w:bidi w:val="0"/>
              <w:adjustRightInd/>
              <w:spacing w:beforeLines="20" w:afterLines="20"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tc>
        <w:tc>
          <w:tcPr>
            <w:tcW w:w="1098" w:type="dxa"/>
            <w:gridSpan w:val="2"/>
            <w:tcBorders>
              <w:top w:val="single" w:color="auto" w:sz="4" w:space="0"/>
              <w:left w:val="single" w:color="auto" w:sz="4" w:space="0"/>
              <w:bottom w:val="single" w:color="auto" w:sz="4" w:space="0"/>
              <w:right w:val="single" w:color="auto" w:sz="4" w:space="0"/>
            </w:tcBorders>
            <w:vAlign w:val="center"/>
          </w:tcPr>
          <w:p w14:paraId="7597F893">
            <w:pPr>
              <w:keepNext w:val="0"/>
              <w:keepLines w:val="0"/>
              <w:pageBreakBefore w:val="0"/>
              <w:kinsoku/>
              <w:wordWrap/>
              <w:overflowPunct/>
              <w:topLinePunct w:val="0"/>
              <w:autoSpaceDE/>
              <w:autoSpaceDN/>
              <w:bidi w:val="0"/>
              <w:adjustRightInd/>
              <w:spacing w:beforeLines="20" w:afterLines="20"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职称</w:t>
            </w:r>
          </w:p>
        </w:tc>
        <w:tc>
          <w:tcPr>
            <w:tcW w:w="1560" w:type="dxa"/>
            <w:tcBorders>
              <w:top w:val="single" w:color="auto" w:sz="4" w:space="0"/>
              <w:left w:val="single" w:color="auto" w:sz="4" w:space="0"/>
              <w:bottom w:val="single" w:color="auto" w:sz="4" w:space="0"/>
              <w:right w:val="single" w:color="auto" w:sz="4" w:space="0"/>
            </w:tcBorders>
            <w:vAlign w:val="center"/>
          </w:tcPr>
          <w:p w14:paraId="291D58DF">
            <w:pPr>
              <w:keepNext w:val="0"/>
              <w:keepLines w:val="0"/>
              <w:pageBreakBefore w:val="0"/>
              <w:kinsoku/>
              <w:wordWrap/>
              <w:overflowPunct/>
              <w:topLinePunct w:val="0"/>
              <w:autoSpaceDE/>
              <w:autoSpaceDN/>
              <w:bidi w:val="0"/>
              <w:adjustRightInd/>
              <w:spacing w:beforeLines="20" w:afterLines="20"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tc>
      </w:tr>
      <w:tr w14:paraId="2F99B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734" w:type="dxa"/>
            <w:gridSpan w:val="2"/>
            <w:tcBorders>
              <w:top w:val="single" w:color="auto" w:sz="4" w:space="0"/>
              <w:left w:val="single" w:color="auto" w:sz="4" w:space="0"/>
              <w:bottom w:val="single" w:color="auto" w:sz="4" w:space="0"/>
              <w:right w:val="single" w:color="auto" w:sz="4" w:space="0"/>
            </w:tcBorders>
            <w:vAlign w:val="center"/>
          </w:tcPr>
          <w:p w14:paraId="519BC7D8">
            <w:pPr>
              <w:keepNext w:val="0"/>
              <w:keepLines w:val="0"/>
              <w:pageBreakBefore w:val="0"/>
              <w:kinsoku/>
              <w:wordWrap/>
              <w:overflowPunct/>
              <w:topLinePunct w:val="0"/>
              <w:autoSpaceDE/>
              <w:autoSpaceDN/>
              <w:bidi w:val="0"/>
              <w:adjustRightInd/>
              <w:spacing w:beforeLines="20" w:afterLines="20"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技术负责人</w:t>
            </w:r>
          </w:p>
        </w:tc>
        <w:tc>
          <w:tcPr>
            <w:tcW w:w="768" w:type="dxa"/>
            <w:tcBorders>
              <w:top w:val="single" w:color="auto" w:sz="4" w:space="0"/>
              <w:left w:val="single" w:color="auto" w:sz="4" w:space="0"/>
              <w:bottom w:val="single" w:color="auto" w:sz="4" w:space="0"/>
              <w:right w:val="single" w:color="auto" w:sz="4" w:space="0"/>
            </w:tcBorders>
            <w:vAlign w:val="center"/>
          </w:tcPr>
          <w:p w14:paraId="5A83B755">
            <w:pPr>
              <w:keepNext w:val="0"/>
              <w:keepLines w:val="0"/>
              <w:pageBreakBefore w:val="0"/>
              <w:kinsoku/>
              <w:wordWrap/>
              <w:overflowPunct/>
              <w:topLinePunct w:val="0"/>
              <w:autoSpaceDE/>
              <w:autoSpaceDN/>
              <w:bidi w:val="0"/>
              <w:adjustRightInd/>
              <w:spacing w:beforeLines="20" w:afterLines="20"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1150" w:type="dxa"/>
            <w:gridSpan w:val="2"/>
            <w:tcBorders>
              <w:top w:val="single" w:color="auto" w:sz="4" w:space="0"/>
              <w:left w:val="single" w:color="auto" w:sz="4" w:space="0"/>
              <w:bottom w:val="single" w:color="auto" w:sz="4" w:space="0"/>
              <w:right w:val="single" w:color="auto" w:sz="4" w:space="0"/>
            </w:tcBorders>
            <w:vAlign w:val="center"/>
          </w:tcPr>
          <w:p w14:paraId="43672B76">
            <w:pPr>
              <w:keepNext w:val="0"/>
              <w:keepLines w:val="0"/>
              <w:pageBreakBefore w:val="0"/>
              <w:kinsoku/>
              <w:wordWrap/>
              <w:overflowPunct/>
              <w:topLinePunct w:val="0"/>
              <w:autoSpaceDE/>
              <w:autoSpaceDN/>
              <w:bidi w:val="0"/>
              <w:adjustRightInd/>
              <w:spacing w:beforeLines="20" w:afterLines="20"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tc>
        <w:tc>
          <w:tcPr>
            <w:tcW w:w="1541" w:type="dxa"/>
            <w:gridSpan w:val="2"/>
            <w:tcBorders>
              <w:top w:val="single" w:color="auto" w:sz="4" w:space="0"/>
              <w:left w:val="single" w:color="auto" w:sz="4" w:space="0"/>
              <w:bottom w:val="single" w:color="auto" w:sz="4" w:space="0"/>
              <w:right w:val="single" w:color="auto" w:sz="4" w:space="0"/>
            </w:tcBorders>
            <w:vAlign w:val="center"/>
          </w:tcPr>
          <w:p w14:paraId="3C137B0B">
            <w:pPr>
              <w:keepNext w:val="0"/>
              <w:keepLines w:val="0"/>
              <w:pageBreakBefore w:val="0"/>
              <w:kinsoku/>
              <w:wordWrap/>
              <w:overflowPunct/>
              <w:topLinePunct w:val="0"/>
              <w:autoSpaceDE/>
              <w:autoSpaceDN/>
              <w:bidi w:val="0"/>
              <w:adjustRightInd/>
              <w:spacing w:beforeLines="20" w:afterLines="20"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出生年月</w:t>
            </w:r>
          </w:p>
        </w:tc>
        <w:tc>
          <w:tcPr>
            <w:tcW w:w="1755" w:type="dxa"/>
            <w:gridSpan w:val="3"/>
            <w:tcBorders>
              <w:top w:val="single" w:color="auto" w:sz="4" w:space="0"/>
              <w:left w:val="single" w:color="auto" w:sz="4" w:space="0"/>
              <w:bottom w:val="single" w:color="auto" w:sz="4" w:space="0"/>
              <w:right w:val="single" w:color="auto" w:sz="4" w:space="0"/>
            </w:tcBorders>
            <w:vAlign w:val="center"/>
          </w:tcPr>
          <w:p w14:paraId="0B8DFC07">
            <w:pPr>
              <w:keepNext w:val="0"/>
              <w:keepLines w:val="0"/>
              <w:pageBreakBefore w:val="0"/>
              <w:kinsoku/>
              <w:wordWrap/>
              <w:overflowPunct/>
              <w:topLinePunct w:val="0"/>
              <w:autoSpaceDE/>
              <w:autoSpaceDN/>
              <w:bidi w:val="0"/>
              <w:adjustRightInd/>
              <w:spacing w:beforeLines="20" w:afterLines="20"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tc>
        <w:tc>
          <w:tcPr>
            <w:tcW w:w="1098" w:type="dxa"/>
            <w:gridSpan w:val="2"/>
            <w:tcBorders>
              <w:top w:val="single" w:color="auto" w:sz="4" w:space="0"/>
              <w:left w:val="single" w:color="auto" w:sz="4" w:space="0"/>
              <w:bottom w:val="single" w:color="auto" w:sz="4" w:space="0"/>
              <w:right w:val="single" w:color="auto" w:sz="4" w:space="0"/>
            </w:tcBorders>
            <w:vAlign w:val="center"/>
          </w:tcPr>
          <w:p w14:paraId="7A786444">
            <w:pPr>
              <w:keepNext w:val="0"/>
              <w:keepLines w:val="0"/>
              <w:pageBreakBefore w:val="0"/>
              <w:kinsoku/>
              <w:wordWrap/>
              <w:overflowPunct/>
              <w:topLinePunct w:val="0"/>
              <w:autoSpaceDE/>
              <w:autoSpaceDN/>
              <w:bidi w:val="0"/>
              <w:adjustRightInd/>
              <w:spacing w:beforeLines="20" w:afterLines="20"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职称</w:t>
            </w:r>
          </w:p>
        </w:tc>
        <w:tc>
          <w:tcPr>
            <w:tcW w:w="1560" w:type="dxa"/>
            <w:tcBorders>
              <w:top w:val="single" w:color="auto" w:sz="4" w:space="0"/>
              <w:left w:val="single" w:color="auto" w:sz="4" w:space="0"/>
              <w:bottom w:val="single" w:color="auto" w:sz="4" w:space="0"/>
              <w:right w:val="single" w:color="auto" w:sz="4" w:space="0"/>
            </w:tcBorders>
            <w:vAlign w:val="center"/>
          </w:tcPr>
          <w:p w14:paraId="77042455">
            <w:pPr>
              <w:keepNext w:val="0"/>
              <w:keepLines w:val="0"/>
              <w:pageBreakBefore w:val="0"/>
              <w:kinsoku/>
              <w:wordWrap/>
              <w:overflowPunct/>
              <w:topLinePunct w:val="0"/>
              <w:autoSpaceDE/>
              <w:autoSpaceDN/>
              <w:bidi w:val="0"/>
              <w:adjustRightInd/>
              <w:spacing w:beforeLines="20" w:afterLines="20"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tc>
      </w:tr>
      <w:tr w14:paraId="384BB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502" w:type="dxa"/>
            <w:gridSpan w:val="3"/>
            <w:tcBorders>
              <w:top w:val="single" w:color="auto" w:sz="4" w:space="0"/>
              <w:left w:val="single" w:color="auto" w:sz="4" w:space="0"/>
              <w:bottom w:val="single" w:color="auto" w:sz="4" w:space="0"/>
              <w:right w:val="single" w:color="auto" w:sz="4" w:space="0"/>
            </w:tcBorders>
            <w:vAlign w:val="center"/>
          </w:tcPr>
          <w:p w14:paraId="2952313F">
            <w:pPr>
              <w:keepNext w:val="0"/>
              <w:keepLines w:val="0"/>
              <w:pageBreakBefore w:val="0"/>
              <w:kinsoku/>
              <w:wordWrap/>
              <w:overflowPunct/>
              <w:topLinePunct w:val="0"/>
              <w:autoSpaceDE/>
              <w:autoSpaceDN/>
              <w:bidi w:val="0"/>
              <w:adjustRightInd/>
              <w:spacing w:beforeLines="20" w:afterLines="20"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法人营业执照</w:t>
            </w:r>
          </w:p>
        </w:tc>
        <w:tc>
          <w:tcPr>
            <w:tcW w:w="2160" w:type="dxa"/>
            <w:gridSpan w:val="3"/>
            <w:tcBorders>
              <w:top w:val="single" w:color="auto" w:sz="4" w:space="0"/>
              <w:left w:val="single" w:color="auto" w:sz="4" w:space="0"/>
              <w:bottom w:val="single" w:color="auto" w:sz="4" w:space="0"/>
              <w:right w:val="single" w:color="auto" w:sz="4" w:space="0"/>
            </w:tcBorders>
            <w:vAlign w:val="center"/>
          </w:tcPr>
          <w:p w14:paraId="1D650CA6">
            <w:pPr>
              <w:keepNext w:val="0"/>
              <w:keepLines w:val="0"/>
              <w:pageBreakBefore w:val="0"/>
              <w:kinsoku/>
              <w:wordWrap/>
              <w:overflowPunct/>
              <w:topLinePunct w:val="0"/>
              <w:autoSpaceDE/>
              <w:autoSpaceDN/>
              <w:bidi w:val="0"/>
              <w:adjustRightInd/>
              <w:spacing w:beforeLines="20" w:afterLines="20"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tc>
        <w:tc>
          <w:tcPr>
            <w:tcW w:w="531" w:type="dxa"/>
            <w:vMerge w:val="restart"/>
            <w:tcBorders>
              <w:top w:val="single" w:color="auto" w:sz="4" w:space="0"/>
              <w:left w:val="single" w:color="auto" w:sz="4" w:space="0"/>
              <w:right w:val="single" w:color="auto" w:sz="4" w:space="0"/>
            </w:tcBorders>
            <w:vAlign w:val="center"/>
          </w:tcPr>
          <w:p w14:paraId="3C1AFA24">
            <w:pPr>
              <w:keepNext w:val="0"/>
              <w:keepLines w:val="0"/>
              <w:pageBreakBefore w:val="0"/>
              <w:kinsoku/>
              <w:wordWrap/>
              <w:overflowPunct/>
              <w:topLinePunct w:val="0"/>
              <w:autoSpaceDE/>
              <w:autoSpaceDN/>
              <w:bidi w:val="0"/>
              <w:adjustRightInd/>
              <w:spacing w:beforeLines="20" w:afterLines="20"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人员结构</w:t>
            </w:r>
          </w:p>
        </w:tc>
        <w:tc>
          <w:tcPr>
            <w:tcW w:w="2853" w:type="dxa"/>
            <w:gridSpan w:val="5"/>
            <w:tcBorders>
              <w:top w:val="single" w:color="auto" w:sz="4" w:space="0"/>
              <w:left w:val="single" w:color="auto" w:sz="4" w:space="0"/>
              <w:bottom w:val="single" w:color="auto" w:sz="4" w:space="0"/>
              <w:right w:val="single" w:color="auto" w:sz="4" w:space="0"/>
            </w:tcBorders>
            <w:vAlign w:val="center"/>
          </w:tcPr>
          <w:p w14:paraId="49B16895">
            <w:pPr>
              <w:keepNext w:val="0"/>
              <w:keepLines w:val="0"/>
              <w:pageBreakBefore w:val="0"/>
              <w:kinsoku/>
              <w:wordWrap/>
              <w:overflowPunct/>
              <w:topLinePunct w:val="0"/>
              <w:autoSpaceDE/>
              <w:autoSpaceDN/>
              <w:bidi w:val="0"/>
              <w:adjustRightInd/>
              <w:spacing w:beforeLines="20" w:afterLines="20"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人员总数(人)</w:t>
            </w:r>
          </w:p>
        </w:tc>
        <w:tc>
          <w:tcPr>
            <w:tcW w:w="1560" w:type="dxa"/>
            <w:tcBorders>
              <w:top w:val="single" w:color="auto" w:sz="4" w:space="0"/>
              <w:left w:val="single" w:color="auto" w:sz="4" w:space="0"/>
              <w:bottom w:val="single" w:color="auto" w:sz="4" w:space="0"/>
              <w:right w:val="single" w:color="auto" w:sz="4" w:space="0"/>
            </w:tcBorders>
            <w:vAlign w:val="center"/>
          </w:tcPr>
          <w:p w14:paraId="0E435404">
            <w:pPr>
              <w:keepNext w:val="0"/>
              <w:keepLines w:val="0"/>
              <w:pageBreakBefore w:val="0"/>
              <w:kinsoku/>
              <w:wordWrap/>
              <w:overflowPunct/>
              <w:topLinePunct w:val="0"/>
              <w:autoSpaceDE/>
              <w:autoSpaceDN/>
              <w:bidi w:val="0"/>
              <w:adjustRightInd/>
              <w:spacing w:beforeLines="20" w:afterLines="20"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tc>
      </w:tr>
      <w:tr w14:paraId="1852E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502" w:type="dxa"/>
            <w:gridSpan w:val="3"/>
            <w:tcBorders>
              <w:top w:val="single" w:color="auto" w:sz="4" w:space="0"/>
              <w:left w:val="single" w:color="auto" w:sz="4" w:space="0"/>
              <w:bottom w:val="single" w:color="auto" w:sz="4" w:space="0"/>
              <w:right w:val="single" w:color="auto" w:sz="4" w:space="0"/>
            </w:tcBorders>
            <w:vAlign w:val="center"/>
          </w:tcPr>
          <w:p w14:paraId="1F87BA27">
            <w:pPr>
              <w:keepNext w:val="0"/>
              <w:keepLines w:val="0"/>
              <w:pageBreakBefore w:val="0"/>
              <w:kinsoku/>
              <w:wordWrap/>
              <w:overflowPunct/>
              <w:topLinePunct w:val="0"/>
              <w:autoSpaceDE/>
              <w:autoSpaceDN/>
              <w:bidi w:val="0"/>
              <w:adjustRightInd/>
              <w:spacing w:beforeLines="20" w:afterLines="20"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驻平机构营业执照</w:t>
            </w:r>
          </w:p>
        </w:tc>
        <w:tc>
          <w:tcPr>
            <w:tcW w:w="2160" w:type="dxa"/>
            <w:gridSpan w:val="3"/>
            <w:tcBorders>
              <w:top w:val="single" w:color="auto" w:sz="4" w:space="0"/>
              <w:left w:val="single" w:color="auto" w:sz="4" w:space="0"/>
              <w:bottom w:val="single" w:color="auto" w:sz="4" w:space="0"/>
              <w:right w:val="single" w:color="auto" w:sz="4" w:space="0"/>
            </w:tcBorders>
            <w:vAlign w:val="center"/>
          </w:tcPr>
          <w:p w14:paraId="5DF7E508">
            <w:pPr>
              <w:keepNext w:val="0"/>
              <w:keepLines w:val="0"/>
              <w:pageBreakBefore w:val="0"/>
              <w:kinsoku/>
              <w:wordWrap/>
              <w:overflowPunct/>
              <w:topLinePunct w:val="0"/>
              <w:autoSpaceDE/>
              <w:autoSpaceDN/>
              <w:bidi w:val="0"/>
              <w:adjustRightInd/>
              <w:spacing w:beforeLines="20" w:afterLines="20"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tc>
        <w:tc>
          <w:tcPr>
            <w:tcW w:w="531" w:type="dxa"/>
            <w:vMerge w:val="continue"/>
            <w:tcBorders>
              <w:left w:val="single" w:color="auto" w:sz="4" w:space="0"/>
              <w:right w:val="single" w:color="auto" w:sz="4" w:space="0"/>
            </w:tcBorders>
            <w:vAlign w:val="center"/>
          </w:tcPr>
          <w:p w14:paraId="6F2EDEA0">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宋体" w:hAnsi="宋体" w:eastAsia="宋体" w:cs="宋体"/>
                <w:color w:val="auto"/>
                <w:szCs w:val="21"/>
                <w:highlight w:val="none"/>
              </w:rPr>
            </w:pPr>
          </w:p>
        </w:tc>
        <w:tc>
          <w:tcPr>
            <w:tcW w:w="515" w:type="dxa"/>
            <w:vMerge w:val="restart"/>
            <w:tcBorders>
              <w:top w:val="single" w:color="auto" w:sz="4" w:space="0"/>
              <w:left w:val="single" w:color="auto" w:sz="4" w:space="0"/>
              <w:right w:val="single" w:color="auto" w:sz="4" w:space="0"/>
            </w:tcBorders>
            <w:vAlign w:val="center"/>
          </w:tcPr>
          <w:p w14:paraId="02E1E583">
            <w:pPr>
              <w:keepNext w:val="0"/>
              <w:keepLines w:val="0"/>
              <w:pageBreakBefore w:val="0"/>
              <w:kinsoku/>
              <w:wordWrap/>
              <w:overflowPunct/>
              <w:topLinePunct w:val="0"/>
              <w:autoSpaceDE/>
              <w:autoSpaceDN/>
              <w:bidi w:val="0"/>
              <w:adjustRightInd/>
              <w:spacing w:beforeLines="20" w:afterLines="20" w:line="400" w:lineRule="exact"/>
              <w:jc w:val="righ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w:t>
            </w:r>
          </w:p>
          <w:p w14:paraId="5874CC2A">
            <w:pPr>
              <w:keepNext w:val="0"/>
              <w:keepLines w:val="0"/>
              <w:pageBreakBefore w:val="0"/>
              <w:kinsoku/>
              <w:wordWrap/>
              <w:overflowPunct/>
              <w:topLinePunct w:val="0"/>
              <w:autoSpaceDE/>
              <w:autoSpaceDN/>
              <w:bidi w:val="0"/>
              <w:adjustRightInd/>
              <w:spacing w:beforeLines="20" w:afterLines="20" w:line="400" w:lineRule="exact"/>
              <w:jc w:val="righ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w:t>
            </w:r>
          </w:p>
        </w:tc>
        <w:tc>
          <w:tcPr>
            <w:tcW w:w="2338" w:type="dxa"/>
            <w:gridSpan w:val="4"/>
            <w:tcBorders>
              <w:top w:val="single" w:color="auto" w:sz="4" w:space="0"/>
              <w:left w:val="single" w:color="auto" w:sz="4" w:space="0"/>
              <w:bottom w:val="single" w:color="auto" w:sz="4" w:space="0"/>
              <w:right w:val="single" w:color="auto" w:sz="4" w:space="0"/>
            </w:tcBorders>
            <w:vAlign w:val="center"/>
          </w:tcPr>
          <w:p w14:paraId="6C5C8BC4">
            <w:pPr>
              <w:keepNext w:val="0"/>
              <w:keepLines w:val="0"/>
              <w:pageBreakBefore w:val="0"/>
              <w:kinsoku/>
              <w:wordWrap/>
              <w:overflowPunct/>
              <w:topLinePunct w:val="0"/>
              <w:autoSpaceDE/>
              <w:autoSpaceDN/>
              <w:bidi w:val="0"/>
              <w:adjustRightInd/>
              <w:spacing w:beforeLines="20" w:afterLines="20"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造价工程师(人)</w:t>
            </w:r>
          </w:p>
        </w:tc>
        <w:tc>
          <w:tcPr>
            <w:tcW w:w="1560" w:type="dxa"/>
            <w:tcBorders>
              <w:top w:val="single" w:color="auto" w:sz="4" w:space="0"/>
              <w:left w:val="single" w:color="auto" w:sz="4" w:space="0"/>
              <w:bottom w:val="single" w:color="auto" w:sz="4" w:space="0"/>
              <w:right w:val="single" w:color="auto" w:sz="4" w:space="0"/>
            </w:tcBorders>
            <w:vAlign w:val="center"/>
          </w:tcPr>
          <w:p w14:paraId="01CC1847">
            <w:pPr>
              <w:keepNext w:val="0"/>
              <w:keepLines w:val="0"/>
              <w:pageBreakBefore w:val="0"/>
              <w:kinsoku/>
              <w:wordWrap/>
              <w:overflowPunct/>
              <w:topLinePunct w:val="0"/>
              <w:autoSpaceDE/>
              <w:autoSpaceDN/>
              <w:bidi w:val="0"/>
              <w:adjustRightInd/>
              <w:spacing w:beforeLines="20" w:afterLines="20"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tc>
      </w:tr>
      <w:tr w14:paraId="187F3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502" w:type="dxa"/>
            <w:gridSpan w:val="3"/>
            <w:tcBorders>
              <w:top w:val="single" w:color="auto" w:sz="4" w:space="0"/>
              <w:left w:val="single" w:color="auto" w:sz="4" w:space="0"/>
              <w:bottom w:val="single" w:color="auto" w:sz="4" w:space="0"/>
              <w:right w:val="single" w:color="auto" w:sz="4" w:space="0"/>
            </w:tcBorders>
            <w:vAlign w:val="center"/>
          </w:tcPr>
          <w:p w14:paraId="3DEBA6FC">
            <w:pPr>
              <w:keepNext w:val="0"/>
              <w:keepLines w:val="0"/>
              <w:pageBreakBefore w:val="0"/>
              <w:kinsoku/>
              <w:wordWrap/>
              <w:overflowPunct/>
              <w:topLinePunct w:val="0"/>
              <w:autoSpaceDE/>
              <w:autoSpaceDN/>
              <w:bidi w:val="0"/>
              <w:adjustRightInd/>
              <w:spacing w:beforeLines="20" w:afterLines="20"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注册资本(万元)</w:t>
            </w:r>
          </w:p>
        </w:tc>
        <w:tc>
          <w:tcPr>
            <w:tcW w:w="2160" w:type="dxa"/>
            <w:gridSpan w:val="3"/>
            <w:tcBorders>
              <w:top w:val="single" w:color="auto" w:sz="4" w:space="0"/>
              <w:left w:val="single" w:color="auto" w:sz="4" w:space="0"/>
              <w:bottom w:val="single" w:color="auto" w:sz="4" w:space="0"/>
              <w:right w:val="single" w:color="auto" w:sz="4" w:space="0"/>
            </w:tcBorders>
            <w:vAlign w:val="center"/>
          </w:tcPr>
          <w:p w14:paraId="4376F4C6">
            <w:pPr>
              <w:keepNext w:val="0"/>
              <w:keepLines w:val="0"/>
              <w:pageBreakBefore w:val="0"/>
              <w:kinsoku/>
              <w:wordWrap/>
              <w:overflowPunct/>
              <w:topLinePunct w:val="0"/>
              <w:autoSpaceDE/>
              <w:autoSpaceDN/>
              <w:bidi w:val="0"/>
              <w:adjustRightInd/>
              <w:spacing w:beforeLines="20" w:afterLines="20"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tc>
        <w:tc>
          <w:tcPr>
            <w:tcW w:w="531" w:type="dxa"/>
            <w:vMerge w:val="continue"/>
            <w:tcBorders>
              <w:left w:val="single" w:color="auto" w:sz="4" w:space="0"/>
              <w:right w:val="single" w:color="auto" w:sz="4" w:space="0"/>
            </w:tcBorders>
            <w:vAlign w:val="center"/>
          </w:tcPr>
          <w:p w14:paraId="62A9CC94">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宋体" w:hAnsi="宋体" w:eastAsia="宋体" w:cs="宋体"/>
                <w:color w:val="auto"/>
                <w:szCs w:val="21"/>
                <w:highlight w:val="none"/>
              </w:rPr>
            </w:pPr>
          </w:p>
        </w:tc>
        <w:tc>
          <w:tcPr>
            <w:tcW w:w="515" w:type="dxa"/>
            <w:vMerge w:val="continue"/>
            <w:tcBorders>
              <w:left w:val="single" w:color="auto" w:sz="4" w:space="0"/>
              <w:right w:val="single" w:color="auto" w:sz="4" w:space="0"/>
            </w:tcBorders>
            <w:vAlign w:val="center"/>
          </w:tcPr>
          <w:p w14:paraId="4DD1EEB9">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宋体" w:hAnsi="宋体" w:eastAsia="宋体" w:cs="宋体"/>
                <w:color w:val="auto"/>
                <w:szCs w:val="21"/>
                <w:highlight w:val="none"/>
              </w:rPr>
            </w:pPr>
          </w:p>
        </w:tc>
        <w:tc>
          <w:tcPr>
            <w:tcW w:w="2338" w:type="dxa"/>
            <w:gridSpan w:val="4"/>
            <w:tcBorders>
              <w:top w:val="single" w:color="auto" w:sz="4" w:space="0"/>
              <w:left w:val="single" w:color="auto" w:sz="4" w:space="0"/>
              <w:bottom w:val="single" w:color="auto" w:sz="4" w:space="0"/>
              <w:right w:val="single" w:color="auto" w:sz="4" w:space="0"/>
            </w:tcBorders>
            <w:vAlign w:val="center"/>
          </w:tcPr>
          <w:p w14:paraId="56AC88F2">
            <w:pPr>
              <w:keepNext w:val="0"/>
              <w:keepLines w:val="0"/>
              <w:pageBreakBefore w:val="0"/>
              <w:kinsoku/>
              <w:wordWrap/>
              <w:overflowPunct/>
              <w:topLinePunct w:val="0"/>
              <w:autoSpaceDE/>
              <w:autoSpaceDN/>
              <w:bidi w:val="0"/>
              <w:adjustRightInd/>
              <w:spacing w:beforeLines="20" w:afterLines="20"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土建造价员(人)</w:t>
            </w:r>
          </w:p>
        </w:tc>
        <w:tc>
          <w:tcPr>
            <w:tcW w:w="1560" w:type="dxa"/>
            <w:tcBorders>
              <w:top w:val="single" w:color="auto" w:sz="4" w:space="0"/>
              <w:left w:val="single" w:color="auto" w:sz="4" w:space="0"/>
              <w:bottom w:val="single" w:color="auto" w:sz="4" w:space="0"/>
              <w:right w:val="single" w:color="auto" w:sz="4" w:space="0"/>
            </w:tcBorders>
            <w:vAlign w:val="center"/>
          </w:tcPr>
          <w:p w14:paraId="32F85A89">
            <w:pPr>
              <w:keepNext w:val="0"/>
              <w:keepLines w:val="0"/>
              <w:pageBreakBefore w:val="0"/>
              <w:kinsoku/>
              <w:wordWrap/>
              <w:overflowPunct/>
              <w:topLinePunct w:val="0"/>
              <w:autoSpaceDE/>
              <w:autoSpaceDN/>
              <w:bidi w:val="0"/>
              <w:adjustRightInd/>
              <w:spacing w:beforeLines="20" w:afterLines="20"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tc>
      </w:tr>
      <w:tr w14:paraId="268E4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502" w:type="dxa"/>
            <w:gridSpan w:val="3"/>
            <w:tcBorders>
              <w:top w:val="single" w:color="auto" w:sz="4" w:space="0"/>
              <w:left w:val="single" w:color="auto" w:sz="4" w:space="0"/>
              <w:bottom w:val="single" w:color="auto" w:sz="4" w:space="0"/>
              <w:right w:val="single" w:color="auto" w:sz="4" w:space="0"/>
            </w:tcBorders>
            <w:vAlign w:val="center"/>
          </w:tcPr>
          <w:p w14:paraId="4A059C6B">
            <w:pPr>
              <w:keepNext w:val="0"/>
              <w:keepLines w:val="0"/>
              <w:pageBreakBefore w:val="0"/>
              <w:kinsoku/>
              <w:wordWrap/>
              <w:overflowPunct/>
              <w:topLinePunct w:val="0"/>
              <w:autoSpaceDE/>
              <w:autoSpaceDN/>
              <w:bidi w:val="0"/>
              <w:adjustRightInd/>
              <w:spacing w:beforeLines="20" w:afterLines="20"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固定资产(万元)</w:t>
            </w:r>
          </w:p>
        </w:tc>
        <w:tc>
          <w:tcPr>
            <w:tcW w:w="2160" w:type="dxa"/>
            <w:gridSpan w:val="3"/>
            <w:tcBorders>
              <w:top w:val="single" w:color="auto" w:sz="4" w:space="0"/>
              <w:left w:val="single" w:color="auto" w:sz="4" w:space="0"/>
              <w:bottom w:val="single" w:color="auto" w:sz="4" w:space="0"/>
              <w:right w:val="single" w:color="auto" w:sz="4" w:space="0"/>
            </w:tcBorders>
            <w:vAlign w:val="center"/>
          </w:tcPr>
          <w:p w14:paraId="765DE356">
            <w:pPr>
              <w:keepNext w:val="0"/>
              <w:keepLines w:val="0"/>
              <w:pageBreakBefore w:val="0"/>
              <w:kinsoku/>
              <w:wordWrap/>
              <w:overflowPunct/>
              <w:topLinePunct w:val="0"/>
              <w:autoSpaceDE/>
              <w:autoSpaceDN/>
              <w:bidi w:val="0"/>
              <w:adjustRightInd/>
              <w:spacing w:beforeLines="20" w:afterLines="20"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tc>
        <w:tc>
          <w:tcPr>
            <w:tcW w:w="531" w:type="dxa"/>
            <w:vMerge w:val="continue"/>
            <w:tcBorders>
              <w:left w:val="single" w:color="auto" w:sz="4" w:space="0"/>
              <w:right w:val="single" w:color="auto" w:sz="4" w:space="0"/>
            </w:tcBorders>
            <w:vAlign w:val="center"/>
          </w:tcPr>
          <w:p w14:paraId="5E6C2836">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宋体" w:hAnsi="宋体" w:eastAsia="宋体" w:cs="宋体"/>
                <w:color w:val="auto"/>
                <w:szCs w:val="21"/>
                <w:highlight w:val="none"/>
              </w:rPr>
            </w:pPr>
          </w:p>
        </w:tc>
        <w:tc>
          <w:tcPr>
            <w:tcW w:w="515" w:type="dxa"/>
            <w:vMerge w:val="continue"/>
            <w:tcBorders>
              <w:left w:val="single" w:color="auto" w:sz="4" w:space="0"/>
              <w:right w:val="single" w:color="auto" w:sz="4" w:space="0"/>
            </w:tcBorders>
            <w:vAlign w:val="center"/>
          </w:tcPr>
          <w:p w14:paraId="0E7F26E2">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宋体" w:hAnsi="宋体" w:eastAsia="宋体" w:cs="宋体"/>
                <w:color w:val="auto"/>
                <w:szCs w:val="21"/>
                <w:highlight w:val="none"/>
              </w:rPr>
            </w:pPr>
          </w:p>
        </w:tc>
        <w:tc>
          <w:tcPr>
            <w:tcW w:w="2338" w:type="dxa"/>
            <w:gridSpan w:val="4"/>
            <w:tcBorders>
              <w:top w:val="single" w:color="auto" w:sz="4" w:space="0"/>
              <w:left w:val="single" w:color="auto" w:sz="4" w:space="0"/>
              <w:bottom w:val="single" w:color="auto" w:sz="4" w:space="0"/>
              <w:right w:val="single" w:color="auto" w:sz="4" w:space="0"/>
            </w:tcBorders>
            <w:vAlign w:val="center"/>
          </w:tcPr>
          <w:p w14:paraId="6A9BEE7D">
            <w:pPr>
              <w:keepNext w:val="0"/>
              <w:keepLines w:val="0"/>
              <w:pageBreakBefore w:val="0"/>
              <w:kinsoku/>
              <w:wordWrap/>
              <w:overflowPunct/>
              <w:topLinePunct w:val="0"/>
              <w:autoSpaceDE/>
              <w:autoSpaceDN/>
              <w:bidi w:val="0"/>
              <w:adjustRightInd/>
              <w:spacing w:beforeLines="20" w:afterLines="20"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安装造价员(人)</w:t>
            </w:r>
          </w:p>
        </w:tc>
        <w:tc>
          <w:tcPr>
            <w:tcW w:w="1560" w:type="dxa"/>
            <w:tcBorders>
              <w:top w:val="single" w:color="auto" w:sz="4" w:space="0"/>
              <w:left w:val="single" w:color="auto" w:sz="4" w:space="0"/>
              <w:bottom w:val="single" w:color="auto" w:sz="4" w:space="0"/>
              <w:right w:val="single" w:color="auto" w:sz="4" w:space="0"/>
            </w:tcBorders>
            <w:vAlign w:val="center"/>
          </w:tcPr>
          <w:p w14:paraId="60992DB0">
            <w:pPr>
              <w:keepNext w:val="0"/>
              <w:keepLines w:val="0"/>
              <w:pageBreakBefore w:val="0"/>
              <w:kinsoku/>
              <w:wordWrap/>
              <w:overflowPunct/>
              <w:topLinePunct w:val="0"/>
              <w:autoSpaceDE/>
              <w:autoSpaceDN/>
              <w:bidi w:val="0"/>
              <w:adjustRightInd/>
              <w:spacing w:beforeLines="20" w:afterLines="20"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tc>
      </w:tr>
      <w:tr w14:paraId="0A208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214" w:type="dxa"/>
            <w:vMerge w:val="restart"/>
            <w:tcBorders>
              <w:top w:val="single" w:color="auto" w:sz="4" w:space="0"/>
              <w:left w:val="single" w:color="auto" w:sz="4" w:space="0"/>
              <w:right w:val="single" w:color="auto" w:sz="4" w:space="0"/>
            </w:tcBorders>
            <w:vAlign w:val="center"/>
          </w:tcPr>
          <w:p w14:paraId="250B7582">
            <w:pPr>
              <w:keepNext w:val="0"/>
              <w:keepLines w:val="0"/>
              <w:pageBreakBefore w:val="0"/>
              <w:kinsoku/>
              <w:wordWrap/>
              <w:overflowPunct/>
              <w:topLinePunct w:val="0"/>
              <w:autoSpaceDE/>
              <w:autoSpaceDN/>
              <w:bidi w:val="0"/>
              <w:adjustRightInd/>
              <w:spacing w:beforeLines="20" w:afterLines="20"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p>
        </w:tc>
        <w:tc>
          <w:tcPr>
            <w:tcW w:w="1288" w:type="dxa"/>
            <w:gridSpan w:val="2"/>
            <w:vMerge w:val="restart"/>
            <w:tcBorders>
              <w:top w:val="single" w:color="auto" w:sz="4" w:space="0"/>
              <w:left w:val="single" w:color="auto" w:sz="4" w:space="0"/>
              <w:right w:val="single" w:color="auto" w:sz="4" w:space="0"/>
            </w:tcBorders>
            <w:vAlign w:val="center"/>
          </w:tcPr>
          <w:p w14:paraId="09E862AE">
            <w:pPr>
              <w:keepNext w:val="0"/>
              <w:keepLines w:val="0"/>
              <w:pageBreakBefore w:val="0"/>
              <w:kinsoku/>
              <w:wordWrap/>
              <w:overflowPunct/>
              <w:topLinePunct w:val="0"/>
              <w:autoSpaceDE/>
              <w:autoSpaceDN/>
              <w:bidi w:val="0"/>
              <w:adjustRightInd/>
              <w:spacing w:beforeLines="20" w:afterLines="20"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p>
        </w:tc>
        <w:tc>
          <w:tcPr>
            <w:tcW w:w="2160" w:type="dxa"/>
            <w:gridSpan w:val="3"/>
            <w:vMerge w:val="restart"/>
            <w:tcBorders>
              <w:top w:val="single" w:color="auto" w:sz="4" w:space="0"/>
              <w:left w:val="single" w:color="auto" w:sz="4" w:space="0"/>
              <w:right w:val="single" w:color="auto" w:sz="4" w:space="0"/>
            </w:tcBorders>
            <w:vAlign w:val="center"/>
          </w:tcPr>
          <w:p w14:paraId="65060B02">
            <w:pPr>
              <w:keepNext w:val="0"/>
              <w:keepLines w:val="0"/>
              <w:pageBreakBefore w:val="0"/>
              <w:kinsoku/>
              <w:wordWrap/>
              <w:overflowPunct/>
              <w:topLinePunct w:val="0"/>
              <w:autoSpaceDE/>
              <w:autoSpaceDN/>
              <w:bidi w:val="0"/>
              <w:adjustRightInd/>
              <w:spacing w:beforeLines="20" w:afterLines="20"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tc>
        <w:tc>
          <w:tcPr>
            <w:tcW w:w="531" w:type="dxa"/>
            <w:vMerge w:val="continue"/>
            <w:tcBorders>
              <w:left w:val="single" w:color="auto" w:sz="4" w:space="0"/>
              <w:right w:val="single" w:color="auto" w:sz="4" w:space="0"/>
            </w:tcBorders>
            <w:vAlign w:val="center"/>
          </w:tcPr>
          <w:p w14:paraId="26181A8B">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宋体" w:hAnsi="宋体" w:eastAsia="宋体" w:cs="宋体"/>
                <w:color w:val="auto"/>
                <w:szCs w:val="21"/>
                <w:highlight w:val="none"/>
              </w:rPr>
            </w:pPr>
          </w:p>
        </w:tc>
        <w:tc>
          <w:tcPr>
            <w:tcW w:w="515" w:type="dxa"/>
            <w:vMerge w:val="continue"/>
            <w:tcBorders>
              <w:left w:val="single" w:color="auto" w:sz="4" w:space="0"/>
              <w:right w:val="single" w:color="auto" w:sz="4" w:space="0"/>
            </w:tcBorders>
            <w:vAlign w:val="center"/>
          </w:tcPr>
          <w:p w14:paraId="72957CF9">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宋体" w:hAnsi="宋体" w:eastAsia="宋体" w:cs="宋体"/>
                <w:color w:val="auto"/>
                <w:szCs w:val="21"/>
                <w:highlight w:val="none"/>
              </w:rPr>
            </w:pPr>
          </w:p>
        </w:tc>
        <w:tc>
          <w:tcPr>
            <w:tcW w:w="2338" w:type="dxa"/>
            <w:gridSpan w:val="4"/>
            <w:tcBorders>
              <w:top w:val="single" w:color="auto" w:sz="4" w:space="0"/>
              <w:left w:val="single" w:color="auto" w:sz="4" w:space="0"/>
              <w:bottom w:val="single" w:color="auto" w:sz="4" w:space="0"/>
              <w:right w:val="single" w:color="auto" w:sz="4" w:space="0"/>
            </w:tcBorders>
            <w:vAlign w:val="center"/>
          </w:tcPr>
          <w:p w14:paraId="2DC2B777">
            <w:pPr>
              <w:keepNext w:val="0"/>
              <w:keepLines w:val="0"/>
              <w:pageBreakBefore w:val="0"/>
              <w:kinsoku/>
              <w:wordWrap/>
              <w:overflowPunct/>
              <w:topLinePunct w:val="0"/>
              <w:autoSpaceDE/>
              <w:autoSpaceDN/>
              <w:bidi w:val="0"/>
              <w:adjustRightInd/>
              <w:spacing w:beforeLines="20" w:afterLines="20"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市政造价员(人)</w:t>
            </w:r>
          </w:p>
        </w:tc>
        <w:tc>
          <w:tcPr>
            <w:tcW w:w="1560" w:type="dxa"/>
            <w:tcBorders>
              <w:top w:val="single" w:color="auto" w:sz="4" w:space="0"/>
              <w:left w:val="single" w:color="auto" w:sz="4" w:space="0"/>
              <w:bottom w:val="single" w:color="auto" w:sz="4" w:space="0"/>
              <w:right w:val="single" w:color="auto" w:sz="4" w:space="0"/>
            </w:tcBorders>
            <w:vAlign w:val="center"/>
          </w:tcPr>
          <w:p w14:paraId="17ACE3D3">
            <w:pPr>
              <w:keepNext w:val="0"/>
              <w:keepLines w:val="0"/>
              <w:pageBreakBefore w:val="0"/>
              <w:kinsoku/>
              <w:wordWrap/>
              <w:overflowPunct/>
              <w:topLinePunct w:val="0"/>
              <w:autoSpaceDE/>
              <w:autoSpaceDN/>
              <w:bidi w:val="0"/>
              <w:adjustRightInd/>
              <w:spacing w:beforeLines="20" w:afterLines="20"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tc>
      </w:tr>
      <w:tr w14:paraId="00515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214" w:type="dxa"/>
            <w:vMerge w:val="continue"/>
            <w:tcBorders>
              <w:left w:val="single" w:color="auto" w:sz="4" w:space="0"/>
              <w:right w:val="single" w:color="auto" w:sz="4" w:space="0"/>
            </w:tcBorders>
            <w:vAlign w:val="center"/>
          </w:tcPr>
          <w:p w14:paraId="4EA08272">
            <w:pPr>
              <w:keepNext w:val="0"/>
              <w:keepLines w:val="0"/>
              <w:pageBreakBefore w:val="0"/>
              <w:kinsoku/>
              <w:wordWrap/>
              <w:overflowPunct/>
              <w:topLinePunct w:val="0"/>
              <w:autoSpaceDE/>
              <w:autoSpaceDN/>
              <w:bidi w:val="0"/>
              <w:adjustRightInd/>
              <w:spacing w:beforeLines="20" w:afterLines="20" w:line="400" w:lineRule="exact"/>
              <w:textAlignment w:val="auto"/>
              <w:rPr>
                <w:rFonts w:hint="eastAsia" w:ascii="宋体" w:hAnsi="宋体" w:eastAsia="宋体" w:cs="宋体"/>
                <w:color w:val="auto"/>
                <w:szCs w:val="21"/>
                <w:highlight w:val="none"/>
              </w:rPr>
            </w:pPr>
          </w:p>
        </w:tc>
        <w:tc>
          <w:tcPr>
            <w:tcW w:w="1288" w:type="dxa"/>
            <w:gridSpan w:val="2"/>
            <w:vMerge w:val="continue"/>
            <w:tcBorders>
              <w:left w:val="single" w:color="auto" w:sz="4" w:space="0"/>
              <w:bottom w:val="single" w:color="auto" w:sz="4" w:space="0"/>
              <w:right w:val="single" w:color="auto" w:sz="4" w:space="0"/>
            </w:tcBorders>
            <w:vAlign w:val="center"/>
          </w:tcPr>
          <w:p w14:paraId="4CF06949">
            <w:pPr>
              <w:keepNext w:val="0"/>
              <w:keepLines w:val="0"/>
              <w:pageBreakBefore w:val="0"/>
              <w:kinsoku/>
              <w:wordWrap/>
              <w:overflowPunct/>
              <w:topLinePunct w:val="0"/>
              <w:autoSpaceDE/>
              <w:autoSpaceDN/>
              <w:bidi w:val="0"/>
              <w:adjustRightInd/>
              <w:spacing w:beforeLines="20" w:afterLines="20" w:line="400" w:lineRule="exact"/>
              <w:jc w:val="center"/>
              <w:textAlignment w:val="auto"/>
              <w:rPr>
                <w:rFonts w:hint="eastAsia" w:ascii="宋体" w:hAnsi="宋体" w:eastAsia="宋体" w:cs="宋体"/>
                <w:color w:val="auto"/>
                <w:szCs w:val="21"/>
                <w:highlight w:val="none"/>
              </w:rPr>
            </w:pPr>
          </w:p>
        </w:tc>
        <w:tc>
          <w:tcPr>
            <w:tcW w:w="2160" w:type="dxa"/>
            <w:gridSpan w:val="3"/>
            <w:vMerge w:val="continue"/>
            <w:tcBorders>
              <w:left w:val="single" w:color="auto" w:sz="4" w:space="0"/>
              <w:bottom w:val="single" w:color="auto" w:sz="4" w:space="0"/>
              <w:right w:val="single" w:color="auto" w:sz="4" w:space="0"/>
            </w:tcBorders>
            <w:vAlign w:val="center"/>
          </w:tcPr>
          <w:p w14:paraId="170990C9">
            <w:pPr>
              <w:keepNext w:val="0"/>
              <w:keepLines w:val="0"/>
              <w:pageBreakBefore w:val="0"/>
              <w:kinsoku/>
              <w:wordWrap/>
              <w:overflowPunct/>
              <w:topLinePunct w:val="0"/>
              <w:autoSpaceDE/>
              <w:autoSpaceDN/>
              <w:bidi w:val="0"/>
              <w:adjustRightInd/>
              <w:spacing w:beforeLines="20" w:afterLines="20" w:line="400" w:lineRule="exact"/>
              <w:jc w:val="center"/>
              <w:textAlignment w:val="auto"/>
              <w:rPr>
                <w:rFonts w:hint="eastAsia" w:ascii="宋体" w:hAnsi="宋体" w:eastAsia="宋体" w:cs="宋体"/>
                <w:color w:val="auto"/>
                <w:szCs w:val="21"/>
                <w:highlight w:val="none"/>
              </w:rPr>
            </w:pPr>
          </w:p>
        </w:tc>
        <w:tc>
          <w:tcPr>
            <w:tcW w:w="531" w:type="dxa"/>
            <w:vMerge w:val="continue"/>
            <w:tcBorders>
              <w:left w:val="single" w:color="auto" w:sz="4" w:space="0"/>
              <w:right w:val="single" w:color="auto" w:sz="4" w:space="0"/>
            </w:tcBorders>
            <w:vAlign w:val="center"/>
          </w:tcPr>
          <w:p w14:paraId="52740DB5">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宋体" w:hAnsi="宋体" w:eastAsia="宋体" w:cs="宋体"/>
                <w:color w:val="auto"/>
                <w:szCs w:val="21"/>
                <w:highlight w:val="none"/>
              </w:rPr>
            </w:pPr>
          </w:p>
        </w:tc>
        <w:tc>
          <w:tcPr>
            <w:tcW w:w="515" w:type="dxa"/>
            <w:vMerge w:val="continue"/>
            <w:tcBorders>
              <w:left w:val="single" w:color="auto" w:sz="4" w:space="0"/>
              <w:right w:val="single" w:color="auto" w:sz="4" w:space="0"/>
            </w:tcBorders>
            <w:vAlign w:val="center"/>
          </w:tcPr>
          <w:p w14:paraId="349EAE66">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宋体" w:hAnsi="宋体" w:eastAsia="宋体" w:cs="宋体"/>
                <w:color w:val="auto"/>
                <w:szCs w:val="21"/>
                <w:highlight w:val="none"/>
              </w:rPr>
            </w:pPr>
          </w:p>
        </w:tc>
        <w:tc>
          <w:tcPr>
            <w:tcW w:w="2338" w:type="dxa"/>
            <w:gridSpan w:val="4"/>
            <w:tcBorders>
              <w:top w:val="single" w:color="auto" w:sz="4" w:space="0"/>
              <w:left w:val="single" w:color="auto" w:sz="4" w:space="0"/>
              <w:bottom w:val="single" w:color="auto" w:sz="4" w:space="0"/>
              <w:right w:val="single" w:color="auto" w:sz="4" w:space="0"/>
            </w:tcBorders>
            <w:vAlign w:val="center"/>
          </w:tcPr>
          <w:p w14:paraId="0B3DE560">
            <w:pPr>
              <w:keepNext w:val="0"/>
              <w:keepLines w:val="0"/>
              <w:pageBreakBefore w:val="0"/>
              <w:kinsoku/>
              <w:wordWrap/>
              <w:overflowPunct/>
              <w:topLinePunct w:val="0"/>
              <w:autoSpaceDE/>
              <w:autoSpaceDN/>
              <w:bidi w:val="0"/>
              <w:adjustRightInd/>
              <w:spacing w:beforeLines="20" w:afterLines="20"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水利造价员(人)</w:t>
            </w:r>
          </w:p>
        </w:tc>
        <w:tc>
          <w:tcPr>
            <w:tcW w:w="1560" w:type="dxa"/>
            <w:tcBorders>
              <w:top w:val="single" w:color="auto" w:sz="4" w:space="0"/>
              <w:left w:val="single" w:color="auto" w:sz="4" w:space="0"/>
              <w:bottom w:val="single" w:color="auto" w:sz="4" w:space="0"/>
              <w:right w:val="single" w:color="auto" w:sz="4" w:space="0"/>
            </w:tcBorders>
            <w:vAlign w:val="center"/>
          </w:tcPr>
          <w:p w14:paraId="3ADDE34A">
            <w:pPr>
              <w:keepNext w:val="0"/>
              <w:keepLines w:val="0"/>
              <w:pageBreakBefore w:val="0"/>
              <w:kinsoku/>
              <w:wordWrap/>
              <w:overflowPunct/>
              <w:topLinePunct w:val="0"/>
              <w:autoSpaceDE/>
              <w:autoSpaceDN/>
              <w:bidi w:val="0"/>
              <w:adjustRightInd/>
              <w:spacing w:beforeLines="20" w:afterLines="20"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tc>
      </w:tr>
      <w:tr w14:paraId="0AAD5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214" w:type="dxa"/>
            <w:vMerge w:val="continue"/>
            <w:tcBorders>
              <w:left w:val="single" w:color="auto" w:sz="4" w:space="0"/>
              <w:right w:val="single" w:color="auto" w:sz="4" w:space="0"/>
            </w:tcBorders>
            <w:vAlign w:val="center"/>
          </w:tcPr>
          <w:p w14:paraId="2E650076">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宋体" w:hAnsi="宋体" w:eastAsia="宋体" w:cs="宋体"/>
                <w:color w:val="auto"/>
                <w:szCs w:val="21"/>
                <w:highlight w:val="none"/>
              </w:rPr>
            </w:pPr>
          </w:p>
        </w:tc>
        <w:tc>
          <w:tcPr>
            <w:tcW w:w="1288" w:type="dxa"/>
            <w:gridSpan w:val="2"/>
            <w:vMerge w:val="restart"/>
            <w:tcBorders>
              <w:top w:val="single" w:color="auto" w:sz="4" w:space="0"/>
              <w:left w:val="single" w:color="auto" w:sz="4" w:space="0"/>
              <w:right w:val="single" w:color="auto" w:sz="4" w:space="0"/>
            </w:tcBorders>
            <w:vAlign w:val="center"/>
          </w:tcPr>
          <w:p w14:paraId="0A0B3FC0">
            <w:pPr>
              <w:keepNext w:val="0"/>
              <w:keepLines w:val="0"/>
              <w:pageBreakBefore w:val="0"/>
              <w:kinsoku/>
              <w:wordWrap/>
              <w:overflowPunct/>
              <w:topLinePunct w:val="0"/>
              <w:autoSpaceDE/>
              <w:autoSpaceDN/>
              <w:bidi w:val="0"/>
              <w:adjustRightInd/>
              <w:spacing w:beforeLines="20" w:afterLines="20"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账</w:t>
            </w:r>
            <w:r>
              <w:rPr>
                <w:rFonts w:hint="eastAsia" w:ascii="宋体" w:hAnsi="宋体" w:eastAsia="宋体" w:cs="宋体"/>
                <w:color w:val="auto"/>
                <w:szCs w:val="21"/>
                <w:highlight w:val="none"/>
              </w:rPr>
              <w:t>号</w:t>
            </w:r>
          </w:p>
        </w:tc>
        <w:tc>
          <w:tcPr>
            <w:tcW w:w="2160" w:type="dxa"/>
            <w:gridSpan w:val="3"/>
            <w:vMerge w:val="restart"/>
            <w:tcBorders>
              <w:top w:val="single" w:color="auto" w:sz="4" w:space="0"/>
              <w:left w:val="single" w:color="auto" w:sz="4" w:space="0"/>
              <w:right w:val="single" w:color="auto" w:sz="4" w:space="0"/>
            </w:tcBorders>
            <w:vAlign w:val="center"/>
          </w:tcPr>
          <w:p w14:paraId="38D2B0C7">
            <w:pPr>
              <w:keepNext w:val="0"/>
              <w:keepLines w:val="0"/>
              <w:pageBreakBefore w:val="0"/>
              <w:kinsoku/>
              <w:wordWrap/>
              <w:overflowPunct/>
              <w:topLinePunct w:val="0"/>
              <w:autoSpaceDE/>
              <w:autoSpaceDN/>
              <w:bidi w:val="0"/>
              <w:adjustRightInd/>
              <w:snapToGrid w:val="0"/>
              <w:spacing w:beforeLines="20" w:afterLines="20"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tc>
        <w:tc>
          <w:tcPr>
            <w:tcW w:w="531" w:type="dxa"/>
            <w:vMerge w:val="continue"/>
            <w:tcBorders>
              <w:left w:val="single" w:color="auto" w:sz="4" w:space="0"/>
              <w:right w:val="single" w:color="auto" w:sz="4" w:space="0"/>
            </w:tcBorders>
            <w:vAlign w:val="center"/>
          </w:tcPr>
          <w:p w14:paraId="66EEB9A0">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宋体" w:hAnsi="宋体" w:eastAsia="宋体" w:cs="宋体"/>
                <w:color w:val="auto"/>
                <w:szCs w:val="21"/>
                <w:highlight w:val="none"/>
              </w:rPr>
            </w:pPr>
          </w:p>
        </w:tc>
        <w:tc>
          <w:tcPr>
            <w:tcW w:w="515" w:type="dxa"/>
            <w:vMerge w:val="continue"/>
            <w:tcBorders>
              <w:left w:val="single" w:color="auto" w:sz="4" w:space="0"/>
              <w:right w:val="single" w:color="auto" w:sz="4" w:space="0"/>
            </w:tcBorders>
            <w:vAlign w:val="center"/>
          </w:tcPr>
          <w:p w14:paraId="2202B4EB">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宋体" w:hAnsi="宋体" w:eastAsia="宋体" w:cs="宋体"/>
                <w:color w:val="auto"/>
                <w:szCs w:val="21"/>
                <w:highlight w:val="none"/>
              </w:rPr>
            </w:pPr>
          </w:p>
        </w:tc>
        <w:tc>
          <w:tcPr>
            <w:tcW w:w="2338" w:type="dxa"/>
            <w:gridSpan w:val="4"/>
            <w:tcBorders>
              <w:top w:val="single" w:color="auto" w:sz="4" w:space="0"/>
              <w:left w:val="single" w:color="auto" w:sz="4" w:space="0"/>
              <w:bottom w:val="single" w:color="auto" w:sz="4" w:space="0"/>
              <w:right w:val="single" w:color="auto" w:sz="4" w:space="0"/>
            </w:tcBorders>
            <w:vAlign w:val="center"/>
          </w:tcPr>
          <w:p w14:paraId="3AB0BD30">
            <w:pPr>
              <w:keepNext w:val="0"/>
              <w:keepLines w:val="0"/>
              <w:pageBreakBefore w:val="0"/>
              <w:kinsoku/>
              <w:wordWrap/>
              <w:overflowPunct/>
              <w:topLinePunct w:val="0"/>
              <w:autoSpaceDE/>
              <w:autoSpaceDN/>
              <w:bidi w:val="0"/>
              <w:adjustRightInd/>
              <w:spacing w:beforeLines="20" w:afterLines="20"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中级以上职称(人)</w:t>
            </w:r>
          </w:p>
        </w:tc>
        <w:tc>
          <w:tcPr>
            <w:tcW w:w="1560" w:type="dxa"/>
            <w:tcBorders>
              <w:top w:val="single" w:color="auto" w:sz="4" w:space="0"/>
              <w:left w:val="single" w:color="auto" w:sz="4" w:space="0"/>
              <w:bottom w:val="single" w:color="auto" w:sz="4" w:space="0"/>
              <w:right w:val="single" w:color="auto" w:sz="4" w:space="0"/>
            </w:tcBorders>
            <w:vAlign w:val="center"/>
          </w:tcPr>
          <w:p w14:paraId="0EB6CF6F">
            <w:pPr>
              <w:keepNext w:val="0"/>
              <w:keepLines w:val="0"/>
              <w:pageBreakBefore w:val="0"/>
              <w:kinsoku/>
              <w:wordWrap/>
              <w:overflowPunct/>
              <w:topLinePunct w:val="0"/>
              <w:autoSpaceDE/>
              <w:autoSpaceDN/>
              <w:bidi w:val="0"/>
              <w:adjustRightInd/>
              <w:spacing w:beforeLines="20" w:afterLines="20"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tc>
      </w:tr>
      <w:tr w14:paraId="43052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214" w:type="dxa"/>
            <w:vMerge w:val="continue"/>
            <w:tcBorders>
              <w:left w:val="single" w:color="auto" w:sz="4" w:space="0"/>
              <w:bottom w:val="single" w:color="auto" w:sz="4" w:space="0"/>
              <w:right w:val="single" w:color="auto" w:sz="4" w:space="0"/>
            </w:tcBorders>
            <w:vAlign w:val="center"/>
          </w:tcPr>
          <w:p w14:paraId="63F8B492">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宋体" w:hAnsi="宋体" w:eastAsia="宋体" w:cs="宋体"/>
                <w:color w:val="auto"/>
                <w:szCs w:val="21"/>
                <w:highlight w:val="none"/>
              </w:rPr>
            </w:pPr>
          </w:p>
        </w:tc>
        <w:tc>
          <w:tcPr>
            <w:tcW w:w="1288" w:type="dxa"/>
            <w:gridSpan w:val="2"/>
            <w:vMerge w:val="continue"/>
            <w:tcBorders>
              <w:left w:val="single" w:color="auto" w:sz="4" w:space="0"/>
              <w:bottom w:val="single" w:color="auto" w:sz="4" w:space="0"/>
              <w:right w:val="single" w:color="auto" w:sz="4" w:space="0"/>
            </w:tcBorders>
            <w:vAlign w:val="center"/>
          </w:tcPr>
          <w:p w14:paraId="5F9512ED">
            <w:pPr>
              <w:keepNext w:val="0"/>
              <w:keepLines w:val="0"/>
              <w:pageBreakBefore w:val="0"/>
              <w:kinsoku/>
              <w:wordWrap/>
              <w:overflowPunct/>
              <w:topLinePunct w:val="0"/>
              <w:autoSpaceDE/>
              <w:autoSpaceDN/>
              <w:bidi w:val="0"/>
              <w:adjustRightInd/>
              <w:spacing w:beforeLines="20" w:afterLines="20" w:line="400" w:lineRule="exact"/>
              <w:jc w:val="center"/>
              <w:textAlignment w:val="auto"/>
              <w:rPr>
                <w:rFonts w:hint="eastAsia" w:ascii="宋体" w:hAnsi="宋体" w:eastAsia="宋体" w:cs="宋体"/>
                <w:color w:val="auto"/>
                <w:szCs w:val="21"/>
                <w:highlight w:val="none"/>
              </w:rPr>
            </w:pPr>
          </w:p>
        </w:tc>
        <w:tc>
          <w:tcPr>
            <w:tcW w:w="2160" w:type="dxa"/>
            <w:gridSpan w:val="3"/>
            <w:vMerge w:val="continue"/>
            <w:tcBorders>
              <w:left w:val="single" w:color="auto" w:sz="4" w:space="0"/>
              <w:bottom w:val="single" w:color="auto" w:sz="4" w:space="0"/>
              <w:right w:val="single" w:color="auto" w:sz="4" w:space="0"/>
            </w:tcBorders>
            <w:vAlign w:val="center"/>
          </w:tcPr>
          <w:p w14:paraId="1A8FF8F4">
            <w:pPr>
              <w:keepNext w:val="0"/>
              <w:keepLines w:val="0"/>
              <w:pageBreakBefore w:val="0"/>
              <w:kinsoku/>
              <w:wordWrap/>
              <w:overflowPunct/>
              <w:topLinePunct w:val="0"/>
              <w:autoSpaceDE/>
              <w:autoSpaceDN/>
              <w:bidi w:val="0"/>
              <w:adjustRightInd/>
              <w:snapToGrid w:val="0"/>
              <w:spacing w:beforeLines="20" w:afterLines="20" w:line="400" w:lineRule="exact"/>
              <w:jc w:val="center"/>
              <w:textAlignment w:val="auto"/>
              <w:rPr>
                <w:rFonts w:hint="eastAsia" w:ascii="宋体" w:hAnsi="宋体" w:eastAsia="宋体" w:cs="宋体"/>
                <w:color w:val="auto"/>
                <w:szCs w:val="21"/>
                <w:highlight w:val="none"/>
              </w:rPr>
            </w:pPr>
          </w:p>
        </w:tc>
        <w:tc>
          <w:tcPr>
            <w:tcW w:w="531" w:type="dxa"/>
            <w:vMerge w:val="continue"/>
            <w:tcBorders>
              <w:left w:val="single" w:color="auto" w:sz="4" w:space="0"/>
              <w:bottom w:val="single" w:color="auto" w:sz="4" w:space="0"/>
              <w:right w:val="single" w:color="auto" w:sz="4" w:space="0"/>
            </w:tcBorders>
            <w:vAlign w:val="center"/>
          </w:tcPr>
          <w:p w14:paraId="1D14DFFB">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宋体" w:hAnsi="宋体" w:eastAsia="宋体" w:cs="宋体"/>
                <w:color w:val="auto"/>
                <w:szCs w:val="21"/>
                <w:highlight w:val="none"/>
              </w:rPr>
            </w:pPr>
          </w:p>
        </w:tc>
        <w:tc>
          <w:tcPr>
            <w:tcW w:w="515" w:type="dxa"/>
            <w:vMerge w:val="continue"/>
            <w:tcBorders>
              <w:left w:val="single" w:color="auto" w:sz="4" w:space="0"/>
              <w:bottom w:val="single" w:color="auto" w:sz="4" w:space="0"/>
              <w:right w:val="single" w:color="auto" w:sz="4" w:space="0"/>
            </w:tcBorders>
            <w:vAlign w:val="center"/>
          </w:tcPr>
          <w:p w14:paraId="6E69597D">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宋体" w:hAnsi="宋体" w:eastAsia="宋体" w:cs="宋体"/>
                <w:color w:val="auto"/>
                <w:szCs w:val="21"/>
                <w:highlight w:val="none"/>
              </w:rPr>
            </w:pPr>
          </w:p>
        </w:tc>
        <w:tc>
          <w:tcPr>
            <w:tcW w:w="2338" w:type="dxa"/>
            <w:gridSpan w:val="4"/>
            <w:tcBorders>
              <w:top w:val="single" w:color="auto" w:sz="4" w:space="0"/>
              <w:left w:val="single" w:color="auto" w:sz="4" w:space="0"/>
              <w:bottom w:val="single" w:color="auto" w:sz="4" w:space="0"/>
              <w:right w:val="single" w:color="auto" w:sz="4" w:space="0"/>
            </w:tcBorders>
            <w:vAlign w:val="center"/>
          </w:tcPr>
          <w:p w14:paraId="3F0F7D33">
            <w:pPr>
              <w:keepNext w:val="0"/>
              <w:keepLines w:val="0"/>
              <w:pageBreakBefore w:val="0"/>
              <w:kinsoku/>
              <w:wordWrap/>
              <w:overflowPunct/>
              <w:topLinePunct w:val="0"/>
              <w:autoSpaceDE/>
              <w:autoSpaceDN/>
              <w:bidi w:val="0"/>
              <w:adjustRightInd/>
              <w:spacing w:beforeLines="20" w:afterLines="20"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560" w:type="dxa"/>
            <w:tcBorders>
              <w:top w:val="single" w:color="auto" w:sz="4" w:space="0"/>
              <w:left w:val="single" w:color="auto" w:sz="4" w:space="0"/>
              <w:bottom w:val="single" w:color="auto" w:sz="4" w:space="0"/>
              <w:right w:val="single" w:color="auto" w:sz="4" w:space="0"/>
            </w:tcBorders>
            <w:vAlign w:val="center"/>
          </w:tcPr>
          <w:p w14:paraId="6877C4E1">
            <w:pPr>
              <w:keepNext w:val="0"/>
              <w:keepLines w:val="0"/>
              <w:pageBreakBefore w:val="0"/>
              <w:kinsoku/>
              <w:wordWrap/>
              <w:overflowPunct/>
              <w:topLinePunct w:val="0"/>
              <w:autoSpaceDE/>
              <w:autoSpaceDN/>
              <w:bidi w:val="0"/>
              <w:adjustRightInd/>
              <w:spacing w:beforeLines="20" w:afterLines="20" w:line="400" w:lineRule="exact"/>
              <w:jc w:val="center"/>
              <w:textAlignment w:val="auto"/>
              <w:rPr>
                <w:rFonts w:hint="eastAsia" w:ascii="宋体" w:hAnsi="宋体" w:eastAsia="宋体" w:cs="宋体"/>
                <w:color w:val="auto"/>
                <w:szCs w:val="21"/>
                <w:highlight w:val="none"/>
              </w:rPr>
            </w:pPr>
          </w:p>
        </w:tc>
      </w:tr>
    </w:tbl>
    <w:p w14:paraId="4A1F07F0">
      <w:pPr>
        <w:spacing w:line="40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说明：在填写时，如本表格不适合投标人的实际情况，可根据本表格格式自行划表填写。</w:t>
      </w:r>
    </w:p>
    <w:p w14:paraId="625041F9">
      <w:pPr>
        <w:tabs>
          <w:tab w:val="left" w:pos="1418"/>
        </w:tabs>
        <w:spacing w:line="400" w:lineRule="exact"/>
        <w:rPr>
          <w:rFonts w:hint="eastAsia" w:ascii="宋体" w:hAnsi="宋体" w:eastAsia="宋体" w:cs="宋体"/>
          <w:color w:val="auto"/>
          <w:szCs w:val="21"/>
          <w:highlight w:val="none"/>
        </w:rPr>
      </w:pPr>
    </w:p>
    <w:p w14:paraId="74417A1C">
      <w:pPr>
        <w:tabs>
          <w:tab w:val="left" w:pos="1418"/>
        </w:tabs>
        <w:spacing w:line="400" w:lineRule="exact"/>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法定代表人或委托代理人签字（或盖章）：</w:t>
      </w:r>
      <w:r>
        <w:rPr>
          <w:rFonts w:hint="eastAsia" w:ascii="宋体" w:hAnsi="宋体" w:eastAsia="宋体" w:cs="宋体"/>
          <w:bCs/>
          <w:color w:val="auto"/>
          <w:szCs w:val="21"/>
          <w:highlight w:val="none"/>
        </w:rPr>
        <w:t xml:space="preserve"> </w:t>
      </w:r>
    </w:p>
    <w:p w14:paraId="4E660CD7">
      <w:pPr>
        <w:tabs>
          <w:tab w:val="left" w:pos="1418"/>
        </w:tabs>
        <w:spacing w:line="400" w:lineRule="exact"/>
        <w:rPr>
          <w:rFonts w:hint="eastAsia" w:ascii="宋体" w:hAnsi="宋体" w:eastAsia="宋体" w:cs="宋体"/>
          <w:b/>
          <w:bCs/>
          <w:color w:val="auto"/>
          <w:szCs w:val="21"/>
          <w:highlight w:val="none"/>
        </w:rPr>
      </w:pPr>
      <w:r>
        <w:rPr>
          <w:rFonts w:hint="eastAsia" w:ascii="宋体" w:hAnsi="宋体" w:eastAsia="宋体" w:cs="宋体"/>
          <w:bCs/>
          <w:color w:val="auto"/>
          <w:szCs w:val="21"/>
          <w:highlight w:val="none"/>
        </w:rPr>
        <w:t>投 标 人（盖章）：                              年  月  日</w:t>
      </w:r>
    </w:p>
    <w:p w14:paraId="029799F5">
      <w:pPr>
        <w:snapToGrid w:val="0"/>
        <w:spacing w:line="400" w:lineRule="exact"/>
        <w:rPr>
          <w:rFonts w:hint="eastAsia" w:ascii="宋体" w:hAnsi="宋体" w:eastAsia="宋体" w:cs="宋体"/>
          <w:color w:val="auto"/>
          <w:szCs w:val="21"/>
          <w:highlight w:val="none"/>
        </w:rPr>
      </w:pPr>
    </w:p>
    <w:p w14:paraId="1EC56445">
      <w:pPr>
        <w:snapToGrid w:val="0"/>
        <w:spacing w:line="400" w:lineRule="exact"/>
        <w:rPr>
          <w:rFonts w:hint="eastAsia" w:ascii="宋体" w:hAnsi="宋体" w:eastAsia="宋体" w:cs="宋体"/>
          <w:color w:val="auto"/>
          <w:szCs w:val="21"/>
          <w:highlight w:val="none"/>
        </w:rPr>
      </w:pPr>
    </w:p>
    <w:p w14:paraId="7300CFF8">
      <w:pPr>
        <w:snapToGrid w:val="0"/>
        <w:spacing w:beforeLines="5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3.4符合参加政府采购活动应当具备的一般条件的承诺函</w:t>
      </w:r>
    </w:p>
    <w:p w14:paraId="6365347D">
      <w:pPr>
        <w:snapToGrid w:val="0"/>
        <w:spacing w:beforeLines="50" w:line="360" w:lineRule="auto"/>
        <w:rPr>
          <w:rFonts w:hint="eastAsia" w:ascii="宋体" w:hAnsi="宋体" w:eastAsia="宋体" w:cs="宋体"/>
          <w:color w:val="auto"/>
          <w:sz w:val="24"/>
          <w:szCs w:val="24"/>
          <w:highlight w:val="none"/>
        </w:rPr>
      </w:pPr>
    </w:p>
    <w:p w14:paraId="7B5D9999">
      <w:pPr>
        <w:keepNext/>
        <w:keepLines/>
        <w:spacing w:before="260" w:after="260" w:line="400" w:lineRule="exact"/>
        <w:jc w:val="center"/>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符合参加政府采购活动应当具备的一般条件的承诺函</w:t>
      </w:r>
    </w:p>
    <w:p w14:paraId="6B4A2D37">
      <w:pPr>
        <w:snapToGrid w:val="0"/>
        <w:spacing w:line="36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w:t>
      </w:r>
    </w:p>
    <w:p w14:paraId="04DEF2B5">
      <w:pPr>
        <w:snapToGrid w:val="0"/>
        <w:spacing w:line="360" w:lineRule="auto"/>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我方参与</w:t>
      </w:r>
      <w:r>
        <w:rPr>
          <w:rFonts w:hint="eastAsia" w:ascii="宋体" w:hAnsi="宋体" w:eastAsia="宋体" w:cs="宋体"/>
          <w:color w:val="auto"/>
          <w:sz w:val="22"/>
          <w:highlight w:val="none"/>
          <w:u w:val="single"/>
        </w:rPr>
        <w:t xml:space="preserve">                   [项目编号：     ]</w:t>
      </w:r>
      <w:r>
        <w:rPr>
          <w:rFonts w:hint="eastAsia" w:ascii="宋体" w:hAnsi="宋体" w:eastAsia="宋体" w:cs="宋体"/>
          <w:color w:val="auto"/>
          <w:sz w:val="22"/>
          <w:highlight w:val="none"/>
        </w:rPr>
        <w:t>政府采购活动，郑重承诺：</w:t>
      </w:r>
    </w:p>
    <w:p w14:paraId="0D615CA6">
      <w:pPr>
        <w:snapToGrid w:val="0"/>
        <w:spacing w:line="360" w:lineRule="auto"/>
        <w:ind w:firstLine="330" w:firstLineChars="150"/>
        <w:rPr>
          <w:rFonts w:hint="eastAsia" w:ascii="宋体" w:hAnsi="宋体" w:eastAsia="宋体" w:cs="宋体"/>
          <w:color w:val="auto"/>
          <w:sz w:val="22"/>
          <w:highlight w:val="none"/>
        </w:rPr>
      </w:pPr>
      <w:r>
        <w:rPr>
          <w:rFonts w:hint="eastAsia" w:ascii="宋体" w:hAnsi="宋体" w:eastAsia="宋体" w:cs="宋体"/>
          <w:color w:val="auto"/>
          <w:sz w:val="22"/>
          <w:highlight w:val="none"/>
        </w:rPr>
        <w:t>（一）具备《中华人民共和国政府采购法》第二十二条第一款规定的条件：</w:t>
      </w:r>
    </w:p>
    <w:p w14:paraId="277E7EF5">
      <w:pPr>
        <w:snapToGrid w:val="0"/>
        <w:spacing w:line="360" w:lineRule="auto"/>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1、具有独立承担民事责任的能力；</w:t>
      </w:r>
    </w:p>
    <w:p w14:paraId="0901F076">
      <w:pPr>
        <w:snapToGrid w:val="0"/>
        <w:spacing w:line="360" w:lineRule="auto"/>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2、具有良好的商业信誉和健全的财务会计制度； </w:t>
      </w:r>
    </w:p>
    <w:p w14:paraId="21A07003">
      <w:pPr>
        <w:snapToGrid w:val="0"/>
        <w:spacing w:line="360" w:lineRule="auto"/>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3、具有履行合同所必需的设备和专业技术能力；</w:t>
      </w:r>
    </w:p>
    <w:p w14:paraId="7102B440">
      <w:pPr>
        <w:snapToGrid w:val="0"/>
        <w:spacing w:line="360" w:lineRule="auto"/>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4、有依法缴纳税收和社会保障资金的良好记录；</w:t>
      </w:r>
    </w:p>
    <w:p w14:paraId="0CF7770F">
      <w:pPr>
        <w:snapToGrid w:val="0"/>
        <w:spacing w:line="360" w:lineRule="auto"/>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5、参加政府采购活动前三年内，在经营活动中没有重大违法记录；</w:t>
      </w:r>
    </w:p>
    <w:p w14:paraId="28E114DE">
      <w:pPr>
        <w:snapToGrid w:val="0"/>
        <w:spacing w:line="360" w:lineRule="auto"/>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6、具有法律、行政法规规定的其他条件。</w:t>
      </w:r>
    </w:p>
    <w:p w14:paraId="0443713D">
      <w:pPr>
        <w:snapToGrid w:val="0"/>
        <w:spacing w:line="360" w:lineRule="auto"/>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（二）未被信用中国（www.creditchina.gov.cn)、中国政府采购网（www.ccgp.gov.cn）列入失信被执行人、重大税收违法案件当事人名单、政府采购严重违法失信行为记录名单。</w:t>
      </w:r>
    </w:p>
    <w:p w14:paraId="245143AD">
      <w:pPr>
        <w:snapToGrid w:val="0"/>
        <w:spacing w:line="360" w:lineRule="auto"/>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（三）不存在以下情况：</w:t>
      </w:r>
    </w:p>
    <w:p w14:paraId="35F8A4EB">
      <w:pPr>
        <w:snapToGrid w:val="0"/>
        <w:spacing w:line="360" w:lineRule="auto"/>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单位负责人为同一人或者存在直接控股、管理关系的不同供应商参加同一合同项下的政府采购活动的；</w:t>
      </w:r>
    </w:p>
    <w:p w14:paraId="19C6295D">
      <w:pPr>
        <w:snapToGrid w:val="0"/>
        <w:spacing w:line="360" w:lineRule="auto"/>
        <w:ind w:firstLine="5060" w:firstLineChars="2300"/>
        <w:rPr>
          <w:rFonts w:hint="eastAsia" w:ascii="宋体" w:hAnsi="宋体" w:eastAsia="宋体" w:cs="宋体"/>
          <w:color w:val="auto"/>
          <w:sz w:val="22"/>
          <w:highlight w:val="none"/>
          <w:lang w:val="zh-CN"/>
        </w:rPr>
      </w:pPr>
    </w:p>
    <w:p w14:paraId="4D827C5D">
      <w:pPr>
        <w:tabs>
          <w:tab w:val="left" w:pos="1418"/>
        </w:tabs>
        <w:spacing w:line="400" w:lineRule="exact"/>
        <w:ind w:firstLine="440"/>
        <w:rPr>
          <w:rFonts w:hint="eastAsia" w:ascii="宋体" w:hAnsi="宋体" w:eastAsia="宋体" w:cs="宋体"/>
          <w:color w:val="auto"/>
          <w:sz w:val="22"/>
          <w:highlight w:val="none"/>
        </w:rPr>
      </w:pPr>
    </w:p>
    <w:p w14:paraId="2FF444B2">
      <w:pPr>
        <w:tabs>
          <w:tab w:val="left" w:pos="1418"/>
        </w:tabs>
        <w:spacing w:line="400" w:lineRule="exact"/>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法定代表人或委托代理人签字（或盖章）：</w:t>
      </w:r>
      <w:r>
        <w:rPr>
          <w:rFonts w:hint="eastAsia" w:ascii="宋体" w:hAnsi="宋体" w:eastAsia="宋体" w:cs="宋体"/>
          <w:bCs/>
          <w:color w:val="auto"/>
          <w:szCs w:val="21"/>
          <w:highlight w:val="none"/>
        </w:rPr>
        <w:t xml:space="preserve"> </w:t>
      </w:r>
    </w:p>
    <w:p w14:paraId="2DD5355B">
      <w:pPr>
        <w:spacing w:line="48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 标 人（盖章）：                              年  月  日</w:t>
      </w:r>
    </w:p>
    <w:p w14:paraId="0C02CF3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247BA2FF">
      <w:pPr>
        <w:snapToGrid w:val="0"/>
        <w:spacing w:beforeLines="10" w:afterLines="10"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3.5中小企业声明函 </w:t>
      </w:r>
    </w:p>
    <w:p w14:paraId="6E6B8895">
      <w:pPr>
        <w:snapToGrid w:val="0"/>
        <w:spacing w:beforeLines="10" w:afterLines="10" w:line="44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 </w:t>
      </w:r>
    </w:p>
    <w:p w14:paraId="509EA238">
      <w:pPr>
        <w:keepNext/>
        <w:keepLines/>
        <w:spacing w:before="260" w:after="260" w:line="400" w:lineRule="exact"/>
        <w:jc w:val="center"/>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中小企业声明函（服务）</w:t>
      </w:r>
    </w:p>
    <w:p w14:paraId="62759ECC">
      <w:pPr>
        <w:autoSpaceDE w:val="0"/>
        <w:autoSpaceDN w:val="0"/>
        <w:spacing w:after="120" w:line="440" w:lineRule="exact"/>
        <w:ind w:right="-57"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本公司（联合体）郑重声明，根据《政府采购促进中小企业发展管理办法》（财库﹝2020﹞46号）的规定，本公司（联合体）参加</w:t>
      </w:r>
      <w:r>
        <w:rPr>
          <w:rFonts w:hint="eastAsia" w:ascii="宋体" w:hAnsi="宋体" w:eastAsia="宋体" w:cs="宋体"/>
          <w:i/>
          <w:color w:val="auto"/>
          <w:szCs w:val="21"/>
          <w:highlight w:val="none"/>
          <w:u w:val="single"/>
        </w:rPr>
        <w:t>（单位名称）</w:t>
      </w:r>
      <w:r>
        <w:rPr>
          <w:rFonts w:hint="eastAsia" w:ascii="宋体" w:hAnsi="宋体" w:eastAsia="宋体" w:cs="宋体"/>
          <w:color w:val="auto"/>
          <w:szCs w:val="21"/>
          <w:highlight w:val="none"/>
        </w:rPr>
        <w:t>的</w:t>
      </w:r>
      <w:r>
        <w:rPr>
          <w:rFonts w:hint="eastAsia" w:ascii="宋体" w:hAnsi="宋体" w:eastAsia="宋体" w:cs="宋体"/>
          <w:i/>
          <w:color w:val="auto"/>
          <w:szCs w:val="21"/>
          <w:highlight w:val="none"/>
          <w:u w:val="single"/>
        </w:rPr>
        <w:t>（项目名称）</w:t>
      </w:r>
      <w:r>
        <w:rPr>
          <w:rFonts w:hint="eastAsia" w:ascii="宋体" w:hAnsi="宋体" w:eastAsia="宋体" w:cs="宋体"/>
          <w:color w:val="auto"/>
          <w:szCs w:val="21"/>
          <w:highlight w:val="none"/>
        </w:rPr>
        <w:t>采购活动，</w:t>
      </w:r>
      <w:r>
        <w:rPr>
          <w:rFonts w:hint="eastAsia" w:ascii="宋体" w:hAnsi="宋体" w:eastAsia="宋体" w:cs="宋体"/>
          <w:bCs/>
          <w:color w:val="auto"/>
          <w:szCs w:val="21"/>
          <w:highlight w:val="none"/>
        </w:rPr>
        <w:t>服</w:t>
      </w:r>
      <w:r>
        <w:rPr>
          <w:rFonts w:hint="eastAsia" w:ascii="宋体" w:hAnsi="宋体" w:eastAsia="宋体" w:cs="宋体"/>
          <w:color w:val="auto"/>
          <w:szCs w:val="21"/>
          <w:highlight w:val="none"/>
        </w:rPr>
        <w:t>务全部由符合政策要求的中小企业承接。相关企业（含联合体中的中小企业、签订分包意向协议的中小企业）的具体情况如下：</w:t>
      </w:r>
    </w:p>
    <w:p w14:paraId="13E9E0E8">
      <w:pPr>
        <w:autoSpaceDE w:val="0"/>
        <w:autoSpaceDN w:val="0"/>
        <w:spacing w:after="120" w:line="440" w:lineRule="exact"/>
        <w:ind w:right="-57" w:firstLine="402" w:firstLineChars="200"/>
        <w:rPr>
          <w:rFonts w:hint="eastAsia" w:ascii="宋体" w:hAnsi="宋体" w:eastAsia="宋体" w:cs="宋体"/>
          <w:color w:val="auto"/>
          <w:w w:val="99"/>
          <w:szCs w:val="21"/>
          <w:highlight w:val="none"/>
        </w:rPr>
      </w:pPr>
      <w:r>
        <w:rPr>
          <w:rFonts w:hint="eastAsia" w:ascii="宋体" w:hAnsi="宋体" w:eastAsia="宋体" w:cs="宋体"/>
          <w:iCs/>
          <w:color w:val="auto"/>
          <w:w w:val="96"/>
          <w:szCs w:val="21"/>
          <w:highlight w:val="none"/>
        </w:rPr>
        <w:t>1.</w:t>
      </w:r>
      <w:r>
        <w:rPr>
          <w:rFonts w:hint="eastAsia" w:ascii="宋体" w:hAnsi="宋体" w:eastAsia="宋体" w:cs="宋体"/>
          <w:i/>
          <w:color w:val="auto"/>
          <w:w w:val="96"/>
          <w:szCs w:val="21"/>
          <w:highlight w:val="none"/>
          <w:u w:val="single"/>
        </w:rPr>
        <w:t>（标的名称）</w:t>
      </w:r>
      <w:r>
        <w:rPr>
          <w:rFonts w:hint="eastAsia" w:ascii="宋体" w:hAnsi="宋体" w:eastAsia="宋体" w:cs="宋体"/>
          <w:color w:val="auto"/>
          <w:w w:val="99"/>
          <w:szCs w:val="21"/>
          <w:highlight w:val="none"/>
        </w:rPr>
        <w:t>，属于</w:t>
      </w:r>
      <w:r>
        <w:rPr>
          <w:rFonts w:hint="eastAsia" w:ascii="宋体" w:hAnsi="宋体" w:eastAsia="宋体" w:cs="宋体"/>
          <w:i/>
          <w:color w:val="auto"/>
          <w:w w:val="96"/>
          <w:szCs w:val="21"/>
          <w:highlight w:val="none"/>
        </w:rPr>
        <w:t>（</w:t>
      </w:r>
      <w:r>
        <w:rPr>
          <w:rFonts w:hint="eastAsia" w:ascii="宋体" w:hAnsi="宋体" w:eastAsia="宋体" w:cs="宋体"/>
          <w:i/>
          <w:color w:val="auto"/>
          <w:w w:val="96"/>
          <w:szCs w:val="21"/>
          <w:highlight w:val="none"/>
          <w:u w:val="single"/>
        </w:rPr>
        <w:t>采购文件中明确的所属行业）</w:t>
      </w:r>
      <w:r>
        <w:rPr>
          <w:rFonts w:hint="eastAsia" w:ascii="宋体" w:hAnsi="宋体" w:eastAsia="宋体" w:cs="宋体"/>
          <w:color w:val="auto"/>
          <w:w w:val="99"/>
          <w:szCs w:val="21"/>
          <w:highlight w:val="none"/>
        </w:rPr>
        <w:t>；承建（承接）企业为</w:t>
      </w:r>
      <w:r>
        <w:rPr>
          <w:rFonts w:hint="eastAsia" w:ascii="宋体" w:hAnsi="宋体" w:eastAsia="宋体" w:cs="宋体"/>
          <w:i/>
          <w:color w:val="auto"/>
          <w:w w:val="96"/>
          <w:szCs w:val="21"/>
          <w:highlight w:val="none"/>
          <w:u w:val="single"/>
        </w:rPr>
        <w:t>（企业名称）</w:t>
      </w:r>
      <w:r>
        <w:rPr>
          <w:rFonts w:hint="eastAsia" w:ascii="宋体" w:hAnsi="宋体" w:eastAsia="宋体" w:cs="宋体"/>
          <w:color w:val="auto"/>
          <w:w w:val="99"/>
          <w:szCs w:val="21"/>
          <w:highlight w:val="none"/>
        </w:rPr>
        <w:t>，从业人员</w:t>
      </w:r>
      <w:r>
        <w:rPr>
          <w:rFonts w:hint="eastAsia" w:ascii="宋体" w:hAnsi="宋体" w:eastAsia="宋体" w:cs="宋体"/>
          <w:color w:val="auto"/>
          <w:w w:val="99"/>
          <w:szCs w:val="21"/>
          <w:highlight w:val="none"/>
          <w:u w:val="single"/>
        </w:rPr>
        <w:t xml:space="preserve">  </w:t>
      </w:r>
      <w:r>
        <w:rPr>
          <w:rFonts w:hint="eastAsia" w:ascii="宋体" w:hAnsi="宋体" w:eastAsia="宋体" w:cs="宋体"/>
          <w:color w:val="auto"/>
          <w:w w:val="99"/>
          <w:szCs w:val="21"/>
          <w:highlight w:val="none"/>
        </w:rPr>
        <w:t>人，营业</w:t>
      </w:r>
      <w:r>
        <w:rPr>
          <w:rFonts w:hint="eastAsia" w:ascii="宋体" w:hAnsi="宋体" w:eastAsia="宋体" w:cs="宋体"/>
          <w:color w:val="auto"/>
          <w:szCs w:val="21"/>
          <w:highlight w:val="none"/>
        </w:rPr>
        <w:t>收入为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万元，资产总额为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万元</w:t>
      </w:r>
      <w:r>
        <w:rPr>
          <w:rFonts w:hint="eastAsia" w:ascii="宋体" w:hAnsi="宋体" w:eastAsia="宋体" w:cs="宋体"/>
          <w:color w:val="auto"/>
          <w:szCs w:val="21"/>
          <w:highlight w:val="none"/>
          <w:vertAlign w:val="superscript"/>
        </w:rPr>
        <w:t>1</w:t>
      </w:r>
      <w:r>
        <w:rPr>
          <w:rFonts w:hint="eastAsia" w:ascii="宋体" w:hAnsi="宋体" w:eastAsia="宋体" w:cs="宋体"/>
          <w:color w:val="auto"/>
          <w:szCs w:val="21"/>
          <w:highlight w:val="none"/>
        </w:rPr>
        <w:t>，属于</w:t>
      </w:r>
      <w:r>
        <w:rPr>
          <w:rFonts w:hint="eastAsia" w:ascii="宋体" w:hAnsi="宋体" w:eastAsia="宋体" w:cs="宋体"/>
          <w:i/>
          <w:color w:val="auto"/>
          <w:szCs w:val="21"/>
          <w:highlight w:val="none"/>
          <w:u w:val="single"/>
        </w:rPr>
        <w:t>（中型企业、</w:t>
      </w:r>
      <w:r>
        <w:rPr>
          <w:rFonts w:hint="eastAsia" w:ascii="宋体" w:hAnsi="宋体" w:eastAsia="宋体" w:cs="宋体"/>
          <w:i/>
          <w:color w:val="auto"/>
          <w:w w:val="96"/>
          <w:szCs w:val="21"/>
          <w:highlight w:val="none"/>
          <w:u w:val="single"/>
        </w:rPr>
        <w:t>小型企业、微型企业）</w:t>
      </w:r>
      <w:r>
        <w:rPr>
          <w:rFonts w:hint="eastAsia" w:ascii="宋体" w:hAnsi="宋体" w:eastAsia="宋体" w:cs="宋体"/>
          <w:color w:val="auto"/>
          <w:w w:val="99"/>
          <w:szCs w:val="21"/>
          <w:highlight w:val="none"/>
        </w:rPr>
        <w:t>；</w:t>
      </w:r>
    </w:p>
    <w:p w14:paraId="575FEA88">
      <w:pPr>
        <w:autoSpaceDE w:val="0"/>
        <w:autoSpaceDN w:val="0"/>
        <w:spacing w:after="120" w:line="440" w:lineRule="exact"/>
        <w:ind w:right="-57" w:firstLine="402" w:firstLineChars="200"/>
        <w:rPr>
          <w:rFonts w:hint="eastAsia" w:ascii="宋体" w:hAnsi="宋体" w:eastAsia="宋体" w:cs="宋体"/>
          <w:color w:val="auto"/>
          <w:w w:val="99"/>
          <w:szCs w:val="21"/>
          <w:highlight w:val="none"/>
        </w:rPr>
      </w:pPr>
      <w:r>
        <w:rPr>
          <w:rFonts w:hint="eastAsia" w:ascii="宋体" w:hAnsi="宋体" w:eastAsia="宋体" w:cs="宋体"/>
          <w:iCs/>
          <w:color w:val="auto"/>
          <w:w w:val="96"/>
          <w:szCs w:val="21"/>
          <w:highlight w:val="none"/>
        </w:rPr>
        <w:t>2.</w:t>
      </w:r>
      <w:r>
        <w:rPr>
          <w:rFonts w:hint="eastAsia" w:ascii="宋体" w:hAnsi="宋体" w:eastAsia="宋体" w:cs="宋体"/>
          <w:i/>
          <w:color w:val="auto"/>
          <w:w w:val="96"/>
          <w:szCs w:val="21"/>
          <w:highlight w:val="none"/>
          <w:u w:val="single"/>
        </w:rPr>
        <w:t>（标的名称）</w:t>
      </w:r>
      <w:r>
        <w:rPr>
          <w:rFonts w:hint="eastAsia" w:ascii="宋体" w:hAnsi="宋体" w:eastAsia="宋体" w:cs="宋体"/>
          <w:color w:val="auto"/>
          <w:w w:val="99"/>
          <w:szCs w:val="21"/>
          <w:highlight w:val="none"/>
        </w:rPr>
        <w:t>，属于</w:t>
      </w:r>
      <w:r>
        <w:rPr>
          <w:rFonts w:hint="eastAsia" w:ascii="宋体" w:hAnsi="宋体" w:eastAsia="宋体" w:cs="宋体"/>
          <w:i/>
          <w:color w:val="auto"/>
          <w:w w:val="96"/>
          <w:szCs w:val="21"/>
          <w:highlight w:val="none"/>
        </w:rPr>
        <w:t>（</w:t>
      </w:r>
      <w:r>
        <w:rPr>
          <w:rFonts w:hint="eastAsia" w:ascii="宋体" w:hAnsi="宋体" w:eastAsia="宋体" w:cs="宋体"/>
          <w:i/>
          <w:color w:val="auto"/>
          <w:w w:val="96"/>
          <w:szCs w:val="21"/>
          <w:highlight w:val="none"/>
          <w:u w:val="single"/>
        </w:rPr>
        <w:t>采购文件中明确的所属行业）</w:t>
      </w:r>
      <w:r>
        <w:rPr>
          <w:rFonts w:hint="eastAsia" w:ascii="宋体" w:hAnsi="宋体" w:eastAsia="宋体" w:cs="宋体"/>
          <w:color w:val="auto"/>
          <w:w w:val="99"/>
          <w:szCs w:val="21"/>
          <w:highlight w:val="none"/>
        </w:rPr>
        <w:t>；承建（承接）企业为</w:t>
      </w:r>
      <w:r>
        <w:rPr>
          <w:rFonts w:hint="eastAsia" w:ascii="宋体" w:hAnsi="宋体" w:eastAsia="宋体" w:cs="宋体"/>
          <w:i/>
          <w:color w:val="auto"/>
          <w:w w:val="96"/>
          <w:szCs w:val="21"/>
          <w:highlight w:val="none"/>
          <w:u w:val="single"/>
        </w:rPr>
        <w:t>（企业名称）</w:t>
      </w:r>
      <w:r>
        <w:rPr>
          <w:rFonts w:hint="eastAsia" w:ascii="宋体" w:hAnsi="宋体" w:eastAsia="宋体" w:cs="宋体"/>
          <w:color w:val="auto"/>
          <w:w w:val="99"/>
          <w:szCs w:val="21"/>
          <w:highlight w:val="none"/>
        </w:rPr>
        <w:t>，从业人员</w:t>
      </w:r>
      <w:r>
        <w:rPr>
          <w:rFonts w:hint="eastAsia" w:ascii="宋体" w:hAnsi="宋体" w:eastAsia="宋体" w:cs="宋体"/>
          <w:color w:val="auto"/>
          <w:w w:val="99"/>
          <w:szCs w:val="21"/>
          <w:highlight w:val="none"/>
          <w:u w:val="single"/>
        </w:rPr>
        <w:t xml:space="preserve">  </w:t>
      </w:r>
      <w:r>
        <w:rPr>
          <w:rFonts w:hint="eastAsia" w:ascii="宋体" w:hAnsi="宋体" w:eastAsia="宋体" w:cs="宋体"/>
          <w:color w:val="auto"/>
          <w:w w:val="99"/>
          <w:szCs w:val="21"/>
          <w:highlight w:val="none"/>
        </w:rPr>
        <w:t>人，营业</w:t>
      </w:r>
      <w:r>
        <w:rPr>
          <w:rFonts w:hint="eastAsia" w:ascii="宋体" w:hAnsi="宋体" w:eastAsia="宋体" w:cs="宋体"/>
          <w:color w:val="auto"/>
          <w:szCs w:val="21"/>
          <w:highlight w:val="none"/>
        </w:rPr>
        <w:t>收入为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万元，资产总额为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万元，属于</w:t>
      </w:r>
      <w:r>
        <w:rPr>
          <w:rFonts w:hint="eastAsia" w:ascii="宋体" w:hAnsi="宋体" w:eastAsia="宋体" w:cs="宋体"/>
          <w:i/>
          <w:color w:val="auto"/>
          <w:szCs w:val="21"/>
          <w:highlight w:val="none"/>
          <w:u w:val="single"/>
        </w:rPr>
        <w:t>（中型企业、</w:t>
      </w:r>
      <w:r>
        <w:rPr>
          <w:rFonts w:hint="eastAsia" w:ascii="宋体" w:hAnsi="宋体" w:eastAsia="宋体" w:cs="宋体"/>
          <w:i/>
          <w:color w:val="auto"/>
          <w:w w:val="96"/>
          <w:szCs w:val="21"/>
          <w:highlight w:val="none"/>
          <w:u w:val="single"/>
        </w:rPr>
        <w:t>小型企业、微型企业）</w:t>
      </w:r>
      <w:r>
        <w:rPr>
          <w:rFonts w:hint="eastAsia" w:ascii="宋体" w:hAnsi="宋体" w:eastAsia="宋体" w:cs="宋体"/>
          <w:color w:val="auto"/>
          <w:w w:val="99"/>
          <w:szCs w:val="21"/>
          <w:highlight w:val="none"/>
        </w:rPr>
        <w:t>；</w:t>
      </w:r>
    </w:p>
    <w:p w14:paraId="3C9BBF08">
      <w:pPr>
        <w:autoSpaceDE w:val="0"/>
        <w:autoSpaceDN w:val="0"/>
        <w:spacing w:after="120" w:line="440" w:lineRule="exact"/>
        <w:ind w:right="-57"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p w14:paraId="01679F7B">
      <w:pPr>
        <w:autoSpaceDE w:val="0"/>
        <w:autoSpaceDN w:val="0"/>
        <w:spacing w:after="120" w:line="440" w:lineRule="exact"/>
        <w:ind w:right="-57"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以上企业，不属于大企业的分支机构，不存在控股股东为大企业的情形，也不存在与大企业的负责人为同一人的情形。</w:t>
      </w:r>
    </w:p>
    <w:p w14:paraId="1DEF95FD">
      <w:pPr>
        <w:autoSpaceDE w:val="0"/>
        <w:autoSpaceDN w:val="0"/>
        <w:spacing w:after="120" w:line="440" w:lineRule="exact"/>
        <w:ind w:right="-57"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本企业对上述声明内容的真实性负责。如有虚假，将依法承担相应责任。</w:t>
      </w:r>
    </w:p>
    <w:p w14:paraId="2F8A1C78">
      <w:pPr>
        <w:autoSpaceDE w:val="0"/>
        <w:autoSpaceDN w:val="0"/>
        <w:spacing w:before="29" w:after="120" w:line="360" w:lineRule="auto"/>
        <w:ind w:left="4060" w:right="-54"/>
        <w:rPr>
          <w:rFonts w:hint="eastAsia" w:ascii="宋体" w:hAnsi="宋体" w:eastAsia="宋体" w:cs="宋体"/>
          <w:color w:val="auto"/>
          <w:w w:val="99"/>
          <w:szCs w:val="21"/>
          <w:highlight w:val="none"/>
        </w:rPr>
      </w:pPr>
    </w:p>
    <w:p w14:paraId="77A2C7CA">
      <w:pPr>
        <w:autoSpaceDE w:val="0"/>
        <w:autoSpaceDN w:val="0"/>
        <w:spacing w:before="29" w:after="120" w:line="360" w:lineRule="auto"/>
        <w:ind w:right="-54" w:firstLine="3990" w:firstLineChars="19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企业名称（盖章）：</w:t>
      </w:r>
    </w:p>
    <w:p w14:paraId="77745052">
      <w:pPr>
        <w:autoSpaceDE w:val="0"/>
        <w:autoSpaceDN w:val="0"/>
        <w:spacing w:before="29" w:after="120" w:line="360" w:lineRule="auto"/>
        <w:ind w:right="-54" w:firstLine="3990" w:firstLineChars="19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14:paraId="2E6FF154">
      <w:pPr>
        <w:widowControl/>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从业人员、营业收入、资产总额填报上一年度数据，无上一年度数据的新成立企业可不填报。</w:t>
      </w:r>
    </w:p>
    <w:p w14:paraId="0EC73617">
      <w:pPr>
        <w:widowControl/>
        <w:spacing w:line="360" w:lineRule="auto"/>
        <w:ind w:firstLine="420" w:firstLineChars="200"/>
        <w:rPr>
          <w:rFonts w:hint="eastAsia" w:ascii="宋体" w:hAnsi="宋体" w:eastAsia="宋体" w:cs="宋体"/>
          <w:color w:val="auto"/>
          <w:kern w:val="0"/>
          <w:szCs w:val="21"/>
          <w:highlight w:val="none"/>
        </w:rPr>
      </w:pPr>
    </w:p>
    <w:p w14:paraId="1BE7CE46">
      <w:pPr>
        <w:widowControl/>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中小企业应当按照《政府采购促进中小企业发展管理办法》规定和《中小企业划型标准规定》（工信部联企业〔2011〕300号），如实填写并提交《中小企业声明函》。未按要求出具声明函的，投标报价不予扣减。</w:t>
      </w:r>
    </w:p>
    <w:p w14:paraId="60920349">
      <w:pPr>
        <w:snapToGrid w:val="0"/>
        <w:spacing w:before="50" w:after="50"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中小企业对其声明内容的真实性负责，声明函内容不实的，属于提供虚假材料谋取中标、成交，依照《中华人民共和国政府采购法》等国家有关规定追究相应责任</w:t>
      </w:r>
      <w:r>
        <w:rPr>
          <w:rFonts w:hint="eastAsia" w:ascii="宋体" w:hAnsi="宋体" w:eastAsia="宋体" w:cs="宋体"/>
          <w:color w:val="auto"/>
          <w:szCs w:val="21"/>
          <w:highlight w:val="none"/>
        </w:rPr>
        <w:t>。</w:t>
      </w:r>
    </w:p>
    <w:p w14:paraId="3F77A374">
      <w:pPr>
        <w:snapToGrid w:val="0"/>
        <w:spacing w:beforeLines="10" w:afterLines="10" w:line="400" w:lineRule="exact"/>
        <w:rPr>
          <w:rFonts w:hint="eastAsia" w:ascii="宋体" w:hAnsi="宋体" w:eastAsia="宋体" w:cs="宋体"/>
          <w:b/>
          <w:color w:val="auto"/>
          <w:sz w:val="24"/>
          <w:szCs w:val="24"/>
          <w:highlight w:val="none"/>
        </w:rPr>
      </w:pPr>
    </w:p>
    <w:p w14:paraId="3C69697D">
      <w:pPr>
        <w:snapToGrid w:val="0"/>
        <w:spacing w:beforeLines="10" w:afterLines="10" w:line="400" w:lineRule="exact"/>
        <w:rPr>
          <w:rFonts w:hint="eastAsia" w:ascii="宋体" w:hAnsi="宋体" w:eastAsia="宋体" w:cs="宋体"/>
          <w:b/>
          <w:color w:val="auto"/>
          <w:sz w:val="24"/>
          <w:szCs w:val="24"/>
          <w:highlight w:val="none"/>
        </w:rPr>
      </w:pPr>
    </w:p>
    <w:p w14:paraId="67C9895B">
      <w:pPr>
        <w:snapToGrid w:val="0"/>
        <w:spacing w:beforeLines="10" w:afterLines="10"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（2）残疾人福利性单位声明函</w:t>
      </w:r>
    </w:p>
    <w:p w14:paraId="24B8E4E5">
      <w:pPr>
        <w:widowControl/>
        <w:wordWrap w:val="0"/>
        <w:spacing w:line="23" w:lineRule="atLeast"/>
        <w:jc w:val="left"/>
        <w:textAlignment w:val="top"/>
        <w:rPr>
          <w:rFonts w:hint="eastAsia" w:ascii="宋体" w:hAnsi="宋体" w:eastAsia="宋体" w:cs="宋体"/>
          <w:color w:val="auto"/>
          <w:sz w:val="24"/>
          <w:szCs w:val="24"/>
          <w:highlight w:val="none"/>
        </w:rPr>
      </w:pPr>
    </w:p>
    <w:p w14:paraId="436B7002">
      <w:pPr>
        <w:widowControl/>
        <w:spacing w:line="460" w:lineRule="exact"/>
        <w:jc w:val="center"/>
        <w:textAlignment w:val="top"/>
        <w:rPr>
          <w:rFonts w:hint="eastAsia" w:ascii="宋体" w:hAnsi="宋体" w:eastAsia="宋体" w:cs="宋体"/>
          <w:b/>
          <w:color w:val="auto"/>
          <w:kern w:val="0"/>
          <w:szCs w:val="21"/>
          <w:highlight w:val="none"/>
        </w:rPr>
      </w:pPr>
      <w:r>
        <w:rPr>
          <w:rFonts w:hint="eastAsia" w:ascii="宋体" w:hAnsi="宋体" w:eastAsia="宋体" w:cs="宋体"/>
          <w:bCs/>
          <w:color w:val="auto"/>
          <w:szCs w:val="21"/>
          <w:highlight w:val="none"/>
        </w:rPr>
        <w:t>残疾人福利性单位声明函</w:t>
      </w:r>
    </w:p>
    <w:p w14:paraId="7F8E4B0F">
      <w:pPr>
        <w:widowControl/>
        <w:spacing w:line="460" w:lineRule="exact"/>
        <w:jc w:val="left"/>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   本单位对上述声明的真实性负责。如有虚假，将依法承担相应责任。</w:t>
      </w:r>
    </w:p>
    <w:p w14:paraId="2F40DEC9">
      <w:pPr>
        <w:widowControl/>
        <w:spacing w:line="460" w:lineRule="exact"/>
        <w:jc w:val="right"/>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单位名称（盖章）：</w:t>
      </w:r>
    </w:p>
    <w:p w14:paraId="34123299">
      <w:pPr>
        <w:snapToGrid w:val="0"/>
        <w:spacing w:before="50" w:after="50"/>
        <w:ind w:firstLine="7140" w:firstLineChars="34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日 期：</w:t>
      </w:r>
    </w:p>
    <w:p w14:paraId="41E4A06D">
      <w:pPr>
        <w:snapToGrid w:val="0"/>
        <w:spacing w:before="50" w:after="50"/>
        <w:rPr>
          <w:rFonts w:hint="eastAsia" w:ascii="宋体" w:hAnsi="宋体" w:eastAsia="宋体" w:cs="宋体"/>
          <w:color w:val="auto"/>
          <w:szCs w:val="21"/>
          <w:highlight w:val="none"/>
        </w:rPr>
      </w:pPr>
    </w:p>
    <w:p w14:paraId="5D4DE83B">
      <w:pPr>
        <w:spacing w:after="120"/>
        <w:ind w:firstLine="280" w:firstLineChars="100"/>
        <w:rPr>
          <w:rFonts w:hint="eastAsia" w:ascii="宋体" w:hAnsi="宋体" w:eastAsia="宋体" w:cs="宋体"/>
          <w:color w:val="auto"/>
          <w:sz w:val="28"/>
          <w:szCs w:val="21"/>
          <w:highlight w:val="none"/>
        </w:rPr>
      </w:pPr>
    </w:p>
    <w:p w14:paraId="1B5F82E7">
      <w:pPr>
        <w:spacing w:line="360" w:lineRule="auto"/>
        <w:ind w:left="1049"/>
        <w:jc w:val="left"/>
        <w:rPr>
          <w:rFonts w:hint="eastAsia" w:ascii="宋体" w:hAnsi="宋体" w:eastAsia="宋体" w:cs="宋体"/>
          <w:color w:val="auto"/>
          <w:sz w:val="24"/>
          <w:szCs w:val="21"/>
          <w:highlight w:val="none"/>
        </w:rPr>
      </w:pPr>
    </w:p>
    <w:p w14:paraId="585E5F5A">
      <w:pPr>
        <w:rPr>
          <w:rFonts w:hint="eastAsia" w:ascii="宋体" w:hAnsi="宋体" w:eastAsia="宋体" w:cs="宋体"/>
          <w:color w:val="auto"/>
          <w:szCs w:val="21"/>
          <w:highlight w:val="none"/>
        </w:rPr>
      </w:pPr>
    </w:p>
    <w:p w14:paraId="20AE82A2">
      <w:pPr>
        <w:spacing w:after="120"/>
        <w:ind w:firstLine="280" w:firstLineChars="100"/>
        <w:rPr>
          <w:rFonts w:hint="eastAsia" w:ascii="宋体" w:hAnsi="宋体" w:eastAsia="宋体" w:cs="宋体"/>
          <w:color w:val="auto"/>
          <w:sz w:val="28"/>
          <w:szCs w:val="21"/>
          <w:highlight w:val="none"/>
        </w:rPr>
      </w:pPr>
    </w:p>
    <w:p w14:paraId="17B4E0E2">
      <w:pPr>
        <w:spacing w:line="360" w:lineRule="auto"/>
        <w:ind w:left="1049"/>
        <w:jc w:val="left"/>
        <w:rPr>
          <w:rFonts w:hint="eastAsia" w:ascii="宋体" w:hAnsi="宋体" w:eastAsia="宋体" w:cs="宋体"/>
          <w:color w:val="auto"/>
          <w:sz w:val="24"/>
          <w:szCs w:val="21"/>
          <w:highlight w:val="none"/>
        </w:rPr>
      </w:pPr>
    </w:p>
    <w:p w14:paraId="162A9407">
      <w:pPr>
        <w:rPr>
          <w:rFonts w:hint="eastAsia" w:ascii="宋体" w:hAnsi="宋体" w:eastAsia="宋体" w:cs="宋体"/>
          <w:color w:val="auto"/>
          <w:szCs w:val="21"/>
          <w:highlight w:val="none"/>
        </w:rPr>
      </w:pPr>
    </w:p>
    <w:p w14:paraId="139A2604">
      <w:pPr>
        <w:spacing w:after="120"/>
        <w:ind w:firstLine="280" w:firstLineChars="100"/>
        <w:rPr>
          <w:rFonts w:hint="eastAsia" w:ascii="宋体" w:hAnsi="宋体" w:eastAsia="宋体" w:cs="宋体"/>
          <w:color w:val="auto"/>
          <w:sz w:val="28"/>
          <w:szCs w:val="21"/>
          <w:highlight w:val="none"/>
        </w:rPr>
      </w:pPr>
    </w:p>
    <w:p w14:paraId="7F1BC3BC">
      <w:pPr>
        <w:spacing w:line="360" w:lineRule="auto"/>
        <w:ind w:left="1049"/>
        <w:jc w:val="left"/>
        <w:rPr>
          <w:rFonts w:hint="eastAsia" w:ascii="宋体" w:hAnsi="宋体" w:eastAsia="宋体" w:cs="宋体"/>
          <w:color w:val="auto"/>
          <w:sz w:val="24"/>
          <w:szCs w:val="21"/>
          <w:highlight w:val="none"/>
        </w:rPr>
      </w:pPr>
    </w:p>
    <w:p w14:paraId="686CA02F">
      <w:pPr>
        <w:rPr>
          <w:rFonts w:hint="eastAsia" w:ascii="宋体" w:hAnsi="宋体" w:eastAsia="宋体" w:cs="宋体"/>
          <w:color w:val="auto"/>
          <w:szCs w:val="21"/>
          <w:highlight w:val="none"/>
        </w:rPr>
      </w:pPr>
    </w:p>
    <w:p w14:paraId="5FFED7D5">
      <w:pPr>
        <w:spacing w:after="120"/>
        <w:ind w:firstLine="280" w:firstLineChars="100"/>
        <w:rPr>
          <w:rFonts w:hint="eastAsia" w:ascii="宋体" w:hAnsi="宋体" w:eastAsia="宋体" w:cs="宋体"/>
          <w:color w:val="auto"/>
          <w:sz w:val="28"/>
          <w:szCs w:val="21"/>
          <w:highlight w:val="none"/>
        </w:rPr>
      </w:pPr>
    </w:p>
    <w:p w14:paraId="0B9AEE23">
      <w:pPr>
        <w:spacing w:line="360" w:lineRule="auto"/>
        <w:ind w:left="1049"/>
        <w:jc w:val="left"/>
        <w:rPr>
          <w:rFonts w:hint="eastAsia" w:ascii="宋体" w:hAnsi="宋体" w:eastAsia="宋体" w:cs="宋体"/>
          <w:color w:val="auto"/>
          <w:sz w:val="24"/>
          <w:szCs w:val="21"/>
          <w:highlight w:val="none"/>
        </w:rPr>
      </w:pPr>
    </w:p>
    <w:p w14:paraId="101801D0">
      <w:pPr>
        <w:rPr>
          <w:rFonts w:hint="eastAsia" w:ascii="宋体" w:hAnsi="宋体" w:eastAsia="宋体" w:cs="宋体"/>
          <w:color w:val="auto"/>
          <w:szCs w:val="21"/>
          <w:highlight w:val="none"/>
        </w:rPr>
      </w:pPr>
    </w:p>
    <w:p w14:paraId="55044A25">
      <w:pPr>
        <w:rPr>
          <w:rFonts w:hint="eastAsia" w:ascii="宋体" w:hAnsi="宋体" w:eastAsia="宋体" w:cs="宋体"/>
          <w:color w:val="auto"/>
          <w:szCs w:val="21"/>
          <w:highlight w:val="none"/>
        </w:rPr>
      </w:pPr>
    </w:p>
    <w:p w14:paraId="0B1937DD">
      <w:pPr>
        <w:spacing w:after="120"/>
        <w:ind w:firstLine="280" w:firstLineChars="100"/>
        <w:rPr>
          <w:rFonts w:hint="eastAsia" w:ascii="宋体" w:hAnsi="宋体" w:eastAsia="宋体" w:cs="宋体"/>
          <w:color w:val="auto"/>
          <w:sz w:val="28"/>
          <w:szCs w:val="21"/>
          <w:highlight w:val="none"/>
        </w:rPr>
      </w:pPr>
    </w:p>
    <w:p w14:paraId="12A97FA0">
      <w:pPr>
        <w:spacing w:after="120"/>
        <w:rPr>
          <w:rFonts w:hint="eastAsia" w:ascii="宋体" w:hAnsi="宋体" w:eastAsia="宋体" w:cs="宋体"/>
          <w:color w:val="auto"/>
          <w:sz w:val="28"/>
          <w:szCs w:val="24"/>
          <w:highlight w:val="none"/>
        </w:rPr>
      </w:pPr>
    </w:p>
    <w:p w14:paraId="396D3F89">
      <w:pPr>
        <w:spacing w:line="360" w:lineRule="auto"/>
        <w:ind w:left="1049"/>
        <w:jc w:val="left"/>
        <w:rPr>
          <w:rFonts w:hint="eastAsia" w:ascii="宋体" w:hAnsi="宋体" w:eastAsia="宋体" w:cs="宋体"/>
          <w:color w:val="auto"/>
          <w:sz w:val="24"/>
          <w:szCs w:val="18"/>
          <w:highlight w:val="none"/>
        </w:rPr>
      </w:pPr>
    </w:p>
    <w:p w14:paraId="2CBDD2B1">
      <w:pPr>
        <w:snapToGrid w:val="0"/>
        <w:spacing w:line="400" w:lineRule="exact"/>
        <w:rPr>
          <w:rFonts w:hint="eastAsia" w:ascii="宋体" w:hAnsi="宋体" w:eastAsia="宋体" w:cs="宋体"/>
          <w:color w:val="auto"/>
          <w:kern w:val="0"/>
          <w:szCs w:val="21"/>
          <w:highlight w:val="none"/>
          <w:lang w:val="zh-CN"/>
        </w:rPr>
      </w:pPr>
      <w:r>
        <w:rPr>
          <w:rFonts w:hint="eastAsia" w:ascii="宋体" w:hAnsi="宋体" w:eastAsia="宋体" w:cs="宋体"/>
          <w:color w:val="auto"/>
          <w:szCs w:val="21"/>
          <w:highlight w:val="none"/>
        </w:rPr>
        <w:t>3.6同类项目业绩格式：</w:t>
      </w:r>
    </w:p>
    <w:p w14:paraId="57112CAF">
      <w:pPr>
        <w:keepNext/>
        <w:keepLines/>
        <w:spacing w:before="260" w:after="260" w:line="400" w:lineRule="exact"/>
        <w:jc w:val="center"/>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投标人同类项目实施情况一览表</w:t>
      </w:r>
    </w:p>
    <w:tbl>
      <w:tblPr>
        <w:tblStyle w:val="4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4"/>
        <w:gridCol w:w="1314"/>
        <w:gridCol w:w="1415"/>
        <w:gridCol w:w="900"/>
        <w:gridCol w:w="1335"/>
        <w:gridCol w:w="2272"/>
      </w:tblGrid>
      <w:tr w14:paraId="3A6E75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5"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4F773A48">
            <w:pPr>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314" w:type="dxa"/>
            <w:tcBorders>
              <w:top w:val="single" w:color="auto" w:sz="4" w:space="0"/>
              <w:left w:val="single" w:color="auto" w:sz="4" w:space="0"/>
              <w:bottom w:val="single" w:color="auto" w:sz="4" w:space="0"/>
              <w:right w:val="single" w:color="auto" w:sz="4" w:space="0"/>
            </w:tcBorders>
            <w:vAlign w:val="center"/>
          </w:tcPr>
          <w:p w14:paraId="01F29B7B">
            <w:pPr>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招标单位</w:t>
            </w:r>
          </w:p>
          <w:p w14:paraId="3D29553A">
            <w:pPr>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p>
        </w:tc>
        <w:tc>
          <w:tcPr>
            <w:tcW w:w="1415" w:type="dxa"/>
            <w:tcBorders>
              <w:top w:val="single" w:color="auto" w:sz="4" w:space="0"/>
              <w:left w:val="single" w:color="auto" w:sz="4" w:space="0"/>
              <w:bottom w:val="single" w:color="auto" w:sz="4" w:space="0"/>
              <w:right w:val="single" w:color="auto" w:sz="4" w:space="0"/>
            </w:tcBorders>
            <w:vAlign w:val="center"/>
          </w:tcPr>
          <w:p w14:paraId="30CDE701">
            <w:pPr>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900" w:type="dxa"/>
            <w:tcBorders>
              <w:top w:val="single" w:color="auto" w:sz="4" w:space="0"/>
              <w:left w:val="single" w:color="auto" w:sz="4" w:space="0"/>
              <w:bottom w:val="single" w:color="auto" w:sz="4" w:space="0"/>
              <w:right w:val="single" w:color="auto" w:sz="4" w:space="0"/>
            </w:tcBorders>
            <w:vAlign w:val="center"/>
          </w:tcPr>
          <w:p w14:paraId="0C08E014">
            <w:pPr>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规模</w:t>
            </w:r>
          </w:p>
        </w:tc>
        <w:tc>
          <w:tcPr>
            <w:tcW w:w="1335" w:type="dxa"/>
            <w:tcBorders>
              <w:top w:val="single" w:color="auto" w:sz="4" w:space="0"/>
              <w:left w:val="single" w:color="auto" w:sz="4" w:space="0"/>
              <w:bottom w:val="single" w:color="auto" w:sz="4" w:space="0"/>
              <w:right w:val="single" w:color="auto" w:sz="4" w:space="0"/>
            </w:tcBorders>
            <w:vAlign w:val="center"/>
          </w:tcPr>
          <w:p w14:paraId="06F87971">
            <w:pPr>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施工中标价（元）</w:t>
            </w:r>
          </w:p>
        </w:tc>
        <w:tc>
          <w:tcPr>
            <w:tcW w:w="2272" w:type="dxa"/>
            <w:tcBorders>
              <w:top w:val="single" w:color="auto" w:sz="4" w:space="0"/>
              <w:left w:val="single" w:color="auto" w:sz="4" w:space="0"/>
              <w:bottom w:val="single" w:color="auto" w:sz="4" w:space="0"/>
              <w:right w:val="single" w:color="auto" w:sz="4" w:space="0"/>
            </w:tcBorders>
            <w:vAlign w:val="center"/>
          </w:tcPr>
          <w:p w14:paraId="30D0C27E">
            <w:pPr>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招标单位联系人及</w:t>
            </w:r>
          </w:p>
          <w:p w14:paraId="4B7D8BCF">
            <w:pPr>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p>
        </w:tc>
      </w:tr>
      <w:tr w14:paraId="229226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1066A2DF">
            <w:pPr>
              <w:widowControl/>
              <w:spacing w:line="400" w:lineRule="exact"/>
              <w:jc w:val="left"/>
              <w:rPr>
                <w:rFonts w:hint="eastAsia" w:ascii="宋体" w:hAnsi="宋体" w:eastAsia="宋体" w:cs="宋体"/>
                <w:color w:val="auto"/>
                <w:szCs w:val="21"/>
                <w:highlight w:val="none"/>
              </w:rPr>
            </w:pPr>
          </w:p>
        </w:tc>
        <w:tc>
          <w:tcPr>
            <w:tcW w:w="1314" w:type="dxa"/>
            <w:tcBorders>
              <w:top w:val="single" w:color="auto" w:sz="4" w:space="0"/>
              <w:left w:val="single" w:color="auto" w:sz="4" w:space="0"/>
              <w:bottom w:val="single" w:color="auto" w:sz="4" w:space="0"/>
              <w:right w:val="single" w:color="auto" w:sz="4" w:space="0"/>
            </w:tcBorders>
            <w:vAlign w:val="center"/>
          </w:tcPr>
          <w:p w14:paraId="35C7D3B5">
            <w:pPr>
              <w:widowControl/>
              <w:spacing w:line="400" w:lineRule="exact"/>
              <w:jc w:val="left"/>
              <w:rPr>
                <w:rFonts w:hint="eastAsia" w:ascii="宋体" w:hAnsi="宋体" w:eastAsia="宋体" w:cs="宋体"/>
                <w:color w:val="auto"/>
                <w:szCs w:val="21"/>
                <w:highlight w:val="none"/>
              </w:rPr>
            </w:pPr>
          </w:p>
        </w:tc>
        <w:tc>
          <w:tcPr>
            <w:tcW w:w="1415" w:type="dxa"/>
            <w:tcBorders>
              <w:top w:val="single" w:color="auto" w:sz="4" w:space="0"/>
              <w:left w:val="single" w:color="auto" w:sz="4" w:space="0"/>
              <w:bottom w:val="single" w:color="auto" w:sz="4" w:space="0"/>
              <w:right w:val="single" w:color="auto" w:sz="4" w:space="0"/>
            </w:tcBorders>
            <w:vAlign w:val="center"/>
          </w:tcPr>
          <w:p w14:paraId="17ED07A4">
            <w:pPr>
              <w:widowControl/>
              <w:spacing w:line="400" w:lineRule="exact"/>
              <w:jc w:val="left"/>
              <w:rPr>
                <w:rFonts w:hint="eastAsia" w:ascii="宋体" w:hAnsi="宋体" w:eastAsia="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14:paraId="4574D80A">
            <w:pPr>
              <w:widowControl/>
              <w:spacing w:line="400" w:lineRule="exact"/>
              <w:jc w:val="left"/>
              <w:rPr>
                <w:rFonts w:hint="eastAsia" w:ascii="宋体" w:hAnsi="宋体" w:eastAsia="宋体" w:cs="宋体"/>
                <w:color w:val="auto"/>
                <w:szCs w:val="21"/>
                <w:highlight w:val="none"/>
              </w:rPr>
            </w:pPr>
          </w:p>
        </w:tc>
        <w:tc>
          <w:tcPr>
            <w:tcW w:w="1335" w:type="dxa"/>
            <w:tcBorders>
              <w:top w:val="single" w:color="auto" w:sz="4" w:space="0"/>
              <w:left w:val="single" w:color="auto" w:sz="4" w:space="0"/>
              <w:bottom w:val="single" w:color="auto" w:sz="4" w:space="0"/>
              <w:right w:val="single" w:color="auto" w:sz="4" w:space="0"/>
            </w:tcBorders>
            <w:vAlign w:val="center"/>
          </w:tcPr>
          <w:p w14:paraId="54CC7FC3">
            <w:pPr>
              <w:widowControl/>
              <w:spacing w:line="400" w:lineRule="exact"/>
              <w:jc w:val="left"/>
              <w:rPr>
                <w:rFonts w:hint="eastAsia" w:ascii="宋体" w:hAnsi="宋体" w:eastAsia="宋体" w:cs="宋体"/>
                <w:color w:val="auto"/>
                <w:szCs w:val="21"/>
                <w:highlight w:val="none"/>
              </w:rPr>
            </w:pPr>
          </w:p>
        </w:tc>
        <w:tc>
          <w:tcPr>
            <w:tcW w:w="2272" w:type="dxa"/>
            <w:tcBorders>
              <w:top w:val="single" w:color="auto" w:sz="4" w:space="0"/>
              <w:left w:val="single" w:color="auto" w:sz="4" w:space="0"/>
              <w:bottom w:val="single" w:color="auto" w:sz="4" w:space="0"/>
              <w:right w:val="single" w:color="auto" w:sz="4" w:space="0"/>
            </w:tcBorders>
            <w:vAlign w:val="center"/>
          </w:tcPr>
          <w:p w14:paraId="64C77C70">
            <w:pPr>
              <w:widowControl/>
              <w:spacing w:line="400" w:lineRule="exact"/>
              <w:jc w:val="left"/>
              <w:rPr>
                <w:rFonts w:hint="eastAsia" w:ascii="宋体" w:hAnsi="宋体" w:eastAsia="宋体" w:cs="宋体"/>
                <w:color w:val="auto"/>
                <w:szCs w:val="21"/>
                <w:highlight w:val="none"/>
              </w:rPr>
            </w:pPr>
          </w:p>
        </w:tc>
      </w:tr>
      <w:tr w14:paraId="2DBEB2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63E1BB0E">
            <w:pPr>
              <w:widowControl/>
              <w:spacing w:line="400" w:lineRule="exact"/>
              <w:jc w:val="left"/>
              <w:rPr>
                <w:rFonts w:hint="eastAsia" w:ascii="宋体" w:hAnsi="宋体" w:eastAsia="宋体" w:cs="宋体"/>
                <w:color w:val="auto"/>
                <w:szCs w:val="21"/>
                <w:highlight w:val="none"/>
              </w:rPr>
            </w:pPr>
          </w:p>
        </w:tc>
        <w:tc>
          <w:tcPr>
            <w:tcW w:w="1314" w:type="dxa"/>
            <w:tcBorders>
              <w:top w:val="single" w:color="auto" w:sz="4" w:space="0"/>
              <w:left w:val="single" w:color="auto" w:sz="4" w:space="0"/>
              <w:bottom w:val="single" w:color="auto" w:sz="4" w:space="0"/>
              <w:right w:val="single" w:color="auto" w:sz="4" w:space="0"/>
            </w:tcBorders>
            <w:vAlign w:val="center"/>
          </w:tcPr>
          <w:p w14:paraId="2912109E">
            <w:pPr>
              <w:widowControl/>
              <w:spacing w:line="400" w:lineRule="exact"/>
              <w:jc w:val="left"/>
              <w:rPr>
                <w:rFonts w:hint="eastAsia" w:ascii="宋体" w:hAnsi="宋体" w:eastAsia="宋体" w:cs="宋体"/>
                <w:color w:val="auto"/>
                <w:szCs w:val="21"/>
                <w:highlight w:val="none"/>
              </w:rPr>
            </w:pPr>
          </w:p>
        </w:tc>
        <w:tc>
          <w:tcPr>
            <w:tcW w:w="1415" w:type="dxa"/>
            <w:tcBorders>
              <w:top w:val="single" w:color="auto" w:sz="4" w:space="0"/>
              <w:left w:val="single" w:color="auto" w:sz="4" w:space="0"/>
              <w:bottom w:val="single" w:color="auto" w:sz="4" w:space="0"/>
              <w:right w:val="single" w:color="auto" w:sz="4" w:space="0"/>
            </w:tcBorders>
            <w:vAlign w:val="center"/>
          </w:tcPr>
          <w:p w14:paraId="57540B92">
            <w:pPr>
              <w:widowControl/>
              <w:spacing w:line="400" w:lineRule="exact"/>
              <w:jc w:val="left"/>
              <w:rPr>
                <w:rFonts w:hint="eastAsia" w:ascii="宋体" w:hAnsi="宋体" w:eastAsia="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14:paraId="237732AC">
            <w:pPr>
              <w:widowControl/>
              <w:spacing w:line="400" w:lineRule="exact"/>
              <w:jc w:val="left"/>
              <w:rPr>
                <w:rFonts w:hint="eastAsia" w:ascii="宋体" w:hAnsi="宋体" w:eastAsia="宋体" w:cs="宋体"/>
                <w:color w:val="auto"/>
                <w:szCs w:val="21"/>
                <w:highlight w:val="none"/>
              </w:rPr>
            </w:pPr>
          </w:p>
        </w:tc>
        <w:tc>
          <w:tcPr>
            <w:tcW w:w="1335" w:type="dxa"/>
            <w:tcBorders>
              <w:top w:val="single" w:color="auto" w:sz="4" w:space="0"/>
              <w:left w:val="single" w:color="auto" w:sz="4" w:space="0"/>
              <w:bottom w:val="single" w:color="auto" w:sz="4" w:space="0"/>
              <w:right w:val="single" w:color="auto" w:sz="4" w:space="0"/>
            </w:tcBorders>
            <w:vAlign w:val="center"/>
          </w:tcPr>
          <w:p w14:paraId="5CA306A0">
            <w:pPr>
              <w:widowControl/>
              <w:spacing w:line="400" w:lineRule="exact"/>
              <w:jc w:val="left"/>
              <w:rPr>
                <w:rFonts w:hint="eastAsia" w:ascii="宋体" w:hAnsi="宋体" w:eastAsia="宋体" w:cs="宋体"/>
                <w:color w:val="auto"/>
                <w:szCs w:val="21"/>
                <w:highlight w:val="none"/>
              </w:rPr>
            </w:pPr>
          </w:p>
        </w:tc>
        <w:tc>
          <w:tcPr>
            <w:tcW w:w="2272" w:type="dxa"/>
            <w:tcBorders>
              <w:top w:val="single" w:color="auto" w:sz="4" w:space="0"/>
              <w:left w:val="single" w:color="auto" w:sz="4" w:space="0"/>
              <w:bottom w:val="single" w:color="auto" w:sz="4" w:space="0"/>
              <w:right w:val="single" w:color="auto" w:sz="4" w:space="0"/>
            </w:tcBorders>
            <w:vAlign w:val="center"/>
          </w:tcPr>
          <w:p w14:paraId="5FF72C95">
            <w:pPr>
              <w:widowControl/>
              <w:spacing w:line="400" w:lineRule="exact"/>
              <w:jc w:val="left"/>
              <w:rPr>
                <w:rFonts w:hint="eastAsia" w:ascii="宋体" w:hAnsi="宋体" w:eastAsia="宋体" w:cs="宋体"/>
                <w:color w:val="auto"/>
                <w:szCs w:val="21"/>
                <w:highlight w:val="none"/>
              </w:rPr>
            </w:pPr>
          </w:p>
        </w:tc>
      </w:tr>
      <w:tr w14:paraId="794C78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09C3B3CF">
            <w:pPr>
              <w:widowControl/>
              <w:spacing w:line="400" w:lineRule="exact"/>
              <w:jc w:val="left"/>
              <w:rPr>
                <w:rFonts w:hint="eastAsia" w:ascii="宋体" w:hAnsi="宋体" w:eastAsia="宋体" w:cs="宋体"/>
                <w:color w:val="auto"/>
                <w:szCs w:val="21"/>
                <w:highlight w:val="none"/>
              </w:rPr>
            </w:pPr>
          </w:p>
        </w:tc>
        <w:tc>
          <w:tcPr>
            <w:tcW w:w="1314" w:type="dxa"/>
            <w:tcBorders>
              <w:top w:val="single" w:color="auto" w:sz="4" w:space="0"/>
              <w:left w:val="single" w:color="auto" w:sz="4" w:space="0"/>
              <w:bottom w:val="single" w:color="auto" w:sz="4" w:space="0"/>
              <w:right w:val="single" w:color="auto" w:sz="4" w:space="0"/>
            </w:tcBorders>
            <w:vAlign w:val="center"/>
          </w:tcPr>
          <w:p w14:paraId="4D660E83">
            <w:pPr>
              <w:widowControl/>
              <w:spacing w:line="400" w:lineRule="exact"/>
              <w:jc w:val="left"/>
              <w:rPr>
                <w:rFonts w:hint="eastAsia" w:ascii="宋体" w:hAnsi="宋体" w:eastAsia="宋体" w:cs="宋体"/>
                <w:color w:val="auto"/>
                <w:szCs w:val="21"/>
                <w:highlight w:val="none"/>
              </w:rPr>
            </w:pPr>
          </w:p>
        </w:tc>
        <w:tc>
          <w:tcPr>
            <w:tcW w:w="1415" w:type="dxa"/>
            <w:tcBorders>
              <w:top w:val="single" w:color="auto" w:sz="4" w:space="0"/>
              <w:left w:val="single" w:color="auto" w:sz="4" w:space="0"/>
              <w:bottom w:val="single" w:color="auto" w:sz="4" w:space="0"/>
              <w:right w:val="single" w:color="auto" w:sz="4" w:space="0"/>
            </w:tcBorders>
            <w:vAlign w:val="center"/>
          </w:tcPr>
          <w:p w14:paraId="1ABE0C86">
            <w:pPr>
              <w:widowControl/>
              <w:spacing w:line="400" w:lineRule="exact"/>
              <w:jc w:val="left"/>
              <w:rPr>
                <w:rFonts w:hint="eastAsia" w:ascii="宋体" w:hAnsi="宋体" w:eastAsia="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14:paraId="4608D866">
            <w:pPr>
              <w:widowControl/>
              <w:spacing w:line="400" w:lineRule="exact"/>
              <w:jc w:val="left"/>
              <w:rPr>
                <w:rFonts w:hint="eastAsia" w:ascii="宋体" w:hAnsi="宋体" w:eastAsia="宋体" w:cs="宋体"/>
                <w:color w:val="auto"/>
                <w:szCs w:val="21"/>
                <w:highlight w:val="none"/>
              </w:rPr>
            </w:pPr>
          </w:p>
        </w:tc>
        <w:tc>
          <w:tcPr>
            <w:tcW w:w="1335" w:type="dxa"/>
            <w:tcBorders>
              <w:top w:val="single" w:color="auto" w:sz="4" w:space="0"/>
              <w:left w:val="single" w:color="auto" w:sz="4" w:space="0"/>
              <w:bottom w:val="single" w:color="auto" w:sz="4" w:space="0"/>
              <w:right w:val="single" w:color="auto" w:sz="4" w:space="0"/>
            </w:tcBorders>
            <w:vAlign w:val="center"/>
          </w:tcPr>
          <w:p w14:paraId="4A5FB7FA">
            <w:pPr>
              <w:widowControl/>
              <w:spacing w:line="400" w:lineRule="exact"/>
              <w:jc w:val="left"/>
              <w:rPr>
                <w:rFonts w:hint="eastAsia" w:ascii="宋体" w:hAnsi="宋体" w:eastAsia="宋体" w:cs="宋体"/>
                <w:color w:val="auto"/>
                <w:szCs w:val="21"/>
                <w:highlight w:val="none"/>
              </w:rPr>
            </w:pPr>
          </w:p>
        </w:tc>
        <w:tc>
          <w:tcPr>
            <w:tcW w:w="2272" w:type="dxa"/>
            <w:tcBorders>
              <w:top w:val="single" w:color="auto" w:sz="4" w:space="0"/>
              <w:left w:val="single" w:color="auto" w:sz="4" w:space="0"/>
              <w:bottom w:val="single" w:color="auto" w:sz="4" w:space="0"/>
              <w:right w:val="single" w:color="auto" w:sz="4" w:space="0"/>
            </w:tcBorders>
            <w:vAlign w:val="center"/>
          </w:tcPr>
          <w:p w14:paraId="39030090">
            <w:pPr>
              <w:widowControl/>
              <w:spacing w:line="400" w:lineRule="exact"/>
              <w:jc w:val="left"/>
              <w:rPr>
                <w:rFonts w:hint="eastAsia" w:ascii="宋体" w:hAnsi="宋体" w:eastAsia="宋体" w:cs="宋体"/>
                <w:color w:val="auto"/>
                <w:szCs w:val="21"/>
                <w:highlight w:val="none"/>
              </w:rPr>
            </w:pPr>
          </w:p>
        </w:tc>
      </w:tr>
    </w:tbl>
    <w:p w14:paraId="4F933056">
      <w:pPr>
        <w:snapToGrid w:val="0"/>
        <w:spacing w:before="152" w:after="160"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说明：须提供投标人同类项目。</w:t>
      </w:r>
    </w:p>
    <w:p w14:paraId="3AA55D28">
      <w:pPr>
        <w:snapToGrid w:val="0"/>
        <w:spacing w:before="152" w:after="160" w:line="400" w:lineRule="exact"/>
        <w:rPr>
          <w:rFonts w:hint="eastAsia" w:ascii="宋体" w:hAnsi="宋体" w:eastAsia="宋体" w:cs="宋体"/>
          <w:color w:val="auto"/>
          <w:szCs w:val="21"/>
          <w:highlight w:val="none"/>
        </w:rPr>
      </w:pPr>
    </w:p>
    <w:p w14:paraId="78C70503">
      <w:pPr>
        <w:tabs>
          <w:tab w:val="left" w:pos="1418"/>
        </w:tabs>
        <w:spacing w:line="400" w:lineRule="exact"/>
        <w:ind w:firstLine="4410" w:firstLineChars="21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法定代表人或委托代理人签字（或盖章）：</w:t>
      </w:r>
      <w:r>
        <w:rPr>
          <w:rFonts w:hint="eastAsia" w:ascii="宋体" w:hAnsi="宋体" w:eastAsia="宋体" w:cs="宋体"/>
          <w:bCs/>
          <w:color w:val="auto"/>
          <w:szCs w:val="21"/>
          <w:highlight w:val="none"/>
        </w:rPr>
        <w:t xml:space="preserve"> </w:t>
      </w:r>
    </w:p>
    <w:p w14:paraId="364F9D54">
      <w:pPr>
        <w:tabs>
          <w:tab w:val="left" w:pos="1418"/>
        </w:tabs>
        <w:spacing w:line="400" w:lineRule="exact"/>
        <w:ind w:firstLine="4515" w:firstLineChars="215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投 标 人（盖章）：                              </w:t>
      </w:r>
    </w:p>
    <w:p w14:paraId="1EDE338B">
      <w:pPr>
        <w:tabs>
          <w:tab w:val="left" w:pos="1418"/>
        </w:tabs>
        <w:spacing w:line="400" w:lineRule="exact"/>
        <w:ind w:firstLine="4725" w:firstLineChars="225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年  月  日</w:t>
      </w:r>
    </w:p>
    <w:p w14:paraId="1F8FDBB5">
      <w:pPr>
        <w:tabs>
          <w:tab w:val="left" w:pos="1418"/>
        </w:tabs>
        <w:spacing w:line="400" w:lineRule="exact"/>
        <w:rPr>
          <w:rFonts w:hint="eastAsia" w:ascii="宋体" w:hAnsi="宋体" w:eastAsia="宋体" w:cs="宋体"/>
          <w:bCs/>
          <w:color w:val="auto"/>
          <w:szCs w:val="21"/>
          <w:highlight w:val="none"/>
        </w:rPr>
      </w:pPr>
    </w:p>
    <w:p w14:paraId="18EE3A74">
      <w:pPr>
        <w:tabs>
          <w:tab w:val="left" w:pos="1418"/>
        </w:tabs>
        <w:spacing w:line="400" w:lineRule="exact"/>
        <w:rPr>
          <w:rFonts w:hint="eastAsia" w:ascii="宋体" w:hAnsi="宋体" w:eastAsia="宋体" w:cs="宋体"/>
          <w:bCs/>
          <w:color w:val="auto"/>
          <w:szCs w:val="21"/>
          <w:highlight w:val="none"/>
        </w:rPr>
      </w:pPr>
    </w:p>
    <w:p w14:paraId="1D8A1694">
      <w:pPr>
        <w:tabs>
          <w:tab w:val="left" w:pos="1418"/>
        </w:tabs>
        <w:spacing w:line="400" w:lineRule="exact"/>
        <w:rPr>
          <w:rFonts w:hint="eastAsia" w:ascii="宋体" w:hAnsi="宋体" w:eastAsia="宋体" w:cs="宋体"/>
          <w:bCs/>
          <w:color w:val="auto"/>
          <w:szCs w:val="21"/>
          <w:highlight w:val="none"/>
        </w:rPr>
      </w:pPr>
    </w:p>
    <w:p w14:paraId="7925D14A">
      <w:pPr>
        <w:tabs>
          <w:tab w:val="left" w:pos="1418"/>
        </w:tabs>
        <w:spacing w:line="400" w:lineRule="exact"/>
        <w:rPr>
          <w:rFonts w:hint="eastAsia" w:ascii="宋体" w:hAnsi="宋体" w:eastAsia="宋体" w:cs="宋体"/>
          <w:bCs/>
          <w:color w:val="auto"/>
          <w:szCs w:val="21"/>
          <w:highlight w:val="none"/>
        </w:rPr>
      </w:pPr>
    </w:p>
    <w:p w14:paraId="66E9B676">
      <w:pPr>
        <w:tabs>
          <w:tab w:val="left" w:pos="1418"/>
        </w:tabs>
        <w:spacing w:line="400" w:lineRule="exact"/>
        <w:rPr>
          <w:rFonts w:hint="eastAsia" w:ascii="宋体" w:hAnsi="宋体" w:eastAsia="宋体" w:cs="宋体"/>
          <w:bCs/>
          <w:color w:val="auto"/>
          <w:szCs w:val="21"/>
          <w:highlight w:val="none"/>
        </w:rPr>
      </w:pPr>
    </w:p>
    <w:p w14:paraId="42E1E767">
      <w:pPr>
        <w:tabs>
          <w:tab w:val="left" w:pos="1418"/>
        </w:tabs>
        <w:spacing w:line="400" w:lineRule="exact"/>
        <w:rPr>
          <w:rFonts w:hint="eastAsia" w:ascii="宋体" w:hAnsi="宋体" w:eastAsia="宋体" w:cs="宋体"/>
          <w:bCs/>
          <w:color w:val="auto"/>
          <w:szCs w:val="21"/>
          <w:highlight w:val="none"/>
        </w:rPr>
      </w:pPr>
    </w:p>
    <w:p w14:paraId="4DC3E217">
      <w:pPr>
        <w:tabs>
          <w:tab w:val="left" w:pos="1418"/>
        </w:tabs>
        <w:spacing w:line="400" w:lineRule="exact"/>
        <w:rPr>
          <w:rFonts w:hint="eastAsia" w:ascii="宋体" w:hAnsi="宋体" w:eastAsia="宋体" w:cs="宋体"/>
          <w:bCs/>
          <w:color w:val="auto"/>
          <w:szCs w:val="21"/>
          <w:highlight w:val="none"/>
        </w:rPr>
      </w:pPr>
    </w:p>
    <w:p w14:paraId="345BF639">
      <w:pPr>
        <w:tabs>
          <w:tab w:val="left" w:pos="1418"/>
        </w:tabs>
        <w:spacing w:line="400" w:lineRule="exact"/>
        <w:rPr>
          <w:rFonts w:hint="eastAsia" w:ascii="宋体" w:hAnsi="宋体" w:eastAsia="宋体" w:cs="宋体"/>
          <w:bCs/>
          <w:color w:val="auto"/>
          <w:szCs w:val="21"/>
          <w:highlight w:val="none"/>
        </w:rPr>
      </w:pPr>
    </w:p>
    <w:p w14:paraId="28F13AFA">
      <w:pPr>
        <w:tabs>
          <w:tab w:val="left" w:pos="1418"/>
        </w:tabs>
        <w:spacing w:line="400" w:lineRule="exact"/>
        <w:rPr>
          <w:rFonts w:hint="eastAsia" w:ascii="宋体" w:hAnsi="宋体" w:eastAsia="宋体" w:cs="宋体"/>
          <w:bCs/>
          <w:color w:val="auto"/>
          <w:szCs w:val="21"/>
          <w:highlight w:val="none"/>
        </w:rPr>
      </w:pPr>
    </w:p>
    <w:p w14:paraId="19DB8EAD">
      <w:pPr>
        <w:tabs>
          <w:tab w:val="left" w:pos="1418"/>
        </w:tabs>
        <w:spacing w:line="400" w:lineRule="exact"/>
        <w:rPr>
          <w:rFonts w:hint="eastAsia" w:ascii="宋体" w:hAnsi="宋体" w:eastAsia="宋体" w:cs="宋体"/>
          <w:bCs/>
          <w:color w:val="auto"/>
          <w:szCs w:val="21"/>
          <w:highlight w:val="none"/>
        </w:rPr>
      </w:pPr>
    </w:p>
    <w:p w14:paraId="1CE72868">
      <w:pPr>
        <w:tabs>
          <w:tab w:val="left" w:pos="1418"/>
        </w:tabs>
        <w:spacing w:line="400" w:lineRule="exact"/>
        <w:rPr>
          <w:rFonts w:hint="eastAsia" w:ascii="宋体" w:hAnsi="宋体" w:eastAsia="宋体" w:cs="宋体"/>
          <w:bCs/>
          <w:color w:val="auto"/>
          <w:szCs w:val="21"/>
          <w:highlight w:val="none"/>
        </w:rPr>
      </w:pPr>
    </w:p>
    <w:p w14:paraId="25320ECA">
      <w:pPr>
        <w:tabs>
          <w:tab w:val="left" w:pos="1418"/>
        </w:tabs>
        <w:spacing w:line="400" w:lineRule="exact"/>
        <w:rPr>
          <w:rFonts w:hint="eastAsia" w:ascii="宋体" w:hAnsi="宋体" w:eastAsia="宋体" w:cs="宋体"/>
          <w:bCs/>
          <w:color w:val="auto"/>
          <w:szCs w:val="21"/>
          <w:highlight w:val="none"/>
        </w:rPr>
      </w:pPr>
    </w:p>
    <w:p w14:paraId="1B452850">
      <w:pPr>
        <w:tabs>
          <w:tab w:val="left" w:pos="1418"/>
        </w:tabs>
        <w:spacing w:line="400" w:lineRule="exact"/>
        <w:rPr>
          <w:rFonts w:hint="eastAsia" w:ascii="宋体" w:hAnsi="宋体" w:eastAsia="宋体" w:cs="宋体"/>
          <w:bCs/>
          <w:color w:val="auto"/>
          <w:szCs w:val="21"/>
          <w:highlight w:val="none"/>
        </w:rPr>
      </w:pPr>
    </w:p>
    <w:p w14:paraId="73B6B388">
      <w:pPr>
        <w:spacing w:after="120"/>
        <w:ind w:firstLine="280" w:firstLineChars="100"/>
        <w:rPr>
          <w:rFonts w:hint="eastAsia" w:ascii="宋体" w:hAnsi="宋体" w:eastAsia="宋体" w:cs="宋体"/>
          <w:bCs/>
          <w:color w:val="auto"/>
          <w:sz w:val="28"/>
          <w:szCs w:val="21"/>
          <w:highlight w:val="none"/>
        </w:rPr>
      </w:pPr>
    </w:p>
    <w:p w14:paraId="56468028">
      <w:pPr>
        <w:spacing w:line="360" w:lineRule="auto"/>
        <w:ind w:left="1049"/>
        <w:jc w:val="left"/>
        <w:rPr>
          <w:rFonts w:hint="eastAsia" w:ascii="宋体" w:hAnsi="宋体" w:eastAsia="宋体" w:cs="宋体"/>
          <w:color w:val="auto"/>
          <w:sz w:val="24"/>
          <w:szCs w:val="18"/>
          <w:highlight w:val="none"/>
        </w:rPr>
      </w:pPr>
    </w:p>
    <w:p w14:paraId="75DD2A42">
      <w:pPr>
        <w:tabs>
          <w:tab w:val="left" w:pos="1418"/>
        </w:tabs>
        <w:spacing w:line="400" w:lineRule="exact"/>
        <w:rPr>
          <w:rFonts w:hint="eastAsia" w:ascii="宋体" w:hAnsi="宋体" w:eastAsia="宋体" w:cs="宋体"/>
          <w:bCs/>
          <w:color w:val="auto"/>
          <w:szCs w:val="21"/>
          <w:highlight w:val="none"/>
        </w:rPr>
      </w:pPr>
    </w:p>
    <w:p w14:paraId="6D52052D">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3.7廉政承诺书</w:t>
      </w:r>
    </w:p>
    <w:p w14:paraId="78316B01">
      <w:pPr>
        <w:keepNext/>
        <w:keepLines/>
        <w:spacing w:before="260" w:after="260" w:line="400" w:lineRule="exact"/>
        <w:jc w:val="center"/>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廉政承诺书</w:t>
      </w:r>
    </w:p>
    <w:p w14:paraId="33922D85">
      <w:pPr>
        <w:autoSpaceDE w:val="0"/>
        <w:autoSpaceDN w:val="0"/>
        <w:adjustRightInd w:val="0"/>
        <w:spacing w:line="400" w:lineRule="exact"/>
        <w:rPr>
          <w:rFonts w:hint="eastAsia" w:ascii="宋体" w:hAnsi="宋体" w:eastAsia="宋体" w:cs="宋体"/>
          <w:color w:val="auto"/>
          <w:kern w:val="0"/>
          <w:szCs w:val="21"/>
          <w:highlight w:val="none"/>
          <w:lang w:val="zh-CN"/>
        </w:rPr>
      </w:pPr>
      <w:r>
        <w:rPr>
          <w:rFonts w:hint="eastAsia" w:ascii="宋体" w:hAnsi="宋体" w:eastAsia="宋体" w:cs="宋体"/>
          <w:color w:val="auto"/>
          <w:szCs w:val="21"/>
          <w:highlight w:val="none"/>
        </w:rPr>
        <w:t>致：</w:t>
      </w:r>
      <w:r>
        <w:rPr>
          <w:rFonts w:hint="eastAsia" w:ascii="宋体" w:hAnsi="宋体" w:eastAsia="宋体" w:cs="宋体"/>
          <w:b/>
          <w:color w:val="auto"/>
          <w:szCs w:val="21"/>
          <w:highlight w:val="none"/>
          <w:u w:val="single"/>
          <w:lang w:val="en-US" w:eastAsia="zh-CN"/>
        </w:rPr>
        <w:t xml:space="preserve">               </w:t>
      </w:r>
      <w:r>
        <w:rPr>
          <w:rFonts w:hint="eastAsia" w:ascii="宋体" w:hAnsi="宋体" w:eastAsia="宋体" w:cs="宋体"/>
          <w:color w:val="auto"/>
          <w:szCs w:val="21"/>
          <w:highlight w:val="none"/>
        </w:rPr>
        <w:t>（招标采购单位名称）</w:t>
      </w:r>
    </w:p>
    <w:p w14:paraId="076284DD">
      <w:pPr>
        <w:autoSpaceDE w:val="0"/>
        <w:autoSpaceDN w:val="0"/>
        <w:adjustRightIn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我单位响应</w:t>
      </w:r>
      <w:r>
        <w:rPr>
          <w:rFonts w:hint="eastAsia" w:ascii="宋体" w:hAnsi="宋体" w:eastAsia="宋体" w:cs="宋体"/>
          <w:color w:val="auto"/>
          <w:kern w:val="0"/>
          <w:szCs w:val="21"/>
          <w:highlight w:val="none"/>
          <w:u w:val="single"/>
          <w:lang w:val="zh-CN"/>
        </w:rPr>
        <w:t xml:space="preserve">                </w:t>
      </w:r>
      <w:r>
        <w:rPr>
          <w:rFonts w:hint="eastAsia" w:ascii="宋体" w:hAnsi="宋体" w:eastAsia="宋体" w:cs="宋体"/>
          <w:color w:val="auto"/>
          <w:kern w:val="0"/>
          <w:szCs w:val="21"/>
          <w:highlight w:val="none"/>
          <w:lang w:val="zh-CN"/>
        </w:rPr>
        <w:t>项目采购要求参加投标。在这次投标过程中和中标后，我们将严格遵守国家法律法规的要求，并郑重承诺：</w:t>
      </w:r>
      <w:r>
        <w:rPr>
          <w:rFonts w:hint="eastAsia" w:ascii="宋体" w:hAnsi="宋体" w:eastAsia="宋体" w:cs="宋体"/>
          <w:color w:val="auto"/>
          <w:kern w:val="0"/>
          <w:szCs w:val="21"/>
          <w:highlight w:val="none"/>
        </w:rPr>
        <w:t xml:space="preserve">    </w:t>
      </w:r>
    </w:p>
    <w:p w14:paraId="526B2A41">
      <w:pPr>
        <w:autoSpaceDE w:val="0"/>
        <w:autoSpaceDN w:val="0"/>
        <w:adjustRightIn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一、不向项目有关人员及部门赠送礼金礼物、有价证券、回扣以及中介费、介绍费、咨询费等好处费；</w:t>
      </w:r>
      <w:r>
        <w:rPr>
          <w:rFonts w:hint="eastAsia" w:ascii="宋体" w:hAnsi="宋体" w:eastAsia="宋体" w:cs="宋体"/>
          <w:color w:val="auto"/>
          <w:kern w:val="0"/>
          <w:szCs w:val="21"/>
          <w:highlight w:val="none"/>
        </w:rPr>
        <w:t xml:space="preserve">    </w:t>
      </w:r>
    </w:p>
    <w:p w14:paraId="5897106E">
      <w:pPr>
        <w:autoSpaceDE w:val="0"/>
        <w:autoSpaceDN w:val="0"/>
        <w:adjustRightIn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二、不为项目有关人员及部门报销应由你方单位或个人支付的费用；</w:t>
      </w:r>
      <w:r>
        <w:rPr>
          <w:rFonts w:hint="eastAsia" w:ascii="宋体" w:hAnsi="宋体" w:eastAsia="宋体" w:cs="宋体"/>
          <w:color w:val="auto"/>
          <w:kern w:val="0"/>
          <w:szCs w:val="21"/>
          <w:highlight w:val="none"/>
        </w:rPr>
        <w:t xml:space="preserve">    </w:t>
      </w:r>
    </w:p>
    <w:p w14:paraId="0755BD79">
      <w:pPr>
        <w:autoSpaceDE w:val="0"/>
        <w:autoSpaceDN w:val="0"/>
        <w:adjustRightIn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三、不向项目有关人员及部门提供有可能影响公正的宴请和健身娱乐等活动；</w:t>
      </w:r>
      <w:r>
        <w:rPr>
          <w:rFonts w:hint="eastAsia" w:ascii="宋体" w:hAnsi="宋体" w:eastAsia="宋体" w:cs="宋体"/>
          <w:color w:val="auto"/>
          <w:kern w:val="0"/>
          <w:szCs w:val="21"/>
          <w:highlight w:val="none"/>
        </w:rPr>
        <w:t xml:space="preserve">    </w:t>
      </w:r>
    </w:p>
    <w:p w14:paraId="1E9B28A5">
      <w:pPr>
        <w:autoSpaceDE w:val="0"/>
        <w:autoSpaceDN w:val="0"/>
        <w:adjustRightIn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四、不为项目有关人员及部门出国（境）、旅游等提供方便；    </w:t>
      </w:r>
    </w:p>
    <w:p w14:paraId="64C58166">
      <w:pPr>
        <w:autoSpaceDE w:val="0"/>
        <w:autoSpaceDN w:val="0"/>
        <w:adjustRightIn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五、不为项目有关人员个人装修住房、婚丧嫁娶、配偶子女工作安排等提供好处；</w:t>
      </w:r>
      <w:r>
        <w:rPr>
          <w:rFonts w:hint="eastAsia" w:ascii="宋体" w:hAnsi="宋体" w:eastAsia="宋体" w:cs="宋体"/>
          <w:color w:val="auto"/>
          <w:kern w:val="0"/>
          <w:szCs w:val="21"/>
          <w:highlight w:val="none"/>
        </w:rPr>
        <w:t xml:space="preserve">    </w:t>
      </w:r>
    </w:p>
    <w:p w14:paraId="0AB05392">
      <w:pPr>
        <w:autoSpaceDE w:val="0"/>
        <w:autoSpaceDN w:val="0"/>
        <w:adjustRightInd w:val="0"/>
        <w:spacing w:line="400" w:lineRule="exact"/>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六、严格遵守政府采购法、招标投标法、合同法等法律，诚实守信，合法经营，坚决抵制各种违法违纪行为。</w:t>
      </w:r>
    </w:p>
    <w:p w14:paraId="36038B35">
      <w:pPr>
        <w:autoSpaceDE w:val="0"/>
        <w:autoSpaceDN w:val="0"/>
        <w:adjustRightIn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如违反上述承诺，你单位有权立即取消我单位投标、中标或在建项目的建设资格，有权拒绝我单位在一定时期内进入你单位进行项目建设或其他经营活动，并通报政府采购监督管理部门。由此引起的相应损失均由我单位承担。</w:t>
      </w:r>
    </w:p>
    <w:p w14:paraId="426C6A14">
      <w:pPr>
        <w:tabs>
          <w:tab w:val="left" w:pos="1418"/>
        </w:tabs>
        <w:spacing w:line="400" w:lineRule="exact"/>
        <w:rPr>
          <w:rFonts w:hint="eastAsia" w:ascii="宋体" w:hAnsi="宋体" w:eastAsia="宋体" w:cs="宋体"/>
          <w:color w:val="auto"/>
          <w:kern w:val="0"/>
          <w:szCs w:val="21"/>
          <w:highlight w:val="none"/>
        </w:rPr>
      </w:pPr>
    </w:p>
    <w:p w14:paraId="2356149E">
      <w:pPr>
        <w:tabs>
          <w:tab w:val="left" w:pos="1418"/>
        </w:tabs>
        <w:spacing w:line="400" w:lineRule="exact"/>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法定代表人或委托代理人</w:t>
      </w:r>
      <w:r>
        <w:rPr>
          <w:rFonts w:hint="eastAsia" w:ascii="宋体" w:hAnsi="宋体" w:eastAsia="宋体" w:cs="宋体"/>
          <w:color w:val="auto"/>
          <w:szCs w:val="21"/>
          <w:highlight w:val="none"/>
        </w:rPr>
        <w:t>签字（或盖章）</w:t>
      </w:r>
      <w:r>
        <w:rPr>
          <w:rFonts w:hint="eastAsia" w:ascii="宋体" w:hAnsi="宋体" w:eastAsia="宋体" w:cs="宋体"/>
          <w:color w:val="auto"/>
          <w:szCs w:val="21"/>
          <w:highlight w:val="none"/>
        </w:rPr>
        <w:t>：</w:t>
      </w:r>
      <w:r>
        <w:rPr>
          <w:rFonts w:hint="eastAsia" w:ascii="宋体" w:hAnsi="宋体" w:eastAsia="宋体" w:cs="宋体"/>
          <w:bCs/>
          <w:color w:val="auto"/>
          <w:szCs w:val="21"/>
          <w:highlight w:val="none"/>
        </w:rPr>
        <w:t xml:space="preserve"> </w:t>
      </w:r>
    </w:p>
    <w:p w14:paraId="72FF2990">
      <w:pPr>
        <w:tabs>
          <w:tab w:val="left" w:pos="1418"/>
        </w:tabs>
        <w:spacing w:line="400" w:lineRule="exact"/>
        <w:rPr>
          <w:rFonts w:hint="eastAsia" w:ascii="宋体" w:hAnsi="宋体" w:eastAsia="宋体" w:cs="宋体"/>
          <w:b/>
          <w:bCs/>
          <w:color w:val="auto"/>
          <w:szCs w:val="21"/>
          <w:highlight w:val="none"/>
        </w:rPr>
      </w:pPr>
      <w:r>
        <w:rPr>
          <w:rFonts w:hint="eastAsia" w:ascii="宋体" w:hAnsi="宋体" w:eastAsia="宋体" w:cs="宋体"/>
          <w:bCs/>
          <w:color w:val="auto"/>
          <w:szCs w:val="21"/>
          <w:highlight w:val="none"/>
        </w:rPr>
        <w:t>投 标 人（盖章）：                              年  月  日</w:t>
      </w:r>
    </w:p>
    <w:p w14:paraId="0528884A">
      <w:pPr>
        <w:tabs>
          <w:tab w:val="left" w:pos="1418"/>
        </w:tabs>
        <w:spacing w:line="400" w:lineRule="exact"/>
        <w:rPr>
          <w:rFonts w:hint="eastAsia" w:ascii="宋体" w:hAnsi="宋体" w:eastAsia="宋体" w:cs="宋体"/>
          <w:bCs/>
          <w:color w:val="auto"/>
          <w:szCs w:val="21"/>
          <w:highlight w:val="none"/>
        </w:rPr>
      </w:pPr>
    </w:p>
    <w:p w14:paraId="00CAE9F0">
      <w:pPr>
        <w:tabs>
          <w:tab w:val="left" w:pos="1418"/>
        </w:tabs>
        <w:spacing w:line="400" w:lineRule="exact"/>
        <w:rPr>
          <w:rFonts w:hint="eastAsia" w:ascii="宋体" w:hAnsi="宋体" w:eastAsia="宋体" w:cs="宋体"/>
          <w:bCs/>
          <w:color w:val="auto"/>
          <w:szCs w:val="21"/>
          <w:highlight w:val="none"/>
        </w:rPr>
      </w:pPr>
    </w:p>
    <w:p w14:paraId="1D1D175B">
      <w:pPr>
        <w:tabs>
          <w:tab w:val="left" w:pos="1418"/>
        </w:tabs>
        <w:spacing w:line="400" w:lineRule="exact"/>
        <w:rPr>
          <w:rFonts w:hint="eastAsia" w:ascii="宋体" w:hAnsi="宋体" w:eastAsia="宋体" w:cs="宋体"/>
          <w:bCs/>
          <w:color w:val="auto"/>
          <w:szCs w:val="21"/>
          <w:highlight w:val="none"/>
        </w:rPr>
      </w:pPr>
    </w:p>
    <w:p w14:paraId="495DC78C">
      <w:pPr>
        <w:tabs>
          <w:tab w:val="left" w:pos="1418"/>
        </w:tabs>
        <w:spacing w:line="400" w:lineRule="exact"/>
        <w:rPr>
          <w:rFonts w:hint="eastAsia" w:ascii="宋体" w:hAnsi="宋体" w:eastAsia="宋体" w:cs="宋体"/>
          <w:bCs/>
          <w:color w:val="auto"/>
          <w:szCs w:val="21"/>
          <w:highlight w:val="none"/>
        </w:rPr>
      </w:pPr>
    </w:p>
    <w:p w14:paraId="1072A7B4">
      <w:pPr>
        <w:tabs>
          <w:tab w:val="left" w:pos="1418"/>
        </w:tabs>
        <w:spacing w:line="400" w:lineRule="exact"/>
        <w:rPr>
          <w:rFonts w:hint="eastAsia" w:ascii="宋体" w:hAnsi="宋体" w:eastAsia="宋体" w:cs="宋体"/>
          <w:bCs/>
          <w:color w:val="auto"/>
          <w:szCs w:val="21"/>
          <w:highlight w:val="none"/>
        </w:rPr>
      </w:pPr>
    </w:p>
    <w:p w14:paraId="49203AAA">
      <w:pPr>
        <w:tabs>
          <w:tab w:val="left" w:pos="1418"/>
        </w:tabs>
        <w:spacing w:line="400" w:lineRule="exact"/>
        <w:rPr>
          <w:rFonts w:hint="eastAsia" w:ascii="宋体" w:hAnsi="宋体" w:eastAsia="宋体" w:cs="宋体"/>
          <w:bCs/>
          <w:color w:val="auto"/>
          <w:szCs w:val="21"/>
          <w:highlight w:val="none"/>
        </w:rPr>
      </w:pPr>
    </w:p>
    <w:p w14:paraId="61EDAB7D">
      <w:pPr>
        <w:tabs>
          <w:tab w:val="left" w:pos="1418"/>
        </w:tabs>
        <w:spacing w:line="400" w:lineRule="exact"/>
        <w:rPr>
          <w:rFonts w:hint="eastAsia" w:ascii="宋体" w:hAnsi="宋体" w:eastAsia="宋体" w:cs="宋体"/>
          <w:bCs/>
          <w:color w:val="auto"/>
          <w:szCs w:val="21"/>
          <w:highlight w:val="none"/>
        </w:rPr>
      </w:pPr>
    </w:p>
    <w:p w14:paraId="779C4331">
      <w:pPr>
        <w:tabs>
          <w:tab w:val="left" w:pos="1418"/>
        </w:tabs>
        <w:spacing w:line="400" w:lineRule="exact"/>
        <w:rPr>
          <w:rFonts w:hint="eastAsia" w:ascii="宋体" w:hAnsi="宋体" w:eastAsia="宋体" w:cs="宋体"/>
          <w:bCs/>
          <w:color w:val="auto"/>
          <w:szCs w:val="21"/>
          <w:highlight w:val="none"/>
        </w:rPr>
      </w:pPr>
    </w:p>
    <w:p w14:paraId="6E2899E2">
      <w:pPr>
        <w:tabs>
          <w:tab w:val="left" w:pos="1418"/>
        </w:tabs>
        <w:spacing w:line="400" w:lineRule="exact"/>
        <w:rPr>
          <w:rFonts w:hint="eastAsia" w:ascii="宋体" w:hAnsi="宋体" w:eastAsia="宋体" w:cs="宋体"/>
          <w:bCs/>
          <w:color w:val="auto"/>
          <w:szCs w:val="21"/>
          <w:highlight w:val="none"/>
        </w:rPr>
      </w:pPr>
    </w:p>
    <w:p w14:paraId="7D002810">
      <w:pPr>
        <w:tabs>
          <w:tab w:val="left" w:pos="1418"/>
        </w:tabs>
        <w:spacing w:line="400" w:lineRule="exact"/>
        <w:rPr>
          <w:rFonts w:hint="eastAsia" w:ascii="宋体" w:hAnsi="宋体" w:eastAsia="宋体" w:cs="宋体"/>
          <w:bCs/>
          <w:color w:val="auto"/>
          <w:szCs w:val="21"/>
          <w:highlight w:val="none"/>
        </w:rPr>
      </w:pPr>
    </w:p>
    <w:p w14:paraId="5D3BC3D4">
      <w:pPr>
        <w:tabs>
          <w:tab w:val="left" w:pos="1418"/>
        </w:tabs>
        <w:spacing w:line="400" w:lineRule="exact"/>
        <w:rPr>
          <w:rFonts w:hint="eastAsia" w:ascii="宋体" w:hAnsi="宋体" w:eastAsia="宋体" w:cs="宋体"/>
          <w:bCs/>
          <w:color w:val="auto"/>
          <w:szCs w:val="21"/>
          <w:highlight w:val="none"/>
        </w:rPr>
      </w:pPr>
    </w:p>
    <w:p w14:paraId="4FE8AE89">
      <w:pPr>
        <w:tabs>
          <w:tab w:val="left" w:pos="1418"/>
        </w:tabs>
        <w:spacing w:line="400" w:lineRule="exact"/>
        <w:rPr>
          <w:rFonts w:hint="eastAsia" w:ascii="宋体" w:hAnsi="宋体" w:eastAsia="宋体" w:cs="宋体"/>
          <w:bCs/>
          <w:color w:val="auto"/>
          <w:szCs w:val="21"/>
          <w:highlight w:val="none"/>
        </w:rPr>
      </w:pPr>
    </w:p>
    <w:p w14:paraId="1AA90E2D">
      <w:pPr>
        <w:tabs>
          <w:tab w:val="left" w:pos="1418"/>
        </w:tabs>
        <w:spacing w:line="400" w:lineRule="exact"/>
        <w:rPr>
          <w:rFonts w:hint="eastAsia" w:ascii="宋体" w:hAnsi="宋体" w:eastAsia="宋体" w:cs="宋体"/>
          <w:bCs/>
          <w:color w:val="auto"/>
          <w:szCs w:val="21"/>
          <w:highlight w:val="none"/>
        </w:rPr>
      </w:pPr>
    </w:p>
    <w:p w14:paraId="451055BE">
      <w:pPr>
        <w:tabs>
          <w:tab w:val="left" w:pos="1418"/>
        </w:tabs>
        <w:spacing w:line="400" w:lineRule="exact"/>
        <w:rPr>
          <w:rFonts w:hint="eastAsia" w:ascii="宋体" w:hAnsi="宋体" w:eastAsia="宋体" w:cs="宋体"/>
          <w:bCs/>
          <w:color w:val="auto"/>
          <w:szCs w:val="21"/>
          <w:highlight w:val="none"/>
        </w:rPr>
      </w:pPr>
    </w:p>
    <w:p w14:paraId="02401C9F">
      <w:pPr>
        <w:snapToGrid w:val="0"/>
        <w:spacing w:line="400" w:lineRule="exact"/>
        <w:outlineLvl w:val="1"/>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二</w:t>
      </w:r>
      <w:r>
        <w:rPr>
          <w:rFonts w:hint="eastAsia" w:ascii="宋体" w:hAnsi="宋体" w:eastAsia="宋体" w:cs="宋体"/>
          <w:b/>
          <w:bCs/>
          <w:color w:val="auto"/>
          <w:szCs w:val="21"/>
          <w:highlight w:val="none"/>
        </w:rPr>
        <w:t>、投标报价文件格式</w:t>
      </w:r>
    </w:p>
    <w:p w14:paraId="12A88901">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4.投标报价</w:t>
      </w:r>
      <w:r>
        <w:rPr>
          <w:rFonts w:hint="eastAsia" w:ascii="宋体" w:hAnsi="宋体" w:eastAsia="宋体" w:cs="宋体"/>
          <w:bCs/>
          <w:color w:val="auto"/>
          <w:szCs w:val="21"/>
          <w:highlight w:val="none"/>
        </w:rPr>
        <w:t>文件的外包装封面格式：</w:t>
      </w:r>
    </w:p>
    <w:p w14:paraId="52670686">
      <w:pPr>
        <w:keepNext/>
        <w:keepLines/>
        <w:spacing w:before="260" w:after="260" w:line="400" w:lineRule="exact"/>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投标报价文件</w:t>
      </w:r>
    </w:p>
    <w:p w14:paraId="3AFFC1CF">
      <w:pPr>
        <w:snapToGrid w:val="0"/>
        <w:spacing w:line="400" w:lineRule="exact"/>
        <w:ind w:firstLine="787" w:firstLineChars="375"/>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项目名称：</w:t>
      </w:r>
    </w:p>
    <w:p w14:paraId="2331179E">
      <w:pPr>
        <w:snapToGrid w:val="0"/>
        <w:spacing w:line="400" w:lineRule="exact"/>
        <w:ind w:firstLine="787" w:firstLineChars="375"/>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项目编号：</w:t>
      </w:r>
    </w:p>
    <w:p w14:paraId="7471D05F">
      <w:pPr>
        <w:snapToGrid w:val="0"/>
        <w:spacing w:line="400" w:lineRule="exact"/>
        <w:ind w:firstLine="787" w:firstLineChars="375"/>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投标人名称（盖章）：</w:t>
      </w:r>
    </w:p>
    <w:p w14:paraId="385531F6">
      <w:pPr>
        <w:snapToGrid w:val="0"/>
        <w:spacing w:line="400" w:lineRule="exact"/>
        <w:ind w:firstLine="787" w:firstLineChars="375"/>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投标人地址：</w:t>
      </w:r>
    </w:p>
    <w:p w14:paraId="2E4973A1">
      <w:pPr>
        <w:snapToGrid w:val="0"/>
        <w:spacing w:line="400" w:lineRule="exact"/>
        <w:ind w:firstLine="787" w:firstLineChars="375"/>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在  年  月  日  时  分之前不得启封</w:t>
      </w:r>
    </w:p>
    <w:p w14:paraId="6D40BE51">
      <w:pPr>
        <w:snapToGrid w:val="0"/>
        <w:spacing w:line="400" w:lineRule="exact"/>
        <w:ind w:firstLine="645"/>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  月  日</w:t>
      </w:r>
    </w:p>
    <w:p w14:paraId="6BAE2E08">
      <w:pPr>
        <w:snapToGrid w:val="0"/>
        <w:spacing w:line="400" w:lineRule="exact"/>
        <w:rPr>
          <w:rFonts w:hint="eastAsia" w:ascii="宋体" w:hAnsi="宋体" w:eastAsia="宋体" w:cs="宋体"/>
          <w:color w:val="auto"/>
          <w:szCs w:val="21"/>
          <w:highlight w:val="none"/>
        </w:rPr>
      </w:pPr>
    </w:p>
    <w:p w14:paraId="0C102D48">
      <w:pPr>
        <w:snapToGrid w:val="0"/>
        <w:spacing w:line="400" w:lineRule="exact"/>
        <w:rPr>
          <w:rFonts w:hint="eastAsia" w:ascii="宋体" w:hAnsi="宋体" w:eastAsia="宋体" w:cs="宋体"/>
          <w:color w:val="auto"/>
          <w:szCs w:val="21"/>
          <w:highlight w:val="none"/>
        </w:rPr>
      </w:pPr>
    </w:p>
    <w:p w14:paraId="699B4482">
      <w:pPr>
        <w:snapToGrid w:val="0"/>
        <w:spacing w:line="400" w:lineRule="exact"/>
        <w:rPr>
          <w:rFonts w:hint="eastAsia" w:ascii="宋体" w:hAnsi="宋体" w:eastAsia="宋体" w:cs="宋体"/>
          <w:color w:val="auto"/>
          <w:szCs w:val="21"/>
          <w:highlight w:val="none"/>
        </w:rPr>
      </w:pPr>
    </w:p>
    <w:p w14:paraId="70284656">
      <w:pPr>
        <w:snapToGrid w:val="0"/>
        <w:spacing w:line="400" w:lineRule="exact"/>
        <w:rPr>
          <w:rFonts w:hint="eastAsia" w:ascii="宋体" w:hAnsi="宋体" w:eastAsia="宋体" w:cs="宋体"/>
          <w:color w:val="auto"/>
          <w:szCs w:val="21"/>
          <w:highlight w:val="none"/>
        </w:rPr>
      </w:pPr>
    </w:p>
    <w:p w14:paraId="1D5FD9F4">
      <w:pPr>
        <w:snapToGrid w:val="0"/>
        <w:spacing w:line="400" w:lineRule="exac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5</w:t>
      </w:r>
      <w:r>
        <w:rPr>
          <w:rFonts w:hint="eastAsia" w:ascii="宋体" w:hAnsi="宋体" w:eastAsia="宋体" w:cs="宋体"/>
          <w:color w:val="auto"/>
          <w:szCs w:val="21"/>
          <w:highlight w:val="none"/>
        </w:rPr>
        <w:t>.投标报价文件封面格式</w:t>
      </w:r>
    </w:p>
    <w:p w14:paraId="0C066DE7">
      <w:pPr>
        <w:snapToGrid w:val="0"/>
        <w:spacing w:line="400" w:lineRule="exac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b/>
          <w:bCs/>
          <w:color w:val="auto"/>
          <w:szCs w:val="21"/>
          <w:highlight w:val="none"/>
        </w:rPr>
        <w:t>正本/或副本</w:t>
      </w:r>
    </w:p>
    <w:p w14:paraId="1F06DF11">
      <w:pPr>
        <w:snapToGrid w:val="0"/>
        <w:spacing w:beforeLines="50" w:line="40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投标报价文件</w:t>
      </w:r>
    </w:p>
    <w:p w14:paraId="3B86E89E">
      <w:pPr>
        <w:snapToGrid w:val="0"/>
        <w:spacing w:line="400" w:lineRule="exact"/>
        <w:ind w:firstLine="787" w:firstLineChars="375"/>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项目名称：</w:t>
      </w:r>
    </w:p>
    <w:p w14:paraId="741BA2B3">
      <w:pPr>
        <w:snapToGrid w:val="0"/>
        <w:spacing w:line="400" w:lineRule="exact"/>
        <w:ind w:firstLine="787" w:firstLineChars="375"/>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项目编号：</w:t>
      </w:r>
    </w:p>
    <w:p w14:paraId="7B9D5021">
      <w:pPr>
        <w:snapToGrid w:val="0"/>
        <w:spacing w:line="400" w:lineRule="exact"/>
        <w:ind w:firstLine="787" w:firstLineChars="375"/>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投标人名称（盖章）：</w:t>
      </w:r>
    </w:p>
    <w:p w14:paraId="1DDD5374">
      <w:pPr>
        <w:snapToGrid w:val="0"/>
        <w:spacing w:line="400" w:lineRule="exact"/>
        <w:ind w:firstLine="787" w:firstLineChars="375"/>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投标人地址：</w:t>
      </w:r>
    </w:p>
    <w:p w14:paraId="4D12D82A">
      <w:pPr>
        <w:snapToGrid w:val="0"/>
        <w:spacing w:line="400" w:lineRule="exact"/>
        <w:ind w:firstLine="2870" w:firstLineChars="1367"/>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  月  日</w:t>
      </w:r>
    </w:p>
    <w:p w14:paraId="685FC867">
      <w:pPr>
        <w:snapToGrid w:val="0"/>
        <w:spacing w:line="400" w:lineRule="exact"/>
        <w:rPr>
          <w:rFonts w:hint="eastAsia" w:ascii="宋体" w:hAnsi="宋体" w:eastAsia="宋体" w:cs="宋体"/>
          <w:bCs/>
          <w:color w:val="auto"/>
          <w:szCs w:val="21"/>
          <w:highlight w:val="none"/>
        </w:rPr>
      </w:pPr>
    </w:p>
    <w:p w14:paraId="45EF31E9">
      <w:pPr>
        <w:snapToGrid w:val="0"/>
        <w:spacing w:line="400" w:lineRule="exact"/>
        <w:rPr>
          <w:rFonts w:hint="eastAsia" w:ascii="宋体" w:hAnsi="宋体" w:eastAsia="宋体" w:cs="宋体"/>
          <w:bCs/>
          <w:color w:val="auto"/>
          <w:szCs w:val="21"/>
          <w:highlight w:val="none"/>
        </w:rPr>
      </w:pPr>
    </w:p>
    <w:p w14:paraId="58064E78">
      <w:pPr>
        <w:snapToGrid w:val="0"/>
        <w:spacing w:line="400" w:lineRule="exact"/>
        <w:rPr>
          <w:rFonts w:hint="eastAsia" w:ascii="宋体" w:hAnsi="宋体" w:eastAsia="宋体" w:cs="宋体"/>
          <w:bCs/>
          <w:color w:val="auto"/>
          <w:szCs w:val="21"/>
          <w:highlight w:val="none"/>
        </w:rPr>
      </w:pPr>
    </w:p>
    <w:p w14:paraId="6EA75F70">
      <w:pPr>
        <w:snapToGrid w:val="0"/>
        <w:spacing w:line="400" w:lineRule="exact"/>
        <w:rPr>
          <w:rFonts w:hint="eastAsia" w:ascii="宋体" w:hAnsi="宋体" w:eastAsia="宋体" w:cs="宋体"/>
          <w:bCs/>
          <w:color w:val="auto"/>
          <w:szCs w:val="21"/>
          <w:highlight w:val="none"/>
        </w:rPr>
      </w:pPr>
    </w:p>
    <w:p w14:paraId="77EE3835">
      <w:pPr>
        <w:snapToGrid w:val="0"/>
        <w:spacing w:line="400" w:lineRule="exact"/>
        <w:rPr>
          <w:rFonts w:hint="eastAsia" w:ascii="宋体" w:hAnsi="宋体" w:eastAsia="宋体" w:cs="宋体"/>
          <w:bCs/>
          <w:color w:val="auto"/>
          <w:szCs w:val="21"/>
          <w:highlight w:val="none"/>
        </w:rPr>
      </w:pPr>
    </w:p>
    <w:p w14:paraId="0198801A">
      <w:pPr>
        <w:snapToGrid w:val="0"/>
        <w:spacing w:line="400" w:lineRule="exact"/>
        <w:rPr>
          <w:rFonts w:hint="eastAsia" w:ascii="宋体" w:hAnsi="宋体" w:eastAsia="宋体" w:cs="宋体"/>
          <w:bCs/>
          <w:color w:val="auto"/>
          <w:szCs w:val="21"/>
          <w:highlight w:val="none"/>
        </w:rPr>
      </w:pPr>
    </w:p>
    <w:p w14:paraId="40E9CA64">
      <w:pPr>
        <w:widowControl/>
        <w:adjustRightInd w:val="0"/>
        <w:snapToGrid w:val="0"/>
        <w:jc w:val="left"/>
        <w:rPr>
          <w:rFonts w:hint="eastAsia" w:ascii="宋体" w:hAnsi="宋体" w:eastAsia="宋体" w:cs="宋体"/>
          <w:bCs/>
          <w:color w:val="auto"/>
          <w:kern w:val="0"/>
          <w:sz w:val="22"/>
          <w:szCs w:val="21"/>
          <w:highlight w:val="none"/>
        </w:rPr>
      </w:pPr>
    </w:p>
    <w:p w14:paraId="0F8629B9">
      <w:pPr>
        <w:widowControl/>
        <w:adjustRightInd w:val="0"/>
        <w:snapToGrid w:val="0"/>
        <w:jc w:val="left"/>
        <w:rPr>
          <w:rFonts w:hint="eastAsia" w:ascii="宋体" w:hAnsi="宋体" w:eastAsia="宋体" w:cs="宋体"/>
          <w:bCs/>
          <w:color w:val="auto"/>
          <w:kern w:val="0"/>
          <w:sz w:val="22"/>
          <w:szCs w:val="21"/>
          <w:highlight w:val="none"/>
        </w:rPr>
      </w:pPr>
    </w:p>
    <w:p w14:paraId="720D08F5">
      <w:pPr>
        <w:widowControl/>
        <w:adjustRightInd w:val="0"/>
        <w:snapToGrid w:val="0"/>
        <w:jc w:val="left"/>
        <w:rPr>
          <w:rFonts w:hint="eastAsia" w:ascii="宋体" w:hAnsi="宋体" w:eastAsia="宋体" w:cs="宋体"/>
          <w:bCs/>
          <w:color w:val="auto"/>
          <w:kern w:val="0"/>
          <w:sz w:val="22"/>
          <w:szCs w:val="21"/>
          <w:highlight w:val="none"/>
        </w:rPr>
      </w:pPr>
    </w:p>
    <w:p w14:paraId="68FA6EED">
      <w:pPr>
        <w:snapToGrid w:val="0"/>
        <w:spacing w:line="400" w:lineRule="exact"/>
        <w:rPr>
          <w:rFonts w:hint="eastAsia" w:ascii="宋体" w:hAnsi="宋体" w:eastAsia="宋体" w:cs="宋体"/>
          <w:bCs/>
          <w:color w:val="auto"/>
          <w:szCs w:val="21"/>
          <w:highlight w:val="none"/>
        </w:rPr>
      </w:pPr>
    </w:p>
    <w:p w14:paraId="4D2ADC81">
      <w:pPr>
        <w:snapToGrid w:val="0"/>
        <w:spacing w:line="400" w:lineRule="exact"/>
        <w:rPr>
          <w:rFonts w:hint="eastAsia" w:ascii="宋体" w:hAnsi="宋体" w:eastAsia="宋体" w:cs="宋体"/>
          <w:bCs/>
          <w:color w:val="auto"/>
          <w:szCs w:val="21"/>
          <w:highlight w:val="none"/>
        </w:rPr>
      </w:pPr>
    </w:p>
    <w:p w14:paraId="6C8BE715">
      <w:pPr>
        <w:snapToGrid w:val="0"/>
        <w:spacing w:line="400" w:lineRule="exact"/>
        <w:rPr>
          <w:rFonts w:hint="eastAsia" w:ascii="宋体" w:hAnsi="宋体" w:eastAsia="宋体" w:cs="宋体"/>
          <w:bCs/>
          <w:color w:val="auto"/>
          <w:szCs w:val="21"/>
          <w:highlight w:val="none"/>
        </w:rPr>
      </w:pPr>
    </w:p>
    <w:p w14:paraId="679DA105">
      <w:pPr>
        <w:snapToGrid w:val="0"/>
        <w:spacing w:line="400" w:lineRule="exact"/>
        <w:rPr>
          <w:rFonts w:hint="eastAsia" w:ascii="宋体" w:hAnsi="宋体" w:eastAsia="宋体" w:cs="宋体"/>
          <w:bCs/>
          <w:color w:val="auto"/>
          <w:szCs w:val="21"/>
          <w:highlight w:val="none"/>
        </w:rPr>
      </w:pPr>
    </w:p>
    <w:p w14:paraId="1CB32FF8">
      <w:pPr>
        <w:snapToGrid w:val="0"/>
        <w:spacing w:line="400" w:lineRule="exact"/>
        <w:rPr>
          <w:rFonts w:hint="eastAsia" w:ascii="宋体" w:hAnsi="宋体" w:eastAsia="宋体" w:cs="宋体"/>
          <w:bCs/>
          <w:color w:val="auto"/>
          <w:szCs w:val="21"/>
          <w:highlight w:val="none"/>
        </w:rPr>
      </w:pPr>
    </w:p>
    <w:p w14:paraId="38AB0016">
      <w:pPr>
        <w:snapToGrid w:val="0"/>
        <w:spacing w:line="400" w:lineRule="exac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6</w:t>
      </w:r>
      <w:r>
        <w:rPr>
          <w:rFonts w:hint="eastAsia" w:ascii="宋体" w:hAnsi="宋体" w:eastAsia="宋体" w:cs="宋体"/>
          <w:color w:val="auto"/>
          <w:szCs w:val="21"/>
          <w:highlight w:val="none"/>
        </w:rPr>
        <w:t>.投标报价文件</w:t>
      </w:r>
    </w:p>
    <w:p w14:paraId="3303AC3E">
      <w:pPr>
        <w:keepNext/>
        <w:keepLines/>
        <w:spacing w:before="260" w:after="260" w:line="400" w:lineRule="exact"/>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目 录</w:t>
      </w:r>
    </w:p>
    <w:p w14:paraId="446CDD8B">
      <w:pPr>
        <w:spacing w:line="400" w:lineRule="exac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（1）投标函………………………………………………………………………（页码）</w:t>
      </w:r>
    </w:p>
    <w:p w14:paraId="684BF99B">
      <w:pPr>
        <w:spacing w:line="400" w:lineRule="exac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（2）投标（开标）一览表………………………………………………………（页码）</w:t>
      </w:r>
    </w:p>
    <w:p w14:paraId="1DBAC97F">
      <w:pPr>
        <w:spacing w:line="400" w:lineRule="exact"/>
        <w:outlineLvl w:val="9"/>
        <w:rPr>
          <w:rFonts w:hint="eastAsia" w:ascii="宋体" w:hAnsi="宋体" w:eastAsia="宋体" w:cs="宋体"/>
          <w:color w:val="auto"/>
          <w:kern w:val="0"/>
          <w:szCs w:val="21"/>
          <w:highlight w:val="none"/>
        </w:rPr>
      </w:pPr>
      <w:r>
        <w:rPr>
          <w:rFonts w:hint="eastAsia" w:ascii="宋体" w:hAnsi="宋体" w:eastAsia="宋体" w:cs="宋体"/>
          <w:color w:val="auto"/>
          <w:szCs w:val="24"/>
          <w:highlight w:val="none"/>
        </w:rPr>
        <w:t>（3）</w:t>
      </w:r>
      <w:r>
        <w:rPr>
          <w:rFonts w:hint="eastAsia" w:ascii="宋体" w:hAnsi="宋体" w:eastAsia="宋体" w:cs="宋体"/>
          <w:color w:val="auto"/>
          <w:kern w:val="0"/>
          <w:szCs w:val="21"/>
          <w:highlight w:val="none"/>
        </w:rPr>
        <w:t>投标人认为需要的其他报价文件或说明…………………………………（页码）</w:t>
      </w:r>
    </w:p>
    <w:p w14:paraId="5A073A79">
      <w:pPr>
        <w:spacing w:line="400" w:lineRule="exact"/>
        <w:rPr>
          <w:rFonts w:hint="eastAsia" w:ascii="宋体" w:hAnsi="宋体" w:eastAsia="宋体" w:cs="宋体"/>
          <w:color w:val="auto"/>
          <w:szCs w:val="21"/>
          <w:highlight w:val="none"/>
        </w:rPr>
      </w:pPr>
    </w:p>
    <w:p w14:paraId="4B99C965">
      <w:pPr>
        <w:spacing w:line="400" w:lineRule="exact"/>
        <w:rPr>
          <w:rFonts w:hint="eastAsia" w:ascii="宋体" w:hAnsi="宋体" w:eastAsia="宋体" w:cs="宋体"/>
          <w:color w:val="auto"/>
          <w:szCs w:val="21"/>
          <w:highlight w:val="none"/>
        </w:rPr>
      </w:pPr>
    </w:p>
    <w:p w14:paraId="728BCDA2">
      <w:pPr>
        <w:spacing w:line="400" w:lineRule="exact"/>
        <w:rPr>
          <w:rFonts w:hint="eastAsia" w:ascii="宋体" w:hAnsi="宋体" w:eastAsia="宋体" w:cs="宋体"/>
          <w:color w:val="auto"/>
          <w:szCs w:val="21"/>
          <w:highlight w:val="none"/>
        </w:rPr>
      </w:pPr>
    </w:p>
    <w:p w14:paraId="7E10936F">
      <w:pPr>
        <w:spacing w:line="400" w:lineRule="exact"/>
        <w:rPr>
          <w:rFonts w:hint="eastAsia" w:ascii="宋体" w:hAnsi="宋体" w:eastAsia="宋体" w:cs="宋体"/>
          <w:color w:val="auto"/>
          <w:szCs w:val="21"/>
          <w:highlight w:val="none"/>
        </w:rPr>
      </w:pPr>
    </w:p>
    <w:p w14:paraId="63E13128">
      <w:pPr>
        <w:spacing w:line="400" w:lineRule="exact"/>
        <w:rPr>
          <w:rFonts w:hint="eastAsia" w:ascii="宋体" w:hAnsi="宋体" w:eastAsia="宋体" w:cs="宋体"/>
          <w:color w:val="auto"/>
          <w:szCs w:val="21"/>
          <w:highlight w:val="none"/>
        </w:rPr>
      </w:pPr>
    </w:p>
    <w:p w14:paraId="7C4F5F79">
      <w:pPr>
        <w:spacing w:line="400" w:lineRule="exact"/>
        <w:rPr>
          <w:rFonts w:hint="eastAsia" w:ascii="宋体" w:hAnsi="宋体" w:eastAsia="宋体" w:cs="宋体"/>
          <w:color w:val="auto"/>
          <w:szCs w:val="21"/>
          <w:highlight w:val="none"/>
        </w:rPr>
      </w:pPr>
    </w:p>
    <w:p w14:paraId="5BCCFA27">
      <w:pPr>
        <w:spacing w:line="400" w:lineRule="exact"/>
        <w:rPr>
          <w:rFonts w:hint="eastAsia" w:ascii="宋体" w:hAnsi="宋体" w:eastAsia="宋体" w:cs="宋体"/>
          <w:color w:val="auto"/>
          <w:szCs w:val="21"/>
          <w:highlight w:val="none"/>
        </w:rPr>
      </w:pPr>
    </w:p>
    <w:p w14:paraId="336EFC96">
      <w:pPr>
        <w:spacing w:line="400" w:lineRule="exact"/>
        <w:rPr>
          <w:rFonts w:hint="eastAsia" w:ascii="宋体" w:hAnsi="宋体" w:eastAsia="宋体" w:cs="宋体"/>
          <w:color w:val="auto"/>
          <w:szCs w:val="21"/>
          <w:highlight w:val="none"/>
        </w:rPr>
      </w:pPr>
    </w:p>
    <w:p w14:paraId="7950DB2D">
      <w:pPr>
        <w:spacing w:line="400" w:lineRule="exact"/>
        <w:rPr>
          <w:rFonts w:hint="eastAsia" w:ascii="宋体" w:hAnsi="宋体" w:eastAsia="宋体" w:cs="宋体"/>
          <w:color w:val="auto"/>
          <w:szCs w:val="21"/>
          <w:highlight w:val="none"/>
        </w:rPr>
      </w:pPr>
    </w:p>
    <w:p w14:paraId="3DD15DC6">
      <w:pPr>
        <w:spacing w:line="400" w:lineRule="exact"/>
        <w:rPr>
          <w:rFonts w:hint="eastAsia" w:ascii="宋体" w:hAnsi="宋体" w:eastAsia="宋体" w:cs="宋体"/>
          <w:color w:val="auto"/>
          <w:szCs w:val="21"/>
          <w:highlight w:val="none"/>
        </w:rPr>
      </w:pPr>
    </w:p>
    <w:p w14:paraId="08477BAF">
      <w:pPr>
        <w:spacing w:line="400" w:lineRule="exact"/>
        <w:rPr>
          <w:rFonts w:hint="eastAsia" w:ascii="宋体" w:hAnsi="宋体" w:eastAsia="宋体" w:cs="宋体"/>
          <w:color w:val="auto"/>
          <w:szCs w:val="21"/>
          <w:highlight w:val="none"/>
        </w:rPr>
      </w:pPr>
    </w:p>
    <w:p w14:paraId="24D8221F">
      <w:pPr>
        <w:spacing w:line="400" w:lineRule="exact"/>
        <w:rPr>
          <w:rFonts w:hint="eastAsia" w:ascii="宋体" w:hAnsi="宋体" w:eastAsia="宋体" w:cs="宋体"/>
          <w:color w:val="auto"/>
          <w:szCs w:val="21"/>
          <w:highlight w:val="none"/>
        </w:rPr>
      </w:pPr>
    </w:p>
    <w:p w14:paraId="6AF9FE3A">
      <w:pPr>
        <w:spacing w:line="400" w:lineRule="exact"/>
        <w:rPr>
          <w:rFonts w:hint="eastAsia" w:ascii="宋体" w:hAnsi="宋体" w:eastAsia="宋体" w:cs="宋体"/>
          <w:color w:val="auto"/>
          <w:szCs w:val="21"/>
          <w:highlight w:val="none"/>
        </w:rPr>
      </w:pPr>
    </w:p>
    <w:p w14:paraId="151BF5BD">
      <w:pPr>
        <w:spacing w:line="400" w:lineRule="exact"/>
        <w:rPr>
          <w:rFonts w:hint="eastAsia" w:ascii="宋体" w:hAnsi="宋体" w:eastAsia="宋体" w:cs="宋体"/>
          <w:color w:val="auto"/>
          <w:szCs w:val="21"/>
          <w:highlight w:val="none"/>
        </w:rPr>
      </w:pPr>
    </w:p>
    <w:p w14:paraId="637B80A1">
      <w:pPr>
        <w:spacing w:line="400" w:lineRule="exact"/>
        <w:rPr>
          <w:rFonts w:hint="eastAsia" w:ascii="宋体" w:hAnsi="宋体" w:eastAsia="宋体" w:cs="宋体"/>
          <w:color w:val="auto"/>
          <w:szCs w:val="21"/>
          <w:highlight w:val="none"/>
        </w:rPr>
      </w:pPr>
    </w:p>
    <w:p w14:paraId="193D7D22">
      <w:pPr>
        <w:spacing w:line="400" w:lineRule="exact"/>
        <w:rPr>
          <w:rFonts w:hint="eastAsia" w:ascii="宋体" w:hAnsi="宋体" w:eastAsia="宋体" w:cs="宋体"/>
          <w:color w:val="auto"/>
          <w:szCs w:val="21"/>
          <w:highlight w:val="none"/>
        </w:rPr>
      </w:pPr>
    </w:p>
    <w:p w14:paraId="37F66B4D">
      <w:pPr>
        <w:spacing w:line="400" w:lineRule="exact"/>
        <w:rPr>
          <w:rFonts w:hint="eastAsia" w:ascii="宋体" w:hAnsi="宋体" w:eastAsia="宋体" w:cs="宋体"/>
          <w:color w:val="auto"/>
          <w:szCs w:val="21"/>
          <w:highlight w:val="none"/>
        </w:rPr>
      </w:pPr>
    </w:p>
    <w:p w14:paraId="5D0686BB">
      <w:pPr>
        <w:spacing w:line="400" w:lineRule="exact"/>
        <w:rPr>
          <w:rFonts w:hint="eastAsia" w:ascii="宋体" w:hAnsi="宋体" w:eastAsia="宋体" w:cs="宋体"/>
          <w:color w:val="auto"/>
          <w:szCs w:val="21"/>
          <w:highlight w:val="none"/>
        </w:rPr>
      </w:pPr>
    </w:p>
    <w:p w14:paraId="41F1C6ED">
      <w:pPr>
        <w:spacing w:line="400" w:lineRule="exact"/>
        <w:rPr>
          <w:rFonts w:hint="eastAsia" w:ascii="宋体" w:hAnsi="宋体" w:eastAsia="宋体" w:cs="宋体"/>
          <w:color w:val="auto"/>
          <w:szCs w:val="21"/>
          <w:highlight w:val="none"/>
        </w:rPr>
      </w:pPr>
    </w:p>
    <w:p w14:paraId="747D86A0">
      <w:pPr>
        <w:spacing w:line="400" w:lineRule="exact"/>
        <w:rPr>
          <w:rFonts w:hint="eastAsia" w:ascii="宋体" w:hAnsi="宋体" w:eastAsia="宋体" w:cs="宋体"/>
          <w:color w:val="auto"/>
          <w:szCs w:val="21"/>
          <w:highlight w:val="none"/>
        </w:rPr>
      </w:pPr>
    </w:p>
    <w:p w14:paraId="089FB1B5">
      <w:pPr>
        <w:spacing w:line="400" w:lineRule="exact"/>
        <w:rPr>
          <w:rFonts w:hint="eastAsia" w:ascii="宋体" w:hAnsi="宋体" w:eastAsia="宋体" w:cs="宋体"/>
          <w:color w:val="auto"/>
          <w:szCs w:val="21"/>
          <w:highlight w:val="none"/>
        </w:rPr>
      </w:pPr>
    </w:p>
    <w:p w14:paraId="2F9B0FE4">
      <w:pPr>
        <w:spacing w:line="400" w:lineRule="exact"/>
        <w:rPr>
          <w:rFonts w:hint="eastAsia" w:ascii="宋体" w:hAnsi="宋体" w:eastAsia="宋体" w:cs="宋体"/>
          <w:color w:val="auto"/>
          <w:szCs w:val="21"/>
          <w:highlight w:val="none"/>
        </w:rPr>
      </w:pPr>
    </w:p>
    <w:p w14:paraId="7C87B9FA">
      <w:pPr>
        <w:spacing w:line="400" w:lineRule="exact"/>
        <w:rPr>
          <w:rFonts w:hint="eastAsia" w:ascii="宋体" w:hAnsi="宋体" w:eastAsia="宋体" w:cs="宋体"/>
          <w:color w:val="auto"/>
          <w:szCs w:val="21"/>
          <w:highlight w:val="none"/>
        </w:rPr>
      </w:pPr>
    </w:p>
    <w:p w14:paraId="699548AC">
      <w:pPr>
        <w:spacing w:line="400" w:lineRule="exact"/>
        <w:rPr>
          <w:rFonts w:hint="eastAsia" w:ascii="宋体" w:hAnsi="宋体" w:eastAsia="宋体" w:cs="宋体"/>
          <w:color w:val="auto"/>
          <w:szCs w:val="21"/>
          <w:highlight w:val="none"/>
        </w:rPr>
      </w:pPr>
    </w:p>
    <w:p w14:paraId="39C9C183">
      <w:pPr>
        <w:spacing w:line="400" w:lineRule="exact"/>
        <w:rPr>
          <w:rFonts w:hint="eastAsia" w:ascii="宋体" w:hAnsi="宋体" w:eastAsia="宋体" w:cs="宋体"/>
          <w:color w:val="auto"/>
          <w:szCs w:val="21"/>
          <w:highlight w:val="none"/>
        </w:rPr>
      </w:pPr>
    </w:p>
    <w:p w14:paraId="15E22084">
      <w:pPr>
        <w:spacing w:line="400" w:lineRule="exact"/>
        <w:rPr>
          <w:rFonts w:hint="eastAsia" w:ascii="宋体" w:hAnsi="宋体" w:eastAsia="宋体" w:cs="宋体"/>
          <w:color w:val="auto"/>
          <w:szCs w:val="21"/>
          <w:highlight w:val="none"/>
        </w:rPr>
      </w:pPr>
    </w:p>
    <w:p w14:paraId="5FEA9F4B">
      <w:pPr>
        <w:spacing w:line="400" w:lineRule="exact"/>
        <w:rPr>
          <w:rFonts w:hint="eastAsia" w:ascii="宋体" w:hAnsi="宋体" w:eastAsia="宋体" w:cs="宋体"/>
          <w:color w:val="auto"/>
          <w:szCs w:val="21"/>
          <w:highlight w:val="none"/>
        </w:rPr>
      </w:pPr>
    </w:p>
    <w:p w14:paraId="05B1817D">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6.1投标函格式：</w:t>
      </w:r>
    </w:p>
    <w:p w14:paraId="7ADFCBBF">
      <w:pPr>
        <w:keepNext/>
        <w:keepLines/>
        <w:spacing w:before="260" w:after="260" w:line="400" w:lineRule="exact"/>
        <w:jc w:val="center"/>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投标函</w:t>
      </w:r>
    </w:p>
    <w:p w14:paraId="14BFD9B9">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b/>
          <w:color w:val="auto"/>
          <w:szCs w:val="21"/>
          <w:highlight w:val="none"/>
          <w:u w:val="single"/>
          <w:lang w:val="en-US" w:eastAsia="zh-CN"/>
        </w:rPr>
        <w:t xml:space="preserve">                    </w:t>
      </w:r>
      <w:r>
        <w:rPr>
          <w:rFonts w:hint="eastAsia" w:ascii="宋体" w:hAnsi="宋体" w:eastAsia="宋体" w:cs="宋体"/>
          <w:color w:val="auto"/>
          <w:szCs w:val="21"/>
          <w:highlight w:val="none"/>
        </w:rPr>
        <w:t>（招标采购单位名称）：</w:t>
      </w:r>
    </w:p>
    <w:p w14:paraId="379DD7D8">
      <w:pPr>
        <w:snapToGrid w:val="0"/>
        <w:spacing w:line="44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根据贵方为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采购项目的公开招标公告（项目编号</w:t>
      </w:r>
      <w:bookmarkStart w:id="28" w:name="OLE_LINK27"/>
      <w:r>
        <w:rPr>
          <w:rFonts w:hint="eastAsia" w:ascii="宋体" w:hAnsi="宋体" w:eastAsia="宋体" w:cs="宋体"/>
          <w:color w:val="auto"/>
          <w:szCs w:val="21"/>
          <w:highlight w:val="none"/>
        </w:rPr>
        <w:t>：</w:t>
      </w:r>
      <w:bookmarkEnd w:id="28"/>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），签字代表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（全名）经正式授权并代表投标人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（投标人名称）提交资信/商务及技术文件、投标报价文件正本各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份、副本各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w:t>
      </w:r>
    </w:p>
    <w:p w14:paraId="297B5F56">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据此函，签字代表宣布同意如下：</w:t>
      </w:r>
    </w:p>
    <w:p w14:paraId="377641A9">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1.我方已详细审查全部“招标文件”，包括修改文件（如有的话）以及全部参考资料和有关附件，已经了解我方对于“招标文件”、采购过程、采购结果有依法进行询问、质疑、投诉的权利及相关渠道和要求。</w:t>
      </w:r>
    </w:p>
    <w:p w14:paraId="3419121E">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2.我方在投标之前已经与贵方进行了充分的沟通，完全理解并接受“招标文件”的各项规定和要求，对“招标文件”的合理性、合法性不再有异议。</w:t>
      </w:r>
    </w:p>
    <w:p w14:paraId="3B0C80BB">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3.我方同意按照贵方要求提供与投标有关的一切数据或资料。</w:t>
      </w:r>
    </w:p>
    <w:p w14:paraId="2E73319A">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4.我方完全理解贵方不一定要接受最低价的投标。</w:t>
      </w:r>
    </w:p>
    <w:p w14:paraId="494CF44F">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5.本投标有效期自开标日起 _</w:t>
      </w:r>
      <w:r>
        <w:rPr>
          <w:rFonts w:hint="eastAsia" w:ascii="宋体" w:hAnsi="宋体" w:eastAsia="宋体" w:cs="宋体"/>
          <w:color w:val="auto"/>
          <w:szCs w:val="21"/>
          <w:highlight w:val="none"/>
          <w:u w:val="single"/>
        </w:rPr>
        <w:t>90</w:t>
      </w:r>
      <w:r>
        <w:rPr>
          <w:rFonts w:hint="eastAsia" w:ascii="宋体" w:hAnsi="宋体" w:eastAsia="宋体" w:cs="宋体"/>
          <w:color w:val="auto"/>
          <w:szCs w:val="21"/>
          <w:highlight w:val="none"/>
        </w:rPr>
        <w:t>_个日历天。</w:t>
      </w:r>
    </w:p>
    <w:p w14:paraId="7EDAD547">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6.如中标，本投标文件至本项目合同履行完毕均保持有效，本投标人将保证忠实地执行双方所签订的合同，并承担合同规定的责任和义务。</w:t>
      </w:r>
    </w:p>
    <w:p w14:paraId="34928600">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7.我方将严格遵守《中华人民共和国政府采购法》第七十七条、《</w:t>
      </w:r>
      <w:r>
        <w:rPr>
          <w:rFonts w:hint="eastAsia" w:ascii="宋体" w:hAnsi="宋体" w:eastAsia="宋体" w:cs="宋体"/>
          <w:bCs/>
          <w:color w:val="auto"/>
          <w:kern w:val="0"/>
          <w:szCs w:val="21"/>
          <w:highlight w:val="none"/>
        </w:rPr>
        <w:t>浙江省政府采购供应商注册及诚信管理暂行办法》</w:t>
      </w:r>
      <w:r>
        <w:rPr>
          <w:rFonts w:hint="eastAsia" w:ascii="宋体" w:hAnsi="宋体" w:eastAsia="宋体" w:cs="宋体"/>
          <w:color w:val="auto"/>
          <w:kern w:val="0"/>
          <w:szCs w:val="21"/>
          <w:highlight w:val="none"/>
        </w:rPr>
        <w:t>第三十八条、第三十九条、第四十条</w:t>
      </w:r>
      <w:r>
        <w:rPr>
          <w:rFonts w:hint="eastAsia" w:ascii="宋体" w:hAnsi="宋体" w:eastAsia="宋体" w:cs="宋体"/>
          <w:color w:val="auto"/>
          <w:szCs w:val="21"/>
          <w:highlight w:val="none"/>
        </w:rPr>
        <w:t>规定。</w:t>
      </w:r>
    </w:p>
    <w:p w14:paraId="2ECB3670">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8.与本投标有关的一切正式往来信函请寄：</w:t>
      </w:r>
    </w:p>
    <w:p w14:paraId="118C96D6">
      <w:pPr>
        <w:snapToGrid w:val="0"/>
        <w:spacing w:line="440" w:lineRule="exact"/>
        <w:rPr>
          <w:rFonts w:hint="eastAsia" w:ascii="宋体" w:hAnsi="宋体" w:eastAsia="宋体" w:cs="宋体"/>
          <w:color w:val="auto"/>
          <w:szCs w:val="21"/>
          <w:highlight w:val="none"/>
        </w:rPr>
      </w:pPr>
    </w:p>
    <w:p w14:paraId="39BB26FA">
      <w:pPr>
        <w:snapToGrid w:val="0"/>
        <w:spacing w:line="44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邮编：</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u w:val="single"/>
        </w:rPr>
        <w:t xml:space="preserve">              </w:t>
      </w:r>
    </w:p>
    <w:p w14:paraId="34DD26BF">
      <w:pPr>
        <w:snapToGrid w:val="0"/>
        <w:spacing w:line="44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传真：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投标人代表姓名：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职务：</w:t>
      </w:r>
      <w:r>
        <w:rPr>
          <w:rFonts w:hint="eastAsia" w:ascii="宋体" w:hAnsi="宋体" w:eastAsia="宋体" w:cs="宋体"/>
          <w:color w:val="auto"/>
          <w:szCs w:val="21"/>
          <w:highlight w:val="none"/>
          <w:u w:val="single"/>
        </w:rPr>
        <w:t xml:space="preserve">              </w:t>
      </w:r>
    </w:p>
    <w:p w14:paraId="657264D0">
      <w:pPr>
        <w:snapToGrid w:val="0"/>
        <w:spacing w:line="44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投标人名称(公章):</w:t>
      </w:r>
      <w:r>
        <w:rPr>
          <w:rFonts w:hint="eastAsia" w:ascii="宋体" w:hAnsi="宋体" w:eastAsia="宋体" w:cs="宋体"/>
          <w:color w:val="auto"/>
          <w:szCs w:val="21"/>
          <w:highlight w:val="none"/>
          <w:u w:val="single"/>
        </w:rPr>
        <w:t xml:space="preserve">                                  </w:t>
      </w:r>
    </w:p>
    <w:p w14:paraId="707ED29F">
      <w:pPr>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银行账号：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03B45659">
      <w:pPr>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授权代表签字:</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日期: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29DC09D8">
      <w:pPr>
        <w:spacing w:line="400" w:lineRule="exact"/>
        <w:rPr>
          <w:rFonts w:hint="eastAsia" w:ascii="宋体" w:hAnsi="宋体" w:eastAsia="宋体" w:cs="宋体"/>
          <w:color w:val="auto"/>
          <w:szCs w:val="21"/>
          <w:highlight w:val="none"/>
        </w:rPr>
      </w:pPr>
    </w:p>
    <w:p w14:paraId="68C90E7C">
      <w:pPr>
        <w:spacing w:line="400" w:lineRule="exact"/>
        <w:rPr>
          <w:rFonts w:hint="eastAsia" w:ascii="宋体" w:hAnsi="宋体" w:eastAsia="宋体" w:cs="宋体"/>
          <w:color w:val="auto"/>
          <w:szCs w:val="21"/>
          <w:highlight w:val="none"/>
        </w:rPr>
      </w:pPr>
    </w:p>
    <w:p w14:paraId="4FC08456">
      <w:pPr>
        <w:spacing w:line="400" w:lineRule="exact"/>
        <w:rPr>
          <w:rFonts w:hint="eastAsia" w:ascii="宋体" w:hAnsi="宋体" w:eastAsia="宋体" w:cs="宋体"/>
          <w:color w:val="auto"/>
          <w:szCs w:val="21"/>
          <w:highlight w:val="none"/>
        </w:rPr>
      </w:pPr>
    </w:p>
    <w:p w14:paraId="51EDDB21">
      <w:pPr>
        <w:spacing w:line="400" w:lineRule="exact"/>
        <w:rPr>
          <w:rFonts w:hint="eastAsia" w:ascii="宋体" w:hAnsi="宋体" w:eastAsia="宋体" w:cs="宋体"/>
          <w:color w:val="auto"/>
          <w:szCs w:val="21"/>
          <w:highlight w:val="none"/>
        </w:rPr>
      </w:pPr>
    </w:p>
    <w:p w14:paraId="1D6F9255">
      <w:pPr>
        <w:spacing w:line="400" w:lineRule="exact"/>
        <w:rPr>
          <w:rFonts w:hint="eastAsia" w:ascii="宋体" w:hAnsi="宋体" w:eastAsia="宋体" w:cs="宋体"/>
          <w:color w:val="auto"/>
          <w:szCs w:val="21"/>
          <w:highlight w:val="none"/>
        </w:rPr>
      </w:pPr>
    </w:p>
    <w:p w14:paraId="3BA5B2E9">
      <w:pPr>
        <w:spacing w:line="400" w:lineRule="exac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6.2</w:t>
      </w:r>
      <w:r>
        <w:rPr>
          <w:rFonts w:hint="eastAsia" w:ascii="宋体" w:hAnsi="宋体" w:eastAsia="宋体" w:cs="宋体"/>
          <w:color w:val="auto"/>
          <w:kern w:val="0"/>
          <w:szCs w:val="21"/>
          <w:highlight w:val="none"/>
        </w:rPr>
        <w:t>投标（开标）一览表格式：</w:t>
      </w:r>
    </w:p>
    <w:p w14:paraId="12E206DF">
      <w:pPr>
        <w:keepNext/>
        <w:keepLines/>
        <w:spacing w:before="260" w:after="260" w:line="400" w:lineRule="exact"/>
        <w:jc w:val="center"/>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投标(开标)一览表</w:t>
      </w:r>
      <w:bookmarkStart w:id="29" w:name="_Toc86217005"/>
    </w:p>
    <w:p w14:paraId="451FAB0B">
      <w:pPr>
        <w:snapToGrid w:val="0"/>
        <w:spacing w:line="48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项目编号：</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 xml:space="preserve">                  </w:t>
      </w:r>
      <w:bookmarkEnd w:id="29"/>
      <w:r>
        <w:rPr>
          <w:rFonts w:hint="eastAsia" w:ascii="宋体" w:hAnsi="宋体" w:eastAsia="宋体" w:cs="宋体"/>
          <w:color w:val="auto"/>
          <w:sz w:val="22"/>
          <w:highlight w:val="none"/>
        </w:rPr>
        <w:t xml:space="preserve"> </w:t>
      </w:r>
    </w:p>
    <w:tbl>
      <w:tblPr>
        <w:tblStyle w:val="43"/>
        <w:tblW w:w="90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7"/>
        <w:gridCol w:w="2580"/>
        <w:gridCol w:w="3765"/>
        <w:gridCol w:w="2040"/>
      </w:tblGrid>
      <w:tr w14:paraId="36677A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14:paraId="25C1D4E3">
            <w:pPr>
              <w:snapToGrid w:val="0"/>
              <w:spacing w:line="4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2580" w:type="dxa"/>
            <w:tcBorders>
              <w:top w:val="single" w:color="auto" w:sz="4" w:space="0"/>
              <w:left w:val="single" w:color="auto" w:sz="4" w:space="0"/>
              <w:bottom w:val="single" w:color="auto" w:sz="4" w:space="0"/>
              <w:right w:val="single" w:color="auto" w:sz="4" w:space="0"/>
            </w:tcBorders>
            <w:vAlign w:val="center"/>
          </w:tcPr>
          <w:p w14:paraId="220B2D11">
            <w:pPr>
              <w:spacing w:line="440" w:lineRule="exact"/>
              <w:ind w:firstLine="0" w:firstLineChars="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项目名称</w:t>
            </w:r>
          </w:p>
        </w:tc>
        <w:tc>
          <w:tcPr>
            <w:tcW w:w="3765" w:type="dxa"/>
            <w:tcBorders>
              <w:top w:val="single" w:color="auto" w:sz="4" w:space="0"/>
              <w:left w:val="single" w:color="auto" w:sz="4" w:space="0"/>
              <w:bottom w:val="single" w:color="auto" w:sz="4" w:space="0"/>
              <w:right w:val="single" w:color="auto" w:sz="4" w:space="0"/>
            </w:tcBorders>
            <w:vAlign w:val="center"/>
          </w:tcPr>
          <w:p w14:paraId="1CB0517C">
            <w:pPr>
              <w:snapToGrid w:val="0"/>
              <w:spacing w:line="440" w:lineRule="exact"/>
              <w:ind w:firstLine="453" w:firstLineChars="215"/>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投标报价系数</w:t>
            </w:r>
          </w:p>
        </w:tc>
        <w:tc>
          <w:tcPr>
            <w:tcW w:w="2040" w:type="dxa"/>
            <w:tcBorders>
              <w:top w:val="single" w:color="auto" w:sz="4" w:space="0"/>
              <w:left w:val="single" w:color="auto" w:sz="4" w:space="0"/>
              <w:bottom w:val="single" w:color="auto" w:sz="4" w:space="0"/>
              <w:right w:val="single" w:color="auto" w:sz="4" w:space="0"/>
            </w:tcBorders>
            <w:vAlign w:val="center"/>
          </w:tcPr>
          <w:p w14:paraId="3BAD572C">
            <w:pPr>
              <w:snapToGrid w:val="0"/>
              <w:spacing w:line="440" w:lineRule="exact"/>
              <w:ind w:firstLine="0" w:firstLineChars="0"/>
              <w:jc w:val="center"/>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项目负责人</w:t>
            </w:r>
          </w:p>
        </w:tc>
      </w:tr>
      <w:tr w14:paraId="7EAFA2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18"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14:paraId="4BEA11A2">
            <w:pPr>
              <w:widowControl/>
              <w:spacing w:line="440" w:lineRule="exact"/>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580" w:type="dxa"/>
            <w:tcBorders>
              <w:top w:val="single" w:color="auto" w:sz="4" w:space="0"/>
              <w:left w:val="single" w:color="auto" w:sz="4" w:space="0"/>
              <w:bottom w:val="single" w:color="auto" w:sz="4" w:space="0"/>
              <w:right w:val="single" w:color="auto" w:sz="4" w:space="0"/>
            </w:tcBorders>
            <w:vAlign w:val="center"/>
          </w:tcPr>
          <w:p w14:paraId="16345B21">
            <w:pPr>
              <w:snapToGrid w:val="0"/>
              <w:spacing w:line="440" w:lineRule="exact"/>
              <w:ind w:firstLine="566"/>
              <w:jc w:val="center"/>
              <w:rPr>
                <w:rFonts w:hint="eastAsia" w:ascii="宋体" w:hAnsi="宋体" w:eastAsia="宋体" w:cs="宋体"/>
                <w:color w:val="auto"/>
                <w:szCs w:val="21"/>
                <w:highlight w:val="none"/>
              </w:rPr>
            </w:pPr>
          </w:p>
        </w:tc>
        <w:tc>
          <w:tcPr>
            <w:tcW w:w="3765" w:type="dxa"/>
            <w:tcBorders>
              <w:top w:val="single" w:color="auto" w:sz="4" w:space="0"/>
              <w:left w:val="single" w:color="auto" w:sz="4" w:space="0"/>
              <w:bottom w:val="single" w:color="auto" w:sz="4" w:space="0"/>
              <w:right w:val="single" w:color="auto" w:sz="4" w:space="0"/>
            </w:tcBorders>
            <w:vAlign w:val="center"/>
          </w:tcPr>
          <w:p w14:paraId="128A0A57">
            <w:pPr>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pacing w:val="-8"/>
                <w:szCs w:val="21"/>
                <w:highlight w:val="none"/>
              </w:rPr>
              <w:t>按照《浙江省建设工程造价咨询服务项目及收费指引》浙建价协〔2021〕13号文件中的“工程量清单及招标控制价的编制或审核”计算基准收费的</w:t>
            </w:r>
            <w:r>
              <w:rPr>
                <w:rFonts w:hint="eastAsia" w:ascii="宋体" w:hAnsi="宋体" w:eastAsia="宋体" w:cs="宋体"/>
                <w:color w:val="auto"/>
                <w:spacing w:val="-8"/>
                <w:szCs w:val="21"/>
                <w:highlight w:val="none"/>
                <w:u w:val="single"/>
              </w:rPr>
              <w:t xml:space="preserve">           </w:t>
            </w:r>
          </w:p>
        </w:tc>
        <w:tc>
          <w:tcPr>
            <w:tcW w:w="2040" w:type="dxa"/>
            <w:tcBorders>
              <w:top w:val="single" w:color="auto" w:sz="4" w:space="0"/>
              <w:left w:val="single" w:color="auto" w:sz="4" w:space="0"/>
              <w:bottom w:val="single" w:color="auto" w:sz="4" w:space="0"/>
              <w:right w:val="single" w:color="auto" w:sz="4" w:space="0"/>
            </w:tcBorders>
            <w:vAlign w:val="center"/>
          </w:tcPr>
          <w:p w14:paraId="17A94A6B">
            <w:pPr>
              <w:snapToGrid w:val="0"/>
              <w:spacing w:line="440" w:lineRule="exact"/>
              <w:rPr>
                <w:rFonts w:hint="eastAsia" w:ascii="宋体" w:hAnsi="宋体" w:eastAsia="宋体" w:cs="宋体"/>
                <w:color w:val="auto"/>
                <w:spacing w:val="-8"/>
                <w:szCs w:val="21"/>
                <w:highlight w:val="none"/>
              </w:rPr>
            </w:pPr>
          </w:p>
        </w:tc>
      </w:tr>
    </w:tbl>
    <w:p w14:paraId="41B5B13D">
      <w:pPr>
        <w:snapToGrid w:val="0"/>
        <w:spacing w:line="44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（1）报价一经涂改，应在涂改处加盖单位公章或者由法定代表人或授权委托人签字或盖章，否则其投标作无效标处理。</w:t>
      </w:r>
    </w:p>
    <w:p w14:paraId="0CE6CCF4">
      <w:pPr>
        <w:widowControl/>
        <w:autoSpaceDE w:val="0"/>
        <w:snapToGrid w:val="0"/>
        <w:spacing w:line="440" w:lineRule="exac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 </w:t>
      </w:r>
    </w:p>
    <w:p w14:paraId="1AC4F6EF">
      <w:pPr>
        <w:snapToGrid w:val="0"/>
        <w:spacing w:before="50" w:after="50" w:line="360" w:lineRule="auto"/>
        <w:rPr>
          <w:rFonts w:hint="eastAsia" w:ascii="宋体" w:hAnsi="宋体" w:eastAsia="宋体" w:cs="宋体"/>
          <w:color w:val="auto"/>
          <w:spacing w:val="20"/>
          <w:szCs w:val="21"/>
          <w:highlight w:val="none"/>
          <w:u w:val="single"/>
        </w:rPr>
      </w:pPr>
      <w:r>
        <w:rPr>
          <w:rFonts w:hint="eastAsia" w:ascii="宋体" w:hAnsi="宋体" w:eastAsia="宋体" w:cs="宋体"/>
          <w:color w:val="auto"/>
          <w:szCs w:val="21"/>
          <w:highlight w:val="none"/>
        </w:rPr>
        <w:t>法定代表人或被授权人签字（或盖章）</w:t>
      </w:r>
      <w:r>
        <w:rPr>
          <w:rFonts w:hint="eastAsia" w:ascii="宋体" w:hAnsi="宋体" w:eastAsia="宋体" w:cs="宋体"/>
          <w:color w:val="auto"/>
          <w:spacing w:val="20"/>
          <w:szCs w:val="21"/>
          <w:highlight w:val="none"/>
        </w:rPr>
        <w:t>：</w:t>
      </w:r>
      <w:r>
        <w:rPr>
          <w:rFonts w:hint="eastAsia" w:ascii="宋体" w:hAnsi="宋体" w:eastAsia="宋体" w:cs="宋体"/>
          <w:color w:val="auto"/>
          <w:spacing w:val="20"/>
          <w:szCs w:val="21"/>
          <w:highlight w:val="none"/>
          <w:u w:val="single"/>
        </w:rPr>
        <w:t xml:space="preserve">          </w:t>
      </w:r>
    </w:p>
    <w:p w14:paraId="35D64FC7">
      <w:pPr>
        <w:spacing w:beforeLines="50" w:afterLines="50"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投标人公章：                      日期：      年   月    日</w:t>
      </w:r>
    </w:p>
    <w:p w14:paraId="69D7F014">
      <w:pPr>
        <w:snapToGrid w:val="0"/>
        <w:spacing w:line="440" w:lineRule="exact"/>
        <w:ind w:firstLine="440" w:firstLineChars="200"/>
        <w:rPr>
          <w:rFonts w:hint="eastAsia" w:ascii="宋体" w:hAnsi="宋体" w:eastAsia="宋体" w:cs="宋体"/>
          <w:color w:val="auto"/>
          <w:sz w:val="22"/>
          <w:highlight w:val="none"/>
        </w:rPr>
      </w:pPr>
    </w:p>
    <w:p w14:paraId="6AD56CF7">
      <w:pPr>
        <w:snapToGrid w:val="0"/>
        <w:spacing w:line="480" w:lineRule="exact"/>
        <w:rPr>
          <w:rFonts w:hint="eastAsia" w:ascii="宋体" w:hAnsi="宋体" w:eastAsia="宋体" w:cs="宋体"/>
          <w:color w:val="auto"/>
          <w:sz w:val="22"/>
          <w:highlight w:val="none"/>
        </w:rPr>
      </w:pPr>
    </w:p>
    <w:p w14:paraId="12AD6315">
      <w:pPr>
        <w:snapToGrid w:val="0"/>
        <w:spacing w:line="480" w:lineRule="exact"/>
        <w:rPr>
          <w:rFonts w:hint="eastAsia" w:ascii="宋体" w:hAnsi="宋体" w:eastAsia="宋体" w:cs="宋体"/>
          <w:color w:val="auto"/>
          <w:sz w:val="22"/>
          <w:highlight w:val="none"/>
        </w:rPr>
      </w:pPr>
    </w:p>
    <w:p w14:paraId="33BDA69A">
      <w:pPr>
        <w:snapToGrid w:val="0"/>
        <w:spacing w:line="480" w:lineRule="exact"/>
        <w:rPr>
          <w:rFonts w:hint="eastAsia" w:ascii="宋体" w:hAnsi="宋体" w:eastAsia="宋体" w:cs="宋体"/>
          <w:color w:val="auto"/>
          <w:sz w:val="22"/>
          <w:highlight w:val="none"/>
        </w:rPr>
      </w:pPr>
    </w:p>
    <w:p w14:paraId="3C0E7190">
      <w:pPr>
        <w:snapToGrid w:val="0"/>
        <w:spacing w:line="480" w:lineRule="exact"/>
        <w:rPr>
          <w:rFonts w:hint="eastAsia" w:ascii="宋体" w:hAnsi="宋体" w:eastAsia="宋体" w:cs="宋体"/>
          <w:color w:val="auto"/>
          <w:sz w:val="22"/>
          <w:highlight w:val="none"/>
        </w:rPr>
      </w:pPr>
    </w:p>
    <w:p w14:paraId="43A70847">
      <w:pPr>
        <w:snapToGrid w:val="0"/>
        <w:spacing w:line="480" w:lineRule="exact"/>
        <w:rPr>
          <w:rFonts w:hint="eastAsia" w:ascii="宋体" w:hAnsi="宋体" w:eastAsia="宋体" w:cs="宋体"/>
          <w:color w:val="auto"/>
          <w:sz w:val="22"/>
          <w:highlight w:val="none"/>
        </w:rPr>
      </w:pPr>
    </w:p>
    <w:p w14:paraId="071F9745">
      <w:pPr>
        <w:snapToGrid w:val="0"/>
        <w:spacing w:line="480" w:lineRule="exact"/>
        <w:rPr>
          <w:rFonts w:hint="eastAsia" w:ascii="宋体" w:hAnsi="宋体" w:eastAsia="宋体" w:cs="宋体"/>
          <w:color w:val="auto"/>
          <w:sz w:val="22"/>
          <w:highlight w:val="none"/>
        </w:rPr>
      </w:pPr>
    </w:p>
    <w:p w14:paraId="70234F5B">
      <w:pPr>
        <w:snapToGrid w:val="0"/>
        <w:spacing w:line="480" w:lineRule="exact"/>
        <w:rPr>
          <w:rFonts w:hint="eastAsia" w:ascii="宋体" w:hAnsi="宋体" w:eastAsia="宋体" w:cs="宋体"/>
          <w:color w:val="auto"/>
          <w:sz w:val="22"/>
          <w:highlight w:val="none"/>
        </w:rPr>
      </w:pPr>
    </w:p>
    <w:p w14:paraId="74F3BED3">
      <w:pPr>
        <w:snapToGrid w:val="0"/>
        <w:spacing w:line="480" w:lineRule="exact"/>
        <w:rPr>
          <w:rFonts w:hint="eastAsia" w:ascii="宋体" w:hAnsi="宋体" w:eastAsia="宋体" w:cs="宋体"/>
          <w:color w:val="auto"/>
          <w:sz w:val="22"/>
          <w:highlight w:val="none"/>
        </w:rPr>
      </w:pPr>
    </w:p>
    <w:p w14:paraId="2678CB98">
      <w:pPr>
        <w:snapToGrid w:val="0"/>
        <w:spacing w:beforeLines="10" w:afterLines="10" w:line="440" w:lineRule="exact"/>
        <w:rPr>
          <w:rFonts w:hint="eastAsia" w:ascii="宋体" w:hAnsi="宋体" w:eastAsia="宋体" w:cs="宋体"/>
          <w:color w:val="auto"/>
          <w:sz w:val="24"/>
          <w:szCs w:val="21"/>
          <w:highlight w:val="none"/>
        </w:rPr>
      </w:pPr>
    </w:p>
    <w:p w14:paraId="4D4223B9">
      <w:pPr>
        <w:snapToGrid w:val="0"/>
        <w:spacing w:beforeLines="10" w:afterLines="10" w:line="440" w:lineRule="exact"/>
        <w:rPr>
          <w:rFonts w:hint="eastAsia" w:ascii="宋体" w:hAnsi="宋体" w:eastAsia="宋体" w:cs="宋体"/>
          <w:color w:val="auto"/>
          <w:sz w:val="24"/>
          <w:szCs w:val="21"/>
          <w:highlight w:val="none"/>
        </w:rPr>
      </w:pPr>
    </w:p>
    <w:p w14:paraId="1F14CADF">
      <w:pPr>
        <w:snapToGrid w:val="0"/>
        <w:spacing w:beforeLines="10" w:afterLines="10" w:line="440" w:lineRule="exact"/>
        <w:rPr>
          <w:rFonts w:hint="eastAsia" w:ascii="宋体" w:hAnsi="宋体" w:eastAsia="宋体" w:cs="宋体"/>
          <w:color w:val="auto"/>
          <w:sz w:val="24"/>
          <w:szCs w:val="21"/>
          <w:highlight w:val="none"/>
        </w:rPr>
      </w:pPr>
    </w:p>
    <w:p w14:paraId="34DBE3EC">
      <w:pPr>
        <w:snapToGrid w:val="0"/>
        <w:spacing w:before="50" w:after="50" w:line="400" w:lineRule="exact"/>
        <w:rPr>
          <w:rFonts w:hint="eastAsia" w:ascii="宋体" w:hAnsi="宋体" w:eastAsia="宋体" w:cs="宋体"/>
          <w:color w:val="auto"/>
          <w:szCs w:val="21"/>
          <w:highlight w:val="none"/>
        </w:rPr>
      </w:pPr>
    </w:p>
    <w:p w14:paraId="58327407">
      <w:pPr>
        <w:rPr>
          <w:rFonts w:hint="eastAsia" w:ascii="宋体" w:hAnsi="宋体" w:eastAsia="宋体" w:cs="宋体"/>
          <w:color w:val="auto"/>
          <w:szCs w:val="24"/>
          <w:highlight w:val="none"/>
        </w:rPr>
      </w:pPr>
    </w:p>
    <w:p w14:paraId="5A9F6913">
      <w:pPr>
        <w:rPr>
          <w:rFonts w:hint="eastAsia" w:ascii="宋体" w:hAnsi="宋体" w:eastAsia="宋体" w:cs="宋体"/>
          <w:color w:val="auto"/>
          <w:highlight w:val="none"/>
        </w:rPr>
      </w:pPr>
    </w:p>
    <w:sectPr>
      <w:footerReference r:id="rId3" w:type="default"/>
      <w:footerReference r:id="rId4" w:type="even"/>
      <w:pgSz w:w="11906" w:h="16838"/>
      <w:pgMar w:top="1440" w:right="1587" w:bottom="1440" w:left="1587" w:header="851" w:footer="992" w:gutter="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长城仿宋">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61B2B">
    <w:pPr>
      <w:pStyle w:val="29"/>
      <w:framePr w:wrap="around" w:vAnchor="text" w:hAnchor="margin" w:xAlign="center" w:y="1"/>
      <w:rPr>
        <w:rStyle w:val="47"/>
      </w:rPr>
    </w:pPr>
    <w:r>
      <w:fldChar w:fldCharType="begin"/>
    </w:r>
    <w:r>
      <w:rPr>
        <w:rStyle w:val="47"/>
      </w:rPr>
      <w:instrText xml:space="preserve">PAGE  </w:instrText>
    </w:r>
    <w:r>
      <w:fldChar w:fldCharType="separate"/>
    </w:r>
    <w:r>
      <w:rPr>
        <w:rStyle w:val="47"/>
      </w:rPr>
      <w:t>2</w:t>
    </w:r>
    <w:r>
      <w:fldChar w:fldCharType="end"/>
    </w:r>
  </w:p>
  <w:p w14:paraId="1577756D">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A5DE3">
    <w:pPr>
      <w:pStyle w:val="29"/>
      <w:framePr w:wrap="around" w:vAnchor="text" w:hAnchor="margin" w:xAlign="center" w:y="1"/>
      <w:rPr>
        <w:rStyle w:val="47"/>
      </w:rPr>
    </w:pPr>
    <w:r>
      <w:fldChar w:fldCharType="begin"/>
    </w:r>
    <w:r>
      <w:rPr>
        <w:rStyle w:val="47"/>
      </w:rPr>
      <w:instrText xml:space="preserve">PAGE  </w:instrText>
    </w:r>
    <w:r>
      <w:fldChar w:fldCharType="end"/>
    </w:r>
  </w:p>
  <w:p w14:paraId="5E67EB9D">
    <w:pPr>
      <w:pStyle w:val="2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C59C89"/>
    <w:multiLevelType w:val="singleLevel"/>
    <w:tmpl w:val="E1C59C89"/>
    <w:lvl w:ilvl="0" w:tentative="0">
      <w:start w:val="1"/>
      <w:numFmt w:val="chineseCounting"/>
      <w:suff w:val="nothing"/>
      <w:lvlText w:val="%1、"/>
      <w:lvlJc w:val="left"/>
      <w:rPr>
        <w:rFonts w:hint="eastAsia"/>
      </w:rPr>
    </w:lvl>
  </w:abstractNum>
  <w:abstractNum w:abstractNumId="1">
    <w:nsid w:val="00000003"/>
    <w:multiLevelType w:val="singleLevel"/>
    <w:tmpl w:val="00000003"/>
    <w:lvl w:ilvl="0" w:tentative="0">
      <w:start w:val="1"/>
      <w:numFmt w:val="decimal"/>
      <w:pStyle w:val="23"/>
      <w:lvlText w:val="%1."/>
      <w:lvlJc w:val="left"/>
      <w:pPr>
        <w:tabs>
          <w:tab w:val="left" w:pos="1200"/>
        </w:tabs>
        <w:ind w:left="1200" w:hanging="360"/>
      </w:pPr>
    </w:lvl>
  </w:abstractNum>
  <w:abstractNum w:abstractNumId="2">
    <w:nsid w:val="00000005"/>
    <w:multiLevelType w:val="multilevel"/>
    <w:tmpl w:val="00000005"/>
    <w:lvl w:ilvl="0" w:tentative="0">
      <w:start w:val="1"/>
      <w:numFmt w:val="decimal"/>
      <w:pStyle w:val="98"/>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862"/>
        </w:tabs>
        <w:ind w:left="862"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3">
    <w:nsid w:val="00000009"/>
    <w:multiLevelType w:val="multilevel"/>
    <w:tmpl w:val="00000009"/>
    <w:lvl w:ilvl="0" w:tentative="0">
      <w:start w:val="1"/>
      <w:numFmt w:val="decimal"/>
      <w:pStyle w:val="12"/>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4">
    <w:nsid w:val="0000000A"/>
    <w:multiLevelType w:val="multilevel"/>
    <w:tmpl w:val="0000000A"/>
    <w:lvl w:ilvl="0" w:tentative="0">
      <w:start w:val="1"/>
      <w:numFmt w:val="bullet"/>
      <w:pStyle w:val="15"/>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50864DD"/>
    <w:multiLevelType w:val="singleLevel"/>
    <w:tmpl w:val="050864DD"/>
    <w:lvl w:ilvl="0" w:tentative="0">
      <w:start w:val="2"/>
      <w:numFmt w:val="chineseCounting"/>
      <w:suff w:val="nothing"/>
      <w:lvlText w:val="（%1）"/>
      <w:lvlJc w:val="left"/>
      <w:rPr>
        <w:rFonts w:hint="eastAsia"/>
      </w:rPr>
    </w:lvl>
  </w:abstractNum>
  <w:abstractNum w:abstractNumId="6">
    <w:nsid w:val="3CE78CC5"/>
    <w:multiLevelType w:val="singleLevel"/>
    <w:tmpl w:val="3CE78CC5"/>
    <w:lvl w:ilvl="0" w:tentative="0">
      <w:start w:val="1"/>
      <w:numFmt w:val="chineseCounting"/>
      <w:suff w:val="nothing"/>
      <w:lvlText w:val="%1、"/>
      <w:lvlJc w:val="left"/>
      <w:rPr>
        <w:rFonts w:hint="eastAsia"/>
      </w:rPr>
    </w:lvl>
  </w:abstractNum>
  <w:abstractNum w:abstractNumId="7">
    <w:nsid w:val="54F403B5"/>
    <w:multiLevelType w:val="singleLevel"/>
    <w:tmpl w:val="54F403B5"/>
    <w:lvl w:ilvl="0" w:tentative="0">
      <w:start w:val="1"/>
      <w:numFmt w:val="chineseCounting"/>
      <w:suff w:val="nothing"/>
      <w:lvlText w:val="%1、"/>
      <w:lvlJc w:val="left"/>
    </w:lvl>
  </w:abstractNum>
  <w:abstractNum w:abstractNumId="8">
    <w:nsid w:val="557FD3DA"/>
    <w:multiLevelType w:val="singleLevel"/>
    <w:tmpl w:val="557FD3DA"/>
    <w:lvl w:ilvl="0" w:tentative="0">
      <w:start w:val="3"/>
      <w:numFmt w:val="chineseCounting"/>
      <w:suff w:val="nothing"/>
      <w:lvlText w:val="%1、"/>
      <w:lvlJc w:val="left"/>
    </w:lvl>
  </w:abstractNum>
  <w:abstractNum w:abstractNumId="9">
    <w:nsid w:val="7286647A"/>
    <w:multiLevelType w:val="singleLevel"/>
    <w:tmpl w:val="7286647A"/>
    <w:lvl w:ilvl="0" w:tentative="0">
      <w:start w:val="3"/>
      <w:numFmt w:val="decimal"/>
      <w:suff w:val="nothing"/>
      <w:lvlText w:val="（%1）"/>
      <w:lvlJc w:val="left"/>
    </w:lvl>
  </w:abstractNum>
  <w:num w:numId="1">
    <w:abstractNumId w:val="2"/>
  </w:num>
  <w:num w:numId="2">
    <w:abstractNumId w:val="3"/>
  </w:num>
  <w:num w:numId="3">
    <w:abstractNumId w:val="4"/>
  </w:num>
  <w:num w:numId="4">
    <w:abstractNumId w:val="1"/>
  </w:num>
  <w:num w:numId="5">
    <w:abstractNumId w:val="0"/>
  </w:num>
  <w:num w:numId="6">
    <w:abstractNumId w:val="5"/>
  </w:num>
  <w:num w:numId="7">
    <w:abstractNumId w:val="9"/>
  </w:num>
  <w:num w:numId="8">
    <w:abstractNumId w:val="6"/>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2OTI1OWNkMTVlZjY0Y2FjNzUxYWRiZjc4N2ZlMWEifQ=="/>
  </w:docVars>
  <w:rsids>
    <w:rsidRoot w:val="00DA5530"/>
    <w:rsid w:val="00864E07"/>
    <w:rsid w:val="00DA5530"/>
    <w:rsid w:val="045F1610"/>
    <w:rsid w:val="05B863F8"/>
    <w:rsid w:val="076C7212"/>
    <w:rsid w:val="0846584F"/>
    <w:rsid w:val="0BC96628"/>
    <w:rsid w:val="0CAC3571"/>
    <w:rsid w:val="124D3EDF"/>
    <w:rsid w:val="15616D24"/>
    <w:rsid w:val="15C741AC"/>
    <w:rsid w:val="16774AAD"/>
    <w:rsid w:val="18AB704E"/>
    <w:rsid w:val="1DDF068E"/>
    <w:rsid w:val="24CF2611"/>
    <w:rsid w:val="24F1091F"/>
    <w:rsid w:val="268B7365"/>
    <w:rsid w:val="2CDB577D"/>
    <w:rsid w:val="2DB76E3B"/>
    <w:rsid w:val="32AD4592"/>
    <w:rsid w:val="34486F54"/>
    <w:rsid w:val="34F82B0E"/>
    <w:rsid w:val="3D277286"/>
    <w:rsid w:val="41A66A37"/>
    <w:rsid w:val="50E151BA"/>
    <w:rsid w:val="53577972"/>
    <w:rsid w:val="55B65F39"/>
    <w:rsid w:val="562C1271"/>
    <w:rsid w:val="5A3536E1"/>
    <w:rsid w:val="5C8F512F"/>
    <w:rsid w:val="5E6C52B2"/>
    <w:rsid w:val="604069F6"/>
    <w:rsid w:val="622B613E"/>
    <w:rsid w:val="67156DAC"/>
    <w:rsid w:val="67E66A2E"/>
    <w:rsid w:val="6BF16DF6"/>
    <w:rsid w:val="72F04179"/>
    <w:rsid w:val="75596433"/>
    <w:rsid w:val="75B7309A"/>
    <w:rsid w:val="79A50A74"/>
    <w:rsid w:val="7C4D2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qFormat="1" w:uiPriority="39"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4"/>
    <w:qFormat/>
    <w:uiPriority w:val="0"/>
    <w:pPr>
      <w:keepNext/>
      <w:keepLines/>
      <w:numPr>
        <w:ilvl w:val="0"/>
        <w:numId w:val="1"/>
      </w:numPr>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4"/>
    <w:link w:val="65"/>
    <w:qFormat/>
    <w:uiPriority w:val="0"/>
    <w:pPr>
      <w:keepNext/>
      <w:keepLines/>
      <w:spacing w:before="260" w:after="260" w:line="416" w:lineRule="auto"/>
      <w:outlineLvl w:val="1"/>
    </w:pPr>
    <w:rPr>
      <w:rFonts w:ascii="Arial" w:hAnsi="Arial" w:eastAsia="黑体" w:cs="Times New Roman"/>
      <w:b/>
      <w:bCs/>
      <w:sz w:val="32"/>
      <w:szCs w:val="32"/>
    </w:rPr>
  </w:style>
  <w:style w:type="paragraph" w:styleId="5">
    <w:name w:val="heading 3"/>
    <w:basedOn w:val="1"/>
    <w:next w:val="1"/>
    <w:link w:val="56"/>
    <w:qFormat/>
    <w:uiPriority w:val="0"/>
    <w:pPr>
      <w:keepNext/>
      <w:keepLines/>
      <w:numPr>
        <w:ilvl w:val="2"/>
        <w:numId w:val="1"/>
      </w:numPr>
      <w:tabs>
        <w:tab w:val="left" w:pos="720"/>
      </w:tabs>
      <w:spacing w:before="260" w:after="260" w:line="416" w:lineRule="auto"/>
      <w:outlineLvl w:val="2"/>
    </w:pPr>
    <w:rPr>
      <w:rFonts w:ascii="Times New Roman" w:hAnsi="Times New Roman" w:eastAsia="宋体" w:cs="Times New Roman"/>
      <w:b/>
      <w:bCs/>
      <w:sz w:val="32"/>
      <w:szCs w:val="32"/>
    </w:rPr>
  </w:style>
  <w:style w:type="paragraph" w:styleId="6">
    <w:name w:val="heading 4"/>
    <w:basedOn w:val="1"/>
    <w:next w:val="1"/>
    <w:link w:val="57"/>
    <w:qFormat/>
    <w:uiPriority w:val="0"/>
    <w:pPr>
      <w:keepNext/>
      <w:keepLines/>
      <w:numPr>
        <w:ilvl w:val="3"/>
        <w:numId w:val="1"/>
      </w:numPr>
      <w:spacing w:before="280" w:after="290" w:line="376" w:lineRule="auto"/>
      <w:outlineLvl w:val="3"/>
    </w:pPr>
    <w:rPr>
      <w:rFonts w:ascii="Arial" w:hAnsi="Arial" w:eastAsia="黑体" w:cs="Times New Roman"/>
      <w:b/>
      <w:bCs/>
      <w:sz w:val="28"/>
      <w:szCs w:val="28"/>
      <w:lang w:val="zh-CN"/>
    </w:rPr>
  </w:style>
  <w:style w:type="paragraph" w:styleId="7">
    <w:name w:val="heading 5"/>
    <w:basedOn w:val="1"/>
    <w:next w:val="1"/>
    <w:link w:val="58"/>
    <w:qFormat/>
    <w:uiPriority w:val="0"/>
    <w:pPr>
      <w:keepNext/>
      <w:keepLines/>
      <w:numPr>
        <w:ilvl w:val="4"/>
        <w:numId w:val="1"/>
      </w:numPr>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59"/>
    <w:qFormat/>
    <w:uiPriority w:val="0"/>
    <w:pPr>
      <w:keepNext/>
      <w:keepLines/>
      <w:numPr>
        <w:ilvl w:val="5"/>
        <w:numId w:val="1"/>
      </w:numPr>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60"/>
    <w:qFormat/>
    <w:uiPriority w:val="0"/>
    <w:pPr>
      <w:keepNext/>
      <w:keepLines/>
      <w:numPr>
        <w:ilvl w:val="6"/>
        <w:numId w:val="1"/>
      </w:numPr>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61"/>
    <w:qFormat/>
    <w:uiPriority w:val="0"/>
    <w:pPr>
      <w:keepNext/>
      <w:keepLines/>
      <w:numPr>
        <w:ilvl w:val="7"/>
        <w:numId w:val="1"/>
      </w:numPr>
      <w:spacing w:before="240" w:after="64" w:line="320" w:lineRule="auto"/>
      <w:outlineLvl w:val="7"/>
    </w:pPr>
    <w:rPr>
      <w:rFonts w:ascii="Arial" w:hAnsi="Arial" w:eastAsia="黑体" w:cs="Times New Roman"/>
      <w:sz w:val="24"/>
      <w:szCs w:val="24"/>
    </w:rPr>
  </w:style>
  <w:style w:type="paragraph" w:styleId="11">
    <w:name w:val="heading 9"/>
    <w:basedOn w:val="1"/>
    <w:next w:val="1"/>
    <w:link w:val="62"/>
    <w:qFormat/>
    <w:uiPriority w:val="0"/>
    <w:pPr>
      <w:keepNext/>
      <w:keepLines/>
      <w:numPr>
        <w:ilvl w:val="8"/>
        <w:numId w:val="1"/>
      </w:numPr>
      <w:spacing w:before="240" w:after="64" w:line="320" w:lineRule="auto"/>
      <w:outlineLvl w:val="8"/>
    </w:pPr>
    <w:rPr>
      <w:rFonts w:ascii="Arial" w:hAnsi="Arial" w:eastAsia="黑体" w:cs="Times New Roman"/>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customStyle="1" w:styleId="4">
    <w:name w:val="标准正文"/>
    <w:basedOn w:val="1"/>
    <w:qFormat/>
    <w:uiPriority w:val="0"/>
    <w:pPr>
      <w:spacing w:line="360" w:lineRule="auto"/>
      <w:ind w:firstLine="200" w:firstLineChars="200"/>
    </w:pPr>
    <w:rPr>
      <w:rFonts w:ascii="Times New Roman" w:hAnsi="Times New Roman" w:eastAsia="宋体" w:cs="Times New Roman"/>
      <w:sz w:val="24"/>
      <w:szCs w:val="20"/>
    </w:rPr>
  </w:style>
  <w:style w:type="paragraph" w:styleId="12">
    <w:name w:val="List Number"/>
    <w:basedOn w:val="1"/>
    <w:qFormat/>
    <w:uiPriority w:val="0"/>
    <w:pPr>
      <w:widowControl/>
      <w:numPr>
        <w:ilvl w:val="0"/>
        <w:numId w:val="2"/>
      </w:numPr>
      <w:tabs>
        <w:tab w:val="left" w:pos="454"/>
        <w:tab w:val="left" w:pos="720"/>
      </w:tabs>
      <w:spacing w:afterLines="50"/>
      <w:jc w:val="left"/>
    </w:pPr>
    <w:rPr>
      <w:rFonts w:ascii="Times New Roman" w:hAnsi="Times New Roman" w:eastAsia="宋体" w:cs="Times New Roman"/>
      <w:kern w:val="0"/>
      <w:sz w:val="24"/>
      <w:szCs w:val="20"/>
    </w:rPr>
  </w:style>
  <w:style w:type="paragraph" w:styleId="13">
    <w:name w:val="Normal Indent"/>
    <w:basedOn w:val="1"/>
    <w:link w:val="66"/>
    <w:qFormat/>
    <w:uiPriority w:val="0"/>
    <w:pPr>
      <w:ind w:firstLine="420"/>
    </w:pPr>
    <w:rPr>
      <w:rFonts w:ascii="Times New Roman" w:hAnsi="Times New Roman" w:eastAsia="宋体" w:cs="Times New Roman"/>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List Bullet"/>
    <w:basedOn w:val="16"/>
    <w:qFormat/>
    <w:uiPriority w:val="0"/>
    <w:pPr>
      <w:widowControl/>
      <w:numPr>
        <w:ilvl w:val="0"/>
        <w:numId w:val="3"/>
      </w:numPr>
      <w:tabs>
        <w:tab w:val="left" w:pos="840"/>
        <w:tab w:val="clear" w:pos="420"/>
      </w:tabs>
      <w:spacing w:line="360" w:lineRule="auto"/>
      <w:ind w:right="720" w:firstLineChars="0"/>
      <w:jc w:val="left"/>
    </w:pPr>
    <w:rPr>
      <w:rFonts w:ascii="仿宋_GB2312" w:eastAsia="仿宋_GB2312"/>
      <w:kern w:val="0"/>
      <w:sz w:val="24"/>
      <w:szCs w:val="20"/>
    </w:rPr>
  </w:style>
  <w:style w:type="paragraph" w:styleId="16">
    <w:name w:val="List"/>
    <w:basedOn w:val="1"/>
    <w:qFormat/>
    <w:uiPriority w:val="0"/>
    <w:pPr>
      <w:ind w:left="200" w:hanging="200" w:hangingChars="200"/>
    </w:pPr>
    <w:rPr>
      <w:rFonts w:ascii="Times New Roman" w:hAnsi="Times New Roman" w:eastAsia="宋体" w:cs="Times New Roman"/>
      <w:sz w:val="28"/>
      <w:szCs w:val="24"/>
    </w:rPr>
  </w:style>
  <w:style w:type="paragraph" w:styleId="17">
    <w:name w:val="Document Map"/>
    <w:basedOn w:val="1"/>
    <w:link w:val="67"/>
    <w:semiHidden/>
    <w:qFormat/>
    <w:uiPriority w:val="0"/>
    <w:pPr>
      <w:shd w:val="clear" w:color="auto" w:fill="000080"/>
    </w:pPr>
    <w:rPr>
      <w:rFonts w:ascii="Times New Roman" w:hAnsi="Times New Roman" w:eastAsia="宋体" w:cs="Times New Roman"/>
      <w:szCs w:val="24"/>
      <w:shd w:val="clear" w:color="auto" w:fill="000080"/>
    </w:rPr>
  </w:style>
  <w:style w:type="paragraph" w:styleId="18">
    <w:name w:val="annotation text"/>
    <w:basedOn w:val="1"/>
    <w:link w:val="69"/>
    <w:semiHidden/>
    <w:qFormat/>
    <w:uiPriority w:val="0"/>
    <w:pPr>
      <w:jc w:val="left"/>
    </w:pPr>
    <w:rPr>
      <w:rFonts w:ascii="Times New Roman" w:hAnsi="Times New Roman" w:eastAsia="宋体" w:cs="Times New Roman"/>
      <w:szCs w:val="24"/>
    </w:rPr>
  </w:style>
  <w:style w:type="paragraph" w:styleId="19">
    <w:name w:val="Salutation"/>
    <w:basedOn w:val="1"/>
    <w:next w:val="1"/>
    <w:link w:val="70"/>
    <w:qFormat/>
    <w:uiPriority w:val="0"/>
    <w:rPr>
      <w:rFonts w:ascii="长城仿宋" w:hAnsi="宋体" w:eastAsia="长城仿宋" w:cs="Times New Roman"/>
      <w:sz w:val="28"/>
      <w:szCs w:val="24"/>
    </w:rPr>
  </w:style>
  <w:style w:type="paragraph" w:styleId="20">
    <w:name w:val="Body Text 3"/>
    <w:basedOn w:val="1"/>
    <w:link w:val="71"/>
    <w:qFormat/>
    <w:uiPriority w:val="0"/>
    <w:pPr>
      <w:snapToGrid w:val="0"/>
      <w:spacing w:before="50" w:after="50"/>
    </w:pPr>
    <w:rPr>
      <w:rFonts w:ascii="Times New Roman" w:hAnsi="Times New Roman" w:eastAsia="宋体" w:cs="Times New Roman"/>
      <w:szCs w:val="24"/>
    </w:rPr>
  </w:style>
  <w:style w:type="paragraph" w:styleId="21">
    <w:name w:val="Body Text"/>
    <w:basedOn w:val="1"/>
    <w:next w:val="1"/>
    <w:link w:val="63"/>
    <w:unhideWhenUsed/>
    <w:qFormat/>
    <w:uiPriority w:val="0"/>
    <w:pPr>
      <w:spacing w:after="120"/>
    </w:pPr>
  </w:style>
  <w:style w:type="paragraph" w:styleId="22">
    <w:name w:val="Body Text Indent"/>
    <w:basedOn w:val="1"/>
    <w:next w:val="1"/>
    <w:link w:val="73"/>
    <w:qFormat/>
    <w:uiPriority w:val="0"/>
    <w:pPr>
      <w:spacing w:line="200" w:lineRule="exact"/>
      <w:ind w:firstLine="301"/>
    </w:pPr>
    <w:rPr>
      <w:rFonts w:ascii="宋体" w:hAnsi="Courier New" w:eastAsia="宋体" w:cs="Times New Roman"/>
      <w:spacing w:val="-4"/>
      <w:sz w:val="18"/>
      <w:szCs w:val="24"/>
    </w:rPr>
  </w:style>
  <w:style w:type="paragraph" w:styleId="23">
    <w:name w:val="List Number 3"/>
    <w:basedOn w:val="1"/>
    <w:qFormat/>
    <w:uiPriority w:val="0"/>
    <w:pPr>
      <w:numPr>
        <w:ilvl w:val="0"/>
        <w:numId w:val="4"/>
      </w:numPr>
    </w:pPr>
    <w:rPr>
      <w:rFonts w:ascii="Times New Roman" w:hAnsi="Times New Roman" w:eastAsia="宋体" w:cs="Times New Roman"/>
      <w:szCs w:val="24"/>
    </w:rPr>
  </w:style>
  <w:style w:type="paragraph" w:styleId="24">
    <w:name w:val="List 2"/>
    <w:basedOn w:val="1"/>
    <w:qFormat/>
    <w:uiPriority w:val="0"/>
    <w:pPr>
      <w:ind w:left="100" w:leftChars="200" w:hanging="200" w:hangingChars="200"/>
    </w:pPr>
    <w:rPr>
      <w:rFonts w:ascii="Times New Roman" w:hAnsi="Times New Roman" w:eastAsia="宋体" w:cs="Times New Roman"/>
      <w:sz w:val="28"/>
      <w:szCs w:val="24"/>
    </w:rPr>
  </w:style>
  <w:style w:type="paragraph" w:styleId="25">
    <w:name w:val="Plain Text"/>
    <w:basedOn w:val="1"/>
    <w:link w:val="76"/>
    <w:qFormat/>
    <w:uiPriority w:val="0"/>
    <w:pPr>
      <w:spacing w:beforeLines="50" w:afterLines="50" w:line="400" w:lineRule="exact"/>
    </w:pPr>
    <w:rPr>
      <w:rFonts w:ascii="宋体" w:hAnsi="Courier New" w:eastAsia="宋体" w:cs="Times New Roman"/>
      <w:sz w:val="24"/>
      <w:szCs w:val="24"/>
    </w:rPr>
  </w:style>
  <w:style w:type="paragraph" w:styleId="26">
    <w:name w:val="Date"/>
    <w:basedOn w:val="1"/>
    <w:next w:val="1"/>
    <w:link w:val="77"/>
    <w:qFormat/>
    <w:uiPriority w:val="0"/>
    <w:pPr>
      <w:ind w:leftChars="2500"/>
    </w:pPr>
    <w:rPr>
      <w:rFonts w:ascii="Times New Roman" w:hAnsi="Times New Roman" w:eastAsia="楷体_GB2312" w:cs="Times New Roman"/>
      <w:sz w:val="32"/>
      <w:szCs w:val="20"/>
    </w:rPr>
  </w:style>
  <w:style w:type="paragraph" w:styleId="27">
    <w:name w:val="Body Text Indent 2"/>
    <w:basedOn w:val="1"/>
    <w:link w:val="78"/>
    <w:qFormat/>
    <w:uiPriority w:val="0"/>
    <w:pPr>
      <w:snapToGrid w:val="0"/>
      <w:ind w:firstLine="542" w:firstLineChars="225"/>
    </w:pPr>
    <w:rPr>
      <w:rFonts w:ascii="仿宋_GB2312" w:hAnsi="宋体" w:eastAsia="宋体" w:cs="Times New Roman"/>
      <w:b/>
      <w:bCs/>
      <w:color w:val="000000"/>
      <w:sz w:val="24"/>
      <w:szCs w:val="24"/>
    </w:rPr>
  </w:style>
  <w:style w:type="paragraph" w:styleId="28">
    <w:name w:val="Balloon Text"/>
    <w:basedOn w:val="1"/>
    <w:link w:val="79"/>
    <w:semiHidden/>
    <w:qFormat/>
    <w:uiPriority w:val="0"/>
    <w:rPr>
      <w:rFonts w:ascii="Times New Roman" w:hAnsi="Times New Roman" w:eastAsia="宋体" w:cs="Times New Roman"/>
      <w:sz w:val="18"/>
      <w:szCs w:val="18"/>
    </w:rPr>
  </w:style>
  <w:style w:type="paragraph" w:styleId="29">
    <w:name w:val="footer"/>
    <w:basedOn w:val="1"/>
    <w:link w:val="53"/>
    <w:unhideWhenUsed/>
    <w:qFormat/>
    <w:uiPriority w:val="0"/>
    <w:pPr>
      <w:tabs>
        <w:tab w:val="center" w:pos="4153"/>
        <w:tab w:val="right" w:pos="8306"/>
      </w:tabs>
      <w:snapToGrid w:val="0"/>
      <w:jc w:val="left"/>
    </w:pPr>
    <w:rPr>
      <w:sz w:val="18"/>
      <w:szCs w:val="18"/>
    </w:rPr>
  </w:style>
  <w:style w:type="paragraph" w:styleId="30">
    <w:name w:val="header"/>
    <w:basedOn w:val="1"/>
    <w:link w:val="52"/>
    <w:unhideWhenUsed/>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0"/>
    <w:rPr>
      <w:rFonts w:ascii="Times New Roman" w:hAnsi="Times New Roman" w:eastAsia="宋体" w:cs="Times New Roman"/>
      <w:szCs w:val="24"/>
    </w:rPr>
  </w:style>
  <w:style w:type="paragraph" w:styleId="32">
    <w:name w:val="Subtitle"/>
    <w:basedOn w:val="1"/>
    <w:next w:val="1"/>
    <w:link w:val="80"/>
    <w:qFormat/>
    <w:uiPriority w:val="0"/>
    <w:pPr>
      <w:spacing w:before="240" w:after="60" w:line="312" w:lineRule="auto"/>
      <w:jc w:val="center"/>
      <w:outlineLvl w:val="1"/>
    </w:pPr>
    <w:rPr>
      <w:rFonts w:ascii="Cambria" w:hAnsi="Cambria" w:eastAsia="Times New Roman" w:cs="Times New Roman"/>
      <w:b/>
      <w:bCs/>
      <w:kern w:val="28"/>
      <w:sz w:val="32"/>
      <w:szCs w:val="32"/>
      <w:lang w:val="en-US" w:eastAsia="zh-CN"/>
    </w:rPr>
  </w:style>
  <w:style w:type="paragraph" w:styleId="33">
    <w:name w:val="toc 6"/>
    <w:basedOn w:val="1"/>
    <w:next w:val="1"/>
    <w:unhideWhenUsed/>
    <w:qFormat/>
    <w:uiPriority w:val="39"/>
    <w:pPr>
      <w:spacing w:line="360" w:lineRule="auto"/>
      <w:ind w:left="1049"/>
      <w:jc w:val="left"/>
    </w:pPr>
    <w:rPr>
      <w:rFonts w:ascii="Calibri" w:hAnsi="Calibri" w:eastAsia="宋体" w:cs="Calibri"/>
      <w:sz w:val="24"/>
      <w:szCs w:val="18"/>
    </w:rPr>
  </w:style>
  <w:style w:type="paragraph" w:styleId="34">
    <w:name w:val="Body Text Indent 3"/>
    <w:basedOn w:val="1"/>
    <w:link w:val="81"/>
    <w:qFormat/>
    <w:uiPriority w:val="0"/>
    <w:pPr>
      <w:snapToGrid w:val="0"/>
      <w:ind w:firstLine="480" w:firstLineChars="200"/>
      <w:jc w:val="left"/>
    </w:pPr>
    <w:rPr>
      <w:rFonts w:ascii="仿宋_GB2312" w:hAnsi="宋体" w:eastAsia="仿宋_GB2312" w:cs="Times New Roman"/>
      <w:color w:val="000000"/>
      <w:sz w:val="24"/>
      <w:szCs w:val="24"/>
    </w:rPr>
  </w:style>
  <w:style w:type="paragraph" w:styleId="35">
    <w:name w:val="toc 2"/>
    <w:basedOn w:val="1"/>
    <w:next w:val="1"/>
    <w:qFormat/>
    <w:uiPriority w:val="0"/>
    <w:pPr>
      <w:ind w:left="210"/>
      <w:jc w:val="left"/>
    </w:pPr>
    <w:rPr>
      <w:rFonts w:ascii="仿宋_GB2312" w:hAnsi="Times New Roman" w:eastAsia="仿宋_GB2312" w:cs="Times New Roman"/>
      <w:smallCaps/>
      <w:sz w:val="20"/>
      <w:szCs w:val="20"/>
    </w:rPr>
  </w:style>
  <w:style w:type="paragraph" w:styleId="36">
    <w:name w:val="Body Text 2"/>
    <w:basedOn w:val="1"/>
    <w:link w:val="82"/>
    <w:qFormat/>
    <w:uiPriority w:val="0"/>
    <w:pPr>
      <w:widowControl/>
      <w:snapToGrid w:val="0"/>
      <w:spacing w:before="50" w:afterLines="50" w:line="400" w:lineRule="exact"/>
      <w:jc w:val="left"/>
    </w:pPr>
    <w:rPr>
      <w:rFonts w:ascii="宋体" w:hAnsi="宋体" w:eastAsia="宋体" w:cs="Times New Roman"/>
      <w:color w:val="000000"/>
      <w:sz w:val="24"/>
      <w:szCs w:val="24"/>
    </w:rPr>
  </w:style>
  <w:style w:type="paragraph" w:styleId="37">
    <w:name w:val="Normal (Web)"/>
    <w:basedOn w:val="1"/>
    <w:qFormat/>
    <w:uiPriority w:val="0"/>
    <w:pPr>
      <w:widowControl/>
      <w:spacing w:before="100" w:beforeAutospacing="1" w:after="100" w:afterAutospacing="1"/>
      <w:jc w:val="left"/>
    </w:pPr>
    <w:rPr>
      <w:rFonts w:ascii="宋体" w:hAnsi="宋体" w:eastAsia="宋体" w:cs="宋体"/>
      <w:kern w:val="0"/>
      <w:szCs w:val="21"/>
    </w:rPr>
  </w:style>
  <w:style w:type="paragraph" w:styleId="38">
    <w:name w:val="index 1"/>
    <w:basedOn w:val="1"/>
    <w:next w:val="1"/>
    <w:qFormat/>
    <w:uiPriority w:val="0"/>
    <w:pPr>
      <w:widowControl/>
      <w:spacing w:line="360" w:lineRule="auto"/>
      <w:ind w:left="240" w:hanging="240"/>
      <w:jc w:val="left"/>
    </w:pPr>
    <w:rPr>
      <w:rFonts w:ascii="Arial" w:hAnsi="Arial" w:eastAsia="仿宋_GB2312" w:cs="Arial"/>
      <w:kern w:val="0"/>
      <w:sz w:val="28"/>
      <w:szCs w:val="21"/>
    </w:rPr>
  </w:style>
  <w:style w:type="paragraph" w:styleId="39">
    <w:name w:val="Title"/>
    <w:basedOn w:val="1"/>
    <w:next w:val="1"/>
    <w:link w:val="83"/>
    <w:qFormat/>
    <w:uiPriority w:val="0"/>
    <w:pPr>
      <w:spacing w:before="240" w:after="60"/>
      <w:jc w:val="center"/>
      <w:outlineLvl w:val="0"/>
    </w:pPr>
    <w:rPr>
      <w:rFonts w:ascii="Cambria" w:hAnsi="Cambria" w:eastAsia="Times New Roman" w:cs="Times New Roman"/>
      <w:b/>
      <w:bCs/>
      <w:sz w:val="32"/>
      <w:szCs w:val="32"/>
      <w:lang w:val="en-US" w:eastAsia="zh-CN"/>
    </w:rPr>
  </w:style>
  <w:style w:type="paragraph" w:styleId="40">
    <w:name w:val="annotation subject"/>
    <w:basedOn w:val="18"/>
    <w:next w:val="18"/>
    <w:link w:val="85"/>
    <w:qFormat/>
    <w:uiPriority w:val="0"/>
    <w:rPr>
      <w:b/>
      <w:bCs/>
    </w:rPr>
  </w:style>
  <w:style w:type="paragraph" w:styleId="41">
    <w:name w:val="Body Text First Indent"/>
    <w:basedOn w:val="21"/>
    <w:next w:val="33"/>
    <w:link w:val="64"/>
    <w:qFormat/>
    <w:uiPriority w:val="0"/>
    <w:pPr>
      <w:ind w:firstLine="420" w:firstLineChars="100"/>
    </w:pPr>
    <w:rPr>
      <w:rFonts w:ascii="Times New Roman" w:hAnsi="Times New Roman" w:eastAsia="宋体" w:cs="Times New Roman"/>
      <w:sz w:val="28"/>
      <w:szCs w:val="24"/>
    </w:rPr>
  </w:style>
  <w:style w:type="paragraph" w:styleId="42">
    <w:name w:val="Body Text First Indent 2"/>
    <w:basedOn w:val="22"/>
    <w:next w:val="1"/>
    <w:qFormat/>
    <w:uiPriority w:val="0"/>
    <w:pPr>
      <w:spacing w:after="120" w:line="240" w:lineRule="auto"/>
      <w:ind w:left="420" w:leftChars="200" w:firstLine="420" w:firstLineChars="200"/>
    </w:pPr>
    <w:rPr>
      <w:kern w:val="2"/>
      <w:sz w:val="21"/>
      <w:szCs w:val="20"/>
    </w:rPr>
  </w:style>
  <w:style w:type="table" w:styleId="44">
    <w:name w:val="Table Grid"/>
    <w:basedOn w:val="4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Emphasis"/>
    <w:qFormat/>
    <w:uiPriority w:val="0"/>
    <w:rPr>
      <w:i/>
      <w:iCs/>
    </w:rPr>
  </w:style>
  <w:style w:type="character" w:styleId="50">
    <w:name w:val="Hyperlink"/>
    <w:qFormat/>
    <w:uiPriority w:val="0"/>
    <w:rPr>
      <w:color w:val="FF6600"/>
      <w:u w:val="none"/>
    </w:rPr>
  </w:style>
  <w:style w:type="character" w:styleId="51">
    <w:name w:val="annotation reference"/>
    <w:semiHidden/>
    <w:qFormat/>
    <w:uiPriority w:val="0"/>
    <w:rPr>
      <w:sz w:val="21"/>
      <w:szCs w:val="21"/>
    </w:rPr>
  </w:style>
  <w:style w:type="character" w:customStyle="1" w:styleId="52">
    <w:name w:val="页眉 Char"/>
    <w:basedOn w:val="45"/>
    <w:link w:val="30"/>
    <w:qFormat/>
    <w:uiPriority w:val="0"/>
    <w:rPr>
      <w:sz w:val="18"/>
      <w:szCs w:val="18"/>
    </w:rPr>
  </w:style>
  <w:style w:type="character" w:customStyle="1" w:styleId="53">
    <w:name w:val="页脚 Char"/>
    <w:basedOn w:val="45"/>
    <w:link w:val="29"/>
    <w:qFormat/>
    <w:uiPriority w:val="0"/>
    <w:rPr>
      <w:sz w:val="18"/>
      <w:szCs w:val="18"/>
    </w:rPr>
  </w:style>
  <w:style w:type="character" w:customStyle="1" w:styleId="54">
    <w:name w:val="标题 1 Char"/>
    <w:basedOn w:val="45"/>
    <w:link w:val="2"/>
    <w:qFormat/>
    <w:uiPriority w:val="0"/>
    <w:rPr>
      <w:rFonts w:ascii="Times New Roman" w:hAnsi="Times New Roman" w:eastAsia="宋体" w:cs="Times New Roman"/>
      <w:b/>
      <w:bCs/>
      <w:kern w:val="44"/>
      <w:sz w:val="44"/>
      <w:szCs w:val="44"/>
    </w:rPr>
  </w:style>
  <w:style w:type="character" w:customStyle="1" w:styleId="55">
    <w:name w:val="标题 2 Char"/>
    <w:basedOn w:val="45"/>
    <w:link w:val="3"/>
    <w:qFormat/>
    <w:uiPriority w:val="0"/>
    <w:rPr>
      <w:rFonts w:asciiTheme="majorHAnsi" w:hAnsiTheme="majorHAnsi" w:eastAsiaTheme="majorEastAsia" w:cstheme="majorBidi"/>
      <w:b/>
      <w:bCs/>
      <w:sz w:val="32"/>
      <w:szCs w:val="32"/>
    </w:rPr>
  </w:style>
  <w:style w:type="character" w:customStyle="1" w:styleId="56">
    <w:name w:val="标题 3 Char"/>
    <w:basedOn w:val="45"/>
    <w:link w:val="5"/>
    <w:qFormat/>
    <w:uiPriority w:val="0"/>
    <w:rPr>
      <w:rFonts w:ascii="Times New Roman" w:hAnsi="Times New Roman" w:eastAsia="宋体" w:cs="Times New Roman"/>
      <w:b/>
      <w:bCs/>
      <w:sz w:val="32"/>
      <w:szCs w:val="32"/>
    </w:rPr>
  </w:style>
  <w:style w:type="character" w:customStyle="1" w:styleId="57">
    <w:name w:val="标题 4 Char"/>
    <w:basedOn w:val="45"/>
    <w:link w:val="6"/>
    <w:qFormat/>
    <w:uiPriority w:val="0"/>
    <w:rPr>
      <w:rFonts w:ascii="Arial" w:hAnsi="Arial" w:eastAsia="黑体" w:cs="Times New Roman"/>
      <w:b/>
      <w:bCs/>
      <w:sz w:val="28"/>
      <w:szCs w:val="28"/>
      <w:lang w:val="zh-CN"/>
    </w:rPr>
  </w:style>
  <w:style w:type="character" w:customStyle="1" w:styleId="58">
    <w:name w:val="标题 5 Char"/>
    <w:basedOn w:val="45"/>
    <w:link w:val="7"/>
    <w:qFormat/>
    <w:uiPriority w:val="0"/>
    <w:rPr>
      <w:rFonts w:ascii="Times New Roman" w:hAnsi="Times New Roman" w:eastAsia="宋体" w:cs="Times New Roman"/>
      <w:b/>
      <w:bCs/>
      <w:sz w:val="28"/>
      <w:szCs w:val="28"/>
    </w:rPr>
  </w:style>
  <w:style w:type="character" w:customStyle="1" w:styleId="59">
    <w:name w:val="标题 6 Char"/>
    <w:basedOn w:val="45"/>
    <w:link w:val="8"/>
    <w:qFormat/>
    <w:uiPriority w:val="0"/>
    <w:rPr>
      <w:rFonts w:ascii="Arial" w:hAnsi="Arial" w:eastAsia="黑体" w:cs="Times New Roman"/>
      <w:b/>
      <w:bCs/>
      <w:sz w:val="24"/>
      <w:szCs w:val="24"/>
    </w:rPr>
  </w:style>
  <w:style w:type="character" w:customStyle="1" w:styleId="60">
    <w:name w:val="标题 7 Char"/>
    <w:basedOn w:val="45"/>
    <w:link w:val="9"/>
    <w:qFormat/>
    <w:uiPriority w:val="0"/>
    <w:rPr>
      <w:rFonts w:ascii="Times New Roman" w:hAnsi="Times New Roman" w:eastAsia="宋体" w:cs="Times New Roman"/>
      <w:b/>
      <w:bCs/>
      <w:sz w:val="24"/>
      <w:szCs w:val="24"/>
    </w:rPr>
  </w:style>
  <w:style w:type="character" w:customStyle="1" w:styleId="61">
    <w:name w:val="标题 8 Char"/>
    <w:basedOn w:val="45"/>
    <w:link w:val="10"/>
    <w:qFormat/>
    <w:uiPriority w:val="0"/>
    <w:rPr>
      <w:rFonts w:ascii="Arial" w:hAnsi="Arial" w:eastAsia="黑体" w:cs="Times New Roman"/>
      <w:sz w:val="24"/>
      <w:szCs w:val="24"/>
    </w:rPr>
  </w:style>
  <w:style w:type="character" w:customStyle="1" w:styleId="62">
    <w:name w:val="标题 9 Char"/>
    <w:basedOn w:val="45"/>
    <w:link w:val="11"/>
    <w:qFormat/>
    <w:uiPriority w:val="0"/>
    <w:rPr>
      <w:rFonts w:ascii="Arial" w:hAnsi="Arial" w:eastAsia="黑体" w:cs="Times New Roman"/>
      <w:szCs w:val="21"/>
    </w:rPr>
  </w:style>
  <w:style w:type="character" w:customStyle="1" w:styleId="63">
    <w:name w:val="正文文本 Char"/>
    <w:basedOn w:val="45"/>
    <w:link w:val="21"/>
    <w:qFormat/>
    <w:uiPriority w:val="0"/>
  </w:style>
  <w:style w:type="character" w:customStyle="1" w:styleId="64">
    <w:name w:val="正文首行缩进 Char"/>
    <w:basedOn w:val="63"/>
    <w:link w:val="41"/>
    <w:qFormat/>
    <w:uiPriority w:val="0"/>
    <w:rPr>
      <w:rFonts w:ascii="Times New Roman" w:hAnsi="Times New Roman" w:eastAsia="宋体" w:cs="Times New Roman"/>
      <w:sz w:val="28"/>
      <w:szCs w:val="24"/>
    </w:rPr>
  </w:style>
  <w:style w:type="character" w:customStyle="1" w:styleId="65">
    <w:name w:val="标题 2 Char1"/>
    <w:link w:val="3"/>
    <w:qFormat/>
    <w:uiPriority w:val="0"/>
    <w:rPr>
      <w:rFonts w:ascii="Arial" w:hAnsi="Arial" w:eastAsia="黑体" w:cs="Times New Roman"/>
      <w:b/>
      <w:bCs/>
      <w:sz w:val="32"/>
      <w:szCs w:val="32"/>
    </w:rPr>
  </w:style>
  <w:style w:type="character" w:customStyle="1" w:styleId="66">
    <w:name w:val="正文缩进 Char"/>
    <w:link w:val="13"/>
    <w:qFormat/>
    <w:uiPriority w:val="0"/>
    <w:rPr>
      <w:rFonts w:ascii="Times New Roman" w:hAnsi="Times New Roman" w:eastAsia="宋体" w:cs="Times New Roman"/>
      <w:szCs w:val="20"/>
    </w:rPr>
  </w:style>
  <w:style w:type="character" w:customStyle="1" w:styleId="67">
    <w:name w:val="文档结构图 Char"/>
    <w:basedOn w:val="45"/>
    <w:link w:val="17"/>
    <w:semiHidden/>
    <w:qFormat/>
    <w:uiPriority w:val="0"/>
    <w:rPr>
      <w:rFonts w:ascii="Times New Roman" w:hAnsi="Times New Roman" w:eastAsia="宋体" w:cs="Times New Roman"/>
      <w:szCs w:val="24"/>
      <w:shd w:val="clear" w:color="auto" w:fill="000080"/>
    </w:rPr>
  </w:style>
  <w:style w:type="character" w:customStyle="1" w:styleId="68">
    <w:name w:val="批注文字 Char"/>
    <w:basedOn w:val="45"/>
    <w:link w:val="18"/>
    <w:qFormat/>
    <w:uiPriority w:val="0"/>
  </w:style>
  <w:style w:type="character" w:customStyle="1" w:styleId="69">
    <w:name w:val="批注文字 Char1"/>
    <w:link w:val="18"/>
    <w:semiHidden/>
    <w:qFormat/>
    <w:uiPriority w:val="0"/>
    <w:rPr>
      <w:rFonts w:ascii="Times New Roman" w:hAnsi="Times New Roman" w:eastAsia="宋体" w:cs="Times New Roman"/>
      <w:szCs w:val="24"/>
    </w:rPr>
  </w:style>
  <w:style w:type="character" w:customStyle="1" w:styleId="70">
    <w:name w:val="称呼 Char"/>
    <w:basedOn w:val="45"/>
    <w:link w:val="19"/>
    <w:qFormat/>
    <w:uiPriority w:val="0"/>
    <w:rPr>
      <w:rFonts w:ascii="长城仿宋" w:hAnsi="宋体" w:eastAsia="长城仿宋" w:cs="Times New Roman"/>
      <w:sz w:val="28"/>
      <w:szCs w:val="24"/>
    </w:rPr>
  </w:style>
  <w:style w:type="character" w:customStyle="1" w:styleId="71">
    <w:name w:val="正文文本 3 Char"/>
    <w:basedOn w:val="45"/>
    <w:link w:val="20"/>
    <w:qFormat/>
    <w:uiPriority w:val="0"/>
    <w:rPr>
      <w:rFonts w:ascii="Times New Roman" w:hAnsi="Times New Roman" w:eastAsia="宋体" w:cs="Times New Roman"/>
      <w:szCs w:val="24"/>
    </w:rPr>
  </w:style>
  <w:style w:type="character" w:customStyle="1" w:styleId="72">
    <w:name w:val="正文文本缩进 Char"/>
    <w:basedOn w:val="45"/>
    <w:link w:val="22"/>
    <w:qFormat/>
    <w:uiPriority w:val="0"/>
  </w:style>
  <w:style w:type="character" w:customStyle="1" w:styleId="73">
    <w:name w:val="正文文本缩进 Char2"/>
    <w:link w:val="22"/>
    <w:qFormat/>
    <w:uiPriority w:val="0"/>
    <w:rPr>
      <w:rFonts w:ascii="宋体" w:hAnsi="Courier New" w:eastAsia="宋体" w:cs="Times New Roman"/>
      <w:spacing w:val="-4"/>
      <w:sz w:val="18"/>
      <w:szCs w:val="24"/>
    </w:rPr>
  </w:style>
  <w:style w:type="character" w:customStyle="1" w:styleId="74">
    <w:name w:val="纯文本 Char"/>
    <w:basedOn w:val="45"/>
    <w:link w:val="75"/>
    <w:qFormat/>
    <w:uiPriority w:val="0"/>
    <w:rPr>
      <w:rFonts w:ascii="宋体" w:hAnsi="Courier New" w:eastAsia="宋体" w:cs="Courier New"/>
      <w:szCs w:val="21"/>
    </w:rPr>
  </w:style>
  <w:style w:type="paragraph" w:customStyle="1" w:styleId="75">
    <w:name w:val="纯文本1"/>
    <w:basedOn w:val="1"/>
    <w:link w:val="74"/>
    <w:qFormat/>
    <w:uiPriority w:val="0"/>
    <w:pPr>
      <w:spacing w:beforeLines="50" w:afterLines="50" w:line="400" w:lineRule="atLeast"/>
    </w:pPr>
    <w:rPr>
      <w:rFonts w:ascii="宋体" w:hAnsi="Courier New" w:eastAsia="宋体" w:cs="Courier New"/>
      <w:szCs w:val="21"/>
    </w:rPr>
  </w:style>
  <w:style w:type="character" w:customStyle="1" w:styleId="76">
    <w:name w:val="纯文本 Char3"/>
    <w:link w:val="25"/>
    <w:qFormat/>
    <w:uiPriority w:val="0"/>
    <w:rPr>
      <w:rFonts w:ascii="宋体" w:hAnsi="Courier New" w:eastAsia="宋体" w:cs="Times New Roman"/>
      <w:sz w:val="24"/>
      <w:szCs w:val="24"/>
    </w:rPr>
  </w:style>
  <w:style w:type="character" w:customStyle="1" w:styleId="77">
    <w:name w:val="日期 Char"/>
    <w:basedOn w:val="45"/>
    <w:link w:val="26"/>
    <w:qFormat/>
    <w:uiPriority w:val="0"/>
    <w:rPr>
      <w:rFonts w:ascii="Times New Roman" w:hAnsi="Times New Roman" w:eastAsia="楷体_GB2312" w:cs="Times New Roman"/>
      <w:sz w:val="32"/>
      <w:szCs w:val="20"/>
    </w:rPr>
  </w:style>
  <w:style w:type="character" w:customStyle="1" w:styleId="78">
    <w:name w:val="正文文本缩进 2 Char"/>
    <w:basedOn w:val="45"/>
    <w:link w:val="27"/>
    <w:qFormat/>
    <w:uiPriority w:val="0"/>
    <w:rPr>
      <w:rFonts w:ascii="仿宋_GB2312" w:hAnsi="宋体" w:eastAsia="宋体" w:cs="Times New Roman"/>
      <w:b/>
      <w:bCs/>
      <w:color w:val="000000"/>
      <w:sz w:val="24"/>
      <w:szCs w:val="24"/>
    </w:rPr>
  </w:style>
  <w:style w:type="character" w:customStyle="1" w:styleId="79">
    <w:name w:val="批注框文本 Char"/>
    <w:basedOn w:val="45"/>
    <w:link w:val="28"/>
    <w:semiHidden/>
    <w:qFormat/>
    <w:uiPriority w:val="0"/>
    <w:rPr>
      <w:rFonts w:ascii="Times New Roman" w:hAnsi="Times New Roman" w:eastAsia="宋体" w:cs="Times New Roman"/>
      <w:sz w:val="18"/>
      <w:szCs w:val="18"/>
    </w:rPr>
  </w:style>
  <w:style w:type="character" w:customStyle="1" w:styleId="80">
    <w:name w:val="副标题 Char"/>
    <w:basedOn w:val="45"/>
    <w:link w:val="32"/>
    <w:qFormat/>
    <w:uiPriority w:val="0"/>
    <w:rPr>
      <w:rFonts w:ascii="Cambria" w:hAnsi="Cambria" w:eastAsia="Times New Roman" w:cs="Times New Roman"/>
      <w:b/>
      <w:bCs/>
      <w:kern w:val="28"/>
      <w:sz w:val="32"/>
      <w:szCs w:val="32"/>
      <w:lang w:val="en-US" w:eastAsia="zh-CN"/>
    </w:rPr>
  </w:style>
  <w:style w:type="character" w:customStyle="1" w:styleId="81">
    <w:name w:val="正文文本缩进 3 Char"/>
    <w:basedOn w:val="45"/>
    <w:link w:val="34"/>
    <w:qFormat/>
    <w:uiPriority w:val="0"/>
    <w:rPr>
      <w:rFonts w:ascii="仿宋_GB2312" w:hAnsi="宋体" w:eastAsia="仿宋_GB2312" w:cs="Times New Roman"/>
      <w:color w:val="000000"/>
      <w:sz w:val="24"/>
      <w:szCs w:val="24"/>
    </w:rPr>
  </w:style>
  <w:style w:type="character" w:customStyle="1" w:styleId="82">
    <w:name w:val="正文文本 2 Char"/>
    <w:basedOn w:val="45"/>
    <w:link w:val="36"/>
    <w:qFormat/>
    <w:uiPriority w:val="0"/>
    <w:rPr>
      <w:rFonts w:ascii="宋体" w:hAnsi="宋体" w:eastAsia="宋体" w:cs="Times New Roman"/>
      <w:color w:val="000000"/>
      <w:sz w:val="24"/>
      <w:szCs w:val="24"/>
    </w:rPr>
  </w:style>
  <w:style w:type="character" w:customStyle="1" w:styleId="83">
    <w:name w:val="标题 Char"/>
    <w:basedOn w:val="45"/>
    <w:link w:val="39"/>
    <w:qFormat/>
    <w:uiPriority w:val="0"/>
    <w:rPr>
      <w:rFonts w:ascii="Cambria" w:hAnsi="Cambria" w:eastAsia="Times New Roman" w:cs="Times New Roman"/>
      <w:b/>
      <w:bCs/>
      <w:sz w:val="32"/>
      <w:szCs w:val="32"/>
      <w:lang w:val="en-US" w:eastAsia="zh-CN"/>
    </w:rPr>
  </w:style>
  <w:style w:type="character" w:customStyle="1" w:styleId="84">
    <w:name w:val="批注主题 Char"/>
    <w:basedOn w:val="68"/>
    <w:link w:val="40"/>
    <w:qFormat/>
    <w:uiPriority w:val="0"/>
    <w:rPr>
      <w:b/>
      <w:bCs/>
    </w:rPr>
  </w:style>
  <w:style w:type="character" w:customStyle="1" w:styleId="85">
    <w:name w:val="批注主题 Char1"/>
    <w:link w:val="40"/>
    <w:qFormat/>
    <w:uiPriority w:val="0"/>
    <w:rPr>
      <w:rFonts w:ascii="Times New Roman" w:hAnsi="Times New Roman" w:eastAsia="宋体" w:cs="Times New Roman"/>
      <w:b/>
      <w:bCs/>
      <w:szCs w:val="24"/>
    </w:rPr>
  </w:style>
  <w:style w:type="paragraph" w:customStyle="1" w:styleId="86">
    <w:name w:val="无间隔1"/>
    <w:qFormat/>
    <w:uiPriority w:val="99"/>
    <w:pPr>
      <w:adjustRightInd w:val="0"/>
      <w:snapToGrid w:val="0"/>
    </w:pPr>
    <w:rPr>
      <w:rFonts w:ascii="Tahoma" w:hAnsi="Tahoma" w:eastAsia="微软雅黑" w:cs="Times New Roman"/>
      <w:kern w:val="0"/>
      <w:sz w:val="22"/>
      <w:szCs w:val="22"/>
      <w:lang w:val="en-US" w:eastAsia="zh-CN" w:bidi="ar-SA"/>
    </w:rPr>
  </w:style>
  <w:style w:type="character" w:customStyle="1" w:styleId="87">
    <w:name w:val="font31"/>
    <w:qFormat/>
    <w:uiPriority w:val="0"/>
    <w:rPr>
      <w:rFonts w:ascii="微软雅黑" w:hAnsi="微软雅黑" w:eastAsia="微软雅黑" w:cs="微软雅黑"/>
      <w:color w:val="000000"/>
      <w:sz w:val="16"/>
      <w:szCs w:val="16"/>
      <w:u w:val="none"/>
    </w:rPr>
  </w:style>
  <w:style w:type="character" w:customStyle="1" w:styleId="88">
    <w:name w:val="表格 Char Char"/>
    <w:link w:val="89"/>
    <w:qFormat/>
    <w:uiPriority w:val="0"/>
    <w:rPr>
      <w:rFonts w:ascii="宋体" w:hAnsi="宋体"/>
    </w:rPr>
  </w:style>
  <w:style w:type="paragraph" w:customStyle="1" w:styleId="89">
    <w:name w:val="表格"/>
    <w:basedOn w:val="1"/>
    <w:link w:val="88"/>
    <w:qFormat/>
    <w:uiPriority w:val="0"/>
    <w:pPr>
      <w:snapToGrid w:val="0"/>
      <w:ind w:firstLine="42" w:firstLineChars="21"/>
    </w:pPr>
    <w:rPr>
      <w:rFonts w:ascii="宋体" w:hAnsi="宋体"/>
    </w:rPr>
  </w:style>
  <w:style w:type="character" w:customStyle="1" w:styleId="90">
    <w:name w:val="h1 Char"/>
    <w:qFormat/>
    <w:locked/>
    <w:uiPriority w:val="0"/>
    <w:rPr>
      <w:rFonts w:eastAsia="宋体"/>
      <w:b/>
      <w:bCs/>
      <w:kern w:val="44"/>
      <w:sz w:val="44"/>
      <w:szCs w:val="44"/>
      <w:lang w:val="en-US" w:eastAsia="zh-CN" w:bidi="ar-SA"/>
    </w:rPr>
  </w:style>
  <w:style w:type="character" w:customStyle="1" w:styleId="91">
    <w:name w:val="正文2 Char"/>
    <w:qFormat/>
    <w:uiPriority w:val="0"/>
    <w:rPr>
      <w:rFonts w:eastAsia="宋体"/>
      <w:kern w:val="2"/>
      <w:sz w:val="24"/>
      <w:lang w:val="en-US" w:eastAsia="zh-CN" w:bidi="ar-SA"/>
    </w:rPr>
  </w:style>
  <w:style w:type="character" w:customStyle="1" w:styleId="92">
    <w:name w:val="a Char Char"/>
    <w:link w:val="93"/>
    <w:qFormat/>
    <w:uiPriority w:val="0"/>
    <w:rPr>
      <w:rFonts w:ascii="宋体" w:hAnsi="宋体" w:eastAsia="仿宋_GB2312"/>
      <w:sz w:val="24"/>
    </w:rPr>
  </w:style>
  <w:style w:type="paragraph" w:customStyle="1" w:styleId="93">
    <w:name w:val="a"/>
    <w:basedOn w:val="1"/>
    <w:link w:val="92"/>
    <w:qFormat/>
    <w:uiPriority w:val="0"/>
    <w:pPr>
      <w:widowControl/>
      <w:spacing w:before="100" w:beforeAutospacing="1" w:after="100" w:afterAutospacing="1"/>
      <w:jc w:val="left"/>
    </w:pPr>
    <w:rPr>
      <w:rFonts w:ascii="宋体" w:hAnsi="宋体" w:eastAsia="仿宋_GB2312"/>
      <w:sz w:val="24"/>
    </w:rPr>
  </w:style>
  <w:style w:type="character" w:customStyle="1" w:styleId="94">
    <w:name w:val="font21"/>
    <w:qFormat/>
    <w:uiPriority w:val="0"/>
    <w:rPr>
      <w:rFonts w:hint="eastAsia" w:ascii="宋体" w:hAnsi="宋体" w:eastAsia="宋体" w:cs="宋体"/>
      <w:color w:val="000000"/>
      <w:sz w:val="20"/>
      <w:szCs w:val="20"/>
      <w:u w:val="none"/>
    </w:rPr>
  </w:style>
  <w:style w:type="character" w:customStyle="1" w:styleId="95">
    <w:name w:val="PI Char"/>
    <w:link w:val="96"/>
    <w:qFormat/>
    <w:uiPriority w:val="0"/>
    <w:rPr>
      <w:rFonts w:ascii="宋体" w:hAnsi="Courier New" w:eastAsia="宋体"/>
      <w:spacing w:val="-4"/>
      <w:sz w:val="18"/>
    </w:rPr>
  </w:style>
  <w:style w:type="paragraph" w:customStyle="1" w:styleId="96">
    <w:name w:val="Body Text Indent"/>
    <w:basedOn w:val="1"/>
    <w:link w:val="95"/>
    <w:qFormat/>
    <w:uiPriority w:val="0"/>
    <w:pPr>
      <w:spacing w:line="200" w:lineRule="exact"/>
      <w:ind w:firstLine="301"/>
    </w:pPr>
    <w:rPr>
      <w:rFonts w:ascii="宋体" w:hAnsi="Courier New" w:eastAsia="宋体"/>
      <w:spacing w:val="-4"/>
      <w:sz w:val="18"/>
    </w:rPr>
  </w:style>
  <w:style w:type="character" w:customStyle="1" w:styleId="97">
    <w:name w:val="Item List in Table Char Char"/>
    <w:link w:val="98"/>
    <w:qFormat/>
    <w:uiPriority w:val="0"/>
    <w:rPr>
      <w:rFonts w:ascii="Arial" w:hAnsi="Arial" w:eastAsia="Times New Roman"/>
      <w:sz w:val="18"/>
      <w:szCs w:val="18"/>
    </w:rPr>
  </w:style>
  <w:style w:type="paragraph" w:customStyle="1" w:styleId="98">
    <w:name w:val="Item List in Table"/>
    <w:link w:val="97"/>
    <w:qFormat/>
    <w:uiPriority w:val="0"/>
    <w:pPr>
      <w:numPr>
        <w:ilvl w:val="0"/>
        <w:numId w:val="1"/>
      </w:numPr>
      <w:spacing w:before="40" w:after="40"/>
      <w:jc w:val="both"/>
    </w:pPr>
    <w:rPr>
      <w:rFonts w:ascii="Arial" w:hAnsi="Arial" w:eastAsia="Times New Roman" w:cstheme="minorBidi"/>
      <w:kern w:val="2"/>
      <w:sz w:val="18"/>
      <w:szCs w:val="18"/>
      <w:lang w:val="en-US" w:eastAsia="zh-CN" w:bidi="ar-SA"/>
    </w:rPr>
  </w:style>
  <w:style w:type="character" w:customStyle="1" w:styleId="99">
    <w:name w:val="标准正文格式 Char Char"/>
    <w:link w:val="100"/>
    <w:qFormat/>
    <w:uiPriority w:val="0"/>
    <w:rPr>
      <w:rFonts w:ascii="宋体" w:eastAsia="仿宋_GB2312" w:cs="宋体"/>
      <w:color w:val="000000"/>
      <w:sz w:val="24"/>
    </w:rPr>
  </w:style>
  <w:style w:type="paragraph" w:customStyle="1" w:styleId="100">
    <w:name w:val="标准正文格式"/>
    <w:basedOn w:val="1"/>
    <w:link w:val="99"/>
    <w:qFormat/>
    <w:uiPriority w:val="0"/>
    <w:pPr>
      <w:widowControl/>
      <w:adjustRightInd w:val="0"/>
      <w:spacing w:before="60" w:after="120" w:line="360" w:lineRule="auto"/>
      <w:ind w:firstLine="200" w:firstLineChars="200"/>
      <w:textAlignment w:val="baseline"/>
    </w:pPr>
    <w:rPr>
      <w:rFonts w:ascii="宋体" w:eastAsia="仿宋_GB2312" w:cs="宋体"/>
      <w:color w:val="000000"/>
      <w:sz w:val="24"/>
    </w:rPr>
  </w:style>
  <w:style w:type="character" w:customStyle="1" w:styleId="101">
    <w:name w:val="List Paragraph Char"/>
    <w:link w:val="102"/>
    <w:qFormat/>
    <w:locked/>
    <w:uiPriority w:val="0"/>
    <w:rPr>
      <w:rFonts w:eastAsia="宋体"/>
      <w:szCs w:val="21"/>
    </w:rPr>
  </w:style>
  <w:style w:type="paragraph" w:customStyle="1" w:styleId="102">
    <w:name w:val="List Paragraph1"/>
    <w:basedOn w:val="1"/>
    <w:link w:val="101"/>
    <w:qFormat/>
    <w:uiPriority w:val="0"/>
    <w:pPr>
      <w:ind w:firstLine="420" w:firstLineChars="200"/>
    </w:pPr>
    <w:rPr>
      <w:rFonts w:eastAsia="宋体"/>
      <w:szCs w:val="21"/>
    </w:rPr>
  </w:style>
  <w:style w:type="character" w:customStyle="1" w:styleId="103">
    <w:name w:val="www序号1) Char"/>
    <w:link w:val="104"/>
    <w:qFormat/>
    <w:uiPriority w:val="0"/>
    <w:rPr>
      <w:sz w:val="24"/>
      <w:szCs w:val="24"/>
    </w:rPr>
  </w:style>
  <w:style w:type="paragraph" w:customStyle="1" w:styleId="104">
    <w:name w:val="www序号1)"/>
    <w:basedOn w:val="1"/>
    <w:link w:val="103"/>
    <w:qFormat/>
    <w:uiPriority w:val="0"/>
    <w:pPr>
      <w:tabs>
        <w:tab w:val="left" w:pos="2160"/>
      </w:tabs>
      <w:ind w:left="2160" w:hanging="420"/>
    </w:pPr>
    <w:rPr>
      <w:sz w:val="24"/>
      <w:szCs w:val="24"/>
    </w:rPr>
  </w:style>
  <w:style w:type="character" w:customStyle="1" w:styleId="105">
    <w:name w:val="浅色底纹 - 强调文字颜色 2 Char"/>
    <w:link w:val="106"/>
    <w:qFormat/>
    <w:uiPriority w:val="0"/>
    <w:rPr>
      <w:rFonts w:ascii="Calibri" w:hAnsi="Calibri"/>
      <w:b/>
      <w:bCs/>
      <w:i/>
      <w:iCs/>
      <w:color w:val="4F81BD"/>
      <w:sz w:val="22"/>
      <w:lang w:eastAsia="en-US" w:bidi="en-US"/>
    </w:rPr>
  </w:style>
  <w:style w:type="paragraph" w:customStyle="1" w:styleId="106">
    <w:name w:val="浅色底纹 - 强调文字颜色 21"/>
    <w:basedOn w:val="1"/>
    <w:next w:val="1"/>
    <w:link w:val="105"/>
    <w:qFormat/>
    <w:uiPriority w:val="0"/>
    <w:pPr>
      <w:widowControl/>
      <w:pBdr>
        <w:bottom w:val="single" w:color="4F81BD" w:sz="4" w:space="4"/>
      </w:pBdr>
      <w:spacing w:before="200" w:after="280" w:line="276" w:lineRule="auto"/>
      <w:ind w:left="936" w:right="936"/>
      <w:jc w:val="left"/>
    </w:pPr>
    <w:rPr>
      <w:rFonts w:ascii="Calibri" w:hAnsi="Calibri"/>
      <w:b/>
      <w:bCs/>
      <w:i/>
      <w:iCs/>
      <w:color w:val="4F81BD"/>
      <w:sz w:val="22"/>
      <w:lang w:eastAsia="en-US" w:bidi="en-US"/>
    </w:rPr>
  </w:style>
  <w:style w:type="character" w:customStyle="1" w:styleId="107">
    <w:name w:val="纯文本 字符2"/>
    <w:qFormat/>
    <w:uiPriority w:val="0"/>
    <w:rPr>
      <w:rFonts w:ascii="宋体" w:hAnsi="Courier New" w:eastAsia="宋体"/>
      <w:kern w:val="2"/>
      <w:sz w:val="24"/>
      <w:szCs w:val="24"/>
      <w:lang w:val="en-US" w:eastAsia="zh-CN" w:bidi="ar-SA"/>
    </w:rPr>
  </w:style>
  <w:style w:type="character" w:customStyle="1" w:styleId="108">
    <w:name w:val="标题5 Char Char"/>
    <w:qFormat/>
    <w:uiPriority w:val="0"/>
    <w:rPr>
      <w:rFonts w:ascii="Arial" w:hAnsi="Arial"/>
      <w:b/>
      <w:bCs/>
      <w:sz w:val="24"/>
      <w:szCs w:val="32"/>
      <w:lang w:bidi="ar-SA"/>
    </w:rPr>
  </w:style>
  <w:style w:type="character" w:customStyle="1" w:styleId="109">
    <w:name w:val="普通文字 Char Char4"/>
    <w:qFormat/>
    <w:uiPriority w:val="0"/>
    <w:rPr>
      <w:rFonts w:ascii="宋体" w:hAnsi="Courier New" w:eastAsia="宋体"/>
      <w:kern w:val="2"/>
      <w:sz w:val="24"/>
      <w:szCs w:val="24"/>
      <w:lang w:val="en-US" w:eastAsia="zh-CN" w:bidi="ar-SA"/>
    </w:rPr>
  </w:style>
  <w:style w:type="character" w:customStyle="1" w:styleId="110">
    <w:name w:val="apple-converted-space"/>
    <w:basedOn w:val="45"/>
    <w:qFormat/>
    <w:uiPriority w:val="0"/>
  </w:style>
  <w:style w:type="character" w:customStyle="1" w:styleId="111">
    <w:name w:val="标题 2 字符"/>
    <w:qFormat/>
    <w:uiPriority w:val="0"/>
    <w:rPr>
      <w:rFonts w:ascii="Arial" w:hAnsi="Arial" w:eastAsia="黑体"/>
      <w:b/>
      <w:bCs/>
      <w:kern w:val="2"/>
      <w:sz w:val="32"/>
      <w:szCs w:val="32"/>
      <w:lang w:val="en-US" w:eastAsia="zh-CN" w:bidi="ar-SA"/>
    </w:rPr>
  </w:style>
  <w:style w:type="character" w:customStyle="1" w:styleId="112">
    <w:name w:val="h1 Char1"/>
    <w:qFormat/>
    <w:uiPriority w:val="0"/>
    <w:rPr>
      <w:rFonts w:eastAsia="黑体"/>
      <w:b/>
      <w:bCs/>
      <w:kern w:val="44"/>
      <w:sz w:val="44"/>
      <w:szCs w:val="44"/>
      <w:lang w:val="en-US" w:eastAsia="zh-CN" w:bidi="ar-SA"/>
    </w:rPr>
  </w:style>
  <w:style w:type="character" w:customStyle="1" w:styleId="113">
    <w:name w:val=" Char Char4"/>
    <w:qFormat/>
    <w:uiPriority w:val="0"/>
    <w:rPr>
      <w:rFonts w:ascii="宋体" w:hAnsi="Courier New" w:eastAsia="宋体"/>
      <w:kern w:val="2"/>
      <w:sz w:val="24"/>
      <w:szCs w:val="24"/>
      <w:lang w:val="en-US" w:eastAsia="zh-CN" w:bidi="ar-SA"/>
    </w:rPr>
  </w:style>
  <w:style w:type="character" w:customStyle="1" w:styleId="114">
    <w:name w:val="标书正文格式 Char"/>
    <w:link w:val="115"/>
    <w:qFormat/>
    <w:uiPriority w:val="0"/>
    <w:rPr>
      <w:rFonts w:ascii="楷体_GB2312" w:eastAsia="楷体_GB2312"/>
      <w:color w:val="000000"/>
      <w:sz w:val="24"/>
      <w:szCs w:val="24"/>
    </w:rPr>
  </w:style>
  <w:style w:type="paragraph" w:customStyle="1" w:styleId="115">
    <w:name w:val="标书正文格式"/>
    <w:link w:val="114"/>
    <w:qFormat/>
    <w:uiPriority w:val="0"/>
    <w:pPr>
      <w:spacing w:line="360" w:lineRule="auto"/>
      <w:ind w:firstLine="480" w:firstLineChars="200"/>
    </w:pPr>
    <w:rPr>
      <w:rFonts w:ascii="楷体_GB2312" w:eastAsia="楷体_GB2312" w:hAnsiTheme="minorHAnsi" w:cstheme="minorBidi"/>
      <w:color w:val="000000"/>
      <w:kern w:val="2"/>
      <w:sz w:val="24"/>
      <w:szCs w:val="24"/>
      <w:lang w:val="en-US" w:eastAsia="zh-CN" w:bidi="ar-SA"/>
    </w:rPr>
  </w:style>
  <w:style w:type="character" w:customStyle="1" w:styleId="116">
    <w:name w:val="A10"/>
    <w:unhideWhenUsed/>
    <w:qFormat/>
    <w:uiPriority w:val="0"/>
    <w:rPr>
      <w:rFonts w:hint="eastAsia"/>
      <w:color w:val="211D1E"/>
      <w:sz w:val="18"/>
    </w:rPr>
  </w:style>
  <w:style w:type="character" w:customStyle="1" w:styleId="117">
    <w:name w:val="font01"/>
    <w:qFormat/>
    <w:uiPriority w:val="0"/>
    <w:rPr>
      <w:rFonts w:hint="eastAsia" w:ascii="宋体" w:hAnsi="宋体" w:eastAsia="宋体" w:cs="宋体"/>
      <w:color w:val="000000"/>
      <w:sz w:val="20"/>
      <w:szCs w:val="20"/>
      <w:u w:val="none"/>
    </w:rPr>
  </w:style>
  <w:style w:type="character" w:customStyle="1" w:styleId="118">
    <w:name w:val="彩色网格 - 强调文字颜色 1 Char"/>
    <w:link w:val="119"/>
    <w:qFormat/>
    <w:uiPriority w:val="0"/>
    <w:rPr>
      <w:rFonts w:ascii="Calibri" w:hAnsi="Calibri"/>
      <w:i/>
      <w:iCs/>
      <w:color w:val="000000"/>
      <w:sz w:val="22"/>
      <w:lang w:eastAsia="en-US" w:bidi="en-US"/>
    </w:rPr>
  </w:style>
  <w:style w:type="paragraph" w:customStyle="1" w:styleId="119">
    <w:name w:val="彩色网格 - 强调文字颜色 11"/>
    <w:basedOn w:val="1"/>
    <w:next w:val="1"/>
    <w:link w:val="118"/>
    <w:qFormat/>
    <w:uiPriority w:val="0"/>
    <w:pPr>
      <w:widowControl/>
      <w:spacing w:after="480" w:line="276" w:lineRule="auto"/>
      <w:jc w:val="left"/>
    </w:pPr>
    <w:rPr>
      <w:rFonts w:ascii="Calibri" w:hAnsi="Calibri"/>
      <w:i/>
      <w:iCs/>
      <w:color w:val="000000"/>
      <w:sz w:val="22"/>
      <w:lang w:eastAsia="en-US" w:bidi="en-US"/>
    </w:rPr>
  </w:style>
  <w:style w:type="character" w:customStyle="1" w:styleId="120">
    <w:name w:val="ss16"/>
    <w:qFormat/>
    <w:uiPriority w:val="0"/>
    <w:rPr>
      <w:rFonts w:hint="eastAsia" w:ascii="宋体" w:hAnsi="宋体" w:eastAsia="宋体"/>
      <w:color w:val="000000"/>
      <w:sz w:val="21"/>
      <w:szCs w:val="21"/>
    </w:rPr>
  </w:style>
  <w:style w:type="character" w:customStyle="1" w:styleId="121">
    <w:name w:val="正文2 Char Char Char"/>
    <w:qFormat/>
    <w:uiPriority w:val="0"/>
    <w:rPr>
      <w:rFonts w:eastAsia="宋体"/>
      <w:kern w:val="2"/>
      <w:sz w:val="24"/>
      <w:lang w:val="en-US" w:eastAsia="zh-CN" w:bidi="ar-SA"/>
    </w:rPr>
  </w:style>
  <w:style w:type="character" w:customStyle="1" w:styleId="122">
    <w:name w:val="标题2 Char"/>
    <w:link w:val="123"/>
    <w:qFormat/>
    <w:uiPriority w:val="0"/>
    <w:rPr>
      <w:b/>
      <w:bCs/>
      <w:kern w:val="44"/>
      <w:sz w:val="28"/>
      <w:szCs w:val="44"/>
    </w:rPr>
  </w:style>
  <w:style w:type="paragraph" w:customStyle="1" w:styleId="123">
    <w:name w:val="标题2"/>
    <w:basedOn w:val="2"/>
    <w:link w:val="122"/>
    <w:qFormat/>
    <w:uiPriority w:val="0"/>
    <w:pPr>
      <w:numPr>
        <w:numId w:val="0"/>
      </w:numPr>
      <w:spacing w:line="576" w:lineRule="auto"/>
    </w:pPr>
    <w:rPr>
      <w:rFonts w:asciiTheme="minorHAnsi" w:hAnsiTheme="minorHAnsi" w:eastAsiaTheme="minorEastAsia" w:cstheme="minorBidi"/>
      <w:sz w:val="28"/>
    </w:rPr>
  </w:style>
  <w:style w:type="character" w:customStyle="1" w:styleId="124">
    <w:name w:val="md"/>
    <w:basedOn w:val="45"/>
    <w:qFormat/>
    <w:uiPriority w:val="0"/>
  </w:style>
  <w:style w:type="character" w:customStyle="1" w:styleId="125">
    <w:name w:val="纯文本 Char1"/>
    <w:qFormat/>
    <w:uiPriority w:val="0"/>
    <w:rPr>
      <w:rFonts w:ascii="宋体" w:hAnsi="Courier New" w:eastAsia="宋体" w:cs="Times New Roman"/>
      <w:sz w:val="24"/>
      <w:szCs w:val="24"/>
    </w:rPr>
  </w:style>
  <w:style w:type="character" w:customStyle="1" w:styleId="126">
    <w:name w:val="2文字 Char"/>
    <w:link w:val="127"/>
    <w:qFormat/>
    <w:uiPriority w:val="0"/>
  </w:style>
  <w:style w:type="paragraph" w:customStyle="1" w:styleId="127">
    <w:name w:val="2文字"/>
    <w:link w:val="126"/>
    <w:qFormat/>
    <w:uiPriority w:val="0"/>
    <w:pPr>
      <w:widowControl w:val="0"/>
      <w:spacing w:line="360" w:lineRule="auto"/>
      <w:ind w:firstLine="200" w:firstLineChars="200"/>
      <w:jc w:val="both"/>
    </w:pPr>
    <w:rPr>
      <w:rFonts w:asciiTheme="minorHAnsi" w:hAnsiTheme="minorHAnsi" w:eastAsiaTheme="minorEastAsia" w:cstheme="minorBidi"/>
      <w:kern w:val="2"/>
      <w:sz w:val="21"/>
      <w:szCs w:val="22"/>
      <w:lang w:val="en-US" w:eastAsia="zh-CN" w:bidi="ar-SA"/>
    </w:rPr>
  </w:style>
  <w:style w:type="character" w:customStyle="1" w:styleId="128">
    <w:name w:val="文字 Char"/>
    <w:link w:val="129"/>
    <w:qFormat/>
    <w:uiPriority w:val="0"/>
    <w:rPr>
      <w:rFonts w:ascii="宋体" w:hAnsi="宋体"/>
      <w:sz w:val="28"/>
    </w:rPr>
  </w:style>
  <w:style w:type="paragraph" w:customStyle="1" w:styleId="129">
    <w:name w:val="文字"/>
    <w:basedOn w:val="1"/>
    <w:link w:val="128"/>
    <w:qFormat/>
    <w:uiPriority w:val="0"/>
    <w:pPr>
      <w:tabs>
        <w:tab w:val="left" w:pos="8520"/>
      </w:tabs>
      <w:spacing w:line="312" w:lineRule="auto"/>
      <w:ind w:right="-210" w:firstLine="556"/>
    </w:pPr>
    <w:rPr>
      <w:rFonts w:ascii="宋体" w:hAnsi="宋体"/>
      <w:sz w:val="28"/>
    </w:rPr>
  </w:style>
  <w:style w:type="character" w:customStyle="1" w:styleId="130">
    <w:name w:val="A0"/>
    <w:unhideWhenUsed/>
    <w:qFormat/>
    <w:uiPriority w:val="0"/>
    <w:rPr>
      <w:rFonts w:hint="eastAsia"/>
      <w:color w:val="211D1E"/>
      <w:sz w:val="20"/>
    </w:rPr>
  </w:style>
  <w:style w:type="character" w:customStyle="1" w:styleId="131">
    <w:name w:val="明显引用 Char"/>
    <w:qFormat/>
    <w:uiPriority w:val="0"/>
    <w:rPr>
      <w:b/>
      <w:bCs/>
      <w:i/>
      <w:iCs/>
      <w:color w:val="4F81BD"/>
      <w:kern w:val="2"/>
      <w:sz w:val="21"/>
      <w:szCs w:val="22"/>
      <w:lang w:bidi="ar-SA"/>
    </w:rPr>
  </w:style>
  <w:style w:type="character" w:customStyle="1" w:styleId="132">
    <w:name w:val="纯文本 Char2"/>
    <w:qFormat/>
    <w:uiPriority w:val="0"/>
    <w:rPr>
      <w:rFonts w:ascii="宋体" w:hAnsi="Courier New" w:eastAsia="宋体"/>
      <w:kern w:val="2"/>
      <w:sz w:val="24"/>
      <w:szCs w:val="24"/>
      <w:lang w:val="en-US" w:eastAsia="zh-CN" w:bidi="ar-SA"/>
    </w:rPr>
  </w:style>
  <w:style w:type="character" w:customStyle="1" w:styleId="133">
    <w:name w:val="普通文字 Char Char3"/>
    <w:qFormat/>
    <w:uiPriority w:val="0"/>
    <w:rPr>
      <w:rFonts w:ascii="宋体" w:hAnsi="Courier New" w:eastAsia="宋体"/>
      <w:kern w:val="2"/>
      <w:sz w:val="24"/>
      <w:szCs w:val="24"/>
      <w:lang w:val="en-US" w:eastAsia="zh-CN" w:bidi="ar-SA"/>
    </w:rPr>
  </w:style>
  <w:style w:type="character" w:customStyle="1" w:styleId="134">
    <w:name w:val="引用 Char"/>
    <w:qFormat/>
    <w:uiPriority w:val="0"/>
    <w:rPr>
      <w:i/>
      <w:iCs/>
      <w:color w:val="000000"/>
      <w:kern w:val="2"/>
      <w:sz w:val="21"/>
      <w:szCs w:val="22"/>
      <w:lang w:bidi="ar-SA"/>
    </w:rPr>
  </w:style>
  <w:style w:type="character" w:customStyle="1" w:styleId="135">
    <w:name w:val="99-标书-正文 Char"/>
    <w:link w:val="136"/>
    <w:qFormat/>
    <w:locked/>
    <w:uiPriority w:val="0"/>
    <w:rPr>
      <w:rFonts w:ascii="宋体" w:hAnsi="宋体"/>
      <w:color w:val="000000"/>
      <w:sz w:val="24"/>
      <w:szCs w:val="21"/>
    </w:rPr>
  </w:style>
  <w:style w:type="paragraph" w:customStyle="1" w:styleId="136">
    <w:name w:val="99-标书-正文"/>
    <w:link w:val="135"/>
    <w:qFormat/>
    <w:uiPriority w:val="0"/>
    <w:pPr>
      <w:spacing w:line="360" w:lineRule="auto"/>
      <w:ind w:firstLine="480" w:firstLineChars="200"/>
      <w:jc w:val="both"/>
    </w:pPr>
    <w:rPr>
      <w:rFonts w:ascii="宋体" w:hAnsi="宋体" w:eastAsiaTheme="minorEastAsia" w:cstheme="minorBidi"/>
      <w:color w:val="000000"/>
      <w:kern w:val="2"/>
      <w:sz w:val="24"/>
      <w:szCs w:val="21"/>
      <w:lang w:val="en-US" w:eastAsia="zh-CN" w:bidi="ar-SA"/>
    </w:rPr>
  </w:style>
  <w:style w:type="character" w:customStyle="1" w:styleId="137">
    <w:name w:val="正文2 Char Char"/>
    <w:link w:val="138"/>
    <w:qFormat/>
    <w:uiPriority w:val="0"/>
    <w:rPr>
      <w:rFonts w:eastAsia="宋体"/>
      <w:sz w:val="24"/>
    </w:rPr>
  </w:style>
  <w:style w:type="paragraph" w:customStyle="1" w:styleId="138">
    <w:name w:val="正文2"/>
    <w:basedOn w:val="1"/>
    <w:link w:val="137"/>
    <w:qFormat/>
    <w:uiPriority w:val="0"/>
    <w:pPr>
      <w:spacing w:before="156" w:line="360" w:lineRule="auto"/>
      <w:ind w:firstLine="510" w:firstLineChars="200"/>
    </w:pPr>
    <w:rPr>
      <w:rFonts w:eastAsia="宋体"/>
      <w:sz w:val="24"/>
    </w:rPr>
  </w:style>
  <w:style w:type="paragraph" w:customStyle="1" w:styleId="139">
    <w:name w:val="Texto predeterminado"/>
    <w:basedOn w:val="1"/>
    <w:qFormat/>
    <w:uiPriority w:val="0"/>
    <w:pPr>
      <w:widowControl/>
      <w:spacing w:line="240" w:lineRule="atLeast"/>
      <w:jc w:val="left"/>
    </w:pPr>
    <w:rPr>
      <w:rFonts w:ascii="Calibri" w:hAnsi="Calibri" w:eastAsia="宋体" w:cs="Times New Roman"/>
      <w:kern w:val="0"/>
      <w:sz w:val="24"/>
      <w:szCs w:val="24"/>
      <w:lang w:eastAsia="en-US"/>
    </w:rPr>
  </w:style>
  <w:style w:type="paragraph" w:customStyle="1" w:styleId="140">
    <w:name w:val=" Char Char Char"/>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141">
    <w:name w:val="Char Char Char Char Char"/>
    <w:basedOn w:val="1"/>
    <w:qFormat/>
    <w:uiPriority w:val="0"/>
    <w:rPr>
      <w:rFonts w:ascii="Tahoma" w:hAnsi="Tahoma" w:eastAsia="宋体" w:cs="Times New Roman"/>
      <w:sz w:val="24"/>
      <w:szCs w:val="20"/>
    </w:rPr>
  </w:style>
  <w:style w:type="paragraph" w:customStyle="1" w:styleId="142">
    <w:name w:val="Default Tex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143">
    <w:name w:val="*正文"/>
    <w:basedOn w:val="1"/>
    <w:qFormat/>
    <w:uiPriority w:val="0"/>
    <w:pPr>
      <w:spacing w:line="360" w:lineRule="auto"/>
      <w:ind w:firstLine="480" w:firstLineChars="200"/>
    </w:pPr>
    <w:rPr>
      <w:rFonts w:ascii="Calibri" w:hAnsi="Calibri" w:eastAsia="宋体" w:cs="仿宋_GB2312"/>
      <w:sz w:val="24"/>
    </w:rPr>
  </w:style>
  <w:style w:type="paragraph" w:styleId="144">
    <w:name w:val="List Paragraph"/>
    <w:basedOn w:val="1"/>
    <w:qFormat/>
    <w:uiPriority w:val="0"/>
    <w:pPr>
      <w:ind w:firstLine="420" w:firstLineChars="200"/>
    </w:pPr>
    <w:rPr>
      <w:rFonts w:ascii="Calibri" w:hAnsi="Calibri" w:eastAsia="宋体" w:cs="Times New Roman"/>
    </w:rPr>
  </w:style>
  <w:style w:type="paragraph" w:customStyle="1" w:styleId="145">
    <w:name w:val="正文文本 21"/>
    <w:basedOn w:val="1"/>
    <w:qFormat/>
    <w:uiPriority w:val="99"/>
    <w:pPr>
      <w:widowControl/>
      <w:ind w:left="142"/>
    </w:pPr>
    <w:rPr>
      <w:rFonts w:ascii="Calibri" w:hAnsi="Calibri" w:eastAsia="宋体" w:cs="Times New Roman"/>
      <w:b/>
      <w:kern w:val="0"/>
      <w:sz w:val="22"/>
      <w:szCs w:val="24"/>
      <w:lang w:eastAsia="es-ES"/>
    </w:rPr>
  </w:style>
  <w:style w:type="paragraph" w:customStyle="1" w:styleId="146">
    <w:name w:val="Char Char Char Char Char Char Char"/>
    <w:basedOn w:val="1"/>
    <w:qFormat/>
    <w:uiPriority w:val="0"/>
    <w:pPr>
      <w:spacing w:line="380" w:lineRule="exact"/>
      <w:ind w:firstLine="200" w:firstLineChars="200"/>
    </w:pPr>
    <w:rPr>
      <w:rFonts w:ascii="Tahoma" w:hAnsi="Tahoma" w:eastAsia="宋体" w:cs="Times New Roman"/>
      <w:sz w:val="24"/>
      <w:szCs w:val="20"/>
    </w:rPr>
  </w:style>
  <w:style w:type="paragraph" w:customStyle="1" w:styleId="147">
    <w:name w:val=" Char Char Char Char"/>
    <w:basedOn w:val="1"/>
    <w:qFormat/>
    <w:uiPriority w:val="0"/>
    <w:rPr>
      <w:rFonts w:ascii="Times New Roman" w:hAnsi="Times New Roman" w:eastAsia="宋体" w:cs="Times New Roman"/>
      <w:sz w:val="28"/>
      <w:szCs w:val="20"/>
    </w:rPr>
  </w:style>
  <w:style w:type="paragraph" w:customStyle="1" w:styleId="148">
    <w:name w:val="f1"/>
    <w:basedOn w:val="1"/>
    <w:qFormat/>
    <w:uiPriority w:val="0"/>
    <w:pPr>
      <w:widowControl/>
      <w:spacing w:before="100" w:beforeAutospacing="1" w:after="100" w:afterAutospacing="1"/>
      <w:jc w:val="center"/>
    </w:pPr>
    <w:rPr>
      <w:rFonts w:ascii="Helvetica" w:hAnsi="Helvetica" w:eastAsia="宋体" w:cs="Helvetica"/>
      <w:b/>
      <w:bCs/>
      <w:color w:val="FF8080"/>
      <w:spacing w:val="160"/>
      <w:kern w:val="0"/>
      <w:sz w:val="80"/>
      <w:szCs w:val="80"/>
    </w:rPr>
  </w:style>
  <w:style w:type="paragraph" w:customStyle="1" w:styleId="149">
    <w:name w:val="Char Char"/>
    <w:basedOn w:val="1"/>
    <w:qFormat/>
    <w:uiPriority w:val="0"/>
    <w:rPr>
      <w:rFonts w:ascii="Tahoma" w:hAnsi="Tahoma" w:eastAsia="宋体" w:cs="Times New Roman"/>
      <w:sz w:val="24"/>
      <w:szCs w:val="20"/>
    </w:rPr>
  </w:style>
  <w:style w:type="paragraph" w:customStyle="1" w:styleId="150">
    <w:name w:val="flName"/>
    <w:basedOn w:val="1"/>
    <w:qFormat/>
    <w:uiPriority w:val="0"/>
    <w:pPr>
      <w:adjustRightInd w:val="0"/>
      <w:spacing w:before="320" w:after="160" w:line="360" w:lineRule="atLeast"/>
      <w:jc w:val="center"/>
      <w:textAlignment w:val="baseline"/>
    </w:pPr>
    <w:rPr>
      <w:rFonts w:ascii="Arial" w:hAnsi="Times New Roman" w:eastAsia="黑体" w:cs="Times New Roman"/>
      <w:kern w:val="0"/>
      <w:sz w:val="32"/>
      <w:szCs w:val="20"/>
    </w:rPr>
  </w:style>
  <w:style w:type="paragraph" w:customStyle="1" w:styleId="151">
    <w:name w:val="表内文字"/>
    <w:basedOn w:val="1"/>
    <w:qFormat/>
    <w:uiPriority w:val="0"/>
    <w:pPr>
      <w:tabs>
        <w:tab w:val="left" w:pos="1418"/>
      </w:tabs>
      <w:spacing w:line="360" w:lineRule="auto"/>
      <w:jc w:val="center"/>
    </w:pPr>
    <w:rPr>
      <w:rFonts w:ascii="仿宋_GB2312" w:hAnsi="Times New Roman" w:eastAsia="仿宋_GB2312" w:cs="Times New Roman"/>
      <w:spacing w:val="-20"/>
      <w:kern w:val="0"/>
      <w:sz w:val="24"/>
      <w:szCs w:val="24"/>
    </w:rPr>
  </w:style>
  <w:style w:type="paragraph" w:customStyle="1" w:styleId="152">
    <w:name w:val="_Style 2"/>
    <w:basedOn w:val="1"/>
    <w:qFormat/>
    <w:uiPriority w:val="0"/>
    <w:pPr>
      <w:ind w:left="720"/>
      <w:contextualSpacing/>
    </w:pPr>
    <w:rPr>
      <w:rFonts w:ascii="Calibri" w:hAnsi="Calibri" w:eastAsia="宋体" w:cs="Calibri"/>
      <w:szCs w:val="20"/>
    </w:rPr>
  </w:style>
  <w:style w:type="paragraph" w:customStyle="1" w:styleId="153">
    <w:name w:val="正文段"/>
    <w:basedOn w:val="1"/>
    <w:qFormat/>
    <w:uiPriority w:val="0"/>
    <w:pPr>
      <w:widowControl/>
      <w:snapToGrid w:val="0"/>
      <w:spacing w:afterLines="50"/>
      <w:ind w:firstLine="200" w:firstLineChars="200"/>
    </w:pPr>
    <w:rPr>
      <w:rFonts w:ascii="Times New Roman" w:hAnsi="Times New Roman" w:eastAsia="宋体" w:cs="Times New Roman"/>
      <w:kern w:val="0"/>
      <w:sz w:val="24"/>
      <w:szCs w:val="20"/>
    </w:rPr>
  </w:style>
  <w:style w:type="paragraph" w:customStyle="1" w:styleId="154">
    <w:name w:val="部分1"/>
    <w:basedOn w:val="1"/>
    <w:qFormat/>
    <w:uiPriority w:val="0"/>
    <w:pPr>
      <w:keepNext/>
      <w:pageBreakBefore/>
      <w:tabs>
        <w:tab w:val="left" w:pos="720"/>
      </w:tabs>
      <w:spacing w:line="360" w:lineRule="auto"/>
      <w:jc w:val="center"/>
      <w:outlineLvl w:val="0"/>
    </w:pPr>
    <w:rPr>
      <w:rFonts w:ascii="Times New Roman" w:hAnsi="Times New Roman" w:eastAsia="黑体" w:cs="Times New Roman"/>
      <w:b/>
      <w:kern w:val="44"/>
      <w:sz w:val="36"/>
      <w:szCs w:val="20"/>
    </w:rPr>
  </w:style>
  <w:style w:type="paragraph" w:customStyle="1" w:styleId="155">
    <w:name w:val="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56">
    <w:name w:val="p0"/>
    <w:basedOn w:val="1"/>
    <w:qFormat/>
    <w:uiPriority w:val="99"/>
    <w:pPr>
      <w:widowControl/>
    </w:pPr>
    <w:rPr>
      <w:rFonts w:ascii="Times New Roman" w:hAnsi="Times New Roman" w:eastAsia="宋体" w:cs="Times New Roman"/>
      <w:kern w:val="0"/>
      <w:szCs w:val="21"/>
    </w:rPr>
  </w:style>
  <w:style w:type="paragraph" w:customStyle="1" w:styleId="157">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158">
    <w:name w:val="Pa0"/>
    <w:basedOn w:val="159"/>
    <w:next w:val="159"/>
    <w:unhideWhenUsed/>
    <w:qFormat/>
    <w:uiPriority w:val="0"/>
    <w:pPr>
      <w:spacing w:line="241" w:lineRule="atLeast"/>
    </w:pPr>
    <w:rPr>
      <w:rFonts w:hint="default"/>
    </w:rPr>
  </w:style>
  <w:style w:type="paragraph" w:customStyle="1" w:styleId="159">
    <w:name w:val="Default"/>
    <w:unhideWhenUsed/>
    <w:qFormat/>
    <w:uiPriority w:val="0"/>
    <w:pPr>
      <w:widowControl w:val="0"/>
      <w:autoSpaceDE w:val="0"/>
      <w:autoSpaceDN w:val="0"/>
      <w:adjustRightInd w:val="0"/>
    </w:pPr>
    <w:rPr>
      <w:rFonts w:hint="eastAsia" w:ascii="Arial Unicode MS" w:hAnsi="Arial Unicode MS" w:eastAsia="Arial Unicode MS" w:cs="Times New Roman"/>
      <w:color w:val="000000"/>
      <w:kern w:val="0"/>
      <w:sz w:val="24"/>
      <w:szCs w:val="20"/>
      <w:lang w:val="en-US" w:eastAsia="zh-CN" w:bidi="ar-SA"/>
    </w:rPr>
  </w:style>
  <w:style w:type="paragraph" w:customStyle="1" w:styleId="160">
    <w:name w:val=" Char"/>
    <w:basedOn w:val="1"/>
    <w:qFormat/>
    <w:uiPriority w:val="0"/>
    <w:rPr>
      <w:rFonts w:ascii="Times New Roman" w:hAnsi="Times New Roman" w:eastAsia="宋体" w:cs="Times New Roman"/>
      <w:szCs w:val="24"/>
    </w:rPr>
  </w:style>
  <w:style w:type="paragraph" w:customStyle="1" w:styleId="161">
    <w:name w:val="标准中文版式_正文"/>
    <w:basedOn w:val="1"/>
    <w:qFormat/>
    <w:uiPriority w:val="0"/>
    <w:pPr>
      <w:spacing w:before="30" w:line="360" w:lineRule="auto"/>
      <w:ind w:firstLineChars="200"/>
    </w:pPr>
    <w:rPr>
      <w:rFonts w:ascii="Arial" w:hAnsi="Arial" w:eastAsia="宋体" w:cs="Times New Roman"/>
      <w:sz w:val="24"/>
      <w:szCs w:val="24"/>
    </w:rPr>
  </w:style>
  <w:style w:type="paragraph" w:customStyle="1" w:styleId="162">
    <w:name w:val="Char Char Char Char Char Char"/>
    <w:basedOn w:val="1"/>
    <w:next w:val="2"/>
    <w:qFormat/>
    <w:uiPriority w:val="0"/>
    <w:pPr>
      <w:widowControl/>
      <w:spacing w:before="100" w:beforeAutospacing="1" w:after="100" w:afterAutospacing="1" w:line="420" w:lineRule="auto"/>
      <w:jc w:val="left"/>
      <w:textAlignment w:val="top"/>
    </w:pPr>
    <w:rPr>
      <w:rFonts w:ascii="Times New Roman" w:hAnsi="Times New Roman" w:eastAsia="宋体" w:cs="Times New Roman"/>
      <w:szCs w:val="20"/>
    </w:rPr>
  </w:style>
  <w:style w:type="paragraph" w:customStyle="1" w:styleId="163">
    <w:name w:val="ss"/>
    <w:basedOn w:val="1"/>
    <w:qFormat/>
    <w:uiPriority w:val="0"/>
    <w:pPr>
      <w:widowControl/>
      <w:spacing w:before="100" w:beforeAutospacing="1" w:after="100" w:afterAutospacing="1" w:line="288" w:lineRule="atLeast"/>
      <w:jc w:val="left"/>
    </w:pPr>
    <w:rPr>
      <w:rFonts w:ascii="宋体" w:hAnsi="宋体" w:eastAsia="宋体" w:cs="Arial"/>
      <w:kern w:val="0"/>
      <w:sz w:val="15"/>
      <w:szCs w:val="15"/>
    </w:rPr>
  </w:style>
  <w:style w:type="paragraph" w:customStyle="1" w:styleId="164">
    <w:name w:val=" Char2"/>
    <w:basedOn w:val="1"/>
    <w:qFormat/>
    <w:uiPriority w:val="0"/>
    <w:rPr>
      <w:rFonts w:ascii="仿宋_GB2312" w:hAnsi="Times New Roman" w:eastAsia="仿宋_GB2312" w:cs="Times New Roman"/>
      <w:b/>
      <w:sz w:val="32"/>
      <w:szCs w:val="32"/>
    </w:rPr>
  </w:style>
  <w:style w:type="paragraph" w:customStyle="1" w:styleId="165">
    <w:name w:val="a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66">
    <w:name w:val="Quote"/>
    <w:basedOn w:val="1"/>
    <w:next w:val="1"/>
    <w:link w:val="167"/>
    <w:qFormat/>
    <w:uiPriority w:val="0"/>
    <w:rPr>
      <w:rFonts w:ascii="Times New Roman" w:hAnsi="Times New Roman" w:eastAsia="Times New Roman" w:cs="Times New Roman"/>
      <w:i/>
      <w:iCs/>
      <w:color w:val="000000"/>
      <w:lang w:val="en-US" w:eastAsia="zh-CN"/>
    </w:rPr>
  </w:style>
  <w:style w:type="character" w:customStyle="1" w:styleId="167">
    <w:name w:val="引用 Char1"/>
    <w:basedOn w:val="45"/>
    <w:link w:val="166"/>
    <w:qFormat/>
    <w:uiPriority w:val="0"/>
    <w:rPr>
      <w:rFonts w:ascii="Times New Roman" w:hAnsi="Times New Roman" w:eastAsia="Times New Roman" w:cs="Times New Roman"/>
      <w:i/>
      <w:iCs/>
      <w:color w:val="000000"/>
      <w:lang w:val="en-US" w:eastAsia="zh-CN"/>
    </w:rPr>
  </w:style>
  <w:style w:type="paragraph" w:customStyle="1" w:styleId="168">
    <w:name w:val="Char Char Char Char"/>
    <w:basedOn w:val="1"/>
    <w:qFormat/>
    <w:uiPriority w:val="0"/>
    <w:pPr>
      <w:spacing w:line="360" w:lineRule="auto"/>
      <w:ind w:firstLine="200" w:firstLineChars="200"/>
    </w:pPr>
    <w:rPr>
      <w:rFonts w:ascii="宋体" w:hAnsi="宋体" w:eastAsia="宋体" w:cs="宋体"/>
      <w:sz w:val="24"/>
      <w:szCs w:val="24"/>
    </w:rPr>
  </w:style>
  <w:style w:type="paragraph" w:customStyle="1" w:styleId="169">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170">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171">
    <w:name w:val="正文1"/>
    <w:basedOn w:val="1"/>
    <w:qFormat/>
    <w:uiPriority w:val="0"/>
    <w:pPr>
      <w:tabs>
        <w:tab w:val="left" w:pos="1260"/>
        <w:tab w:val="left" w:pos="1620"/>
        <w:tab w:val="left" w:pos="1980"/>
        <w:tab w:val="left" w:pos="2160"/>
      </w:tabs>
      <w:adjustRightInd w:val="0"/>
      <w:snapToGrid w:val="0"/>
      <w:spacing w:line="360" w:lineRule="auto"/>
      <w:ind w:firstLine="480" w:firstLineChars="200"/>
    </w:pPr>
    <w:rPr>
      <w:rFonts w:ascii="宋体" w:hAnsi="宋体" w:eastAsia="宋体" w:cs="Times New Roman"/>
      <w:bCs/>
      <w:sz w:val="24"/>
      <w:szCs w:val="20"/>
    </w:rPr>
  </w:style>
  <w:style w:type="paragraph" w:customStyle="1" w:styleId="172">
    <w:name w:val=" Char Char Char Char Char Char Char"/>
    <w:basedOn w:val="1"/>
    <w:qFormat/>
    <w:uiPriority w:val="0"/>
    <w:pPr>
      <w:tabs>
        <w:tab w:val="left" w:pos="432"/>
      </w:tabs>
      <w:ind w:left="432" w:hanging="432"/>
      <w:jc w:val="center"/>
    </w:pPr>
    <w:rPr>
      <w:rFonts w:ascii="仿宋_GB2312" w:hAnsi="Tahoma" w:eastAsia="仿宋_GB2312" w:cs="Times New Roman"/>
      <w:sz w:val="24"/>
      <w:szCs w:val="24"/>
    </w:rPr>
  </w:style>
  <w:style w:type="paragraph" w:customStyle="1" w:styleId="173">
    <w:name w:val="_Style 4"/>
    <w:basedOn w:val="1"/>
    <w:qFormat/>
    <w:uiPriority w:val="0"/>
    <w:pPr>
      <w:ind w:firstLine="420" w:firstLineChars="200"/>
    </w:pPr>
    <w:rPr>
      <w:rFonts w:ascii="Calibri" w:hAnsi="Calibri" w:eastAsia="宋体" w:cs="Times New Roman"/>
    </w:rPr>
  </w:style>
  <w:style w:type="paragraph" w:customStyle="1" w:styleId="174">
    <w:name w:val="封面标准文稿编辑信息"/>
    <w:qFormat/>
    <w:uiPriority w:val="0"/>
    <w:pPr>
      <w:spacing w:before="180" w:line="180" w:lineRule="exact"/>
      <w:jc w:val="center"/>
    </w:pPr>
    <w:rPr>
      <w:rFonts w:ascii="宋体" w:hAnsi="Times New Roman" w:eastAsia="宋体" w:cs="Times New Roman"/>
      <w:kern w:val="0"/>
      <w:sz w:val="21"/>
      <w:szCs w:val="20"/>
      <w:lang w:val="en-US" w:eastAsia="zh-CN" w:bidi="ar-SA"/>
    </w:rPr>
  </w:style>
  <w:style w:type="paragraph" w:styleId="175">
    <w:name w:val="Intense Quote"/>
    <w:basedOn w:val="1"/>
    <w:next w:val="1"/>
    <w:link w:val="176"/>
    <w:qFormat/>
    <w:uiPriority w:val="0"/>
    <w:pPr>
      <w:pBdr>
        <w:bottom w:val="single" w:color="4F81BD" w:sz="4" w:space="4"/>
      </w:pBdr>
      <w:spacing w:before="200" w:after="280"/>
      <w:ind w:left="936" w:right="936"/>
    </w:pPr>
    <w:rPr>
      <w:rFonts w:ascii="Times New Roman" w:hAnsi="Times New Roman" w:eastAsia="Times New Roman" w:cs="Times New Roman"/>
      <w:b/>
      <w:bCs/>
      <w:i/>
      <w:iCs/>
      <w:color w:val="4F81BD"/>
      <w:lang w:val="en-US" w:eastAsia="zh-CN"/>
    </w:rPr>
  </w:style>
  <w:style w:type="character" w:customStyle="1" w:styleId="176">
    <w:name w:val="明显引用 Char1"/>
    <w:basedOn w:val="45"/>
    <w:link w:val="175"/>
    <w:qFormat/>
    <w:uiPriority w:val="0"/>
    <w:rPr>
      <w:rFonts w:ascii="Times New Roman" w:hAnsi="Times New Roman" w:eastAsia="Times New Roman" w:cs="Times New Roman"/>
      <w:b/>
      <w:bCs/>
      <w:i/>
      <w:iCs/>
      <w:color w:val="4F81BD"/>
      <w:lang w:val="en-US" w:eastAsia="zh-CN"/>
    </w:rPr>
  </w:style>
  <w:style w:type="paragraph" w:customStyle="1" w:styleId="177">
    <w:name w:val="Char Char Char Char Char Char Char Char Char Char Char Char Char Char Char Char"/>
    <w:basedOn w:val="1"/>
    <w:qFormat/>
    <w:uiPriority w:val="0"/>
    <w:pPr>
      <w:tabs>
        <w:tab w:val="left" w:pos="360"/>
      </w:tabs>
    </w:pPr>
    <w:rPr>
      <w:rFonts w:ascii="Times New Roman" w:hAnsi="Times New Roman" w:eastAsia="宋体" w:cs="Times New Roman"/>
      <w:szCs w:val="20"/>
    </w:rPr>
  </w:style>
  <w:style w:type="paragraph" w:customStyle="1" w:styleId="178">
    <w:name w:val="p17"/>
    <w:basedOn w:val="1"/>
    <w:qFormat/>
    <w:uiPriority w:val="0"/>
    <w:pPr>
      <w:widowControl/>
      <w:spacing w:after="200" w:line="273" w:lineRule="auto"/>
      <w:ind w:left="720"/>
      <w:jc w:val="left"/>
    </w:pPr>
    <w:rPr>
      <w:rFonts w:ascii="Calibri" w:hAnsi="Calibri" w:eastAsia="宋体" w:cs="宋体"/>
      <w:kern w:val="0"/>
      <w:sz w:val="22"/>
    </w:rPr>
  </w:style>
  <w:style w:type="paragraph" w:customStyle="1" w:styleId="179">
    <w:name w:val="默认段落字体 Para Char Char Char Char"/>
    <w:basedOn w:val="1"/>
    <w:qFormat/>
    <w:uiPriority w:val="0"/>
    <w:rPr>
      <w:rFonts w:ascii="Times New Roman" w:hAnsi="Times New Roman" w:eastAsia="宋体" w:cs="Times New Roman"/>
      <w:szCs w:val="24"/>
    </w:rPr>
  </w:style>
  <w:style w:type="paragraph" w:customStyle="1" w:styleId="180">
    <w:name w:val="Normal"/>
    <w:qFormat/>
    <w:uiPriority w:val="0"/>
    <w:pPr>
      <w:widowControl w:val="0"/>
      <w:jc w:val="both"/>
    </w:pPr>
    <w:rPr>
      <w:rFonts w:hint="eastAsia" w:ascii="Times New Roman" w:hAnsi="Times New Roman" w:eastAsia="宋体" w:cs="Times New Roman"/>
      <w:kern w:val="2"/>
      <w:sz w:val="21"/>
      <w:szCs w:val="20"/>
      <w:lang w:val="en-US" w:eastAsia="zh-CN" w:bidi="ar-SA"/>
    </w:rPr>
  </w:style>
  <w:style w:type="paragraph" w:customStyle="1" w:styleId="18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182">
    <w:name w:val="正文文字1"/>
    <w:basedOn w:val="21"/>
    <w:qFormat/>
    <w:uiPriority w:val="0"/>
    <w:pPr>
      <w:adjustRightInd w:val="0"/>
      <w:spacing w:after="0" w:line="360" w:lineRule="atLeast"/>
      <w:ind w:left="72" w:leftChars="30" w:right="72" w:rightChars="30"/>
      <w:textAlignment w:val="baseline"/>
    </w:pPr>
    <w:rPr>
      <w:rFonts w:ascii="Times New Roman" w:hAnsi="Times New Roman" w:eastAsia="宋体" w:cs="Times New Roman"/>
      <w:kern w:val="0"/>
      <w:szCs w:val="20"/>
    </w:rPr>
  </w:style>
  <w:style w:type="paragraph" w:customStyle="1" w:styleId="183">
    <w:name w:val="自动更正"/>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184">
    <w:name w:val="Blockquote"/>
    <w:basedOn w:val="1"/>
    <w:qFormat/>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paragraph" w:customStyle="1" w:styleId="185">
    <w:name w:val="Char"/>
    <w:basedOn w:val="1"/>
    <w:qFormat/>
    <w:uiPriority w:val="0"/>
    <w:pPr>
      <w:tabs>
        <w:tab w:val="left" w:pos="360"/>
      </w:tabs>
    </w:pPr>
    <w:rPr>
      <w:rFonts w:ascii="Times New Roman" w:hAnsi="Times New Roman" w:eastAsia="宋体" w:cs="Times New Roman"/>
      <w:szCs w:val="24"/>
    </w:rPr>
  </w:style>
  <w:style w:type="paragraph" w:customStyle="1" w:styleId="186">
    <w:name w:val="列出段落1"/>
    <w:basedOn w:val="1"/>
    <w:qFormat/>
    <w:uiPriority w:val="0"/>
    <w:pPr>
      <w:spacing w:afterLines="25" w:line="300" w:lineRule="auto"/>
      <w:ind w:firstLine="420" w:firstLineChars="200"/>
    </w:pPr>
    <w:rPr>
      <w:rFonts w:ascii="Arial" w:hAnsi="Arial" w:eastAsia="宋体" w:cs="Times New Roman"/>
      <w:szCs w:val="24"/>
    </w:rPr>
  </w:style>
  <w:style w:type="paragraph" w:customStyle="1" w:styleId="187">
    <w:name w:val="正文文字2"/>
    <w:basedOn w:val="21"/>
    <w:qFormat/>
    <w:uiPriority w:val="0"/>
    <w:pPr>
      <w:adjustRightInd w:val="0"/>
      <w:spacing w:after="60" w:line="360" w:lineRule="atLeast"/>
      <w:ind w:left="72" w:leftChars="30" w:right="72" w:rightChars="30"/>
      <w:jc w:val="center"/>
      <w:textAlignment w:val="baseline"/>
    </w:pPr>
    <w:rPr>
      <w:rFonts w:ascii="Arial" w:hAnsi="Times New Roman" w:eastAsia="黑体" w:cs="Times New Roman"/>
      <w:kern w:val="0"/>
      <w:szCs w:val="20"/>
    </w:rPr>
  </w:style>
  <w:style w:type="paragraph" w:customStyle="1" w:styleId="188">
    <w:name w:val="Opsomming"/>
    <w:basedOn w:val="1"/>
    <w:qFormat/>
    <w:uiPriority w:val="99"/>
    <w:pPr>
      <w:widowControl/>
      <w:ind w:left="2835" w:hanging="2835"/>
      <w:jc w:val="left"/>
    </w:pPr>
    <w:rPr>
      <w:rFonts w:ascii="Calibri" w:hAnsi="Calibri" w:eastAsia="宋体" w:cs="Times New Roman"/>
      <w:kern w:val="0"/>
      <w:sz w:val="24"/>
      <w:szCs w:val="24"/>
      <w:lang w:val="nl-NL"/>
    </w:rPr>
  </w:style>
  <w:style w:type="paragraph" w:customStyle="1" w:styleId="189">
    <w:name w:val=" Char Char Char Char Char Char1 Char"/>
    <w:basedOn w:val="1"/>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190">
    <w:name w:val="报告正文"/>
    <w:basedOn w:val="1"/>
    <w:qFormat/>
    <w:uiPriority w:val="0"/>
    <w:pPr>
      <w:spacing w:line="360" w:lineRule="auto"/>
      <w:ind w:firstLine="200" w:firstLineChars="200"/>
    </w:pPr>
    <w:rPr>
      <w:rFonts w:ascii="宋体" w:hAnsi="宋体" w:eastAsia="宋体" w:cs="Times New Roman"/>
      <w:sz w:val="28"/>
      <w:szCs w:val="32"/>
    </w:rPr>
  </w:style>
  <w:style w:type="paragraph" w:customStyle="1" w:styleId="191">
    <w:name w:val="标题5"/>
    <w:basedOn w:val="5"/>
    <w:qFormat/>
    <w:uiPriority w:val="0"/>
    <w:pPr>
      <w:numPr>
        <w:ilvl w:val="0"/>
        <w:numId w:val="0"/>
      </w:numPr>
      <w:tabs>
        <w:tab w:val="clear" w:pos="720"/>
      </w:tabs>
      <w:spacing w:line="413" w:lineRule="auto"/>
    </w:pPr>
    <w:rPr>
      <w:rFonts w:ascii="Arial" w:hAnsi="Arial" w:eastAsia="Times New Roman"/>
      <w:kern w:val="0"/>
      <w:sz w:val="24"/>
      <w:lang w:val="en-US" w:eastAsia="zh-CN"/>
    </w:rPr>
  </w:style>
  <w:style w:type="character" w:customStyle="1" w:styleId="192">
    <w:name w:val="普通文字 Char Char1"/>
    <w:qFormat/>
    <w:uiPriority w:val="0"/>
    <w:rPr>
      <w:rFonts w:ascii="宋体" w:hAnsi="Courier New" w:eastAsia="宋体"/>
      <w:kern w:val="2"/>
      <w:sz w:val="24"/>
      <w:szCs w:val="24"/>
      <w:lang w:val="en-US" w:eastAsia="zh-CN" w:bidi="ar-SA"/>
    </w:rPr>
  </w:style>
  <w:style w:type="paragraph" w:customStyle="1" w:styleId="193">
    <w:name w:val="样式 正文文本"/>
    <w:basedOn w:val="1"/>
    <w:qFormat/>
    <w:uiPriority w:val="0"/>
    <w:pPr>
      <w:adjustRightInd w:val="0"/>
      <w:snapToGrid w:val="0"/>
      <w:spacing w:line="400" w:lineRule="exact"/>
      <w:ind w:firstLine="200" w:firstLineChars="200"/>
    </w:pPr>
    <w:rPr>
      <w:rFonts w:ascii="Arial" w:hAnsi="Arial" w:cs="宋体"/>
      <w:color w:val="000000"/>
      <w:szCs w:val="20"/>
    </w:rPr>
  </w:style>
  <w:style w:type="character" w:customStyle="1" w:styleId="194">
    <w:name w:val="bulletintext1"/>
    <w:qFormat/>
    <w:uiPriority w:val="0"/>
    <w:rPr>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NUL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43</Pages>
  <Words>23933</Words>
  <Characters>24777</Characters>
  <Lines>190</Lines>
  <Paragraphs>53</Paragraphs>
  <TotalTime>3</TotalTime>
  <ScaleCrop>false</ScaleCrop>
  <LinksUpToDate>false</LinksUpToDate>
  <CharactersWithSpaces>27891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2024-09-06T07:14:00Z</dcterms:created>
  <dc:creator>嘉兴市中诚建设投资咨询有限公司</dc:creator>
  <cp:lastModifiedBy>MYL</cp:lastModifiedBy>
  <cp:lastPrinted>2024-09-24T04:45:00Z</cp:lastPrinted>
  <dcterms:modified xsi:type="dcterms:W3CDTF">2024-09-27T01:46:43Z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0CE65873584F448E82303E73058842D3_13</vt:lpwstr>
  </property>
</Properties>
</file>