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cstheme="majorEastAsia"/>
          <w:highlight w:val="none"/>
        </w:rPr>
      </w:pPr>
      <w:bookmarkStart w:id="0" w:name="_Toc380429933"/>
      <w:bookmarkStart w:id="1" w:name="_Toc381081805"/>
    </w:p>
    <w:p>
      <w:pPr>
        <w:spacing w:beforeLines="50"/>
        <w:jc w:val="center"/>
        <w:rPr>
          <w:rFonts w:hint="eastAsia" w:ascii="宋体" w:hAnsi="宋体" w:eastAsia="宋体" w:cs="宋体"/>
          <w:b/>
          <w:bCs w:val="0"/>
          <w:color w:val="auto"/>
          <w:spacing w:val="-20"/>
          <w:sz w:val="52"/>
          <w:szCs w:val="52"/>
          <w:highlight w:val="none"/>
          <w:lang w:eastAsia="zh-CN"/>
        </w:rPr>
      </w:pPr>
      <w:r>
        <w:rPr>
          <w:rFonts w:hint="eastAsia" w:ascii="宋体" w:hAnsi="宋体" w:eastAsia="宋体" w:cs="宋体"/>
          <w:b/>
          <w:bCs w:val="0"/>
          <w:color w:val="auto"/>
          <w:spacing w:val="-20"/>
          <w:sz w:val="52"/>
          <w:szCs w:val="52"/>
          <w:highlight w:val="none"/>
          <w:lang w:eastAsia="zh-CN"/>
        </w:rPr>
        <w:t>2025-2026年度平湖市预算绩效评价</w:t>
      </w:r>
    </w:p>
    <w:p>
      <w:pPr>
        <w:spacing w:beforeLines="50"/>
        <w:jc w:val="center"/>
        <w:rPr>
          <w:rFonts w:hint="eastAsia" w:ascii="宋体" w:hAnsi="宋体" w:eastAsia="宋体" w:cs="宋体"/>
          <w:b/>
          <w:bCs w:val="0"/>
          <w:color w:val="auto"/>
          <w:spacing w:val="-20"/>
          <w:sz w:val="52"/>
          <w:szCs w:val="52"/>
          <w:highlight w:val="none"/>
          <w:lang w:eastAsia="zh-CN"/>
        </w:rPr>
      </w:pPr>
      <w:r>
        <w:rPr>
          <w:rFonts w:hint="eastAsia" w:ascii="宋体" w:hAnsi="宋体" w:eastAsia="宋体" w:cs="宋体"/>
          <w:b/>
          <w:bCs w:val="0"/>
          <w:color w:val="auto"/>
          <w:spacing w:val="-20"/>
          <w:sz w:val="52"/>
          <w:szCs w:val="52"/>
          <w:highlight w:val="none"/>
          <w:lang w:eastAsia="zh-CN"/>
        </w:rPr>
        <w:t>咨询服务框架协议</w:t>
      </w:r>
    </w:p>
    <w:p>
      <w:pPr>
        <w:spacing w:beforeLines="50"/>
        <w:jc w:val="center"/>
        <w:rPr>
          <w:rFonts w:asciiTheme="majorEastAsia" w:hAnsiTheme="majorEastAsia" w:eastAsiaTheme="majorEastAsia" w:cstheme="majorEastAsia"/>
          <w:b/>
          <w:spacing w:val="-20"/>
          <w:sz w:val="44"/>
          <w:szCs w:val="44"/>
          <w:highlight w:val="none"/>
        </w:rPr>
      </w:pPr>
      <w:bookmarkStart w:id="94" w:name="_GoBack"/>
      <w:bookmarkEnd w:id="94"/>
    </w:p>
    <w:p>
      <w:pPr>
        <w:spacing w:beforeLines="50"/>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征集文件</w:t>
      </w:r>
    </w:p>
    <w:p>
      <w:pPr>
        <w:pStyle w:val="2"/>
        <w:ind w:left="480" w:firstLine="803"/>
        <w:rPr>
          <w:rFonts w:asciiTheme="majorEastAsia" w:hAnsiTheme="majorEastAsia" w:eastAsiaTheme="majorEastAsia" w:cstheme="majorEastAsia"/>
          <w:b/>
          <w:spacing w:val="-20"/>
          <w:sz w:val="44"/>
          <w:szCs w:val="44"/>
          <w:highlight w:val="none"/>
        </w:rPr>
      </w:pPr>
    </w:p>
    <w:p>
      <w:pPr>
        <w:pStyle w:val="4"/>
        <w:rPr>
          <w:rFonts w:asciiTheme="majorEastAsia" w:hAnsiTheme="majorEastAsia" w:eastAsiaTheme="majorEastAsia" w:cstheme="majorEastAsia"/>
          <w:spacing w:val="-20"/>
          <w:sz w:val="44"/>
          <w:szCs w:val="44"/>
          <w:highlight w:val="none"/>
        </w:rPr>
      </w:pPr>
    </w:p>
    <w:p>
      <w:pPr>
        <w:rPr>
          <w:highlight w:val="none"/>
        </w:rPr>
      </w:pPr>
    </w:p>
    <w:p>
      <w:pPr>
        <w:spacing w:line="360" w:lineRule="auto"/>
        <w:jc w:val="left"/>
        <w:rPr>
          <w:rFonts w:asciiTheme="majorEastAsia" w:hAnsiTheme="majorEastAsia" w:eastAsiaTheme="majorEastAsia" w:cstheme="majorEastAsia"/>
          <w:b/>
          <w:sz w:val="30"/>
          <w:szCs w:val="30"/>
          <w:highlight w:val="none"/>
        </w:rPr>
      </w:pPr>
    </w:p>
    <w:p>
      <w:pPr>
        <w:spacing w:line="360" w:lineRule="auto"/>
        <w:jc w:val="left"/>
        <w:rPr>
          <w:rFonts w:asciiTheme="majorEastAsia" w:hAnsiTheme="majorEastAsia" w:eastAsiaTheme="majorEastAsia" w:cstheme="majorEastAsia"/>
          <w:b/>
          <w:sz w:val="30"/>
          <w:szCs w:val="30"/>
          <w:highlight w:val="none"/>
        </w:rPr>
      </w:pPr>
    </w:p>
    <w:p>
      <w:pPr>
        <w:spacing w:line="360" w:lineRule="auto"/>
        <w:jc w:val="left"/>
        <w:rPr>
          <w:rFonts w:asciiTheme="majorEastAsia" w:hAnsiTheme="majorEastAsia" w:eastAsiaTheme="majorEastAsia" w:cstheme="majorEastAsia"/>
          <w:b/>
          <w:sz w:val="30"/>
          <w:szCs w:val="30"/>
          <w:highlight w:val="none"/>
        </w:rPr>
      </w:pPr>
    </w:p>
    <w:p>
      <w:pPr>
        <w:spacing w:line="360" w:lineRule="auto"/>
        <w:jc w:val="left"/>
        <w:rPr>
          <w:rFonts w:hint="eastAsia" w:asciiTheme="majorEastAsia" w:hAnsiTheme="majorEastAsia" w:eastAsiaTheme="majorEastAsia" w:cstheme="majorEastAsia"/>
          <w:b/>
          <w:color w:val="auto"/>
          <w:sz w:val="30"/>
          <w:szCs w:val="30"/>
          <w:highlight w:val="none"/>
          <w:lang w:eastAsia="zh-CN"/>
        </w:rPr>
      </w:pPr>
      <w:r>
        <w:rPr>
          <w:rFonts w:hint="eastAsia" w:asciiTheme="majorEastAsia" w:hAnsiTheme="majorEastAsia" w:eastAsiaTheme="majorEastAsia" w:cstheme="majorEastAsia"/>
          <w:b/>
          <w:color w:val="auto"/>
          <w:sz w:val="30"/>
          <w:szCs w:val="30"/>
          <w:highlight w:val="none"/>
        </w:rPr>
        <w:t>项目编号：</w:t>
      </w:r>
      <w:r>
        <w:rPr>
          <w:rFonts w:hint="eastAsia" w:asciiTheme="majorEastAsia" w:hAnsiTheme="majorEastAsia" w:eastAsiaTheme="majorEastAsia" w:cstheme="majorEastAsia"/>
          <w:b/>
          <w:color w:val="auto"/>
          <w:sz w:val="30"/>
          <w:szCs w:val="30"/>
          <w:highlight w:val="none"/>
          <w:lang w:eastAsia="zh-CN"/>
        </w:rPr>
        <w:t>平政采招2025-04</w:t>
      </w:r>
    </w:p>
    <w:p>
      <w:pPr>
        <w:spacing w:line="360" w:lineRule="auto"/>
        <w:jc w:val="left"/>
        <w:rPr>
          <w:rFonts w:hint="eastAsia" w:asciiTheme="majorEastAsia" w:hAnsiTheme="majorEastAsia" w:eastAsiaTheme="majorEastAsia" w:cstheme="majorEastAsia"/>
          <w:b/>
          <w:color w:val="auto"/>
          <w:sz w:val="30"/>
          <w:szCs w:val="30"/>
          <w:highlight w:val="none"/>
          <w:lang w:eastAsia="zh-CN"/>
        </w:rPr>
      </w:pPr>
      <w:r>
        <w:rPr>
          <w:rFonts w:hint="eastAsia" w:asciiTheme="majorEastAsia" w:hAnsiTheme="majorEastAsia" w:eastAsiaTheme="majorEastAsia" w:cstheme="majorEastAsia"/>
          <w:b/>
          <w:color w:val="auto"/>
          <w:sz w:val="30"/>
          <w:szCs w:val="30"/>
          <w:highlight w:val="none"/>
        </w:rPr>
        <w:t>项目名称：</w:t>
      </w:r>
      <w:r>
        <w:rPr>
          <w:rFonts w:hint="eastAsia" w:asciiTheme="majorEastAsia" w:hAnsiTheme="majorEastAsia" w:eastAsiaTheme="majorEastAsia" w:cstheme="majorEastAsia"/>
          <w:b/>
          <w:color w:val="auto"/>
          <w:sz w:val="30"/>
          <w:szCs w:val="30"/>
          <w:highlight w:val="none"/>
          <w:lang w:eastAsia="zh-CN"/>
        </w:rPr>
        <w:t>2025-2026年度平湖市预算绩效评价咨询服务框架协议</w:t>
      </w:r>
    </w:p>
    <w:p>
      <w:pPr>
        <w:spacing w:line="360" w:lineRule="auto"/>
        <w:jc w:val="left"/>
        <w:rPr>
          <w:rFonts w:hint="eastAsia" w:asciiTheme="majorEastAsia" w:hAnsiTheme="majorEastAsia" w:eastAsiaTheme="majorEastAsia" w:cstheme="majorEastAsia"/>
          <w:b/>
          <w:color w:val="auto"/>
          <w:sz w:val="30"/>
          <w:szCs w:val="30"/>
          <w:highlight w:val="none"/>
        </w:rPr>
      </w:pPr>
      <w:r>
        <w:rPr>
          <w:rFonts w:hint="eastAsia" w:asciiTheme="majorEastAsia" w:hAnsiTheme="majorEastAsia" w:eastAsiaTheme="majorEastAsia" w:cstheme="majorEastAsia"/>
          <w:b/>
          <w:color w:val="auto"/>
          <w:sz w:val="30"/>
          <w:szCs w:val="30"/>
          <w:highlight w:val="none"/>
          <w:lang w:eastAsia="zh-CN"/>
        </w:rPr>
        <w:t>征集人（</w:t>
      </w:r>
      <w:r>
        <w:rPr>
          <w:rFonts w:hint="eastAsia" w:asciiTheme="majorEastAsia" w:hAnsiTheme="majorEastAsia" w:eastAsiaTheme="majorEastAsia" w:cstheme="majorEastAsia"/>
          <w:b/>
          <w:color w:val="auto"/>
          <w:sz w:val="30"/>
          <w:szCs w:val="30"/>
          <w:highlight w:val="none"/>
        </w:rPr>
        <w:t>集中采购机构</w:t>
      </w:r>
      <w:r>
        <w:rPr>
          <w:rFonts w:hint="eastAsia" w:asciiTheme="majorEastAsia" w:hAnsiTheme="majorEastAsia" w:eastAsiaTheme="majorEastAsia" w:cstheme="majorEastAsia"/>
          <w:b/>
          <w:color w:val="auto"/>
          <w:sz w:val="30"/>
          <w:szCs w:val="30"/>
          <w:highlight w:val="none"/>
          <w:lang w:eastAsia="zh-CN"/>
        </w:rPr>
        <w:t>）</w:t>
      </w:r>
      <w:r>
        <w:rPr>
          <w:rFonts w:hint="eastAsia" w:asciiTheme="majorEastAsia" w:hAnsiTheme="majorEastAsia" w:eastAsiaTheme="majorEastAsia" w:cstheme="majorEastAsia"/>
          <w:b/>
          <w:color w:val="auto"/>
          <w:sz w:val="30"/>
          <w:szCs w:val="30"/>
          <w:highlight w:val="none"/>
        </w:rPr>
        <w:t>：平湖市公共资源交易中心</w:t>
      </w:r>
    </w:p>
    <w:p>
      <w:pPr>
        <w:spacing w:line="360" w:lineRule="auto"/>
        <w:jc w:val="left"/>
        <w:rPr>
          <w:rFonts w:asciiTheme="majorEastAsia" w:hAnsiTheme="majorEastAsia" w:eastAsiaTheme="majorEastAsia" w:cstheme="majorEastAsia"/>
          <w:b/>
          <w:sz w:val="30"/>
          <w:szCs w:val="30"/>
          <w:highlight w:val="none"/>
        </w:rPr>
      </w:pPr>
    </w:p>
    <w:p>
      <w:pPr>
        <w:spacing w:line="360" w:lineRule="auto"/>
        <w:jc w:val="left"/>
        <w:rPr>
          <w:rFonts w:asciiTheme="majorEastAsia" w:hAnsiTheme="majorEastAsia" w:eastAsiaTheme="majorEastAsia" w:cstheme="majorEastAsia"/>
          <w:b/>
          <w:sz w:val="30"/>
          <w:szCs w:val="30"/>
          <w:highlight w:val="none"/>
        </w:rPr>
      </w:pPr>
    </w:p>
    <w:p>
      <w:pPr>
        <w:pStyle w:val="12"/>
        <w:spacing w:before="120" w:after="120" w:line="600" w:lineRule="exact"/>
        <w:jc w:val="center"/>
        <w:rPr>
          <w:rFonts w:asciiTheme="majorEastAsia" w:hAnsiTheme="majorEastAsia" w:eastAsiaTheme="majorEastAsia" w:cstheme="majorEastAsia"/>
          <w:highlight w:val="none"/>
        </w:rPr>
      </w:pPr>
      <w:r>
        <w:rPr>
          <w:rFonts w:hint="eastAsia" w:asciiTheme="majorEastAsia" w:hAnsiTheme="majorEastAsia" w:eastAsiaTheme="majorEastAsia" w:cstheme="majorEastAsia"/>
          <w:b/>
          <w:bCs/>
          <w:w w:val="95"/>
          <w:sz w:val="32"/>
          <w:szCs w:val="32"/>
          <w:highlight w:val="none"/>
        </w:rPr>
        <w:t xml:space="preserve"> 　　　　　　　　　</w:t>
      </w:r>
      <w:r>
        <w:rPr>
          <w:rFonts w:hint="eastAsia" w:asciiTheme="majorEastAsia" w:hAnsiTheme="majorEastAsia" w:eastAsiaTheme="majorEastAsia" w:cstheme="majorEastAsia"/>
          <w:b/>
          <w:bCs/>
          <w:color w:val="auto"/>
          <w:w w:val="95"/>
          <w:sz w:val="32"/>
          <w:szCs w:val="32"/>
          <w:highlight w:val="none"/>
          <w:lang w:eastAsia="zh-CN"/>
        </w:rPr>
        <w:t>202</w:t>
      </w:r>
      <w:r>
        <w:rPr>
          <w:rFonts w:hint="eastAsia" w:asciiTheme="majorEastAsia" w:hAnsiTheme="majorEastAsia" w:eastAsiaTheme="majorEastAsia" w:cstheme="majorEastAsia"/>
          <w:b/>
          <w:bCs/>
          <w:color w:val="auto"/>
          <w:w w:val="95"/>
          <w:sz w:val="32"/>
          <w:szCs w:val="32"/>
          <w:highlight w:val="none"/>
          <w:lang w:val="en-US" w:eastAsia="zh-CN"/>
        </w:rPr>
        <w:t>5</w:t>
      </w:r>
      <w:r>
        <w:rPr>
          <w:rFonts w:hint="eastAsia" w:asciiTheme="majorEastAsia" w:hAnsiTheme="majorEastAsia" w:eastAsiaTheme="majorEastAsia" w:cstheme="majorEastAsia"/>
          <w:b/>
          <w:bCs/>
          <w:color w:val="auto"/>
          <w:w w:val="95"/>
          <w:sz w:val="32"/>
          <w:szCs w:val="32"/>
          <w:highlight w:val="none"/>
          <w:lang w:eastAsia="zh-CN"/>
        </w:rPr>
        <w:t>年</w:t>
      </w:r>
      <w:r>
        <w:rPr>
          <w:rFonts w:hint="eastAsia" w:asciiTheme="majorEastAsia" w:hAnsiTheme="majorEastAsia" w:eastAsiaTheme="majorEastAsia" w:cstheme="majorEastAsia"/>
          <w:b/>
          <w:bCs/>
          <w:color w:val="auto"/>
          <w:w w:val="95"/>
          <w:sz w:val="32"/>
          <w:szCs w:val="32"/>
          <w:highlight w:val="none"/>
          <w:lang w:val="en-US" w:eastAsia="zh-CN"/>
        </w:rPr>
        <w:t>1</w:t>
      </w:r>
      <w:r>
        <w:rPr>
          <w:rFonts w:hint="eastAsia" w:asciiTheme="majorEastAsia" w:hAnsiTheme="majorEastAsia" w:eastAsiaTheme="majorEastAsia" w:cstheme="majorEastAsia"/>
          <w:b/>
          <w:bCs/>
          <w:color w:val="auto"/>
          <w:w w:val="95"/>
          <w:sz w:val="32"/>
          <w:szCs w:val="32"/>
          <w:highlight w:val="none"/>
          <w:lang w:eastAsia="zh-CN"/>
        </w:rPr>
        <w:t>月</w:t>
      </w:r>
      <w:r>
        <w:rPr>
          <w:rFonts w:hint="eastAsia" w:asciiTheme="majorEastAsia" w:hAnsiTheme="majorEastAsia" w:eastAsiaTheme="majorEastAsia" w:cstheme="majorEastAsia"/>
          <w:b/>
          <w:bCs/>
          <w:color w:val="auto"/>
          <w:w w:val="95"/>
          <w:sz w:val="32"/>
          <w:szCs w:val="32"/>
          <w:highlight w:val="none"/>
          <w:lang w:val="en-US" w:eastAsia="zh-CN"/>
        </w:rPr>
        <w:t>8</w:t>
      </w:r>
      <w:r>
        <w:rPr>
          <w:rFonts w:hint="eastAsia" w:asciiTheme="majorEastAsia" w:hAnsiTheme="majorEastAsia" w:eastAsiaTheme="majorEastAsia" w:cstheme="majorEastAsia"/>
          <w:b/>
          <w:bCs/>
          <w:color w:val="auto"/>
          <w:w w:val="95"/>
          <w:sz w:val="32"/>
          <w:szCs w:val="32"/>
          <w:highlight w:val="none"/>
          <w:lang w:eastAsia="zh-CN"/>
        </w:rPr>
        <w:t>日</w:t>
      </w:r>
    </w:p>
    <w:p>
      <w:pPr>
        <w:pStyle w:val="12"/>
        <w:spacing w:beforeLines="100" w:afterLines="100" w:line="600" w:lineRule="exact"/>
        <w:jc w:val="center"/>
        <w:rPr>
          <w:rFonts w:asciiTheme="majorEastAsia" w:hAnsiTheme="majorEastAsia" w:eastAsiaTheme="majorEastAsia" w:cstheme="majorEastAsia"/>
          <w:b/>
          <w:sz w:val="52"/>
          <w:szCs w:val="52"/>
          <w:highlight w:val="none"/>
        </w:rPr>
      </w:pPr>
    </w:p>
    <w:p>
      <w:pPr>
        <w:rPr>
          <w:highlight w:val="none"/>
        </w:rPr>
      </w:pPr>
    </w:p>
    <w:p>
      <w:pPr>
        <w:pStyle w:val="12"/>
        <w:spacing w:beforeLines="100" w:afterLines="100" w:line="600" w:lineRule="exact"/>
        <w:jc w:val="center"/>
        <w:rPr>
          <w:rFonts w:asciiTheme="majorEastAsia" w:hAnsiTheme="majorEastAsia" w:eastAsiaTheme="majorEastAsia" w:cstheme="majorEastAsia"/>
          <w:b/>
          <w:sz w:val="52"/>
          <w:szCs w:val="52"/>
          <w:highlight w:val="none"/>
        </w:rPr>
      </w:pPr>
    </w:p>
    <w:p>
      <w:pPr>
        <w:rPr>
          <w:highlight w:val="none"/>
        </w:rPr>
      </w:pPr>
    </w:p>
    <w:p>
      <w:pPr>
        <w:pStyle w:val="12"/>
        <w:spacing w:beforeLines="100" w:afterLines="100" w:line="600" w:lineRule="exact"/>
        <w:jc w:val="center"/>
        <w:rPr>
          <w:rFonts w:hint="eastAsia" w:ascii="宋体" w:hAnsi="宋体" w:eastAsia="宋体" w:cs="宋体"/>
          <w:b/>
          <w:bCs w:val="0"/>
          <w:color w:val="auto"/>
          <w:sz w:val="44"/>
          <w:szCs w:val="44"/>
          <w:highlight w:val="none"/>
        </w:rPr>
      </w:pPr>
      <w:r>
        <w:rPr>
          <w:rFonts w:hint="eastAsia" w:ascii="宋体" w:hAnsi="宋体" w:eastAsia="宋体" w:cs="宋体"/>
          <w:b/>
          <w:bCs w:val="0"/>
          <w:color w:val="auto"/>
          <w:sz w:val="44"/>
          <w:szCs w:val="44"/>
          <w:highlight w:val="none"/>
        </w:rPr>
        <w:t>目    录</w:t>
      </w:r>
    </w:p>
    <w:p>
      <w:pPr>
        <w:pStyle w:val="12"/>
        <w:spacing w:beforeLines="100" w:afterLines="100" w:line="600" w:lineRule="exact"/>
        <w:jc w:val="center"/>
        <w:rPr>
          <w:rFonts w:hAnsi="宋体" w:cs="宋体"/>
          <w:b/>
          <w:bCs w:val="0"/>
          <w:sz w:val="28"/>
          <w:szCs w:val="28"/>
          <w:highlight w:val="none"/>
        </w:rPr>
      </w:pPr>
    </w:p>
    <w:p>
      <w:pPr>
        <w:pStyle w:val="15"/>
        <w:tabs>
          <w:tab w:val="right" w:leader="dot" w:pos="8834"/>
        </w:tabs>
        <w:spacing w:line="480" w:lineRule="auto"/>
        <w:rPr>
          <w:rFonts w:ascii="宋体" w:hAnsi="宋体" w:cs="宋体"/>
          <w:b/>
          <w:bCs w:val="0"/>
          <w:sz w:val="28"/>
          <w:szCs w:val="28"/>
          <w:highlight w:val="none"/>
        </w:rPr>
      </w:pPr>
      <w:r>
        <w:rPr>
          <w:rFonts w:hint="eastAsia" w:ascii="宋体" w:hAnsi="宋体" w:cs="宋体"/>
          <w:b/>
          <w:bCs w:val="0"/>
          <w:sz w:val="28"/>
          <w:szCs w:val="28"/>
          <w:highlight w:val="none"/>
        </w:rPr>
        <w:fldChar w:fldCharType="begin"/>
      </w:r>
      <w:r>
        <w:rPr>
          <w:rFonts w:hint="eastAsia" w:ascii="宋体" w:hAnsi="宋体" w:cs="宋体"/>
          <w:b/>
          <w:bCs w:val="0"/>
          <w:sz w:val="28"/>
          <w:szCs w:val="28"/>
          <w:highlight w:val="none"/>
        </w:rPr>
        <w:instrText xml:space="preserve"> TOC \o "1-1" \h \z \u </w:instrText>
      </w:r>
      <w:r>
        <w:rPr>
          <w:rFonts w:hint="eastAsia" w:ascii="宋体" w:hAnsi="宋体" w:cs="宋体"/>
          <w:b/>
          <w:bCs w:val="0"/>
          <w:sz w:val="28"/>
          <w:szCs w:val="28"/>
          <w:highlight w:val="none"/>
        </w:rPr>
        <w:fldChar w:fldCharType="separate"/>
      </w:r>
      <w:r>
        <w:rPr>
          <w:b/>
          <w:bCs w:val="0"/>
          <w:highlight w:val="none"/>
        </w:rPr>
        <w:fldChar w:fldCharType="begin"/>
      </w:r>
      <w:r>
        <w:rPr>
          <w:b/>
          <w:bCs w:val="0"/>
          <w:highlight w:val="none"/>
        </w:rPr>
        <w:instrText xml:space="preserve"> HYPERLINK \l "_Toc1308133736" </w:instrText>
      </w:r>
      <w:r>
        <w:rPr>
          <w:b/>
          <w:bCs w:val="0"/>
          <w:highlight w:val="none"/>
        </w:rPr>
        <w:fldChar w:fldCharType="separate"/>
      </w:r>
      <w:r>
        <w:rPr>
          <w:rFonts w:hint="eastAsia" w:ascii="宋体" w:hAnsi="宋体" w:cs="宋体"/>
          <w:b/>
          <w:bCs w:val="0"/>
          <w:sz w:val="28"/>
          <w:szCs w:val="28"/>
          <w:highlight w:val="none"/>
        </w:rPr>
        <w:t>第一章  框架协议采购公告</w:t>
      </w:r>
      <w:r>
        <w:rPr>
          <w:rFonts w:hint="eastAsia" w:ascii="宋体" w:hAnsi="宋体" w:cs="宋体"/>
          <w:b/>
          <w:bCs w:val="0"/>
          <w:sz w:val="28"/>
          <w:szCs w:val="28"/>
          <w:highlight w:val="none"/>
        </w:rPr>
        <w:tab/>
      </w:r>
      <w:r>
        <w:rPr>
          <w:rFonts w:hint="eastAsia" w:ascii="宋体" w:hAnsi="宋体" w:cs="宋体"/>
          <w:b/>
          <w:bCs w:val="0"/>
          <w:sz w:val="28"/>
          <w:szCs w:val="28"/>
          <w:highlight w:val="none"/>
        </w:rPr>
        <w:fldChar w:fldCharType="begin"/>
      </w:r>
      <w:r>
        <w:rPr>
          <w:rFonts w:hint="eastAsia" w:ascii="宋体" w:hAnsi="宋体" w:cs="宋体"/>
          <w:b/>
          <w:bCs w:val="0"/>
          <w:sz w:val="28"/>
          <w:szCs w:val="28"/>
          <w:highlight w:val="none"/>
        </w:rPr>
        <w:instrText xml:space="preserve"> PAGEREF _Toc1308133736 </w:instrText>
      </w:r>
      <w:r>
        <w:rPr>
          <w:rFonts w:hint="eastAsia" w:ascii="宋体" w:hAnsi="宋体" w:cs="宋体"/>
          <w:b/>
          <w:bCs w:val="0"/>
          <w:sz w:val="28"/>
          <w:szCs w:val="28"/>
          <w:highlight w:val="none"/>
        </w:rPr>
        <w:fldChar w:fldCharType="separate"/>
      </w:r>
      <w:r>
        <w:rPr>
          <w:rFonts w:hint="eastAsia" w:ascii="宋体" w:hAnsi="宋体" w:cs="宋体"/>
          <w:b/>
          <w:bCs w:val="0"/>
          <w:sz w:val="28"/>
          <w:szCs w:val="28"/>
          <w:highlight w:val="none"/>
        </w:rPr>
        <w:t>3</w:t>
      </w:r>
      <w:r>
        <w:rPr>
          <w:rFonts w:hint="eastAsia" w:ascii="宋体" w:hAnsi="宋体" w:cs="宋体"/>
          <w:b/>
          <w:bCs w:val="0"/>
          <w:sz w:val="28"/>
          <w:szCs w:val="28"/>
          <w:highlight w:val="none"/>
        </w:rPr>
        <w:fldChar w:fldCharType="end"/>
      </w:r>
      <w:r>
        <w:rPr>
          <w:rFonts w:hint="eastAsia" w:ascii="宋体" w:hAnsi="宋体" w:cs="宋体"/>
          <w:b/>
          <w:bCs w:val="0"/>
          <w:sz w:val="28"/>
          <w:szCs w:val="28"/>
          <w:highlight w:val="none"/>
        </w:rPr>
        <w:fldChar w:fldCharType="end"/>
      </w:r>
    </w:p>
    <w:p>
      <w:pPr>
        <w:pStyle w:val="15"/>
        <w:tabs>
          <w:tab w:val="right" w:leader="dot" w:pos="8834"/>
        </w:tabs>
        <w:spacing w:line="480" w:lineRule="auto"/>
        <w:rPr>
          <w:rFonts w:ascii="宋体" w:hAnsi="宋体" w:cs="宋体"/>
          <w:b/>
          <w:bCs w:val="0"/>
          <w:sz w:val="28"/>
          <w:szCs w:val="28"/>
          <w:highlight w:val="none"/>
        </w:rPr>
      </w:pPr>
      <w:r>
        <w:rPr>
          <w:b/>
          <w:bCs w:val="0"/>
          <w:highlight w:val="none"/>
        </w:rPr>
        <w:fldChar w:fldCharType="begin"/>
      </w:r>
      <w:r>
        <w:rPr>
          <w:b/>
          <w:bCs w:val="0"/>
          <w:highlight w:val="none"/>
        </w:rPr>
        <w:instrText xml:space="preserve"> HYPERLINK \l "_Toc1256940247" </w:instrText>
      </w:r>
      <w:r>
        <w:rPr>
          <w:b/>
          <w:bCs w:val="0"/>
          <w:highlight w:val="none"/>
        </w:rPr>
        <w:fldChar w:fldCharType="separate"/>
      </w:r>
      <w:r>
        <w:rPr>
          <w:rFonts w:hint="eastAsia" w:ascii="宋体" w:hAnsi="宋体" w:cs="宋体"/>
          <w:b/>
          <w:bCs w:val="0"/>
          <w:sz w:val="28"/>
          <w:szCs w:val="28"/>
          <w:highlight w:val="none"/>
        </w:rPr>
        <w:t>第二章  框架协议采购需求</w:t>
      </w:r>
      <w:r>
        <w:rPr>
          <w:rFonts w:hint="eastAsia" w:ascii="宋体" w:hAnsi="宋体" w:cs="宋体"/>
          <w:b/>
          <w:bCs w:val="0"/>
          <w:sz w:val="28"/>
          <w:szCs w:val="28"/>
          <w:highlight w:val="none"/>
        </w:rPr>
        <w:tab/>
      </w:r>
      <w:r>
        <w:rPr>
          <w:rFonts w:hint="eastAsia" w:ascii="宋体" w:hAnsi="宋体" w:cs="宋体"/>
          <w:b/>
          <w:bCs w:val="0"/>
          <w:sz w:val="28"/>
          <w:szCs w:val="28"/>
          <w:highlight w:val="none"/>
        </w:rPr>
        <w:t>8</w:t>
      </w:r>
      <w:r>
        <w:rPr>
          <w:rFonts w:hint="eastAsia" w:ascii="宋体" w:hAnsi="宋体" w:cs="宋体"/>
          <w:b/>
          <w:bCs w:val="0"/>
          <w:sz w:val="28"/>
          <w:szCs w:val="28"/>
          <w:highlight w:val="none"/>
        </w:rPr>
        <w:fldChar w:fldCharType="end"/>
      </w:r>
    </w:p>
    <w:p>
      <w:pPr>
        <w:pStyle w:val="15"/>
        <w:tabs>
          <w:tab w:val="right" w:leader="dot" w:pos="8834"/>
        </w:tabs>
        <w:spacing w:line="480" w:lineRule="auto"/>
        <w:rPr>
          <w:rFonts w:ascii="宋体" w:hAnsi="宋体" w:cs="宋体"/>
          <w:b/>
          <w:bCs w:val="0"/>
          <w:sz w:val="28"/>
          <w:szCs w:val="28"/>
          <w:highlight w:val="none"/>
        </w:rPr>
      </w:pPr>
      <w:r>
        <w:rPr>
          <w:b/>
          <w:bCs w:val="0"/>
          <w:highlight w:val="none"/>
        </w:rPr>
        <w:fldChar w:fldCharType="begin"/>
      </w:r>
      <w:r>
        <w:rPr>
          <w:b/>
          <w:bCs w:val="0"/>
          <w:highlight w:val="none"/>
        </w:rPr>
        <w:instrText xml:space="preserve"> HYPERLINK \l "_Toc548118524" </w:instrText>
      </w:r>
      <w:r>
        <w:rPr>
          <w:b/>
          <w:bCs w:val="0"/>
          <w:highlight w:val="none"/>
        </w:rPr>
        <w:fldChar w:fldCharType="separate"/>
      </w:r>
      <w:r>
        <w:rPr>
          <w:rFonts w:hint="eastAsia" w:ascii="宋体" w:hAnsi="宋体" w:cs="宋体"/>
          <w:b/>
          <w:bCs w:val="0"/>
          <w:sz w:val="28"/>
          <w:szCs w:val="28"/>
          <w:highlight w:val="none"/>
        </w:rPr>
        <w:t>第三章　供应商须知</w:t>
      </w:r>
      <w:r>
        <w:rPr>
          <w:rFonts w:hint="eastAsia" w:ascii="宋体" w:hAnsi="宋体" w:cs="宋体"/>
          <w:b/>
          <w:bCs w:val="0"/>
          <w:sz w:val="28"/>
          <w:szCs w:val="28"/>
          <w:highlight w:val="none"/>
        </w:rPr>
        <w:tab/>
      </w:r>
      <w:r>
        <w:rPr>
          <w:rFonts w:hint="eastAsia" w:ascii="宋体" w:hAnsi="宋体" w:cs="宋体"/>
          <w:b/>
          <w:bCs w:val="0"/>
          <w:sz w:val="28"/>
          <w:szCs w:val="28"/>
          <w:highlight w:val="none"/>
        </w:rPr>
        <w:fldChar w:fldCharType="begin"/>
      </w:r>
      <w:r>
        <w:rPr>
          <w:rFonts w:hint="eastAsia" w:ascii="宋体" w:hAnsi="宋体" w:cs="宋体"/>
          <w:b/>
          <w:bCs w:val="0"/>
          <w:sz w:val="28"/>
          <w:szCs w:val="28"/>
          <w:highlight w:val="none"/>
        </w:rPr>
        <w:instrText xml:space="preserve"> PAGEREF _Toc548118524 </w:instrText>
      </w:r>
      <w:r>
        <w:rPr>
          <w:rFonts w:hint="eastAsia" w:ascii="宋体" w:hAnsi="宋体" w:cs="宋体"/>
          <w:b/>
          <w:bCs w:val="0"/>
          <w:sz w:val="28"/>
          <w:szCs w:val="28"/>
          <w:highlight w:val="none"/>
        </w:rPr>
        <w:fldChar w:fldCharType="separate"/>
      </w:r>
      <w:r>
        <w:rPr>
          <w:rFonts w:hint="eastAsia" w:ascii="宋体" w:hAnsi="宋体" w:cs="宋体"/>
          <w:b/>
          <w:bCs w:val="0"/>
          <w:sz w:val="28"/>
          <w:szCs w:val="28"/>
          <w:highlight w:val="none"/>
        </w:rPr>
        <w:t>13</w:t>
      </w:r>
      <w:r>
        <w:rPr>
          <w:rFonts w:hint="eastAsia" w:ascii="宋体" w:hAnsi="宋体" w:cs="宋体"/>
          <w:b/>
          <w:bCs w:val="0"/>
          <w:sz w:val="28"/>
          <w:szCs w:val="28"/>
          <w:highlight w:val="none"/>
        </w:rPr>
        <w:fldChar w:fldCharType="end"/>
      </w:r>
      <w:r>
        <w:rPr>
          <w:rFonts w:hint="eastAsia" w:ascii="宋体" w:hAnsi="宋体" w:cs="宋体"/>
          <w:b/>
          <w:bCs w:val="0"/>
          <w:sz w:val="28"/>
          <w:szCs w:val="28"/>
          <w:highlight w:val="none"/>
        </w:rPr>
        <w:fldChar w:fldCharType="end"/>
      </w:r>
    </w:p>
    <w:p>
      <w:pPr>
        <w:pStyle w:val="15"/>
        <w:tabs>
          <w:tab w:val="right" w:leader="dot" w:pos="8834"/>
        </w:tabs>
        <w:spacing w:line="480" w:lineRule="auto"/>
        <w:rPr>
          <w:rFonts w:ascii="宋体" w:hAnsi="宋体" w:cs="宋体"/>
          <w:b/>
          <w:bCs w:val="0"/>
          <w:sz w:val="28"/>
          <w:szCs w:val="28"/>
          <w:highlight w:val="none"/>
        </w:rPr>
      </w:pPr>
      <w:r>
        <w:rPr>
          <w:b/>
          <w:bCs w:val="0"/>
          <w:highlight w:val="none"/>
        </w:rPr>
        <w:fldChar w:fldCharType="begin"/>
      </w:r>
      <w:r>
        <w:rPr>
          <w:b/>
          <w:bCs w:val="0"/>
          <w:highlight w:val="none"/>
        </w:rPr>
        <w:instrText xml:space="preserve"> HYPERLINK \l "_Toc35352908" </w:instrText>
      </w:r>
      <w:r>
        <w:rPr>
          <w:b/>
          <w:bCs w:val="0"/>
          <w:highlight w:val="none"/>
        </w:rPr>
        <w:fldChar w:fldCharType="separate"/>
      </w:r>
      <w:r>
        <w:rPr>
          <w:rFonts w:hint="eastAsia" w:ascii="宋体" w:hAnsi="宋体" w:cs="宋体"/>
          <w:b/>
          <w:bCs w:val="0"/>
          <w:sz w:val="28"/>
          <w:szCs w:val="28"/>
          <w:highlight w:val="none"/>
        </w:rPr>
        <w:t>第四章  评审办法及标准</w:t>
      </w:r>
      <w:r>
        <w:rPr>
          <w:rFonts w:hint="eastAsia" w:ascii="宋体" w:hAnsi="宋体" w:cs="宋体"/>
          <w:b/>
          <w:bCs w:val="0"/>
          <w:sz w:val="28"/>
          <w:szCs w:val="28"/>
          <w:highlight w:val="none"/>
        </w:rPr>
        <w:tab/>
      </w:r>
      <w:r>
        <w:rPr>
          <w:rFonts w:hint="eastAsia" w:ascii="宋体" w:hAnsi="宋体" w:cs="宋体"/>
          <w:b/>
          <w:bCs w:val="0"/>
          <w:sz w:val="28"/>
          <w:szCs w:val="28"/>
          <w:highlight w:val="none"/>
        </w:rPr>
        <w:fldChar w:fldCharType="begin"/>
      </w:r>
      <w:r>
        <w:rPr>
          <w:rFonts w:hint="eastAsia" w:ascii="宋体" w:hAnsi="宋体" w:cs="宋体"/>
          <w:b/>
          <w:bCs w:val="0"/>
          <w:sz w:val="28"/>
          <w:szCs w:val="28"/>
          <w:highlight w:val="none"/>
        </w:rPr>
        <w:instrText xml:space="preserve"> PAGEREF _Toc35352908 </w:instrText>
      </w:r>
      <w:r>
        <w:rPr>
          <w:rFonts w:hint="eastAsia" w:ascii="宋体" w:hAnsi="宋体" w:cs="宋体"/>
          <w:b/>
          <w:bCs w:val="0"/>
          <w:sz w:val="28"/>
          <w:szCs w:val="28"/>
          <w:highlight w:val="none"/>
        </w:rPr>
        <w:fldChar w:fldCharType="separate"/>
      </w:r>
      <w:r>
        <w:rPr>
          <w:rFonts w:hint="eastAsia" w:ascii="宋体" w:hAnsi="宋体" w:cs="宋体"/>
          <w:b/>
          <w:bCs w:val="0"/>
          <w:sz w:val="28"/>
          <w:szCs w:val="28"/>
          <w:highlight w:val="none"/>
        </w:rPr>
        <w:t>29</w:t>
      </w:r>
      <w:r>
        <w:rPr>
          <w:rFonts w:hint="eastAsia" w:ascii="宋体" w:hAnsi="宋体" w:cs="宋体"/>
          <w:b/>
          <w:bCs w:val="0"/>
          <w:sz w:val="28"/>
          <w:szCs w:val="28"/>
          <w:highlight w:val="none"/>
        </w:rPr>
        <w:fldChar w:fldCharType="end"/>
      </w:r>
      <w:r>
        <w:rPr>
          <w:rFonts w:hint="eastAsia" w:ascii="宋体" w:hAnsi="宋体" w:cs="宋体"/>
          <w:b/>
          <w:bCs w:val="0"/>
          <w:sz w:val="28"/>
          <w:szCs w:val="28"/>
          <w:highlight w:val="none"/>
        </w:rPr>
        <w:fldChar w:fldCharType="end"/>
      </w:r>
    </w:p>
    <w:p>
      <w:pPr>
        <w:pStyle w:val="15"/>
        <w:tabs>
          <w:tab w:val="right" w:leader="dot" w:pos="8834"/>
        </w:tabs>
        <w:spacing w:line="480" w:lineRule="auto"/>
        <w:rPr>
          <w:rFonts w:ascii="宋体" w:hAnsi="宋体" w:cs="宋体"/>
          <w:b/>
          <w:bCs w:val="0"/>
          <w:sz w:val="28"/>
          <w:szCs w:val="28"/>
          <w:highlight w:val="none"/>
        </w:rPr>
      </w:pPr>
      <w:r>
        <w:rPr>
          <w:b/>
          <w:bCs w:val="0"/>
          <w:highlight w:val="none"/>
        </w:rPr>
        <w:fldChar w:fldCharType="begin"/>
      </w:r>
      <w:r>
        <w:rPr>
          <w:b/>
          <w:bCs w:val="0"/>
          <w:highlight w:val="none"/>
        </w:rPr>
        <w:instrText xml:space="preserve"> HYPERLINK \l "_Toc979480569" </w:instrText>
      </w:r>
      <w:r>
        <w:rPr>
          <w:b/>
          <w:bCs w:val="0"/>
          <w:highlight w:val="none"/>
        </w:rPr>
        <w:fldChar w:fldCharType="separate"/>
      </w:r>
      <w:r>
        <w:rPr>
          <w:rFonts w:hint="eastAsia" w:ascii="宋体" w:hAnsi="宋体" w:cs="宋体"/>
          <w:b/>
          <w:bCs w:val="0"/>
          <w:sz w:val="28"/>
          <w:szCs w:val="28"/>
          <w:highlight w:val="none"/>
        </w:rPr>
        <w:t>第五章  框架协议主要条款</w:t>
      </w:r>
      <w:r>
        <w:rPr>
          <w:rFonts w:hint="eastAsia" w:ascii="宋体" w:hAnsi="宋体" w:cs="宋体"/>
          <w:b/>
          <w:bCs w:val="0"/>
          <w:sz w:val="28"/>
          <w:szCs w:val="28"/>
          <w:highlight w:val="none"/>
        </w:rPr>
        <w:tab/>
      </w:r>
      <w:r>
        <w:rPr>
          <w:rFonts w:hint="eastAsia" w:ascii="宋体" w:hAnsi="宋体" w:cs="宋体"/>
          <w:b/>
          <w:bCs w:val="0"/>
          <w:sz w:val="28"/>
          <w:szCs w:val="28"/>
          <w:highlight w:val="none"/>
        </w:rPr>
        <w:fldChar w:fldCharType="begin"/>
      </w:r>
      <w:r>
        <w:rPr>
          <w:rFonts w:hint="eastAsia" w:ascii="宋体" w:hAnsi="宋体" w:cs="宋体"/>
          <w:b/>
          <w:bCs w:val="0"/>
          <w:sz w:val="28"/>
          <w:szCs w:val="28"/>
          <w:highlight w:val="none"/>
        </w:rPr>
        <w:instrText xml:space="preserve"> PAGEREF _Toc979480569 </w:instrText>
      </w:r>
      <w:r>
        <w:rPr>
          <w:rFonts w:hint="eastAsia" w:ascii="宋体" w:hAnsi="宋体" w:cs="宋体"/>
          <w:b/>
          <w:bCs w:val="0"/>
          <w:sz w:val="28"/>
          <w:szCs w:val="28"/>
          <w:highlight w:val="none"/>
        </w:rPr>
        <w:fldChar w:fldCharType="separate"/>
      </w:r>
      <w:r>
        <w:rPr>
          <w:rFonts w:hint="eastAsia" w:ascii="宋体" w:hAnsi="宋体" w:cs="宋体"/>
          <w:b/>
          <w:bCs w:val="0"/>
          <w:sz w:val="28"/>
          <w:szCs w:val="28"/>
          <w:highlight w:val="none"/>
        </w:rPr>
        <w:t>3</w:t>
      </w:r>
      <w:r>
        <w:rPr>
          <w:rFonts w:hint="eastAsia" w:ascii="宋体" w:hAnsi="宋体" w:cs="宋体"/>
          <w:b/>
          <w:bCs w:val="0"/>
          <w:sz w:val="28"/>
          <w:szCs w:val="28"/>
          <w:highlight w:val="none"/>
          <w:lang w:val="en-US" w:eastAsia="zh-CN"/>
        </w:rPr>
        <w:t>3</w:t>
      </w:r>
      <w:r>
        <w:rPr>
          <w:rFonts w:hint="eastAsia" w:ascii="宋体" w:hAnsi="宋体" w:cs="宋体"/>
          <w:b/>
          <w:bCs w:val="0"/>
          <w:sz w:val="28"/>
          <w:szCs w:val="28"/>
          <w:highlight w:val="none"/>
        </w:rPr>
        <w:fldChar w:fldCharType="end"/>
      </w:r>
      <w:r>
        <w:rPr>
          <w:rFonts w:hint="eastAsia" w:ascii="宋体" w:hAnsi="宋体" w:cs="宋体"/>
          <w:b/>
          <w:bCs w:val="0"/>
          <w:sz w:val="28"/>
          <w:szCs w:val="28"/>
          <w:highlight w:val="none"/>
        </w:rPr>
        <w:fldChar w:fldCharType="end"/>
      </w:r>
    </w:p>
    <w:p>
      <w:pPr>
        <w:pStyle w:val="15"/>
        <w:tabs>
          <w:tab w:val="right" w:leader="dot" w:pos="8834"/>
        </w:tabs>
        <w:spacing w:line="480" w:lineRule="auto"/>
        <w:rPr>
          <w:rFonts w:hint="eastAsia" w:ascii="宋体" w:hAnsi="宋体" w:eastAsia="宋体" w:cs="宋体"/>
          <w:b/>
          <w:bCs w:val="0"/>
          <w:sz w:val="28"/>
          <w:szCs w:val="28"/>
          <w:highlight w:val="none"/>
          <w:lang w:eastAsia="zh-CN"/>
        </w:rPr>
      </w:pPr>
      <w:r>
        <w:rPr>
          <w:b/>
          <w:bCs w:val="0"/>
          <w:highlight w:val="none"/>
        </w:rPr>
        <w:fldChar w:fldCharType="begin"/>
      </w:r>
      <w:r>
        <w:rPr>
          <w:b/>
          <w:bCs w:val="0"/>
          <w:highlight w:val="none"/>
        </w:rPr>
        <w:instrText xml:space="preserve"> HYPERLINK \l "_Toc1409419452" </w:instrText>
      </w:r>
      <w:r>
        <w:rPr>
          <w:b/>
          <w:bCs w:val="0"/>
          <w:highlight w:val="none"/>
        </w:rPr>
        <w:fldChar w:fldCharType="separate"/>
      </w:r>
      <w:r>
        <w:rPr>
          <w:rFonts w:hint="eastAsia" w:ascii="宋体" w:hAnsi="宋体" w:cs="宋体"/>
          <w:b/>
          <w:bCs w:val="0"/>
          <w:sz w:val="28"/>
          <w:szCs w:val="28"/>
          <w:highlight w:val="none"/>
        </w:rPr>
        <w:t>第六章  响应文件格式</w:t>
      </w:r>
      <w:r>
        <w:rPr>
          <w:rFonts w:hint="eastAsia" w:ascii="宋体" w:hAnsi="宋体" w:cs="宋体"/>
          <w:b/>
          <w:bCs w:val="0"/>
          <w:sz w:val="28"/>
          <w:szCs w:val="28"/>
          <w:highlight w:val="none"/>
        </w:rPr>
        <w:tab/>
      </w:r>
      <w:r>
        <w:rPr>
          <w:rFonts w:hint="eastAsia" w:ascii="宋体" w:hAnsi="宋体" w:cs="宋体"/>
          <w:b/>
          <w:bCs w:val="0"/>
          <w:sz w:val="28"/>
          <w:szCs w:val="28"/>
          <w:highlight w:val="none"/>
          <w:lang w:val="en-US" w:eastAsia="zh-CN"/>
        </w:rPr>
        <w:t>44</w:t>
      </w:r>
      <w:r>
        <w:rPr>
          <w:rFonts w:hint="eastAsia" w:ascii="宋体" w:hAnsi="宋体" w:cs="宋体"/>
          <w:b/>
          <w:bCs w:val="0"/>
          <w:sz w:val="28"/>
          <w:szCs w:val="28"/>
          <w:highlight w:val="none"/>
        </w:rPr>
        <w:fldChar w:fldCharType="end"/>
      </w:r>
    </w:p>
    <w:p>
      <w:pPr>
        <w:pStyle w:val="15"/>
        <w:tabs>
          <w:tab w:val="right" w:leader="dot" w:pos="8834"/>
        </w:tabs>
        <w:spacing w:line="480" w:lineRule="auto"/>
        <w:rPr>
          <w:rFonts w:ascii="宋体" w:hAnsi="宋体" w:cs="宋体"/>
          <w:sz w:val="28"/>
          <w:szCs w:val="28"/>
          <w:highlight w:val="none"/>
        </w:rPr>
      </w:pPr>
      <w:r>
        <w:rPr>
          <w:rFonts w:hint="eastAsia" w:ascii="宋体" w:hAnsi="宋体" w:cs="宋体"/>
          <w:b/>
          <w:bCs w:val="0"/>
          <w:sz w:val="28"/>
          <w:szCs w:val="28"/>
          <w:highlight w:val="none"/>
        </w:rPr>
        <w:fldChar w:fldCharType="end"/>
      </w:r>
    </w:p>
    <w:p>
      <w:pPr>
        <w:pStyle w:val="2"/>
        <w:ind w:left="480" w:firstLine="544"/>
        <w:rPr>
          <w:rFonts w:hAnsi="宋体" w:cs="宋体"/>
          <w:sz w:val="28"/>
          <w:szCs w:val="28"/>
          <w:highlight w:val="none"/>
        </w:rPr>
      </w:pPr>
    </w:p>
    <w:p>
      <w:pPr>
        <w:pStyle w:val="4"/>
        <w:rPr>
          <w:rFonts w:asciiTheme="majorEastAsia" w:hAnsiTheme="majorEastAsia" w:eastAsiaTheme="majorEastAsia" w:cstheme="majorEastAsia"/>
          <w:highlight w:val="none"/>
        </w:rPr>
      </w:pPr>
    </w:p>
    <w:p>
      <w:pPr>
        <w:rPr>
          <w:rFonts w:asciiTheme="majorEastAsia" w:hAnsiTheme="majorEastAsia" w:eastAsiaTheme="majorEastAsia" w:cstheme="majorEastAsia"/>
          <w:highlight w:val="none"/>
        </w:rPr>
      </w:pPr>
    </w:p>
    <w:p>
      <w:pPr>
        <w:pStyle w:val="11"/>
        <w:ind w:firstLine="240"/>
        <w:rPr>
          <w:rFonts w:asciiTheme="majorEastAsia" w:hAnsiTheme="majorEastAsia" w:eastAsiaTheme="majorEastAsia" w:cstheme="majorEastAsia"/>
          <w:highlight w:val="none"/>
        </w:rPr>
      </w:pPr>
    </w:p>
    <w:p>
      <w:pPr>
        <w:rPr>
          <w:highlight w:val="none"/>
        </w:rPr>
      </w:pPr>
    </w:p>
    <w:p>
      <w:pPr>
        <w:rPr>
          <w:rFonts w:asciiTheme="majorEastAsia" w:hAnsiTheme="majorEastAsia" w:eastAsiaTheme="majorEastAsia" w:cstheme="majorEastAsia"/>
          <w:highlight w:val="none"/>
        </w:rPr>
      </w:pPr>
    </w:p>
    <w:p>
      <w:pPr>
        <w:pStyle w:val="11"/>
        <w:ind w:firstLine="240"/>
        <w:rPr>
          <w:rFonts w:asciiTheme="majorEastAsia" w:hAnsiTheme="majorEastAsia" w:eastAsiaTheme="majorEastAsia" w:cstheme="majorEastAsia"/>
          <w:highlight w:val="none"/>
        </w:rPr>
      </w:pPr>
    </w:p>
    <w:p>
      <w:pPr>
        <w:rPr>
          <w:rFonts w:asciiTheme="majorEastAsia" w:hAnsiTheme="majorEastAsia" w:eastAsiaTheme="majorEastAsia" w:cstheme="majorEastAsia"/>
          <w:highlight w:val="none"/>
        </w:rPr>
      </w:pPr>
    </w:p>
    <w:p>
      <w:pPr>
        <w:pStyle w:val="2"/>
        <w:ind w:left="480" w:firstLine="404"/>
        <w:rPr>
          <w:highlight w:val="none"/>
        </w:rPr>
      </w:pPr>
    </w:p>
    <w:p>
      <w:pPr>
        <w:pStyle w:val="11"/>
        <w:ind w:firstLine="240"/>
        <w:rPr>
          <w:rFonts w:asciiTheme="majorEastAsia" w:hAnsiTheme="majorEastAsia" w:eastAsiaTheme="majorEastAsia" w:cstheme="majorEastAsia"/>
          <w:highlight w:val="none"/>
        </w:rPr>
      </w:pPr>
    </w:p>
    <w:p>
      <w:pPr>
        <w:rPr>
          <w:rFonts w:asciiTheme="majorEastAsia" w:hAnsiTheme="majorEastAsia" w:eastAsiaTheme="majorEastAsia" w:cstheme="majorEastAsia"/>
          <w:highlight w:val="none"/>
        </w:rPr>
      </w:pPr>
    </w:p>
    <w:p>
      <w:pPr>
        <w:pStyle w:val="2"/>
        <w:ind w:left="480" w:firstLine="404"/>
        <w:rPr>
          <w:highlight w:val="none"/>
        </w:rPr>
      </w:pPr>
    </w:p>
    <w:p>
      <w:pPr>
        <w:rPr>
          <w:rFonts w:asciiTheme="majorEastAsia" w:hAnsiTheme="majorEastAsia" w:eastAsiaTheme="majorEastAsia" w:cstheme="majorEastAsia"/>
          <w:highlight w:val="none"/>
        </w:rPr>
      </w:pPr>
    </w:p>
    <w:p>
      <w:pPr>
        <w:pStyle w:val="2"/>
        <w:ind w:left="480" w:firstLine="404"/>
        <w:rPr>
          <w:rFonts w:asciiTheme="majorEastAsia" w:hAnsiTheme="majorEastAsia" w:eastAsiaTheme="majorEastAsia" w:cstheme="majorEastAsia"/>
          <w:highlight w:val="none"/>
        </w:rPr>
      </w:pPr>
    </w:p>
    <w:p>
      <w:pPr>
        <w:pStyle w:val="2"/>
        <w:ind w:left="0" w:leftChars="0" w:firstLine="0" w:firstLineChars="0"/>
        <w:rPr>
          <w:rFonts w:asciiTheme="majorEastAsia" w:hAnsiTheme="majorEastAsia" w:eastAsiaTheme="majorEastAsia" w:cstheme="majorEastAsia"/>
          <w:highlight w:val="none"/>
        </w:rPr>
      </w:pPr>
    </w:p>
    <w:p>
      <w:pPr>
        <w:pStyle w:val="11"/>
        <w:ind w:firstLine="0" w:firstLineChars="0"/>
        <w:rPr>
          <w:highlight w:val="none"/>
        </w:rPr>
      </w:pPr>
    </w:p>
    <w:p>
      <w:pPr>
        <w:pStyle w:val="5"/>
        <w:spacing w:line="480" w:lineRule="auto"/>
        <w:rPr>
          <w:rFonts w:asciiTheme="majorEastAsia" w:hAnsiTheme="majorEastAsia" w:eastAsiaTheme="majorEastAsia" w:cstheme="majorEastAsia"/>
          <w:highlight w:val="none"/>
        </w:rPr>
      </w:pPr>
      <w:bookmarkStart w:id="2" w:name="_Toc1308133736"/>
      <w:r>
        <w:rPr>
          <w:rFonts w:hint="eastAsia" w:asciiTheme="majorEastAsia" w:hAnsiTheme="majorEastAsia" w:eastAsiaTheme="majorEastAsia" w:cstheme="majorEastAsia"/>
          <w:sz w:val="32"/>
          <w:highlight w:val="none"/>
        </w:rPr>
        <w:t>第一章  框架协议采购公告</w:t>
      </w:r>
      <w:bookmarkEnd w:id="2"/>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ajorEastAsia" w:hAnsiTheme="majorEastAsia" w:eastAsiaTheme="majorEastAsia" w:cstheme="majorEastAsia"/>
          <w:highlight w:val="none"/>
        </w:rPr>
      </w:pPr>
      <w:bookmarkStart w:id="3" w:name="_Toc439666950"/>
      <w:r>
        <w:rPr>
          <w:rFonts w:hint="eastAsia" w:asciiTheme="majorEastAsia" w:hAnsiTheme="majorEastAsia" w:eastAsiaTheme="majorEastAsia" w:cstheme="majorEastAsia"/>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asciiTheme="majorEastAsia" w:hAnsiTheme="majorEastAsia" w:eastAsiaTheme="majorEastAsia" w:cstheme="majorEastAsia"/>
          <w:highlight w:val="none"/>
          <w:u w:val="single"/>
        </w:rPr>
      </w:pPr>
      <w:r>
        <w:rPr>
          <w:rFonts w:hint="eastAsia" w:asciiTheme="majorEastAsia" w:hAnsiTheme="majorEastAsia" w:eastAsiaTheme="majorEastAsia" w:cstheme="majorEastAsia"/>
          <w:highlight w:val="none"/>
          <w:u w:val="single"/>
          <w:lang w:eastAsia="zh-CN"/>
        </w:rPr>
        <w:t>2025-2026年度平湖市预算绩效评价咨询服务框架协议</w:t>
      </w:r>
      <w:r>
        <w:rPr>
          <w:rFonts w:hint="eastAsia" w:asciiTheme="majorEastAsia" w:hAnsiTheme="majorEastAsia" w:eastAsiaTheme="majorEastAsia" w:cstheme="majorEastAsia"/>
          <w:highlight w:val="none"/>
          <w:u w:val="single"/>
        </w:rPr>
        <w:t>项目</w:t>
      </w:r>
      <w:r>
        <w:rPr>
          <w:rFonts w:hint="eastAsia" w:asciiTheme="majorEastAsia" w:hAnsiTheme="majorEastAsia" w:eastAsiaTheme="majorEastAsia" w:cstheme="majorEastAsia"/>
          <w:highlight w:val="none"/>
        </w:rPr>
        <w:t>的潜在供应商应在浙江政府采购网（</w:t>
      </w:r>
      <w:r>
        <w:rPr>
          <w:highlight w:val="none"/>
        </w:rPr>
        <w:fldChar w:fldCharType="begin"/>
      </w:r>
      <w:r>
        <w:rPr>
          <w:highlight w:val="none"/>
        </w:rPr>
        <w:instrText xml:space="preserve"> HYPERLINK "http://zfcg.czt.zj.gov.cn" </w:instrText>
      </w:r>
      <w:r>
        <w:rPr>
          <w:highlight w:val="none"/>
        </w:rPr>
        <w:fldChar w:fldCharType="separate"/>
      </w:r>
      <w:r>
        <w:rPr>
          <w:rFonts w:hint="eastAsia" w:asciiTheme="majorEastAsia" w:hAnsiTheme="majorEastAsia" w:eastAsiaTheme="majorEastAsia" w:cstheme="majorEastAsia"/>
          <w:highlight w:val="none"/>
        </w:rPr>
        <w:t>http://zfcg.czt.zj.gov.cn</w:t>
      </w:r>
      <w:r>
        <w:rPr>
          <w:rFonts w:hint="eastAsia" w:asciiTheme="majorEastAsia" w:hAnsiTheme="majorEastAsia" w:eastAsiaTheme="majorEastAsia" w:cstheme="majorEastAsia"/>
          <w:highlight w:val="none"/>
        </w:rPr>
        <w:fldChar w:fldCharType="end"/>
      </w:r>
      <w:r>
        <w:rPr>
          <w:rFonts w:hint="eastAsia" w:asciiTheme="majorEastAsia" w:hAnsiTheme="majorEastAsia" w:eastAsiaTheme="majorEastAsia" w:cstheme="majorEastAsia"/>
          <w:highlight w:val="none"/>
        </w:rPr>
        <w:t>）获取征集文件，</w:t>
      </w:r>
      <w:r>
        <w:rPr>
          <w:rFonts w:hint="eastAsia" w:asciiTheme="majorEastAsia" w:hAnsiTheme="majorEastAsia" w:eastAsiaTheme="majorEastAsia" w:cstheme="majorEastAsia"/>
          <w:highlight w:val="none"/>
          <w:u w:val="single"/>
        </w:rPr>
        <w:t>并于</w:t>
      </w:r>
      <w:r>
        <w:rPr>
          <w:rFonts w:hint="eastAsia" w:asciiTheme="majorEastAsia" w:hAnsiTheme="majorEastAsia" w:eastAsiaTheme="majorEastAsia" w:cstheme="majorEastAsia"/>
          <w:highlight w:val="none"/>
          <w:u w:val="single"/>
          <w:lang w:eastAsia="zh-CN"/>
        </w:rPr>
        <w:t>2025年2月11日</w:t>
      </w:r>
      <w:r>
        <w:rPr>
          <w:rFonts w:hint="eastAsia" w:asciiTheme="majorEastAsia" w:hAnsiTheme="majorEastAsia" w:eastAsiaTheme="majorEastAsia" w:cstheme="majorEastAsia"/>
          <w:highlight w:val="none"/>
          <w:u w:val="single"/>
          <w:lang w:val="en-US" w:eastAsia="zh-CN"/>
        </w:rPr>
        <w:t>9</w:t>
      </w:r>
      <w:r>
        <w:rPr>
          <w:rFonts w:hint="eastAsia" w:asciiTheme="majorEastAsia" w:hAnsiTheme="majorEastAsia" w:eastAsiaTheme="majorEastAsia" w:cstheme="majorEastAsia"/>
          <w:highlight w:val="none"/>
          <w:u w:val="single"/>
        </w:rPr>
        <w:t>：</w:t>
      </w:r>
      <w:r>
        <w:rPr>
          <w:rFonts w:hint="eastAsia" w:asciiTheme="majorEastAsia" w:hAnsiTheme="majorEastAsia" w:eastAsiaTheme="majorEastAsia" w:cstheme="majorEastAsia"/>
          <w:highlight w:val="none"/>
          <w:u w:val="single"/>
          <w:lang w:val="en-US" w:eastAsia="zh-CN"/>
        </w:rPr>
        <w:t>00</w:t>
      </w:r>
      <w:r>
        <w:rPr>
          <w:rFonts w:hint="eastAsia" w:asciiTheme="majorEastAsia" w:hAnsiTheme="majorEastAsia" w:eastAsiaTheme="majorEastAsia" w:cstheme="majorEastAsia"/>
          <w:highlight w:val="none"/>
          <w:u w:val="single"/>
        </w:rPr>
        <w:t>（北京时间）前递交响应文件。</w:t>
      </w:r>
    </w:p>
    <w:p>
      <w:pPr>
        <w:spacing w:line="360" w:lineRule="auto"/>
        <w:rPr>
          <w:rFonts w:asciiTheme="majorEastAsia" w:hAnsiTheme="majorEastAsia" w:eastAsiaTheme="majorEastAsia" w:cstheme="majorEastAsia"/>
          <w:b/>
          <w:highlight w:val="none"/>
        </w:rPr>
      </w:pPr>
    </w:p>
    <w:p>
      <w:pPr>
        <w:pStyle w:val="6"/>
        <w:spacing w:line="360" w:lineRule="auto"/>
        <w:rPr>
          <w:rFonts w:ascii="宋体" w:hAnsi="宋体" w:cs="宋体"/>
          <w:szCs w:val="24"/>
          <w:highlight w:val="none"/>
        </w:rPr>
      </w:pPr>
      <w:r>
        <w:rPr>
          <w:rFonts w:hint="eastAsia" w:ascii="宋体" w:hAnsi="宋体" w:cs="宋体"/>
          <w:szCs w:val="24"/>
          <w:highlight w:val="none"/>
        </w:rPr>
        <w:t>一、项目基本情况</w:t>
      </w:r>
    </w:p>
    <w:p>
      <w:pPr>
        <w:spacing w:line="360" w:lineRule="auto"/>
        <w:ind w:firstLine="480" w:firstLineChars="200"/>
        <w:rPr>
          <w:rFonts w:hint="eastAsia" w:ascii="宋体" w:hAnsi="宋体" w:eastAsia="宋体"/>
          <w:highlight w:val="none"/>
          <w:lang w:eastAsia="zh-CN"/>
        </w:rPr>
      </w:pPr>
      <w:r>
        <w:rPr>
          <w:rFonts w:hint="eastAsia" w:ascii="宋体" w:hAnsi="宋体"/>
          <w:highlight w:val="none"/>
        </w:rPr>
        <w:t>项目编号：</w:t>
      </w:r>
      <w:r>
        <w:rPr>
          <w:rFonts w:hint="eastAsia" w:ascii="宋体" w:hAnsi="宋体"/>
          <w:highlight w:val="none"/>
          <w:lang w:eastAsia="zh-CN"/>
        </w:rPr>
        <w:t>平政采招2025-04</w:t>
      </w:r>
    </w:p>
    <w:p>
      <w:pPr>
        <w:spacing w:line="360" w:lineRule="auto"/>
        <w:ind w:left="1680" w:leftChars="200" w:hanging="1200" w:hangingChars="500"/>
        <w:rPr>
          <w:rFonts w:hint="eastAsia" w:ascii="宋体" w:hAnsi="宋体" w:eastAsia="宋体"/>
          <w:strike/>
          <w:highlight w:val="none"/>
          <w:lang w:eastAsia="zh-CN"/>
        </w:rPr>
      </w:pPr>
      <w:r>
        <w:rPr>
          <w:rFonts w:hint="eastAsia" w:ascii="宋体" w:hAnsi="宋体"/>
          <w:highlight w:val="none"/>
        </w:rPr>
        <w:t>项目名称：</w:t>
      </w:r>
      <w:r>
        <w:rPr>
          <w:rFonts w:hint="eastAsia" w:ascii="宋体" w:hAnsi="宋体"/>
          <w:highlight w:val="none"/>
          <w:lang w:eastAsia="zh-CN"/>
        </w:rPr>
        <w:t>2025-2026年度平湖市预算绩效评价咨询服务框架协议</w:t>
      </w:r>
    </w:p>
    <w:p>
      <w:pPr>
        <w:spacing w:line="360" w:lineRule="auto"/>
        <w:ind w:firstLine="480" w:firstLineChars="200"/>
        <w:rPr>
          <w:rFonts w:ascii="宋体" w:hAnsi="宋体"/>
          <w:highlight w:val="none"/>
        </w:rPr>
      </w:pPr>
      <w:r>
        <w:rPr>
          <w:rFonts w:hint="eastAsia" w:ascii="宋体" w:hAnsi="宋体"/>
          <w:highlight w:val="none"/>
        </w:rPr>
        <w:t>采购需求：</w:t>
      </w:r>
      <w:r>
        <w:rPr>
          <w:rFonts w:hint="eastAsia" w:ascii="宋体" w:hAnsi="宋体"/>
          <w:highlight w:val="none"/>
          <w:lang w:eastAsia="zh-CN"/>
        </w:rPr>
        <w:t>平湖市</w:t>
      </w:r>
      <w:r>
        <w:rPr>
          <w:rFonts w:hint="eastAsia" w:ascii="宋体" w:hAnsi="宋体"/>
          <w:highlight w:val="none"/>
        </w:rPr>
        <w:t>国家机关、事业单位和团体组织，采购预算金额在采购限额（30万元）以下的预算绩效评价咨询服务，主要包括：重大政策和项目绩效评估，监控和评价（再评价），绩效目标审核，部门整体预算绩效评价咨询服务，政府财政综合运行评价及其他预算绩效评价咨询服务事项。</w:t>
      </w:r>
    </w:p>
    <w:p>
      <w:pPr>
        <w:spacing w:line="360" w:lineRule="auto"/>
        <w:ind w:firstLine="480" w:firstLineChars="200"/>
        <w:rPr>
          <w:rFonts w:ascii="宋体" w:hAnsi="宋体"/>
          <w:highlight w:val="none"/>
        </w:rPr>
      </w:pPr>
      <w:r>
        <w:rPr>
          <w:rFonts w:hint="eastAsia" w:ascii="宋体" w:hAnsi="宋体"/>
          <w:highlight w:val="none"/>
        </w:rPr>
        <w:t>服务期限：</w:t>
      </w:r>
      <w:r>
        <w:rPr>
          <w:rFonts w:hint="eastAsia" w:ascii="宋体" w:hAnsi="宋体"/>
          <w:highlight w:val="none"/>
          <w:lang w:eastAsia="zh-CN"/>
        </w:rPr>
        <w:t>自2025年3月1日起至2027年2月28日止</w:t>
      </w:r>
      <w:r>
        <w:rPr>
          <w:rFonts w:hint="eastAsia" w:ascii="宋体" w:hAnsi="宋体"/>
          <w:highlight w:val="none"/>
        </w:rPr>
        <w:t>。</w:t>
      </w:r>
    </w:p>
    <w:p>
      <w:pPr>
        <w:spacing w:line="360" w:lineRule="auto"/>
        <w:ind w:firstLine="480" w:firstLineChars="200"/>
        <w:rPr>
          <w:rFonts w:ascii="宋体" w:hAnsi="宋体"/>
          <w:highlight w:val="none"/>
        </w:rPr>
      </w:pPr>
      <w:bookmarkStart w:id="4" w:name="_Toc28359080"/>
      <w:bookmarkStart w:id="5" w:name="_Toc28359003"/>
      <w:bookmarkStart w:id="6" w:name="_Toc35393622"/>
      <w:bookmarkStart w:id="7" w:name="_Toc35393791"/>
      <w:r>
        <w:rPr>
          <w:rFonts w:hint="eastAsia" w:ascii="宋体" w:hAnsi="宋体"/>
          <w:highlight w:val="none"/>
        </w:rPr>
        <w:t>本项目不接受联合体投标。</w:t>
      </w:r>
    </w:p>
    <w:p>
      <w:pPr>
        <w:pStyle w:val="6"/>
        <w:spacing w:line="360" w:lineRule="auto"/>
        <w:rPr>
          <w:rFonts w:ascii="宋体" w:hAnsi="宋体" w:cs="宋体"/>
          <w:szCs w:val="24"/>
          <w:highlight w:val="none"/>
        </w:rPr>
      </w:pPr>
      <w:r>
        <w:rPr>
          <w:rFonts w:hint="eastAsia" w:ascii="宋体" w:hAnsi="宋体" w:cs="宋体"/>
          <w:szCs w:val="24"/>
          <w:highlight w:val="none"/>
        </w:rPr>
        <w:t>二、申请人的资格要求</w:t>
      </w:r>
      <w:bookmarkEnd w:id="4"/>
      <w:bookmarkEnd w:id="5"/>
      <w:bookmarkEnd w:id="6"/>
      <w:bookmarkEnd w:id="7"/>
    </w:p>
    <w:p>
      <w:pPr>
        <w:spacing w:line="360" w:lineRule="auto"/>
        <w:ind w:firstLine="480" w:firstLineChars="200"/>
        <w:jc w:val="left"/>
        <w:rPr>
          <w:rFonts w:ascii="宋体" w:hAnsi="宋体"/>
          <w:highlight w:val="none"/>
        </w:rPr>
      </w:pPr>
      <w:bookmarkStart w:id="8" w:name="_Toc28359004"/>
      <w:bookmarkStart w:id="9" w:name="_Toc28359081"/>
      <w:r>
        <w:rPr>
          <w:rFonts w:hint="eastAsia" w:ascii="宋体" w:hAnsi="宋体"/>
          <w:highlight w:val="none"/>
        </w:rPr>
        <w:t>1.满足《中华人民共和国政府采购法》第二十二条规定；</w:t>
      </w:r>
    </w:p>
    <w:p>
      <w:pPr>
        <w:spacing w:line="360" w:lineRule="auto"/>
        <w:ind w:firstLine="480" w:firstLineChars="200"/>
        <w:jc w:val="left"/>
        <w:rPr>
          <w:rFonts w:ascii="宋体" w:hAnsi="宋体"/>
          <w:highlight w:val="none"/>
        </w:rPr>
      </w:pPr>
      <w:r>
        <w:rPr>
          <w:rFonts w:hint="eastAsia" w:ascii="宋体" w:hAnsi="宋体"/>
          <w:highlight w:val="none"/>
        </w:rPr>
        <w:t>2.符合浙财采监【2013】24号《关于规范政府采购供应商资格设定及资格审查的通知》第六条规定,且未被“信用中国”（www.creditchina.gov.cn）、中国政府采购网（www.ccgp.gov.cn/search/cr/）列入失信被执行人、重大税收违法案件当事人名单、政府采购严重违法失信行为记录名单。</w:t>
      </w:r>
    </w:p>
    <w:p>
      <w:pPr>
        <w:spacing w:line="360" w:lineRule="auto"/>
        <w:ind w:firstLine="480" w:firstLineChars="200"/>
        <w:jc w:val="left"/>
        <w:rPr>
          <w:rFonts w:ascii="宋体" w:hAnsi="宋体"/>
          <w:highlight w:val="none"/>
        </w:rPr>
      </w:pPr>
      <w:r>
        <w:rPr>
          <w:rFonts w:hint="eastAsia" w:ascii="宋体" w:hAnsi="宋体"/>
          <w:highlight w:val="none"/>
        </w:rPr>
        <w:t>3.落实政府采购政策需满足的资格要求：本项目专门面向中小企业采购，监狱企业或残疾人福利企业参加政府采购活动的，视为中小企业。</w:t>
      </w:r>
    </w:p>
    <w:p>
      <w:pPr>
        <w:spacing w:line="360" w:lineRule="auto"/>
        <w:ind w:firstLine="480" w:firstLineChars="200"/>
        <w:jc w:val="left"/>
        <w:rPr>
          <w:rFonts w:ascii="宋体" w:hAnsi="宋体"/>
          <w:highlight w:val="none"/>
        </w:rPr>
      </w:pPr>
      <w:r>
        <w:rPr>
          <w:rFonts w:hint="eastAsia" w:ascii="宋体" w:hAnsi="宋体"/>
          <w:highlight w:val="none"/>
        </w:rPr>
        <w:t>4.本项目的特定资格要求：无。</w:t>
      </w:r>
    </w:p>
    <w:p>
      <w:pPr>
        <w:spacing w:line="360" w:lineRule="auto"/>
        <w:ind w:firstLine="480" w:firstLineChars="200"/>
        <w:rPr>
          <w:rFonts w:ascii="宋体" w:hAnsi="宋体"/>
          <w:highlight w:val="none"/>
        </w:rPr>
      </w:pPr>
      <w:r>
        <w:rPr>
          <w:rFonts w:hint="eastAsia" w:ascii="宋体" w:hAnsi="宋体"/>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2"/>
        <w:spacing w:line="360" w:lineRule="auto"/>
        <w:ind w:left="0" w:leftChars="0" w:firstLine="464"/>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2"/>
          <w:sz w:val="24"/>
          <w:highlight w:val="none"/>
          <w14:textFill>
            <w14:solidFill>
              <w14:schemeClr w14:val="tx1"/>
            </w14:solidFill>
          </w14:textFill>
        </w:rPr>
        <w:t>6.本项目不接受分公司（分支机构）提交响应文件。</w:t>
      </w:r>
      <w:bookmarkStart w:id="10" w:name="_Toc35393623"/>
      <w:bookmarkStart w:id="11" w:name="_Toc35393792"/>
    </w:p>
    <w:p>
      <w:pPr>
        <w:pStyle w:val="6"/>
        <w:spacing w:line="360" w:lineRule="auto"/>
        <w:rPr>
          <w:rFonts w:ascii="宋体" w:hAnsi="宋体" w:cs="宋体"/>
          <w:szCs w:val="24"/>
          <w:highlight w:val="none"/>
        </w:rPr>
      </w:pPr>
      <w:r>
        <w:rPr>
          <w:rFonts w:hint="eastAsia" w:ascii="宋体" w:hAnsi="宋体" w:cs="宋体"/>
          <w:szCs w:val="24"/>
          <w:highlight w:val="none"/>
        </w:rPr>
        <w:t>三、获取</w:t>
      </w:r>
      <w:bookmarkEnd w:id="8"/>
      <w:bookmarkEnd w:id="9"/>
      <w:bookmarkEnd w:id="10"/>
      <w:bookmarkEnd w:id="11"/>
      <w:r>
        <w:rPr>
          <w:rFonts w:hint="eastAsia" w:ascii="宋体" w:hAnsi="宋体" w:cs="宋体"/>
          <w:szCs w:val="24"/>
          <w:highlight w:val="none"/>
        </w:rPr>
        <w:t>征集文件</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i/>
          <w:color w:val="auto"/>
          <w:sz w:val="24"/>
          <w:szCs w:val="24"/>
          <w:highlight w:val="none"/>
        </w:rPr>
        <w:t>公告发布之日起到投标截止时间</w:t>
      </w:r>
      <w:r>
        <w:rPr>
          <w:rFonts w:hint="eastAsia" w:ascii="宋体" w:hAnsi="宋体" w:eastAsia="宋体" w:cs="宋体"/>
          <w:i/>
          <w:iCs/>
          <w:color w:val="auto"/>
          <w:sz w:val="24"/>
          <w:szCs w:val="24"/>
          <w:highlight w:val="none"/>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地点（网址）：政采云平台（https://www.zcygov.cn/） </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方式：使用账号登录或者使用CA登录政采云平台；进入“项目采购”应用，在获取</w:t>
      </w:r>
      <w:r>
        <w:rPr>
          <w:rFonts w:hint="eastAsia" w:ascii="宋体" w:hAnsi="宋体" w:cs="宋体"/>
          <w:color w:val="auto"/>
          <w:sz w:val="24"/>
          <w:szCs w:val="24"/>
          <w:highlight w:val="none"/>
          <w:lang w:eastAsia="zh-CN"/>
        </w:rPr>
        <w:t>征集文件</w:t>
      </w:r>
      <w:r>
        <w:rPr>
          <w:rFonts w:hint="eastAsia" w:ascii="宋体" w:hAnsi="宋体" w:eastAsia="宋体" w:cs="宋体"/>
          <w:color w:val="auto"/>
          <w:sz w:val="24"/>
          <w:szCs w:val="24"/>
          <w:highlight w:val="none"/>
        </w:rPr>
        <w:t>菜单中选择项目，获取</w:t>
      </w:r>
      <w:r>
        <w:rPr>
          <w:rFonts w:hint="eastAsia" w:ascii="宋体" w:hAnsi="宋体" w:cs="宋体"/>
          <w:color w:val="auto"/>
          <w:sz w:val="24"/>
          <w:szCs w:val="24"/>
          <w:highlight w:val="none"/>
          <w:lang w:eastAsia="zh-CN"/>
        </w:rPr>
        <w:t>征集文件</w:t>
      </w:r>
      <w:r>
        <w:rPr>
          <w:rFonts w:hint="eastAsia" w:ascii="宋体" w:hAnsi="宋体" w:eastAsia="宋体" w:cs="宋体"/>
          <w:color w:val="auto"/>
          <w:sz w:val="24"/>
          <w:szCs w:val="24"/>
          <w:highlight w:val="none"/>
        </w:rPr>
        <w:t>。（注册账号--点击“商家入驻”，进行政府采购供应商资料填写；申领CA数字证书--申领流程详见“浙江政府采购网-下载专区-电子交易客户端-CA驱动和申领流程”。）首次使用的供应商需要在“系统管理”-“权限管理”中打开对应功能权限。公告页面附件</w:t>
      </w:r>
      <w:r>
        <w:rPr>
          <w:rFonts w:hint="eastAsia" w:ascii="宋体" w:hAnsi="宋体" w:cs="宋体"/>
          <w:color w:val="auto"/>
          <w:sz w:val="24"/>
          <w:szCs w:val="24"/>
          <w:highlight w:val="none"/>
          <w:lang w:eastAsia="zh-CN"/>
        </w:rPr>
        <w:t>征集文件</w:t>
      </w:r>
      <w:r>
        <w:rPr>
          <w:rFonts w:hint="eastAsia" w:ascii="宋体" w:hAnsi="宋体" w:eastAsia="宋体" w:cs="宋体"/>
          <w:color w:val="auto"/>
          <w:sz w:val="24"/>
          <w:szCs w:val="24"/>
          <w:highlight w:val="none"/>
        </w:rPr>
        <w:t>可以下载，仅供浏览使用。</w:t>
      </w:r>
    </w:p>
    <w:p>
      <w:pPr>
        <w:spacing w:line="360" w:lineRule="auto"/>
        <w:ind w:firstLine="480" w:firstLineChars="200"/>
        <w:rPr>
          <w:rFonts w:ascii="宋体" w:hAnsi="宋体"/>
          <w:highlight w:val="none"/>
        </w:rPr>
      </w:pPr>
      <w:r>
        <w:rPr>
          <w:rFonts w:hint="eastAsia" w:ascii="宋体" w:hAnsi="宋体" w:eastAsia="宋体" w:cs="宋体"/>
          <w:color w:val="auto"/>
          <w:sz w:val="24"/>
          <w:szCs w:val="24"/>
          <w:highlight w:val="none"/>
        </w:rPr>
        <w:t>售价：免费</w:t>
      </w:r>
      <w:r>
        <w:rPr>
          <w:rFonts w:hint="eastAsia" w:ascii="宋体" w:hAnsi="宋体"/>
          <w:highlight w:val="none"/>
        </w:rPr>
        <w:t>。</w:t>
      </w:r>
    </w:p>
    <w:p>
      <w:pPr>
        <w:pStyle w:val="6"/>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bookmarkStart w:id="12" w:name="_Toc35393793"/>
      <w:bookmarkStart w:id="13" w:name="_Toc28359082"/>
      <w:bookmarkStart w:id="14" w:name="_Toc28359005"/>
      <w:bookmarkStart w:id="15" w:name="_Toc35393624"/>
      <w:r>
        <w:rPr>
          <w:rFonts w:hint="eastAsia" w:ascii="宋体" w:hAnsi="宋体" w:cs="宋体"/>
          <w:szCs w:val="24"/>
          <w:highlight w:val="none"/>
        </w:rPr>
        <w:t>四、</w:t>
      </w:r>
      <w:bookmarkEnd w:id="12"/>
      <w:bookmarkEnd w:id="13"/>
      <w:bookmarkEnd w:id="14"/>
      <w:bookmarkEnd w:id="15"/>
      <w:r>
        <w:rPr>
          <w:rFonts w:hint="eastAsia" w:ascii="宋体" w:hAnsi="宋体" w:eastAsia="宋体" w:cs="宋体"/>
          <w:color w:val="auto"/>
          <w:sz w:val="24"/>
          <w:szCs w:val="24"/>
          <w:highlight w:val="none"/>
        </w:rPr>
        <w:t>提交响应文件截止时间、开标时间和地点</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提交</w:t>
      </w:r>
      <w:r>
        <w:rPr>
          <w:rFonts w:hint="eastAsia" w:ascii="宋体" w:hAnsi="宋体" w:cs="宋体"/>
          <w:b/>
          <w:color w:val="auto"/>
          <w:sz w:val="24"/>
          <w:szCs w:val="24"/>
          <w:highlight w:val="none"/>
          <w:lang w:eastAsia="zh-CN"/>
        </w:rPr>
        <w:t>响应文件</w:t>
      </w:r>
      <w:r>
        <w:rPr>
          <w:rFonts w:hint="eastAsia" w:ascii="宋体" w:hAnsi="宋体" w:eastAsia="宋体" w:cs="宋体"/>
          <w:b/>
          <w:color w:val="auto"/>
          <w:sz w:val="24"/>
          <w:szCs w:val="24"/>
          <w:highlight w:val="none"/>
        </w:rPr>
        <w:t>截止时间：</w:t>
      </w:r>
      <w:r>
        <w:rPr>
          <w:rFonts w:hint="eastAsia" w:ascii="宋体" w:hAnsi="宋体" w:cs="宋体"/>
          <w:color w:val="auto"/>
          <w:sz w:val="24"/>
          <w:szCs w:val="24"/>
          <w:highlight w:val="none"/>
          <w:u w:val="none"/>
          <w:lang w:eastAsia="zh-CN"/>
        </w:rPr>
        <w:t>2025年2月11日</w:t>
      </w:r>
      <w:r>
        <w:rPr>
          <w:rFonts w:hint="eastAsia" w:ascii="宋体" w:hAnsi="宋体" w:eastAsia="宋体" w:cs="宋体"/>
          <w:color w:val="auto"/>
          <w:sz w:val="24"/>
          <w:szCs w:val="24"/>
          <w:highlight w:val="none"/>
          <w:u w:val="none"/>
        </w:rPr>
        <w:t>9点</w:t>
      </w:r>
      <w:r>
        <w:rPr>
          <w:rFonts w:hint="eastAsia" w:ascii="宋体" w:hAnsi="宋体" w:cs="宋体"/>
          <w:color w:val="auto"/>
          <w:sz w:val="24"/>
          <w:szCs w:val="24"/>
          <w:highlight w:val="none"/>
          <w:u w:val="none"/>
          <w:lang w:val="en-US" w:eastAsia="zh-CN"/>
        </w:rPr>
        <w:t>0</w:t>
      </w:r>
      <w:r>
        <w:rPr>
          <w:rFonts w:hint="eastAsia" w:ascii="宋体" w:hAnsi="宋体" w:eastAsia="宋体" w:cs="宋体"/>
          <w:color w:val="auto"/>
          <w:sz w:val="24"/>
          <w:szCs w:val="24"/>
          <w:highlight w:val="none"/>
          <w:u w:val="none"/>
        </w:rPr>
        <w:t>0分</w:t>
      </w:r>
      <w:r>
        <w:rPr>
          <w:rFonts w:hint="eastAsia" w:ascii="宋体" w:hAnsi="宋体" w:eastAsia="宋体" w:cs="宋体"/>
          <w:color w:val="auto"/>
          <w:sz w:val="24"/>
          <w:szCs w:val="24"/>
          <w:highlight w:val="none"/>
        </w:rPr>
        <w:t>（北京时间）</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color w:val="auto"/>
          <w:sz w:val="24"/>
          <w:szCs w:val="24"/>
          <w:highlight w:val="none"/>
          <w:lang w:eastAsia="zh-CN"/>
        </w:rPr>
        <w:t>投标地点：</w:t>
      </w:r>
      <w:r>
        <w:rPr>
          <w:rFonts w:hint="eastAsia" w:ascii="宋体" w:hAnsi="宋体" w:eastAsia="宋体" w:cs="宋体"/>
          <w:b w:val="0"/>
          <w:bCs/>
          <w:color w:val="auto"/>
          <w:sz w:val="24"/>
          <w:szCs w:val="24"/>
          <w:highlight w:val="none"/>
          <w:lang w:eastAsia="zh-CN"/>
        </w:rPr>
        <w:t>政采云平台</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开标时间：</w:t>
      </w:r>
      <w:r>
        <w:rPr>
          <w:rFonts w:hint="eastAsia" w:ascii="宋体" w:hAnsi="宋体" w:cs="宋体"/>
          <w:color w:val="auto"/>
          <w:sz w:val="24"/>
          <w:szCs w:val="24"/>
          <w:highlight w:val="none"/>
          <w:u w:val="none"/>
          <w:lang w:eastAsia="zh-CN"/>
        </w:rPr>
        <w:t>2025年2月11日</w:t>
      </w:r>
      <w:r>
        <w:rPr>
          <w:rFonts w:hint="eastAsia" w:ascii="宋体" w:hAnsi="宋体" w:eastAsia="宋体" w:cs="宋体"/>
          <w:color w:val="auto"/>
          <w:sz w:val="24"/>
          <w:szCs w:val="24"/>
          <w:highlight w:val="none"/>
          <w:u w:val="none"/>
        </w:rPr>
        <w:t>9点</w:t>
      </w:r>
      <w:r>
        <w:rPr>
          <w:rFonts w:hint="eastAsia" w:ascii="宋体" w:hAnsi="宋体" w:cs="宋体"/>
          <w:color w:val="auto"/>
          <w:sz w:val="24"/>
          <w:szCs w:val="24"/>
          <w:highlight w:val="none"/>
          <w:u w:val="none"/>
          <w:lang w:val="en-US" w:eastAsia="zh-CN"/>
        </w:rPr>
        <w:t>0</w:t>
      </w:r>
      <w:r>
        <w:rPr>
          <w:rFonts w:hint="eastAsia" w:ascii="宋体" w:hAnsi="宋体" w:eastAsia="宋体" w:cs="宋体"/>
          <w:color w:val="auto"/>
          <w:sz w:val="24"/>
          <w:szCs w:val="24"/>
          <w:highlight w:val="none"/>
          <w:u w:val="none"/>
        </w:rPr>
        <w:t>0分</w:t>
      </w:r>
    </w:p>
    <w:p>
      <w:pPr>
        <w:spacing w:line="360" w:lineRule="auto"/>
        <w:ind w:firstLine="482" w:firstLineChars="200"/>
        <w:rPr>
          <w:rFonts w:ascii="宋体" w:hAnsi="宋体"/>
          <w:highlight w:val="none"/>
        </w:rPr>
      </w:pPr>
      <w:r>
        <w:rPr>
          <w:rFonts w:hint="eastAsia" w:ascii="宋体" w:hAnsi="宋体" w:eastAsia="宋体" w:cs="宋体"/>
          <w:b/>
          <w:color w:val="auto"/>
          <w:sz w:val="24"/>
          <w:szCs w:val="24"/>
          <w:highlight w:val="none"/>
        </w:rPr>
        <w:t>开标地点：</w:t>
      </w:r>
      <w:r>
        <w:rPr>
          <w:rFonts w:hint="eastAsia" w:ascii="宋体" w:hAnsi="宋体" w:cs="宋体"/>
          <w:b w:val="0"/>
          <w:bCs w:val="0"/>
          <w:color w:val="auto"/>
          <w:sz w:val="24"/>
          <w:szCs w:val="24"/>
          <w:highlight w:val="none"/>
          <w:lang w:eastAsia="zh-CN"/>
        </w:rPr>
        <w:t>平湖市政务服务中心</w:t>
      </w:r>
      <w:r>
        <w:rPr>
          <w:rFonts w:hint="eastAsia" w:ascii="宋体" w:hAnsi="宋体" w:eastAsia="宋体" w:cs="宋体"/>
          <w:b w:val="0"/>
          <w:bCs w:val="0"/>
          <w:color w:val="auto"/>
          <w:sz w:val="24"/>
          <w:szCs w:val="24"/>
          <w:highlight w:val="none"/>
        </w:rPr>
        <w:t>三楼平湖市公共资源交易中心315室</w:t>
      </w:r>
    </w:p>
    <w:p>
      <w:pPr>
        <w:pStyle w:val="6"/>
        <w:spacing w:line="360" w:lineRule="auto"/>
        <w:rPr>
          <w:rFonts w:ascii="宋体" w:hAnsi="宋体" w:cs="宋体"/>
          <w:szCs w:val="24"/>
          <w:highlight w:val="none"/>
        </w:rPr>
      </w:pPr>
      <w:bookmarkStart w:id="16" w:name="_Toc35393625"/>
      <w:bookmarkStart w:id="17" w:name="_Toc28359007"/>
      <w:bookmarkStart w:id="18" w:name="_Toc35393794"/>
      <w:bookmarkStart w:id="19" w:name="_Toc28359084"/>
      <w:r>
        <w:rPr>
          <w:rFonts w:hint="eastAsia" w:ascii="宋体" w:hAnsi="宋体" w:cs="宋体"/>
          <w:szCs w:val="24"/>
          <w:highlight w:val="none"/>
        </w:rPr>
        <w:t>五、公告期限</w:t>
      </w:r>
      <w:bookmarkEnd w:id="16"/>
      <w:bookmarkEnd w:id="17"/>
      <w:bookmarkEnd w:id="18"/>
      <w:bookmarkEnd w:id="19"/>
    </w:p>
    <w:p>
      <w:pPr>
        <w:spacing w:line="360" w:lineRule="auto"/>
        <w:ind w:firstLine="480" w:firstLineChars="200"/>
        <w:rPr>
          <w:rFonts w:ascii="宋体" w:hAnsi="宋体"/>
          <w:highlight w:val="none"/>
        </w:rPr>
      </w:pPr>
      <w:r>
        <w:rPr>
          <w:rFonts w:hint="eastAsia" w:ascii="宋体" w:hAnsi="宋体"/>
          <w:highlight w:val="none"/>
        </w:rPr>
        <w:t>自本公告发布之日起5个工作日。</w:t>
      </w:r>
    </w:p>
    <w:p>
      <w:pPr>
        <w:pStyle w:val="6"/>
        <w:spacing w:line="360" w:lineRule="auto"/>
        <w:rPr>
          <w:rFonts w:ascii="宋体" w:hAnsi="宋体" w:cs="宋体"/>
          <w:szCs w:val="24"/>
          <w:highlight w:val="none"/>
        </w:rPr>
      </w:pPr>
      <w:bookmarkStart w:id="20" w:name="_Toc35393795"/>
      <w:bookmarkStart w:id="21" w:name="_Toc35393626"/>
      <w:r>
        <w:rPr>
          <w:rFonts w:hint="eastAsia" w:ascii="宋体" w:hAnsi="宋体" w:cs="宋体"/>
          <w:szCs w:val="24"/>
          <w:highlight w:val="none"/>
        </w:rPr>
        <w:t>六、其他补充事宜</w:t>
      </w:r>
      <w:bookmarkEnd w:id="20"/>
      <w:bookmarkEnd w:id="21"/>
    </w:p>
    <w:p>
      <w:pPr>
        <w:spacing w:line="360" w:lineRule="auto"/>
        <w:ind w:firstLine="480" w:firstLineChars="200"/>
        <w:rPr>
          <w:rFonts w:ascii="宋体" w:hAnsi="宋体"/>
          <w:highlight w:val="none"/>
        </w:rPr>
      </w:pPr>
      <w:r>
        <w:rPr>
          <w:rFonts w:hint="eastAsia" w:ascii="宋体" w:hAnsi="宋体"/>
          <w:highlight w:val="none"/>
        </w:rPr>
        <w:t>1.在框架协议采购的第一阶段（确定入围供应商并订立框架协议）和第二阶段（订立采购合同），供应商均可依法提出质疑和投诉。第一阶段，供应商如认为征集相关的文件、过程和入围结果使自己权益受损的，可依法向征集人提出质疑，对质疑答复不满意或征集人未按时答复的，可依法向财政部门提出投诉。第二阶段，供应商如认为成交结果使自己权益受损的，可依法向采购人提出质疑，对质疑答复不满意或采购人未按时答复的，可依法向财政部门提出投诉。采购合同履行过程中产生的争议，按照合同约定和民法典等法律法规规定处理。质疑函范本、投诉书范本请到浙江政府采购网下载专区下载。</w:t>
      </w:r>
    </w:p>
    <w:p>
      <w:pPr>
        <w:spacing w:line="360" w:lineRule="auto"/>
        <w:ind w:firstLine="480" w:firstLineChars="200"/>
        <w:rPr>
          <w:rFonts w:hint="eastAsia" w:ascii="宋体" w:hAnsi="宋体"/>
          <w:highlight w:val="none"/>
        </w:rPr>
      </w:pPr>
      <w:r>
        <w:rPr>
          <w:rFonts w:hint="eastAsia" w:asciiTheme="minorEastAsia" w:hAnsiTheme="minorEastAsia" w:eastAsiaTheme="minorEastAsia" w:cstheme="minorEastAsia"/>
          <w:color w:val="auto"/>
          <w:szCs w:val="24"/>
          <w:highlight w:val="none"/>
          <w:shd w:val="clear" w:color="auto" w:fill="FFFFFF"/>
          <w:lang w:val="en-US" w:eastAsia="zh-CN"/>
        </w:rPr>
        <w:t>2</w:t>
      </w:r>
      <w:r>
        <w:rPr>
          <w:rFonts w:hint="eastAsia" w:asciiTheme="minorEastAsia" w:hAnsiTheme="minorEastAsia" w:eastAsiaTheme="minorEastAsia" w:cstheme="minorEastAsia"/>
          <w:color w:val="auto"/>
          <w:szCs w:val="24"/>
          <w:highlight w:val="none"/>
          <w:shd w:val="clear" w:color="auto" w:fill="FFFFFF"/>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highlight w:val="none"/>
        </w:rPr>
      </w:pPr>
      <w:r>
        <w:rPr>
          <w:rFonts w:hint="eastAsia" w:ascii="宋体" w:hAnsi="宋体"/>
          <w:highlight w:val="none"/>
          <w:lang w:val="en-US" w:eastAsia="zh-CN"/>
        </w:rPr>
        <w:t>3</w:t>
      </w:r>
      <w:r>
        <w:rPr>
          <w:rFonts w:hint="eastAsia" w:ascii="宋体" w:hAnsi="宋体"/>
          <w:highlight w:val="none"/>
        </w:rPr>
        <w:t>.其他事项：</w:t>
      </w:r>
    </w:p>
    <w:p>
      <w:pPr>
        <w:spacing w:line="360" w:lineRule="auto"/>
        <w:ind w:firstLine="480" w:firstLineChars="200"/>
        <w:rPr>
          <w:rFonts w:ascii="宋体" w:hAnsi="宋体"/>
          <w:highlight w:val="none"/>
        </w:rPr>
      </w:pPr>
      <w:r>
        <w:rPr>
          <w:rFonts w:hint="eastAsia" w:ascii="宋体" w:hAnsi="宋体"/>
          <w:highlight w:val="none"/>
        </w:rPr>
        <w:t>（1）需要落实的政府采购政策：包括节约资源、保护环境、支持创新、促进中小企业发展等。</w:t>
      </w:r>
    </w:p>
    <w:p>
      <w:pPr>
        <w:spacing w:line="360" w:lineRule="auto"/>
        <w:ind w:firstLine="480" w:firstLineChars="200"/>
        <w:rPr>
          <w:rFonts w:ascii="宋体" w:hAnsi="宋体"/>
          <w:highlight w:val="none"/>
        </w:rPr>
      </w:pPr>
      <w:r>
        <w:rPr>
          <w:rFonts w:hint="eastAsia" w:ascii="宋体" w:hAnsi="宋体"/>
          <w:highlight w:val="none"/>
        </w:rPr>
        <w:t>（2）电子招投标的说明：</w:t>
      </w:r>
    </w:p>
    <w:p>
      <w:pPr>
        <w:spacing w:line="360" w:lineRule="auto"/>
        <w:ind w:firstLine="480" w:firstLineChars="200"/>
        <w:rPr>
          <w:rFonts w:ascii="宋体" w:hAnsi="宋体"/>
          <w:highlight w:val="none"/>
        </w:rPr>
      </w:pPr>
      <w:r>
        <w:rPr>
          <w:rFonts w:hint="eastAsia" w:ascii="宋体" w:hAnsi="宋体"/>
          <w:highlight w:val="none"/>
        </w:rPr>
        <w:t>①电子招投标：本项目以数据电文形式，依托“政府采购云平台（www.zcygov.cn）”进行征集活动，不接受纸质响应文件；</w:t>
      </w:r>
    </w:p>
    <w:p>
      <w:pPr>
        <w:spacing w:line="360" w:lineRule="auto"/>
        <w:ind w:firstLine="480" w:firstLineChars="200"/>
        <w:rPr>
          <w:rFonts w:ascii="宋体" w:hAnsi="宋体"/>
          <w:b/>
          <w:bCs/>
          <w:highlight w:val="none"/>
        </w:rPr>
      </w:pPr>
      <w:r>
        <w:rPr>
          <w:rFonts w:hint="eastAsia" w:ascii="宋体" w:hAnsi="宋体"/>
          <w:highlight w:val="none"/>
        </w:rPr>
        <w:t>②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b/>
          <w:bCs/>
          <w:highlight w:val="none"/>
        </w:rPr>
        <w:t>入围供应商在签订框架协议前，如不完成注册，视为放弃；</w:t>
      </w:r>
    </w:p>
    <w:p>
      <w:pPr>
        <w:spacing w:line="360" w:lineRule="auto"/>
        <w:ind w:firstLine="480" w:firstLineChars="200"/>
        <w:rPr>
          <w:rFonts w:ascii="宋体" w:hAnsi="宋体"/>
          <w:highlight w:val="none"/>
        </w:rPr>
      </w:pPr>
      <w:r>
        <w:rPr>
          <w:rFonts w:hint="eastAsia" w:ascii="宋体" w:hAnsi="宋体"/>
          <w:highlight w:val="none"/>
        </w:rPr>
        <w:t>CA驱动和申领流程</w:t>
      </w:r>
    </w:p>
    <w:p>
      <w:pPr>
        <w:spacing w:beforeLines="50" w:afterLines="50" w:line="360" w:lineRule="auto"/>
        <w:ind w:firstLine="480" w:firstLineChars="200"/>
        <w:rPr>
          <w:rStyle w:val="22"/>
          <w:rFonts w:ascii="宋体" w:hAnsi="宋体" w:cs="宋体"/>
          <w:color w:val="auto"/>
          <w:highlight w:val="none"/>
        </w:rPr>
      </w:pPr>
      <w:r>
        <w:rPr>
          <w:rStyle w:val="22"/>
          <w:rFonts w:hint="eastAsia" w:ascii="宋体" w:hAnsi="宋体" w:cs="宋体"/>
          <w:color w:val="auto"/>
          <w:highlight w:val="none"/>
        </w:rPr>
        <w:t xml:space="preserve">https://zfcg.czt.zj.gov.cn/bidClientTemplate/2019-05-27/12945.html    </w:t>
      </w:r>
    </w:p>
    <w:p>
      <w:pPr>
        <w:spacing w:line="360" w:lineRule="auto"/>
        <w:ind w:firstLine="480" w:firstLineChars="200"/>
        <w:rPr>
          <w:rFonts w:ascii="宋体" w:hAnsi="宋体"/>
          <w:highlight w:val="none"/>
        </w:rPr>
      </w:pPr>
      <w:r>
        <w:rPr>
          <w:rFonts w:hint="eastAsia" w:ascii="宋体" w:hAnsi="宋体"/>
          <w:highlight w:val="none"/>
        </w:rPr>
        <w:t>注：ＣＡ证书遗失补办、延期、解锁、质保等业务可以在联连客户端上进行操作；使用政采云投标客户端时，建议使用windows7以上且64位的操作系统。</w:t>
      </w:r>
    </w:p>
    <w:p>
      <w:pPr>
        <w:spacing w:line="360" w:lineRule="auto"/>
        <w:ind w:firstLine="480" w:firstLineChars="200"/>
        <w:rPr>
          <w:rFonts w:ascii="宋体" w:hAnsi="宋体"/>
          <w:highlight w:val="none"/>
        </w:rPr>
      </w:pPr>
      <w:r>
        <w:rPr>
          <w:rFonts w:hint="eastAsia" w:ascii="宋体" w:hAnsi="宋体"/>
          <w:highlight w:val="none"/>
        </w:rPr>
        <w:t>CA证书办理操作视频</w:t>
      </w:r>
    </w:p>
    <w:p>
      <w:pPr>
        <w:spacing w:beforeLines="50" w:afterLines="50" w:line="360" w:lineRule="auto"/>
        <w:ind w:firstLine="480" w:firstLineChars="200"/>
        <w:rPr>
          <w:rStyle w:val="22"/>
          <w:rFonts w:ascii="宋体" w:hAnsi="宋体" w:cs="宋体"/>
          <w:color w:val="auto"/>
          <w:highlight w:val="none"/>
        </w:rPr>
      </w:pPr>
      <w:r>
        <w:rPr>
          <w:rStyle w:val="22"/>
          <w:rFonts w:hint="eastAsia" w:ascii="宋体" w:hAnsi="宋体" w:cs="宋体"/>
          <w:color w:val="auto"/>
          <w:highlight w:val="none"/>
        </w:rPr>
        <w:t>https://service.zcygov.cn/#/knowledges/UgcbC3EBiyELHE-opz1b/EWqqyXEByNnJ3A2CPyDI</w:t>
      </w:r>
    </w:p>
    <w:p>
      <w:pPr>
        <w:spacing w:line="360" w:lineRule="auto"/>
        <w:ind w:firstLine="480" w:firstLineChars="200"/>
        <w:rPr>
          <w:rFonts w:ascii="宋体" w:hAnsi="宋体"/>
          <w:highlight w:val="none"/>
        </w:rPr>
      </w:pPr>
      <w:r>
        <w:rPr>
          <w:rFonts w:hint="eastAsia" w:ascii="宋体" w:hAnsi="宋体"/>
          <w:highlight w:val="none"/>
        </w:rPr>
        <w:t>CA绑定登录操作视频</w:t>
      </w:r>
    </w:p>
    <w:p>
      <w:pPr>
        <w:spacing w:beforeLines="50" w:afterLines="50" w:line="360" w:lineRule="auto"/>
        <w:ind w:firstLine="480" w:firstLineChars="200"/>
        <w:rPr>
          <w:rFonts w:ascii="宋体" w:hAnsi="宋体"/>
          <w:highlight w:val="none"/>
        </w:rPr>
      </w:pPr>
      <w:r>
        <w:rPr>
          <w:rStyle w:val="22"/>
          <w:rFonts w:hint="eastAsia" w:ascii="宋体" w:hAnsi="宋体" w:cs="宋体"/>
          <w:color w:val="auto"/>
          <w:highlight w:val="none"/>
        </w:rPr>
        <w:t>https://service.zcygov.cn/#/knowledges/UgcbC3EBiyELHE-opz1b/nAkmyXEBiyELHE-o-983</w:t>
      </w:r>
    </w:p>
    <w:p>
      <w:pPr>
        <w:spacing w:line="360" w:lineRule="auto"/>
        <w:ind w:firstLine="480" w:firstLineChars="200"/>
        <w:rPr>
          <w:rFonts w:ascii="宋体" w:hAnsi="宋体"/>
          <w:highlight w:val="none"/>
        </w:rPr>
      </w:pPr>
      <w:r>
        <w:rPr>
          <w:rFonts w:hint="eastAsia" w:ascii="宋体" w:hAnsi="宋体"/>
          <w:highlight w:val="none"/>
        </w:rPr>
        <w:t>③征集文件的获取：使用账号登录或者使用CA登录政采云平台；进入“项目采购”应用，在获取征集文件菜单中选择项目，获取征集文件；</w:t>
      </w:r>
    </w:p>
    <w:p>
      <w:pPr>
        <w:spacing w:line="360" w:lineRule="auto"/>
        <w:ind w:firstLine="480" w:firstLineChars="200"/>
        <w:rPr>
          <w:rFonts w:ascii="宋体" w:hAnsi="宋体"/>
          <w:highlight w:val="none"/>
        </w:rPr>
      </w:pPr>
      <w:r>
        <w:rPr>
          <w:rFonts w:hint="eastAsia" w:ascii="宋体" w:hAnsi="宋体"/>
          <w:highlight w:val="none"/>
        </w:rPr>
        <w:t>④响应文件的制作：在“政采云电子交易客户端”中完成“填写基本信息”、“导入响应文件”、“标书关联”、“标书检查”、“电子签名”、“生成电子标书”等操作；</w:t>
      </w:r>
    </w:p>
    <w:p>
      <w:pPr>
        <w:spacing w:line="360" w:lineRule="auto"/>
        <w:ind w:firstLine="480" w:firstLineChars="200"/>
        <w:rPr>
          <w:rFonts w:ascii="宋体" w:hAnsi="宋体"/>
          <w:highlight w:val="none"/>
        </w:rPr>
      </w:pPr>
      <w:r>
        <w:rPr>
          <w:rFonts w:hint="eastAsia" w:ascii="宋体" w:hAnsi="宋体"/>
          <w:highlight w:val="none"/>
        </w:rPr>
        <w:t xml:space="preserve">⑤征集人、采购机构将依托政采云平台完成本项目的电子交易活动，平台不接受未按上述方式获取征集文件的供应商进行响应活动； </w:t>
      </w:r>
    </w:p>
    <w:p>
      <w:pPr>
        <w:spacing w:line="360" w:lineRule="auto"/>
        <w:ind w:firstLine="480" w:firstLineChars="200"/>
        <w:rPr>
          <w:rFonts w:ascii="宋体" w:hAnsi="宋体"/>
          <w:highlight w:val="none"/>
        </w:rPr>
      </w:pPr>
      <w:r>
        <w:rPr>
          <w:rFonts w:hint="eastAsia" w:ascii="宋体" w:hAnsi="宋体"/>
          <w:highlight w:val="none"/>
        </w:rPr>
        <w:t>⑥对未按上述方式获取征集文件的供应商对该文件提出的质疑，征集人将不予处理；</w:t>
      </w:r>
    </w:p>
    <w:p>
      <w:pPr>
        <w:spacing w:line="360" w:lineRule="auto"/>
        <w:ind w:firstLine="480" w:firstLineChars="200"/>
        <w:rPr>
          <w:rFonts w:ascii="宋体" w:hAnsi="宋体"/>
          <w:highlight w:val="none"/>
        </w:rPr>
      </w:pPr>
      <w:r>
        <w:rPr>
          <w:rFonts w:hint="eastAsia" w:ascii="宋体" w:hAnsi="宋体"/>
          <w:highlight w:val="none"/>
        </w:rPr>
        <w:t>⑦不提供征集文件纸质版；</w:t>
      </w:r>
    </w:p>
    <w:p>
      <w:pPr>
        <w:spacing w:line="360" w:lineRule="auto"/>
        <w:ind w:firstLine="480" w:firstLineChars="200"/>
        <w:rPr>
          <w:rFonts w:ascii="宋体" w:hAnsi="宋体"/>
          <w:highlight w:val="none"/>
        </w:rPr>
      </w:pPr>
      <w:r>
        <w:rPr>
          <w:rFonts w:hint="eastAsia" w:ascii="宋体" w:hAnsi="宋体"/>
          <w:highlight w:val="none"/>
        </w:rPr>
        <w:t>⑧响应文件的传输递交：为确保采购项目顺利实施，避免因解密失败导致投标方投标无效，投标方可在</w:t>
      </w:r>
      <w:r>
        <w:rPr>
          <w:rFonts w:hint="eastAsia" w:ascii="宋体" w:hAnsi="宋体"/>
          <w:highlight w:val="none"/>
          <w:lang w:eastAsia="zh-CN"/>
        </w:rPr>
        <w:t>2025年2月11日</w:t>
      </w:r>
      <w:r>
        <w:rPr>
          <w:rFonts w:hint="eastAsia" w:ascii="宋体" w:hAnsi="宋体"/>
          <w:highlight w:val="none"/>
        </w:rPr>
        <w:t>上午9点00分前将在政采云平台上最后生成的具备电子签章的备份电子标文件装袋密封后</w:t>
      </w:r>
      <w:r>
        <w:rPr>
          <w:rFonts w:hint="eastAsia" w:ascii="宋体" w:hAnsi="宋体"/>
          <w:b/>
          <w:bCs/>
          <w:highlight w:val="none"/>
        </w:rPr>
        <w:t>ems</w:t>
      </w:r>
      <w:r>
        <w:rPr>
          <w:rFonts w:hint="eastAsia" w:ascii="宋体" w:hAnsi="宋体"/>
          <w:highlight w:val="none"/>
        </w:rPr>
        <w:t>邮寄或直接送达至平湖市公共资源交易中心（包裹外包装上应当用不褪色墨水笔注明投标人名称、项目名称以及法定代表人或其委托代理人签名，投标人应当确保U盘能够打开运行并正常使用）（送达地址：浙江省嘉兴市</w:t>
      </w:r>
      <w:r>
        <w:rPr>
          <w:rFonts w:hint="eastAsia" w:ascii="宋体" w:hAnsi="宋体"/>
          <w:highlight w:val="none"/>
          <w:lang w:eastAsia="zh-CN"/>
        </w:rPr>
        <w:t>平湖市政务服务中心</w:t>
      </w:r>
      <w:r>
        <w:rPr>
          <w:rFonts w:hint="eastAsia" w:ascii="宋体" w:hAnsi="宋体"/>
          <w:highlight w:val="none"/>
        </w:rPr>
        <w:t>，收件人：吴倩芸，联系电话：0573-85631736），如在开标过程中出现解密失败情况，以备份文件作为替代响应文件，如投标人未按照规定时间及要求提供有效备份文件，同时政采云上响应文件解密失败的，将导致投标无效。</w:t>
      </w:r>
    </w:p>
    <w:p>
      <w:pPr>
        <w:spacing w:line="360" w:lineRule="auto"/>
        <w:ind w:firstLine="480" w:firstLineChars="200"/>
        <w:rPr>
          <w:rFonts w:ascii="宋体" w:hAnsi="宋体"/>
          <w:highlight w:val="none"/>
        </w:rPr>
      </w:pPr>
      <w:r>
        <w:rPr>
          <w:rFonts w:hint="eastAsia" w:ascii="宋体" w:hAnsi="宋体"/>
          <w:highlight w:val="none"/>
        </w:rPr>
        <w:t>⑨响应文件的解密：供应商按照平台提示和征集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响应无效；</w:t>
      </w:r>
    </w:p>
    <w:p>
      <w:pPr>
        <w:spacing w:line="360" w:lineRule="auto"/>
        <w:ind w:firstLine="480" w:firstLineChars="200"/>
        <w:rPr>
          <w:rFonts w:ascii="宋体" w:hAnsi="宋体"/>
          <w:highlight w:val="none"/>
        </w:rPr>
      </w:pPr>
      <w:r>
        <w:rPr>
          <w:rFonts w:hint="eastAsia" w:ascii="宋体" w:hAnsi="宋体"/>
          <w:highlight w:val="none"/>
        </w:rPr>
        <w:t>⑩具体操作指南：详见政采云平台“服务中心-帮助文档-项目采购-操作流程-电子招投标-政府采购项目电子交易管理操作指南-供应商”（浙江省“项目采购电子交易系统/不见面开评审”学习专题：</w:t>
      </w:r>
      <w:r>
        <w:rPr>
          <w:highlight w:val="none"/>
        </w:rPr>
        <w:fldChar w:fldCharType="begin"/>
      </w:r>
      <w:r>
        <w:rPr>
          <w:highlight w:val="none"/>
        </w:rPr>
        <w:instrText xml:space="preserve"> HYPERLINK "https://edu.zcygov.cn/luban/e-biding" </w:instrText>
      </w:r>
      <w:r>
        <w:rPr>
          <w:highlight w:val="none"/>
        </w:rPr>
        <w:fldChar w:fldCharType="separate"/>
      </w:r>
      <w:r>
        <w:rPr>
          <w:rFonts w:hint="eastAsia" w:ascii="宋体" w:hAnsi="宋体"/>
          <w:highlight w:val="none"/>
        </w:rPr>
        <w:t>https://edu.zcygov.cn/luban/e-biding</w:t>
      </w:r>
      <w:r>
        <w:rPr>
          <w:rFonts w:hint="eastAsia" w:ascii="宋体" w:hAnsi="宋体"/>
          <w:highlight w:val="none"/>
        </w:rPr>
        <w:fldChar w:fldCharType="end"/>
      </w:r>
      <w:r>
        <w:rPr>
          <w:rFonts w:hint="eastAsia" w:ascii="宋体" w:hAnsi="宋体"/>
          <w:highlight w:val="none"/>
        </w:rPr>
        <w:t>）。</w:t>
      </w:r>
    </w:p>
    <w:p>
      <w:pPr>
        <w:spacing w:line="360" w:lineRule="auto"/>
        <w:ind w:firstLine="480" w:firstLineChars="200"/>
        <w:rPr>
          <w:rFonts w:ascii="宋体" w:hAnsi="宋体"/>
          <w:highlight w:val="none"/>
        </w:rPr>
      </w:pPr>
      <w:bookmarkStart w:id="22" w:name="_Toc28359085"/>
      <w:bookmarkStart w:id="23" w:name="_Toc28359008"/>
      <w:bookmarkStart w:id="24" w:name="_Toc35393627"/>
      <w:bookmarkStart w:id="25" w:name="_Toc35393796"/>
      <w:r>
        <w:rPr>
          <w:rFonts w:hint="eastAsia" w:ascii="宋体" w:hAnsi="宋体"/>
          <w:highlight w:val="none"/>
        </w:rPr>
        <w:t>3.惠企政策</w:t>
      </w:r>
    </w:p>
    <w:p>
      <w:pPr>
        <w:pStyle w:val="24"/>
        <w:ind w:firstLine="480"/>
        <w:rPr>
          <w:rFonts w:ascii="宋体" w:hAnsi="宋体" w:cs="宋体"/>
          <w:szCs w:val="24"/>
          <w:highlight w:val="none"/>
        </w:rPr>
      </w:pPr>
      <w:r>
        <w:rPr>
          <w:rFonts w:hint="eastAsia" w:ascii="宋体" w:hAnsi="宋体" w:cs="宋体"/>
          <w:szCs w:val="24"/>
          <w:highlight w:val="none"/>
        </w:rPr>
        <w:t>3.1本采购项目，入围供应商与征集人签订的政府采购合同适用于平湖市政府采购贷款政策，简称“政采贷”，具体内容可参阅各银行政府采购贷款流程：http://jxszwsjb.jiaxing.gov.cn/phmain/zyxz/004001/20200508/ca9ef9e6-1353-4b6f-96fc-735325b1e78d.html</w:t>
      </w:r>
    </w:p>
    <w:p>
      <w:pPr>
        <w:spacing w:line="360" w:lineRule="auto"/>
        <w:ind w:firstLine="480" w:firstLineChars="200"/>
        <w:rPr>
          <w:rFonts w:ascii="宋体" w:hAnsi="宋体"/>
          <w:highlight w:val="none"/>
        </w:rPr>
      </w:pPr>
      <w:r>
        <w:rPr>
          <w:rFonts w:hint="eastAsia" w:ascii="宋体" w:hAnsi="宋体"/>
          <w:highlight w:val="none"/>
        </w:rPr>
        <w:t>3.2根据浙江省财厅2022年3号文具体工作要求，鼓励政府采购供应商使用政采贷获得普惠融资，使用履约保险/保函、预付款保险/保函释放保证金或者提高增信。具体内容可登录政采云平台（https://www.zcygov.cn/），点击右侧咨询小采。</w:t>
      </w:r>
    </w:p>
    <w:p>
      <w:pPr>
        <w:spacing w:line="360" w:lineRule="auto"/>
        <w:rPr>
          <w:rFonts w:ascii="宋体" w:hAnsi="宋体"/>
          <w:b/>
          <w:bCs/>
          <w:highlight w:val="none"/>
        </w:rPr>
      </w:pPr>
      <w:r>
        <w:rPr>
          <w:rFonts w:hint="eastAsia" w:ascii="宋体" w:hAnsi="宋体"/>
          <w:b/>
          <w:bCs/>
          <w:highlight w:val="none"/>
        </w:rPr>
        <w:t>七、对本次招标提出询问，请按以下方式联系</w:t>
      </w:r>
      <w:bookmarkEnd w:id="22"/>
      <w:bookmarkEnd w:id="23"/>
      <w:bookmarkEnd w:id="24"/>
      <w:bookmarkEnd w:id="25"/>
    </w:p>
    <w:p>
      <w:pPr>
        <w:spacing w:line="360" w:lineRule="auto"/>
        <w:ind w:firstLine="482" w:firstLineChars="200"/>
        <w:rPr>
          <w:rFonts w:ascii="宋体" w:hAnsi="宋体"/>
          <w:b/>
          <w:highlight w:val="none"/>
        </w:rPr>
      </w:pPr>
      <w:r>
        <w:rPr>
          <w:rFonts w:hint="eastAsia" w:ascii="宋体" w:hAnsi="宋体"/>
          <w:b/>
          <w:highlight w:val="none"/>
        </w:rPr>
        <w:t>1.征集人信息</w:t>
      </w:r>
    </w:p>
    <w:p>
      <w:pPr>
        <w:spacing w:line="360" w:lineRule="auto"/>
        <w:ind w:firstLine="480" w:firstLineChars="200"/>
        <w:jc w:val="left"/>
        <w:rPr>
          <w:rFonts w:ascii="宋体" w:hAnsi="宋体"/>
          <w:highlight w:val="none"/>
        </w:rPr>
      </w:pPr>
      <w:bookmarkStart w:id="26" w:name="_Toc28359086"/>
      <w:bookmarkStart w:id="27" w:name="_Toc28359009"/>
      <w:r>
        <w:rPr>
          <w:rFonts w:hint="eastAsia" w:ascii="宋体" w:hAnsi="宋体"/>
          <w:highlight w:val="none"/>
        </w:rPr>
        <w:t>名 称：平湖市公共资源交易中心</w:t>
      </w:r>
    </w:p>
    <w:p>
      <w:pPr>
        <w:spacing w:line="360" w:lineRule="auto"/>
        <w:ind w:firstLine="480" w:firstLineChars="200"/>
        <w:jc w:val="left"/>
        <w:rPr>
          <w:rFonts w:ascii="宋体" w:hAnsi="宋体"/>
          <w:highlight w:val="none"/>
        </w:rPr>
      </w:pPr>
      <w:r>
        <w:rPr>
          <w:rFonts w:hint="eastAsia" w:ascii="宋体" w:hAnsi="宋体"/>
          <w:highlight w:val="none"/>
        </w:rPr>
        <w:t>地址：</w:t>
      </w:r>
      <w:r>
        <w:rPr>
          <w:rFonts w:hint="eastAsia" w:ascii="宋体" w:hAnsi="宋体"/>
          <w:highlight w:val="none"/>
          <w:lang w:eastAsia="zh-CN"/>
        </w:rPr>
        <w:t>平湖市政务服务中心</w:t>
      </w:r>
      <w:r>
        <w:rPr>
          <w:rFonts w:hint="eastAsia" w:ascii="宋体" w:hAnsi="宋体"/>
          <w:highlight w:val="none"/>
        </w:rPr>
        <w:t>三楼</w:t>
      </w:r>
    </w:p>
    <w:p>
      <w:pPr>
        <w:spacing w:line="360" w:lineRule="auto"/>
        <w:ind w:firstLine="480" w:firstLineChars="200"/>
        <w:jc w:val="left"/>
        <w:rPr>
          <w:rFonts w:ascii="宋体" w:hAnsi="宋体"/>
          <w:highlight w:val="none"/>
        </w:rPr>
      </w:pPr>
      <w:r>
        <w:rPr>
          <w:rFonts w:hint="eastAsia" w:ascii="宋体" w:hAnsi="宋体"/>
          <w:highlight w:val="none"/>
        </w:rPr>
        <w:t>传真：0573-85631737</w:t>
      </w:r>
    </w:p>
    <w:p>
      <w:pPr>
        <w:spacing w:line="360" w:lineRule="auto"/>
        <w:ind w:firstLine="480" w:firstLineChars="200"/>
        <w:jc w:val="left"/>
        <w:rPr>
          <w:rFonts w:ascii="宋体" w:hAnsi="宋体"/>
          <w:highlight w:val="none"/>
        </w:rPr>
      </w:pPr>
      <w:r>
        <w:rPr>
          <w:rFonts w:hint="eastAsia" w:ascii="宋体" w:hAnsi="宋体"/>
          <w:highlight w:val="none"/>
        </w:rPr>
        <w:t>项目联系人（询问）：吴倩芸</w:t>
      </w:r>
    </w:p>
    <w:p>
      <w:pPr>
        <w:spacing w:line="360" w:lineRule="auto"/>
        <w:ind w:firstLine="480" w:firstLineChars="200"/>
        <w:jc w:val="left"/>
        <w:rPr>
          <w:rFonts w:ascii="宋体" w:hAnsi="宋体"/>
          <w:highlight w:val="none"/>
        </w:rPr>
      </w:pPr>
      <w:r>
        <w:rPr>
          <w:rFonts w:hint="eastAsia" w:ascii="宋体" w:hAnsi="宋体"/>
          <w:highlight w:val="none"/>
        </w:rPr>
        <w:t>项目联系方式（询问）：0573-85631736</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质疑联系人：于金成</w:t>
      </w:r>
    </w:p>
    <w:p>
      <w:pPr>
        <w:spacing w:line="360" w:lineRule="auto"/>
        <w:ind w:firstLine="480" w:firstLineChars="200"/>
        <w:jc w:val="left"/>
        <w:rPr>
          <w:rFonts w:ascii="宋体" w:hAnsi="宋体"/>
          <w:highlight w:val="none"/>
        </w:rPr>
      </w:pPr>
      <w:r>
        <w:rPr>
          <w:rFonts w:hint="eastAsia" w:ascii="宋体" w:hAnsi="宋体" w:cs="宋体"/>
          <w:color w:val="auto"/>
          <w:sz w:val="24"/>
          <w:highlight w:val="none"/>
        </w:rPr>
        <w:t>质疑联系方式：0573-85631720</w:t>
      </w:r>
      <w:r>
        <w:rPr>
          <w:rFonts w:hint="eastAsia" w:ascii="宋体" w:hAnsi="宋体"/>
          <w:highlight w:val="none"/>
        </w:rPr>
        <w:t xml:space="preserve"> </w:t>
      </w:r>
    </w:p>
    <w:bookmarkEnd w:id="26"/>
    <w:bookmarkEnd w:id="27"/>
    <w:p>
      <w:pPr>
        <w:spacing w:line="360" w:lineRule="auto"/>
        <w:ind w:firstLine="482" w:firstLineChars="200"/>
        <w:rPr>
          <w:rFonts w:ascii="宋体" w:hAnsi="宋体"/>
          <w:b/>
          <w:highlight w:val="none"/>
        </w:rPr>
      </w:pPr>
      <w:r>
        <w:rPr>
          <w:rFonts w:hint="eastAsia" w:ascii="宋体" w:hAnsi="宋体"/>
          <w:b/>
          <w:highlight w:val="none"/>
        </w:rPr>
        <w:t>2.同级政府采购监督管理部门</w:t>
      </w:r>
    </w:p>
    <w:p>
      <w:pPr>
        <w:spacing w:line="360" w:lineRule="auto"/>
        <w:ind w:firstLine="480" w:firstLineChars="200"/>
        <w:jc w:val="left"/>
        <w:rPr>
          <w:rFonts w:ascii="宋体" w:hAnsi="宋体"/>
          <w:highlight w:val="none"/>
        </w:rPr>
      </w:pPr>
      <w:r>
        <w:rPr>
          <w:rFonts w:hint="eastAsia" w:ascii="宋体" w:hAnsi="宋体"/>
          <w:highlight w:val="none"/>
        </w:rPr>
        <w:t>名称：平湖市财政局政府采购监管科             </w:t>
      </w:r>
    </w:p>
    <w:p>
      <w:pPr>
        <w:spacing w:line="360" w:lineRule="auto"/>
        <w:ind w:firstLine="480" w:firstLineChars="200"/>
        <w:jc w:val="left"/>
        <w:rPr>
          <w:rFonts w:ascii="宋体" w:hAnsi="宋体"/>
          <w:highlight w:val="none"/>
        </w:rPr>
      </w:pPr>
      <w:r>
        <w:rPr>
          <w:rFonts w:hint="eastAsia" w:ascii="宋体" w:hAnsi="宋体"/>
          <w:highlight w:val="none"/>
        </w:rPr>
        <w:t>地址：平湖市望湖路318号                         </w:t>
      </w:r>
    </w:p>
    <w:p>
      <w:pPr>
        <w:spacing w:line="360" w:lineRule="auto"/>
        <w:ind w:firstLine="480" w:firstLineChars="200"/>
        <w:jc w:val="left"/>
        <w:rPr>
          <w:rFonts w:ascii="宋体" w:hAnsi="宋体"/>
          <w:highlight w:val="none"/>
        </w:rPr>
      </w:pPr>
      <w:r>
        <w:rPr>
          <w:rFonts w:hint="eastAsia" w:ascii="宋体" w:hAnsi="宋体"/>
          <w:highlight w:val="none"/>
        </w:rPr>
        <w:t>联系人：陆先生             </w:t>
      </w:r>
    </w:p>
    <w:p>
      <w:pPr>
        <w:spacing w:line="360" w:lineRule="auto"/>
        <w:ind w:firstLine="480" w:firstLineChars="200"/>
        <w:jc w:val="left"/>
        <w:rPr>
          <w:rFonts w:ascii="宋体" w:hAnsi="宋体"/>
          <w:highlight w:val="none"/>
        </w:rPr>
      </w:pPr>
      <w:r>
        <w:rPr>
          <w:rFonts w:hint="eastAsia" w:ascii="宋体" w:hAnsi="宋体"/>
          <w:highlight w:val="none"/>
        </w:rPr>
        <w:t>监督投诉电话：0573-85013033         </w:t>
      </w:r>
    </w:p>
    <w:p>
      <w:pPr>
        <w:wordWrap w:val="0"/>
        <w:spacing w:line="360" w:lineRule="auto"/>
        <w:ind w:firstLine="480" w:firstLineChars="200"/>
        <w:jc w:val="left"/>
        <w:rPr>
          <w:rFonts w:ascii="宋体" w:hAnsi="宋体"/>
          <w:highlight w:val="none"/>
        </w:rPr>
      </w:pPr>
      <w:r>
        <w:rPr>
          <w:rFonts w:hint="eastAsia" w:ascii="宋体" w:hAnsi="宋体"/>
          <w:highlight w:val="none"/>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ascii="宋体" w:hAnsi="宋体"/>
          <w:highlight w:val="none"/>
        </w:rPr>
      </w:pPr>
      <w:r>
        <w:rPr>
          <w:rFonts w:hint="eastAsia" w:ascii="宋体" w:hAnsi="宋体"/>
          <w:highlight w:val="none"/>
        </w:rPr>
        <w:t>CA问题联系电话（人工）：汇信CA 400-888-4636；天谷CA 400-087-8198。</w:t>
      </w:r>
    </w:p>
    <w:p>
      <w:pPr>
        <w:pStyle w:val="2"/>
        <w:spacing w:line="360" w:lineRule="auto"/>
        <w:ind w:left="0" w:leftChars="0" w:firstLine="0" w:firstLineChars="0"/>
        <w:rPr>
          <w:rFonts w:hAnsi="宋体" w:cs="宋体"/>
          <w:sz w:val="24"/>
          <w:highlight w:val="none"/>
        </w:rPr>
      </w:pPr>
    </w:p>
    <w:p>
      <w:pPr>
        <w:pStyle w:val="5"/>
        <w:rPr>
          <w:rFonts w:asciiTheme="majorEastAsia" w:hAnsiTheme="majorEastAsia" w:eastAsiaTheme="majorEastAsia" w:cstheme="majorEastAsia"/>
          <w:highlight w:val="none"/>
        </w:rPr>
      </w:pPr>
      <w:bookmarkStart w:id="28" w:name="_Toc532218222"/>
      <w:r>
        <w:rPr>
          <w:rFonts w:hint="eastAsia" w:asciiTheme="majorEastAsia" w:hAnsiTheme="majorEastAsia" w:eastAsiaTheme="majorEastAsia" w:cstheme="majorEastAsia"/>
          <w:highlight w:val="none"/>
        </w:rPr>
        <w:br w:type="page"/>
      </w:r>
      <w:bookmarkEnd w:id="28"/>
      <w:bookmarkStart w:id="29" w:name="_Toc1256940247"/>
      <w:r>
        <w:rPr>
          <w:rFonts w:hint="eastAsia" w:ascii="Arial" w:hAnsi="Arial" w:eastAsia="黑体"/>
          <w:kern w:val="0"/>
          <w:sz w:val="32"/>
          <w:szCs w:val="32"/>
          <w:highlight w:val="none"/>
        </w:rPr>
        <w:t>第二章 框架协议采购需求</w:t>
      </w:r>
      <w:bookmarkEnd w:id="29"/>
    </w:p>
    <w:p>
      <w:pPr>
        <w:spacing w:line="360" w:lineRule="auto"/>
        <w:ind w:firstLine="482" w:firstLineChars="200"/>
        <w:rPr>
          <w:rFonts w:ascii="宋体" w:hAnsi="宋体"/>
          <w:b/>
          <w:bCs/>
          <w:highlight w:val="none"/>
        </w:rPr>
      </w:pPr>
      <w:r>
        <w:rPr>
          <w:rFonts w:hint="eastAsia" w:ascii="宋体" w:hAnsi="宋体"/>
          <w:b/>
          <w:bCs/>
          <w:highlight w:val="none"/>
        </w:rPr>
        <w:t>一、本次框架协议采购适用范围及第一阶段入围数量</w:t>
      </w:r>
    </w:p>
    <w:p>
      <w:pPr>
        <w:spacing w:line="360" w:lineRule="auto"/>
        <w:ind w:firstLine="482" w:firstLineChars="200"/>
        <w:rPr>
          <w:rFonts w:ascii="宋体" w:hAnsi="宋体"/>
          <w:highlight w:val="none"/>
        </w:rPr>
      </w:pPr>
      <w:r>
        <w:rPr>
          <w:rFonts w:hint="eastAsia" w:ascii="宋体" w:hAnsi="宋体"/>
          <w:b/>
          <w:bCs/>
          <w:highlight w:val="none"/>
        </w:rPr>
        <w:t>1.适用范围：</w:t>
      </w:r>
      <w:r>
        <w:rPr>
          <w:rFonts w:hint="eastAsia" w:ascii="宋体" w:hAnsi="宋体"/>
          <w:highlight w:val="none"/>
          <w:lang w:eastAsia="zh-CN"/>
        </w:rPr>
        <w:t>平湖市</w:t>
      </w:r>
      <w:r>
        <w:rPr>
          <w:rFonts w:hint="eastAsia" w:ascii="宋体" w:hAnsi="宋体"/>
          <w:highlight w:val="none"/>
        </w:rPr>
        <w:t>国家机关、事业单位和团体组织，采购预算金额在采购限额（30万元）以下的预算绩效评价咨询服务，主要包括：重大政策和项目绩效评估，监控和评价（再评价），绩效目标审核，部门整体预算绩效评价咨询服务，政府财政综合运行评价及其他预算绩效评价咨询服务事项。</w:t>
      </w:r>
    </w:p>
    <w:p>
      <w:pPr>
        <w:spacing w:line="360" w:lineRule="auto"/>
        <w:ind w:firstLine="482" w:firstLineChars="200"/>
        <w:rPr>
          <w:rFonts w:ascii="宋体" w:hAnsi="宋体"/>
          <w:highlight w:val="none"/>
        </w:rPr>
      </w:pPr>
      <w:r>
        <w:rPr>
          <w:rFonts w:hint="eastAsia" w:ascii="宋体" w:hAnsi="宋体"/>
          <w:b/>
          <w:bCs/>
          <w:highlight w:val="none"/>
        </w:rPr>
        <w:t>2.入围数量:</w:t>
      </w:r>
      <w:r>
        <w:rPr>
          <w:rFonts w:hint="eastAsia" w:ascii="宋体" w:hAnsi="宋体"/>
          <w:highlight w:val="none"/>
        </w:rPr>
        <w:t>提交响应文件及符合资格条件、实质性要求的供应商，按20%比例淘汰（如遇淘汰数值为小数的，直接进位取整（只入不舍），例如淘汰4.2家，取淘汰5家）后推荐为入围供应商。</w:t>
      </w:r>
      <w:r>
        <w:rPr>
          <w:rFonts w:hint="eastAsia" w:ascii="宋体" w:hAnsi="宋体"/>
          <w:b/>
          <w:bCs/>
          <w:highlight w:val="none"/>
        </w:rPr>
        <w:t>特别说明：本次入围的供应商不保证实际业务量。</w:t>
      </w:r>
    </w:p>
    <w:p>
      <w:pPr>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kern w:val="2"/>
          <w:szCs w:val="24"/>
          <w:highlight w:val="none"/>
          <w:lang w:eastAsia="zh-CN"/>
        </w:rPr>
      </w:pPr>
      <w:r>
        <w:rPr>
          <w:rFonts w:hint="eastAsia" w:ascii="宋体" w:hAnsi="宋体"/>
          <w:b/>
          <w:bCs/>
          <w:highlight w:val="none"/>
        </w:rPr>
        <w:t>二、报价要求</w:t>
      </w:r>
    </w:p>
    <w:tbl>
      <w:tblPr>
        <w:tblStyle w:val="1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8"/>
        <w:gridCol w:w="2160"/>
        <w:gridCol w:w="54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2" w:type="pct"/>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highlight w:val="none"/>
              </w:rPr>
            </w:pPr>
            <w:r>
              <w:rPr>
                <w:rFonts w:hint="eastAsia" w:ascii="宋体" w:hAnsi="宋体"/>
                <w:highlight w:val="none"/>
              </w:rPr>
              <w:t>序号</w:t>
            </w:r>
          </w:p>
        </w:tc>
        <w:tc>
          <w:tcPr>
            <w:tcW w:w="1274" w:type="pct"/>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highlight w:val="none"/>
                <w:lang w:eastAsia="zh-CN"/>
              </w:rPr>
            </w:pPr>
            <w:r>
              <w:rPr>
                <w:rFonts w:hint="eastAsia" w:ascii="宋体" w:hAnsi="宋体"/>
                <w:highlight w:val="none"/>
                <w:lang w:eastAsia="zh-CN"/>
              </w:rPr>
              <w:t>计价项目名称</w:t>
            </w:r>
          </w:p>
        </w:tc>
        <w:tc>
          <w:tcPr>
            <w:tcW w:w="3212" w:type="pct"/>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highlight w:val="none"/>
              </w:rPr>
            </w:pPr>
            <w:r>
              <w:rPr>
                <w:rFonts w:hint="eastAsia" w:ascii="宋体" w:hAnsi="宋体" w:cs="Arial"/>
                <w:highlight w:val="none"/>
              </w:rPr>
              <w:t>最高限制单价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2" w:type="pct"/>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highlight w:val="none"/>
              </w:rPr>
            </w:pPr>
            <w:r>
              <w:rPr>
                <w:rFonts w:ascii="宋体" w:hAnsi="宋体"/>
                <w:highlight w:val="none"/>
              </w:rPr>
              <w:t>1</w:t>
            </w:r>
          </w:p>
        </w:tc>
        <w:tc>
          <w:tcPr>
            <w:tcW w:w="1274"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highlight w:val="none"/>
              </w:rPr>
            </w:pPr>
            <w:r>
              <w:rPr>
                <w:rFonts w:hint="eastAsia" w:ascii="宋体" w:hAnsi="宋体" w:cs="Arial"/>
                <w:highlight w:val="none"/>
                <w:lang w:eastAsia="zh-CN"/>
              </w:rPr>
              <w:t>预算绩效评价咨询服务</w:t>
            </w:r>
          </w:p>
        </w:tc>
        <w:tc>
          <w:tcPr>
            <w:tcW w:w="3212"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hAnsi="宋体" w:cs="宋体"/>
                <w:sz w:val="24"/>
                <w:highlight w:val="none"/>
              </w:rPr>
            </w:pPr>
            <w:r>
              <w:rPr>
                <w:rFonts w:hint="eastAsia" w:hAnsi="宋体" w:cs="宋体"/>
                <w:sz w:val="24"/>
                <w:highlight w:val="none"/>
              </w:rPr>
              <w:t>中级技术职称及以下专业人员</w:t>
            </w:r>
            <w:r>
              <w:rPr>
                <w:rFonts w:hint="eastAsia" w:ascii="宋体" w:hAnsi="宋体" w:cs="宋体"/>
                <w:sz w:val="24"/>
                <w:szCs w:val="24"/>
                <w:highlight w:val="none"/>
                <w:lang w:val="en-US" w:eastAsia="zh-CN"/>
              </w:rPr>
              <w:t>3</w:t>
            </w:r>
            <w:r>
              <w:rPr>
                <w:rFonts w:hint="default" w:ascii="宋体" w:hAnsi="宋体" w:cs="宋体"/>
                <w:sz w:val="24"/>
                <w:szCs w:val="24"/>
                <w:highlight w:val="none"/>
                <w:lang w:val="en-US"/>
              </w:rPr>
              <w:t>00</w:t>
            </w:r>
            <w:r>
              <w:rPr>
                <w:rFonts w:hint="eastAsia" w:ascii="宋体" w:hAnsi="宋体" w:eastAsia="宋体" w:cs="宋体"/>
                <w:sz w:val="24"/>
                <w:szCs w:val="24"/>
                <w:highlight w:val="none"/>
              </w:rPr>
              <w:t>元/人·</w:t>
            </w:r>
            <w:r>
              <w:rPr>
                <w:rFonts w:hint="eastAsia" w:ascii="宋体" w:hAnsi="宋体" w:cs="宋体"/>
                <w:sz w:val="24"/>
                <w:szCs w:val="24"/>
                <w:highlight w:val="none"/>
                <w:lang w:eastAsia="zh-CN"/>
              </w:rPr>
              <w:t>半</w:t>
            </w:r>
            <w:r>
              <w:rPr>
                <w:rFonts w:hint="eastAsia" w:ascii="宋体" w:hAnsi="宋体" w:eastAsia="宋体" w:cs="宋体"/>
                <w:sz w:val="24"/>
                <w:szCs w:val="24"/>
                <w:highlight w:val="none"/>
              </w:rPr>
              <w:t>天</w:t>
            </w:r>
            <w:r>
              <w:rPr>
                <w:rFonts w:hint="eastAsia" w:hAnsi="宋体" w:cs="宋体"/>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highlight w:val="none"/>
              </w:rPr>
            </w:pPr>
            <w:r>
              <w:rPr>
                <w:rFonts w:hint="eastAsia" w:hAnsi="宋体" w:cs="宋体"/>
                <w:sz w:val="24"/>
                <w:highlight w:val="none"/>
              </w:rPr>
              <w:t>副高级技术职称专业人员以上、注册会计师或其他同等资格人员</w:t>
            </w:r>
            <w:r>
              <w:rPr>
                <w:rFonts w:hint="eastAsia" w:ascii="宋体" w:hAnsi="宋体" w:cs="宋体"/>
                <w:sz w:val="24"/>
                <w:szCs w:val="24"/>
                <w:highlight w:val="none"/>
                <w:lang w:val="en-US" w:eastAsia="zh-CN"/>
              </w:rPr>
              <w:t>6</w:t>
            </w:r>
            <w:r>
              <w:rPr>
                <w:rFonts w:hint="default" w:ascii="宋体" w:hAnsi="宋体" w:cs="宋体"/>
                <w:sz w:val="24"/>
                <w:szCs w:val="24"/>
                <w:highlight w:val="none"/>
                <w:lang w:val="en-US"/>
              </w:rPr>
              <w:t>00</w:t>
            </w:r>
            <w:r>
              <w:rPr>
                <w:rFonts w:hint="eastAsia" w:ascii="宋体" w:hAnsi="宋体" w:eastAsia="宋体" w:cs="宋体"/>
                <w:sz w:val="24"/>
                <w:szCs w:val="24"/>
                <w:highlight w:val="none"/>
              </w:rPr>
              <w:t>元/人·</w:t>
            </w:r>
            <w:r>
              <w:rPr>
                <w:rFonts w:hint="eastAsia" w:ascii="宋体" w:hAnsi="宋体" w:cs="宋体"/>
                <w:sz w:val="24"/>
                <w:szCs w:val="24"/>
                <w:highlight w:val="none"/>
                <w:lang w:eastAsia="zh-CN"/>
              </w:rPr>
              <w:t>半</w:t>
            </w:r>
            <w:r>
              <w:rPr>
                <w:rFonts w:hint="eastAsia" w:ascii="宋体" w:hAnsi="宋体" w:eastAsia="宋体" w:cs="宋体"/>
                <w:sz w:val="24"/>
                <w:szCs w:val="24"/>
                <w:highlight w:val="none"/>
              </w:rPr>
              <w:t>天</w:t>
            </w:r>
            <w:r>
              <w:rPr>
                <w:rFonts w:hint="eastAsia" w:hAnsi="宋体" w:cs="宋体"/>
                <w:sz w:val="24"/>
                <w:highlight w:val="none"/>
              </w:rPr>
              <w:t xml:space="preserve"> </w:t>
            </w:r>
          </w:p>
        </w:tc>
      </w:tr>
    </w:tbl>
    <w:p>
      <w:pPr>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Arial"/>
          <w:b/>
          <w:bCs/>
          <w:highlight w:val="none"/>
        </w:rPr>
      </w:pPr>
      <w:r>
        <w:rPr>
          <w:rFonts w:hint="eastAsia" w:ascii="宋体" w:hAnsi="宋体" w:cs="Arial"/>
          <w:b/>
          <w:bCs/>
          <w:highlight w:val="none"/>
        </w:rPr>
        <w:t>备注：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hAnsi="宋体" w:cs="宋体"/>
          <w:sz w:val="24"/>
          <w:highlight w:val="none"/>
        </w:rPr>
      </w:pPr>
      <w:r>
        <w:rPr>
          <w:rFonts w:hint="eastAsia" w:hAnsi="宋体" w:cs="宋体"/>
          <w:sz w:val="24"/>
          <w:highlight w:val="none"/>
          <w:lang w:val="en-US" w:eastAsia="zh-CN"/>
        </w:rPr>
        <w:t>（1）</w:t>
      </w:r>
      <w:r>
        <w:rPr>
          <w:rFonts w:hint="eastAsia" w:hAnsi="宋体" w:cs="宋体"/>
          <w:sz w:val="24"/>
          <w:highlight w:val="none"/>
        </w:rPr>
        <w:t>以上收费标准为基准价，供应商承诺在此基础的优惠率为</w:t>
      </w:r>
      <w:r>
        <w:rPr>
          <w:rFonts w:hint="eastAsia" w:hAnsi="宋体" w:cs="宋体"/>
          <w:sz w:val="24"/>
          <w:highlight w:val="none"/>
          <w:u w:val="single"/>
        </w:rPr>
        <w:t xml:space="preserve">  </w:t>
      </w:r>
      <w:r>
        <w:rPr>
          <w:rFonts w:hint="eastAsia" w:hAnsi="宋体" w:cs="宋体"/>
          <w:sz w:val="24"/>
          <w:highlight w:val="none"/>
        </w:rPr>
        <w:t>%，</w:t>
      </w:r>
      <w:r>
        <w:rPr>
          <w:rFonts w:hint="eastAsia" w:hAnsi="宋体" w:cs="宋体"/>
          <w:b/>
          <w:bCs/>
          <w:sz w:val="24"/>
          <w:highlight w:val="none"/>
        </w:rPr>
        <w:t>（</w:t>
      </w:r>
      <w:r>
        <w:rPr>
          <w:rFonts w:hint="eastAsia" w:ascii="宋体" w:hAnsi="宋体"/>
          <w:highlight w:val="none"/>
        </w:rPr>
        <w:t>▲</w:t>
      </w:r>
      <w:r>
        <w:rPr>
          <w:rFonts w:hint="eastAsia" w:hAnsi="宋体" w:cs="宋体"/>
          <w:b/>
          <w:bCs/>
          <w:sz w:val="24"/>
          <w:highlight w:val="none"/>
        </w:rPr>
        <w:t>优惠率填列到百分比的个位数，如优惠率为12%有效，12.1%和12.01%均为无效）</w:t>
      </w:r>
      <w:r>
        <w:rPr>
          <w:rFonts w:hint="eastAsia" w:hAnsi="宋体" w:cs="宋体"/>
          <w:sz w:val="24"/>
          <w:highlight w:val="none"/>
        </w:rPr>
        <w:t>，实际服务费用按照优惠率结算（实际服务费用=基准价*（1-优惠率））。</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Arial"/>
          <w:highlight w:val="none"/>
        </w:rPr>
      </w:pPr>
      <w:r>
        <w:rPr>
          <w:rFonts w:hint="eastAsia" w:ascii="宋体" w:hAnsi="宋体" w:cs="Arial"/>
          <w:highlight w:val="none"/>
          <w:lang w:val="en-US" w:eastAsia="zh-CN"/>
        </w:rPr>
        <w:t>（2）</w:t>
      </w:r>
      <w:r>
        <w:rPr>
          <w:rFonts w:hint="eastAsia" w:ascii="宋体" w:hAnsi="宋体" w:cs="Arial"/>
          <w:highlight w:val="none"/>
        </w:rPr>
        <w:t>需赴外地的，差旅费按政府机关出差标准据实计算，并按规定执行。</w:t>
      </w:r>
    </w:p>
    <w:p>
      <w:pPr>
        <w:snapToGrid w:val="0"/>
        <w:spacing w:line="360" w:lineRule="auto"/>
        <w:ind w:firstLine="480" w:firstLineChars="200"/>
        <w:rPr>
          <w:rFonts w:hint="eastAsia" w:ascii="宋体" w:hAnsi="宋体"/>
          <w:b/>
          <w:bCs/>
          <w:highlight w:val="none"/>
        </w:rPr>
      </w:pPr>
      <w:r>
        <w:rPr>
          <w:rFonts w:hint="eastAsia"/>
          <w:highlight w:val="none"/>
          <w:lang w:val="en-US" w:eastAsia="zh-CN"/>
        </w:rPr>
        <w:t>（3）</w:t>
      </w:r>
      <w:r>
        <w:rPr>
          <w:rFonts w:hint="eastAsia" w:hAnsi="宋体"/>
          <w:highlight w:val="none"/>
        </w:rPr>
        <w:t>最高限价（元）：入围供应商在具体承接业务时费用不得超过以上承诺。采购人可与入围供应商在以上最高限价优惠后的基础上进行议价，以获得更优惠的价格。</w:t>
      </w:r>
    </w:p>
    <w:p>
      <w:pPr>
        <w:snapToGrid w:val="0"/>
        <w:spacing w:line="360" w:lineRule="auto"/>
        <w:ind w:firstLine="482" w:firstLineChars="200"/>
        <w:rPr>
          <w:rFonts w:ascii="宋体" w:hAnsi="宋体"/>
          <w:b/>
          <w:bCs/>
          <w:highlight w:val="none"/>
        </w:rPr>
      </w:pPr>
      <w:r>
        <w:rPr>
          <w:rFonts w:hint="eastAsia" w:ascii="宋体" w:hAnsi="宋体"/>
          <w:b/>
          <w:bCs/>
          <w:highlight w:val="none"/>
          <w:lang w:eastAsia="zh-CN"/>
        </w:rPr>
        <w:t>三</w:t>
      </w:r>
      <w:r>
        <w:rPr>
          <w:rFonts w:hint="eastAsia" w:ascii="宋体" w:hAnsi="宋体"/>
          <w:b/>
          <w:bCs/>
          <w:highlight w:val="none"/>
        </w:rPr>
        <w:t>、采购需求标准</w:t>
      </w:r>
    </w:p>
    <w:p>
      <w:pPr>
        <w:snapToGrid w:val="0"/>
        <w:spacing w:line="360" w:lineRule="auto"/>
        <w:ind w:firstLine="480" w:firstLineChars="200"/>
        <w:rPr>
          <w:rFonts w:ascii="宋体" w:hAnsi="宋体"/>
          <w:highlight w:val="none"/>
        </w:rPr>
      </w:pPr>
      <w:r>
        <w:rPr>
          <w:rFonts w:hint="eastAsia" w:ascii="宋体" w:hAnsi="宋体"/>
          <w:highlight w:val="none"/>
        </w:rPr>
        <w:t>1.服务标准</w:t>
      </w:r>
    </w:p>
    <w:p>
      <w:pPr>
        <w:snapToGrid w:val="0"/>
        <w:spacing w:line="360" w:lineRule="auto"/>
        <w:ind w:firstLine="480" w:firstLineChars="200"/>
        <w:rPr>
          <w:rFonts w:ascii="宋体" w:hAnsi="宋体"/>
          <w:highlight w:val="none"/>
        </w:rPr>
      </w:pPr>
      <w:r>
        <w:rPr>
          <w:rFonts w:hint="eastAsia" w:ascii="宋体" w:hAnsi="宋体"/>
          <w:highlight w:val="none"/>
        </w:rPr>
        <w:t>1.1应当遵守法律、行政法规，恪守职业道德，遵循执业准则、规则，依法独立、客观、公正执业，受法律保护，任何单位和个人不得违法干预。</w:t>
      </w:r>
    </w:p>
    <w:p>
      <w:pPr>
        <w:snapToGrid w:val="0"/>
        <w:spacing w:line="360" w:lineRule="auto"/>
        <w:ind w:firstLine="480" w:firstLineChars="200"/>
        <w:rPr>
          <w:rFonts w:ascii="宋体" w:hAnsi="宋体"/>
          <w:highlight w:val="none"/>
        </w:rPr>
      </w:pPr>
      <w:r>
        <w:rPr>
          <w:rFonts w:hint="eastAsia" w:ascii="宋体" w:hAnsi="宋体"/>
          <w:highlight w:val="none"/>
        </w:rPr>
        <w:t>1.2应当接受财政部门依法实施的监督检查，如实提供中文工作底稿及相关资料，不得拒绝、延误、阻挠、逃避检查，不得谎报、隐匿、销毁相关证据材料。</w:t>
      </w:r>
    </w:p>
    <w:p>
      <w:pPr>
        <w:snapToGrid w:val="0"/>
        <w:spacing w:line="360" w:lineRule="auto"/>
        <w:ind w:firstLine="480" w:firstLineChars="200"/>
        <w:rPr>
          <w:rFonts w:ascii="宋体" w:hAnsi="宋体"/>
          <w:highlight w:val="none"/>
        </w:rPr>
      </w:pPr>
      <w:r>
        <w:rPr>
          <w:rFonts w:hint="eastAsia" w:ascii="宋体" w:hAnsi="宋体"/>
          <w:highlight w:val="none"/>
        </w:rPr>
        <w:t>1.3协助有关部门做好对采购人经办人的廉政工作，防止腐败现象的出现。</w:t>
      </w:r>
    </w:p>
    <w:p>
      <w:pPr>
        <w:snapToGrid w:val="0"/>
        <w:spacing w:line="360" w:lineRule="auto"/>
        <w:ind w:firstLine="480" w:firstLineChars="200"/>
        <w:rPr>
          <w:rFonts w:ascii="宋体" w:hAnsi="宋体"/>
          <w:highlight w:val="none"/>
        </w:rPr>
      </w:pPr>
      <w:r>
        <w:rPr>
          <w:rFonts w:hint="eastAsia" w:ascii="宋体" w:hAnsi="宋体"/>
          <w:highlight w:val="none"/>
        </w:rPr>
        <w:t>1.4应当在接受委托、安排人员时应实行回避制度。</w:t>
      </w:r>
    </w:p>
    <w:p>
      <w:pPr>
        <w:snapToGrid w:val="0"/>
        <w:spacing w:line="360" w:lineRule="auto"/>
        <w:ind w:firstLine="480" w:firstLineChars="200"/>
        <w:rPr>
          <w:rFonts w:ascii="宋体" w:hAnsi="宋体"/>
          <w:highlight w:val="none"/>
        </w:rPr>
      </w:pPr>
      <w:r>
        <w:rPr>
          <w:rFonts w:hint="eastAsia" w:ascii="宋体" w:hAnsi="宋体"/>
          <w:highlight w:val="none"/>
        </w:rPr>
        <w:t>1.4.1第三方机构与被评项目（单位）存在经济利益关系或其他利益关系的，应主动回避，不得接受委托。</w:t>
      </w:r>
    </w:p>
    <w:p>
      <w:pPr>
        <w:snapToGrid w:val="0"/>
        <w:spacing w:line="360" w:lineRule="auto"/>
        <w:ind w:firstLine="480" w:firstLineChars="200"/>
        <w:rPr>
          <w:rFonts w:ascii="宋体" w:hAnsi="宋体"/>
          <w:highlight w:val="none"/>
        </w:rPr>
      </w:pPr>
      <w:r>
        <w:rPr>
          <w:rFonts w:hint="eastAsia" w:ascii="宋体" w:hAnsi="宋体"/>
          <w:highlight w:val="none"/>
        </w:rPr>
        <w:t>1.4.2参与评估、评审、评价人员与被评项目（单位）有经济利益关系、与被评项目（单位）负责人或主管人员有亲属关系（含：夫妻关系、直系血亲关系、三代以内血亲关系以及近姻亲关系）的，应主动回避，不得接受第三方机构的工作委派。</w:t>
      </w:r>
    </w:p>
    <w:p>
      <w:pPr>
        <w:snapToGrid w:val="0"/>
        <w:spacing w:line="360" w:lineRule="auto"/>
        <w:ind w:firstLine="480" w:firstLineChars="200"/>
        <w:rPr>
          <w:rFonts w:ascii="宋体" w:hAnsi="宋体"/>
          <w:highlight w:val="none"/>
        </w:rPr>
      </w:pPr>
      <w:r>
        <w:rPr>
          <w:rFonts w:hint="eastAsia" w:ascii="宋体" w:hAnsi="宋体"/>
          <w:highlight w:val="none"/>
        </w:rPr>
        <w:t>1.4.3被评方提出第三方机构回避申请的，由委托方审定是否应当回避。</w:t>
      </w:r>
    </w:p>
    <w:p>
      <w:pPr>
        <w:snapToGrid w:val="0"/>
        <w:spacing w:line="360" w:lineRule="auto"/>
        <w:ind w:firstLine="480" w:firstLineChars="200"/>
        <w:rPr>
          <w:rFonts w:ascii="宋体" w:hAnsi="宋体"/>
          <w:highlight w:val="none"/>
        </w:rPr>
      </w:pPr>
      <w:r>
        <w:rPr>
          <w:rFonts w:hint="eastAsia" w:ascii="宋体" w:hAnsi="宋体"/>
          <w:highlight w:val="none"/>
        </w:rPr>
        <w:t>1.4.4应当回避而不回避的，委托方发现后有权终止委托。</w:t>
      </w:r>
    </w:p>
    <w:p>
      <w:pPr>
        <w:snapToGrid w:val="0"/>
        <w:spacing w:line="360" w:lineRule="auto"/>
        <w:ind w:firstLine="480" w:firstLineChars="200"/>
        <w:rPr>
          <w:rFonts w:ascii="宋体" w:hAnsi="宋体"/>
          <w:highlight w:val="none"/>
        </w:rPr>
      </w:pPr>
      <w:r>
        <w:rPr>
          <w:rFonts w:hint="eastAsia" w:ascii="宋体" w:hAnsi="宋体"/>
          <w:highlight w:val="none"/>
        </w:rPr>
        <w:t>1.5不得将任何受托业务转包或未经委托方同意分包给其他单位或个人实施；严格遵守国家保密规定，有关绩效报告及相关资料未经委托方许可不得对外发布，也不得用于与受托业务无关的事项，聘请专家时应当签订保密协议；</w:t>
      </w:r>
    </w:p>
    <w:p>
      <w:pPr>
        <w:snapToGrid w:val="0"/>
        <w:spacing w:line="360" w:lineRule="auto"/>
        <w:ind w:firstLine="480" w:firstLineChars="200"/>
        <w:rPr>
          <w:rFonts w:ascii="宋体" w:hAnsi="宋体"/>
          <w:highlight w:val="none"/>
        </w:rPr>
      </w:pPr>
      <w:r>
        <w:rPr>
          <w:rFonts w:hint="eastAsia" w:ascii="宋体" w:hAnsi="宋体"/>
          <w:highlight w:val="none"/>
        </w:rPr>
        <w:t>1.6供应商提交响应文件时须对服务内容进行保密承诺，并提供保密制度。</w:t>
      </w:r>
    </w:p>
    <w:p>
      <w:pPr>
        <w:snapToGrid w:val="0"/>
        <w:spacing w:line="360" w:lineRule="auto"/>
        <w:ind w:firstLine="480" w:firstLineChars="200"/>
        <w:rPr>
          <w:rFonts w:ascii="宋体" w:hAnsi="宋体"/>
          <w:highlight w:val="none"/>
        </w:rPr>
      </w:pPr>
      <w:r>
        <w:rPr>
          <w:rFonts w:hint="eastAsia" w:ascii="宋体" w:hAnsi="宋体"/>
          <w:highlight w:val="none"/>
        </w:rPr>
        <w:t>2.服务人员及技术保障</w:t>
      </w:r>
    </w:p>
    <w:p>
      <w:pPr>
        <w:snapToGrid w:val="0"/>
        <w:spacing w:line="360" w:lineRule="auto"/>
        <w:ind w:firstLine="480" w:firstLineChars="200"/>
        <w:rPr>
          <w:rFonts w:ascii="宋体" w:hAnsi="宋体"/>
          <w:highlight w:val="none"/>
        </w:rPr>
      </w:pPr>
      <w:r>
        <w:rPr>
          <w:rFonts w:hint="eastAsia" w:ascii="宋体" w:hAnsi="宋体"/>
          <w:highlight w:val="none"/>
        </w:rPr>
        <w:t>供应商应当组织相应的技术人员组成服务团队，制定和建立严格的质量保证措施和管理制度，确保绩效评价工作按照采购人要求保质保量完成。承担具体绩效评价任务的人员应具备开展预算绩效评价咨询服务业务的能力并承担相应风险，能够依法维护委托人的权益并保守秘密。▲</w:t>
      </w:r>
      <w:r>
        <w:rPr>
          <w:rFonts w:hint="eastAsia" w:ascii="宋体" w:hAnsi="宋体"/>
          <w:b/>
          <w:bCs/>
          <w:highlight w:val="none"/>
        </w:rPr>
        <w:t>项目小组人员须包含本单位至少1名高级职称人员</w:t>
      </w:r>
      <w:r>
        <w:rPr>
          <w:rFonts w:hint="eastAsia" w:ascii="宋体" w:hAnsi="宋体"/>
          <w:b/>
          <w:bCs/>
          <w:highlight w:val="none"/>
          <w:lang w:eastAsia="zh-CN"/>
        </w:rPr>
        <w:t>或</w:t>
      </w:r>
      <w:r>
        <w:rPr>
          <w:rFonts w:hint="eastAsia" w:ascii="宋体" w:hAnsi="宋体"/>
          <w:b/>
          <w:bCs/>
          <w:highlight w:val="none"/>
        </w:rPr>
        <w:t>1名注册会计师</w:t>
      </w:r>
      <w:r>
        <w:rPr>
          <w:rFonts w:hint="eastAsia" w:ascii="宋体" w:hAnsi="宋体"/>
          <w:b/>
          <w:bCs/>
          <w:highlight w:val="none"/>
          <w:lang w:eastAsia="zh-CN"/>
        </w:rPr>
        <w:t>、资产评估师、税务师等同等资格人员</w:t>
      </w:r>
      <w:r>
        <w:rPr>
          <w:rFonts w:hint="eastAsia" w:ascii="宋体" w:hAnsi="宋体"/>
          <w:b/>
          <w:bCs/>
          <w:highlight w:val="none"/>
        </w:rPr>
        <w:t>。</w:t>
      </w:r>
    </w:p>
    <w:p>
      <w:pPr>
        <w:snapToGrid w:val="0"/>
        <w:spacing w:line="360" w:lineRule="auto"/>
        <w:ind w:firstLine="480" w:firstLineChars="200"/>
        <w:rPr>
          <w:rFonts w:ascii="宋体" w:hAnsi="宋体"/>
          <w:highlight w:val="none"/>
        </w:rPr>
      </w:pPr>
      <w:r>
        <w:rPr>
          <w:rFonts w:hint="eastAsia" w:ascii="宋体" w:hAnsi="宋体"/>
          <w:highlight w:val="none"/>
        </w:rPr>
        <w:t>响应时须提供相关人员职称职级证书、</w:t>
      </w:r>
      <w:r>
        <w:rPr>
          <w:rFonts w:hint="eastAsia" w:ascii="宋体" w:hAnsi="宋体"/>
          <w:highlight w:val="none"/>
          <w:lang w:eastAsia="zh-CN"/>
        </w:rPr>
        <w:t>响应截止前最近三个月供应商为该项目拟派团队组成员缴纳的社保证明材料</w:t>
      </w:r>
      <w:r>
        <w:rPr>
          <w:rFonts w:hint="eastAsia" w:ascii="宋体" w:hAnsi="宋体"/>
          <w:highlight w:val="none"/>
        </w:rPr>
        <w:t>（退休人员提供劳务合同），从事</w:t>
      </w:r>
      <w:r>
        <w:rPr>
          <w:rFonts w:hint="eastAsia" w:ascii="宋体" w:hAnsi="宋体"/>
          <w:color w:val="000000"/>
          <w:highlight w:val="none"/>
        </w:rPr>
        <w:t>预算绩效评价咨询服务工作经验按照相关人员参与实施预算绩效评价咨询服务工作起算，响应文件内同时提供项目合同和绩效评价报告复印件，时间以合同签订之日起计算（提供绩效评价报告封面以及体现全部评价人员栏信息所在页，能够清晰证明即可；非行政事业单位委托的项目不予认可）。</w:t>
      </w:r>
    </w:p>
    <w:p>
      <w:pPr>
        <w:adjustRightInd w:val="0"/>
        <w:snapToGrid w:val="0"/>
        <w:spacing w:line="360" w:lineRule="auto"/>
        <w:ind w:firstLine="480" w:firstLineChars="200"/>
        <w:rPr>
          <w:rFonts w:ascii="宋体" w:hAnsi="宋体"/>
          <w:highlight w:val="none"/>
        </w:rPr>
      </w:pPr>
      <w:r>
        <w:rPr>
          <w:rFonts w:hint="eastAsia" w:ascii="宋体" w:hAnsi="宋体"/>
          <w:highlight w:val="none"/>
        </w:rPr>
        <w:t>响应时提供的服务人员名单，在合同履行过程中未经采购人允许不得更换，如因特殊情况需要更换，必须提供同等能力的人员进行调换并经采购人的认可。对不称职或不能胜任评价任务的工作人员，采购人有权要求更换。</w:t>
      </w:r>
      <w:r>
        <w:rPr>
          <w:rFonts w:hint="eastAsia" w:ascii="宋体" w:hAnsi="宋体"/>
          <w:kern w:val="0"/>
          <w:highlight w:val="none"/>
        </w:rPr>
        <w:t>中介机构</w:t>
      </w:r>
      <w:r>
        <w:rPr>
          <w:rFonts w:hint="eastAsia" w:ascii="宋体" w:hAnsi="宋体"/>
          <w:highlight w:val="none"/>
        </w:rPr>
        <w:t>不得出现未经采购人批准调换服务人员、中途退出或派出的服务人员不遵守工作纪律或不称职等情况，采购人视情况要求整改，情节严重的，采购人有权终止合同。</w:t>
      </w:r>
    </w:p>
    <w:p>
      <w:pPr>
        <w:adjustRightInd w:val="0"/>
        <w:snapToGrid w:val="0"/>
        <w:spacing w:line="360" w:lineRule="auto"/>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3.框架协议第二阶段服务期要求：委托项目应在采购合同约定的承诺期限内完成（具体期限以采购合同约定条款为准），对采购人的要求做到及时响应，采购人对具体项目工期有特殊要求的，按特殊要求执行。 </w:t>
      </w:r>
    </w:p>
    <w:p>
      <w:pPr>
        <w:adjustRightInd w:val="0"/>
        <w:snapToGrid w:val="0"/>
        <w:spacing w:line="360" w:lineRule="auto"/>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4.服务方案需经采购人确认，方可实施具体项目。方案执行完后，出具报告前，应当征求采购人意见。</w:t>
      </w:r>
    </w:p>
    <w:p>
      <w:pPr>
        <w:adjustRightInd w:val="0"/>
        <w:snapToGrid w:val="0"/>
        <w:spacing w:line="360" w:lineRule="auto"/>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供应商具有开展预算绩效评价咨询服务的人员和能力并承担相应风险，建立完善档案管理制度，在合同完成后可根据采购人要求将相关档案备份移交给采购人。与本项目有关的资料及数据成果中涉及国家秘密的内容，均要求按照《国家保密法》及相关法律法规执行。遵守相关保密法律、法规，确保委托方及对象单位的信息安全。</w:t>
      </w:r>
    </w:p>
    <w:p>
      <w:pPr>
        <w:adjustRightInd w:val="0"/>
        <w:snapToGrid w:val="0"/>
        <w:spacing w:line="360" w:lineRule="auto"/>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供应商提供预算绩效管理办法，包括但不限于对财政预算绩效管理政策的理解和掌握，提出预算绩效评价咨询服务的定位、目标及标准等，详细说明如何保证服务质量，有效保证项目进度的措施以及项目实施过程中突发事件处理机制与预案等。</w:t>
      </w:r>
    </w:p>
    <w:p>
      <w:pPr>
        <w:adjustRightInd w:val="0"/>
        <w:snapToGrid w:val="0"/>
        <w:spacing w:line="360" w:lineRule="auto"/>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供应商应当提供重大项目（政策）的绩效评估、重大项目（政策）监控和评价（再评价）、部门整体预算绩效管理、政府综合运行评价等各提供一份预算绩效评价咨询服务报告（具体单位、金额可抹去），主要包含问题与建议。</w:t>
      </w:r>
    </w:p>
    <w:p>
      <w:pPr>
        <w:pStyle w:val="6"/>
        <w:spacing w:line="360" w:lineRule="auto"/>
        <w:ind w:firstLine="482" w:firstLineChars="200"/>
        <w:rPr>
          <w:rFonts w:ascii="宋体" w:hAnsi="宋体" w:cs="宋体"/>
          <w:szCs w:val="24"/>
          <w:highlight w:val="none"/>
        </w:rPr>
      </w:pPr>
      <w:r>
        <w:rPr>
          <w:rFonts w:hint="eastAsia" w:ascii="宋体" w:hAnsi="宋体" w:cs="宋体"/>
          <w:szCs w:val="24"/>
          <w:highlight w:val="none"/>
          <w:lang w:eastAsia="zh-CN"/>
        </w:rPr>
        <w:t>四</w:t>
      </w:r>
      <w:r>
        <w:rPr>
          <w:rFonts w:hint="eastAsia" w:ascii="宋体" w:hAnsi="宋体" w:cs="宋体"/>
          <w:szCs w:val="24"/>
          <w:highlight w:val="none"/>
        </w:rPr>
        <w:t>、采购类型</w:t>
      </w:r>
    </w:p>
    <w:p>
      <w:pPr>
        <w:spacing w:line="360" w:lineRule="auto"/>
        <w:ind w:firstLine="480" w:firstLineChars="200"/>
        <w:rPr>
          <w:rFonts w:ascii="宋体" w:hAnsi="宋体"/>
          <w:highlight w:val="none"/>
        </w:rPr>
      </w:pPr>
      <w:r>
        <w:rPr>
          <w:rFonts w:hint="eastAsia" w:ascii="宋体" w:hAnsi="宋体"/>
          <w:highlight w:val="none"/>
        </w:rPr>
        <w:t>封闭式框架协议</w:t>
      </w:r>
    </w:p>
    <w:p>
      <w:pPr>
        <w:pStyle w:val="6"/>
        <w:spacing w:line="360" w:lineRule="auto"/>
        <w:ind w:firstLine="482" w:firstLineChars="200"/>
        <w:rPr>
          <w:rFonts w:ascii="宋体" w:hAnsi="宋体" w:cs="宋体"/>
          <w:szCs w:val="24"/>
          <w:highlight w:val="none"/>
        </w:rPr>
      </w:pPr>
      <w:r>
        <w:rPr>
          <w:rFonts w:hint="eastAsia" w:ascii="宋体" w:hAnsi="宋体" w:cs="宋体"/>
          <w:szCs w:val="24"/>
          <w:highlight w:val="none"/>
          <w:lang w:eastAsia="zh-CN"/>
        </w:rPr>
        <w:t>五</w:t>
      </w:r>
      <w:r>
        <w:rPr>
          <w:rFonts w:hint="eastAsia" w:ascii="宋体" w:hAnsi="宋体" w:cs="宋体"/>
          <w:szCs w:val="24"/>
          <w:highlight w:val="none"/>
        </w:rPr>
        <w:t>、交易机制</w:t>
      </w:r>
    </w:p>
    <w:p>
      <w:pPr>
        <w:pStyle w:val="24"/>
        <w:ind w:firstLine="482"/>
        <w:rPr>
          <w:rFonts w:ascii="宋体" w:hAnsi="宋体" w:cs="宋体"/>
          <w:b/>
          <w:bCs/>
          <w:szCs w:val="24"/>
          <w:highlight w:val="none"/>
        </w:rPr>
      </w:pPr>
      <w:r>
        <w:rPr>
          <w:rFonts w:hint="eastAsia" w:ascii="宋体" w:hAnsi="宋体" w:cs="宋体"/>
          <w:b/>
          <w:bCs/>
          <w:szCs w:val="24"/>
          <w:highlight w:val="none"/>
        </w:rPr>
        <w:t>（一）框架协议期限</w:t>
      </w:r>
    </w:p>
    <w:p>
      <w:pPr>
        <w:pStyle w:val="6"/>
        <w:spacing w:line="360" w:lineRule="auto"/>
        <w:ind w:firstLine="480" w:firstLineChars="200"/>
        <w:rPr>
          <w:rFonts w:ascii="宋体" w:hAnsi="宋体" w:cs="宋体"/>
          <w:b w:val="0"/>
          <w:bCs w:val="0"/>
          <w:szCs w:val="24"/>
          <w:highlight w:val="none"/>
        </w:rPr>
      </w:pPr>
      <w:r>
        <w:rPr>
          <w:rFonts w:hint="eastAsia" w:ascii="宋体" w:hAnsi="宋体" w:cs="宋体"/>
          <w:b w:val="0"/>
          <w:bCs w:val="0"/>
          <w:szCs w:val="24"/>
          <w:highlight w:val="none"/>
          <w:lang w:eastAsia="zh-CN"/>
        </w:rPr>
        <w:t>自2025年3月1日起至2027年2月28日止</w:t>
      </w:r>
      <w:r>
        <w:rPr>
          <w:rFonts w:hint="eastAsia" w:ascii="宋体" w:hAnsi="宋体" w:cs="宋体"/>
          <w:b w:val="0"/>
          <w:bCs w:val="0"/>
          <w:szCs w:val="24"/>
          <w:highlight w:val="none"/>
        </w:rPr>
        <w:t>。</w:t>
      </w:r>
    </w:p>
    <w:p>
      <w:pPr>
        <w:pStyle w:val="6"/>
        <w:spacing w:line="360" w:lineRule="auto"/>
        <w:ind w:firstLine="482" w:firstLineChars="200"/>
        <w:rPr>
          <w:rFonts w:ascii="宋体" w:hAnsi="宋体" w:cs="宋体"/>
          <w:szCs w:val="24"/>
          <w:highlight w:val="none"/>
        </w:rPr>
      </w:pPr>
      <w:r>
        <w:rPr>
          <w:rFonts w:hint="eastAsia" w:ascii="宋体" w:hAnsi="宋体" w:cs="宋体"/>
          <w:szCs w:val="24"/>
          <w:highlight w:val="none"/>
        </w:rPr>
        <w:t>（二）结算与费用支付</w:t>
      </w:r>
    </w:p>
    <w:p>
      <w:pPr>
        <w:pStyle w:val="11"/>
        <w:spacing w:line="360" w:lineRule="auto"/>
        <w:ind w:firstLine="480" w:firstLineChars="200"/>
        <w:rPr>
          <w:rFonts w:ascii="宋体" w:hAnsi="宋体"/>
          <w:bCs/>
          <w:highlight w:val="none"/>
        </w:rPr>
      </w:pPr>
      <w:r>
        <w:rPr>
          <w:rFonts w:hint="eastAsia" w:ascii="宋体" w:hAnsi="宋体"/>
          <w:bCs/>
          <w:color w:val="000000" w:themeColor="text1"/>
          <w:highlight w:val="none"/>
          <w14:textFill>
            <w14:solidFill>
              <w14:schemeClr w14:val="tx1"/>
            </w14:solidFill>
          </w14:textFill>
        </w:rPr>
        <w:t>供应商报价为以上标准的基础上报统一折扣率（优惠率）作为入围价格。本次入围价格为最高限价，采购单位可以与入围供应商商定低于入围价格的具体项目成交单价。</w:t>
      </w:r>
    </w:p>
    <w:p>
      <w:pPr>
        <w:keepNext/>
        <w:keepLines/>
        <w:numPr>
          <w:ilvl w:val="0"/>
          <w:numId w:val="2"/>
        </w:numPr>
        <w:spacing w:line="360" w:lineRule="auto"/>
        <w:ind w:firstLine="482" w:firstLineChars="200"/>
        <w:jc w:val="left"/>
        <w:outlineLvl w:val="1"/>
        <w:rPr>
          <w:rFonts w:ascii="宋体" w:hAnsi="宋体"/>
          <w:b/>
          <w:bCs/>
          <w:kern w:val="0"/>
          <w:highlight w:val="none"/>
        </w:rPr>
      </w:pPr>
      <w:r>
        <w:rPr>
          <w:rFonts w:hint="eastAsia" w:ascii="宋体" w:hAnsi="宋体"/>
          <w:b/>
          <w:bCs/>
          <w:kern w:val="0"/>
          <w:highlight w:val="none"/>
        </w:rPr>
        <w:t xml:space="preserve">供应商第一阶段成交方式 </w:t>
      </w:r>
    </w:p>
    <w:p>
      <w:pPr>
        <w:keepNext/>
        <w:keepLines/>
        <w:spacing w:line="360" w:lineRule="auto"/>
        <w:ind w:firstLine="480" w:firstLineChars="200"/>
        <w:jc w:val="left"/>
        <w:outlineLvl w:val="1"/>
        <w:rPr>
          <w:rFonts w:ascii="宋体" w:hAnsi="宋体"/>
          <w:bCs/>
          <w:highlight w:val="none"/>
        </w:rPr>
      </w:pPr>
      <w:r>
        <w:rPr>
          <w:rFonts w:hint="eastAsia" w:ascii="宋体" w:hAnsi="宋体"/>
          <w:bCs/>
          <w:highlight w:val="none"/>
        </w:rPr>
        <w:t>质量优先法，详见第四章。</w:t>
      </w:r>
    </w:p>
    <w:p>
      <w:pPr>
        <w:keepNext/>
        <w:keepLines/>
        <w:spacing w:line="360" w:lineRule="auto"/>
        <w:ind w:firstLine="482" w:firstLineChars="200"/>
        <w:jc w:val="left"/>
        <w:outlineLvl w:val="1"/>
        <w:rPr>
          <w:rFonts w:ascii="宋体" w:hAnsi="宋体"/>
          <w:b/>
          <w:bCs/>
          <w:kern w:val="0"/>
          <w:highlight w:val="none"/>
        </w:rPr>
      </w:pPr>
      <w:r>
        <w:rPr>
          <w:rFonts w:hint="eastAsia" w:ascii="宋体" w:hAnsi="宋体"/>
          <w:b/>
          <w:bCs/>
          <w:kern w:val="0"/>
          <w:highlight w:val="none"/>
        </w:rPr>
        <w:t>（四）供应商第二阶段成交方式</w:t>
      </w:r>
    </w:p>
    <w:p>
      <w:pPr>
        <w:pStyle w:val="17"/>
        <w:shd w:val="clear" w:color="auto" w:fill="FFFFFF"/>
        <w:spacing w:before="150" w:beforeAutospacing="0" w:after="0" w:afterAutospacing="0" w:line="360" w:lineRule="auto"/>
        <w:ind w:firstLine="480" w:firstLineChars="200"/>
        <w:rPr>
          <w:rFonts w:cs="宋体"/>
          <w:bCs/>
          <w:kern w:val="2"/>
          <w:highlight w:val="none"/>
        </w:rPr>
      </w:pPr>
      <w:r>
        <w:rPr>
          <w:rFonts w:hint="eastAsia" w:cs="宋体"/>
          <w:bCs/>
          <w:kern w:val="2"/>
          <w:highlight w:val="none"/>
        </w:rPr>
        <w:t>直接选定，指由采购人或者服务对象依据入围产品价格、质量以及服务便利性、用户评价等因素，从第一阶段入围供应商中直接选定。</w:t>
      </w:r>
    </w:p>
    <w:p>
      <w:pPr>
        <w:pStyle w:val="17"/>
        <w:shd w:val="clear" w:color="auto" w:fill="FFFFFF"/>
        <w:spacing w:before="150" w:beforeAutospacing="0" w:after="0" w:afterAutospacing="0" w:line="360" w:lineRule="auto"/>
        <w:ind w:firstLine="482" w:firstLineChars="200"/>
        <w:rPr>
          <w:rFonts w:cs="宋体"/>
          <w:color w:val="000000"/>
          <w:highlight w:val="none"/>
        </w:rPr>
      </w:pPr>
      <w:r>
        <w:rPr>
          <w:rStyle w:val="21"/>
          <w:rFonts w:hint="eastAsia" w:cs="宋体"/>
          <w:color w:val="000000"/>
          <w:highlight w:val="none"/>
          <w:shd w:val="clear" w:color="auto" w:fill="FFFFFF"/>
        </w:rPr>
        <w:t>（五）信息变更和维护</w:t>
      </w:r>
    </w:p>
    <w:p>
      <w:pPr>
        <w:keepNext/>
        <w:keepLines/>
        <w:spacing w:line="360" w:lineRule="auto"/>
        <w:ind w:firstLine="480" w:firstLineChars="200"/>
        <w:jc w:val="left"/>
        <w:outlineLvl w:val="1"/>
        <w:rPr>
          <w:rFonts w:ascii="宋体" w:hAnsi="宋体"/>
          <w:bCs/>
          <w:highlight w:val="none"/>
        </w:rPr>
      </w:pPr>
      <w:r>
        <w:rPr>
          <w:rStyle w:val="23"/>
          <w:rFonts w:hint="eastAsia" w:ascii="宋体" w:hAnsi="宋体"/>
          <w:kern w:val="0"/>
          <w:highlight w:val="none"/>
        </w:rPr>
        <w:t>协议期内供应商相关信息变化的，应主动进行信息变更和维护，并及时告知征集人。</w:t>
      </w:r>
    </w:p>
    <w:p>
      <w:pPr>
        <w:keepNext/>
        <w:keepLines/>
        <w:spacing w:line="360" w:lineRule="auto"/>
        <w:ind w:firstLine="482" w:firstLineChars="200"/>
        <w:jc w:val="left"/>
        <w:outlineLvl w:val="1"/>
        <w:rPr>
          <w:rFonts w:ascii="宋体" w:hAnsi="宋体"/>
          <w:b/>
          <w:highlight w:val="none"/>
        </w:rPr>
      </w:pPr>
      <w:bookmarkStart w:id="30" w:name="_Toc155322446"/>
      <w:bookmarkStart w:id="31" w:name="_Toc291450146"/>
      <w:r>
        <w:rPr>
          <w:rFonts w:hint="eastAsia" w:ascii="宋体" w:hAnsi="宋体"/>
          <w:b/>
          <w:highlight w:val="none"/>
        </w:rPr>
        <w:t>（六）用户反馈和评价机制</w:t>
      </w:r>
    </w:p>
    <w:p>
      <w:pPr>
        <w:keepNext/>
        <w:keepLines/>
        <w:spacing w:line="360" w:lineRule="auto"/>
        <w:ind w:firstLine="480" w:firstLineChars="200"/>
        <w:jc w:val="left"/>
        <w:outlineLvl w:val="1"/>
        <w:rPr>
          <w:rFonts w:ascii="宋体" w:hAnsi="宋体"/>
          <w:bCs/>
          <w:highlight w:val="none"/>
        </w:rPr>
      </w:pPr>
      <w:r>
        <w:rPr>
          <w:rFonts w:hint="eastAsia" w:ascii="宋体" w:hAnsi="宋体"/>
          <w:bCs/>
          <w:highlight w:val="none"/>
        </w:rPr>
        <w:t>根据《政府采购框架协议采购方式管理暂行办法》、《浙江省财政厅关于简化供应商信息登记和试行供应商诚信管理的通知》等相关规定，在网上采购系统中设置相应考核指标，接受采购人和服务对象对入围供应商履行框架协议和采购合同情况的反馈与评价，并将用户反馈和评价情况向采购人和服务对象公开，作为第二阶段直接选定成交供应商的参考。</w:t>
      </w:r>
    </w:p>
    <w:p>
      <w:pPr>
        <w:pStyle w:val="6"/>
        <w:spacing w:line="360" w:lineRule="auto"/>
        <w:ind w:firstLine="480" w:firstLineChars="200"/>
        <w:rPr>
          <w:rFonts w:ascii="宋体" w:hAnsi="宋体" w:cs="宋体"/>
          <w:b w:val="0"/>
          <w:kern w:val="2"/>
          <w:szCs w:val="24"/>
          <w:highlight w:val="none"/>
        </w:rPr>
      </w:pPr>
      <w:r>
        <w:rPr>
          <w:rFonts w:hint="eastAsia" w:ascii="宋体" w:hAnsi="宋体" w:cs="宋体"/>
          <w:b w:val="0"/>
          <w:kern w:val="2"/>
          <w:szCs w:val="24"/>
          <w:highlight w:val="none"/>
        </w:rPr>
        <w:t>采购人认为供应商未按约定履行的，可向监管部门提交投诉申请，核实后取消供应商入围资格。</w:t>
      </w:r>
    </w:p>
    <w:p>
      <w:pPr>
        <w:pStyle w:val="6"/>
        <w:spacing w:line="360" w:lineRule="auto"/>
        <w:ind w:firstLine="482" w:firstLineChars="200"/>
        <w:rPr>
          <w:rFonts w:ascii="宋体" w:hAnsi="宋体" w:cs="宋体"/>
          <w:bCs w:val="0"/>
          <w:kern w:val="2"/>
          <w:szCs w:val="24"/>
          <w:highlight w:val="none"/>
        </w:rPr>
      </w:pPr>
      <w:r>
        <w:rPr>
          <w:rFonts w:hint="eastAsia" w:ascii="宋体" w:hAnsi="宋体" w:cs="宋体"/>
          <w:bCs w:val="0"/>
          <w:kern w:val="2"/>
          <w:szCs w:val="24"/>
          <w:highlight w:val="none"/>
        </w:rPr>
        <w:t>（七）入围供应商的清退和补充规则</w:t>
      </w:r>
    </w:p>
    <w:p>
      <w:pPr>
        <w:pStyle w:val="6"/>
        <w:spacing w:line="360" w:lineRule="auto"/>
        <w:ind w:firstLine="480" w:firstLineChars="200"/>
        <w:rPr>
          <w:rFonts w:ascii="宋体" w:hAnsi="宋体" w:cs="宋体"/>
          <w:b w:val="0"/>
          <w:kern w:val="2"/>
          <w:szCs w:val="24"/>
          <w:highlight w:val="none"/>
        </w:rPr>
      </w:pPr>
      <w:r>
        <w:rPr>
          <w:rFonts w:hint="eastAsia" w:ascii="宋体" w:hAnsi="宋体" w:cs="宋体"/>
          <w:b w:val="0"/>
          <w:kern w:val="2"/>
          <w:szCs w:val="24"/>
          <w:highlight w:val="none"/>
        </w:rPr>
        <w:t>1.政府采购监管部门、集中采购机构将不定期对入围供应商的履约情况进行检查，发现入围供应商违反政府采购相关规定、未按照协议约定和承诺以及其他违法违规行为的，政府采购监管部门、集中采购机构将依据相关规定予以处理，征集人也将提前解除框架协议。</w:t>
      </w:r>
    </w:p>
    <w:p>
      <w:pPr>
        <w:pStyle w:val="6"/>
        <w:spacing w:line="360" w:lineRule="auto"/>
        <w:ind w:firstLine="480" w:firstLineChars="200"/>
        <w:rPr>
          <w:rFonts w:ascii="宋体" w:hAnsi="宋体" w:cs="宋体"/>
          <w:b w:val="0"/>
          <w:kern w:val="2"/>
          <w:szCs w:val="24"/>
          <w:highlight w:val="none"/>
        </w:rPr>
      </w:pPr>
      <w:r>
        <w:rPr>
          <w:rFonts w:hint="eastAsia" w:ascii="宋体" w:hAnsi="宋体" w:cs="宋体"/>
          <w:b w:val="0"/>
          <w:kern w:val="2"/>
          <w:szCs w:val="24"/>
          <w:highlight w:val="none"/>
        </w:rPr>
        <w:t>2.采购人如反映入围供应商有违反政府采购相关规定、未按照协议约定和承诺以及其他违法违规行为的，政府采购监管部门、集中采购机构将重点约谈入围供应商，如入围供应商无法提供合理解释或拒不改正的，政府采购监管部门、集中采购机构将依据相关规定予以处理，征集人也将提前解除框架协议。</w:t>
      </w:r>
    </w:p>
    <w:p>
      <w:pPr>
        <w:pStyle w:val="6"/>
        <w:spacing w:line="360" w:lineRule="auto"/>
        <w:ind w:firstLine="482" w:firstLineChars="200"/>
        <w:rPr>
          <w:rFonts w:ascii="宋体" w:hAnsi="宋体" w:cs="宋体"/>
          <w:bCs w:val="0"/>
          <w:kern w:val="2"/>
          <w:szCs w:val="24"/>
          <w:highlight w:val="none"/>
        </w:rPr>
      </w:pPr>
      <w:r>
        <w:rPr>
          <w:rFonts w:hint="eastAsia" w:ascii="宋体" w:hAnsi="宋体" w:cs="宋体"/>
          <w:bCs w:val="0"/>
          <w:kern w:val="2"/>
          <w:szCs w:val="24"/>
          <w:highlight w:val="none"/>
        </w:rPr>
        <w:t>（八）履约管理</w:t>
      </w:r>
    </w:p>
    <w:p>
      <w:pPr>
        <w:spacing w:line="360" w:lineRule="auto"/>
        <w:ind w:firstLine="480" w:firstLineChars="200"/>
        <w:rPr>
          <w:rFonts w:ascii="宋体" w:hAnsi="宋体"/>
          <w:bCs/>
          <w:highlight w:val="none"/>
        </w:rPr>
      </w:pPr>
      <w:r>
        <w:rPr>
          <w:rFonts w:hint="eastAsia" w:ascii="宋体" w:hAnsi="宋体"/>
          <w:bCs/>
          <w:highlight w:val="none"/>
          <w:lang w:val="zh-CN"/>
        </w:rPr>
        <w:t>本轮框架协议采购履约管理措施：包括对第二阶段价格、产品和服务质量的管理，对第二阶段确定成交供应商的管理，协调框架协议履行中的纠纷、供应商清退等。</w:t>
      </w:r>
    </w:p>
    <w:p>
      <w:pPr>
        <w:pStyle w:val="17"/>
        <w:shd w:val="clear" w:color="auto" w:fill="FFFFFF"/>
        <w:spacing w:before="0" w:beforeAutospacing="0" w:after="0" w:afterAutospacing="0" w:line="360" w:lineRule="auto"/>
        <w:ind w:firstLine="420"/>
        <w:jc w:val="both"/>
        <w:rPr>
          <w:rFonts w:cs="宋体"/>
          <w:bCs/>
          <w:kern w:val="2"/>
          <w:highlight w:val="none"/>
          <w:lang w:val="zh-CN"/>
        </w:rPr>
      </w:pPr>
      <w:r>
        <w:rPr>
          <w:rFonts w:hint="eastAsia" w:cs="宋体"/>
          <w:bCs/>
          <w:kern w:val="2"/>
          <w:highlight w:val="none"/>
          <w:lang w:val="zh-CN"/>
        </w:rPr>
        <w:t>入围供应商有下列情形之一，尚未签订框架协议的，取消其入围资格；已经签订框架协议的，解除与其签订的框架协议：</w:t>
      </w:r>
    </w:p>
    <w:p>
      <w:pPr>
        <w:pStyle w:val="17"/>
        <w:shd w:val="clear" w:color="auto" w:fill="FFFFFF"/>
        <w:spacing w:before="0" w:beforeAutospacing="0" w:after="0" w:afterAutospacing="0" w:line="360" w:lineRule="auto"/>
        <w:ind w:firstLine="420"/>
        <w:jc w:val="both"/>
        <w:rPr>
          <w:rFonts w:cs="宋体"/>
          <w:bCs/>
          <w:kern w:val="2"/>
          <w:highlight w:val="none"/>
          <w:lang w:val="zh-CN"/>
        </w:rPr>
      </w:pPr>
      <w:r>
        <w:rPr>
          <w:rFonts w:hint="eastAsia" w:cs="宋体"/>
          <w:bCs/>
          <w:kern w:val="2"/>
          <w:highlight w:val="none"/>
        </w:rPr>
        <w:t>1、</w:t>
      </w:r>
      <w:r>
        <w:rPr>
          <w:rFonts w:hint="eastAsia" w:cs="宋体"/>
          <w:bCs/>
          <w:kern w:val="2"/>
          <w:highlight w:val="none"/>
          <w:lang w:val="zh-CN"/>
        </w:rPr>
        <w:t>恶意串通谋取入围或者合同成交的；</w:t>
      </w:r>
    </w:p>
    <w:p>
      <w:pPr>
        <w:pStyle w:val="17"/>
        <w:shd w:val="clear" w:color="auto" w:fill="FFFFFF"/>
        <w:spacing w:before="0" w:beforeAutospacing="0" w:after="0" w:afterAutospacing="0" w:line="360" w:lineRule="auto"/>
        <w:ind w:firstLine="420"/>
        <w:jc w:val="both"/>
        <w:rPr>
          <w:rFonts w:cs="宋体"/>
          <w:bCs/>
          <w:kern w:val="2"/>
          <w:highlight w:val="none"/>
          <w:lang w:val="zh-CN"/>
        </w:rPr>
      </w:pPr>
      <w:r>
        <w:rPr>
          <w:rFonts w:hint="eastAsia" w:cs="宋体"/>
          <w:bCs/>
          <w:kern w:val="2"/>
          <w:highlight w:val="none"/>
        </w:rPr>
        <w:t>2、</w:t>
      </w:r>
      <w:r>
        <w:rPr>
          <w:rFonts w:hint="eastAsia" w:cs="宋体"/>
          <w:bCs/>
          <w:kern w:val="2"/>
          <w:highlight w:val="none"/>
          <w:lang w:val="zh-CN"/>
        </w:rPr>
        <w:t>提供虚假材料谋取入围或者合同成交的；</w:t>
      </w:r>
    </w:p>
    <w:p>
      <w:pPr>
        <w:pStyle w:val="17"/>
        <w:shd w:val="clear" w:color="auto" w:fill="FFFFFF"/>
        <w:spacing w:before="0" w:beforeAutospacing="0" w:after="0" w:afterAutospacing="0" w:line="360" w:lineRule="auto"/>
        <w:ind w:firstLine="420"/>
        <w:jc w:val="both"/>
        <w:rPr>
          <w:rFonts w:cs="宋体"/>
          <w:bCs/>
          <w:kern w:val="2"/>
          <w:highlight w:val="none"/>
          <w:lang w:val="zh-CN"/>
        </w:rPr>
      </w:pPr>
      <w:r>
        <w:rPr>
          <w:rFonts w:hint="eastAsia" w:cs="宋体"/>
          <w:bCs/>
          <w:kern w:val="2"/>
          <w:highlight w:val="none"/>
        </w:rPr>
        <w:t>3、</w:t>
      </w:r>
      <w:r>
        <w:rPr>
          <w:rFonts w:hint="eastAsia" w:cs="宋体"/>
          <w:bCs/>
          <w:kern w:val="2"/>
          <w:highlight w:val="none"/>
          <w:lang w:val="zh-CN"/>
        </w:rPr>
        <w:t>无正当理由拒不接受合同授予的；</w:t>
      </w:r>
    </w:p>
    <w:p>
      <w:pPr>
        <w:pStyle w:val="17"/>
        <w:shd w:val="clear" w:color="auto" w:fill="FFFFFF"/>
        <w:spacing w:before="0" w:beforeAutospacing="0" w:after="0" w:afterAutospacing="0" w:line="360" w:lineRule="auto"/>
        <w:ind w:firstLine="420"/>
        <w:jc w:val="both"/>
        <w:rPr>
          <w:rFonts w:cs="宋体"/>
          <w:bCs/>
          <w:kern w:val="2"/>
          <w:highlight w:val="none"/>
          <w:lang w:val="zh-CN"/>
        </w:rPr>
      </w:pPr>
      <w:r>
        <w:rPr>
          <w:rFonts w:hint="eastAsia" w:cs="宋体"/>
          <w:bCs/>
          <w:kern w:val="2"/>
          <w:highlight w:val="none"/>
        </w:rPr>
        <w:t>4、</w:t>
      </w:r>
      <w:r>
        <w:rPr>
          <w:rFonts w:hint="eastAsia" w:cs="宋体"/>
          <w:bCs/>
          <w:kern w:val="2"/>
          <w:highlight w:val="none"/>
          <w:lang w:val="zh-CN"/>
        </w:rPr>
        <w:t>不履行合同义务或者履行合同义务不符合约定，经征集人请求履行后仍不履行或者仍未按约定履行的；</w:t>
      </w:r>
    </w:p>
    <w:p>
      <w:pPr>
        <w:pStyle w:val="17"/>
        <w:shd w:val="clear" w:color="auto" w:fill="FFFFFF"/>
        <w:spacing w:before="0" w:beforeAutospacing="0" w:after="0" w:afterAutospacing="0" w:line="360" w:lineRule="auto"/>
        <w:ind w:firstLine="420"/>
        <w:jc w:val="both"/>
        <w:rPr>
          <w:rFonts w:cs="宋体"/>
          <w:bCs/>
          <w:kern w:val="2"/>
          <w:highlight w:val="none"/>
          <w:lang w:val="zh-CN"/>
        </w:rPr>
      </w:pPr>
      <w:r>
        <w:rPr>
          <w:rFonts w:hint="eastAsia" w:cs="宋体"/>
          <w:bCs/>
          <w:kern w:val="2"/>
          <w:highlight w:val="none"/>
        </w:rPr>
        <w:t>5、</w:t>
      </w:r>
      <w:r>
        <w:rPr>
          <w:rFonts w:hint="eastAsia" w:cs="宋体"/>
          <w:bCs/>
          <w:kern w:val="2"/>
          <w:highlight w:val="none"/>
          <w:lang w:val="zh-CN"/>
        </w:rPr>
        <w:t>框架协议有效期内，因违法行为被禁止或限制参加政府采购活动的；</w:t>
      </w:r>
    </w:p>
    <w:p>
      <w:pPr>
        <w:pStyle w:val="17"/>
        <w:shd w:val="clear" w:color="auto" w:fill="FFFFFF"/>
        <w:spacing w:before="0" w:beforeAutospacing="0" w:after="0" w:afterAutospacing="0" w:line="360" w:lineRule="auto"/>
        <w:ind w:firstLine="420"/>
        <w:jc w:val="both"/>
        <w:rPr>
          <w:rFonts w:cs="宋体"/>
          <w:bCs/>
          <w:kern w:val="2"/>
          <w:highlight w:val="none"/>
          <w:lang w:val="zh-CN"/>
        </w:rPr>
      </w:pPr>
      <w:r>
        <w:rPr>
          <w:rFonts w:hint="eastAsia" w:cs="宋体"/>
          <w:bCs/>
          <w:kern w:val="2"/>
          <w:highlight w:val="none"/>
        </w:rPr>
        <w:t>6、</w:t>
      </w:r>
      <w:r>
        <w:rPr>
          <w:rFonts w:hint="eastAsia" w:cs="宋体"/>
          <w:bCs/>
          <w:kern w:val="2"/>
          <w:highlight w:val="none"/>
          <w:lang w:val="zh-CN"/>
        </w:rPr>
        <w:t>框架协议约定的其他情形。</w:t>
      </w:r>
    </w:p>
    <w:p>
      <w:pPr>
        <w:pStyle w:val="17"/>
        <w:shd w:val="clear" w:color="auto" w:fill="FFFFFF"/>
        <w:spacing w:before="0" w:beforeAutospacing="0" w:after="0" w:afterAutospacing="0" w:line="360" w:lineRule="auto"/>
        <w:ind w:firstLine="420"/>
        <w:jc w:val="both"/>
        <w:rPr>
          <w:rFonts w:cs="宋体"/>
          <w:bCs/>
          <w:kern w:val="2"/>
          <w:highlight w:val="none"/>
          <w:lang w:val="zh-CN"/>
        </w:rPr>
      </w:pPr>
      <w:r>
        <w:rPr>
          <w:rFonts w:hint="eastAsia" w:cs="宋体"/>
          <w:bCs/>
          <w:kern w:val="2"/>
          <w:highlight w:val="none"/>
          <w:lang w:val="zh-CN"/>
        </w:rPr>
        <w:t>有以上情形之一的，以及无正当理由放弃封闭式框架协议入围资格或者退出封闭框架协议的，由政府采购相关部门依照政府采购法等有关法律、行政法规追究法律责任。</w:t>
      </w:r>
    </w:p>
    <w:p>
      <w:pPr>
        <w:pStyle w:val="17"/>
        <w:shd w:val="clear" w:color="auto" w:fill="FFFFFF"/>
        <w:spacing w:before="0" w:beforeAutospacing="0" w:after="0" w:afterAutospacing="0" w:line="360" w:lineRule="auto"/>
        <w:ind w:firstLine="420"/>
        <w:jc w:val="both"/>
        <w:rPr>
          <w:rFonts w:cs="宋体"/>
          <w:bCs/>
          <w:kern w:val="2"/>
          <w:highlight w:val="none"/>
          <w:lang w:val="zh-CN"/>
        </w:rPr>
      </w:pPr>
      <w:r>
        <w:rPr>
          <w:rFonts w:hint="eastAsia" w:cs="宋体"/>
          <w:bCs/>
          <w:kern w:val="2"/>
          <w:highlight w:val="none"/>
          <w:lang w:val="zh-CN"/>
        </w:rPr>
        <w:t>被取消入围资格或者被解除框架协议的供应商不得参加同一封闭式框架协议补充征集。</w:t>
      </w:r>
    </w:p>
    <w:bookmarkEnd w:id="30"/>
    <w:bookmarkEnd w:id="31"/>
    <w:p>
      <w:pPr>
        <w:rPr>
          <w:highlight w:val="none"/>
        </w:rPr>
      </w:pPr>
      <w:bookmarkStart w:id="32" w:name="_Toc548118524"/>
      <w:bookmarkStart w:id="33" w:name="_Toc82338245"/>
      <w:bookmarkStart w:id="34" w:name="_Toc211745569"/>
      <w:bookmarkStart w:id="35" w:name="_Toc485648402"/>
      <w:bookmarkStart w:id="36" w:name="_Toc82873328"/>
    </w:p>
    <w:p>
      <w:pPr>
        <w:rPr>
          <w:highlight w:val="none"/>
        </w:rPr>
      </w:pPr>
    </w:p>
    <w:p>
      <w:pPr>
        <w:rPr>
          <w:highlight w:val="none"/>
        </w:rPr>
      </w:pPr>
    </w:p>
    <w:p>
      <w:pPr>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5"/>
        <w:rPr>
          <w:rFonts w:asciiTheme="majorEastAsia" w:hAnsiTheme="majorEastAsia" w:eastAsiaTheme="majorEastAsia" w:cstheme="majorEastAsia"/>
          <w:sz w:val="28"/>
          <w:szCs w:val="28"/>
          <w:highlight w:val="none"/>
        </w:rPr>
      </w:pPr>
      <w:r>
        <w:rPr>
          <w:rFonts w:hint="eastAsia" w:ascii="黑体" w:hAnsi="黑体" w:eastAsia="黑体" w:cs="黑体"/>
          <w:sz w:val="32"/>
          <w:szCs w:val="32"/>
          <w:highlight w:val="none"/>
        </w:rPr>
        <w:t>第三章　供应商须知</w:t>
      </w:r>
      <w:bookmarkEnd w:id="32"/>
    </w:p>
    <w:p>
      <w:pPr>
        <w:spacing w:line="360" w:lineRule="auto"/>
        <w:ind w:firstLine="240" w:firstLineChars="100"/>
        <w:jc w:val="center"/>
        <w:rPr>
          <w:rFonts w:ascii="宋体" w:hAnsi="宋体"/>
          <w:b/>
          <w:bCs/>
          <w:highlight w:val="none"/>
        </w:rPr>
      </w:pPr>
      <w:r>
        <w:rPr>
          <w:rFonts w:hint="eastAsia" w:asciiTheme="majorEastAsia" w:hAnsiTheme="majorEastAsia" w:eastAsiaTheme="majorEastAsia" w:cstheme="majorEastAsia"/>
          <w:highlight w:val="none"/>
          <w:shd w:val="clear" w:color="auto" w:fill="FFFFFF"/>
        </w:rPr>
        <w:t>　</w:t>
      </w:r>
      <w:r>
        <w:rPr>
          <w:rFonts w:hint="eastAsia" w:ascii="宋体" w:hAnsi="宋体"/>
          <w:b/>
          <w:bCs/>
          <w:highlight w:val="none"/>
        </w:rPr>
        <w:t>电子交易注意事项</w:t>
      </w:r>
    </w:p>
    <w:p>
      <w:pPr>
        <w:spacing w:line="360" w:lineRule="auto"/>
        <w:ind w:firstLine="240" w:firstLineChars="100"/>
        <w:jc w:val="left"/>
        <w:rPr>
          <w:rFonts w:ascii="宋体" w:hAnsi="宋体"/>
          <w:highlight w:val="none"/>
          <w:shd w:val="clear" w:color="auto" w:fill="FFFFFF"/>
        </w:rPr>
      </w:pPr>
      <w:r>
        <w:rPr>
          <w:rFonts w:hint="eastAsia" w:ascii="宋体" w:hAnsi="宋体"/>
          <w:highlight w:val="none"/>
          <w:shd w:val="clear" w:color="auto" w:fill="FFFFFF"/>
        </w:rPr>
        <w:t>　政府采购项目电子交易活动适用《浙江省政府采购项目电子交易管理暂行办法》，现将相关注意事项告知如下：</w:t>
      </w:r>
    </w:p>
    <w:p>
      <w:pPr>
        <w:spacing w:line="360" w:lineRule="auto"/>
        <w:ind w:firstLine="240" w:firstLineChars="100"/>
        <w:jc w:val="left"/>
        <w:rPr>
          <w:rFonts w:ascii="宋体" w:hAnsi="宋体"/>
          <w:highlight w:val="none"/>
        </w:rPr>
      </w:pPr>
      <w:r>
        <w:rPr>
          <w:rFonts w:hint="eastAsia" w:ascii="宋体" w:hAnsi="宋体"/>
          <w:highlight w:val="none"/>
        </w:rPr>
        <w:t>　1.集中采购机构按照征集文件规定的时间通过电子交易平台组织开标、开启响应文件，所有供应商均应当准时在线参加，直至评审结束。</w:t>
      </w:r>
    </w:p>
    <w:p>
      <w:pPr>
        <w:pStyle w:val="17"/>
        <w:spacing w:beforeAutospacing="0" w:afterAutospacing="0" w:line="360" w:lineRule="auto"/>
        <w:ind w:firstLine="240" w:firstLineChars="100"/>
        <w:rPr>
          <w:rFonts w:cs="宋体"/>
          <w:kern w:val="2"/>
          <w:highlight w:val="none"/>
        </w:rPr>
      </w:pPr>
      <w:r>
        <w:rPr>
          <w:rFonts w:hint="eastAsia" w:cs="宋体"/>
          <w:kern w:val="2"/>
          <w:highlight w:val="none"/>
        </w:rPr>
        <w:t>　2. 响应文件未按时解密，供应商如提供备份响应文件的，以符合要求的备份响应文件作为依据，否则视为响应文件撤回。响应文件已按时解密的，备份响应文件自动失效。</w:t>
      </w:r>
    </w:p>
    <w:p>
      <w:pPr>
        <w:pStyle w:val="17"/>
        <w:spacing w:beforeAutospacing="0" w:afterAutospacing="0" w:line="360" w:lineRule="auto"/>
        <w:ind w:firstLine="240" w:firstLineChars="100"/>
        <w:rPr>
          <w:rFonts w:cs="宋体"/>
          <w:kern w:val="2"/>
          <w:highlight w:val="none"/>
        </w:rPr>
      </w:pPr>
      <w:r>
        <w:rPr>
          <w:rFonts w:hint="eastAsia" w:cs="宋体"/>
          <w:kern w:val="2"/>
          <w:highlight w:val="none"/>
        </w:rPr>
        <w:t>　3. 征集过程中出现以下情形，导致电子交易平台无法正常运行，或者无法保证电子交易的公平、公正和安全时，集中采购机构可中止电子交易活动：</w:t>
      </w:r>
    </w:p>
    <w:p>
      <w:pPr>
        <w:pStyle w:val="17"/>
        <w:spacing w:beforeAutospacing="0" w:afterAutospacing="0" w:line="360" w:lineRule="auto"/>
        <w:ind w:firstLine="645"/>
        <w:rPr>
          <w:rFonts w:cs="宋体"/>
          <w:kern w:val="2"/>
          <w:highlight w:val="none"/>
        </w:rPr>
      </w:pPr>
      <w:r>
        <w:rPr>
          <w:rFonts w:hint="eastAsia" w:cs="宋体"/>
          <w:kern w:val="2"/>
          <w:highlight w:val="none"/>
        </w:rPr>
        <w:t>（一）电子交易平台发生故障而无法登录访问的。</w:t>
      </w:r>
    </w:p>
    <w:p>
      <w:pPr>
        <w:pStyle w:val="17"/>
        <w:spacing w:beforeAutospacing="0" w:afterAutospacing="0" w:line="360" w:lineRule="auto"/>
        <w:ind w:firstLine="645"/>
        <w:rPr>
          <w:rFonts w:cs="宋体"/>
          <w:kern w:val="2"/>
          <w:highlight w:val="none"/>
        </w:rPr>
      </w:pPr>
      <w:r>
        <w:rPr>
          <w:rFonts w:hint="eastAsia" w:cs="宋体"/>
          <w:kern w:val="2"/>
          <w:highlight w:val="none"/>
        </w:rPr>
        <w:t>（二）电子交易平台应用或数据库出现错误，不能进行正常操作的。</w:t>
      </w:r>
    </w:p>
    <w:p>
      <w:pPr>
        <w:pStyle w:val="17"/>
        <w:spacing w:beforeAutospacing="0" w:afterAutospacing="0" w:line="360" w:lineRule="auto"/>
        <w:ind w:firstLine="645"/>
        <w:rPr>
          <w:rFonts w:cs="宋体"/>
          <w:kern w:val="2"/>
          <w:highlight w:val="none"/>
        </w:rPr>
      </w:pPr>
      <w:r>
        <w:rPr>
          <w:rFonts w:hint="eastAsia" w:cs="宋体"/>
          <w:kern w:val="2"/>
          <w:highlight w:val="none"/>
        </w:rPr>
        <w:t>（三）电子交易平台发现严重安全漏洞，有潜在泄密危险的。</w:t>
      </w:r>
    </w:p>
    <w:p>
      <w:pPr>
        <w:pStyle w:val="17"/>
        <w:spacing w:beforeAutospacing="0" w:afterAutospacing="0" w:line="360" w:lineRule="auto"/>
        <w:ind w:firstLine="645"/>
        <w:rPr>
          <w:rFonts w:cs="宋体"/>
          <w:kern w:val="2"/>
          <w:highlight w:val="none"/>
        </w:rPr>
      </w:pPr>
      <w:r>
        <w:rPr>
          <w:rFonts w:hint="eastAsia" w:cs="宋体"/>
          <w:kern w:val="2"/>
          <w:highlight w:val="none"/>
        </w:rPr>
        <w:t>（四）病毒发作导致不能进行正常操作的。 </w:t>
      </w:r>
    </w:p>
    <w:p>
      <w:pPr>
        <w:pStyle w:val="17"/>
        <w:spacing w:beforeAutospacing="0" w:afterAutospacing="0" w:line="360" w:lineRule="auto"/>
        <w:ind w:firstLine="645"/>
        <w:rPr>
          <w:rFonts w:cs="宋体"/>
          <w:kern w:val="2"/>
          <w:highlight w:val="none"/>
        </w:rPr>
      </w:pPr>
      <w:r>
        <w:rPr>
          <w:rFonts w:hint="eastAsia" w:cs="宋体"/>
          <w:kern w:val="2"/>
          <w:highlight w:val="none"/>
        </w:rPr>
        <w:t>（五）其他无法保证电子交易的公平、公正和安全的情况。</w:t>
      </w:r>
    </w:p>
    <w:p>
      <w:pPr>
        <w:pStyle w:val="17"/>
        <w:spacing w:beforeAutospacing="0" w:afterAutospacing="0" w:line="360" w:lineRule="auto"/>
        <w:ind w:firstLine="480"/>
        <w:rPr>
          <w:rFonts w:cs="宋体"/>
          <w:kern w:val="2"/>
          <w:highlight w:val="none"/>
        </w:rPr>
      </w:pPr>
      <w:r>
        <w:rPr>
          <w:rFonts w:hint="eastAsia" w:cs="宋体"/>
          <w:kern w:val="2"/>
          <w:highlight w:val="none"/>
        </w:rPr>
        <w:t>出现前款规定情形，不影响采购公平、公正性的，集中采购机构可以待上述情形消除后继续组织电子交易活动，也可以决定某些环节以纸质形式进行；影响或可能影响采购公平、公正性的，应当重新采购。</w:t>
      </w:r>
    </w:p>
    <w:p>
      <w:pPr>
        <w:pStyle w:val="17"/>
        <w:numPr>
          <w:ilvl w:val="0"/>
          <w:numId w:val="3"/>
        </w:numPr>
        <w:spacing w:beforeAutospacing="0" w:afterAutospacing="0" w:line="360" w:lineRule="auto"/>
        <w:ind w:firstLine="480"/>
        <w:rPr>
          <w:rFonts w:cs="宋体"/>
          <w:highlight w:val="none"/>
          <w:shd w:val="clear" w:color="auto" w:fill="FFFFFF"/>
        </w:rPr>
      </w:pPr>
      <w:r>
        <w:rPr>
          <w:rFonts w:hint="eastAsia" w:cs="宋体"/>
          <w:highlight w:val="none"/>
          <w:shd w:val="clear" w:color="auto" w:fill="FFFFFF"/>
        </w:rPr>
        <w:t>评审中需要供应商对响应文件作出澄清、说明或者补正的，评审小组和供应商应当通过电子交易平台交换数据电文。供应商需在半小时内提交澄清说明或补正，供应商已经明确表示澄清说明或补正完毕的除外。</w:t>
      </w:r>
    </w:p>
    <w:p>
      <w:pPr>
        <w:pStyle w:val="17"/>
        <w:spacing w:beforeAutospacing="0" w:afterAutospacing="0" w:line="360" w:lineRule="auto"/>
        <w:ind w:firstLine="480"/>
        <w:jc w:val="center"/>
        <w:rPr>
          <w:rFonts w:cs="宋体"/>
          <w:b/>
          <w:highlight w:val="none"/>
          <w:shd w:val="clear" w:color="auto" w:fill="FFFFFF"/>
        </w:rPr>
      </w:pPr>
      <w:r>
        <w:rPr>
          <w:rFonts w:hint="eastAsia" w:cs="宋体"/>
          <w:highlight w:val="none"/>
          <w:shd w:val="clear" w:color="auto" w:fill="FFFFFF"/>
        </w:rPr>
        <w:br w:type="page"/>
      </w:r>
      <w:r>
        <w:rPr>
          <w:rFonts w:hint="eastAsia" w:cs="宋体"/>
          <w:b/>
          <w:highlight w:val="none"/>
          <w:shd w:val="clear" w:color="auto" w:fill="FFFFFF"/>
        </w:rPr>
        <w:t>前　附　表</w:t>
      </w:r>
    </w:p>
    <w:tbl>
      <w:tblPr>
        <w:tblStyle w:val="18"/>
        <w:tblW w:w="516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06"/>
        <w:gridCol w:w="1488"/>
        <w:gridCol w:w="64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5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highlight w:val="none"/>
              </w:rPr>
            </w:pPr>
            <w:r>
              <w:rPr>
                <w:rFonts w:hint="eastAsia" w:ascii="宋体" w:hAnsi="宋体"/>
                <w:b/>
                <w:highlight w:val="none"/>
              </w:rPr>
              <w:t>序号</w:t>
            </w:r>
          </w:p>
        </w:tc>
        <w:tc>
          <w:tcPr>
            <w:tcW w:w="866"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b/>
                <w:highlight w:val="none"/>
              </w:rPr>
            </w:pPr>
            <w:r>
              <w:rPr>
                <w:rFonts w:hint="eastAsia" w:ascii="宋体" w:hAnsi="宋体"/>
                <w:b/>
                <w:highlight w:val="none"/>
              </w:rPr>
              <w:t>事项</w:t>
            </w:r>
          </w:p>
        </w:tc>
        <w:tc>
          <w:tcPr>
            <w:tcW w:w="3780"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b/>
                <w:highlight w:val="none"/>
              </w:rPr>
            </w:pPr>
            <w:r>
              <w:rPr>
                <w:rFonts w:hint="eastAsia" w:ascii="宋体" w:hAnsi="宋体"/>
                <w:b/>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5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distribute"/>
              <w:rPr>
                <w:rFonts w:ascii="宋体" w:hAnsi="宋体"/>
                <w:b/>
                <w:highlight w:val="none"/>
              </w:rPr>
            </w:pPr>
            <w:r>
              <w:rPr>
                <w:rFonts w:hint="eastAsia" w:ascii="宋体" w:hAnsi="宋体"/>
                <w:highlight w:val="none"/>
              </w:rPr>
              <w:t>1</w:t>
            </w:r>
          </w:p>
        </w:tc>
        <w:tc>
          <w:tcPr>
            <w:tcW w:w="866"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b/>
                <w:highlight w:val="none"/>
              </w:rPr>
            </w:pPr>
            <w:r>
              <w:rPr>
                <w:rFonts w:hint="eastAsia" w:ascii="宋体" w:hAnsi="宋体"/>
                <w:b/>
                <w:highlight w:val="none"/>
              </w:rPr>
              <w:t>项目名称</w:t>
            </w:r>
          </w:p>
        </w:tc>
        <w:tc>
          <w:tcPr>
            <w:tcW w:w="3780" w:type="pct"/>
            <w:tcBorders>
              <w:top w:val="single" w:color="000000" w:sz="8" w:space="0"/>
              <w:left w:val="single" w:color="000000" w:sz="2" w:space="0"/>
              <w:bottom w:val="single" w:color="000000" w:sz="8" w:space="0"/>
              <w:right w:val="single" w:color="000000" w:sz="8" w:space="0"/>
            </w:tcBorders>
            <w:vAlign w:val="center"/>
          </w:tcPr>
          <w:p>
            <w:pPr>
              <w:pStyle w:val="3"/>
              <w:spacing w:beforeLines="50" w:afterLines="50" w:line="360" w:lineRule="auto"/>
              <w:ind w:firstLine="0"/>
              <w:rPr>
                <w:rFonts w:hint="eastAsia" w:hAnsi="宋体" w:eastAsia="宋体" w:cs="宋体"/>
                <w:snapToGrid w:val="0"/>
                <w:spacing w:val="0"/>
                <w:sz w:val="24"/>
                <w:szCs w:val="24"/>
                <w:highlight w:val="none"/>
                <w:lang w:eastAsia="zh-CN"/>
              </w:rPr>
            </w:pPr>
            <w:r>
              <w:rPr>
                <w:rFonts w:hint="eastAsia" w:hAnsi="宋体" w:cs="宋体"/>
                <w:snapToGrid w:val="0"/>
                <w:spacing w:val="0"/>
                <w:sz w:val="24"/>
                <w:szCs w:val="24"/>
                <w:highlight w:val="none"/>
                <w:lang w:eastAsia="zh-CN"/>
              </w:rPr>
              <w:t>2025-2026年度平湖市预算绩效评价咨询服务框架协议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0" w:hRule="atLeast"/>
          <w:tblHeader/>
        </w:trPr>
        <w:tc>
          <w:tcPr>
            <w:tcW w:w="35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rPr>
                <w:rFonts w:ascii="宋体" w:hAnsi="宋体"/>
                <w:b/>
                <w:highlight w:val="none"/>
              </w:rPr>
            </w:pPr>
            <w:r>
              <w:rPr>
                <w:rFonts w:hint="eastAsia" w:ascii="宋体" w:hAnsi="宋体"/>
                <w:highlight w:val="none"/>
              </w:rPr>
              <w:t>2</w:t>
            </w:r>
          </w:p>
        </w:tc>
        <w:tc>
          <w:tcPr>
            <w:tcW w:w="866"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b/>
                <w:highlight w:val="none"/>
              </w:rPr>
            </w:pPr>
            <w:r>
              <w:rPr>
                <w:rFonts w:hint="eastAsia" w:ascii="宋体" w:hAnsi="宋体"/>
                <w:b/>
                <w:highlight w:val="none"/>
              </w:rPr>
              <w:t>采购内容</w:t>
            </w:r>
          </w:p>
        </w:tc>
        <w:tc>
          <w:tcPr>
            <w:tcW w:w="3780" w:type="pct"/>
            <w:tcBorders>
              <w:top w:val="single" w:color="000000" w:sz="8" w:space="0"/>
              <w:left w:val="single" w:color="000000" w:sz="2" w:space="0"/>
              <w:bottom w:val="single" w:color="000000" w:sz="8" w:space="0"/>
              <w:right w:val="single" w:color="000000" w:sz="8" w:space="0"/>
            </w:tcBorders>
            <w:vAlign w:val="center"/>
          </w:tcPr>
          <w:p>
            <w:pPr>
              <w:pStyle w:val="3"/>
              <w:spacing w:beforeLines="50" w:afterLines="50" w:line="360" w:lineRule="auto"/>
              <w:ind w:firstLine="0"/>
              <w:rPr>
                <w:rFonts w:hAnsi="宋体" w:cs="宋体"/>
                <w:snapToGrid w:val="0"/>
                <w:spacing w:val="0"/>
                <w:sz w:val="24"/>
                <w:szCs w:val="24"/>
                <w:highlight w:val="none"/>
              </w:rPr>
            </w:pPr>
            <w:r>
              <w:rPr>
                <w:rFonts w:hint="eastAsia" w:hAnsi="宋体" w:cs="宋体"/>
                <w:snapToGrid w:val="0"/>
                <w:spacing w:val="0"/>
                <w:sz w:val="24"/>
                <w:szCs w:val="24"/>
                <w:highlight w:val="none"/>
              </w:rPr>
              <w:t>通过框架协议方式，产生</w:t>
            </w:r>
            <w:r>
              <w:rPr>
                <w:rFonts w:hint="eastAsia" w:hAnsi="宋体" w:cs="宋体"/>
                <w:snapToGrid w:val="0"/>
                <w:spacing w:val="0"/>
                <w:sz w:val="24"/>
                <w:szCs w:val="24"/>
                <w:highlight w:val="none"/>
                <w:lang w:eastAsia="zh-CN"/>
              </w:rPr>
              <w:t>2025-2026年度平湖市</w:t>
            </w:r>
            <w:r>
              <w:rPr>
                <w:rFonts w:hint="eastAsia" w:hAnsi="宋体" w:cs="宋体"/>
                <w:snapToGrid w:val="0"/>
                <w:spacing w:val="0"/>
                <w:sz w:val="24"/>
                <w:szCs w:val="24"/>
                <w:highlight w:val="none"/>
              </w:rPr>
              <w:t>预算绩效评价咨询服务入围供应商，承担服务期内预算绩效评价咨询服务工作。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5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rPr>
                <w:rFonts w:ascii="宋体" w:hAnsi="宋体"/>
                <w:highlight w:val="none"/>
              </w:rPr>
            </w:pPr>
            <w:r>
              <w:rPr>
                <w:rFonts w:hint="eastAsia" w:ascii="宋体" w:hAnsi="宋体"/>
                <w:highlight w:val="none"/>
              </w:rPr>
              <w:t>3</w:t>
            </w:r>
          </w:p>
        </w:tc>
        <w:tc>
          <w:tcPr>
            <w:tcW w:w="866"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b/>
                <w:highlight w:val="none"/>
              </w:rPr>
            </w:pPr>
            <w:r>
              <w:rPr>
                <w:rFonts w:hint="eastAsia" w:ascii="宋体" w:hAnsi="宋体"/>
                <w:b/>
                <w:highlight w:val="none"/>
              </w:rPr>
              <w:t>报价要求</w:t>
            </w:r>
          </w:p>
        </w:tc>
        <w:tc>
          <w:tcPr>
            <w:tcW w:w="3780" w:type="pct"/>
            <w:tcBorders>
              <w:top w:val="single" w:color="000000" w:sz="8" w:space="0"/>
              <w:left w:val="single" w:color="000000" w:sz="2" w:space="0"/>
              <w:bottom w:val="single" w:color="000000" w:sz="8" w:space="0"/>
              <w:right w:val="single" w:color="000000" w:sz="8" w:space="0"/>
            </w:tcBorders>
            <w:vAlign w:val="center"/>
          </w:tcPr>
          <w:p>
            <w:pPr>
              <w:pStyle w:val="3"/>
              <w:spacing w:beforeLines="50" w:afterLines="50" w:line="360" w:lineRule="auto"/>
              <w:ind w:firstLine="0"/>
              <w:rPr>
                <w:rFonts w:hAnsi="宋体" w:cs="宋体"/>
                <w:snapToGrid w:val="0"/>
                <w:spacing w:val="0"/>
                <w:sz w:val="24"/>
                <w:szCs w:val="24"/>
                <w:highlight w:val="none"/>
              </w:rPr>
            </w:pPr>
            <w:r>
              <w:rPr>
                <w:rFonts w:hint="eastAsia" w:hAnsi="宋体" w:cs="宋体"/>
                <w:snapToGrid w:val="0"/>
                <w:spacing w:val="0"/>
                <w:sz w:val="24"/>
                <w:szCs w:val="24"/>
                <w:highlight w:val="none"/>
              </w:rPr>
              <w:t>1.本项目报价采用优惠率，响应时提供</w:t>
            </w:r>
            <w:r>
              <w:rPr>
                <w:rFonts w:hint="eastAsia" w:hAnsi="宋体" w:cs="宋体"/>
                <w:snapToGrid w:val="0"/>
                <w:color w:val="FF0000"/>
                <w:spacing w:val="0"/>
                <w:sz w:val="24"/>
                <w:szCs w:val="24"/>
                <w:highlight w:val="none"/>
              </w:rPr>
              <w:t>《</w:t>
            </w:r>
            <w:r>
              <w:rPr>
                <w:rFonts w:hint="eastAsia" w:hAnsi="宋体" w:cs="宋体"/>
                <w:snapToGrid w:val="0"/>
                <w:color w:val="FF0000"/>
                <w:spacing w:val="0"/>
                <w:sz w:val="24"/>
                <w:szCs w:val="24"/>
                <w:highlight w:val="none"/>
                <w:lang w:eastAsia="zh-CN"/>
              </w:rPr>
              <w:t>报价一览表</w:t>
            </w:r>
            <w:r>
              <w:rPr>
                <w:rFonts w:hint="eastAsia" w:hAnsi="宋体" w:cs="宋体"/>
                <w:snapToGrid w:val="0"/>
                <w:color w:val="FF0000"/>
                <w:spacing w:val="0"/>
                <w:sz w:val="24"/>
                <w:szCs w:val="24"/>
                <w:highlight w:val="none"/>
              </w:rPr>
              <w:t>》</w:t>
            </w:r>
            <w:r>
              <w:rPr>
                <w:rFonts w:hint="eastAsia" w:hAnsi="宋体" w:cs="宋体"/>
                <w:snapToGrid w:val="0"/>
                <w:spacing w:val="0"/>
                <w:sz w:val="24"/>
                <w:szCs w:val="24"/>
                <w:highlight w:val="none"/>
              </w:rPr>
              <w:t>；</w:t>
            </w:r>
          </w:p>
          <w:p>
            <w:pPr>
              <w:pStyle w:val="3"/>
              <w:spacing w:beforeLines="50" w:afterLines="50" w:line="360" w:lineRule="auto"/>
              <w:ind w:firstLine="0"/>
              <w:rPr>
                <w:rFonts w:hAnsi="宋体" w:cs="宋体"/>
                <w:snapToGrid w:val="0"/>
                <w:spacing w:val="0"/>
                <w:sz w:val="24"/>
                <w:szCs w:val="24"/>
                <w:highlight w:val="none"/>
              </w:rPr>
            </w:pPr>
            <w:r>
              <w:rPr>
                <w:rFonts w:hint="eastAsia" w:hAnsi="宋体" w:cs="宋体"/>
                <w:snapToGrid w:val="0"/>
                <w:spacing w:val="0"/>
                <w:sz w:val="24"/>
                <w:szCs w:val="24"/>
                <w:highlight w:val="none"/>
              </w:rPr>
              <w:t>2.不论响应结果如何，供应商均应自行承担所有与响应有关的全部费用。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5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rPr>
                <w:rFonts w:ascii="宋体" w:hAnsi="宋体"/>
                <w:highlight w:val="none"/>
              </w:rPr>
            </w:pPr>
            <w:r>
              <w:rPr>
                <w:rFonts w:hint="eastAsia" w:ascii="宋体" w:hAnsi="宋体"/>
                <w:highlight w:val="none"/>
              </w:rPr>
              <w:t>4</w:t>
            </w:r>
          </w:p>
        </w:tc>
        <w:tc>
          <w:tcPr>
            <w:tcW w:w="866"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b/>
                <w:highlight w:val="none"/>
              </w:rPr>
            </w:pPr>
            <w:r>
              <w:rPr>
                <w:rFonts w:ascii="宋体" w:hAnsi="宋体"/>
                <w:b/>
                <w:highlight w:val="none"/>
              </w:rPr>
              <w:t>投标保证金</w:t>
            </w:r>
          </w:p>
        </w:tc>
        <w:tc>
          <w:tcPr>
            <w:tcW w:w="3780" w:type="pct"/>
            <w:tcBorders>
              <w:top w:val="single" w:color="000000" w:sz="8" w:space="0"/>
              <w:left w:val="single" w:color="000000" w:sz="2" w:space="0"/>
              <w:bottom w:val="single" w:color="000000" w:sz="8" w:space="0"/>
              <w:right w:val="single" w:color="000000" w:sz="8" w:space="0"/>
            </w:tcBorders>
            <w:vAlign w:val="center"/>
          </w:tcPr>
          <w:p>
            <w:pPr>
              <w:pStyle w:val="3"/>
              <w:spacing w:beforeLines="50" w:afterLines="50" w:line="360" w:lineRule="auto"/>
              <w:ind w:firstLine="0"/>
              <w:rPr>
                <w:rFonts w:hAnsi="宋体" w:cs="宋体"/>
                <w:snapToGrid w:val="0"/>
                <w:spacing w:val="0"/>
                <w:sz w:val="24"/>
                <w:szCs w:val="24"/>
                <w:highlight w:val="none"/>
              </w:rPr>
            </w:pPr>
            <w:r>
              <w:rPr>
                <w:rFonts w:hint="eastAsia" w:hAnsi="宋体"/>
                <w:sz w:val="24"/>
                <w:highlight w:val="none"/>
              </w:rPr>
              <w:t>0元</w:t>
            </w:r>
            <w:r>
              <w:rPr>
                <w:rFonts w:hAnsi="宋体"/>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5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rPr>
                <w:rFonts w:ascii="宋体" w:hAnsi="宋体"/>
                <w:highlight w:val="none"/>
              </w:rPr>
            </w:pPr>
            <w:r>
              <w:rPr>
                <w:rFonts w:hint="eastAsia" w:ascii="宋体" w:hAnsi="宋体"/>
                <w:highlight w:val="none"/>
              </w:rPr>
              <w:t>5</w:t>
            </w:r>
          </w:p>
        </w:tc>
        <w:tc>
          <w:tcPr>
            <w:tcW w:w="866"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b/>
                <w:highlight w:val="none"/>
              </w:rPr>
            </w:pPr>
            <w:r>
              <w:rPr>
                <w:rFonts w:hint="eastAsia" w:ascii="宋体" w:hAnsi="宋体"/>
                <w:b/>
                <w:bCs/>
                <w:highlight w:val="none"/>
              </w:rPr>
              <w:t>答疑与澄清</w:t>
            </w:r>
          </w:p>
        </w:tc>
        <w:tc>
          <w:tcPr>
            <w:tcW w:w="3780" w:type="pct"/>
            <w:tcBorders>
              <w:top w:val="single" w:color="000000" w:sz="8" w:space="0"/>
              <w:left w:val="single" w:color="000000" w:sz="2" w:space="0"/>
              <w:bottom w:val="single" w:color="000000" w:sz="8" w:space="0"/>
              <w:right w:val="single" w:color="000000" w:sz="8" w:space="0"/>
            </w:tcBorders>
            <w:vAlign w:val="center"/>
          </w:tcPr>
          <w:p>
            <w:pPr>
              <w:pStyle w:val="3"/>
              <w:spacing w:beforeLines="50" w:afterLines="50" w:line="360" w:lineRule="auto"/>
              <w:ind w:firstLine="0"/>
              <w:rPr>
                <w:rFonts w:hAnsi="宋体" w:cs="宋体"/>
                <w:snapToGrid w:val="0"/>
                <w:spacing w:val="0"/>
                <w:sz w:val="24"/>
                <w:szCs w:val="24"/>
                <w:highlight w:val="none"/>
              </w:rPr>
            </w:pPr>
            <w:r>
              <w:rPr>
                <w:rFonts w:hint="eastAsia" w:hAnsi="宋体"/>
                <w:sz w:val="24"/>
                <w:highlight w:val="none"/>
              </w:rPr>
              <w:t>投标人应认真阅读本招标文件，发现其中有误或有不合理要求的，供应商可在获取征集文件之日或者征集文件公告期限届满之日（公告期限届满后获取征集文件的，以公告期限届满之日为准）起7个工作日内以书面形式向招标人提出。采购代理机构对已发出的招标文件进行必要澄清、答复、修改或补充的，应当在招标文件要求提交响应文件截止时间十五日前，在浙江政府采购网(</w:t>
            </w:r>
            <w:r>
              <w:rPr>
                <w:highlight w:val="none"/>
              </w:rPr>
              <w:fldChar w:fldCharType="begin"/>
            </w:r>
            <w:r>
              <w:rPr>
                <w:highlight w:val="none"/>
              </w:rPr>
              <w:instrText xml:space="preserve"> HYPERLINK "http://zfcg.czt.zj.gov.cn/" \t "/home/jyzx2/Documentsx/_blank" </w:instrText>
            </w:r>
            <w:r>
              <w:rPr>
                <w:highlight w:val="none"/>
              </w:rPr>
              <w:fldChar w:fldCharType="separate"/>
            </w:r>
            <w:r>
              <w:rPr>
                <w:rFonts w:hAnsi="宋体"/>
                <w:sz w:val="24"/>
                <w:highlight w:val="none"/>
              </w:rPr>
              <w:t>http://zfcg.czt.zj.gov.cn</w:t>
            </w:r>
            <w:r>
              <w:rPr>
                <w:rFonts w:hAnsi="宋体"/>
                <w:sz w:val="24"/>
                <w:highlight w:val="none"/>
              </w:rPr>
              <w:fldChar w:fldCharType="end"/>
            </w:r>
            <w:r>
              <w:rPr>
                <w:rFonts w:hAnsi="宋体"/>
                <w:sz w:val="24"/>
                <w:highlight w:val="none"/>
              </w:rPr>
              <w:t>)上发布更正公告，请投标人在投标截止前及时关注。</w:t>
            </w:r>
            <w:r>
              <w:rPr>
                <w:rFonts w:hint="eastAsia" w:hAnsi="宋体"/>
                <w:sz w:val="24"/>
                <w:highlight w:val="none"/>
              </w:rPr>
              <w:t>征集</w:t>
            </w:r>
            <w:r>
              <w:rPr>
                <w:rFonts w:hAnsi="宋体"/>
                <w:sz w:val="24"/>
                <w:highlight w:val="none"/>
              </w:rPr>
              <w:t>文件的要澄清、答复、修改或补充，一经在上述媒体发布，即视所有投标人都已经收到相关文件。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3" w:hRule="atLeast"/>
          <w:tblHeader/>
        </w:trPr>
        <w:tc>
          <w:tcPr>
            <w:tcW w:w="35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highlight w:val="none"/>
              </w:rPr>
            </w:pPr>
            <w:r>
              <w:rPr>
                <w:rFonts w:hint="eastAsia" w:ascii="宋体" w:hAnsi="宋体"/>
                <w:highlight w:val="none"/>
              </w:rPr>
              <w:t>6</w:t>
            </w:r>
          </w:p>
        </w:tc>
        <w:tc>
          <w:tcPr>
            <w:tcW w:w="866"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b/>
                <w:highlight w:val="none"/>
              </w:rPr>
            </w:pPr>
            <w:r>
              <w:rPr>
                <w:rFonts w:hint="eastAsia" w:ascii="宋体" w:hAnsi="宋体"/>
                <w:b/>
                <w:highlight w:val="none"/>
              </w:rPr>
              <w:t>响应文件</w:t>
            </w:r>
            <w:r>
              <w:rPr>
                <w:rFonts w:hint="eastAsia" w:ascii="宋体" w:hAnsi="宋体"/>
                <w:b/>
                <w:highlight w:val="none"/>
                <w:lang w:val="zh-CN"/>
              </w:rPr>
              <w:t>组成</w:t>
            </w:r>
          </w:p>
        </w:tc>
        <w:tc>
          <w:tcPr>
            <w:tcW w:w="3780" w:type="pct"/>
            <w:tcBorders>
              <w:top w:val="single" w:color="000000" w:sz="8" w:space="0"/>
              <w:left w:val="single" w:color="000000" w:sz="2" w:space="0"/>
              <w:bottom w:val="single" w:color="000000" w:sz="8" w:space="0"/>
              <w:right w:val="single" w:color="000000" w:sz="8" w:space="0"/>
            </w:tcBorders>
            <w:vAlign w:val="center"/>
          </w:tcPr>
          <w:p>
            <w:pPr>
              <w:pStyle w:val="3"/>
              <w:spacing w:beforeLines="50" w:afterLines="50" w:line="360" w:lineRule="auto"/>
              <w:ind w:firstLine="0"/>
              <w:rPr>
                <w:rFonts w:hAnsi="宋体" w:cs="宋体"/>
                <w:snapToGrid w:val="0"/>
                <w:spacing w:val="0"/>
                <w:sz w:val="24"/>
                <w:szCs w:val="24"/>
                <w:highlight w:val="none"/>
              </w:rPr>
            </w:pPr>
            <w:r>
              <w:rPr>
                <w:rFonts w:hint="eastAsia" w:hAnsi="宋体" w:cs="宋体"/>
                <w:snapToGrid w:val="0"/>
                <w:spacing w:val="0"/>
                <w:sz w:val="24"/>
                <w:szCs w:val="24"/>
                <w:highlight w:val="none"/>
              </w:rPr>
              <w:t>电子响应文件和备份响应文件均由资格文件、商务技术文件及报价文件三部分组成。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5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highlight w:val="none"/>
              </w:rPr>
            </w:pPr>
            <w:r>
              <w:rPr>
                <w:rFonts w:hint="eastAsia" w:ascii="宋体" w:hAnsi="宋体"/>
                <w:highlight w:val="none"/>
              </w:rPr>
              <w:t>7</w:t>
            </w:r>
          </w:p>
        </w:tc>
        <w:tc>
          <w:tcPr>
            <w:tcW w:w="866"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b/>
                <w:highlight w:val="none"/>
              </w:rPr>
            </w:pPr>
            <w:r>
              <w:rPr>
                <w:rFonts w:hint="eastAsia" w:ascii="宋体" w:hAnsi="宋体"/>
                <w:b/>
                <w:bCs/>
                <w:highlight w:val="none"/>
              </w:rPr>
              <w:t>上传电子响应文件时间</w:t>
            </w:r>
          </w:p>
        </w:tc>
        <w:tc>
          <w:tcPr>
            <w:tcW w:w="3780" w:type="pct"/>
            <w:tcBorders>
              <w:top w:val="single" w:color="000000" w:sz="8" w:space="0"/>
              <w:left w:val="single" w:color="000000" w:sz="2" w:space="0"/>
              <w:bottom w:val="single" w:color="000000" w:sz="8" w:space="0"/>
              <w:right w:val="single" w:color="000000" w:sz="8" w:space="0"/>
            </w:tcBorders>
            <w:vAlign w:val="center"/>
          </w:tcPr>
          <w:p>
            <w:pPr>
              <w:pStyle w:val="3"/>
              <w:spacing w:beforeLines="50" w:afterLines="50" w:line="360" w:lineRule="auto"/>
              <w:ind w:firstLine="0"/>
              <w:rPr>
                <w:rFonts w:hAnsi="宋体" w:cs="宋体"/>
                <w:snapToGrid w:val="0"/>
                <w:spacing w:val="0"/>
                <w:sz w:val="24"/>
                <w:szCs w:val="24"/>
                <w:highlight w:val="none"/>
              </w:rPr>
            </w:pPr>
            <w:r>
              <w:rPr>
                <w:rFonts w:hint="eastAsia" w:hAnsi="宋体" w:cs="宋体"/>
                <w:sz w:val="24"/>
                <w:highlight w:val="none"/>
                <w:lang w:eastAsia="zh-CN"/>
              </w:rPr>
              <w:t>2025年2月11日</w:t>
            </w:r>
            <w:r>
              <w:rPr>
                <w:rFonts w:hint="eastAsia" w:hAnsi="宋体" w:cs="宋体"/>
                <w:sz w:val="24"/>
                <w:highlight w:val="none"/>
              </w:rPr>
              <w:t>上午9：00前在“政采云”上自行加密上传电子响应文件，逾期上传或未按要求上传的响应文件将予以拒收。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5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highlight w:val="none"/>
              </w:rPr>
            </w:pPr>
            <w:r>
              <w:rPr>
                <w:rFonts w:hint="eastAsia" w:ascii="宋体" w:hAnsi="宋体"/>
                <w:highlight w:val="none"/>
              </w:rPr>
              <w:t>8</w:t>
            </w:r>
          </w:p>
        </w:tc>
        <w:tc>
          <w:tcPr>
            <w:tcW w:w="866"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b/>
                <w:highlight w:val="none"/>
              </w:rPr>
            </w:pPr>
            <w:r>
              <w:rPr>
                <w:rFonts w:ascii="宋体" w:hAnsi="宋体"/>
                <w:b/>
                <w:highlight w:val="none"/>
              </w:rPr>
              <w:t>评标办法及评分标准</w:t>
            </w:r>
          </w:p>
        </w:tc>
        <w:tc>
          <w:tcPr>
            <w:tcW w:w="3780" w:type="pct"/>
            <w:tcBorders>
              <w:top w:val="single" w:color="000000" w:sz="8" w:space="0"/>
              <w:left w:val="single" w:color="000000" w:sz="2" w:space="0"/>
              <w:bottom w:val="single" w:color="000000" w:sz="8" w:space="0"/>
              <w:right w:val="single" w:color="000000" w:sz="8" w:space="0"/>
            </w:tcBorders>
            <w:vAlign w:val="center"/>
          </w:tcPr>
          <w:p>
            <w:pPr>
              <w:pStyle w:val="3"/>
              <w:spacing w:beforeLines="50" w:afterLines="50" w:line="360" w:lineRule="auto"/>
              <w:ind w:firstLine="0"/>
              <w:rPr>
                <w:rFonts w:hAnsi="宋体" w:cs="宋体"/>
                <w:snapToGrid w:val="0"/>
                <w:spacing w:val="0"/>
                <w:sz w:val="24"/>
                <w:szCs w:val="24"/>
                <w:highlight w:val="none"/>
              </w:rPr>
            </w:pPr>
            <w:r>
              <w:rPr>
                <w:rFonts w:hAnsi="宋体"/>
                <w:sz w:val="24"/>
                <w:highlight w:val="none"/>
              </w:rPr>
              <w:t>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5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highlight w:val="none"/>
              </w:rPr>
            </w:pPr>
            <w:r>
              <w:rPr>
                <w:rFonts w:hint="eastAsia" w:ascii="宋体" w:hAnsi="宋体"/>
                <w:highlight w:val="none"/>
              </w:rPr>
              <w:t>9</w:t>
            </w:r>
          </w:p>
        </w:tc>
        <w:tc>
          <w:tcPr>
            <w:tcW w:w="866"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b/>
                <w:bCs/>
                <w:highlight w:val="none"/>
              </w:rPr>
            </w:pPr>
            <w:r>
              <w:rPr>
                <w:rFonts w:hint="eastAsia" w:ascii="宋体" w:hAnsi="宋体"/>
                <w:b/>
                <w:highlight w:val="none"/>
              </w:rPr>
              <w:t>信用记录</w:t>
            </w:r>
          </w:p>
        </w:tc>
        <w:tc>
          <w:tcPr>
            <w:tcW w:w="3780" w:type="pct"/>
            <w:tcBorders>
              <w:top w:val="single" w:color="000000" w:sz="8" w:space="0"/>
              <w:left w:val="single" w:color="000000" w:sz="2" w:space="0"/>
              <w:bottom w:val="single" w:color="000000" w:sz="8" w:space="0"/>
              <w:right w:val="single" w:color="000000" w:sz="8" w:space="0"/>
            </w:tcBorders>
            <w:vAlign w:val="center"/>
          </w:tcPr>
          <w:p>
            <w:pPr>
              <w:pStyle w:val="3"/>
              <w:spacing w:beforeLines="50" w:afterLines="50" w:line="360" w:lineRule="auto"/>
              <w:ind w:firstLine="0"/>
              <w:rPr>
                <w:rFonts w:hAnsi="宋体" w:cs="宋体"/>
                <w:sz w:val="24"/>
                <w:highlight w:val="none"/>
              </w:rPr>
            </w:pPr>
            <w:r>
              <w:rPr>
                <w:rFonts w:hint="eastAsia" w:hAnsi="宋体"/>
                <w:sz w:val="24"/>
                <w:highlight w:val="none"/>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53"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ind w:firstLine="240" w:firstLineChars="100"/>
              <w:rPr>
                <w:rFonts w:ascii="宋体" w:hAnsi="宋体"/>
                <w:highlight w:val="none"/>
              </w:rPr>
            </w:pPr>
            <w:r>
              <w:rPr>
                <w:rFonts w:hint="eastAsia" w:ascii="宋体" w:hAnsi="宋体"/>
                <w:highlight w:val="none"/>
              </w:rPr>
              <w:t>10</w:t>
            </w:r>
          </w:p>
        </w:tc>
        <w:tc>
          <w:tcPr>
            <w:tcW w:w="866"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b/>
                <w:highlight w:val="none"/>
              </w:rPr>
            </w:pPr>
            <w:r>
              <w:rPr>
                <w:rFonts w:hint="eastAsia" w:ascii="宋体" w:hAnsi="宋体"/>
                <w:b/>
                <w:highlight w:val="none"/>
              </w:rPr>
              <w:t>采购标的所属行业</w:t>
            </w:r>
          </w:p>
        </w:tc>
        <w:tc>
          <w:tcPr>
            <w:tcW w:w="3780"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kern w:val="0"/>
                <w:highlight w:val="none"/>
              </w:rPr>
            </w:pPr>
            <w:r>
              <w:rPr>
                <w:rFonts w:hint="eastAsia" w:ascii="宋体" w:hAnsi="宋体"/>
                <w:kern w:val="0"/>
                <w:highlight w:val="none"/>
              </w:rPr>
              <w:t>标的：</w:t>
            </w:r>
            <w:r>
              <w:rPr>
                <w:rFonts w:hint="eastAsia" w:ascii="宋体" w:hAnsi="宋体"/>
                <w:kern w:val="0"/>
                <w:highlight w:val="none"/>
                <w:u w:val="single"/>
              </w:rPr>
              <w:t>预算绩效评价咨询服务</w:t>
            </w:r>
            <w:r>
              <w:rPr>
                <w:rFonts w:hint="eastAsia" w:ascii="宋体" w:hAnsi="宋体"/>
                <w:kern w:val="0"/>
                <w:highlight w:val="none"/>
              </w:rPr>
              <w:t>，属于</w:t>
            </w:r>
            <w:r>
              <w:rPr>
                <w:rFonts w:hint="eastAsia" w:ascii="宋体" w:hAnsi="宋体"/>
                <w:kern w:val="0"/>
                <w:highlight w:val="none"/>
                <w:u w:val="single"/>
              </w:rPr>
              <w:t>租赁和商务服务业</w:t>
            </w:r>
            <w:r>
              <w:rPr>
                <w:rFonts w:hint="eastAsia" w:ascii="宋体" w:hAnsi="宋体"/>
                <w:kern w:val="0"/>
                <w:highlight w:val="none"/>
              </w:rPr>
              <w:t>行业</w:t>
            </w:r>
            <w:r>
              <w:rPr>
                <w:rFonts w:hint="eastAsia" w:ascii="宋体" w:hAnsi="宋体"/>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53"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ind w:firstLine="240" w:firstLineChars="100"/>
              <w:rPr>
                <w:rFonts w:ascii="宋体" w:hAnsi="宋体"/>
                <w:highlight w:val="none"/>
              </w:rPr>
            </w:pPr>
            <w:r>
              <w:rPr>
                <w:rFonts w:hint="eastAsia" w:ascii="宋体" w:hAnsi="宋体"/>
                <w:highlight w:val="none"/>
              </w:rPr>
              <w:t>11</w:t>
            </w:r>
          </w:p>
        </w:tc>
        <w:tc>
          <w:tcPr>
            <w:tcW w:w="866"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b/>
                <w:highlight w:val="none"/>
              </w:rPr>
            </w:pPr>
            <w:r>
              <w:rPr>
                <w:rFonts w:hint="eastAsia" w:ascii="宋体" w:hAnsi="宋体"/>
                <w:b/>
                <w:highlight w:val="none"/>
              </w:rPr>
              <w:t>中小企业预留份额情况</w:t>
            </w:r>
          </w:p>
        </w:tc>
        <w:tc>
          <w:tcPr>
            <w:tcW w:w="3780"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kern w:val="0"/>
                <w:highlight w:val="none"/>
              </w:rPr>
            </w:pPr>
            <w:r>
              <w:rPr>
                <w:rFonts w:hint="eastAsia" w:ascii="宋体" w:hAnsi="宋体"/>
                <w:highlight w:val="none"/>
              </w:rPr>
              <w:t>根据《政府采购促进中小企业发展管理办法》财库〔2020〕46号文件的规定，本项目</w:t>
            </w:r>
            <w:r>
              <w:rPr>
                <w:rFonts w:hint="eastAsia" w:ascii="宋体" w:hAnsi="宋体"/>
                <w:highlight w:val="none"/>
                <w:u w:val="single"/>
              </w:rPr>
              <w:t>是</w:t>
            </w:r>
            <w:r>
              <w:rPr>
                <w:rFonts w:hint="eastAsia" w:ascii="宋体" w:hAnsi="宋体"/>
                <w:highlight w:val="none"/>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53"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ind w:firstLine="240" w:firstLineChars="100"/>
              <w:rPr>
                <w:rFonts w:ascii="宋体" w:hAnsi="宋体"/>
                <w:highlight w:val="none"/>
              </w:rPr>
            </w:pPr>
            <w:r>
              <w:rPr>
                <w:rFonts w:hint="eastAsia" w:ascii="宋体" w:hAnsi="宋体"/>
                <w:highlight w:val="none"/>
              </w:rPr>
              <w:t>12</w:t>
            </w:r>
          </w:p>
        </w:tc>
        <w:tc>
          <w:tcPr>
            <w:tcW w:w="866"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b/>
                <w:highlight w:val="none"/>
              </w:rPr>
            </w:pPr>
            <w:r>
              <w:rPr>
                <w:rFonts w:hint="eastAsia" w:ascii="宋体" w:hAnsi="宋体"/>
                <w:b/>
                <w:bCs/>
                <w:highlight w:val="none"/>
              </w:rPr>
              <w:t>小微企业有关政策</w:t>
            </w:r>
          </w:p>
        </w:tc>
        <w:tc>
          <w:tcPr>
            <w:tcW w:w="3780"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highlight w:val="none"/>
              </w:rPr>
            </w:pPr>
            <w:r>
              <w:rPr>
                <w:rFonts w:hint="eastAsia" w:ascii="宋体" w:hAnsi="宋体"/>
                <w:highlight w:val="none"/>
              </w:rPr>
              <w:t>1、本征集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rPr>
                <w:rFonts w:ascii="宋体" w:hAnsi="宋体"/>
                <w:highlight w:val="none"/>
              </w:rPr>
            </w:pPr>
            <w:r>
              <w:rPr>
                <w:rFonts w:hint="eastAsia" w:ascii="宋体" w:hAnsi="宋体"/>
                <w:highlight w:val="none"/>
              </w:rPr>
              <w:t>2、投标人按照《关于印发中小企业划型标准规定的通知》（工信部联企业〔2011〕300号）的所属行业规定为中型、小型、微型企业，在响应文件须提供《中小企业声明函》（见附件）；</w:t>
            </w:r>
          </w:p>
          <w:p>
            <w:pPr>
              <w:snapToGrid w:val="0"/>
              <w:spacing w:line="360" w:lineRule="auto"/>
              <w:rPr>
                <w:rFonts w:ascii="宋体" w:hAnsi="宋体"/>
                <w:highlight w:val="none"/>
              </w:rPr>
            </w:pPr>
            <w:r>
              <w:rPr>
                <w:rFonts w:hint="eastAsia" w:ascii="宋体" w:hAnsi="宋体"/>
                <w:highlight w:val="none"/>
              </w:rPr>
              <w:t>3、残疾人福利性单位参加采购活动，视为中小企业，享受中小企业政策扶持，应满足财库[2017]141号文件第一条的规定，并在响应文件中提供《残疾人福利性单位声明函》（见附件）。</w:t>
            </w:r>
          </w:p>
          <w:p>
            <w:pPr>
              <w:snapToGrid w:val="0"/>
              <w:spacing w:line="360" w:lineRule="auto"/>
              <w:rPr>
                <w:rFonts w:ascii="宋体" w:hAnsi="宋体"/>
                <w:highlight w:val="none"/>
              </w:rPr>
            </w:pPr>
            <w:r>
              <w:rPr>
                <w:rFonts w:hint="eastAsia" w:ascii="宋体" w:hAnsi="宋体"/>
                <w:highlight w:val="none"/>
              </w:rPr>
              <w:t>4、监狱企业参加采购活动，视为中小企业，享受中小企业政策扶持，在响应文件中提供由省级以上监狱管理局、戒毒管理局（含新疆生产建设兵团）出具的属于监狱企业的证明文件（格式自拟）。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53"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highlight w:val="none"/>
              </w:rPr>
            </w:pPr>
            <w:r>
              <w:rPr>
                <w:rFonts w:hint="eastAsia" w:ascii="宋体" w:hAnsi="宋体"/>
                <w:highlight w:val="none"/>
              </w:rPr>
              <w:t>13</w:t>
            </w:r>
          </w:p>
        </w:tc>
        <w:tc>
          <w:tcPr>
            <w:tcW w:w="866"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b/>
                <w:highlight w:val="none"/>
              </w:rPr>
            </w:pPr>
            <w:r>
              <w:rPr>
                <w:rFonts w:hint="eastAsia" w:ascii="宋体" w:hAnsi="宋体"/>
                <w:b/>
                <w:highlight w:val="none"/>
              </w:rPr>
              <w:t>节能产品、环境标志产品</w:t>
            </w:r>
          </w:p>
        </w:tc>
        <w:tc>
          <w:tcPr>
            <w:tcW w:w="3780" w:type="pct"/>
            <w:tcBorders>
              <w:top w:val="single" w:color="000000" w:sz="8" w:space="0"/>
              <w:left w:val="single" w:color="000000" w:sz="2" w:space="0"/>
              <w:bottom w:val="single" w:color="000000" w:sz="8" w:space="0"/>
              <w:right w:val="single" w:color="000000" w:sz="8" w:space="0"/>
            </w:tcBorders>
            <w:vAlign w:val="center"/>
          </w:tcPr>
          <w:p>
            <w:pPr>
              <w:pStyle w:val="3"/>
              <w:spacing w:beforeLines="50" w:afterLines="50" w:line="360" w:lineRule="auto"/>
              <w:ind w:firstLine="0"/>
              <w:rPr>
                <w:rFonts w:hAnsi="宋体" w:cs="宋体"/>
                <w:sz w:val="24"/>
                <w:szCs w:val="24"/>
                <w:highlight w:val="none"/>
              </w:rPr>
            </w:pPr>
            <w:r>
              <w:rPr>
                <w:rFonts w:hint="eastAsia" w:hAnsi="宋体" w:cs="宋体"/>
                <w:snapToGrid w:val="0"/>
                <w:spacing w:val="0"/>
                <w:sz w:val="24"/>
                <w:szCs w:val="24"/>
                <w:highlight w:val="none"/>
              </w:rPr>
              <w:t>按《节能产品政府采购品目清单》财库〔2019〕19号执行；政府采购节能产品、环境标志产品实施品目清单管理：投标产品符合财库〔2019〕9号《关于调整优化节能产品、环境标志产品政府采购执行机制的通知》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53"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highlight w:val="none"/>
              </w:rPr>
            </w:pPr>
            <w:r>
              <w:rPr>
                <w:rFonts w:hint="eastAsia" w:ascii="宋体" w:hAnsi="宋体"/>
                <w:highlight w:val="none"/>
              </w:rPr>
              <w:t>14</w:t>
            </w:r>
          </w:p>
        </w:tc>
        <w:tc>
          <w:tcPr>
            <w:tcW w:w="866" w:type="pct"/>
            <w:tcBorders>
              <w:top w:val="single" w:color="000000" w:sz="8" w:space="0"/>
              <w:left w:val="single" w:color="000000" w:sz="2" w:space="0"/>
              <w:bottom w:val="single" w:color="000000" w:sz="8" w:space="0"/>
              <w:right w:val="single" w:color="000000" w:sz="8" w:space="0"/>
            </w:tcBorders>
            <w:vAlign w:val="center"/>
          </w:tcPr>
          <w:p>
            <w:pPr>
              <w:wordWrap w:val="0"/>
              <w:snapToGrid w:val="0"/>
              <w:spacing w:line="400" w:lineRule="exact"/>
              <w:jc w:val="center"/>
              <w:rPr>
                <w:rFonts w:ascii="宋体" w:hAnsi="宋体"/>
                <w:b/>
                <w:highlight w:val="none"/>
              </w:rPr>
            </w:pPr>
            <w:r>
              <w:rPr>
                <w:rFonts w:hint="eastAsia" w:ascii="宋体" w:hAnsi="宋体"/>
                <w:b/>
                <w:highlight w:val="none"/>
              </w:rPr>
              <w:t>评审结果公告及入围通知书</w:t>
            </w:r>
          </w:p>
        </w:tc>
        <w:tc>
          <w:tcPr>
            <w:tcW w:w="3780" w:type="pct"/>
            <w:tcBorders>
              <w:top w:val="single" w:color="000000" w:sz="8" w:space="0"/>
              <w:left w:val="single" w:color="000000" w:sz="2" w:space="0"/>
              <w:bottom w:val="single" w:color="000000" w:sz="8" w:space="0"/>
              <w:right w:val="single" w:color="000000" w:sz="8" w:space="0"/>
            </w:tcBorders>
            <w:vAlign w:val="center"/>
          </w:tcPr>
          <w:p>
            <w:pPr>
              <w:wordWrap w:val="0"/>
              <w:autoSpaceDE w:val="0"/>
              <w:autoSpaceDN w:val="0"/>
              <w:snapToGrid w:val="0"/>
              <w:spacing w:line="400" w:lineRule="exact"/>
              <w:textAlignment w:val="bottom"/>
              <w:rPr>
                <w:rFonts w:ascii="宋体" w:hAnsi="宋体"/>
                <w:highlight w:val="none"/>
              </w:rPr>
            </w:pPr>
            <w:r>
              <w:rPr>
                <w:rFonts w:hint="eastAsia" w:ascii="宋体" w:hAnsi="宋体"/>
                <w:highlight w:val="none"/>
              </w:rPr>
              <w:t>评审结束后2个工作日内，评审结果公告于浙江政府采购网(http://www.zjzfcg.gov.cn/new/)。</w:t>
            </w:r>
            <w:r>
              <w:rPr>
                <w:rFonts w:hint="eastAsia" w:ascii="宋体" w:hAnsi="宋体"/>
                <w:kern w:val="0"/>
                <w:highlight w:val="none"/>
              </w:rPr>
              <w:t>入围公告期限为1个工作日。在公告入围结果的同时，征集人在政采云系统向入围供应商发出入围通知书。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53"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highlight w:val="none"/>
              </w:rPr>
            </w:pPr>
            <w:r>
              <w:rPr>
                <w:rFonts w:hint="eastAsia" w:ascii="宋体" w:hAnsi="宋体"/>
                <w:highlight w:val="none"/>
              </w:rPr>
              <w:t>15</w:t>
            </w:r>
          </w:p>
        </w:tc>
        <w:tc>
          <w:tcPr>
            <w:tcW w:w="866"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b/>
                <w:strike/>
                <w:highlight w:val="none"/>
              </w:rPr>
            </w:pPr>
            <w:r>
              <w:rPr>
                <w:rFonts w:hint="eastAsia" w:ascii="宋体" w:hAnsi="宋体"/>
                <w:b/>
                <w:highlight w:val="none"/>
              </w:rPr>
              <w:t>框架协议签订时间</w:t>
            </w:r>
          </w:p>
        </w:tc>
        <w:tc>
          <w:tcPr>
            <w:tcW w:w="3780" w:type="pct"/>
            <w:tcBorders>
              <w:top w:val="single" w:color="000000" w:sz="8" w:space="0"/>
              <w:left w:val="single" w:color="000000" w:sz="2" w:space="0"/>
              <w:bottom w:val="single" w:color="000000" w:sz="8" w:space="0"/>
              <w:right w:val="single" w:color="000000" w:sz="8" w:space="0"/>
            </w:tcBorders>
            <w:vAlign w:val="center"/>
          </w:tcPr>
          <w:p>
            <w:pPr>
              <w:autoSpaceDE w:val="0"/>
              <w:autoSpaceDN w:val="0"/>
              <w:snapToGrid w:val="0"/>
              <w:spacing w:line="360" w:lineRule="auto"/>
              <w:textAlignment w:val="bottom"/>
              <w:rPr>
                <w:rFonts w:ascii="宋体" w:hAnsi="宋体"/>
                <w:strike/>
                <w:kern w:val="28"/>
                <w:highlight w:val="none"/>
              </w:rPr>
            </w:pPr>
            <w:r>
              <w:rPr>
                <w:rFonts w:hint="eastAsia" w:ascii="宋体" w:hAnsi="宋体"/>
                <w:highlight w:val="none"/>
              </w:rPr>
              <w:t>入围通知书发出后30日内，</w:t>
            </w:r>
            <w:r>
              <w:rPr>
                <w:rFonts w:hint="eastAsia" w:ascii="宋体" w:hAnsi="宋体"/>
                <w:kern w:val="0"/>
                <w:highlight w:val="none"/>
              </w:rPr>
              <w:t>并在框架协议签订后7个工作日内，将框架协议副本报本级财政部门备案。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53"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highlight w:val="none"/>
              </w:rPr>
            </w:pPr>
            <w:r>
              <w:rPr>
                <w:rFonts w:hint="eastAsia" w:ascii="宋体" w:hAnsi="宋体"/>
                <w:highlight w:val="none"/>
              </w:rPr>
              <w:t>16</w:t>
            </w:r>
          </w:p>
        </w:tc>
        <w:tc>
          <w:tcPr>
            <w:tcW w:w="866"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b/>
                <w:strike/>
                <w:color w:val="FF0000"/>
                <w:highlight w:val="none"/>
              </w:rPr>
            </w:pPr>
            <w:r>
              <w:rPr>
                <w:rFonts w:hint="eastAsia" w:ascii="宋体" w:hAnsi="宋体"/>
                <w:b/>
                <w:highlight w:val="none"/>
              </w:rPr>
              <w:t>入围信息公告</w:t>
            </w:r>
          </w:p>
        </w:tc>
        <w:tc>
          <w:tcPr>
            <w:tcW w:w="3780" w:type="pct"/>
            <w:tcBorders>
              <w:top w:val="single" w:color="000000" w:sz="8" w:space="0"/>
              <w:left w:val="single" w:color="000000" w:sz="2" w:space="0"/>
              <w:bottom w:val="single" w:color="000000" w:sz="8" w:space="0"/>
              <w:right w:val="single" w:color="000000" w:sz="8" w:space="0"/>
            </w:tcBorders>
            <w:vAlign w:val="center"/>
          </w:tcPr>
          <w:p>
            <w:pPr>
              <w:autoSpaceDE w:val="0"/>
              <w:autoSpaceDN w:val="0"/>
              <w:snapToGrid w:val="0"/>
              <w:spacing w:line="360" w:lineRule="auto"/>
              <w:textAlignment w:val="bottom"/>
              <w:rPr>
                <w:rFonts w:ascii="宋体" w:hAnsi="宋体"/>
                <w:strike/>
                <w:color w:val="FF0000"/>
                <w:kern w:val="28"/>
                <w:highlight w:val="none"/>
              </w:rPr>
            </w:pPr>
            <w:r>
              <w:rPr>
                <w:rFonts w:hint="eastAsia" w:ascii="宋体" w:hAnsi="宋体"/>
                <w:highlight w:val="none"/>
              </w:rPr>
              <w:t>本项目在框架协议签订后3个工作日内，入围信息公告于浙江政府采购网(http://www.zjzfcg.gov.cn/new/)。</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53"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highlight w:val="none"/>
              </w:rPr>
            </w:pPr>
            <w:r>
              <w:rPr>
                <w:rFonts w:hint="eastAsia" w:ascii="宋体" w:hAnsi="宋体"/>
                <w:highlight w:val="none"/>
              </w:rPr>
              <w:t>17</w:t>
            </w:r>
          </w:p>
        </w:tc>
        <w:tc>
          <w:tcPr>
            <w:tcW w:w="866"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b/>
                <w:strike/>
                <w:highlight w:val="none"/>
              </w:rPr>
            </w:pPr>
            <w:r>
              <w:rPr>
                <w:rFonts w:hint="eastAsia" w:ascii="宋体" w:hAnsi="宋体"/>
                <w:b/>
                <w:highlight w:val="none"/>
              </w:rPr>
              <w:t>预算金额</w:t>
            </w:r>
          </w:p>
        </w:tc>
        <w:tc>
          <w:tcPr>
            <w:tcW w:w="3780"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strike/>
                <w:kern w:val="28"/>
                <w:highlight w:val="none"/>
              </w:rPr>
            </w:pPr>
            <w:r>
              <w:rPr>
                <w:rFonts w:hint="eastAsia" w:ascii="宋体" w:hAnsi="宋体"/>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53"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highlight w:val="none"/>
              </w:rPr>
            </w:pPr>
            <w:r>
              <w:rPr>
                <w:rFonts w:hint="eastAsia" w:ascii="宋体" w:hAnsi="宋体"/>
                <w:highlight w:val="none"/>
              </w:rPr>
              <w:t>18</w:t>
            </w:r>
          </w:p>
        </w:tc>
        <w:tc>
          <w:tcPr>
            <w:tcW w:w="866" w:type="pct"/>
            <w:tcBorders>
              <w:top w:val="single" w:color="000000" w:sz="8" w:space="0"/>
              <w:left w:val="single" w:color="000000" w:sz="2" w:space="0"/>
              <w:bottom w:val="single" w:color="000000" w:sz="8" w:space="0"/>
              <w:right w:val="single" w:color="000000" w:sz="8" w:space="0"/>
            </w:tcBorders>
            <w:vAlign w:val="center"/>
          </w:tcPr>
          <w:p>
            <w:pPr>
              <w:autoSpaceDE w:val="0"/>
              <w:autoSpaceDN w:val="0"/>
              <w:snapToGrid w:val="0"/>
              <w:spacing w:line="360" w:lineRule="auto"/>
              <w:jc w:val="center"/>
              <w:textAlignment w:val="bottom"/>
              <w:rPr>
                <w:rFonts w:ascii="宋体" w:hAnsi="宋体"/>
                <w:kern w:val="0"/>
                <w:highlight w:val="none"/>
              </w:rPr>
            </w:pPr>
            <w:r>
              <w:rPr>
                <w:rFonts w:hint="eastAsia" w:ascii="宋体" w:hAnsi="宋体"/>
                <w:b/>
                <w:highlight w:val="none"/>
              </w:rPr>
              <w:t>履约保证金</w:t>
            </w:r>
          </w:p>
        </w:tc>
        <w:tc>
          <w:tcPr>
            <w:tcW w:w="3780" w:type="pct"/>
            <w:tcBorders>
              <w:top w:val="single" w:color="000000" w:sz="8" w:space="0"/>
              <w:left w:val="single" w:color="000000" w:sz="2" w:space="0"/>
              <w:bottom w:val="single" w:color="000000" w:sz="8" w:space="0"/>
              <w:right w:val="single" w:color="000000" w:sz="8" w:space="0"/>
            </w:tcBorders>
            <w:vAlign w:val="center"/>
          </w:tcPr>
          <w:p>
            <w:pPr>
              <w:autoSpaceDE w:val="0"/>
              <w:autoSpaceDN w:val="0"/>
              <w:snapToGrid w:val="0"/>
              <w:spacing w:line="360" w:lineRule="auto"/>
              <w:textAlignment w:val="bottom"/>
              <w:rPr>
                <w:rFonts w:ascii="宋体" w:hAnsi="宋体"/>
                <w:kern w:val="0"/>
                <w:highlight w:val="none"/>
              </w:rPr>
            </w:pPr>
            <w:r>
              <w:rPr>
                <w:rFonts w:hint="eastAsia" w:ascii="宋体" w:hAnsi="宋体"/>
                <w:kern w:val="0"/>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53"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highlight w:val="none"/>
              </w:rPr>
            </w:pPr>
            <w:r>
              <w:rPr>
                <w:rFonts w:hint="eastAsia" w:ascii="宋体" w:hAnsi="宋体"/>
                <w:highlight w:val="none"/>
              </w:rPr>
              <w:t>19</w:t>
            </w:r>
          </w:p>
        </w:tc>
        <w:tc>
          <w:tcPr>
            <w:tcW w:w="866"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b/>
                <w:strike/>
                <w:highlight w:val="none"/>
              </w:rPr>
            </w:pPr>
            <w:r>
              <w:rPr>
                <w:rFonts w:hint="eastAsia" w:ascii="宋体" w:hAnsi="宋体"/>
                <w:b/>
                <w:highlight w:val="none"/>
              </w:rPr>
              <w:t>响应文件有效期</w:t>
            </w:r>
          </w:p>
        </w:tc>
        <w:tc>
          <w:tcPr>
            <w:tcW w:w="3780" w:type="pct"/>
            <w:tcBorders>
              <w:top w:val="single" w:color="000000" w:sz="8" w:space="0"/>
              <w:left w:val="single" w:color="000000" w:sz="2" w:space="0"/>
              <w:bottom w:val="single" w:color="000000" w:sz="8" w:space="0"/>
              <w:right w:val="single" w:color="000000" w:sz="8" w:space="0"/>
            </w:tcBorders>
            <w:vAlign w:val="center"/>
          </w:tcPr>
          <w:p>
            <w:pPr>
              <w:autoSpaceDE w:val="0"/>
              <w:autoSpaceDN w:val="0"/>
              <w:snapToGrid w:val="0"/>
              <w:spacing w:line="360" w:lineRule="auto"/>
              <w:textAlignment w:val="bottom"/>
              <w:rPr>
                <w:rFonts w:ascii="宋体" w:hAnsi="宋体"/>
                <w:strike/>
                <w:kern w:val="28"/>
                <w:highlight w:val="none"/>
              </w:rPr>
            </w:pPr>
            <w:r>
              <w:rPr>
                <w:rFonts w:hint="eastAsia" w:ascii="宋体" w:hAnsi="宋体"/>
                <w:highlight w:val="none"/>
                <w:u w:val="single"/>
              </w:rPr>
              <w:t>90</w:t>
            </w:r>
            <w:r>
              <w:rPr>
                <w:rFonts w:hint="eastAsia" w:ascii="宋体" w:hAnsi="宋体"/>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53"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highlight w:val="none"/>
              </w:rPr>
            </w:pPr>
            <w:r>
              <w:rPr>
                <w:rFonts w:hint="eastAsia" w:ascii="宋体" w:hAnsi="宋体"/>
                <w:highlight w:val="none"/>
              </w:rPr>
              <w:t>20</w:t>
            </w:r>
          </w:p>
        </w:tc>
        <w:tc>
          <w:tcPr>
            <w:tcW w:w="866"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b/>
                <w:strike/>
                <w:highlight w:val="none"/>
              </w:rPr>
            </w:pPr>
            <w:r>
              <w:rPr>
                <w:rFonts w:hint="eastAsia" w:ascii="宋体" w:hAnsi="宋体"/>
                <w:b/>
                <w:highlight w:val="none"/>
              </w:rPr>
              <w:t>特别说明</w:t>
            </w:r>
          </w:p>
        </w:tc>
        <w:tc>
          <w:tcPr>
            <w:tcW w:w="3780" w:type="pct"/>
            <w:tcBorders>
              <w:top w:val="single" w:color="000000" w:sz="8" w:space="0"/>
              <w:left w:val="single" w:color="000000" w:sz="2" w:space="0"/>
              <w:bottom w:val="single" w:color="000000" w:sz="8" w:space="0"/>
              <w:right w:val="single" w:color="000000" w:sz="8" w:space="0"/>
            </w:tcBorders>
            <w:vAlign w:val="center"/>
          </w:tcPr>
          <w:p>
            <w:pPr>
              <w:autoSpaceDE w:val="0"/>
              <w:autoSpaceDN w:val="0"/>
              <w:snapToGrid w:val="0"/>
              <w:spacing w:line="360" w:lineRule="auto"/>
              <w:textAlignment w:val="bottom"/>
              <w:rPr>
                <w:rFonts w:ascii="宋体" w:hAnsi="宋体"/>
                <w:strike/>
                <w:kern w:val="28"/>
                <w:highlight w:val="none"/>
              </w:rPr>
            </w:pPr>
            <w:r>
              <w:rPr>
                <w:rFonts w:hint="eastAsia" w:ascii="宋体" w:hAnsi="宋体"/>
                <w:snapToGrid w:val="0"/>
                <w:kern w:val="0"/>
                <w:highlight w:val="none"/>
              </w:rPr>
              <w:t>本征集文件的解释权属于征集人</w:t>
            </w:r>
            <w:r>
              <w:rPr>
                <w:rFonts w:hint="eastAsia" w:ascii="宋体" w:hAnsi="宋体"/>
                <w:highlight w:val="none"/>
              </w:rPr>
              <w:t>。</w:t>
            </w:r>
          </w:p>
        </w:tc>
      </w:tr>
    </w:tbl>
    <w:p>
      <w:pPr>
        <w:pStyle w:val="6"/>
        <w:spacing w:line="360" w:lineRule="auto"/>
        <w:jc w:val="center"/>
        <w:rPr>
          <w:rFonts w:ascii="宋体" w:hAnsi="宋体" w:cs="宋体"/>
          <w:szCs w:val="24"/>
          <w:highlight w:val="none"/>
        </w:rPr>
      </w:pPr>
      <w:bookmarkStart w:id="37" w:name="_Toc384730989"/>
      <w:bookmarkStart w:id="38" w:name="_Toc439666965"/>
      <w:bookmarkStart w:id="39" w:name="_Toc380429945"/>
      <w:r>
        <w:rPr>
          <w:rFonts w:hint="eastAsia" w:ascii="宋体" w:hAnsi="宋体" w:cs="宋体"/>
          <w:szCs w:val="24"/>
          <w:highlight w:val="none"/>
        </w:rPr>
        <w:t>一、总则</w:t>
      </w:r>
    </w:p>
    <w:p>
      <w:pPr>
        <w:snapToGrid w:val="0"/>
        <w:spacing w:line="360" w:lineRule="auto"/>
        <w:ind w:firstLine="472" w:firstLineChars="196"/>
        <w:jc w:val="left"/>
        <w:outlineLvl w:val="2"/>
        <w:rPr>
          <w:rFonts w:ascii="宋体" w:hAnsi="宋体"/>
          <w:b/>
          <w:highlight w:val="none"/>
        </w:rPr>
      </w:pPr>
      <w:bookmarkStart w:id="40" w:name="_Toc397670919"/>
      <w:bookmarkStart w:id="41" w:name="_Toc397670948"/>
      <w:r>
        <w:rPr>
          <w:rFonts w:hint="eastAsia" w:ascii="宋体" w:hAnsi="宋体"/>
          <w:b/>
          <w:highlight w:val="none"/>
        </w:rPr>
        <w:t>（一）适用范围</w:t>
      </w:r>
    </w:p>
    <w:p>
      <w:pPr>
        <w:snapToGrid w:val="0"/>
        <w:spacing w:line="360" w:lineRule="auto"/>
        <w:ind w:firstLine="480" w:firstLineChars="200"/>
        <w:jc w:val="left"/>
        <w:rPr>
          <w:rFonts w:ascii="宋体" w:hAnsi="宋体"/>
          <w:highlight w:val="none"/>
        </w:rPr>
      </w:pPr>
      <w:r>
        <w:rPr>
          <w:rFonts w:hint="eastAsia" w:ascii="宋体" w:hAnsi="宋体"/>
          <w:highlight w:val="none"/>
        </w:rPr>
        <w:t>本征集文件适用于该项目的征集、响应、评审、定标、考核、合同履约、付款等行为（法律、法规另有规定的，从其规定）。</w:t>
      </w:r>
    </w:p>
    <w:p>
      <w:pPr>
        <w:snapToGrid w:val="0"/>
        <w:spacing w:line="360" w:lineRule="auto"/>
        <w:ind w:firstLine="354" w:firstLineChars="147"/>
        <w:jc w:val="left"/>
        <w:outlineLvl w:val="2"/>
        <w:rPr>
          <w:rFonts w:ascii="宋体" w:hAnsi="宋体"/>
          <w:b/>
          <w:highlight w:val="none"/>
        </w:rPr>
      </w:pPr>
      <w:r>
        <w:rPr>
          <w:rFonts w:hint="eastAsia" w:ascii="宋体" w:hAnsi="宋体"/>
          <w:b/>
          <w:highlight w:val="none"/>
        </w:rPr>
        <w:t>（二）定义</w:t>
      </w:r>
    </w:p>
    <w:p>
      <w:pPr>
        <w:snapToGrid w:val="0"/>
        <w:spacing w:line="360" w:lineRule="auto"/>
        <w:ind w:firstLine="480" w:firstLineChars="200"/>
        <w:jc w:val="left"/>
        <w:rPr>
          <w:rFonts w:ascii="宋体" w:hAnsi="宋体"/>
          <w:highlight w:val="none"/>
        </w:rPr>
      </w:pPr>
      <w:r>
        <w:rPr>
          <w:rFonts w:hint="eastAsia" w:ascii="宋体" w:hAnsi="宋体"/>
          <w:highlight w:val="none"/>
        </w:rPr>
        <w:t>1.“征集人”系指平湖市公共资源交易中心。</w:t>
      </w:r>
    </w:p>
    <w:p>
      <w:pPr>
        <w:pStyle w:val="2"/>
        <w:spacing w:line="360" w:lineRule="auto"/>
        <w:ind w:left="0" w:leftChars="0" w:firstLine="0" w:firstLineChars="0"/>
        <w:rPr>
          <w:rFonts w:hAnsi="宋体" w:cs="宋体"/>
          <w:sz w:val="24"/>
          <w:highlight w:val="none"/>
        </w:rPr>
      </w:pPr>
      <w:r>
        <w:rPr>
          <w:rFonts w:hint="eastAsia" w:hAnsi="宋体" w:cs="宋体"/>
          <w:kern w:val="2"/>
          <w:sz w:val="24"/>
          <w:highlight w:val="none"/>
        </w:rPr>
        <w:t xml:space="preserve"> 2.“采购人”系指</w:t>
      </w:r>
      <w:r>
        <w:rPr>
          <w:rFonts w:hint="eastAsia" w:hAnsi="宋体" w:cs="宋体"/>
          <w:kern w:val="2"/>
          <w:sz w:val="24"/>
          <w:highlight w:val="none"/>
          <w:lang w:eastAsia="zh-CN"/>
        </w:rPr>
        <w:t>平湖市</w:t>
      </w:r>
      <w:r>
        <w:rPr>
          <w:rFonts w:hint="eastAsia" w:hAnsi="宋体" w:cs="宋体"/>
          <w:kern w:val="2"/>
          <w:sz w:val="24"/>
          <w:highlight w:val="none"/>
        </w:rPr>
        <w:t>国家机关、事业单位和团体组织需要政府采购预算绩效评价咨询服务的单位。</w:t>
      </w:r>
    </w:p>
    <w:p>
      <w:pPr>
        <w:snapToGrid w:val="0"/>
        <w:spacing w:line="360" w:lineRule="auto"/>
        <w:ind w:firstLine="480" w:firstLineChars="200"/>
        <w:jc w:val="left"/>
        <w:rPr>
          <w:rFonts w:ascii="宋体" w:hAnsi="宋体"/>
          <w:highlight w:val="none"/>
        </w:rPr>
      </w:pPr>
      <w:r>
        <w:rPr>
          <w:rFonts w:hint="eastAsia" w:ascii="宋体" w:hAnsi="宋体"/>
          <w:highlight w:val="none"/>
        </w:rPr>
        <w:t>3.“供应商”系指向征集人提交响应文件的法人、其他组织或者自然人。</w:t>
      </w:r>
    </w:p>
    <w:p>
      <w:pPr>
        <w:snapToGrid w:val="0"/>
        <w:spacing w:line="360" w:lineRule="auto"/>
        <w:ind w:firstLine="480" w:firstLineChars="200"/>
        <w:jc w:val="left"/>
        <w:rPr>
          <w:rFonts w:ascii="宋体" w:hAnsi="宋体"/>
          <w:highlight w:val="none"/>
        </w:rPr>
      </w:pPr>
      <w:r>
        <w:rPr>
          <w:rFonts w:hint="eastAsia" w:ascii="宋体" w:hAnsi="宋体"/>
          <w:highlight w:val="none"/>
        </w:rPr>
        <w:t>4.“负责人”系指法人企业的法定负责人，或其他组织为法律、行政法规规定代表单位行使职权的主要负责人，或自然人本人。</w:t>
      </w:r>
    </w:p>
    <w:p>
      <w:pPr>
        <w:snapToGrid w:val="0"/>
        <w:spacing w:line="360" w:lineRule="auto"/>
        <w:ind w:firstLine="480" w:firstLineChars="200"/>
        <w:jc w:val="left"/>
        <w:rPr>
          <w:rFonts w:ascii="宋体" w:hAnsi="宋体"/>
          <w:highlight w:val="none"/>
        </w:rPr>
      </w:pPr>
      <w:r>
        <w:rPr>
          <w:rFonts w:hint="eastAsia" w:ascii="宋体" w:hAnsi="宋体"/>
          <w:highlight w:val="none"/>
        </w:rPr>
        <w:t>5“产品”系指供应商按征集文件规定，须向采购人提供的一切设备、保险、税金、备品备件、工具、手册及其他有关技术资料和材料。</w:t>
      </w:r>
    </w:p>
    <w:p>
      <w:pPr>
        <w:snapToGrid w:val="0"/>
        <w:spacing w:line="360" w:lineRule="auto"/>
        <w:ind w:firstLine="480" w:firstLineChars="200"/>
        <w:jc w:val="left"/>
        <w:rPr>
          <w:rFonts w:ascii="宋体" w:hAnsi="宋体"/>
          <w:highlight w:val="none"/>
        </w:rPr>
      </w:pPr>
      <w:r>
        <w:rPr>
          <w:rFonts w:hint="eastAsia" w:ascii="宋体" w:hAnsi="宋体"/>
          <w:highlight w:val="none"/>
        </w:rPr>
        <w:t>6.“服务”系指征集文件规定供应商须承担的安装、调试、技术协助、校准、培训、技术指导以及其他类似的义务。</w:t>
      </w:r>
    </w:p>
    <w:p>
      <w:pPr>
        <w:snapToGrid w:val="0"/>
        <w:spacing w:line="360" w:lineRule="auto"/>
        <w:ind w:firstLine="480" w:firstLineChars="200"/>
        <w:jc w:val="left"/>
        <w:rPr>
          <w:rFonts w:ascii="宋体" w:hAnsi="宋体"/>
          <w:highlight w:val="none"/>
        </w:rPr>
      </w:pPr>
      <w:r>
        <w:rPr>
          <w:rFonts w:hint="eastAsia" w:ascii="宋体" w:hAnsi="宋体"/>
          <w:highlight w:val="none"/>
        </w:rPr>
        <w:t>7.“项目”系指供应商按征集文件规定向采购人提供的产品和服务。</w:t>
      </w:r>
    </w:p>
    <w:p>
      <w:pPr>
        <w:snapToGrid w:val="0"/>
        <w:spacing w:line="360" w:lineRule="auto"/>
        <w:ind w:firstLine="480" w:firstLineChars="200"/>
        <w:jc w:val="left"/>
        <w:rPr>
          <w:rFonts w:ascii="宋体" w:hAnsi="宋体"/>
          <w:highlight w:val="none"/>
        </w:rPr>
      </w:pPr>
      <w:r>
        <w:rPr>
          <w:rFonts w:hint="eastAsia" w:ascii="宋体" w:hAnsi="宋体"/>
          <w:highlight w:val="none"/>
        </w:rPr>
        <w:t>8.“书面形式”包括信函、传真、电报等。</w:t>
      </w:r>
    </w:p>
    <w:p>
      <w:pPr>
        <w:snapToGrid w:val="0"/>
        <w:spacing w:line="360" w:lineRule="auto"/>
        <w:ind w:firstLine="480" w:firstLineChars="200"/>
        <w:jc w:val="left"/>
        <w:rPr>
          <w:rFonts w:ascii="宋体" w:hAnsi="宋体"/>
          <w:highlight w:val="none"/>
        </w:rPr>
      </w:pPr>
      <w:r>
        <w:rPr>
          <w:rFonts w:hint="eastAsia" w:ascii="宋体" w:hAnsi="宋体"/>
          <w:highlight w:val="none"/>
        </w:rPr>
        <w:t>9.“电子签名”系指数据电文中以电子形式所含、所附用于识别签名人身份并表明签名人认可其中内容的数据；“公章”系指单位法定名称章。</w:t>
      </w:r>
    </w:p>
    <w:p>
      <w:pPr>
        <w:snapToGrid w:val="0"/>
        <w:spacing w:line="360" w:lineRule="auto"/>
        <w:ind w:firstLine="480" w:firstLineChars="200"/>
        <w:jc w:val="left"/>
        <w:rPr>
          <w:rFonts w:ascii="宋体" w:hAnsi="宋体"/>
          <w:highlight w:val="none"/>
        </w:rPr>
      </w:pPr>
      <w:r>
        <w:rPr>
          <w:rFonts w:hint="eastAsia" w:ascii="宋体" w:hAnsi="宋体"/>
          <w:highlight w:val="none"/>
        </w:rPr>
        <w:t>10.“电子交易平台”是指本项目政府采购活动所依托的政府采购云平台（https://www.zcygov.cn/）。</w:t>
      </w:r>
    </w:p>
    <w:p>
      <w:pPr>
        <w:snapToGrid w:val="0"/>
        <w:spacing w:line="360" w:lineRule="auto"/>
        <w:ind w:left="240" w:leftChars="100" w:firstLine="240" w:firstLineChars="100"/>
        <w:jc w:val="left"/>
        <w:rPr>
          <w:rFonts w:ascii="宋体" w:hAnsi="宋体"/>
          <w:highlight w:val="none"/>
        </w:rPr>
      </w:pPr>
      <w:r>
        <w:rPr>
          <w:rFonts w:hint="eastAsia" w:ascii="宋体" w:hAnsi="宋体"/>
          <w:highlight w:val="none"/>
        </w:rPr>
        <w:t>11.“▲”系指实质性要求条款，不满足实行性要求条款的响应文件无效。</w:t>
      </w:r>
    </w:p>
    <w:bookmarkEnd w:id="40"/>
    <w:bookmarkEnd w:id="41"/>
    <w:p>
      <w:pPr>
        <w:wordWrap w:val="0"/>
        <w:snapToGrid w:val="0"/>
        <w:spacing w:beforeLines="50" w:line="360" w:lineRule="auto"/>
        <w:ind w:firstLine="472" w:firstLineChars="196"/>
        <w:jc w:val="left"/>
        <w:outlineLvl w:val="2"/>
        <w:rPr>
          <w:rFonts w:ascii="宋体" w:hAnsi="宋体"/>
          <w:b/>
          <w:highlight w:val="none"/>
        </w:rPr>
      </w:pPr>
      <w:bookmarkStart w:id="42" w:name="_Toc397670949"/>
      <w:bookmarkStart w:id="43" w:name="_Toc397670920"/>
      <w:r>
        <w:rPr>
          <w:rFonts w:hint="eastAsia" w:ascii="宋体" w:hAnsi="宋体"/>
          <w:b/>
          <w:highlight w:val="none"/>
        </w:rPr>
        <w:t>（三）采购方式</w:t>
      </w:r>
    </w:p>
    <w:p>
      <w:pPr>
        <w:spacing w:line="360" w:lineRule="auto"/>
        <w:ind w:firstLine="480" w:firstLineChars="200"/>
        <w:rPr>
          <w:rFonts w:ascii="宋体" w:hAnsi="宋体"/>
          <w:highlight w:val="none"/>
        </w:rPr>
      </w:pPr>
      <w:r>
        <w:rPr>
          <w:rFonts w:hint="eastAsia" w:ascii="宋体" w:hAnsi="宋体"/>
          <w:highlight w:val="none"/>
        </w:rPr>
        <w:t>采用框架协议采购方式进行。</w:t>
      </w:r>
    </w:p>
    <w:p>
      <w:pPr>
        <w:wordWrap w:val="0"/>
        <w:snapToGrid w:val="0"/>
        <w:spacing w:beforeLines="50" w:line="360" w:lineRule="auto"/>
        <w:ind w:firstLine="472" w:firstLineChars="196"/>
        <w:jc w:val="left"/>
        <w:outlineLvl w:val="2"/>
        <w:rPr>
          <w:rFonts w:ascii="宋体" w:hAnsi="宋体"/>
          <w:b/>
          <w:highlight w:val="none"/>
        </w:rPr>
      </w:pPr>
      <w:r>
        <w:rPr>
          <w:rFonts w:hint="eastAsia" w:ascii="宋体" w:hAnsi="宋体"/>
          <w:b/>
          <w:highlight w:val="none"/>
        </w:rPr>
        <w:t>（四）响应委托</w:t>
      </w:r>
    </w:p>
    <w:p>
      <w:pPr>
        <w:wordWrap w:val="0"/>
        <w:snapToGrid w:val="0"/>
        <w:spacing w:line="360" w:lineRule="auto"/>
        <w:ind w:firstLine="480" w:firstLineChars="200"/>
        <w:jc w:val="left"/>
        <w:rPr>
          <w:rFonts w:ascii="宋体" w:hAnsi="宋体"/>
          <w:highlight w:val="none"/>
        </w:rPr>
      </w:pPr>
      <w:r>
        <w:rPr>
          <w:rFonts w:hint="eastAsia" w:ascii="宋体" w:hAnsi="宋体"/>
          <w:highlight w:val="none"/>
        </w:rPr>
        <w:t>供应商代表须提供有效身份证件。如供应商代表不是法定代表人，须有法定代表人出具的授权委托书（格式详见第六章）。</w:t>
      </w:r>
    </w:p>
    <w:bookmarkEnd w:id="42"/>
    <w:bookmarkEnd w:id="43"/>
    <w:p>
      <w:pPr>
        <w:wordWrap w:val="0"/>
        <w:snapToGrid w:val="0"/>
        <w:spacing w:beforeLines="50" w:line="360" w:lineRule="auto"/>
        <w:ind w:firstLine="472" w:firstLineChars="196"/>
        <w:jc w:val="left"/>
        <w:outlineLvl w:val="2"/>
        <w:rPr>
          <w:rFonts w:ascii="宋体" w:hAnsi="宋体"/>
          <w:b/>
          <w:highlight w:val="none"/>
        </w:rPr>
      </w:pPr>
      <w:bookmarkStart w:id="44" w:name="_Toc397670950"/>
      <w:bookmarkStart w:id="45" w:name="_Toc397670921"/>
      <w:r>
        <w:rPr>
          <w:rFonts w:hint="eastAsia" w:ascii="宋体" w:hAnsi="宋体"/>
          <w:b/>
          <w:highlight w:val="none"/>
        </w:rPr>
        <w:t>（五）响应费用</w:t>
      </w:r>
      <w:bookmarkEnd w:id="44"/>
      <w:bookmarkEnd w:id="45"/>
    </w:p>
    <w:p>
      <w:pPr>
        <w:wordWrap w:val="0"/>
        <w:snapToGrid w:val="0"/>
        <w:spacing w:line="360" w:lineRule="auto"/>
        <w:ind w:firstLine="480" w:firstLineChars="200"/>
        <w:jc w:val="left"/>
        <w:rPr>
          <w:rFonts w:ascii="宋体" w:hAnsi="宋体"/>
          <w:highlight w:val="none"/>
        </w:rPr>
      </w:pPr>
      <w:r>
        <w:rPr>
          <w:rFonts w:hint="eastAsia" w:ascii="宋体" w:hAnsi="宋体"/>
          <w:highlight w:val="none"/>
        </w:rPr>
        <w:t>不论响应结果如何，供应商均应自行承担所有与响应有关的全部费用（征集文件有相反规定除外）。</w:t>
      </w:r>
    </w:p>
    <w:p>
      <w:pPr>
        <w:wordWrap w:val="0"/>
        <w:snapToGrid w:val="0"/>
        <w:spacing w:beforeLines="50" w:line="360" w:lineRule="auto"/>
        <w:ind w:firstLine="472" w:firstLineChars="196"/>
        <w:jc w:val="left"/>
        <w:outlineLvl w:val="2"/>
        <w:rPr>
          <w:rFonts w:ascii="宋体" w:hAnsi="宋体"/>
          <w:b/>
          <w:highlight w:val="none"/>
        </w:rPr>
      </w:pPr>
      <w:r>
        <w:rPr>
          <w:rFonts w:hint="eastAsia" w:ascii="宋体" w:hAnsi="宋体"/>
          <w:b/>
          <w:highlight w:val="none"/>
        </w:rPr>
        <w:t>（六）联合体</w:t>
      </w:r>
    </w:p>
    <w:p>
      <w:pPr>
        <w:pStyle w:val="3"/>
        <w:spacing w:line="360" w:lineRule="auto"/>
        <w:rPr>
          <w:rFonts w:hAnsi="宋体" w:cs="宋体"/>
          <w:sz w:val="24"/>
          <w:szCs w:val="24"/>
          <w:highlight w:val="none"/>
        </w:rPr>
      </w:pPr>
      <w:r>
        <w:rPr>
          <w:rFonts w:hint="eastAsia" w:hAnsi="宋体" w:cs="宋体"/>
          <w:sz w:val="24"/>
          <w:szCs w:val="24"/>
          <w:highlight w:val="none"/>
        </w:rPr>
        <w:t>本项目不允许联合体参加。</w:t>
      </w:r>
    </w:p>
    <w:p>
      <w:pPr>
        <w:wordWrap w:val="0"/>
        <w:snapToGrid w:val="0"/>
        <w:spacing w:beforeLines="50" w:line="360" w:lineRule="auto"/>
        <w:ind w:firstLine="472" w:firstLineChars="196"/>
        <w:jc w:val="left"/>
        <w:outlineLvl w:val="2"/>
        <w:rPr>
          <w:rFonts w:ascii="宋体" w:hAnsi="宋体"/>
          <w:b/>
          <w:highlight w:val="none"/>
        </w:rPr>
      </w:pPr>
      <w:r>
        <w:rPr>
          <w:rFonts w:hint="eastAsia" w:ascii="宋体" w:hAnsi="宋体"/>
          <w:b/>
          <w:highlight w:val="none"/>
        </w:rPr>
        <w:t>（七）转包与分包</w:t>
      </w:r>
    </w:p>
    <w:p>
      <w:pPr>
        <w:pStyle w:val="3"/>
        <w:spacing w:line="360" w:lineRule="auto"/>
        <w:rPr>
          <w:rFonts w:hAnsi="宋体" w:cs="宋体"/>
          <w:sz w:val="24"/>
          <w:szCs w:val="24"/>
          <w:highlight w:val="none"/>
        </w:rPr>
      </w:pPr>
      <w:r>
        <w:rPr>
          <w:rFonts w:hint="eastAsia" w:hAnsi="宋体" w:cs="宋体"/>
          <w:sz w:val="24"/>
          <w:szCs w:val="24"/>
          <w:highlight w:val="none"/>
        </w:rPr>
        <w:t>1.本项目不允许转包。</w:t>
      </w:r>
    </w:p>
    <w:p>
      <w:pPr>
        <w:pStyle w:val="3"/>
        <w:spacing w:line="360" w:lineRule="auto"/>
        <w:rPr>
          <w:rFonts w:hAnsi="宋体" w:cs="宋体"/>
          <w:sz w:val="24"/>
          <w:szCs w:val="24"/>
          <w:highlight w:val="none"/>
        </w:rPr>
      </w:pPr>
      <w:r>
        <w:rPr>
          <w:rFonts w:hint="eastAsia" w:hAnsi="宋体" w:cs="宋体"/>
          <w:sz w:val="24"/>
          <w:szCs w:val="24"/>
          <w:highlight w:val="none"/>
        </w:rPr>
        <w:t>2.本项目不允许分包。</w:t>
      </w:r>
    </w:p>
    <w:p>
      <w:pPr>
        <w:snapToGrid w:val="0"/>
        <w:spacing w:line="360" w:lineRule="auto"/>
        <w:ind w:firstLine="472" w:firstLineChars="196"/>
        <w:jc w:val="left"/>
        <w:outlineLvl w:val="2"/>
        <w:rPr>
          <w:rFonts w:ascii="宋体" w:hAnsi="宋体"/>
          <w:b/>
          <w:highlight w:val="none"/>
        </w:rPr>
      </w:pPr>
      <w:r>
        <w:rPr>
          <w:rFonts w:hint="eastAsia" w:ascii="宋体" w:hAnsi="宋体"/>
          <w:b/>
          <w:highlight w:val="none"/>
        </w:rPr>
        <w:t>（八）特别说明：</w:t>
      </w:r>
    </w:p>
    <w:p>
      <w:pPr>
        <w:pStyle w:val="12"/>
        <w:snapToGrid w:val="0"/>
        <w:spacing w:before="120" w:after="120" w:line="360" w:lineRule="auto"/>
        <w:ind w:left="2" w:leftChars="1" w:firstLine="480" w:firstLineChars="200"/>
        <w:rPr>
          <w:rFonts w:hAnsi="宋体" w:cs="宋体"/>
          <w:highlight w:val="none"/>
        </w:rPr>
      </w:pPr>
      <w:r>
        <w:rPr>
          <w:rFonts w:hint="eastAsia" w:hAnsi="宋体" w:cs="宋体"/>
          <w:highlight w:val="none"/>
        </w:rPr>
        <w:t>1.供应商响应所使用的资格、信誉、荣誉、业绩与企业认证必须为本法人所拥有。供应商响应所使用的采购项目实施人员必须为本法人员工（或必须为本法人或控股供应商正式员工）。</w:t>
      </w:r>
    </w:p>
    <w:p>
      <w:pPr>
        <w:pStyle w:val="12"/>
        <w:snapToGrid w:val="0"/>
        <w:spacing w:before="120" w:after="120" w:line="360" w:lineRule="auto"/>
        <w:ind w:left="2" w:leftChars="1" w:firstLine="480" w:firstLineChars="200"/>
        <w:rPr>
          <w:rFonts w:hAnsi="宋体" w:cs="宋体"/>
          <w:highlight w:val="none"/>
        </w:rPr>
      </w:pPr>
      <w:r>
        <w:rPr>
          <w:rFonts w:hint="eastAsia" w:hAnsi="宋体" w:cs="宋体"/>
          <w:highlight w:val="none"/>
        </w:rPr>
        <w:t>2.供应商应仔细阅读征集文件的所有内容，按照征集文件的要求提交响应文件，并对所提供的全部资料的真实性承担法律责任。</w:t>
      </w:r>
    </w:p>
    <w:p>
      <w:pPr>
        <w:pStyle w:val="12"/>
        <w:snapToGrid w:val="0"/>
        <w:spacing w:before="120" w:after="120" w:line="360" w:lineRule="auto"/>
        <w:ind w:left="2" w:leftChars="1" w:firstLine="480" w:firstLineChars="200"/>
        <w:rPr>
          <w:rFonts w:hAnsi="宋体" w:cs="宋体"/>
          <w:highlight w:val="none"/>
        </w:rPr>
      </w:pPr>
      <w:r>
        <w:rPr>
          <w:rFonts w:hint="eastAsia" w:hAnsi="宋体" w:cs="宋体"/>
          <w:highlight w:val="none"/>
        </w:rPr>
        <w:t>3.供应商在征集活动中提供任何虚假材料，其响应无效，并报监管部门查处；入围后发现的，入围供应商须依照《中华人民共和国消费者权益保护法》第49条之规定双倍赔偿征集人，且民事赔偿并不免除违法供应商的行政与刑事责任。</w:t>
      </w:r>
    </w:p>
    <w:p>
      <w:pPr>
        <w:spacing w:line="360" w:lineRule="auto"/>
        <w:rPr>
          <w:rFonts w:ascii="宋体" w:hAnsi="宋体"/>
          <w:b/>
          <w:bCs/>
          <w:highlight w:val="none"/>
        </w:rPr>
      </w:pPr>
      <w:r>
        <w:rPr>
          <w:rFonts w:hint="eastAsia" w:ascii="宋体" w:hAnsi="宋体"/>
          <w:b/>
          <w:bCs/>
          <w:highlight w:val="none"/>
        </w:rPr>
        <w:t xml:space="preserve">   （九）质疑和投诉</w:t>
      </w:r>
    </w:p>
    <w:p>
      <w:pPr>
        <w:spacing w:line="360" w:lineRule="auto"/>
        <w:ind w:firstLine="480" w:firstLineChars="200"/>
        <w:rPr>
          <w:rFonts w:ascii="宋体" w:hAnsi="宋体"/>
          <w:highlight w:val="none"/>
        </w:rPr>
      </w:pPr>
      <w:bookmarkStart w:id="46" w:name="_Toc532218224"/>
      <w:bookmarkStart w:id="47" w:name="_Toc406402987"/>
      <w:bookmarkStart w:id="48" w:name="_Toc406402943"/>
      <w:r>
        <w:rPr>
          <w:rFonts w:hint="eastAsia" w:ascii="宋体" w:hAnsi="宋体"/>
          <w:highlight w:val="none"/>
        </w:rPr>
        <w:t>根据《中华人民共和国政府采购法》、《中华人民共和国政府采购法实施条例》《财政部关于加强政府采购供应商投诉受理审查工作的通知》(财库〔2007〕1号)、《政府采购质疑和投诉办法》（第94号令）和《浙江省政府采购供应商质疑处理办法》（浙财采监[2012]18号）等规定，政府采购供应商可以依法提起质疑和投诉。</w:t>
      </w:r>
    </w:p>
    <w:p>
      <w:pPr>
        <w:spacing w:line="360" w:lineRule="auto"/>
        <w:ind w:firstLine="480" w:firstLineChars="200"/>
        <w:rPr>
          <w:rFonts w:ascii="宋体" w:hAnsi="宋体"/>
          <w:highlight w:val="none"/>
        </w:rPr>
      </w:pPr>
      <w:r>
        <w:rPr>
          <w:rFonts w:hint="eastAsia" w:ascii="宋体" w:hAnsi="宋体"/>
          <w:highlight w:val="none"/>
        </w:rPr>
        <w:t>1.供应商询问</w:t>
      </w:r>
    </w:p>
    <w:p>
      <w:pPr>
        <w:spacing w:line="360" w:lineRule="auto"/>
        <w:ind w:firstLine="480" w:firstLineChars="200"/>
        <w:rPr>
          <w:rFonts w:ascii="宋体" w:hAnsi="宋体"/>
          <w:highlight w:val="none"/>
        </w:rPr>
      </w:pPr>
      <w:r>
        <w:rPr>
          <w:rFonts w:hint="eastAsia" w:ascii="宋体" w:hAnsi="宋体"/>
          <w:highlight w:val="none"/>
        </w:rPr>
        <w:t>供应商对政府采购活动事项有疑问的，可以向征集人提出询问，征集人应当及时做出答复，但答复的内容不得涉及商业秘密。</w:t>
      </w:r>
    </w:p>
    <w:p>
      <w:pPr>
        <w:spacing w:line="360" w:lineRule="auto"/>
        <w:ind w:firstLine="480" w:firstLineChars="200"/>
        <w:rPr>
          <w:rFonts w:ascii="宋体" w:hAnsi="宋体"/>
          <w:highlight w:val="none"/>
        </w:rPr>
      </w:pPr>
      <w:r>
        <w:rPr>
          <w:rFonts w:hint="eastAsia" w:ascii="宋体" w:hAnsi="宋体"/>
          <w:highlight w:val="none"/>
        </w:rPr>
        <w:t>2.供应商质疑</w:t>
      </w:r>
    </w:p>
    <w:p>
      <w:pPr>
        <w:spacing w:line="360" w:lineRule="auto"/>
        <w:ind w:firstLine="480" w:firstLineChars="200"/>
        <w:rPr>
          <w:rFonts w:ascii="宋体" w:hAnsi="宋体"/>
          <w:highlight w:val="none"/>
        </w:rPr>
      </w:pPr>
      <w:r>
        <w:rPr>
          <w:rFonts w:hint="eastAsia" w:ascii="宋体" w:hAnsi="宋体"/>
          <w:highlight w:val="none"/>
        </w:rPr>
        <w:t>2.1征集文件质疑：供应商可在获取征集文件之日或者征集文件公告期限届满之日（公告期限届满后获取征集文件的，以公告期限届满之日为准）起7个工作日内发起；评审结果质疑：投标（响应）供应商可在评审结果公告期限届满之日起7个工作日内发起。</w:t>
      </w:r>
    </w:p>
    <w:p>
      <w:pPr>
        <w:spacing w:line="360" w:lineRule="auto"/>
        <w:ind w:firstLine="480" w:firstLineChars="200"/>
        <w:rPr>
          <w:rFonts w:ascii="宋体" w:hAnsi="宋体"/>
          <w:highlight w:val="none"/>
        </w:rPr>
      </w:pPr>
      <w:r>
        <w:rPr>
          <w:rFonts w:hint="eastAsia" w:ascii="宋体" w:hAnsi="宋体"/>
          <w:highlight w:val="none"/>
        </w:rPr>
        <w:t>2.2供应商须在法定质疑期内一次性提出针对同一采购程序环节的质疑。</w:t>
      </w:r>
    </w:p>
    <w:p>
      <w:pPr>
        <w:spacing w:line="360" w:lineRule="auto"/>
        <w:ind w:firstLine="480" w:firstLineChars="200"/>
        <w:rPr>
          <w:rFonts w:ascii="宋体" w:hAnsi="宋体"/>
          <w:highlight w:val="none"/>
        </w:rPr>
      </w:pPr>
      <w:r>
        <w:rPr>
          <w:rFonts w:hint="eastAsia" w:ascii="宋体" w:hAnsi="宋体"/>
          <w:highlight w:val="none"/>
        </w:rPr>
        <w:t>2.3质疑应当以书面形式提出，格式见《政府采购质疑和投诉办法》（财政部令第94号）附件范本，下载网址：浙江政府采购网(网https://login.zcygov.cn/login)，位置：“首页-下载专区-质疑投诉模板”。供应商提出质疑应当提交质疑函和必要的证明材料。质疑函应当包括下列内容：</w:t>
      </w:r>
    </w:p>
    <w:p>
      <w:pPr>
        <w:spacing w:line="360" w:lineRule="auto"/>
        <w:ind w:firstLine="480" w:firstLineChars="200"/>
        <w:rPr>
          <w:rFonts w:ascii="宋体" w:hAnsi="宋体"/>
          <w:highlight w:val="none"/>
        </w:rPr>
      </w:pPr>
      <w:r>
        <w:rPr>
          <w:rFonts w:hint="eastAsia" w:ascii="宋体" w:hAnsi="宋体"/>
          <w:highlight w:val="none"/>
        </w:rPr>
        <w:t>a供应商的姓名或者名称、地址、邮编、联系人及联系电话；</w:t>
      </w:r>
    </w:p>
    <w:p>
      <w:pPr>
        <w:spacing w:line="360" w:lineRule="auto"/>
        <w:ind w:firstLine="480" w:firstLineChars="200"/>
        <w:rPr>
          <w:rFonts w:ascii="宋体" w:hAnsi="宋体"/>
          <w:highlight w:val="none"/>
        </w:rPr>
      </w:pPr>
      <w:r>
        <w:rPr>
          <w:rFonts w:hint="eastAsia" w:ascii="宋体" w:hAnsi="宋体"/>
          <w:highlight w:val="none"/>
        </w:rPr>
        <w:t>b质疑项目的名称、编号；</w:t>
      </w:r>
    </w:p>
    <w:p>
      <w:pPr>
        <w:spacing w:line="360" w:lineRule="auto"/>
        <w:ind w:firstLine="480" w:firstLineChars="200"/>
        <w:rPr>
          <w:rFonts w:ascii="宋体" w:hAnsi="宋体"/>
          <w:highlight w:val="none"/>
        </w:rPr>
      </w:pPr>
      <w:r>
        <w:rPr>
          <w:rFonts w:hint="eastAsia" w:ascii="宋体" w:hAnsi="宋体"/>
          <w:highlight w:val="none"/>
        </w:rPr>
        <w:t>c具体、明确的质疑事项和与质疑事项相关的请求；</w:t>
      </w:r>
    </w:p>
    <w:p>
      <w:pPr>
        <w:spacing w:line="360" w:lineRule="auto"/>
        <w:ind w:firstLine="480" w:firstLineChars="200"/>
        <w:rPr>
          <w:rFonts w:ascii="宋体" w:hAnsi="宋体"/>
          <w:highlight w:val="none"/>
        </w:rPr>
      </w:pPr>
      <w:r>
        <w:rPr>
          <w:rFonts w:hint="eastAsia" w:ascii="宋体" w:hAnsi="宋体"/>
          <w:highlight w:val="none"/>
        </w:rPr>
        <w:t>d事实依据；</w:t>
      </w:r>
    </w:p>
    <w:p>
      <w:pPr>
        <w:spacing w:line="360" w:lineRule="auto"/>
        <w:ind w:firstLine="480" w:firstLineChars="200"/>
        <w:rPr>
          <w:rFonts w:ascii="宋体" w:hAnsi="宋体"/>
          <w:highlight w:val="none"/>
        </w:rPr>
      </w:pPr>
      <w:r>
        <w:rPr>
          <w:rFonts w:hint="eastAsia" w:ascii="宋体" w:hAnsi="宋体"/>
          <w:highlight w:val="none"/>
        </w:rPr>
        <w:t>e必要的法律依据；</w:t>
      </w:r>
    </w:p>
    <w:p>
      <w:pPr>
        <w:spacing w:line="360" w:lineRule="auto"/>
        <w:ind w:firstLine="480" w:firstLineChars="200"/>
        <w:rPr>
          <w:rFonts w:ascii="宋体" w:hAnsi="宋体"/>
          <w:highlight w:val="none"/>
        </w:rPr>
      </w:pPr>
      <w:r>
        <w:rPr>
          <w:rFonts w:hint="eastAsia" w:ascii="宋体" w:hAnsi="宋体"/>
          <w:highlight w:val="none"/>
        </w:rPr>
        <w:t>f提出质疑的日期。</w:t>
      </w:r>
    </w:p>
    <w:p>
      <w:pPr>
        <w:spacing w:line="360" w:lineRule="auto"/>
        <w:ind w:firstLine="480" w:firstLineChars="200"/>
        <w:rPr>
          <w:rFonts w:ascii="宋体" w:hAnsi="宋体"/>
          <w:highlight w:val="none"/>
        </w:rPr>
      </w:pPr>
      <w:r>
        <w:rPr>
          <w:rFonts w:hint="eastAsia" w:ascii="宋体" w:hAnsi="宋体"/>
          <w:highlight w:val="none"/>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pPr>
        <w:spacing w:line="360" w:lineRule="auto"/>
        <w:ind w:firstLine="480" w:firstLineChars="200"/>
        <w:rPr>
          <w:rFonts w:ascii="宋体" w:hAnsi="宋体"/>
          <w:highlight w:val="none"/>
        </w:rPr>
      </w:pPr>
      <w:r>
        <w:rPr>
          <w:rFonts w:hint="eastAsia" w:ascii="宋体" w:hAnsi="宋体"/>
          <w:highlight w:val="none"/>
        </w:rPr>
        <w:t>2.4邮寄政府采购投诉材料当日下班时间点后收到的视为下一个工作日收到。</w:t>
      </w:r>
    </w:p>
    <w:p>
      <w:pPr>
        <w:spacing w:line="360" w:lineRule="auto"/>
        <w:ind w:firstLine="480" w:firstLineChars="200"/>
        <w:rPr>
          <w:rFonts w:ascii="宋体" w:hAnsi="宋体"/>
          <w:highlight w:val="none"/>
        </w:rPr>
      </w:pPr>
      <w:r>
        <w:rPr>
          <w:rFonts w:hint="eastAsia" w:ascii="宋体" w:hAnsi="宋体"/>
          <w:highlight w:val="none"/>
        </w:rPr>
        <w:t>3.供应商投诉</w:t>
      </w:r>
    </w:p>
    <w:p>
      <w:pPr>
        <w:spacing w:line="360" w:lineRule="auto"/>
        <w:ind w:firstLine="480" w:firstLineChars="200"/>
        <w:rPr>
          <w:rFonts w:ascii="宋体" w:hAnsi="宋体"/>
          <w:highlight w:val="none"/>
        </w:rPr>
      </w:pPr>
      <w:r>
        <w:rPr>
          <w:rFonts w:hint="eastAsia" w:ascii="宋体" w:hAnsi="宋体"/>
          <w:highlight w:val="none"/>
        </w:rPr>
        <w:t>供应商对征集人的质疑答复不满意或者征集人未在规定时间内做出答复的，可以在答复期满后十五个工作日内向同级政府采购监督管理部门投诉。</w:t>
      </w:r>
    </w:p>
    <w:p>
      <w:pPr>
        <w:spacing w:line="360" w:lineRule="auto"/>
        <w:ind w:firstLine="480" w:firstLineChars="200"/>
        <w:rPr>
          <w:rFonts w:ascii="宋体" w:hAnsi="宋体"/>
          <w:highlight w:val="none"/>
        </w:rPr>
      </w:pPr>
      <w:r>
        <w:rPr>
          <w:rFonts w:hint="eastAsia" w:ascii="宋体" w:hAnsi="宋体"/>
          <w:highlight w:val="none"/>
        </w:rPr>
        <w:t>4.供应商质疑、投诉应当有明确的请求和必要的证明材料。供应商投诉的事项不得超出已质疑事项的范围。</w:t>
      </w:r>
    </w:p>
    <w:p>
      <w:pPr>
        <w:spacing w:line="360" w:lineRule="auto"/>
        <w:ind w:firstLine="480" w:firstLineChars="200"/>
        <w:rPr>
          <w:rFonts w:ascii="宋体" w:hAnsi="宋体"/>
          <w:highlight w:val="none"/>
        </w:rPr>
      </w:pPr>
      <w:r>
        <w:rPr>
          <w:rFonts w:hint="eastAsia" w:ascii="宋体" w:hAnsi="宋体"/>
          <w:highlight w:val="none"/>
        </w:rPr>
        <w:t>质疑受理地点：平湖市公共资源交易中心；联系人：</w:t>
      </w:r>
      <w:r>
        <w:rPr>
          <w:rFonts w:hint="eastAsia" w:ascii="宋体" w:hAnsi="宋体"/>
          <w:highlight w:val="none"/>
          <w:lang w:eastAsia="zh-CN"/>
        </w:rPr>
        <w:t>于先生</w:t>
      </w:r>
      <w:r>
        <w:rPr>
          <w:rFonts w:hint="eastAsia" w:ascii="宋体" w:hAnsi="宋体"/>
          <w:highlight w:val="none"/>
        </w:rPr>
        <w:t>；联系电话： 0573-85</w:t>
      </w:r>
      <w:r>
        <w:rPr>
          <w:rFonts w:hint="eastAsia" w:ascii="宋体" w:hAnsi="宋体"/>
          <w:highlight w:val="none"/>
          <w:lang w:val="en-US" w:eastAsia="zh-CN"/>
        </w:rPr>
        <w:t>63</w:t>
      </w:r>
      <w:r>
        <w:rPr>
          <w:rFonts w:hint="eastAsia" w:ascii="宋体" w:hAnsi="宋体"/>
          <w:highlight w:val="none"/>
        </w:rPr>
        <w:t>1720 。</w:t>
      </w:r>
    </w:p>
    <w:p>
      <w:pPr>
        <w:spacing w:line="360" w:lineRule="auto"/>
        <w:ind w:firstLine="480" w:firstLineChars="200"/>
        <w:rPr>
          <w:rFonts w:ascii="宋体" w:hAnsi="宋体"/>
          <w:highlight w:val="none"/>
        </w:rPr>
      </w:pPr>
      <w:r>
        <w:rPr>
          <w:rFonts w:hint="eastAsia" w:ascii="宋体" w:hAnsi="宋体"/>
          <w:highlight w:val="none"/>
        </w:rPr>
        <w:t>投诉受理地点：平湖市财政局；联系人：陆先生；联系电话： 0573-85013033 。</w:t>
      </w:r>
    </w:p>
    <w:p>
      <w:pPr>
        <w:pStyle w:val="12"/>
        <w:snapToGrid w:val="0"/>
        <w:spacing w:before="120" w:after="120" w:line="360" w:lineRule="auto"/>
        <w:ind w:firstLine="472" w:firstLineChars="196"/>
        <w:jc w:val="center"/>
        <w:outlineLvl w:val="1"/>
        <w:rPr>
          <w:rFonts w:hAnsi="宋体" w:cs="宋体"/>
          <w:b/>
          <w:highlight w:val="none"/>
        </w:rPr>
      </w:pPr>
      <w:r>
        <w:rPr>
          <w:rFonts w:hint="eastAsia" w:hAnsi="宋体" w:cs="宋体"/>
          <w:b/>
          <w:highlight w:val="none"/>
        </w:rPr>
        <w:t>二、</w:t>
      </w:r>
      <w:bookmarkEnd w:id="46"/>
      <w:bookmarkEnd w:id="47"/>
      <w:bookmarkEnd w:id="48"/>
      <w:r>
        <w:rPr>
          <w:rFonts w:hint="eastAsia" w:hAnsi="宋体" w:cs="宋体"/>
          <w:b/>
          <w:highlight w:val="none"/>
        </w:rPr>
        <w:t>征集文件</w:t>
      </w:r>
    </w:p>
    <w:p>
      <w:pPr>
        <w:snapToGrid w:val="0"/>
        <w:spacing w:line="360" w:lineRule="auto"/>
        <w:ind w:firstLine="472" w:firstLineChars="196"/>
        <w:jc w:val="left"/>
        <w:rPr>
          <w:rFonts w:ascii="宋体" w:hAnsi="宋体"/>
          <w:b/>
          <w:highlight w:val="none"/>
        </w:rPr>
      </w:pPr>
      <w:r>
        <w:rPr>
          <w:rFonts w:hint="eastAsia" w:ascii="宋体" w:hAnsi="宋体"/>
          <w:b/>
          <w:highlight w:val="none"/>
        </w:rPr>
        <w:t>（一）征集文件的构成。</w:t>
      </w:r>
    </w:p>
    <w:p>
      <w:pPr>
        <w:snapToGrid w:val="0"/>
        <w:spacing w:line="360" w:lineRule="auto"/>
        <w:ind w:firstLine="472" w:firstLineChars="196"/>
        <w:jc w:val="left"/>
        <w:rPr>
          <w:rFonts w:ascii="宋体" w:hAnsi="宋体"/>
          <w:b/>
          <w:highlight w:val="none"/>
        </w:rPr>
      </w:pPr>
      <w:r>
        <w:rPr>
          <w:rFonts w:hint="eastAsia" w:ascii="宋体" w:hAnsi="宋体"/>
          <w:b/>
          <w:highlight w:val="none"/>
        </w:rPr>
        <w:t>本征集文件由以下部分组成：</w:t>
      </w:r>
    </w:p>
    <w:p>
      <w:pPr>
        <w:snapToGrid w:val="0"/>
        <w:spacing w:line="360" w:lineRule="auto"/>
        <w:ind w:firstLine="480" w:firstLineChars="200"/>
        <w:jc w:val="left"/>
        <w:rPr>
          <w:rFonts w:ascii="宋体" w:hAnsi="宋体"/>
          <w:highlight w:val="none"/>
        </w:rPr>
      </w:pPr>
      <w:r>
        <w:rPr>
          <w:rFonts w:hint="eastAsia" w:ascii="宋体" w:hAnsi="宋体"/>
          <w:highlight w:val="none"/>
        </w:rPr>
        <w:t>1.框架协议采购公告</w:t>
      </w:r>
    </w:p>
    <w:p>
      <w:pPr>
        <w:snapToGrid w:val="0"/>
        <w:spacing w:line="360" w:lineRule="auto"/>
        <w:ind w:firstLine="480" w:firstLineChars="200"/>
        <w:jc w:val="left"/>
        <w:rPr>
          <w:rFonts w:ascii="宋体" w:hAnsi="宋体"/>
          <w:highlight w:val="none"/>
        </w:rPr>
      </w:pPr>
      <w:r>
        <w:rPr>
          <w:rFonts w:hint="eastAsia" w:ascii="宋体" w:hAnsi="宋体"/>
          <w:highlight w:val="none"/>
        </w:rPr>
        <w:t>2.框架协议采购需求</w:t>
      </w:r>
    </w:p>
    <w:p>
      <w:pPr>
        <w:snapToGrid w:val="0"/>
        <w:spacing w:line="360" w:lineRule="auto"/>
        <w:ind w:firstLine="480" w:firstLineChars="200"/>
        <w:jc w:val="left"/>
        <w:rPr>
          <w:rFonts w:ascii="宋体" w:hAnsi="宋体"/>
          <w:highlight w:val="none"/>
        </w:rPr>
      </w:pPr>
      <w:r>
        <w:rPr>
          <w:rFonts w:hint="eastAsia" w:ascii="宋体" w:hAnsi="宋体"/>
          <w:highlight w:val="none"/>
        </w:rPr>
        <w:t>3.供应商须知</w:t>
      </w:r>
    </w:p>
    <w:p>
      <w:pPr>
        <w:snapToGrid w:val="0"/>
        <w:spacing w:line="360" w:lineRule="auto"/>
        <w:ind w:firstLine="480" w:firstLineChars="200"/>
        <w:jc w:val="left"/>
        <w:rPr>
          <w:rFonts w:ascii="宋体" w:hAnsi="宋体"/>
          <w:highlight w:val="none"/>
        </w:rPr>
      </w:pPr>
      <w:r>
        <w:rPr>
          <w:rFonts w:hint="eastAsia" w:ascii="宋体" w:hAnsi="宋体"/>
          <w:highlight w:val="none"/>
        </w:rPr>
        <w:t>4.评审办法及标准</w:t>
      </w:r>
    </w:p>
    <w:p>
      <w:pPr>
        <w:snapToGrid w:val="0"/>
        <w:spacing w:line="360" w:lineRule="auto"/>
        <w:ind w:firstLine="480" w:firstLineChars="200"/>
        <w:jc w:val="left"/>
        <w:rPr>
          <w:rFonts w:ascii="宋体" w:hAnsi="宋体"/>
          <w:highlight w:val="none"/>
        </w:rPr>
      </w:pPr>
      <w:r>
        <w:rPr>
          <w:rFonts w:hint="eastAsia" w:ascii="宋体" w:hAnsi="宋体"/>
          <w:highlight w:val="none"/>
        </w:rPr>
        <w:t>5.合同主要条款</w:t>
      </w:r>
    </w:p>
    <w:p>
      <w:pPr>
        <w:snapToGrid w:val="0"/>
        <w:spacing w:line="360" w:lineRule="auto"/>
        <w:ind w:firstLine="480" w:firstLineChars="200"/>
        <w:jc w:val="left"/>
        <w:rPr>
          <w:rFonts w:ascii="宋体" w:hAnsi="宋体"/>
          <w:highlight w:val="none"/>
        </w:rPr>
      </w:pPr>
      <w:r>
        <w:rPr>
          <w:rFonts w:hint="eastAsia" w:ascii="宋体" w:hAnsi="宋体"/>
          <w:highlight w:val="none"/>
        </w:rPr>
        <w:t>6.响应文件格式</w:t>
      </w:r>
    </w:p>
    <w:p>
      <w:pPr>
        <w:snapToGrid w:val="0"/>
        <w:spacing w:line="360" w:lineRule="auto"/>
        <w:ind w:firstLine="480" w:firstLineChars="200"/>
        <w:jc w:val="left"/>
        <w:rPr>
          <w:rFonts w:ascii="宋体" w:hAnsi="宋体"/>
          <w:highlight w:val="none"/>
        </w:rPr>
      </w:pPr>
      <w:r>
        <w:rPr>
          <w:rFonts w:hint="eastAsia" w:ascii="宋体" w:hAnsi="宋体"/>
          <w:highlight w:val="none"/>
        </w:rPr>
        <w:t>7.本项目征集文件的澄清、答复、修改、补充的内容</w:t>
      </w:r>
    </w:p>
    <w:p>
      <w:pPr>
        <w:snapToGrid w:val="0"/>
        <w:spacing w:line="360" w:lineRule="auto"/>
        <w:ind w:firstLine="472" w:firstLineChars="196"/>
        <w:jc w:val="left"/>
        <w:rPr>
          <w:rFonts w:ascii="宋体" w:hAnsi="宋体"/>
          <w:b/>
          <w:highlight w:val="none"/>
        </w:rPr>
      </w:pPr>
      <w:r>
        <w:rPr>
          <w:rFonts w:hint="eastAsia" w:ascii="宋体" w:hAnsi="宋体"/>
          <w:b/>
          <w:highlight w:val="none"/>
        </w:rPr>
        <w:t>（二）供应商的风险</w:t>
      </w:r>
    </w:p>
    <w:p>
      <w:pPr>
        <w:pStyle w:val="16"/>
        <w:spacing w:line="360" w:lineRule="auto"/>
        <w:rPr>
          <w:rFonts w:ascii="宋体" w:eastAsia="宋体" w:cs="宋体"/>
          <w:color w:val="auto"/>
          <w:highlight w:val="none"/>
        </w:rPr>
      </w:pPr>
      <w:r>
        <w:rPr>
          <w:rFonts w:hint="eastAsia" w:ascii="宋体" w:eastAsia="宋体" w:cs="宋体"/>
          <w:color w:val="auto"/>
          <w:highlight w:val="none"/>
        </w:rPr>
        <w:t>供应商没有按照征集文件要求提供全部资料，或者供应商没有对征集文件在各方面做出实质性响应是供应商的风险，并可能导致其响应为无效响应。</w:t>
      </w:r>
    </w:p>
    <w:p>
      <w:pPr>
        <w:pStyle w:val="25"/>
        <w:snapToGrid w:val="0"/>
        <w:spacing w:before="0"/>
        <w:ind w:firstLine="482"/>
        <w:rPr>
          <w:rFonts w:ascii="宋体" w:hAnsi="宋体"/>
          <w:b/>
          <w:szCs w:val="24"/>
          <w:highlight w:val="none"/>
        </w:rPr>
      </w:pPr>
      <w:r>
        <w:rPr>
          <w:rFonts w:hint="eastAsia" w:ascii="宋体" w:hAnsi="宋体"/>
          <w:b/>
          <w:szCs w:val="24"/>
          <w:highlight w:val="none"/>
        </w:rPr>
        <w:t>（三）征集文件的澄清与修改</w:t>
      </w:r>
    </w:p>
    <w:p>
      <w:pPr>
        <w:pStyle w:val="25"/>
        <w:snapToGrid w:val="0"/>
        <w:spacing w:before="0"/>
        <w:ind w:firstLine="480"/>
        <w:rPr>
          <w:rFonts w:ascii="宋体" w:hAnsi="宋体"/>
          <w:szCs w:val="24"/>
          <w:highlight w:val="none"/>
        </w:rPr>
      </w:pPr>
      <w:r>
        <w:rPr>
          <w:rFonts w:hint="eastAsia" w:ascii="宋体" w:hAnsi="宋体"/>
          <w:szCs w:val="24"/>
          <w:highlight w:val="none"/>
        </w:rPr>
        <w:t>1.供应商应认真阅读本征集文件，发现其中有误或有不合理要求的，可要求征集人澄清。征集人对已发出的征集文件进行必要澄清或者修改的，应当在征集文件要求提交响应文件截止十五日前，在财政部门指定的政府采购信息发布媒体上发布更正公告，并以书面形式通知所有征集文件获取人。</w:t>
      </w:r>
    </w:p>
    <w:p>
      <w:pPr>
        <w:pStyle w:val="12"/>
        <w:snapToGrid w:val="0"/>
        <w:spacing w:before="120" w:after="120" w:line="360" w:lineRule="auto"/>
        <w:ind w:firstLine="480" w:firstLineChars="200"/>
        <w:rPr>
          <w:rFonts w:hAnsi="宋体" w:cs="宋体"/>
          <w:highlight w:val="none"/>
        </w:rPr>
      </w:pPr>
      <w:r>
        <w:rPr>
          <w:rFonts w:hint="eastAsia" w:hAnsi="宋体" w:cs="宋体"/>
          <w:highlight w:val="none"/>
        </w:rPr>
        <w:t>2.征集文件澄清或者修改的内容为征集文件的组成部分。当征集文件与澄清或者修改就同一内容的表述不一致时，以最后发出的书面文件为准。</w:t>
      </w:r>
    </w:p>
    <w:p>
      <w:pPr>
        <w:pStyle w:val="12"/>
        <w:snapToGrid w:val="0"/>
        <w:spacing w:before="120" w:after="120" w:line="360" w:lineRule="auto"/>
        <w:ind w:firstLine="480" w:firstLineChars="200"/>
        <w:rPr>
          <w:rFonts w:hAnsi="宋体" w:cs="宋体"/>
          <w:highlight w:val="none"/>
        </w:rPr>
      </w:pPr>
      <w:r>
        <w:rPr>
          <w:rFonts w:hint="eastAsia" w:hAnsi="宋体" w:cs="宋体"/>
          <w:highlight w:val="none"/>
        </w:rPr>
        <w:t>3.对征集文件的澄清、答复、修改或补充都应该通过集中采购机构以法定形式发布，征集人非通过本机构，不得擅自澄清、答复、修改或补充征集文件。</w:t>
      </w:r>
    </w:p>
    <w:p>
      <w:pPr>
        <w:pStyle w:val="12"/>
        <w:snapToGrid w:val="0"/>
        <w:spacing w:before="120" w:after="120" w:line="360" w:lineRule="auto"/>
        <w:ind w:firstLine="472" w:firstLineChars="196"/>
        <w:jc w:val="center"/>
        <w:outlineLvl w:val="1"/>
        <w:rPr>
          <w:rFonts w:hAnsi="宋体" w:cs="宋体"/>
          <w:b/>
          <w:bCs/>
          <w:kern w:val="2"/>
          <w:highlight w:val="none"/>
        </w:rPr>
      </w:pPr>
      <w:r>
        <w:rPr>
          <w:rFonts w:hint="eastAsia" w:hAnsi="宋体" w:cs="宋体"/>
          <w:b/>
          <w:bCs/>
          <w:kern w:val="2"/>
          <w:highlight w:val="none"/>
        </w:rPr>
        <w:t>三、响应文件的编制</w:t>
      </w:r>
    </w:p>
    <w:p>
      <w:pPr>
        <w:pStyle w:val="12"/>
        <w:snapToGrid w:val="0"/>
        <w:spacing w:before="120" w:after="120" w:line="360" w:lineRule="auto"/>
        <w:ind w:firstLine="482" w:firstLineChars="200"/>
        <w:rPr>
          <w:rFonts w:hAnsi="宋体" w:cs="宋体"/>
          <w:b/>
          <w:highlight w:val="none"/>
        </w:rPr>
      </w:pPr>
      <w:bookmarkStart w:id="49" w:name="_Toc21392"/>
      <w:bookmarkStart w:id="50" w:name="_Toc14074"/>
      <w:bookmarkStart w:id="51" w:name="_Toc406402988"/>
      <w:bookmarkStart w:id="52" w:name="_Toc532218225"/>
      <w:bookmarkStart w:id="53" w:name="_Toc406402944"/>
      <w:r>
        <w:rPr>
          <w:rFonts w:hint="eastAsia" w:hAnsi="宋体" w:cs="宋体"/>
          <w:b/>
          <w:highlight w:val="none"/>
        </w:rPr>
        <w:t xml:space="preserve">本项目所涉响应文件格式请详见第六章，未给出的格式请自拟。   </w:t>
      </w:r>
    </w:p>
    <w:p>
      <w:pPr>
        <w:pStyle w:val="12"/>
        <w:snapToGrid w:val="0"/>
        <w:spacing w:before="120" w:after="120" w:line="360" w:lineRule="auto"/>
        <w:ind w:firstLine="482" w:firstLineChars="200"/>
        <w:rPr>
          <w:rFonts w:hAnsi="宋体" w:cs="宋体"/>
          <w:b/>
          <w:highlight w:val="none"/>
        </w:rPr>
      </w:pPr>
      <w:r>
        <w:rPr>
          <w:rFonts w:hint="eastAsia" w:hAnsi="宋体" w:cs="宋体"/>
          <w:b/>
          <w:highlight w:val="none"/>
        </w:rPr>
        <w:t xml:space="preserve"> 注：电子响应文件按政采云平台供应商电子招投标操作指南及本征集文件规定的格式和顺序编制电子响应文件并进行关联。建议根据征集文件合格供应商的资格要求、响应文件的编制及评分标准等内容一一关联。</w:t>
      </w:r>
    </w:p>
    <w:p>
      <w:pPr>
        <w:pStyle w:val="12"/>
        <w:snapToGrid w:val="0"/>
        <w:spacing w:before="120" w:after="120" w:line="360" w:lineRule="auto"/>
        <w:ind w:firstLine="482" w:firstLineChars="200"/>
        <w:rPr>
          <w:rFonts w:hAnsi="宋体" w:cs="宋体"/>
          <w:b/>
          <w:highlight w:val="none"/>
        </w:rPr>
      </w:pPr>
      <w:r>
        <w:rPr>
          <w:rFonts w:hint="eastAsia" w:hAnsi="宋体" w:cs="宋体"/>
          <w:b/>
          <w:highlight w:val="none"/>
        </w:rPr>
        <w:t>路径：浙江省“项目采购电子交易系统/不见面开评审”学习专题-操作指南-供应商，网址：</w:t>
      </w:r>
    </w:p>
    <w:p>
      <w:pPr>
        <w:pStyle w:val="12"/>
        <w:snapToGrid w:val="0"/>
        <w:spacing w:before="120" w:after="120" w:line="360" w:lineRule="auto"/>
        <w:ind w:firstLine="480" w:firstLineChars="200"/>
        <w:rPr>
          <w:rFonts w:hAnsi="宋体" w:cs="宋体"/>
          <w:b/>
          <w:highlight w:val="none"/>
        </w:rPr>
      </w:pPr>
      <w:r>
        <w:rPr>
          <w:rFonts w:hint="eastAsia" w:hAnsi="宋体" w:cs="宋体"/>
          <w:highlight w:val="none"/>
        </w:rPr>
        <w:t>https://service.zcygov.cn/#/knowledges/mes9OIIBHIbaMkgReWWa/u_gERIMBHIbaMkgRDWA2?keyword=%E6%A1%86%E6%9E%B6%E5%8D%8F%E8%AE%AE</w:t>
      </w:r>
    </w:p>
    <w:p>
      <w:pPr>
        <w:pStyle w:val="12"/>
        <w:snapToGrid w:val="0"/>
        <w:spacing w:before="120" w:after="120" w:line="360" w:lineRule="auto"/>
        <w:ind w:firstLine="480" w:firstLineChars="200"/>
        <w:rPr>
          <w:rFonts w:hAnsi="宋体" w:cs="宋体"/>
          <w:highlight w:val="none"/>
        </w:rPr>
      </w:pPr>
      <w:r>
        <w:rPr>
          <w:rFonts w:hint="eastAsia" w:hAnsi="宋体" w:cs="宋体"/>
          <w:highlight w:val="none"/>
        </w:rPr>
        <w:t>总体要求：</w:t>
      </w:r>
    </w:p>
    <w:p>
      <w:pPr>
        <w:spacing w:line="360" w:lineRule="auto"/>
        <w:ind w:firstLine="480" w:firstLineChars="200"/>
        <w:rPr>
          <w:rFonts w:ascii="宋体" w:hAnsi="宋体"/>
          <w:highlight w:val="none"/>
        </w:rPr>
      </w:pPr>
      <w:r>
        <w:rPr>
          <w:rFonts w:hint="eastAsia" w:ascii="宋体" w:hAnsi="宋体"/>
          <w:highlight w:val="none"/>
        </w:rPr>
        <w:t xml:space="preserve">1.供应商应仔细阅读征集文件的所有内容，按本文件的要求提供响应文件，并保证所提供的全部资料的真实性，以使其响应文件对征集文件作出实质性响应，否则，响应文件可能视为无效响应文件。 </w:t>
      </w:r>
    </w:p>
    <w:p>
      <w:pPr>
        <w:spacing w:line="360" w:lineRule="auto"/>
        <w:ind w:firstLine="480" w:firstLineChars="200"/>
        <w:rPr>
          <w:rFonts w:ascii="宋体" w:hAnsi="宋体"/>
          <w:highlight w:val="none"/>
        </w:rPr>
      </w:pPr>
      <w:r>
        <w:rPr>
          <w:rFonts w:hint="eastAsia" w:ascii="宋体" w:hAnsi="宋体"/>
          <w:highlight w:val="none"/>
        </w:rPr>
        <w:t>2.响应文件及供应商与采购有关的来往通知，函件和文件均应使用中文。</w:t>
      </w:r>
    </w:p>
    <w:p>
      <w:pPr>
        <w:spacing w:line="360" w:lineRule="auto"/>
        <w:ind w:firstLine="480" w:firstLineChars="200"/>
        <w:rPr>
          <w:rFonts w:ascii="宋体" w:hAnsi="宋体"/>
          <w:b/>
          <w:highlight w:val="none"/>
          <w:u w:val="single"/>
        </w:rPr>
      </w:pPr>
      <w:r>
        <w:rPr>
          <w:rFonts w:hint="eastAsia" w:ascii="宋体" w:hAnsi="宋体"/>
          <w:highlight w:val="none"/>
        </w:rPr>
        <w:t>3.供应商应按本文件中提供的文件格式、内容和要求制作响应文件</w:t>
      </w:r>
      <w:r>
        <w:rPr>
          <w:rFonts w:hint="eastAsia" w:ascii="宋体" w:hAnsi="宋体"/>
          <w:b/>
          <w:highlight w:val="none"/>
        </w:rPr>
        <w:t>。</w:t>
      </w:r>
    </w:p>
    <w:p>
      <w:pPr>
        <w:snapToGrid w:val="0"/>
        <w:spacing w:line="360" w:lineRule="auto"/>
        <w:ind w:firstLine="472" w:firstLineChars="196"/>
        <w:jc w:val="left"/>
        <w:outlineLvl w:val="2"/>
        <w:rPr>
          <w:rFonts w:ascii="宋体" w:hAnsi="宋体"/>
          <w:highlight w:val="none"/>
        </w:rPr>
      </w:pPr>
      <w:r>
        <w:rPr>
          <w:rFonts w:hint="eastAsia" w:ascii="宋体" w:hAnsi="宋体"/>
          <w:b/>
          <w:highlight w:val="none"/>
        </w:rPr>
        <w:t>（一）响应文件的组成</w:t>
      </w:r>
      <w:bookmarkEnd w:id="49"/>
      <w:bookmarkEnd w:id="50"/>
    </w:p>
    <w:bookmarkEnd w:id="51"/>
    <w:bookmarkEnd w:id="52"/>
    <w:bookmarkEnd w:id="53"/>
    <w:p>
      <w:pPr>
        <w:pStyle w:val="12"/>
        <w:snapToGrid w:val="0"/>
        <w:spacing w:beforeLines="0" w:afterLines="0" w:line="360" w:lineRule="auto"/>
        <w:ind w:firstLine="480" w:firstLineChars="200"/>
        <w:rPr>
          <w:rFonts w:hAnsi="宋体" w:cs="宋体"/>
          <w:highlight w:val="none"/>
        </w:rPr>
      </w:pPr>
      <w:r>
        <w:rPr>
          <w:rFonts w:hint="eastAsia" w:hAnsi="宋体" w:cs="宋体"/>
          <w:highlight w:val="none"/>
        </w:rPr>
        <w:t>投标文件由资格文件、商务技术文件、报价文件组成。</w:t>
      </w:r>
    </w:p>
    <w:p>
      <w:pPr>
        <w:pStyle w:val="12"/>
        <w:snapToGrid w:val="0"/>
        <w:spacing w:beforeLines="0" w:afterLines="0" w:line="360" w:lineRule="auto"/>
        <w:ind w:firstLine="482" w:firstLineChars="200"/>
        <w:rPr>
          <w:rFonts w:hAnsi="宋体" w:cs="宋体"/>
          <w:b/>
          <w:bCs/>
          <w:highlight w:val="none"/>
        </w:rPr>
      </w:pPr>
      <w:r>
        <w:rPr>
          <w:rFonts w:hint="eastAsia" w:hAnsi="宋体" w:cs="宋体"/>
          <w:b/>
          <w:bCs/>
          <w:highlight w:val="none"/>
        </w:rPr>
        <w:t>1.资格文件：</w:t>
      </w:r>
    </w:p>
    <w:p>
      <w:pPr>
        <w:pStyle w:val="12"/>
        <w:snapToGrid w:val="0"/>
        <w:spacing w:beforeLines="0" w:afterLines="0" w:line="360" w:lineRule="auto"/>
        <w:ind w:firstLine="480" w:firstLineChars="200"/>
        <w:rPr>
          <w:rFonts w:hAnsi="宋体" w:cs="宋体"/>
          <w:highlight w:val="none"/>
        </w:rPr>
      </w:pPr>
      <w:r>
        <w:rPr>
          <w:rFonts w:hint="eastAsia" w:hAnsi="宋体" w:cs="宋体"/>
          <w:highlight w:val="none"/>
        </w:rPr>
        <w:t>（1）投标声明书（格式见附件）；</w:t>
      </w:r>
    </w:p>
    <w:p>
      <w:pPr>
        <w:pStyle w:val="12"/>
        <w:snapToGrid w:val="0"/>
        <w:spacing w:beforeLines="0" w:afterLines="0" w:line="360" w:lineRule="auto"/>
        <w:ind w:firstLine="480" w:firstLineChars="200"/>
        <w:rPr>
          <w:rFonts w:hAnsi="宋体" w:cs="宋体"/>
          <w:highlight w:val="none"/>
        </w:rPr>
      </w:pPr>
      <w:r>
        <w:rPr>
          <w:rFonts w:hint="eastAsia" w:hAnsi="宋体" w:cs="宋体"/>
          <w:highlight w:val="none"/>
        </w:rPr>
        <w:t>（2）法定代表人有效身份证件复印件或者法定代表人授权委托书（复印件，格式见附件）；</w:t>
      </w:r>
    </w:p>
    <w:p>
      <w:pPr>
        <w:pStyle w:val="12"/>
        <w:snapToGrid w:val="0"/>
        <w:spacing w:beforeLines="0" w:afterLines="0" w:line="360" w:lineRule="auto"/>
        <w:ind w:firstLine="480" w:firstLineChars="200"/>
        <w:rPr>
          <w:rFonts w:hAnsi="宋体" w:cs="宋体"/>
          <w:highlight w:val="none"/>
        </w:rPr>
      </w:pPr>
      <w:r>
        <w:rPr>
          <w:rFonts w:hint="eastAsia" w:hAnsi="宋体" w:cs="宋体"/>
          <w:highlight w:val="none"/>
        </w:rPr>
        <w:t>（3）企业（法人）营业执照复印件；</w:t>
      </w:r>
    </w:p>
    <w:p>
      <w:pPr>
        <w:pStyle w:val="12"/>
        <w:snapToGrid w:val="0"/>
        <w:spacing w:beforeLines="0" w:afterLines="0" w:line="360" w:lineRule="auto"/>
        <w:ind w:firstLine="480" w:firstLineChars="200"/>
        <w:rPr>
          <w:rFonts w:hAnsi="宋体" w:cs="宋体"/>
          <w:highlight w:val="none"/>
        </w:rPr>
      </w:pPr>
      <w:r>
        <w:rPr>
          <w:rFonts w:hint="eastAsia" w:hAnsi="宋体" w:cs="宋体"/>
          <w:highlight w:val="none"/>
        </w:rPr>
        <w:t>（4）符合参加政府采购活动应当具备的一般条件的承诺函（格式见附件）；</w:t>
      </w:r>
    </w:p>
    <w:p>
      <w:pPr>
        <w:pStyle w:val="12"/>
        <w:snapToGrid w:val="0"/>
        <w:spacing w:beforeLines="0" w:afterLines="0" w:line="360" w:lineRule="auto"/>
        <w:ind w:firstLine="480" w:firstLineChars="200"/>
        <w:rPr>
          <w:rFonts w:hAnsi="宋体" w:cs="宋体"/>
          <w:highlight w:val="none"/>
        </w:rPr>
      </w:pPr>
      <w:r>
        <w:rPr>
          <w:rFonts w:hint="eastAsia" w:hAnsi="宋体" w:cs="宋体"/>
          <w:highlight w:val="none"/>
        </w:rPr>
        <w:t>（5）中小企业声明函等承诺函（格式见附件）；</w:t>
      </w:r>
    </w:p>
    <w:p>
      <w:pPr>
        <w:pStyle w:val="12"/>
        <w:snapToGrid w:val="0"/>
        <w:spacing w:beforeLines="0" w:afterLines="0" w:line="360" w:lineRule="auto"/>
        <w:ind w:firstLine="480" w:firstLineChars="200"/>
        <w:rPr>
          <w:rFonts w:hAnsi="宋体" w:cs="宋体"/>
          <w:highlight w:val="none"/>
        </w:rPr>
      </w:pPr>
      <w:r>
        <w:rPr>
          <w:rFonts w:hint="eastAsia" w:hAnsi="宋体" w:cs="宋体"/>
          <w:highlight w:val="none"/>
        </w:rPr>
        <w:t xml:space="preserve">（6）落实政府采购政策需满足的资格要求。                     </w:t>
      </w:r>
    </w:p>
    <w:p>
      <w:pPr>
        <w:pStyle w:val="12"/>
        <w:snapToGrid w:val="0"/>
        <w:spacing w:beforeLines="0" w:afterLines="0" w:line="360" w:lineRule="auto"/>
        <w:ind w:firstLine="482" w:firstLineChars="200"/>
        <w:rPr>
          <w:rFonts w:hAnsi="宋体" w:cs="宋体"/>
          <w:b/>
          <w:bCs/>
          <w:highlight w:val="none"/>
        </w:rPr>
      </w:pPr>
      <w:r>
        <w:rPr>
          <w:rFonts w:hint="eastAsia" w:hAnsi="宋体" w:cs="宋体"/>
          <w:b/>
          <w:bCs/>
          <w:highlight w:val="none"/>
        </w:rPr>
        <w:t>2.商务技术文件:</w:t>
      </w:r>
    </w:p>
    <w:p>
      <w:pPr>
        <w:pStyle w:val="12"/>
        <w:snapToGrid w:val="0"/>
        <w:spacing w:beforeLines="0" w:afterLines="0" w:line="360" w:lineRule="auto"/>
        <w:ind w:firstLine="480" w:firstLineChars="200"/>
        <w:rPr>
          <w:rFonts w:hAnsi="宋体" w:cs="宋体"/>
          <w:highlight w:val="none"/>
        </w:rPr>
      </w:pPr>
      <w:r>
        <w:rPr>
          <w:rFonts w:hint="eastAsia" w:hAnsi="宋体" w:cs="宋体"/>
          <w:highlight w:val="none"/>
        </w:rPr>
        <w:t>（1）投标人基本情况介绍（格式见附件）；</w:t>
      </w:r>
    </w:p>
    <w:p>
      <w:pPr>
        <w:pStyle w:val="12"/>
        <w:snapToGrid w:val="0"/>
        <w:spacing w:beforeLines="0" w:afterLines="0" w:line="360" w:lineRule="auto"/>
        <w:ind w:firstLine="480" w:firstLineChars="200"/>
        <w:rPr>
          <w:rFonts w:hAnsi="宋体" w:cs="宋体"/>
          <w:highlight w:val="none"/>
        </w:rPr>
      </w:pPr>
      <w:r>
        <w:rPr>
          <w:rFonts w:hint="eastAsia" w:hAnsi="宋体" w:cs="宋体"/>
          <w:highlight w:val="none"/>
          <w:lang w:val="zh-CN"/>
        </w:rPr>
        <w:t>（</w:t>
      </w:r>
      <w:r>
        <w:rPr>
          <w:rFonts w:hint="eastAsia" w:hAnsi="宋体" w:cs="宋体"/>
          <w:highlight w:val="none"/>
        </w:rPr>
        <w:t>2</w:t>
      </w:r>
      <w:r>
        <w:rPr>
          <w:rFonts w:hint="eastAsia" w:hAnsi="宋体" w:cs="宋体"/>
          <w:highlight w:val="none"/>
          <w:lang w:val="zh-CN"/>
        </w:rPr>
        <w:t>）诚信承诺书</w:t>
      </w:r>
      <w:r>
        <w:rPr>
          <w:rFonts w:hint="eastAsia" w:hAnsi="宋体" w:cs="宋体"/>
          <w:highlight w:val="none"/>
        </w:rPr>
        <w:t>（格式见附件）</w:t>
      </w:r>
    </w:p>
    <w:p>
      <w:pPr>
        <w:pStyle w:val="12"/>
        <w:snapToGrid w:val="0"/>
        <w:spacing w:beforeLines="0" w:afterLines="0" w:line="360" w:lineRule="auto"/>
        <w:ind w:firstLine="480" w:firstLineChars="200"/>
        <w:rPr>
          <w:rFonts w:hAnsi="宋体" w:cs="宋体"/>
          <w:highlight w:val="none"/>
          <w:lang w:val="zh-CN"/>
        </w:rPr>
      </w:pPr>
      <w:r>
        <w:rPr>
          <w:rFonts w:hint="eastAsia" w:hAnsi="宋体" w:cs="宋体"/>
          <w:highlight w:val="none"/>
        </w:rPr>
        <w:t>（5）</w:t>
      </w:r>
      <w:r>
        <w:rPr>
          <w:rFonts w:hint="eastAsia" w:hAnsi="宋体" w:cs="宋体"/>
          <w:highlight w:val="none"/>
          <w:lang w:val="zh-CN"/>
        </w:rPr>
        <w:t xml:space="preserve">商务技术响应表（格式见附件）；                                                                                                                                                                                                                                                                                                                                                                                                                                                                                                                                                                                                                                                                                                                                                                                                                                                                                                                                                                                                                                                                                                                                                                                                                                                                                                                                                                                                                                                                                                                                                                                                                                                                                                                                                                                                                                                                                                                                                                                                                                                                                                                                                                                                                                                                                                                                                                                                                                                                                                                                                                                                                                                                                                                                                                                                                                                                                                                                                                                                                                                                                                                                                                                                                                                                                                                                                                                                                                                                                                                                                                                                                                                                                                                                                                                                                                                                                                                                                                                                                                                                                                                                                                                                 </w:t>
      </w:r>
    </w:p>
    <w:p>
      <w:pPr>
        <w:pStyle w:val="12"/>
        <w:snapToGrid w:val="0"/>
        <w:spacing w:beforeLines="0" w:afterLines="0" w:line="360" w:lineRule="auto"/>
        <w:ind w:firstLine="480" w:firstLineChars="200"/>
        <w:rPr>
          <w:rFonts w:hAnsi="宋体" w:cs="宋体"/>
          <w:highlight w:val="none"/>
          <w:lang w:val="zh-CN"/>
        </w:rPr>
      </w:pPr>
      <w:r>
        <w:rPr>
          <w:rFonts w:hint="eastAsia" w:hAnsi="宋体" w:cs="宋体"/>
          <w:highlight w:val="none"/>
          <w:lang w:val="zh-CN"/>
        </w:rPr>
        <w:t>（</w:t>
      </w:r>
      <w:r>
        <w:rPr>
          <w:rFonts w:hint="eastAsia" w:hAnsi="宋体" w:cs="宋体"/>
          <w:highlight w:val="none"/>
        </w:rPr>
        <w:t>7</w:t>
      </w:r>
      <w:r>
        <w:rPr>
          <w:rFonts w:hint="eastAsia" w:hAnsi="宋体" w:cs="宋体"/>
          <w:highlight w:val="none"/>
          <w:lang w:val="zh-CN"/>
        </w:rPr>
        <w:t>）拟派团队组成员配置（格式见附件）；</w:t>
      </w:r>
    </w:p>
    <w:p>
      <w:pPr>
        <w:pStyle w:val="12"/>
        <w:snapToGrid w:val="0"/>
        <w:spacing w:beforeLines="0" w:afterLines="0" w:line="360" w:lineRule="auto"/>
        <w:ind w:firstLine="480" w:firstLineChars="200"/>
        <w:rPr>
          <w:rFonts w:hAnsi="宋体" w:cs="宋体"/>
          <w:highlight w:val="none"/>
          <w:lang w:val="zh-CN"/>
        </w:rPr>
      </w:pPr>
      <w:r>
        <w:rPr>
          <w:rFonts w:hint="eastAsia" w:hAnsi="宋体" w:cs="宋体"/>
          <w:highlight w:val="none"/>
          <w:lang w:val="zh-CN"/>
        </w:rPr>
        <w:t>（8）拟派团队组成员经验（格式见附件）；</w:t>
      </w:r>
    </w:p>
    <w:p>
      <w:pPr>
        <w:pStyle w:val="12"/>
        <w:snapToGrid w:val="0"/>
        <w:spacing w:beforeLines="0" w:afterLines="0" w:line="360" w:lineRule="auto"/>
        <w:ind w:firstLine="480" w:firstLineChars="200"/>
        <w:rPr>
          <w:rFonts w:hAnsi="宋体" w:cs="宋体"/>
          <w:highlight w:val="none"/>
          <w:lang w:val="zh-CN"/>
        </w:rPr>
      </w:pPr>
      <w:r>
        <w:rPr>
          <w:rFonts w:hint="eastAsia" w:hAnsi="宋体" w:cs="宋体"/>
          <w:highlight w:val="none"/>
          <w:lang w:val="zh-CN"/>
        </w:rPr>
        <w:t>（9）服务质量；</w:t>
      </w:r>
    </w:p>
    <w:p>
      <w:pPr>
        <w:pStyle w:val="12"/>
        <w:snapToGrid w:val="0"/>
        <w:spacing w:beforeLines="0" w:afterLines="0" w:line="360" w:lineRule="auto"/>
        <w:ind w:firstLine="480" w:firstLineChars="200"/>
        <w:rPr>
          <w:rFonts w:hAnsi="宋体" w:cs="宋体"/>
          <w:highlight w:val="none"/>
          <w:lang w:val="zh-CN"/>
        </w:rPr>
      </w:pPr>
      <w:r>
        <w:rPr>
          <w:rFonts w:hint="eastAsia" w:hAnsi="宋体" w:cs="宋体"/>
          <w:highlight w:val="none"/>
          <w:lang w:val="zh-CN"/>
        </w:rPr>
        <w:t>（</w:t>
      </w:r>
      <w:r>
        <w:rPr>
          <w:rFonts w:hint="eastAsia" w:hAnsi="宋体" w:cs="宋体"/>
          <w:highlight w:val="none"/>
        </w:rPr>
        <w:t>10</w:t>
      </w:r>
      <w:r>
        <w:rPr>
          <w:rFonts w:hint="eastAsia" w:hAnsi="宋体" w:cs="宋体"/>
          <w:highlight w:val="none"/>
          <w:lang w:val="zh-CN"/>
        </w:rPr>
        <w:t>）预算绩效评价咨询服务制度；</w:t>
      </w:r>
    </w:p>
    <w:p>
      <w:pPr>
        <w:pStyle w:val="12"/>
        <w:snapToGrid w:val="0"/>
        <w:spacing w:beforeLines="0" w:afterLines="0" w:line="360" w:lineRule="auto"/>
        <w:ind w:firstLine="480" w:firstLineChars="200"/>
        <w:rPr>
          <w:rFonts w:hAnsi="宋体" w:cs="宋体"/>
          <w:highlight w:val="none"/>
          <w:lang w:val="zh-CN"/>
        </w:rPr>
      </w:pPr>
      <w:r>
        <w:rPr>
          <w:rFonts w:hint="eastAsia" w:hAnsi="宋体" w:cs="宋体"/>
          <w:highlight w:val="none"/>
          <w:lang w:val="zh-CN"/>
        </w:rPr>
        <w:t>（1</w:t>
      </w:r>
      <w:r>
        <w:rPr>
          <w:rFonts w:hint="eastAsia" w:hAnsi="宋体" w:cs="宋体"/>
          <w:highlight w:val="none"/>
        </w:rPr>
        <w:t>1</w:t>
      </w:r>
      <w:r>
        <w:rPr>
          <w:rFonts w:hint="eastAsia" w:hAnsi="宋体" w:cs="宋体"/>
          <w:highlight w:val="none"/>
          <w:lang w:val="zh-CN"/>
        </w:rPr>
        <w:t>）服务质量考评；</w:t>
      </w:r>
    </w:p>
    <w:p>
      <w:pPr>
        <w:pStyle w:val="12"/>
        <w:snapToGrid w:val="0"/>
        <w:spacing w:beforeLines="0" w:afterLines="0" w:line="360" w:lineRule="auto"/>
        <w:ind w:firstLine="480" w:firstLineChars="200"/>
        <w:rPr>
          <w:rFonts w:hAnsi="宋体" w:cs="宋体"/>
          <w:highlight w:val="none"/>
          <w:lang w:val="zh-CN"/>
        </w:rPr>
      </w:pPr>
      <w:r>
        <w:rPr>
          <w:rFonts w:hint="eastAsia" w:hAnsi="宋体" w:cs="宋体"/>
          <w:highlight w:val="none"/>
          <w:lang w:val="zh-CN"/>
        </w:rPr>
        <w:t>（</w:t>
      </w:r>
      <w:r>
        <w:rPr>
          <w:rFonts w:hint="eastAsia" w:hAnsi="宋体" w:cs="宋体"/>
          <w:highlight w:val="none"/>
        </w:rPr>
        <w:t>12</w:t>
      </w:r>
      <w:r>
        <w:rPr>
          <w:rFonts w:hint="eastAsia" w:hAnsi="宋体" w:cs="宋体"/>
          <w:highlight w:val="none"/>
          <w:lang w:val="zh-CN"/>
        </w:rPr>
        <w:t>）承诺分；</w:t>
      </w:r>
    </w:p>
    <w:p>
      <w:pPr>
        <w:pStyle w:val="12"/>
        <w:snapToGrid w:val="0"/>
        <w:spacing w:beforeLines="0" w:afterLines="0" w:line="360" w:lineRule="auto"/>
        <w:ind w:firstLine="480" w:firstLineChars="200"/>
        <w:rPr>
          <w:rFonts w:hAnsi="宋体" w:cs="宋体"/>
          <w:highlight w:val="none"/>
          <w:lang w:val="zh-CN"/>
        </w:rPr>
      </w:pPr>
      <w:r>
        <w:rPr>
          <w:rFonts w:hint="eastAsia" w:hAnsi="宋体" w:cs="宋体"/>
          <w:highlight w:val="none"/>
          <w:lang w:val="zh-CN"/>
        </w:rPr>
        <w:t>（</w:t>
      </w:r>
      <w:r>
        <w:rPr>
          <w:rFonts w:hint="eastAsia" w:hAnsi="宋体" w:cs="宋体"/>
          <w:highlight w:val="none"/>
        </w:rPr>
        <w:t>13</w:t>
      </w:r>
      <w:r>
        <w:rPr>
          <w:rFonts w:hint="eastAsia" w:hAnsi="宋体" w:cs="宋体"/>
          <w:highlight w:val="none"/>
          <w:lang w:val="zh-CN"/>
        </w:rPr>
        <w:t>）廉政措施；</w:t>
      </w:r>
    </w:p>
    <w:p>
      <w:pPr>
        <w:pStyle w:val="12"/>
        <w:snapToGrid w:val="0"/>
        <w:spacing w:beforeLines="0" w:afterLines="0" w:line="360" w:lineRule="auto"/>
        <w:ind w:firstLine="480" w:firstLineChars="200"/>
        <w:rPr>
          <w:rFonts w:hAnsi="宋体" w:cs="宋体"/>
          <w:highlight w:val="none"/>
          <w:lang w:val="zh-CN"/>
        </w:rPr>
      </w:pPr>
      <w:r>
        <w:rPr>
          <w:rFonts w:hint="eastAsia" w:hAnsi="宋体" w:cs="宋体"/>
          <w:highlight w:val="none"/>
          <w:lang w:val="zh-CN"/>
        </w:rPr>
        <w:t>（</w:t>
      </w:r>
      <w:r>
        <w:rPr>
          <w:rFonts w:hint="eastAsia" w:hAnsi="宋体" w:cs="宋体"/>
          <w:highlight w:val="none"/>
        </w:rPr>
        <w:t>14</w:t>
      </w:r>
      <w:r>
        <w:rPr>
          <w:rFonts w:hint="eastAsia" w:hAnsi="宋体" w:cs="宋体"/>
          <w:highlight w:val="none"/>
          <w:lang w:val="zh-CN"/>
        </w:rPr>
        <w:t>）保密承诺及制度；</w:t>
      </w:r>
    </w:p>
    <w:p>
      <w:pPr>
        <w:pStyle w:val="12"/>
        <w:snapToGrid w:val="0"/>
        <w:spacing w:beforeLines="0" w:afterLines="0" w:line="360" w:lineRule="auto"/>
        <w:ind w:firstLine="480" w:firstLineChars="200"/>
        <w:rPr>
          <w:rFonts w:hAnsi="宋体" w:cs="宋体"/>
          <w:highlight w:val="none"/>
          <w:lang w:val="zh-CN"/>
        </w:rPr>
      </w:pPr>
      <w:r>
        <w:rPr>
          <w:rFonts w:hint="eastAsia" w:hAnsi="宋体" w:cs="宋体"/>
          <w:highlight w:val="none"/>
          <w:lang w:val="zh-CN"/>
        </w:rPr>
        <w:t>（</w:t>
      </w:r>
      <w:r>
        <w:rPr>
          <w:rFonts w:hint="eastAsia" w:hAnsi="宋体" w:cs="宋体"/>
          <w:highlight w:val="none"/>
        </w:rPr>
        <w:t>15</w:t>
      </w:r>
      <w:r>
        <w:rPr>
          <w:rFonts w:hint="eastAsia" w:hAnsi="宋体" w:cs="宋体"/>
          <w:highlight w:val="none"/>
          <w:lang w:val="zh-CN"/>
        </w:rPr>
        <w:t>）诚信；</w:t>
      </w:r>
    </w:p>
    <w:p>
      <w:pPr>
        <w:pStyle w:val="12"/>
        <w:snapToGrid w:val="0"/>
        <w:spacing w:beforeLines="0" w:afterLines="0" w:line="360" w:lineRule="auto"/>
        <w:ind w:firstLine="480" w:firstLineChars="200"/>
        <w:rPr>
          <w:rFonts w:hAnsi="宋体" w:cs="宋体"/>
          <w:highlight w:val="none"/>
          <w:lang w:val="zh-CN"/>
        </w:rPr>
      </w:pPr>
      <w:r>
        <w:rPr>
          <w:rFonts w:hint="eastAsia" w:hAnsi="宋体" w:cs="宋体"/>
          <w:highlight w:val="none"/>
          <w:lang w:val="zh-CN"/>
        </w:rPr>
        <w:t>（</w:t>
      </w:r>
      <w:r>
        <w:rPr>
          <w:rFonts w:hint="eastAsia" w:hAnsi="宋体" w:cs="宋体"/>
          <w:highlight w:val="none"/>
        </w:rPr>
        <w:t>15</w:t>
      </w:r>
      <w:r>
        <w:rPr>
          <w:rFonts w:hint="eastAsia" w:hAnsi="宋体" w:cs="宋体"/>
          <w:highlight w:val="none"/>
          <w:lang w:val="zh-CN"/>
        </w:rPr>
        <w:t>）荣誉；</w:t>
      </w:r>
    </w:p>
    <w:p>
      <w:pPr>
        <w:pStyle w:val="12"/>
        <w:snapToGrid w:val="0"/>
        <w:spacing w:beforeLines="0" w:afterLines="0" w:line="360" w:lineRule="auto"/>
        <w:ind w:firstLine="480" w:firstLineChars="200"/>
        <w:rPr>
          <w:rFonts w:hAnsi="宋体" w:cs="宋体"/>
          <w:highlight w:val="none"/>
          <w:lang w:val="zh-CN"/>
        </w:rPr>
      </w:pPr>
      <w:r>
        <w:rPr>
          <w:rFonts w:hint="eastAsia" w:hAnsi="宋体" w:cs="宋体"/>
          <w:highlight w:val="none"/>
          <w:lang w:val="zh-CN"/>
        </w:rPr>
        <w:t>（</w:t>
      </w:r>
      <w:r>
        <w:rPr>
          <w:rFonts w:hint="eastAsia" w:hAnsi="宋体" w:cs="宋体"/>
          <w:highlight w:val="none"/>
        </w:rPr>
        <w:t>16</w:t>
      </w:r>
      <w:r>
        <w:rPr>
          <w:rFonts w:hint="eastAsia" w:hAnsi="宋体" w:cs="宋体"/>
          <w:highlight w:val="none"/>
          <w:lang w:val="zh-CN"/>
        </w:rPr>
        <w:t>）投标人认为需要的其他商务技术文件或说明。</w:t>
      </w:r>
    </w:p>
    <w:p>
      <w:pPr>
        <w:pStyle w:val="12"/>
        <w:snapToGrid w:val="0"/>
        <w:spacing w:beforeLines="0" w:afterLines="0" w:line="360" w:lineRule="auto"/>
        <w:ind w:firstLine="482" w:firstLineChars="200"/>
        <w:rPr>
          <w:rFonts w:hAnsi="宋体" w:cs="宋体"/>
          <w:b/>
          <w:bCs/>
          <w:highlight w:val="none"/>
        </w:rPr>
      </w:pPr>
      <w:r>
        <w:rPr>
          <w:rFonts w:hint="eastAsia" w:hAnsi="宋体" w:cs="宋体"/>
          <w:b/>
          <w:bCs/>
          <w:highlight w:val="none"/>
        </w:rPr>
        <w:t>3.投标报价文件：</w:t>
      </w:r>
    </w:p>
    <w:p>
      <w:pPr>
        <w:pStyle w:val="12"/>
        <w:snapToGrid w:val="0"/>
        <w:spacing w:beforeLines="0" w:afterLines="0" w:line="360" w:lineRule="auto"/>
        <w:ind w:firstLine="480" w:firstLineChars="200"/>
        <w:rPr>
          <w:rFonts w:hAnsi="宋体" w:cs="宋体"/>
          <w:highlight w:val="none"/>
        </w:rPr>
      </w:pPr>
      <w:r>
        <w:rPr>
          <w:rFonts w:hint="eastAsia" w:hAnsi="宋体" w:cs="宋体"/>
          <w:highlight w:val="none"/>
        </w:rPr>
        <w:t xml:space="preserve">（1）投标函（格式见附件）； </w:t>
      </w:r>
    </w:p>
    <w:p>
      <w:pPr>
        <w:pStyle w:val="12"/>
        <w:snapToGrid w:val="0"/>
        <w:spacing w:beforeLines="0" w:afterLines="0" w:line="360" w:lineRule="auto"/>
        <w:ind w:firstLine="480" w:firstLineChars="200"/>
        <w:rPr>
          <w:rFonts w:hAnsi="宋体" w:cs="宋体"/>
          <w:highlight w:val="none"/>
        </w:rPr>
      </w:pPr>
      <w:r>
        <w:rPr>
          <w:rFonts w:hint="eastAsia" w:hAnsi="宋体" w:cs="宋体"/>
          <w:highlight w:val="none"/>
        </w:rPr>
        <w:t>（2）</w:t>
      </w:r>
      <w:r>
        <w:rPr>
          <w:rFonts w:hint="eastAsia" w:hAnsi="宋体" w:cs="宋体"/>
          <w:color w:val="FF0000"/>
          <w:highlight w:val="none"/>
          <w:lang w:eastAsia="zh-CN"/>
        </w:rPr>
        <w:t>报价一览表</w:t>
      </w:r>
      <w:r>
        <w:rPr>
          <w:rFonts w:hint="eastAsia" w:hAnsi="宋体" w:cs="宋体"/>
          <w:highlight w:val="none"/>
        </w:rPr>
        <w:t>（格式见附件）；</w:t>
      </w:r>
    </w:p>
    <w:p>
      <w:pPr>
        <w:pStyle w:val="12"/>
        <w:snapToGrid w:val="0"/>
        <w:spacing w:beforeLines="0" w:afterLines="0" w:line="360" w:lineRule="auto"/>
        <w:ind w:firstLine="480" w:firstLineChars="200"/>
        <w:rPr>
          <w:rFonts w:hAnsi="宋体" w:cs="宋体"/>
          <w:highlight w:val="none"/>
        </w:rPr>
      </w:pPr>
      <w:r>
        <w:rPr>
          <w:rFonts w:hint="eastAsia" w:hAnsi="宋体" w:cs="宋体"/>
          <w:highlight w:val="none"/>
        </w:rPr>
        <w:t>（3）投标人针对报价需要说明的其他文件和说明。</w:t>
      </w:r>
    </w:p>
    <w:p>
      <w:pPr>
        <w:snapToGrid w:val="0"/>
        <w:spacing w:line="360" w:lineRule="auto"/>
        <w:ind w:firstLine="472" w:firstLineChars="196"/>
        <w:jc w:val="left"/>
        <w:outlineLvl w:val="2"/>
        <w:rPr>
          <w:rFonts w:ascii="宋体" w:hAnsi="宋体"/>
          <w:b/>
          <w:highlight w:val="none"/>
        </w:rPr>
      </w:pPr>
      <w:r>
        <w:rPr>
          <w:rFonts w:hint="eastAsia" w:ascii="宋体" w:hAnsi="宋体"/>
          <w:b/>
          <w:highlight w:val="none"/>
        </w:rPr>
        <w:t>投标声明书、法定代表人授权委托书、投标函、</w:t>
      </w:r>
      <w:r>
        <w:rPr>
          <w:rFonts w:hint="eastAsia" w:ascii="宋体" w:hAnsi="宋体"/>
          <w:b/>
          <w:color w:val="FF0000"/>
          <w:highlight w:val="none"/>
          <w:lang w:eastAsia="zh-CN"/>
        </w:rPr>
        <w:t>报价一览表</w:t>
      </w:r>
      <w:r>
        <w:rPr>
          <w:rFonts w:hint="eastAsia" w:ascii="宋体" w:hAnsi="宋体"/>
          <w:b/>
          <w:highlight w:val="none"/>
        </w:rPr>
        <w:t>必须由法定代表人或委托代理人签名（或签章）并加盖单位公章。</w:t>
      </w:r>
    </w:p>
    <w:p>
      <w:pPr>
        <w:snapToGrid w:val="0"/>
        <w:spacing w:line="360" w:lineRule="auto"/>
        <w:ind w:firstLine="472" w:firstLineChars="196"/>
        <w:jc w:val="left"/>
        <w:outlineLvl w:val="2"/>
        <w:rPr>
          <w:rFonts w:ascii="宋体" w:hAnsi="宋体"/>
          <w:b/>
          <w:highlight w:val="none"/>
        </w:rPr>
      </w:pPr>
      <w:r>
        <w:rPr>
          <w:rFonts w:hint="eastAsia" w:ascii="宋体" w:hAnsi="宋体"/>
          <w:b/>
          <w:highlight w:val="none"/>
        </w:rPr>
        <w:t>（二）</w:t>
      </w:r>
      <w:r>
        <w:rPr>
          <w:rFonts w:hint="eastAsia" w:ascii="宋体" w:hAnsi="宋体"/>
          <w:b/>
          <w:bCs/>
          <w:highlight w:val="none"/>
        </w:rPr>
        <w:t>响应文件的编制</w:t>
      </w:r>
    </w:p>
    <w:p>
      <w:pPr>
        <w:snapToGrid w:val="0"/>
        <w:spacing w:line="360" w:lineRule="auto"/>
        <w:ind w:firstLine="480" w:firstLineChars="200"/>
        <w:rPr>
          <w:rFonts w:ascii="宋体" w:hAnsi="宋体"/>
          <w:highlight w:val="none"/>
        </w:rPr>
      </w:pPr>
      <w:r>
        <w:rPr>
          <w:rFonts w:hint="eastAsia" w:ascii="宋体" w:hAnsi="宋体"/>
          <w:highlight w:val="none"/>
          <w:lang w:val="zh-CN"/>
        </w:rPr>
        <w:t>1响应文件分为资格文件、商务技术文件、报价文件三部分。各供应商在编制响应文件时请按照征集文件规定的格式进行，混乱的编排导致响应文件被误读或评审小组查找不到有效文件是供应商的风险。</w:t>
      </w:r>
    </w:p>
    <w:p>
      <w:pPr>
        <w:snapToGrid w:val="0"/>
        <w:spacing w:line="360" w:lineRule="auto"/>
        <w:ind w:firstLine="480" w:firstLineChars="200"/>
        <w:rPr>
          <w:rFonts w:ascii="宋体" w:hAnsi="宋体"/>
          <w:highlight w:val="none"/>
          <w:lang w:val="zh-CN"/>
        </w:rPr>
      </w:pPr>
      <w:r>
        <w:rPr>
          <w:rFonts w:hint="eastAsia" w:ascii="宋体" w:hAnsi="宋体"/>
          <w:highlight w:val="none"/>
          <w:lang w:val="zh-CN"/>
        </w:rPr>
        <w:t>2供应商进行电子响应应安装客户端软件—“政采云电子交易客户端”，并按照征集文件和电子交易平台的要求编制并加密响应文件。供应商未按规定加密的响应文件，电子交易平台将拒收并提示。</w:t>
      </w:r>
    </w:p>
    <w:p>
      <w:pPr>
        <w:snapToGrid w:val="0"/>
        <w:spacing w:line="360" w:lineRule="auto"/>
        <w:ind w:firstLine="480" w:firstLineChars="200"/>
        <w:rPr>
          <w:rFonts w:ascii="宋体" w:hAnsi="宋体"/>
          <w:highlight w:val="none"/>
          <w:lang w:val="zh-CN"/>
        </w:rPr>
      </w:pPr>
      <w:r>
        <w:rPr>
          <w:rFonts w:hint="eastAsia" w:ascii="宋体" w:hAnsi="宋体"/>
          <w:highlight w:val="none"/>
          <w:lang w:val="zh-CN"/>
        </w:rPr>
        <w:t>3使用“政采云电子交易客户端”需要提前申领CA数字证书，申领流程请自行前往“浙江政府采购网-下载专区-电子交易客户端-CA驱动和申领流程”进行查阅。</w:t>
      </w:r>
    </w:p>
    <w:p>
      <w:pPr>
        <w:snapToGrid w:val="0"/>
        <w:spacing w:line="360" w:lineRule="auto"/>
        <w:ind w:firstLine="480" w:firstLineChars="200"/>
        <w:rPr>
          <w:rFonts w:ascii="宋体" w:hAnsi="宋体"/>
          <w:highlight w:val="none"/>
        </w:rPr>
      </w:pPr>
      <w:r>
        <w:rPr>
          <w:rFonts w:hint="eastAsia" w:ascii="宋体" w:hAnsi="宋体"/>
          <w:highlight w:val="none"/>
        </w:rPr>
        <w:t>4响应文件按照征集文件要求进行签署、盖章。</w:t>
      </w:r>
    </w:p>
    <w:p>
      <w:pPr>
        <w:snapToGrid w:val="0"/>
        <w:spacing w:line="360" w:lineRule="auto"/>
        <w:ind w:firstLine="480" w:firstLineChars="200"/>
        <w:rPr>
          <w:rFonts w:ascii="宋体" w:hAnsi="宋体"/>
          <w:highlight w:val="none"/>
        </w:rPr>
      </w:pPr>
      <w:r>
        <w:rPr>
          <w:rFonts w:hint="eastAsia" w:ascii="宋体" w:hAnsi="宋体"/>
          <w:highlight w:val="none"/>
        </w:rPr>
        <w:t>5为确保网上操作合法、有效和安全，供应商应当在响应截止时间前完成在“政府采购云平台”的身份认证，确保在电子响应过程中能够对相关数据电文进行加密和使用电子签名。</w:t>
      </w:r>
    </w:p>
    <w:p>
      <w:pPr>
        <w:snapToGrid w:val="0"/>
        <w:spacing w:line="360" w:lineRule="auto"/>
        <w:ind w:firstLine="480" w:firstLineChars="200"/>
        <w:rPr>
          <w:rFonts w:ascii="宋体" w:hAnsi="宋体"/>
          <w:highlight w:val="none"/>
        </w:rPr>
      </w:pPr>
      <w:r>
        <w:rPr>
          <w:rFonts w:hint="eastAsia" w:ascii="宋体" w:hAnsi="宋体"/>
          <w:highlight w:val="none"/>
        </w:rPr>
        <w:t>6征集文件对响应文件签署、盖章的要求适用于电子签名。</w:t>
      </w:r>
    </w:p>
    <w:p>
      <w:pPr>
        <w:snapToGrid w:val="0"/>
        <w:spacing w:line="360" w:lineRule="auto"/>
        <w:ind w:firstLine="472" w:firstLineChars="196"/>
        <w:jc w:val="left"/>
        <w:outlineLvl w:val="2"/>
        <w:rPr>
          <w:rFonts w:ascii="宋体" w:hAnsi="宋体"/>
          <w:b/>
          <w:highlight w:val="none"/>
        </w:rPr>
      </w:pPr>
      <w:bookmarkStart w:id="54" w:name="_Toc385854100"/>
      <w:bookmarkStart w:id="55" w:name="_Toc402963084"/>
      <w:bookmarkStart w:id="56" w:name="_Toc406402990"/>
      <w:bookmarkStart w:id="57" w:name="_Toc385854146"/>
      <w:bookmarkStart w:id="58" w:name="_Toc402963117"/>
      <w:bookmarkStart w:id="59" w:name="_Toc532218227"/>
      <w:bookmarkStart w:id="60" w:name="_Toc406402946"/>
      <w:r>
        <w:rPr>
          <w:rFonts w:hint="eastAsia" w:ascii="宋体" w:hAnsi="宋体"/>
          <w:b/>
          <w:highlight w:val="none"/>
        </w:rPr>
        <w:t>（三）响应文件的语言及计量</w:t>
      </w:r>
      <w:bookmarkEnd w:id="54"/>
      <w:bookmarkEnd w:id="55"/>
      <w:bookmarkEnd w:id="56"/>
      <w:bookmarkEnd w:id="57"/>
      <w:bookmarkEnd w:id="58"/>
      <w:bookmarkEnd w:id="59"/>
      <w:bookmarkEnd w:id="60"/>
    </w:p>
    <w:p>
      <w:pPr>
        <w:snapToGrid w:val="0"/>
        <w:spacing w:line="360" w:lineRule="auto"/>
        <w:ind w:firstLine="480" w:firstLineChars="200"/>
        <w:jc w:val="left"/>
        <w:rPr>
          <w:rFonts w:ascii="宋体" w:hAnsi="宋体"/>
          <w:highlight w:val="none"/>
        </w:rPr>
      </w:pPr>
      <w:r>
        <w:rPr>
          <w:rFonts w:hint="eastAsia" w:ascii="宋体" w:hAnsi="宋体"/>
          <w:highlight w:val="none"/>
        </w:rPr>
        <w:t>1．响应文件以及征集人就有关征集事宜的所有来往函电，均应以中文汉语书写。除签名、盖章、专用名称等特殊情形外，以中文汉语以外的文字表述的响应文件视同未提供。</w:t>
      </w:r>
    </w:p>
    <w:p>
      <w:pPr>
        <w:snapToGrid w:val="0"/>
        <w:spacing w:line="360" w:lineRule="auto"/>
        <w:ind w:firstLine="480" w:firstLineChars="200"/>
        <w:jc w:val="left"/>
        <w:rPr>
          <w:rFonts w:ascii="宋体" w:hAnsi="宋体"/>
          <w:highlight w:val="none"/>
        </w:rPr>
      </w:pPr>
      <w:r>
        <w:rPr>
          <w:rFonts w:hint="eastAsia" w:ascii="宋体" w:hAnsi="宋体"/>
          <w:highlight w:val="none"/>
        </w:rPr>
        <w:t>2．响应计量单位，征集文件已有明确规定的，使用征集文件规定的计量单位；征集文件没有规定的，应采用中华人民共和国法定计量单位（货币单位：人民币元），否则视同未响应。</w:t>
      </w:r>
    </w:p>
    <w:p>
      <w:pPr>
        <w:pStyle w:val="25"/>
        <w:spacing w:before="0"/>
        <w:ind w:firstLine="482"/>
        <w:rPr>
          <w:rFonts w:ascii="宋体" w:hAnsi="宋体"/>
          <w:b/>
          <w:szCs w:val="24"/>
          <w:highlight w:val="none"/>
        </w:rPr>
      </w:pPr>
      <w:r>
        <w:rPr>
          <w:rFonts w:hint="eastAsia" w:ascii="宋体" w:hAnsi="宋体"/>
          <w:b/>
          <w:szCs w:val="24"/>
          <w:highlight w:val="none"/>
        </w:rPr>
        <w:t>（四）响应文件的提交、补充、修改、撤回</w:t>
      </w:r>
    </w:p>
    <w:p>
      <w:pPr>
        <w:snapToGrid w:val="0"/>
        <w:spacing w:line="360" w:lineRule="auto"/>
        <w:ind w:firstLine="480" w:firstLineChars="200"/>
        <w:jc w:val="left"/>
        <w:rPr>
          <w:rFonts w:ascii="宋体" w:hAnsi="宋体"/>
          <w:highlight w:val="none"/>
        </w:rPr>
      </w:pPr>
      <w:r>
        <w:rPr>
          <w:rFonts w:hint="eastAsia" w:ascii="宋体" w:hAnsi="宋体"/>
          <w:highlight w:val="none"/>
        </w:rPr>
        <w:t>1.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pPr>
        <w:snapToGrid w:val="0"/>
        <w:spacing w:line="360" w:lineRule="auto"/>
        <w:ind w:firstLine="480" w:firstLineChars="200"/>
        <w:jc w:val="left"/>
        <w:rPr>
          <w:rFonts w:ascii="宋体" w:hAnsi="宋体"/>
          <w:highlight w:val="none"/>
        </w:rPr>
      </w:pPr>
      <w:r>
        <w:rPr>
          <w:rFonts w:hint="eastAsia" w:ascii="宋体" w:hAnsi="宋体"/>
          <w:highlight w:val="none"/>
        </w:rPr>
        <w:t>2.电子交易平台收到响应文件，将妥善保存并即时向供应商发出确认回执通知。在响应截止时间前，除供应商补充、修改或者撤回响应文件外，任何单位和个人不得解密或提取响应文件。</w:t>
      </w:r>
    </w:p>
    <w:p>
      <w:pPr>
        <w:snapToGrid w:val="0"/>
        <w:spacing w:line="360" w:lineRule="auto"/>
        <w:ind w:firstLine="480" w:firstLineChars="200"/>
        <w:jc w:val="left"/>
        <w:rPr>
          <w:rFonts w:ascii="宋体" w:hAnsi="宋体"/>
          <w:highlight w:val="none"/>
        </w:rPr>
      </w:pPr>
      <w:r>
        <w:rPr>
          <w:rFonts w:hint="eastAsia" w:ascii="宋体" w:hAnsi="宋体"/>
          <w:highlight w:val="none"/>
        </w:rPr>
        <w:t>3.征集人可以视情况延长响应文件提交的截止时间。在上述情况下，采购机构与供应商以前在响应截止期方面的全部权利、责任和义务，将适用于延长至新的响应截止期。</w:t>
      </w:r>
    </w:p>
    <w:p>
      <w:pPr>
        <w:snapToGrid w:val="0"/>
        <w:spacing w:line="360" w:lineRule="auto"/>
        <w:ind w:firstLine="472" w:firstLineChars="196"/>
        <w:jc w:val="left"/>
        <w:outlineLvl w:val="2"/>
        <w:rPr>
          <w:rFonts w:ascii="宋体" w:hAnsi="宋体"/>
          <w:b/>
          <w:highlight w:val="none"/>
        </w:rPr>
      </w:pPr>
      <w:bookmarkStart w:id="61" w:name="_Toc402963118"/>
      <w:bookmarkStart w:id="62" w:name="_Toc406402947"/>
      <w:bookmarkStart w:id="63" w:name="_Toc385854101"/>
      <w:bookmarkStart w:id="64" w:name="_Toc532218228"/>
      <w:bookmarkStart w:id="65" w:name="_Toc406402991"/>
      <w:bookmarkStart w:id="66" w:name="_Toc402963085"/>
      <w:bookmarkStart w:id="67" w:name="_Toc385854147"/>
      <w:r>
        <w:rPr>
          <w:rFonts w:hint="eastAsia" w:ascii="宋体" w:hAnsi="宋体"/>
          <w:b/>
          <w:highlight w:val="none"/>
        </w:rPr>
        <w:t>（五）</w:t>
      </w:r>
      <w:bookmarkEnd w:id="61"/>
      <w:bookmarkEnd w:id="62"/>
      <w:bookmarkEnd w:id="63"/>
      <w:bookmarkEnd w:id="64"/>
      <w:bookmarkEnd w:id="65"/>
      <w:bookmarkEnd w:id="66"/>
      <w:bookmarkEnd w:id="67"/>
      <w:r>
        <w:rPr>
          <w:rFonts w:hint="eastAsia" w:ascii="宋体" w:hAnsi="宋体"/>
          <w:b/>
          <w:highlight w:val="none"/>
        </w:rPr>
        <w:t>响应报价</w:t>
      </w:r>
    </w:p>
    <w:p>
      <w:pPr>
        <w:pStyle w:val="12"/>
        <w:snapToGrid w:val="0"/>
        <w:spacing w:before="120" w:after="120" w:line="360" w:lineRule="auto"/>
        <w:ind w:firstLine="480" w:firstLineChars="200"/>
        <w:jc w:val="left"/>
        <w:rPr>
          <w:rFonts w:hAnsi="宋体" w:cs="宋体"/>
          <w:highlight w:val="none"/>
        </w:rPr>
      </w:pPr>
      <w:r>
        <w:rPr>
          <w:rFonts w:hint="eastAsia" w:hAnsi="宋体" w:cs="宋体"/>
          <w:highlight w:val="none"/>
        </w:rPr>
        <w:t>1.响应报价应按征集文件中相关附表格式填写。</w:t>
      </w:r>
    </w:p>
    <w:p>
      <w:pPr>
        <w:tabs>
          <w:tab w:val="left" w:pos="525"/>
        </w:tabs>
        <w:snapToGrid w:val="0"/>
        <w:spacing w:line="360" w:lineRule="auto"/>
        <w:ind w:firstLine="480" w:firstLineChars="200"/>
        <w:jc w:val="left"/>
        <w:rPr>
          <w:rFonts w:ascii="宋体" w:hAnsi="宋体"/>
          <w:highlight w:val="none"/>
        </w:rPr>
      </w:pPr>
      <w:r>
        <w:rPr>
          <w:rFonts w:hint="eastAsia" w:ascii="宋体" w:hAnsi="宋体"/>
          <w:highlight w:val="none"/>
        </w:rPr>
        <w:t>2.响应文件只允许有一个报价，有选择的或有条件的报价将不予接受。</w:t>
      </w:r>
    </w:p>
    <w:p>
      <w:pPr>
        <w:snapToGrid w:val="0"/>
        <w:spacing w:line="360" w:lineRule="auto"/>
        <w:ind w:firstLine="472" w:firstLineChars="196"/>
        <w:jc w:val="left"/>
        <w:outlineLvl w:val="2"/>
        <w:rPr>
          <w:rFonts w:ascii="宋体" w:hAnsi="宋体"/>
          <w:b/>
          <w:highlight w:val="none"/>
        </w:rPr>
      </w:pPr>
      <w:r>
        <w:rPr>
          <w:rFonts w:hint="eastAsia" w:ascii="宋体" w:hAnsi="宋体"/>
          <w:b/>
          <w:highlight w:val="none"/>
        </w:rPr>
        <w:t>（六）响应文件的有效期</w:t>
      </w:r>
    </w:p>
    <w:p>
      <w:pPr>
        <w:pStyle w:val="7"/>
        <w:numPr>
          <w:ilvl w:val="0"/>
          <w:numId w:val="0"/>
        </w:numPr>
        <w:tabs>
          <w:tab w:val="left" w:pos="720"/>
        </w:tabs>
        <w:snapToGrid w:val="0"/>
        <w:spacing w:after="120" w:line="360" w:lineRule="auto"/>
        <w:ind w:left="480" w:leftChars="200"/>
        <w:rPr>
          <w:rFonts w:ascii="宋体" w:hAnsi="宋体"/>
          <w:highlight w:val="none"/>
        </w:rPr>
      </w:pPr>
      <w:r>
        <w:rPr>
          <w:rFonts w:hint="eastAsia" w:ascii="宋体" w:hAnsi="宋体"/>
          <w:highlight w:val="none"/>
        </w:rPr>
        <w:t>1.自响应截止日起</w:t>
      </w:r>
      <w:r>
        <w:rPr>
          <w:rFonts w:hint="eastAsia" w:ascii="宋体" w:hAnsi="宋体"/>
          <w:highlight w:val="none"/>
          <w:u w:val="single"/>
        </w:rPr>
        <w:t>90</w:t>
      </w:r>
      <w:r>
        <w:rPr>
          <w:rFonts w:hint="eastAsia" w:ascii="宋体" w:hAnsi="宋体"/>
          <w:highlight w:val="none"/>
        </w:rPr>
        <w:t>天响应文件应保持有效。有效期不足的响应文件将被拒绝。</w:t>
      </w:r>
    </w:p>
    <w:p>
      <w:pPr>
        <w:pStyle w:val="7"/>
        <w:numPr>
          <w:ilvl w:val="0"/>
          <w:numId w:val="0"/>
        </w:numPr>
        <w:tabs>
          <w:tab w:val="left" w:pos="720"/>
        </w:tabs>
        <w:snapToGrid w:val="0"/>
        <w:spacing w:after="120" w:line="360" w:lineRule="auto"/>
        <w:ind w:firstLine="480" w:firstLineChars="200"/>
        <w:rPr>
          <w:rFonts w:ascii="宋体" w:hAnsi="宋体"/>
          <w:highlight w:val="none"/>
        </w:rPr>
      </w:pPr>
      <w:r>
        <w:rPr>
          <w:rFonts w:hint="eastAsia" w:ascii="宋体" w:hAnsi="宋体"/>
          <w:highlight w:val="none"/>
        </w:rPr>
        <w:t>2.在特殊情况下，征集人可与供应商协商延长响应文件的有效期，这种要求和答复均以书面形式进行。</w:t>
      </w:r>
    </w:p>
    <w:p>
      <w:pPr>
        <w:pStyle w:val="7"/>
        <w:numPr>
          <w:ilvl w:val="0"/>
          <w:numId w:val="0"/>
        </w:numPr>
        <w:tabs>
          <w:tab w:val="left" w:pos="720"/>
        </w:tabs>
        <w:snapToGrid w:val="0"/>
        <w:spacing w:after="120" w:line="360" w:lineRule="auto"/>
        <w:ind w:firstLine="480" w:firstLineChars="200"/>
        <w:rPr>
          <w:rFonts w:ascii="宋体" w:hAnsi="宋体"/>
          <w:highlight w:val="none"/>
        </w:rPr>
      </w:pPr>
      <w:bookmarkStart w:id="68" w:name="_Toc406402949"/>
      <w:bookmarkStart w:id="69" w:name="_Toc532218229"/>
      <w:bookmarkStart w:id="70" w:name="_Toc406402993"/>
      <w:bookmarkStart w:id="71" w:name="_Toc385854103"/>
      <w:bookmarkStart w:id="72" w:name="_Toc385854149"/>
      <w:bookmarkStart w:id="73" w:name="_Toc402963120"/>
      <w:bookmarkStart w:id="74" w:name="_Toc402963087"/>
      <w:r>
        <w:rPr>
          <w:rFonts w:hint="eastAsia" w:ascii="宋体" w:hAnsi="宋体"/>
          <w:highlight w:val="none"/>
        </w:rPr>
        <w:t>3.入围供应商的响应文件自开标之日起至合同履行完毕止均应保持有效。</w:t>
      </w:r>
      <w:bookmarkEnd w:id="68"/>
      <w:bookmarkEnd w:id="69"/>
      <w:bookmarkEnd w:id="70"/>
      <w:bookmarkEnd w:id="71"/>
      <w:bookmarkEnd w:id="72"/>
      <w:bookmarkEnd w:id="73"/>
      <w:bookmarkEnd w:id="74"/>
    </w:p>
    <w:p>
      <w:pPr>
        <w:pStyle w:val="25"/>
        <w:spacing w:before="0"/>
        <w:ind w:firstLine="480"/>
        <w:rPr>
          <w:rFonts w:ascii="宋体" w:hAnsi="宋体"/>
          <w:szCs w:val="24"/>
          <w:highlight w:val="none"/>
        </w:rPr>
      </w:pPr>
      <w:r>
        <w:rPr>
          <w:rFonts w:hint="eastAsia" w:ascii="宋体" w:hAnsi="宋体"/>
          <w:szCs w:val="24"/>
          <w:highlight w:val="none"/>
        </w:rPr>
        <w:t>4.在原定响应有效期满之前，如果出现特殊情况，采购机构可以以书面形式通知供应商延长响应有效期。供应商同意延长的，不得要求或被允许修改其响应文件，供应商拒绝延长的，其响应无效。</w:t>
      </w:r>
    </w:p>
    <w:p>
      <w:pPr>
        <w:keepNext w:val="0"/>
        <w:keepLines w:val="0"/>
        <w:pageBreakBefore w:val="0"/>
        <w:widowControl w:val="0"/>
        <w:kinsoku/>
        <w:overflowPunct/>
        <w:topLinePunct w:val="0"/>
        <w:autoSpaceDE/>
        <w:autoSpaceDN/>
        <w:bidi w:val="0"/>
        <w:adjustRightInd/>
        <w:snapToGrid w:val="0"/>
        <w:spacing w:line="360" w:lineRule="auto"/>
        <w:ind w:firstLine="482" w:firstLineChars="200"/>
        <w:jc w:val="left"/>
        <w:textAlignment w:val="auto"/>
        <w:outlineLvl w:val="2"/>
        <w:rPr>
          <w:rFonts w:hint="eastAsia" w:ascii="宋体" w:hAnsi="宋体" w:eastAsia="宋体" w:cs="宋体"/>
          <w:b/>
          <w:sz w:val="24"/>
          <w:szCs w:val="24"/>
          <w:highlight w:val="none"/>
        </w:rPr>
      </w:pPr>
      <w:r>
        <w:rPr>
          <w:rFonts w:hint="eastAsia" w:ascii="宋体" w:hAnsi="宋体"/>
          <w:b/>
          <w:highlight w:val="none"/>
        </w:rPr>
        <w:t>（</w:t>
      </w:r>
      <w:r>
        <w:rPr>
          <w:rFonts w:hint="eastAsia" w:ascii="宋体" w:hAnsi="宋体" w:eastAsia="宋体" w:cs="宋体"/>
          <w:b/>
          <w:sz w:val="24"/>
          <w:szCs w:val="24"/>
          <w:highlight w:val="none"/>
        </w:rPr>
        <w:t>七）响应无效的情形</w:t>
      </w:r>
    </w:p>
    <w:p>
      <w:pPr>
        <w:keepNext w:val="0"/>
        <w:keepLines w:val="0"/>
        <w:pageBreakBefore w:val="0"/>
        <w:widowControl w:val="0"/>
        <w:kinsoku/>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1.电子响应文件解密失败的，且未在规定时间内提交有效备份响应文件的。</w:t>
      </w:r>
    </w:p>
    <w:p>
      <w:pPr>
        <w:keepNext w:val="0"/>
        <w:keepLines w:val="0"/>
        <w:pageBreakBefore w:val="0"/>
        <w:widowControl w:val="0"/>
        <w:kinsoku/>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2.仅提交备份响应文件，没有在电子交易平台传输递交响应文件的。</w:t>
      </w:r>
    </w:p>
    <w:p>
      <w:pPr>
        <w:keepNext w:val="0"/>
        <w:keepLines w:val="0"/>
        <w:pageBreakBefore w:val="0"/>
        <w:widowControl w:val="0"/>
        <w:kinsoku/>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3.没有通过资格审查的，响应文件将被视为无效。</w:t>
      </w:r>
    </w:p>
    <w:p>
      <w:pPr>
        <w:keepNext w:val="0"/>
        <w:keepLines w:val="0"/>
        <w:pageBreakBefore w:val="0"/>
        <w:widowControl w:val="0"/>
        <w:kinsoku/>
        <w:overflowPunct/>
        <w:topLinePunct w:val="0"/>
        <w:autoSpaceDE/>
        <w:autoSpaceDN/>
        <w:bidi w:val="0"/>
        <w:adjustRightInd/>
        <w:snapToGrid w:val="0"/>
        <w:spacing w:line="360" w:lineRule="auto"/>
        <w:ind w:firstLine="482" w:firstLineChars="200"/>
        <w:textAlignment w:val="auto"/>
        <w:rPr>
          <w:rFonts w:hint="eastAsia" w:asciiTheme="majorEastAsia" w:hAnsiTheme="majorEastAsia" w:eastAsiaTheme="majorEastAsia" w:cstheme="majorEastAsia"/>
          <w:highlight w:val="none"/>
        </w:rPr>
      </w:pPr>
      <w:r>
        <w:rPr>
          <w:rFonts w:hint="eastAsia" w:ascii="宋体" w:hAnsi="宋体" w:cs="宋体"/>
          <w:b/>
          <w:sz w:val="24"/>
          <w:szCs w:val="24"/>
          <w:highlight w:val="none"/>
          <w:lang w:val="en-US" w:eastAsia="zh-CN"/>
        </w:rPr>
        <w:t>4</w:t>
      </w:r>
      <w:r>
        <w:rPr>
          <w:rFonts w:hint="eastAsia" w:ascii="宋体" w:hAnsi="宋体" w:eastAsia="宋体" w:cs="宋体"/>
          <w:b/>
          <w:sz w:val="24"/>
          <w:szCs w:val="24"/>
          <w:highlight w:val="none"/>
        </w:rPr>
        <w:t>.参与同一个标段的供应商存在下列情形之一且无法合理解释的，其投标文件无效：</w:t>
      </w:r>
      <w:r>
        <w:rPr>
          <w:rFonts w:hint="eastAsia" w:ascii="宋体" w:hAnsi="宋体" w:eastAsia="宋体" w:cs="宋体"/>
          <w:b/>
          <w:sz w:val="24"/>
          <w:szCs w:val="24"/>
          <w:highlight w:val="none"/>
        </w:rPr>
        <w:br w:type="textWrapping"/>
      </w:r>
      <w:r>
        <w:rPr>
          <w:rFonts w:hint="eastAsia" w:ascii="宋体" w:hAnsi="宋体" w:cs="宋体"/>
          <w:b/>
          <w:sz w:val="24"/>
          <w:szCs w:val="24"/>
          <w:highlight w:val="none"/>
          <w:lang w:val="en-US" w:eastAsia="zh-CN"/>
        </w:rPr>
        <w:t xml:space="preserve">   </w:t>
      </w:r>
      <w:r>
        <w:rPr>
          <w:rFonts w:hint="eastAsia" w:asciiTheme="majorEastAsia" w:hAnsiTheme="majorEastAsia" w:eastAsiaTheme="majorEastAsia" w:cstheme="majorEastAsia"/>
          <w:highlight w:val="none"/>
        </w:rPr>
        <w:t>（1）不同供应商的电子投标（响应）文件上传计算机的网卡MAC地址、CPU序列号和硬盘序列号等硬件信息相同的；</w:t>
      </w:r>
      <w:r>
        <w:rPr>
          <w:rFonts w:hint="eastAsia" w:asciiTheme="majorEastAsia" w:hAnsiTheme="majorEastAsia" w:eastAsiaTheme="majorEastAsia" w:cstheme="majorEastAsia"/>
          <w:highlight w:val="none"/>
        </w:rPr>
        <w:br w:type="textWrapping"/>
      </w:r>
      <w:r>
        <w:rPr>
          <w:rFonts w:hint="eastAsia" w:asciiTheme="majorEastAsia" w:hAnsiTheme="majorEastAsia" w:eastAsiaTheme="majorEastAsia" w:cstheme="majorEastAsia"/>
          <w:highlight w:val="none"/>
          <w:lang w:val="en-US" w:eastAsia="zh-CN"/>
        </w:rPr>
        <w:t xml:space="preserve">   </w:t>
      </w:r>
      <w:r>
        <w:rPr>
          <w:rFonts w:hint="eastAsia" w:asciiTheme="majorEastAsia" w:hAnsiTheme="majorEastAsia" w:eastAsiaTheme="majorEastAsia" w:cstheme="majorEastAsia"/>
          <w:highlight w:val="none"/>
        </w:rPr>
        <w:t>（2）上传的电子投标文件若出现使用本项目其他投标（响应）供应商的数字证书加密的，或者加盖本项目其他投标供应商的电子印章的；</w:t>
      </w:r>
      <w:r>
        <w:rPr>
          <w:rFonts w:hint="eastAsia" w:asciiTheme="majorEastAsia" w:hAnsiTheme="majorEastAsia" w:eastAsiaTheme="majorEastAsia" w:cstheme="majorEastAsia"/>
          <w:highlight w:val="none"/>
        </w:rPr>
        <w:br w:type="textWrapping"/>
      </w:r>
      <w:r>
        <w:rPr>
          <w:rFonts w:hint="eastAsia" w:asciiTheme="majorEastAsia" w:hAnsiTheme="majorEastAsia" w:eastAsiaTheme="majorEastAsia" w:cstheme="majorEastAsia"/>
          <w:highlight w:val="none"/>
          <w:lang w:val="en-US" w:eastAsia="zh-CN"/>
        </w:rPr>
        <w:t xml:space="preserve">   </w:t>
      </w:r>
      <w:r>
        <w:rPr>
          <w:rFonts w:hint="eastAsia" w:asciiTheme="majorEastAsia" w:hAnsiTheme="majorEastAsia" w:eastAsiaTheme="majorEastAsia" w:cstheme="majorEastAsia"/>
          <w:highlight w:val="none"/>
        </w:rPr>
        <w:t>（3）不同供应商的投标文件的内容存在三处（含）以上错误一致的；</w:t>
      </w:r>
      <w:r>
        <w:rPr>
          <w:rFonts w:hint="eastAsia" w:asciiTheme="majorEastAsia" w:hAnsiTheme="majorEastAsia" w:eastAsiaTheme="majorEastAsia" w:cstheme="majorEastAsia"/>
          <w:highlight w:val="none"/>
        </w:rPr>
        <w:br w:type="textWrapping"/>
      </w:r>
      <w:r>
        <w:rPr>
          <w:rFonts w:hint="eastAsia" w:asciiTheme="majorEastAsia" w:hAnsiTheme="majorEastAsia" w:eastAsiaTheme="majorEastAsia" w:cstheme="majorEastAsia"/>
          <w:highlight w:val="none"/>
          <w:lang w:val="en-US" w:eastAsia="zh-CN"/>
        </w:rPr>
        <w:t xml:space="preserve">   </w:t>
      </w:r>
      <w:r>
        <w:rPr>
          <w:rFonts w:hint="eastAsia" w:asciiTheme="majorEastAsia" w:hAnsiTheme="majorEastAsia" w:eastAsiaTheme="majorEastAsia" w:cstheme="majorEastAsia"/>
          <w:highlight w:val="none"/>
        </w:rPr>
        <w:t>（4）不同供应商联系人为同一人或不同联系人的联系电话一致的。</w:t>
      </w:r>
    </w:p>
    <w:p>
      <w:pPr>
        <w:keepNext w:val="0"/>
        <w:keepLines w:val="0"/>
        <w:pageBreakBefore w:val="0"/>
        <w:widowControl w:val="0"/>
        <w:kinsoku/>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5</w:t>
      </w:r>
      <w:r>
        <w:rPr>
          <w:rFonts w:hint="eastAsia" w:ascii="宋体" w:hAnsi="宋体" w:eastAsia="宋体" w:cs="宋体"/>
          <w:b/>
          <w:sz w:val="24"/>
          <w:szCs w:val="24"/>
          <w:highlight w:val="none"/>
        </w:rPr>
        <w:t>.在符合性审查和商务评审时，如发现下列情形之一的，响应文件将被视为无效：</w:t>
      </w:r>
    </w:p>
    <w:p>
      <w:pPr>
        <w:snapToGrid w:val="0"/>
        <w:spacing w:line="480" w:lineRule="exact"/>
        <w:ind w:firstLine="470" w:firstLineChars="196"/>
        <w:rPr>
          <w:rFonts w:asciiTheme="majorEastAsia" w:hAnsiTheme="majorEastAsia" w:eastAsiaTheme="majorEastAsia" w:cstheme="majorEastAsia"/>
          <w:highlight w:val="none"/>
        </w:rPr>
      </w:pPr>
      <w:r>
        <w:rPr>
          <w:rFonts w:hint="eastAsia" w:asciiTheme="majorEastAsia" w:hAnsiTheme="majorEastAsia" w:eastAsiaTheme="majorEastAsia" w:cstheme="majorEastAsia"/>
          <w:bCs/>
          <w:highlight w:val="none"/>
        </w:rPr>
        <w:t>（1）</w:t>
      </w:r>
      <w:r>
        <w:rPr>
          <w:rFonts w:hint="eastAsia" w:asciiTheme="majorEastAsia" w:hAnsiTheme="majorEastAsia" w:eastAsiaTheme="majorEastAsia" w:cstheme="majorEastAsia"/>
          <w:highlight w:val="none"/>
        </w:rPr>
        <w:t>电子响应文件未按规定要求提供电子签章的。</w:t>
      </w:r>
    </w:p>
    <w:p>
      <w:pPr>
        <w:snapToGrid w:val="0"/>
        <w:spacing w:line="480" w:lineRule="exact"/>
        <w:ind w:firstLine="480" w:firstLineChars="200"/>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（2）未按要求对资格文件进行承诺，或虚假承诺的。</w:t>
      </w:r>
    </w:p>
    <w:p>
      <w:pPr>
        <w:snapToGrid w:val="0"/>
        <w:spacing w:line="480" w:lineRule="exact"/>
        <w:ind w:firstLine="470" w:firstLineChars="196"/>
        <w:rPr>
          <w:rFonts w:asciiTheme="majorEastAsia" w:hAnsiTheme="majorEastAsia" w:eastAsiaTheme="majorEastAsia" w:cstheme="majorEastAsia"/>
          <w:bCs/>
          <w:kern w:val="0"/>
          <w:highlight w:val="none"/>
        </w:rPr>
      </w:pPr>
      <w:r>
        <w:rPr>
          <w:rFonts w:hint="eastAsia" w:asciiTheme="majorEastAsia" w:hAnsiTheme="majorEastAsia" w:eastAsiaTheme="majorEastAsia" w:cstheme="majorEastAsia"/>
          <w:highlight w:val="none"/>
        </w:rPr>
        <w:t>（3）未</w:t>
      </w:r>
      <w:r>
        <w:rPr>
          <w:rFonts w:hint="eastAsia" w:asciiTheme="majorEastAsia" w:hAnsiTheme="majorEastAsia" w:eastAsiaTheme="majorEastAsia" w:cstheme="majorEastAsia"/>
          <w:bCs/>
          <w:kern w:val="0"/>
          <w:highlight w:val="none"/>
        </w:rPr>
        <w:t>提供法定代表人授权委托书、投标函或者填写项目不齐全的。</w:t>
      </w:r>
    </w:p>
    <w:p>
      <w:pPr>
        <w:pStyle w:val="3"/>
        <w:snapToGrid w:val="0"/>
        <w:spacing w:line="480" w:lineRule="exact"/>
        <w:ind w:firstLine="454" w:firstLineChars="196"/>
        <w:rPr>
          <w:rFonts w:asciiTheme="majorEastAsia" w:hAnsiTheme="majorEastAsia" w:eastAsiaTheme="majorEastAsia" w:cstheme="majorEastAsia"/>
          <w:snapToGrid w:val="0"/>
          <w:sz w:val="24"/>
          <w:szCs w:val="24"/>
          <w:highlight w:val="none"/>
        </w:rPr>
      </w:pPr>
      <w:r>
        <w:rPr>
          <w:rFonts w:hint="eastAsia" w:asciiTheme="majorEastAsia" w:hAnsiTheme="majorEastAsia" w:eastAsiaTheme="majorEastAsia" w:cstheme="majorEastAsia"/>
          <w:sz w:val="24"/>
          <w:szCs w:val="24"/>
          <w:highlight w:val="none"/>
        </w:rPr>
        <w:t>（4）响应文件格式不规范、项目不齐全或者内容虚假的。</w:t>
      </w:r>
    </w:p>
    <w:p>
      <w:pPr>
        <w:pStyle w:val="3"/>
        <w:snapToGrid w:val="0"/>
        <w:spacing w:line="480" w:lineRule="exact"/>
        <w:ind w:firstLine="454" w:firstLineChars="196"/>
        <w:rPr>
          <w:rFonts w:asciiTheme="majorEastAsia" w:hAnsiTheme="majorEastAsia" w:eastAsiaTheme="majorEastAsia" w:cstheme="majorEastAsia"/>
          <w:snapToGrid w:val="0"/>
          <w:sz w:val="24"/>
          <w:szCs w:val="24"/>
          <w:highlight w:val="none"/>
        </w:rPr>
      </w:pP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snapToGrid w:val="0"/>
          <w:sz w:val="24"/>
          <w:szCs w:val="24"/>
          <w:highlight w:val="none"/>
        </w:rPr>
        <w:t>5）</w:t>
      </w:r>
      <w:r>
        <w:rPr>
          <w:rFonts w:hint="eastAsia" w:asciiTheme="majorEastAsia" w:hAnsiTheme="majorEastAsia" w:eastAsiaTheme="majorEastAsia" w:cstheme="majorEastAsia"/>
          <w:sz w:val="24"/>
          <w:szCs w:val="24"/>
          <w:highlight w:val="none"/>
        </w:rPr>
        <w:t>响应文件的实质性内容未使用中文表述、意思表述不明确、前后矛盾或者使用计量单位不符合征集文件要求的（经评审小组认定并允许其当场更正的笔误除外）。</w:t>
      </w:r>
    </w:p>
    <w:p>
      <w:pPr>
        <w:pStyle w:val="3"/>
        <w:snapToGrid w:val="0"/>
        <w:spacing w:line="480" w:lineRule="exact"/>
        <w:ind w:firstLine="454" w:firstLineChars="196"/>
        <w:rPr>
          <w:rFonts w:asciiTheme="majorEastAsia" w:hAnsiTheme="majorEastAsia" w:eastAsiaTheme="majorEastAsia" w:cstheme="majorEastAsia"/>
          <w:snapToGrid w:val="0"/>
          <w:sz w:val="24"/>
          <w:szCs w:val="24"/>
          <w:highlight w:val="none"/>
        </w:rPr>
      </w:pPr>
      <w:r>
        <w:rPr>
          <w:rFonts w:hint="eastAsia" w:asciiTheme="majorEastAsia" w:hAnsiTheme="majorEastAsia" w:eastAsiaTheme="majorEastAsia" w:cstheme="majorEastAsia"/>
          <w:sz w:val="24"/>
          <w:szCs w:val="24"/>
          <w:highlight w:val="none"/>
        </w:rPr>
        <w:t>（6）</w:t>
      </w:r>
      <w:r>
        <w:rPr>
          <w:rFonts w:hint="eastAsia" w:asciiTheme="majorEastAsia" w:hAnsiTheme="majorEastAsia" w:eastAsiaTheme="majorEastAsia" w:cstheme="majorEastAsia"/>
          <w:snapToGrid w:val="0"/>
          <w:sz w:val="24"/>
          <w:szCs w:val="24"/>
          <w:highlight w:val="none"/>
        </w:rPr>
        <w:t>响应有效期、服务承诺等商务条款不能满足征集文件要求的。</w:t>
      </w:r>
    </w:p>
    <w:p>
      <w:pPr>
        <w:pStyle w:val="3"/>
        <w:snapToGrid w:val="0"/>
        <w:spacing w:line="480" w:lineRule="exact"/>
        <w:ind w:firstLine="454" w:firstLineChars="196"/>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（7）未实质性响应征集文件要求或者响应文件有征集人不能接受的附加条件的。</w:t>
      </w:r>
    </w:p>
    <w:p>
      <w:pPr>
        <w:pStyle w:val="3"/>
        <w:keepNext w:val="0"/>
        <w:keepLines w:val="0"/>
        <w:pageBreakBefore w:val="0"/>
        <w:widowControl w:val="0"/>
        <w:kinsoku/>
        <w:wordWrap/>
        <w:overflowPunct/>
        <w:topLinePunct w:val="0"/>
        <w:autoSpaceDE/>
        <w:autoSpaceDN/>
        <w:bidi w:val="0"/>
        <w:adjustRightInd/>
        <w:snapToGrid w:val="0"/>
        <w:spacing w:line="360" w:lineRule="auto"/>
        <w:ind w:firstLine="454" w:firstLineChars="196"/>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（8）不符合本征集文件中的实质性要求条款。</w:t>
      </w:r>
    </w:p>
    <w:p>
      <w:pPr>
        <w:pStyle w:val="3"/>
        <w:keepNext w:val="0"/>
        <w:keepLines w:val="0"/>
        <w:pageBreakBefore w:val="0"/>
        <w:widowControl w:val="0"/>
        <w:kinsoku/>
        <w:wordWrap/>
        <w:overflowPunct/>
        <w:topLinePunct w:val="0"/>
        <w:autoSpaceDE/>
        <w:autoSpaceDN/>
        <w:bidi w:val="0"/>
        <w:adjustRightInd/>
        <w:snapToGrid w:val="0"/>
        <w:spacing w:line="360" w:lineRule="auto"/>
        <w:ind w:firstLine="454" w:firstLineChars="196"/>
        <w:textAlignment w:val="auto"/>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val="en-US" w:eastAsia="zh-CN"/>
        </w:rPr>
        <w:t>9</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napToGrid w:val="0"/>
          <w:sz w:val="24"/>
          <w:szCs w:val="24"/>
          <w:highlight w:val="none"/>
        </w:rPr>
        <w:t>没有按照要求提供</w:t>
      </w:r>
      <w:r>
        <w:rPr>
          <w:rFonts w:hint="eastAsia" w:asciiTheme="majorEastAsia" w:hAnsiTheme="majorEastAsia" w:eastAsiaTheme="majorEastAsia" w:cstheme="majorEastAsia"/>
          <w:snapToGrid w:val="0"/>
          <w:color w:val="FF0000"/>
          <w:sz w:val="24"/>
          <w:szCs w:val="24"/>
          <w:highlight w:val="none"/>
        </w:rPr>
        <w:t>《报价</w:t>
      </w:r>
      <w:r>
        <w:rPr>
          <w:rFonts w:hint="eastAsia" w:asciiTheme="majorEastAsia" w:hAnsiTheme="majorEastAsia" w:eastAsiaTheme="majorEastAsia" w:cstheme="majorEastAsia"/>
          <w:snapToGrid w:val="0"/>
          <w:color w:val="FF0000"/>
          <w:sz w:val="24"/>
          <w:szCs w:val="24"/>
          <w:highlight w:val="none"/>
          <w:lang w:eastAsia="zh-CN"/>
        </w:rPr>
        <w:t>一览表</w:t>
      </w:r>
      <w:r>
        <w:rPr>
          <w:rFonts w:hint="eastAsia" w:asciiTheme="majorEastAsia" w:hAnsiTheme="majorEastAsia" w:eastAsiaTheme="majorEastAsia" w:cstheme="majorEastAsia"/>
          <w:snapToGrid w:val="0"/>
          <w:color w:val="FF0000"/>
          <w:sz w:val="24"/>
          <w:szCs w:val="24"/>
          <w:highlight w:val="none"/>
        </w:rPr>
        <w:t>》</w:t>
      </w:r>
      <w:r>
        <w:rPr>
          <w:rFonts w:hint="eastAsia" w:asciiTheme="majorEastAsia" w:hAnsiTheme="majorEastAsia" w:eastAsiaTheme="majorEastAsia" w:cstheme="majorEastAsia"/>
          <w:snapToGrid w:val="0"/>
          <w:sz w:val="24"/>
          <w:szCs w:val="24"/>
          <w:highlight w:val="none"/>
        </w:rPr>
        <w:t>。</w:t>
      </w:r>
    </w:p>
    <w:p>
      <w:pPr>
        <w:pStyle w:val="3"/>
        <w:keepNext w:val="0"/>
        <w:keepLines w:val="0"/>
        <w:pageBreakBefore w:val="0"/>
        <w:widowControl w:val="0"/>
        <w:kinsoku/>
        <w:wordWrap/>
        <w:overflowPunct/>
        <w:topLinePunct w:val="0"/>
        <w:autoSpaceDE/>
        <w:autoSpaceDN/>
        <w:bidi w:val="0"/>
        <w:adjustRightInd/>
        <w:snapToGrid w:val="0"/>
        <w:spacing w:line="360" w:lineRule="auto"/>
        <w:ind w:firstLine="457" w:firstLineChars="196"/>
        <w:textAlignment w:val="auto"/>
        <w:rPr>
          <w:rFonts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lang w:val="en-US" w:eastAsia="zh-CN"/>
        </w:rPr>
        <w:t>6</w:t>
      </w:r>
      <w:r>
        <w:rPr>
          <w:rFonts w:hint="eastAsia" w:asciiTheme="majorEastAsia" w:hAnsiTheme="majorEastAsia" w:eastAsiaTheme="majorEastAsia" w:cstheme="majorEastAsia"/>
          <w:b/>
          <w:bCs/>
          <w:sz w:val="24"/>
          <w:szCs w:val="24"/>
          <w:highlight w:val="none"/>
        </w:rPr>
        <w:t>.在技术评审时，如发现下列情形之一的，响应文件将被视为无效：</w:t>
      </w:r>
    </w:p>
    <w:p>
      <w:pPr>
        <w:pStyle w:val="3"/>
        <w:keepNext w:val="0"/>
        <w:keepLines w:val="0"/>
        <w:pageBreakBefore w:val="0"/>
        <w:widowControl w:val="0"/>
        <w:kinsoku/>
        <w:wordWrap/>
        <w:overflowPunct/>
        <w:topLinePunct w:val="0"/>
        <w:autoSpaceDE/>
        <w:autoSpaceDN/>
        <w:bidi w:val="0"/>
        <w:adjustRightInd/>
        <w:snapToGrid w:val="0"/>
        <w:spacing w:line="360" w:lineRule="auto"/>
        <w:ind w:firstLine="454" w:firstLineChars="196"/>
        <w:textAlignment w:val="auto"/>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（1）未提供或未如实提供货物的技术参数，或者响应文件标明的响应或偏离与事实不符或虚假响应的。</w:t>
      </w:r>
    </w:p>
    <w:p>
      <w:pPr>
        <w:pStyle w:val="3"/>
        <w:keepNext w:val="0"/>
        <w:keepLines w:val="0"/>
        <w:pageBreakBefore w:val="0"/>
        <w:widowControl w:val="0"/>
        <w:kinsoku/>
        <w:wordWrap/>
        <w:overflowPunct/>
        <w:topLinePunct w:val="0"/>
        <w:autoSpaceDE/>
        <w:autoSpaceDN/>
        <w:bidi w:val="0"/>
        <w:adjustRightInd/>
        <w:snapToGrid w:val="0"/>
        <w:spacing w:line="360" w:lineRule="auto"/>
        <w:ind w:firstLine="454" w:firstLineChars="196"/>
        <w:textAlignment w:val="auto"/>
        <w:rPr>
          <w:rFonts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w:t>
      </w:r>
      <w:r>
        <w:rPr>
          <w:rFonts w:hint="eastAsia" w:asciiTheme="majorEastAsia" w:hAnsiTheme="majorEastAsia" w:eastAsiaTheme="majorEastAsia" w:cstheme="majorEastAsia"/>
          <w:snapToGrid w:val="0"/>
          <w:sz w:val="24"/>
          <w:szCs w:val="24"/>
          <w:highlight w:val="none"/>
        </w:rPr>
        <w:t>明显不符合征集文件要求的规格型号、质量标准，或者与</w:t>
      </w:r>
      <w:r>
        <w:rPr>
          <w:rFonts w:hint="eastAsia" w:asciiTheme="majorEastAsia" w:hAnsiTheme="majorEastAsia" w:eastAsiaTheme="majorEastAsia" w:cstheme="majorEastAsia"/>
          <w:sz w:val="24"/>
          <w:szCs w:val="24"/>
          <w:highlight w:val="none"/>
        </w:rPr>
        <w:t>征集文件入围“▲”的技术指标、主要功能项目发生实质性偏离的。</w:t>
      </w:r>
    </w:p>
    <w:p>
      <w:pPr>
        <w:pStyle w:val="3"/>
        <w:keepNext w:val="0"/>
        <w:keepLines w:val="0"/>
        <w:pageBreakBefore w:val="0"/>
        <w:widowControl w:val="0"/>
        <w:kinsoku/>
        <w:wordWrap/>
        <w:overflowPunct/>
        <w:topLinePunct w:val="0"/>
        <w:autoSpaceDE/>
        <w:autoSpaceDN/>
        <w:bidi w:val="0"/>
        <w:adjustRightInd/>
        <w:snapToGrid w:val="0"/>
        <w:spacing w:line="360" w:lineRule="auto"/>
        <w:ind w:firstLine="454" w:firstLineChars="196"/>
        <w:textAlignment w:val="auto"/>
        <w:rPr>
          <w:rFonts w:hint="eastAsia" w:ascii="宋体" w:hAnsi="宋体" w:eastAsia="宋体" w:cs="宋体"/>
          <w:snapToGrid w:val="0"/>
          <w:color w:val="auto"/>
          <w:sz w:val="24"/>
          <w:szCs w:val="24"/>
          <w:highlight w:val="none"/>
        </w:rPr>
      </w:pPr>
      <w:r>
        <w:rPr>
          <w:rFonts w:hint="eastAsia" w:asciiTheme="majorEastAsia" w:hAnsiTheme="majorEastAsia" w:eastAsiaTheme="majorEastAsia" w:cstheme="majorEastAsia"/>
          <w:snapToGrid w:val="0"/>
          <w:sz w:val="24"/>
          <w:szCs w:val="24"/>
          <w:highlight w:val="none"/>
        </w:rPr>
        <w:t>（3）</w:t>
      </w:r>
      <w:r>
        <w:rPr>
          <w:rFonts w:hint="eastAsia" w:asciiTheme="majorEastAsia" w:hAnsiTheme="majorEastAsia" w:eastAsiaTheme="majorEastAsia" w:cstheme="majorEastAsia"/>
          <w:sz w:val="24"/>
          <w:szCs w:val="24"/>
          <w:highlight w:val="none"/>
        </w:rPr>
        <w:t>响应技术方案不明确，存在一个或一个以上备选（替代）响应方案的。</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sz w:val="24"/>
          <w:szCs w:val="24"/>
          <w:highlight w:val="none"/>
        </w:rPr>
      </w:pPr>
      <w:r>
        <w:rPr>
          <w:rFonts w:hint="eastAsia" w:ascii="宋体" w:hAnsi="宋体" w:cs="宋体"/>
          <w:b/>
          <w:bCs/>
          <w:sz w:val="24"/>
          <w:szCs w:val="24"/>
          <w:highlight w:val="none"/>
          <w:lang w:val="en-US" w:eastAsia="zh-CN"/>
        </w:rPr>
        <w:t>7</w:t>
      </w:r>
      <w:r>
        <w:rPr>
          <w:rFonts w:hint="eastAsia" w:ascii="宋体" w:hAnsi="宋体" w:eastAsia="宋体" w:cs="宋体"/>
          <w:b/>
          <w:bCs/>
          <w:sz w:val="24"/>
          <w:szCs w:val="24"/>
          <w:highlight w:val="none"/>
        </w:rPr>
        <w:t>.供应商有恶意串通、妨碍其他供应商的竞争行为、损害征集人或者其他供应商的合法权益情形的，响应文件将被视为无效</w:t>
      </w:r>
      <w:r>
        <w:rPr>
          <w:rFonts w:hint="eastAsia" w:ascii="宋体" w:hAnsi="宋体" w:eastAsia="宋体" w:cs="宋体"/>
          <w:kern w:val="0"/>
          <w:sz w:val="24"/>
          <w:szCs w:val="24"/>
          <w:highlight w:val="none"/>
        </w:rPr>
        <w:t>。</w:t>
      </w:r>
    </w:p>
    <w:p>
      <w:pPr>
        <w:pStyle w:val="3"/>
        <w:keepNext w:val="0"/>
        <w:keepLines w:val="0"/>
        <w:pageBreakBefore w:val="0"/>
        <w:widowControl w:val="0"/>
        <w:kinsoku/>
        <w:wordWrap/>
        <w:overflowPunct/>
        <w:topLinePunct w:val="0"/>
        <w:autoSpaceDE/>
        <w:autoSpaceDN/>
        <w:bidi w:val="0"/>
        <w:adjustRightInd/>
        <w:snapToGrid w:val="0"/>
        <w:spacing w:line="360" w:lineRule="auto"/>
        <w:ind w:firstLine="457" w:firstLineChars="196"/>
        <w:textAlignment w:val="auto"/>
        <w:rPr>
          <w:rFonts w:hint="eastAsia" w:ascii="宋体" w:hAnsi="宋体" w:eastAsia="宋体" w:cs="宋体"/>
          <w:sz w:val="24"/>
          <w:szCs w:val="24"/>
          <w:highlight w:val="none"/>
        </w:rPr>
      </w:pPr>
      <w:r>
        <w:rPr>
          <w:rFonts w:hint="eastAsia" w:hAnsi="宋体" w:cs="宋体"/>
          <w:b/>
          <w:bCs/>
          <w:sz w:val="24"/>
          <w:szCs w:val="24"/>
          <w:highlight w:val="none"/>
          <w:lang w:val="en-US" w:eastAsia="zh-CN"/>
        </w:rPr>
        <w:t>8</w:t>
      </w:r>
      <w:r>
        <w:rPr>
          <w:rFonts w:hint="eastAsia" w:ascii="宋体" w:hAnsi="宋体" w:eastAsia="宋体" w:cs="宋体"/>
          <w:b/>
          <w:bCs/>
          <w:sz w:val="24"/>
          <w:szCs w:val="24"/>
          <w:highlight w:val="none"/>
        </w:rPr>
        <w:t>.法律、法规、规章（适用本市的）及省级以上规范性文件（适用本市的）规定的其他无效情形。</w:t>
      </w:r>
    </w:p>
    <w:p>
      <w:pPr>
        <w:pStyle w:val="3"/>
        <w:keepNext w:val="0"/>
        <w:keepLines w:val="0"/>
        <w:pageBreakBefore w:val="0"/>
        <w:widowControl w:val="0"/>
        <w:kinsoku/>
        <w:wordWrap/>
        <w:overflowPunct/>
        <w:topLinePunct w:val="0"/>
        <w:autoSpaceDE/>
        <w:autoSpaceDN/>
        <w:bidi w:val="0"/>
        <w:adjustRightInd/>
        <w:snapToGrid w:val="0"/>
        <w:spacing w:line="360" w:lineRule="auto"/>
        <w:ind w:firstLine="466" w:firstLineChars="200"/>
        <w:textAlignment w:val="auto"/>
        <w:rPr>
          <w:rFonts w:hint="eastAsia" w:ascii="宋体" w:hAnsi="宋体" w:eastAsia="宋体" w:cs="宋体"/>
          <w:b/>
          <w:sz w:val="24"/>
          <w:szCs w:val="24"/>
          <w:highlight w:val="none"/>
        </w:rPr>
      </w:pPr>
      <w:r>
        <w:rPr>
          <w:rFonts w:hint="eastAsia" w:hAnsi="宋体" w:cs="宋体"/>
          <w:b/>
          <w:sz w:val="24"/>
          <w:szCs w:val="24"/>
          <w:highlight w:val="none"/>
          <w:lang w:val="en-US" w:eastAsia="zh-CN"/>
        </w:rPr>
        <w:t>9</w:t>
      </w:r>
      <w:r>
        <w:rPr>
          <w:rFonts w:hint="eastAsia" w:ascii="宋体" w:hAnsi="宋体" w:eastAsia="宋体" w:cs="宋体"/>
          <w:b/>
          <w:sz w:val="24"/>
          <w:szCs w:val="24"/>
          <w:highlight w:val="none"/>
        </w:rPr>
        <w:t>.被拒绝的响应文件为无效。</w:t>
      </w:r>
    </w:p>
    <w:p>
      <w:pPr>
        <w:pStyle w:val="3"/>
        <w:keepNext w:val="0"/>
        <w:keepLines w:val="0"/>
        <w:pageBreakBefore w:val="0"/>
        <w:widowControl w:val="0"/>
        <w:kinsoku/>
        <w:overflowPunct/>
        <w:topLinePunct w:val="0"/>
        <w:autoSpaceDE/>
        <w:autoSpaceDN/>
        <w:bidi w:val="0"/>
        <w:adjustRightInd/>
        <w:snapToGrid w:val="0"/>
        <w:spacing w:line="360" w:lineRule="auto"/>
        <w:ind w:firstLine="466"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（八）废标的情形</w:t>
      </w:r>
    </w:p>
    <w:p>
      <w:pPr>
        <w:pStyle w:val="3"/>
        <w:keepNext w:val="0"/>
        <w:keepLines w:val="0"/>
        <w:pageBreakBefore w:val="0"/>
        <w:widowControl w:val="0"/>
        <w:kinsoku/>
        <w:overflowPunct/>
        <w:topLinePunct w:val="0"/>
        <w:autoSpaceDE/>
        <w:autoSpaceDN/>
        <w:bidi w:val="0"/>
        <w:adjustRightInd/>
        <w:snapToGrid w:val="0"/>
        <w:spacing w:line="360" w:lineRule="auto"/>
        <w:ind w:firstLine="464"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根据《中华人民共和国政府采购法》第三十六条之规定，在采购中，出现下列情形之一的，应予废标：</w:t>
      </w:r>
    </w:p>
    <w:p>
      <w:pPr>
        <w:pStyle w:val="3"/>
        <w:keepNext w:val="0"/>
        <w:keepLines w:val="0"/>
        <w:pageBreakBefore w:val="0"/>
        <w:widowControl w:val="0"/>
        <w:kinsoku/>
        <w:overflowPunct/>
        <w:topLinePunct w:val="0"/>
        <w:autoSpaceDE/>
        <w:autoSpaceDN/>
        <w:bidi w:val="0"/>
        <w:adjustRightInd/>
        <w:snapToGrid w:val="0"/>
        <w:spacing w:line="360" w:lineRule="auto"/>
        <w:ind w:firstLine="464"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1.出现影响采购公正的违法、违规行为的；</w:t>
      </w:r>
    </w:p>
    <w:p>
      <w:pPr>
        <w:pStyle w:val="3"/>
        <w:keepNext w:val="0"/>
        <w:keepLines w:val="0"/>
        <w:pageBreakBefore w:val="0"/>
        <w:widowControl w:val="0"/>
        <w:kinsoku/>
        <w:overflowPunct/>
        <w:topLinePunct w:val="0"/>
        <w:autoSpaceDE/>
        <w:autoSpaceDN/>
        <w:bidi w:val="0"/>
        <w:adjustRightInd/>
        <w:snapToGrid w:val="0"/>
        <w:spacing w:line="360" w:lineRule="auto"/>
        <w:ind w:firstLine="464"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2.因重大变故，采购任务取消的。</w:t>
      </w:r>
    </w:p>
    <w:p>
      <w:pPr>
        <w:pStyle w:val="3"/>
        <w:keepNext w:val="0"/>
        <w:keepLines w:val="0"/>
        <w:pageBreakBefore w:val="0"/>
        <w:widowControl w:val="0"/>
        <w:kinsoku/>
        <w:overflowPunct/>
        <w:topLinePunct w:val="0"/>
        <w:autoSpaceDE/>
        <w:autoSpaceDN/>
        <w:bidi w:val="0"/>
        <w:adjustRightInd/>
        <w:snapToGrid w:val="0"/>
        <w:spacing w:line="360" w:lineRule="auto"/>
        <w:ind w:firstLine="464"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废标后，采购机构应当将废标理由通知所有供应商。</w:t>
      </w:r>
    </w:p>
    <w:p>
      <w:pPr>
        <w:pStyle w:val="12"/>
        <w:keepNext w:val="0"/>
        <w:keepLines w:val="0"/>
        <w:pageBreakBefore w:val="0"/>
        <w:widowControl w:val="0"/>
        <w:kinsoku/>
        <w:overflowPunct/>
        <w:topLinePunct w:val="0"/>
        <w:autoSpaceDE/>
        <w:autoSpaceDN/>
        <w:bidi w:val="0"/>
        <w:adjustRightInd/>
        <w:snapToGrid w:val="0"/>
        <w:spacing w:before="120" w:after="120" w:line="360" w:lineRule="auto"/>
        <w:ind w:firstLine="472" w:firstLineChars="196"/>
        <w:jc w:val="center"/>
        <w:textAlignment w:val="auto"/>
        <w:outlineLvl w:val="1"/>
        <w:rPr>
          <w:rFonts w:hint="eastAsia" w:ascii="宋体" w:hAnsi="宋体" w:eastAsia="宋体" w:cs="宋体"/>
          <w:b/>
          <w:strike/>
          <w:sz w:val="24"/>
          <w:szCs w:val="24"/>
          <w:highlight w:val="none"/>
        </w:rPr>
      </w:pPr>
      <w:r>
        <w:rPr>
          <w:rFonts w:hint="eastAsia" w:ascii="宋体" w:hAnsi="宋体" w:eastAsia="宋体" w:cs="宋体"/>
          <w:b/>
          <w:sz w:val="24"/>
          <w:szCs w:val="24"/>
          <w:highlight w:val="none"/>
        </w:rPr>
        <w:t>四、开标</w:t>
      </w:r>
    </w:p>
    <w:p>
      <w:pPr>
        <w:pStyle w:val="3"/>
        <w:keepNext w:val="0"/>
        <w:keepLines w:val="0"/>
        <w:pageBreakBefore w:val="0"/>
        <w:widowControl w:val="0"/>
        <w:kinsoku/>
        <w:overflowPunct/>
        <w:topLinePunct w:val="0"/>
        <w:autoSpaceDE/>
        <w:autoSpaceDN/>
        <w:bidi w:val="0"/>
        <w:adjustRightInd/>
        <w:snapToGrid w:val="0"/>
        <w:spacing w:line="360" w:lineRule="auto"/>
        <w:ind w:firstLine="454" w:firstLineChars="19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1.本项目实行电子开评审，供应商无需到开标现场，但须准时在线参加，直至评审结束。</w:t>
      </w:r>
    </w:p>
    <w:p>
      <w:pPr>
        <w:pStyle w:val="3"/>
        <w:keepNext w:val="0"/>
        <w:keepLines w:val="0"/>
        <w:pageBreakBefore w:val="0"/>
        <w:widowControl w:val="0"/>
        <w:kinsoku/>
        <w:overflowPunct/>
        <w:topLinePunct w:val="0"/>
        <w:autoSpaceDE/>
        <w:autoSpaceDN/>
        <w:bidi w:val="0"/>
        <w:adjustRightInd/>
        <w:snapToGrid w:val="0"/>
        <w:spacing w:line="360" w:lineRule="auto"/>
        <w:ind w:firstLine="454" w:firstLineChars="19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2.响应截止时间后的半小时内，由各供应商自行对电子响应文件进行解密请各供应商务必在规定时间内完成电子响应文件的解密工作。</w:t>
      </w:r>
    </w:p>
    <w:p>
      <w:pPr>
        <w:pStyle w:val="3"/>
        <w:keepNext w:val="0"/>
        <w:keepLines w:val="0"/>
        <w:pageBreakBefore w:val="0"/>
        <w:widowControl w:val="0"/>
        <w:kinsoku/>
        <w:overflowPunct/>
        <w:topLinePunct w:val="0"/>
        <w:autoSpaceDE/>
        <w:autoSpaceDN/>
        <w:bidi w:val="0"/>
        <w:adjustRightInd/>
        <w:snapToGrid w:val="0"/>
        <w:spacing w:line="360" w:lineRule="auto"/>
        <w:ind w:firstLine="454" w:firstLineChars="19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3.响应文件未按时解密，供应商提供了备份响应文件的，以备份响应文件作为依据，否则视为响应文件撤回。响应文件已按时解密的，备份响应文件自动失效。</w:t>
      </w:r>
    </w:p>
    <w:p>
      <w:pPr>
        <w:pStyle w:val="12"/>
        <w:keepNext w:val="0"/>
        <w:keepLines w:val="0"/>
        <w:pageBreakBefore w:val="0"/>
        <w:widowControl w:val="0"/>
        <w:kinsoku/>
        <w:overflowPunct/>
        <w:topLinePunct w:val="0"/>
        <w:autoSpaceDE/>
        <w:autoSpaceDN/>
        <w:bidi w:val="0"/>
        <w:adjustRightInd/>
        <w:snapToGrid w:val="0"/>
        <w:spacing w:before="120" w:after="120" w:line="360" w:lineRule="auto"/>
        <w:ind w:firstLine="472" w:firstLineChars="196"/>
        <w:jc w:val="center"/>
        <w:textAlignment w:val="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五、评审</w:t>
      </w:r>
    </w:p>
    <w:p>
      <w:pPr>
        <w:pStyle w:val="12"/>
        <w:snapToGrid w:val="0"/>
        <w:spacing w:before="120" w:after="120" w:line="360" w:lineRule="auto"/>
        <w:ind w:left="788" w:leftChars="228" w:hanging="241" w:hangingChars="100"/>
        <w:rPr>
          <w:rFonts w:hAnsi="宋体" w:cs="宋体"/>
          <w:b/>
          <w:highlight w:val="none"/>
        </w:rPr>
      </w:pPr>
      <w:r>
        <w:rPr>
          <w:rFonts w:hint="eastAsia" w:hAnsi="宋体" w:cs="宋体"/>
          <w:b/>
          <w:highlight w:val="none"/>
        </w:rPr>
        <w:t>（一）组建评审小组</w:t>
      </w:r>
    </w:p>
    <w:p>
      <w:pPr>
        <w:widowControl/>
        <w:shd w:val="clear" w:color="auto" w:fill="FFFFFF"/>
        <w:spacing w:line="360" w:lineRule="auto"/>
        <w:ind w:firstLine="480" w:firstLineChars="200"/>
        <w:jc w:val="left"/>
        <w:rPr>
          <w:rFonts w:ascii="宋体" w:hAnsi="宋体"/>
          <w:kern w:val="0"/>
          <w:highlight w:val="none"/>
        </w:rPr>
      </w:pPr>
      <w:r>
        <w:rPr>
          <w:rFonts w:hint="eastAsia" w:ascii="宋体" w:hAnsi="宋体"/>
          <w:kern w:val="0"/>
          <w:highlight w:val="none"/>
        </w:rPr>
        <w:t>评审小组由政府采购评审专家</w:t>
      </w:r>
      <w:r>
        <w:rPr>
          <w:rFonts w:hint="eastAsia" w:ascii="宋体" w:hAnsi="宋体"/>
          <w:kern w:val="0"/>
          <w:highlight w:val="none"/>
          <w:u w:val="single"/>
        </w:rPr>
        <w:t>5人</w:t>
      </w:r>
      <w:r>
        <w:rPr>
          <w:rFonts w:hint="eastAsia" w:ascii="宋体" w:hAnsi="宋体"/>
          <w:kern w:val="0"/>
          <w:highlight w:val="none"/>
        </w:rPr>
        <w:t>组成。</w:t>
      </w:r>
    </w:p>
    <w:p>
      <w:pPr>
        <w:widowControl/>
        <w:shd w:val="clear" w:color="auto" w:fill="FFFFFF"/>
        <w:spacing w:line="360" w:lineRule="auto"/>
        <w:ind w:firstLine="480" w:firstLineChars="200"/>
        <w:jc w:val="left"/>
        <w:rPr>
          <w:rFonts w:ascii="宋体" w:hAnsi="宋体"/>
          <w:kern w:val="0"/>
          <w:highlight w:val="none"/>
        </w:rPr>
      </w:pPr>
      <w:r>
        <w:rPr>
          <w:rFonts w:hint="eastAsia" w:ascii="宋体" w:hAnsi="宋体"/>
          <w:kern w:val="0"/>
          <w:highlight w:val="none"/>
        </w:rPr>
        <w:t>评审小组负责具体评审事务，并独立履行下列职责：</w:t>
      </w:r>
    </w:p>
    <w:p>
      <w:pPr>
        <w:widowControl/>
        <w:shd w:val="clear" w:color="auto" w:fill="FFFFFF"/>
        <w:spacing w:line="360" w:lineRule="auto"/>
        <w:ind w:firstLine="480" w:firstLineChars="200"/>
        <w:jc w:val="left"/>
        <w:rPr>
          <w:rFonts w:ascii="宋体" w:hAnsi="宋体"/>
          <w:kern w:val="0"/>
          <w:highlight w:val="none"/>
        </w:rPr>
      </w:pPr>
      <w:r>
        <w:rPr>
          <w:rFonts w:hint="eastAsia" w:ascii="宋体" w:hAnsi="宋体"/>
          <w:kern w:val="0"/>
          <w:highlight w:val="none"/>
        </w:rPr>
        <w:t>1.审查、评价响应文件是否符合征集文件的商务、技术等实质性要求。</w:t>
      </w:r>
    </w:p>
    <w:p>
      <w:pPr>
        <w:widowControl/>
        <w:shd w:val="clear" w:color="auto" w:fill="FFFFFF"/>
        <w:spacing w:line="360" w:lineRule="auto"/>
        <w:ind w:firstLine="480" w:firstLineChars="200"/>
        <w:jc w:val="left"/>
        <w:rPr>
          <w:rFonts w:ascii="宋体" w:hAnsi="宋体"/>
          <w:kern w:val="0"/>
          <w:highlight w:val="none"/>
        </w:rPr>
      </w:pPr>
      <w:r>
        <w:rPr>
          <w:rFonts w:hint="eastAsia" w:ascii="宋体" w:hAnsi="宋体"/>
          <w:kern w:val="0"/>
          <w:highlight w:val="none"/>
        </w:rPr>
        <w:t>2.要求供应商对响应文件有关事项做出澄清或者说明。</w:t>
      </w:r>
    </w:p>
    <w:p>
      <w:pPr>
        <w:widowControl/>
        <w:shd w:val="clear" w:color="auto" w:fill="FFFFFF"/>
        <w:spacing w:line="360" w:lineRule="auto"/>
        <w:ind w:firstLine="480" w:firstLineChars="200"/>
        <w:jc w:val="left"/>
        <w:rPr>
          <w:rFonts w:ascii="宋体" w:hAnsi="宋体"/>
          <w:kern w:val="0"/>
          <w:highlight w:val="none"/>
        </w:rPr>
      </w:pPr>
      <w:r>
        <w:rPr>
          <w:rFonts w:hint="eastAsia" w:ascii="宋体" w:hAnsi="宋体"/>
          <w:kern w:val="0"/>
          <w:highlight w:val="none"/>
        </w:rPr>
        <w:t>3.对响应文件进行比较和评价。</w:t>
      </w:r>
    </w:p>
    <w:p>
      <w:pPr>
        <w:widowControl/>
        <w:shd w:val="clear" w:color="auto" w:fill="FFFFFF"/>
        <w:spacing w:line="360" w:lineRule="auto"/>
        <w:ind w:firstLine="480" w:firstLineChars="200"/>
        <w:jc w:val="left"/>
        <w:rPr>
          <w:rFonts w:ascii="宋体" w:hAnsi="宋体"/>
          <w:kern w:val="0"/>
          <w:highlight w:val="none"/>
        </w:rPr>
      </w:pPr>
      <w:r>
        <w:rPr>
          <w:rFonts w:hint="eastAsia" w:ascii="宋体" w:hAnsi="宋体"/>
          <w:kern w:val="0"/>
          <w:highlight w:val="none"/>
        </w:rPr>
        <w:t>4.确定入围供应商名单，以及根据征集人委托直接确定入围供应商。</w:t>
      </w:r>
    </w:p>
    <w:p>
      <w:pPr>
        <w:widowControl/>
        <w:shd w:val="clear" w:color="auto" w:fill="FFFFFF"/>
        <w:spacing w:line="360" w:lineRule="auto"/>
        <w:ind w:firstLine="480" w:firstLineChars="200"/>
        <w:jc w:val="left"/>
        <w:rPr>
          <w:rFonts w:ascii="宋体" w:hAnsi="宋体"/>
          <w:kern w:val="0"/>
          <w:highlight w:val="none"/>
        </w:rPr>
      </w:pPr>
      <w:r>
        <w:rPr>
          <w:rFonts w:hint="eastAsia" w:ascii="宋体" w:hAnsi="宋体"/>
          <w:kern w:val="0"/>
          <w:highlight w:val="none"/>
        </w:rPr>
        <w:t>5.向征集人或者有关部门报告评审中发现的违法行为。</w:t>
      </w:r>
    </w:p>
    <w:p>
      <w:pPr>
        <w:widowControl/>
        <w:shd w:val="clear" w:color="auto" w:fill="FFFFFF"/>
        <w:spacing w:line="360" w:lineRule="auto"/>
        <w:ind w:firstLine="482" w:firstLineChars="200"/>
        <w:jc w:val="left"/>
        <w:rPr>
          <w:rFonts w:ascii="宋体" w:hAnsi="宋体"/>
          <w:b/>
          <w:kern w:val="0"/>
          <w:highlight w:val="none"/>
        </w:rPr>
      </w:pPr>
      <w:r>
        <w:rPr>
          <w:rFonts w:hint="eastAsia" w:ascii="宋体" w:hAnsi="宋体"/>
          <w:b/>
          <w:kern w:val="0"/>
          <w:highlight w:val="none"/>
        </w:rPr>
        <w:t>除征集人代表、评审现场组织人员外，其他工作人员以及与评审工作无关的人员不得进入评审现场。</w:t>
      </w:r>
    </w:p>
    <w:p>
      <w:pPr>
        <w:pStyle w:val="12"/>
        <w:snapToGrid w:val="0"/>
        <w:spacing w:before="120" w:after="120" w:line="360" w:lineRule="auto"/>
        <w:ind w:left="788" w:leftChars="228" w:hanging="241" w:hangingChars="100"/>
        <w:rPr>
          <w:rFonts w:hAnsi="宋体" w:cs="宋体"/>
          <w:b/>
          <w:highlight w:val="none"/>
        </w:rPr>
      </w:pPr>
      <w:r>
        <w:rPr>
          <w:rFonts w:hint="eastAsia" w:hAnsi="宋体" w:cs="宋体"/>
          <w:b/>
          <w:highlight w:val="none"/>
        </w:rPr>
        <w:t>（二）评审的方式</w:t>
      </w:r>
    </w:p>
    <w:p>
      <w:pPr>
        <w:pStyle w:val="12"/>
        <w:snapToGrid w:val="0"/>
        <w:spacing w:before="120" w:after="120" w:line="360" w:lineRule="auto"/>
        <w:ind w:left="787" w:leftChars="228" w:hanging="240" w:hangingChars="100"/>
        <w:rPr>
          <w:rFonts w:hAnsi="宋体" w:cs="宋体"/>
          <w:highlight w:val="none"/>
        </w:rPr>
      </w:pPr>
      <w:r>
        <w:rPr>
          <w:rFonts w:hint="eastAsia" w:hAnsi="宋体" w:cs="宋体"/>
          <w:highlight w:val="none"/>
        </w:rPr>
        <w:t>本项目采用不公开方式评审，评审的依据为征集文件和响应文件。</w:t>
      </w:r>
    </w:p>
    <w:p>
      <w:pPr>
        <w:pStyle w:val="12"/>
        <w:snapToGrid w:val="0"/>
        <w:spacing w:before="120" w:after="120" w:line="360" w:lineRule="auto"/>
        <w:ind w:left="788" w:leftChars="228" w:hanging="241" w:hangingChars="100"/>
        <w:rPr>
          <w:rFonts w:hAnsi="宋体" w:cs="宋体"/>
          <w:b/>
          <w:bCs/>
          <w:highlight w:val="none"/>
        </w:rPr>
      </w:pPr>
      <w:r>
        <w:rPr>
          <w:rFonts w:hint="eastAsia" w:hAnsi="宋体" w:cs="宋体"/>
          <w:b/>
          <w:highlight w:val="none"/>
        </w:rPr>
        <w:t>（三）</w:t>
      </w:r>
      <w:r>
        <w:rPr>
          <w:rFonts w:hint="eastAsia" w:hAnsi="宋体" w:cs="宋体"/>
          <w:b/>
          <w:bCs/>
          <w:highlight w:val="none"/>
        </w:rPr>
        <w:t>评审程序</w:t>
      </w:r>
    </w:p>
    <w:p>
      <w:pPr>
        <w:pStyle w:val="12"/>
        <w:snapToGrid w:val="0"/>
        <w:spacing w:before="120" w:after="120" w:line="360" w:lineRule="auto"/>
        <w:ind w:firstLine="480" w:firstLineChars="200"/>
        <w:rPr>
          <w:rFonts w:hAnsi="宋体" w:cs="宋体"/>
          <w:bCs/>
          <w:highlight w:val="none"/>
        </w:rPr>
      </w:pPr>
      <w:r>
        <w:rPr>
          <w:rFonts w:hint="eastAsia" w:hAnsi="宋体" w:cs="宋体"/>
          <w:bCs/>
          <w:highlight w:val="none"/>
        </w:rPr>
        <w:t>征集人可以在评审前说明项目背景和采购需求，说明内容不得含有歧视性、倾向性意见，不得超出征集文件所述范围。说明应当提交书面材料，并随征集文件一并存档。</w:t>
      </w:r>
    </w:p>
    <w:p>
      <w:pPr>
        <w:snapToGrid w:val="0"/>
        <w:spacing w:line="360" w:lineRule="auto"/>
        <w:ind w:firstLine="472" w:firstLineChars="196"/>
        <w:rPr>
          <w:rFonts w:ascii="宋体" w:hAnsi="宋体"/>
          <w:b/>
          <w:bCs/>
          <w:highlight w:val="none"/>
        </w:rPr>
      </w:pPr>
      <w:r>
        <w:rPr>
          <w:rFonts w:hint="eastAsia" w:ascii="宋体" w:hAnsi="宋体"/>
          <w:b/>
          <w:bCs/>
          <w:highlight w:val="none"/>
        </w:rPr>
        <w:t>1.形式审查</w:t>
      </w:r>
    </w:p>
    <w:p>
      <w:pPr>
        <w:snapToGrid w:val="0"/>
        <w:spacing w:line="360" w:lineRule="auto"/>
        <w:ind w:firstLine="480" w:firstLineChars="200"/>
        <w:rPr>
          <w:rFonts w:ascii="宋体" w:hAnsi="宋体"/>
          <w:bCs/>
          <w:highlight w:val="none"/>
        </w:rPr>
      </w:pPr>
      <w:r>
        <w:rPr>
          <w:rFonts w:hint="eastAsia" w:ascii="宋体" w:hAnsi="宋体"/>
          <w:bCs/>
          <w:highlight w:val="none"/>
        </w:rPr>
        <w:t>1.1形式审查包括资格审查（除符合性审查以外的关于供应商资格条件等内容）和符合性审查，即对供应商的资格和响应文件的完整性、合法性等进行审查。响应文件形式审查未通过的供应商，其响应文件将不再评审。</w:t>
      </w:r>
    </w:p>
    <w:p>
      <w:pPr>
        <w:snapToGrid w:val="0"/>
        <w:spacing w:line="360" w:lineRule="auto"/>
        <w:ind w:firstLine="480" w:firstLineChars="200"/>
        <w:rPr>
          <w:rFonts w:ascii="宋体" w:hAnsi="宋体"/>
          <w:bCs/>
          <w:highlight w:val="none"/>
        </w:rPr>
      </w:pPr>
      <w:r>
        <w:rPr>
          <w:rFonts w:hint="eastAsia" w:ascii="宋体" w:hAnsi="宋体"/>
          <w:bCs/>
          <w:highlight w:val="none"/>
        </w:rPr>
        <w:t>1.2信用信息查询</w:t>
      </w:r>
    </w:p>
    <w:p>
      <w:pPr>
        <w:snapToGrid w:val="0"/>
        <w:spacing w:line="360" w:lineRule="auto"/>
        <w:ind w:firstLine="480" w:firstLineChars="200"/>
        <w:rPr>
          <w:rFonts w:ascii="宋体" w:hAnsi="宋体"/>
          <w:bCs/>
          <w:highlight w:val="none"/>
        </w:rPr>
      </w:pPr>
      <w:r>
        <w:rPr>
          <w:rFonts w:hint="eastAsia" w:ascii="宋体" w:hAnsi="宋体"/>
          <w:bCs/>
          <w:highlight w:val="none"/>
        </w:rPr>
        <w:t>1.2.1信用信息查询渠道及截止时间：征集人将通过“信用中国”网站(www.creditchina.gov.cn)、中国政府采购网(www.ccgp.gov.cn)渠道查询供应商响应截止时间当天的信用记录。</w:t>
      </w:r>
    </w:p>
    <w:p>
      <w:pPr>
        <w:snapToGrid w:val="0"/>
        <w:spacing w:line="360" w:lineRule="auto"/>
        <w:ind w:firstLine="480" w:firstLineChars="200"/>
        <w:rPr>
          <w:rFonts w:ascii="宋体" w:hAnsi="宋体"/>
          <w:bCs/>
          <w:highlight w:val="none"/>
        </w:rPr>
      </w:pPr>
      <w:r>
        <w:rPr>
          <w:rFonts w:hint="eastAsia" w:ascii="宋体" w:hAnsi="宋体"/>
          <w:bCs/>
          <w:highlight w:val="none"/>
        </w:rPr>
        <w:t>1.2.2信用信息查询记录和证据留存的具体方式：现场查询的供应商的信用记录、查询结果经确认后将与征集文件一起存档。</w:t>
      </w:r>
    </w:p>
    <w:p>
      <w:pPr>
        <w:snapToGrid w:val="0"/>
        <w:spacing w:line="360" w:lineRule="auto"/>
        <w:ind w:firstLine="480" w:firstLineChars="200"/>
        <w:rPr>
          <w:rFonts w:ascii="宋体" w:hAnsi="宋体"/>
          <w:highlight w:val="none"/>
        </w:rPr>
      </w:pPr>
      <w:r>
        <w:rPr>
          <w:rFonts w:hint="eastAsia" w:ascii="宋体" w:hAnsi="宋体"/>
          <w:bCs/>
          <w:highlight w:val="none"/>
        </w:rPr>
        <w:t>1.2.3信用信息的使用规则：经查询列入失信被执行人名单、重大税收违法案件当事人名单、政府采购严重违法失信行为记录名单的供应商将被拒绝参与政府采购活动。</w:t>
      </w:r>
    </w:p>
    <w:p>
      <w:pPr>
        <w:snapToGrid w:val="0"/>
        <w:spacing w:line="360" w:lineRule="auto"/>
        <w:ind w:firstLine="472" w:firstLineChars="196"/>
        <w:rPr>
          <w:rFonts w:ascii="宋体" w:hAnsi="宋体"/>
          <w:b/>
          <w:bCs/>
          <w:highlight w:val="none"/>
        </w:rPr>
      </w:pPr>
      <w:r>
        <w:rPr>
          <w:rFonts w:hint="eastAsia" w:ascii="宋体" w:hAnsi="宋体"/>
          <w:b/>
          <w:bCs/>
          <w:highlight w:val="none"/>
        </w:rPr>
        <w:t>2.实质审查</w:t>
      </w:r>
    </w:p>
    <w:p>
      <w:pPr>
        <w:snapToGrid w:val="0"/>
        <w:spacing w:line="360" w:lineRule="auto"/>
        <w:ind w:firstLine="480" w:firstLineChars="200"/>
        <w:rPr>
          <w:rFonts w:ascii="宋体" w:hAnsi="宋体"/>
          <w:highlight w:val="none"/>
        </w:rPr>
      </w:pPr>
      <w:r>
        <w:rPr>
          <w:rFonts w:hint="eastAsia" w:ascii="宋体" w:hAnsi="宋体"/>
          <w:highlight w:val="none"/>
        </w:rPr>
        <w:t>2.1评审小组审查响应文件的实质性内容是否符合征集文件的实质性要求。</w:t>
      </w:r>
    </w:p>
    <w:p>
      <w:pPr>
        <w:snapToGrid w:val="0"/>
        <w:spacing w:line="360" w:lineRule="auto"/>
        <w:ind w:firstLine="480" w:firstLineChars="200"/>
        <w:rPr>
          <w:rFonts w:ascii="宋体" w:hAnsi="宋体"/>
          <w:highlight w:val="none"/>
        </w:rPr>
      </w:pPr>
      <w:r>
        <w:rPr>
          <w:rFonts w:hint="eastAsia" w:ascii="宋体" w:hAnsi="宋体"/>
          <w:highlight w:val="none"/>
        </w:rPr>
        <w:t>2.2评审小组将根据供应商的响应文件进行审查、核对，如有疑问，将对供应商进行询标，供应商要向评审小组澄清有关问题，并最终以书面形式进行答复。</w:t>
      </w:r>
    </w:p>
    <w:p>
      <w:pPr>
        <w:snapToGrid w:val="0"/>
        <w:spacing w:line="360" w:lineRule="auto"/>
        <w:ind w:firstLine="480" w:firstLineChars="200"/>
        <w:rPr>
          <w:rFonts w:ascii="宋体" w:hAnsi="宋体"/>
          <w:highlight w:val="none"/>
        </w:rPr>
      </w:pPr>
      <w:r>
        <w:rPr>
          <w:rFonts w:hint="eastAsia" w:ascii="宋体" w:hAnsi="宋体"/>
          <w:highlight w:val="none"/>
        </w:rPr>
        <w:t>询标时，供应商代表未到场或者拒绝澄清或者澄清的内容改变了响应文件的实质性内容的，评审小组有权对该响应文件做出不利于供应商的评判。</w:t>
      </w:r>
    </w:p>
    <w:p>
      <w:pPr>
        <w:snapToGrid w:val="0"/>
        <w:spacing w:line="360" w:lineRule="auto"/>
        <w:ind w:firstLine="480" w:firstLineChars="200"/>
        <w:rPr>
          <w:rFonts w:ascii="宋体" w:hAnsi="宋体"/>
          <w:strike/>
          <w:highlight w:val="none"/>
        </w:rPr>
      </w:pPr>
      <w:r>
        <w:rPr>
          <w:rFonts w:hint="eastAsia" w:ascii="宋体" w:hAnsi="宋体"/>
          <w:kern w:val="0"/>
          <w:highlight w:val="none"/>
        </w:rPr>
        <w:t>2.3</w:t>
      </w:r>
      <w:r>
        <w:rPr>
          <w:rFonts w:hint="eastAsia" w:ascii="宋体" w:hAnsi="宋体"/>
          <w:highlight w:val="none"/>
        </w:rPr>
        <w:t>评审小组各成员应当独立对每个供应商的商务和技术文件进行评价，并汇总商务技术得分情况。</w:t>
      </w:r>
    </w:p>
    <w:p>
      <w:pPr>
        <w:pStyle w:val="6"/>
        <w:spacing w:line="360" w:lineRule="auto"/>
        <w:ind w:firstLine="482" w:firstLineChars="200"/>
        <w:rPr>
          <w:rFonts w:ascii="宋体" w:hAnsi="宋体" w:cs="宋体"/>
          <w:kern w:val="2"/>
          <w:szCs w:val="24"/>
          <w:highlight w:val="none"/>
        </w:rPr>
      </w:pPr>
      <w:r>
        <w:rPr>
          <w:rFonts w:hint="eastAsia" w:ascii="宋体" w:hAnsi="宋体" w:cs="宋体"/>
          <w:kern w:val="2"/>
          <w:szCs w:val="24"/>
          <w:highlight w:val="none"/>
        </w:rPr>
        <w:t>3.报价审查</w:t>
      </w:r>
    </w:p>
    <w:p>
      <w:pPr>
        <w:snapToGrid w:val="0"/>
        <w:spacing w:line="360" w:lineRule="auto"/>
        <w:ind w:firstLine="480" w:firstLineChars="200"/>
        <w:rPr>
          <w:rFonts w:ascii="宋体" w:hAnsi="宋体"/>
          <w:highlight w:val="none"/>
        </w:rPr>
      </w:pPr>
      <w:r>
        <w:rPr>
          <w:rFonts w:hint="eastAsia" w:ascii="宋体" w:hAnsi="宋体"/>
          <w:highlight w:val="none"/>
        </w:rPr>
        <w:t>本项目报价采用优惠率，评审时须审查</w:t>
      </w:r>
      <w:r>
        <w:rPr>
          <w:rFonts w:hint="eastAsia" w:ascii="宋体" w:hAnsi="宋体"/>
          <w:color w:val="FF0000"/>
          <w:highlight w:val="none"/>
        </w:rPr>
        <w:t>《</w:t>
      </w:r>
      <w:r>
        <w:rPr>
          <w:rFonts w:hint="eastAsia" w:ascii="宋体" w:hAnsi="宋体"/>
          <w:color w:val="FF0000"/>
          <w:highlight w:val="none"/>
          <w:lang w:eastAsia="zh-CN"/>
        </w:rPr>
        <w:t>报价一览表</w:t>
      </w:r>
      <w:r>
        <w:rPr>
          <w:rFonts w:hint="eastAsia" w:ascii="宋体" w:hAnsi="宋体"/>
          <w:color w:val="FF0000"/>
          <w:highlight w:val="none"/>
        </w:rPr>
        <w:t>》</w:t>
      </w:r>
      <w:r>
        <w:rPr>
          <w:rFonts w:hint="eastAsia" w:ascii="宋体" w:hAnsi="宋体"/>
          <w:highlight w:val="none"/>
        </w:rPr>
        <w:t>。</w:t>
      </w:r>
    </w:p>
    <w:p>
      <w:pPr>
        <w:pStyle w:val="6"/>
        <w:spacing w:line="360" w:lineRule="auto"/>
        <w:ind w:firstLine="482" w:firstLineChars="200"/>
        <w:rPr>
          <w:rFonts w:ascii="宋体" w:hAnsi="宋体" w:cs="宋体"/>
          <w:kern w:val="2"/>
          <w:szCs w:val="24"/>
          <w:highlight w:val="none"/>
        </w:rPr>
      </w:pPr>
      <w:r>
        <w:rPr>
          <w:rFonts w:hint="eastAsia" w:ascii="宋体" w:hAnsi="宋体" w:cs="宋体"/>
          <w:kern w:val="2"/>
          <w:szCs w:val="24"/>
          <w:highlight w:val="none"/>
        </w:rPr>
        <w:t>4.比较和推荐</w:t>
      </w:r>
    </w:p>
    <w:p>
      <w:pPr>
        <w:snapToGrid w:val="0"/>
        <w:spacing w:line="360" w:lineRule="auto"/>
        <w:ind w:firstLine="480" w:firstLineChars="200"/>
        <w:rPr>
          <w:rFonts w:ascii="宋体" w:hAnsi="宋体"/>
          <w:kern w:val="0"/>
          <w:highlight w:val="none"/>
        </w:rPr>
      </w:pPr>
      <w:r>
        <w:rPr>
          <w:rFonts w:hint="eastAsia" w:ascii="宋体" w:hAnsi="宋体"/>
          <w:highlight w:val="none"/>
        </w:rPr>
        <w:t>评审小组按评审原则推荐入围供应商同时起草评审报告。</w:t>
      </w:r>
    </w:p>
    <w:p>
      <w:pPr>
        <w:snapToGrid w:val="0"/>
        <w:spacing w:line="360" w:lineRule="auto"/>
        <w:ind w:firstLine="482" w:firstLineChars="200"/>
        <w:rPr>
          <w:rFonts w:ascii="宋体" w:hAnsi="宋体"/>
          <w:b/>
          <w:highlight w:val="none"/>
        </w:rPr>
      </w:pPr>
      <w:r>
        <w:rPr>
          <w:rFonts w:hint="eastAsia" w:ascii="宋体" w:hAnsi="宋体"/>
          <w:b/>
          <w:highlight w:val="none"/>
        </w:rPr>
        <w:t>（四）澄清问题的形式</w:t>
      </w:r>
    </w:p>
    <w:p>
      <w:pPr>
        <w:snapToGrid w:val="0"/>
        <w:spacing w:line="360" w:lineRule="auto"/>
        <w:ind w:firstLine="480" w:firstLineChars="200"/>
        <w:rPr>
          <w:rFonts w:ascii="宋体" w:hAnsi="宋体"/>
          <w:highlight w:val="none"/>
        </w:rPr>
      </w:pPr>
      <w:r>
        <w:rPr>
          <w:rFonts w:hint="eastAsia" w:ascii="宋体" w:hAnsi="宋体"/>
          <w:highlight w:val="none"/>
        </w:rPr>
        <w:t>对响应文件中含义不明确、同类问题表述不一致或者有明显文字和计算错误的内容，评审小组可要求供应商作出必要的澄清、说明或者纠正。</w:t>
      </w:r>
    </w:p>
    <w:p>
      <w:pPr>
        <w:snapToGrid w:val="0"/>
        <w:spacing w:line="360" w:lineRule="auto"/>
        <w:ind w:firstLine="480" w:firstLineChars="200"/>
        <w:rPr>
          <w:rFonts w:ascii="宋体" w:hAnsi="宋体"/>
          <w:highlight w:val="none"/>
        </w:rPr>
      </w:pPr>
      <w:r>
        <w:rPr>
          <w:rFonts w:hint="eastAsia" w:ascii="宋体" w:hAnsi="宋体"/>
          <w:highlight w:val="none"/>
        </w:rPr>
        <w:t>1.评审小组可以在“政采云”平台在线询标或其他有效形式要求供应商对同一份响应文件含义不明确或同类问题表述不一致的内容（征集文件其他地方有规定处理方法的除外）作必要的澄清或说明。供应商应采用在线回复在10分钟内进行澄清或说明，但不得超出响应文件的范围或改变响应文件的实质性内容。凡属于评审小组在评审中发现的计算错误并进行核实的修改不在此列。</w:t>
      </w:r>
    </w:p>
    <w:p>
      <w:pPr>
        <w:snapToGrid w:val="0"/>
        <w:spacing w:line="360" w:lineRule="auto"/>
        <w:ind w:firstLine="480" w:firstLineChars="200"/>
        <w:rPr>
          <w:rFonts w:ascii="宋体" w:hAnsi="宋体"/>
          <w:highlight w:val="none"/>
        </w:rPr>
      </w:pPr>
      <w:r>
        <w:rPr>
          <w:rFonts w:hint="eastAsia" w:ascii="宋体" w:hAnsi="宋体"/>
          <w:highlight w:val="none"/>
        </w:rPr>
        <w:t>2.如果供应商代表拒绝或未按评审小组要求在规定时间内作出在线回复且无其他有效回复方式的，评审小组可以对其作出不利判定。</w:t>
      </w:r>
    </w:p>
    <w:p>
      <w:pPr>
        <w:pStyle w:val="12"/>
        <w:tabs>
          <w:tab w:val="left" w:pos="630"/>
        </w:tabs>
        <w:snapToGrid w:val="0"/>
        <w:spacing w:before="120" w:after="120" w:line="360" w:lineRule="auto"/>
        <w:ind w:firstLine="472" w:firstLineChars="196"/>
        <w:rPr>
          <w:rFonts w:hAnsi="宋体" w:cs="宋体"/>
          <w:b/>
          <w:highlight w:val="none"/>
        </w:rPr>
      </w:pPr>
      <w:r>
        <w:rPr>
          <w:rFonts w:hint="eastAsia" w:hAnsi="宋体" w:cs="宋体"/>
          <w:b/>
          <w:highlight w:val="none"/>
        </w:rPr>
        <w:t>（五）评审原则和评审办法</w:t>
      </w:r>
    </w:p>
    <w:p>
      <w:pPr>
        <w:pStyle w:val="12"/>
        <w:snapToGrid w:val="0"/>
        <w:spacing w:before="120" w:after="120" w:line="360" w:lineRule="auto"/>
        <w:ind w:firstLine="480" w:firstLineChars="200"/>
        <w:rPr>
          <w:rFonts w:hAnsi="宋体" w:cs="宋体"/>
          <w:highlight w:val="none"/>
        </w:rPr>
      </w:pPr>
      <w:r>
        <w:rPr>
          <w:rFonts w:hint="eastAsia" w:hAnsi="宋体" w:cs="宋体"/>
          <w:highlight w:val="none"/>
        </w:rPr>
        <w:t>1.评审原则。评审小组必须公平、公正、客观，不带任何倾向性和启发性；不得向外界透露任何与评审有关的内容；任何单位和个人不得干扰、影响评审的正常进行；评审小组及有关工作人员不得私下与供应商接触。</w:t>
      </w:r>
    </w:p>
    <w:p>
      <w:pPr>
        <w:pStyle w:val="12"/>
        <w:snapToGrid w:val="0"/>
        <w:spacing w:before="120" w:after="120" w:line="360" w:lineRule="auto"/>
        <w:ind w:firstLine="480" w:firstLineChars="200"/>
        <w:rPr>
          <w:rFonts w:hAnsi="宋体" w:cs="宋体"/>
          <w:highlight w:val="none"/>
        </w:rPr>
      </w:pPr>
      <w:r>
        <w:rPr>
          <w:rFonts w:hint="eastAsia" w:hAnsi="宋体" w:cs="宋体"/>
          <w:highlight w:val="none"/>
        </w:rPr>
        <w:t>2.评审办法。本项目评审办法是质量优先法，具体评审内容及评分标准等详见《第四章：评审办法及标准》。</w:t>
      </w:r>
    </w:p>
    <w:p>
      <w:pPr>
        <w:pStyle w:val="12"/>
        <w:snapToGrid w:val="0"/>
        <w:spacing w:before="120" w:after="120" w:line="360" w:lineRule="auto"/>
        <w:ind w:firstLine="472" w:firstLineChars="196"/>
        <w:rPr>
          <w:rFonts w:hAnsi="宋体" w:cs="宋体"/>
          <w:b/>
          <w:highlight w:val="none"/>
        </w:rPr>
      </w:pPr>
      <w:r>
        <w:rPr>
          <w:rFonts w:hint="eastAsia" w:hAnsi="宋体" w:cs="宋体"/>
          <w:b/>
          <w:highlight w:val="none"/>
        </w:rPr>
        <w:t>（六）评审过程的监控</w:t>
      </w:r>
    </w:p>
    <w:p>
      <w:pPr>
        <w:pStyle w:val="12"/>
        <w:snapToGrid w:val="0"/>
        <w:spacing w:before="120" w:after="120" w:line="360" w:lineRule="auto"/>
        <w:ind w:firstLine="480" w:firstLineChars="200"/>
        <w:rPr>
          <w:rFonts w:hAnsi="宋体" w:cs="宋体"/>
          <w:highlight w:val="none"/>
        </w:rPr>
      </w:pPr>
      <w:r>
        <w:rPr>
          <w:rFonts w:hint="eastAsia" w:hAnsi="宋体" w:cs="宋体"/>
          <w:highlight w:val="none"/>
        </w:rPr>
        <w:t>本项目评审过程实行全程录音、录像监控。供应商在评审过程中所进行的试图影响评审结果的不公正活动，可能导致其响应被拒绝。</w:t>
      </w:r>
    </w:p>
    <w:p>
      <w:pPr>
        <w:pStyle w:val="12"/>
        <w:snapToGrid w:val="0"/>
        <w:spacing w:before="120" w:after="120" w:line="360" w:lineRule="auto"/>
        <w:ind w:firstLine="472" w:firstLineChars="196"/>
        <w:jc w:val="center"/>
        <w:outlineLvl w:val="1"/>
        <w:rPr>
          <w:rFonts w:hAnsi="宋体" w:cs="宋体"/>
          <w:b/>
          <w:highlight w:val="none"/>
        </w:rPr>
      </w:pPr>
      <w:r>
        <w:rPr>
          <w:rFonts w:hint="eastAsia" w:hAnsi="宋体" w:cs="宋体"/>
          <w:b/>
          <w:highlight w:val="none"/>
        </w:rPr>
        <w:t>六、入围结果</w:t>
      </w:r>
    </w:p>
    <w:p>
      <w:pPr>
        <w:spacing w:line="360" w:lineRule="auto"/>
        <w:ind w:firstLine="480" w:firstLineChars="200"/>
        <w:rPr>
          <w:rFonts w:ascii="宋体" w:hAnsi="宋体"/>
          <w:highlight w:val="none"/>
        </w:rPr>
      </w:pPr>
      <w:r>
        <w:rPr>
          <w:rFonts w:hint="eastAsia" w:ascii="宋体" w:hAnsi="宋体"/>
          <w:highlight w:val="none"/>
        </w:rPr>
        <w:t>1.征集人在政采云系统向入围供应商发出入围通知书，入围通知书发出后30日内，并在框架协议签订后7个工作日内，将框架协议副本报本级财政部门备案。框架协议不得对征集文件确定的事项以及入围供应商的响应文件作实质性修改。</w:t>
      </w:r>
    </w:p>
    <w:p>
      <w:pPr>
        <w:snapToGrid w:val="0"/>
        <w:spacing w:line="360" w:lineRule="auto"/>
        <w:ind w:firstLine="480" w:firstLineChars="200"/>
        <w:rPr>
          <w:rFonts w:ascii="宋体" w:hAnsi="宋体"/>
          <w:highlight w:val="none"/>
        </w:rPr>
      </w:pPr>
      <w:r>
        <w:rPr>
          <w:rFonts w:hint="eastAsia" w:ascii="宋体" w:hAnsi="宋体"/>
          <w:highlight w:val="none"/>
        </w:rPr>
        <w:t>2.本项目在框架协议签订后3个工作日内，入围信息公告于浙江政府采购网(http://www.zjzfcg.gov.cn/new/)。</w:t>
      </w:r>
    </w:p>
    <w:p>
      <w:pPr>
        <w:snapToGrid w:val="0"/>
        <w:spacing w:line="360" w:lineRule="auto"/>
        <w:ind w:firstLine="480" w:firstLineChars="200"/>
        <w:rPr>
          <w:rFonts w:ascii="宋体" w:hAnsi="宋体"/>
          <w:highlight w:val="none"/>
        </w:rPr>
      </w:pPr>
      <w:r>
        <w:rPr>
          <w:rFonts w:hint="eastAsia" w:ascii="宋体" w:hAnsi="宋体"/>
          <w:highlight w:val="none"/>
        </w:rPr>
        <w:t>3.入围供应商拖延、拒签合同的，将被取消入围资格，并报监督管理部门依法处理。</w:t>
      </w:r>
    </w:p>
    <w:bookmarkEnd w:id="37"/>
    <w:bookmarkEnd w:id="38"/>
    <w:bookmarkEnd w:id="39"/>
    <w:p>
      <w:pPr>
        <w:pStyle w:val="12"/>
        <w:snapToGrid w:val="0"/>
        <w:spacing w:before="120" w:after="120" w:line="360" w:lineRule="auto"/>
        <w:ind w:firstLine="472" w:firstLineChars="196"/>
        <w:jc w:val="center"/>
        <w:outlineLvl w:val="1"/>
        <w:rPr>
          <w:rFonts w:hAnsi="宋体" w:cs="宋体"/>
          <w:b/>
          <w:highlight w:val="none"/>
        </w:rPr>
      </w:pPr>
      <w:r>
        <w:rPr>
          <w:rFonts w:hint="eastAsia" w:hAnsi="宋体" w:cs="宋体"/>
          <w:b/>
          <w:highlight w:val="none"/>
        </w:rPr>
        <w:t>七、验收（考核）</w:t>
      </w:r>
    </w:p>
    <w:p>
      <w:pPr>
        <w:snapToGrid w:val="0"/>
        <w:spacing w:line="360" w:lineRule="auto"/>
        <w:ind w:firstLine="480" w:firstLineChars="200"/>
        <w:rPr>
          <w:rFonts w:ascii="宋体" w:hAnsi="宋体"/>
          <w:highlight w:val="none"/>
        </w:rPr>
      </w:pPr>
      <w:r>
        <w:rPr>
          <w:rFonts w:hint="eastAsia" w:ascii="宋体" w:hAnsi="宋体"/>
          <w:highlight w:val="none"/>
        </w:rPr>
        <w:t>1.征集人组织对供应商履约的验收（考核）。大型或者复杂的政府采购项目，应当邀请国家认可的质量检测机构参加验收（考核）工作。验收（考核）方成员应当在验收书上签字，并承担相应的法律责任。如果发现与合同中要求不符，供应商须承担由此发生的一切损失和费用，并接受相应的处理。</w:t>
      </w:r>
    </w:p>
    <w:p>
      <w:pPr>
        <w:snapToGrid w:val="0"/>
        <w:spacing w:line="360" w:lineRule="auto"/>
        <w:ind w:firstLine="480" w:firstLineChars="200"/>
        <w:rPr>
          <w:rFonts w:ascii="宋体" w:hAnsi="宋体"/>
          <w:highlight w:val="none"/>
        </w:rPr>
      </w:pPr>
      <w:r>
        <w:rPr>
          <w:rFonts w:hint="eastAsia" w:ascii="宋体" w:hAnsi="宋体"/>
          <w:highlight w:val="none"/>
        </w:rPr>
        <w:t>2.征集人可以邀请参加本项目的其他供应商或者第三方机构参与验收（考核）。参与验收（考核）的供应商或者第三方机构的意见作为验收（考核）书的参考资料一并存档。</w:t>
      </w:r>
    </w:p>
    <w:p>
      <w:pPr>
        <w:snapToGrid w:val="0"/>
        <w:spacing w:line="360" w:lineRule="auto"/>
        <w:ind w:firstLine="480" w:firstLineChars="200"/>
        <w:rPr>
          <w:rFonts w:ascii="宋体" w:hAnsi="宋体"/>
          <w:highlight w:val="none"/>
        </w:rPr>
      </w:pPr>
      <w:r>
        <w:rPr>
          <w:rFonts w:hint="eastAsia" w:ascii="宋体" w:hAnsi="宋体"/>
          <w:highlight w:val="none"/>
        </w:rPr>
        <w:t>3.严格按照采购合同开展履约验收（考核）。征集人成立验收（考核）小组，按照采购合同的约定对供应商履约情况进行验收（考核）。验收（考核）时，按照采购合同的约定对每一项技术、服务、安全标准的履约情况进行确认。验收（考核）结束后，应当出具验收书，列明各项标准的验收（考核）情况及项目总体评价，由验收（考核）双方共同签署。验收（考核）结果与采购合同约定的资金支付及履约保证金返还条件挂钩。履约验收（考核）的各项资料应当存档备查。</w:t>
      </w:r>
    </w:p>
    <w:p>
      <w:pPr>
        <w:snapToGrid w:val="0"/>
        <w:spacing w:line="360" w:lineRule="auto"/>
        <w:ind w:firstLine="480" w:firstLineChars="200"/>
        <w:rPr>
          <w:rFonts w:ascii="宋体" w:hAnsi="宋体"/>
          <w:highlight w:val="none"/>
        </w:rPr>
        <w:sectPr>
          <w:footerReference r:id="rId3" w:type="default"/>
          <w:pgSz w:w="11849" w:h="16781"/>
          <w:pgMar w:top="1440" w:right="1797" w:bottom="1440" w:left="1797" w:header="851" w:footer="850" w:gutter="0"/>
          <w:cols w:space="720" w:num="1"/>
          <w:docGrid w:linePitch="312" w:charSpace="0"/>
        </w:sectPr>
      </w:pPr>
      <w:r>
        <w:rPr>
          <w:rFonts w:hint="eastAsia" w:ascii="宋体" w:hAnsi="宋体"/>
          <w:highlight w:val="none"/>
        </w:rPr>
        <w:t>4.验收（考核）合格的项目，业务委托人将根据采购合同的约定及时向供应商支付采购资金、退还履约保证金。验收（考核）不合格的项目，征集人将依法及时处理。采购合同的履行、违约责任和解决争议的方式等适用《中华人民共和国民法典》。供应商在履约过程中有政府采购法律法规规定的违法违规情形的，征集人应当及时报告本级财政部</w:t>
      </w:r>
      <w:bookmarkStart w:id="75" w:name="_Hlt74714665"/>
      <w:bookmarkEnd w:id="75"/>
      <w:bookmarkStart w:id="76" w:name="_Hlt75236290"/>
      <w:bookmarkEnd w:id="76"/>
      <w:bookmarkStart w:id="77" w:name="_Hlt68072998"/>
      <w:bookmarkEnd w:id="77"/>
      <w:bookmarkStart w:id="78" w:name="_Hlt68072990"/>
      <w:bookmarkEnd w:id="78"/>
      <w:bookmarkStart w:id="79" w:name="_Hlt74730295"/>
      <w:bookmarkEnd w:id="79"/>
      <w:bookmarkStart w:id="80" w:name="_Hlt68057669"/>
      <w:bookmarkEnd w:id="80"/>
      <w:bookmarkStart w:id="81" w:name="_Hlt74729768"/>
      <w:bookmarkEnd w:id="81"/>
      <w:bookmarkStart w:id="82" w:name="_Hlt75236101"/>
      <w:bookmarkEnd w:id="82"/>
      <w:bookmarkStart w:id="83" w:name="_Hlt75236011"/>
      <w:bookmarkEnd w:id="83"/>
      <w:bookmarkStart w:id="84" w:name="_Hlt68073093"/>
      <w:bookmarkEnd w:id="84"/>
      <w:bookmarkStart w:id="85" w:name="_Hlt68403820"/>
      <w:bookmarkEnd w:id="85"/>
      <w:bookmarkStart w:id="86" w:name="_Hlt74707468"/>
      <w:bookmarkEnd w:id="86"/>
      <w:r>
        <w:rPr>
          <w:rFonts w:hint="eastAsia" w:ascii="宋体" w:hAnsi="宋体"/>
          <w:highlight w:val="none"/>
        </w:rPr>
        <w:t>部门。</w:t>
      </w:r>
    </w:p>
    <w:p>
      <w:pPr>
        <w:pStyle w:val="5"/>
        <w:snapToGrid w:val="0"/>
        <w:spacing w:line="300" w:lineRule="auto"/>
        <w:rPr>
          <w:rFonts w:asciiTheme="majorEastAsia" w:hAnsiTheme="majorEastAsia" w:eastAsiaTheme="majorEastAsia" w:cstheme="majorEastAsia"/>
          <w:sz w:val="36"/>
          <w:szCs w:val="36"/>
          <w:highlight w:val="none"/>
        </w:rPr>
      </w:pPr>
      <w:bookmarkStart w:id="87" w:name="_Toc35352908"/>
      <w:r>
        <w:rPr>
          <w:rFonts w:hint="eastAsia" w:asciiTheme="majorEastAsia" w:hAnsiTheme="majorEastAsia" w:eastAsiaTheme="majorEastAsia" w:cstheme="majorEastAsia"/>
          <w:sz w:val="36"/>
          <w:szCs w:val="36"/>
          <w:highlight w:val="none"/>
        </w:rPr>
        <w:t>第四章 评审办法及标准</w:t>
      </w:r>
      <w:bookmarkEnd w:id="87"/>
    </w:p>
    <w:p>
      <w:pPr>
        <w:spacing w:beforeLines="50" w:afterLines="50" w:line="360" w:lineRule="auto"/>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 xml:space="preserve">    为公正、公平、科学地选择入围供应商，根据中华人民共和国财政部令第 110 号《政府采购框架协议采购方式管理暂行办法》、《中华人民共和国政府采购法》等有关法律法规的规定，并结合本项目的实际，制定本办法。</w:t>
      </w:r>
    </w:p>
    <w:p>
      <w:pPr>
        <w:spacing w:beforeLines="50" w:afterLines="50" w:line="360" w:lineRule="auto"/>
        <w:ind w:firstLine="420"/>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本办法适用于本项目的评审。</w:t>
      </w:r>
    </w:p>
    <w:p>
      <w:pPr>
        <w:spacing w:beforeLines="50" w:afterLines="50" w:line="360" w:lineRule="auto"/>
        <w:ind w:firstLine="482" w:firstLineChars="200"/>
        <w:jc w:val="left"/>
        <w:rPr>
          <w:rFonts w:asciiTheme="majorEastAsia" w:hAnsiTheme="majorEastAsia" w:eastAsiaTheme="majorEastAsia" w:cstheme="majorEastAsia"/>
          <w:highlight w:val="none"/>
        </w:rPr>
      </w:pPr>
      <w:r>
        <w:rPr>
          <w:rFonts w:hint="eastAsia" w:asciiTheme="majorEastAsia" w:hAnsiTheme="majorEastAsia" w:eastAsiaTheme="majorEastAsia" w:cstheme="majorEastAsia"/>
          <w:b/>
          <w:highlight w:val="none"/>
        </w:rPr>
        <w:t>一、总则</w:t>
      </w:r>
    </w:p>
    <w:p>
      <w:pPr>
        <w:spacing w:beforeLines="50" w:afterLines="50" w:line="360" w:lineRule="auto"/>
        <w:ind w:firstLine="480" w:firstLineChars="200"/>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根据中华人民共和国财政部令第 110 号《政府采购框架协议采购方式管理暂行办法》，确定第一阶段入围供应商的评审方法为质量优先法，确定第二阶段成交供应商的方式为直接选定方式。</w:t>
      </w:r>
    </w:p>
    <w:p>
      <w:pPr>
        <w:spacing w:beforeLines="50" w:afterLines="50" w:line="36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质量优先法是指对满足采购需求且响应报价不超过最高限制单价的货物、服务进行质量综合评分，按照质量评分从高到低排序，根据征集文件规定的淘汰率或者入围供应商数量上限，确定入围供应商的评审方法。</w:t>
      </w:r>
    </w:p>
    <w:p>
      <w:pPr>
        <w:spacing w:beforeLines="50" w:afterLines="50" w:line="36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入围数量:提交响应文件及符合资格条件、实质性要求的供应商，按20%比例淘汰（如遇淘汰数值为小数的，直接进位取整（只入不舍），例如淘汰4.2家，取淘汰5家）后推荐为入围供应商。采用末尾淘汰制，与淘汰家数中</w:t>
      </w:r>
      <w:r>
        <w:rPr>
          <w:rFonts w:hint="eastAsia" w:asciiTheme="majorEastAsia" w:hAnsiTheme="majorEastAsia" w:eastAsiaTheme="majorEastAsia" w:cstheme="majorEastAsia"/>
          <w:highlight w:val="none"/>
          <w:lang w:eastAsia="zh-CN"/>
        </w:rPr>
        <w:t>评审综合得分</w:t>
      </w:r>
      <w:r>
        <w:rPr>
          <w:rFonts w:hint="eastAsia" w:asciiTheme="majorEastAsia" w:hAnsiTheme="majorEastAsia" w:eastAsiaTheme="majorEastAsia" w:cstheme="majorEastAsia"/>
          <w:highlight w:val="none"/>
        </w:rPr>
        <w:t>最高且并列的单位将一并被淘汰。例：假设提交投标（响应）文件和符合资格条件、实质性要求的供应商数量为21家，则应淘汰家数为5家，假设与5家单位中</w:t>
      </w:r>
      <w:r>
        <w:rPr>
          <w:rFonts w:hint="eastAsia" w:asciiTheme="majorEastAsia" w:hAnsiTheme="majorEastAsia" w:eastAsiaTheme="majorEastAsia" w:cstheme="majorEastAsia"/>
          <w:highlight w:val="none"/>
          <w:lang w:eastAsia="zh-CN"/>
        </w:rPr>
        <w:t>评审综合得分</w:t>
      </w:r>
      <w:r>
        <w:rPr>
          <w:rFonts w:hint="eastAsia" w:asciiTheme="majorEastAsia" w:hAnsiTheme="majorEastAsia" w:eastAsiaTheme="majorEastAsia" w:cstheme="majorEastAsia"/>
          <w:highlight w:val="none"/>
        </w:rPr>
        <w:t>最高且并列的单位有N家，则不管排名先后，该N家单位均被淘汰，以此类推。</w:t>
      </w:r>
    </w:p>
    <w:p>
      <w:pPr>
        <w:spacing w:beforeLines="50" w:afterLines="50" w:line="36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供应商评审综合得分=技术分+商务资信及其他分</w:t>
      </w:r>
    </w:p>
    <w:p>
      <w:pPr>
        <w:numPr>
          <w:ilvl w:val="0"/>
          <w:numId w:val="4"/>
        </w:numPr>
        <w:spacing w:beforeLines="50" w:afterLines="50" w:line="360" w:lineRule="auto"/>
        <w:ind w:firstLine="482" w:firstLineChars="200"/>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评标内容及标准</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274"/>
        <w:gridCol w:w="6870"/>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416" w:type="pct"/>
            <w:noWrap/>
            <w:vAlign w:val="center"/>
          </w:tcPr>
          <w:p>
            <w:pPr>
              <w:spacing w:line="360" w:lineRule="auto"/>
              <w:jc w:val="center"/>
              <w:rPr>
                <w:rFonts w:ascii="宋体" w:hAnsi="宋体"/>
                <w:b/>
                <w:bCs/>
                <w:kern w:val="0"/>
                <w:highlight w:val="none"/>
              </w:rPr>
            </w:pPr>
            <w:r>
              <w:rPr>
                <w:rFonts w:hint="eastAsia" w:ascii="宋体" w:hAnsi="宋体"/>
                <w:b/>
                <w:bCs/>
                <w:kern w:val="0"/>
                <w:highlight w:val="none"/>
              </w:rPr>
              <w:t>序号</w:t>
            </w:r>
          </w:p>
        </w:tc>
        <w:tc>
          <w:tcPr>
            <w:tcW w:w="639" w:type="pct"/>
            <w:noWrap/>
            <w:vAlign w:val="center"/>
          </w:tcPr>
          <w:p>
            <w:pPr>
              <w:spacing w:line="360" w:lineRule="auto"/>
              <w:jc w:val="center"/>
              <w:rPr>
                <w:rFonts w:ascii="宋体" w:hAnsi="宋体"/>
                <w:b/>
                <w:bCs/>
                <w:kern w:val="0"/>
                <w:highlight w:val="none"/>
              </w:rPr>
            </w:pPr>
            <w:r>
              <w:rPr>
                <w:rFonts w:hint="eastAsia" w:ascii="宋体" w:hAnsi="宋体"/>
                <w:b/>
                <w:bCs/>
                <w:kern w:val="0"/>
                <w:highlight w:val="none"/>
              </w:rPr>
              <w:t>类别</w:t>
            </w:r>
          </w:p>
        </w:tc>
        <w:tc>
          <w:tcPr>
            <w:tcW w:w="3450" w:type="pct"/>
            <w:noWrap/>
            <w:vAlign w:val="center"/>
          </w:tcPr>
          <w:p>
            <w:pPr>
              <w:spacing w:line="360" w:lineRule="auto"/>
              <w:jc w:val="center"/>
              <w:rPr>
                <w:rFonts w:ascii="宋体" w:hAnsi="宋体"/>
                <w:b/>
                <w:bCs/>
                <w:kern w:val="0"/>
                <w:highlight w:val="none"/>
              </w:rPr>
            </w:pPr>
            <w:r>
              <w:rPr>
                <w:rFonts w:hint="eastAsia" w:ascii="宋体" w:hAnsi="宋体"/>
                <w:b/>
                <w:bCs/>
                <w:kern w:val="0"/>
                <w:highlight w:val="none"/>
              </w:rPr>
              <w:t>评分标准</w:t>
            </w:r>
          </w:p>
        </w:tc>
        <w:tc>
          <w:tcPr>
            <w:tcW w:w="493" w:type="pct"/>
            <w:noWrap/>
            <w:vAlign w:val="center"/>
          </w:tcPr>
          <w:p>
            <w:pPr>
              <w:spacing w:line="360" w:lineRule="auto"/>
              <w:jc w:val="center"/>
              <w:rPr>
                <w:rFonts w:ascii="宋体" w:hAnsi="宋体"/>
                <w:b/>
                <w:bCs/>
                <w:kern w:val="0"/>
                <w:highlight w:val="none"/>
              </w:rPr>
            </w:pPr>
            <w:r>
              <w:rPr>
                <w:rFonts w:hint="eastAsia" w:ascii="宋体" w:hAnsi="宋体"/>
                <w:b/>
                <w:bCs/>
                <w:kern w:val="0"/>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000" w:type="pct"/>
            <w:gridSpan w:val="4"/>
            <w:noWrap/>
            <w:vAlign w:val="center"/>
          </w:tcPr>
          <w:p>
            <w:pPr>
              <w:spacing w:line="360" w:lineRule="auto"/>
              <w:jc w:val="center"/>
              <w:rPr>
                <w:rFonts w:ascii="宋体" w:hAnsi="宋体"/>
                <w:b/>
                <w:bCs/>
                <w:kern w:val="0"/>
                <w:highlight w:val="none"/>
              </w:rPr>
            </w:pPr>
            <w:r>
              <w:rPr>
                <w:rFonts w:hint="eastAsia" w:ascii="宋体" w:hAnsi="宋体"/>
                <w:b/>
                <w:bCs/>
                <w:highlight w:val="none"/>
              </w:rPr>
              <w:t>技术分（</w:t>
            </w:r>
            <w:r>
              <w:rPr>
                <w:rFonts w:hint="eastAsia" w:ascii="宋体" w:hAnsi="宋体"/>
                <w:b/>
                <w:bCs/>
                <w:highlight w:val="none"/>
                <w:lang w:val="en-US" w:eastAsia="zh-CN"/>
              </w:rPr>
              <w:t>94</w:t>
            </w:r>
            <w:r>
              <w:rPr>
                <w:rFonts w:hint="eastAsia" w:ascii="宋体" w:hAnsi="宋体"/>
                <w:b/>
                <w:bCs/>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ign w:val="center"/>
          </w:tcPr>
          <w:p>
            <w:pPr>
              <w:widowControl/>
              <w:spacing w:line="360" w:lineRule="auto"/>
              <w:jc w:val="center"/>
              <w:textAlignment w:val="center"/>
              <w:rPr>
                <w:rFonts w:ascii="宋体" w:hAnsi="宋体"/>
                <w:color w:val="000000"/>
                <w:kern w:val="0"/>
                <w:highlight w:val="none"/>
              </w:rPr>
            </w:pPr>
            <w:r>
              <w:rPr>
                <w:rFonts w:hint="eastAsia" w:ascii="宋体" w:hAnsi="宋体"/>
                <w:color w:val="000000"/>
                <w:kern w:val="0"/>
                <w:highlight w:val="none"/>
              </w:rPr>
              <w:t>1</w:t>
            </w:r>
          </w:p>
        </w:tc>
        <w:tc>
          <w:tcPr>
            <w:tcW w:w="639" w:type="pct"/>
            <w:noWrap/>
            <w:vAlign w:val="center"/>
          </w:tcPr>
          <w:p>
            <w:pPr>
              <w:widowControl/>
              <w:spacing w:line="360" w:lineRule="auto"/>
              <w:jc w:val="center"/>
              <w:textAlignment w:val="center"/>
              <w:rPr>
                <w:rFonts w:ascii="宋体" w:hAnsi="宋体"/>
                <w:color w:val="000000"/>
                <w:kern w:val="0"/>
                <w:highlight w:val="none"/>
              </w:rPr>
            </w:pPr>
            <w:r>
              <w:rPr>
                <w:rFonts w:hint="eastAsia" w:ascii="宋体" w:hAnsi="宋体"/>
                <w:color w:val="000000"/>
                <w:kern w:val="0"/>
                <w:highlight w:val="none"/>
              </w:rPr>
              <w:t>拟派团队组成员配置</w:t>
            </w:r>
          </w:p>
        </w:tc>
        <w:tc>
          <w:tcPr>
            <w:tcW w:w="3450" w:type="pct"/>
            <w:noWrap/>
            <w:vAlign w:val="center"/>
          </w:tcPr>
          <w:p>
            <w:pPr>
              <w:autoSpaceDE w:val="0"/>
              <w:autoSpaceDN w:val="0"/>
              <w:adjustRightInd w:val="0"/>
              <w:spacing w:line="360" w:lineRule="auto"/>
              <w:rPr>
                <w:rFonts w:ascii="宋体" w:hAnsi="宋体"/>
                <w:kern w:val="0"/>
                <w:highlight w:val="none"/>
              </w:rPr>
            </w:pPr>
            <w:r>
              <w:rPr>
                <w:rFonts w:hint="eastAsia" w:ascii="宋体" w:hAnsi="宋体"/>
                <w:kern w:val="0"/>
                <w:highlight w:val="none"/>
                <w:lang w:val="en-US" w:eastAsia="zh-CN"/>
              </w:rPr>
              <w:t>1.</w:t>
            </w:r>
            <w:r>
              <w:rPr>
                <w:rFonts w:hint="eastAsia" w:ascii="宋体" w:hAnsi="宋体"/>
                <w:kern w:val="0"/>
                <w:highlight w:val="none"/>
              </w:rPr>
              <w:t>拟派团队组成员具有高级职称或注册会计师、资产评估师、税务师等同等资格人员</w:t>
            </w:r>
            <w:r>
              <w:rPr>
                <w:rFonts w:hint="eastAsia" w:ascii="宋体" w:hAnsi="宋体"/>
                <w:kern w:val="0"/>
                <w:highlight w:val="none"/>
                <w:lang w:eastAsia="zh-CN"/>
              </w:rPr>
              <w:t>证书的</w:t>
            </w:r>
            <w:r>
              <w:rPr>
                <w:rFonts w:hint="eastAsia" w:ascii="宋体" w:hAnsi="宋体"/>
                <w:kern w:val="0"/>
                <w:highlight w:val="none"/>
              </w:rPr>
              <w:t>，每人得2分；具有中级职称的，每人得1分，拟派团队组成员每人只取一个证书计分，以供应商注明的为准，本条最高得8分。</w:t>
            </w:r>
          </w:p>
          <w:p>
            <w:pPr>
              <w:autoSpaceDE w:val="0"/>
              <w:autoSpaceDN w:val="0"/>
              <w:adjustRightInd w:val="0"/>
              <w:spacing w:line="360" w:lineRule="auto"/>
              <w:rPr>
                <w:rFonts w:ascii="宋体" w:hAnsi="宋体"/>
                <w:kern w:val="0"/>
                <w:highlight w:val="none"/>
              </w:rPr>
            </w:pPr>
            <w:r>
              <w:rPr>
                <w:rFonts w:hint="eastAsia" w:ascii="宋体" w:hAnsi="宋体"/>
                <w:kern w:val="0"/>
                <w:highlight w:val="none"/>
                <w:lang w:val="en-US" w:eastAsia="zh-CN"/>
              </w:rPr>
              <w:t>2.</w:t>
            </w:r>
            <w:r>
              <w:rPr>
                <w:rFonts w:hint="eastAsia" w:ascii="宋体" w:hAnsi="宋体"/>
                <w:kern w:val="0"/>
                <w:highlight w:val="none"/>
              </w:rPr>
              <w:t>具有从事预算绩效评价咨询服务工作经验3周年及以上每人得3分；3周年（不含）以下的得2分；无经验不得分。本条最高得9分。</w:t>
            </w:r>
          </w:p>
          <w:p>
            <w:pPr>
              <w:autoSpaceDE w:val="0"/>
              <w:autoSpaceDN w:val="0"/>
              <w:adjustRightInd w:val="0"/>
              <w:spacing w:line="360" w:lineRule="auto"/>
              <w:rPr>
                <w:rFonts w:ascii="宋体" w:hAnsi="宋体"/>
                <w:kern w:val="0"/>
                <w:highlight w:val="none"/>
              </w:rPr>
            </w:pPr>
            <w:r>
              <w:rPr>
                <w:rFonts w:hint="eastAsia" w:ascii="宋体" w:hAnsi="宋体"/>
                <w:kern w:val="0"/>
                <w:highlight w:val="none"/>
              </w:rPr>
              <w:t>注：1.须根据以上评审标准提供职称职级证书、响应时提交响应截止前最近三个月供应商为该项目拟派团队组成员缴纳的社保证明材料（退休人员提供劳务合同）。</w:t>
            </w:r>
          </w:p>
          <w:p>
            <w:pPr>
              <w:numPr>
                <w:ilvl w:val="0"/>
                <w:numId w:val="5"/>
              </w:numPr>
              <w:autoSpaceDE w:val="0"/>
              <w:autoSpaceDN w:val="0"/>
              <w:adjustRightInd w:val="0"/>
              <w:spacing w:line="360" w:lineRule="auto"/>
              <w:rPr>
                <w:rFonts w:ascii="宋体" w:hAnsi="宋体"/>
                <w:kern w:val="0"/>
                <w:highlight w:val="none"/>
              </w:rPr>
            </w:pPr>
            <w:r>
              <w:rPr>
                <w:rFonts w:hint="eastAsia" w:ascii="宋体" w:hAnsi="宋体"/>
                <w:kern w:val="0"/>
                <w:highlight w:val="none"/>
              </w:rPr>
              <w:t>从事预算绩效评价咨询服务工作经验按照相关人员参与实施预算绩效评价咨询服务工作起算，响应文件内同时提供项目合同和绩效评价报告复印件，时间以合同签订之日起计算（提供绩效评价报告封面以及体现全部评价人员栏信息所在页，能够清晰证明即可；非行政事业单位委托的项目不予认可）。</w:t>
            </w:r>
          </w:p>
          <w:p>
            <w:pPr>
              <w:autoSpaceDE w:val="0"/>
              <w:autoSpaceDN w:val="0"/>
              <w:adjustRightInd w:val="0"/>
              <w:spacing w:line="360" w:lineRule="auto"/>
              <w:rPr>
                <w:rFonts w:ascii="宋体" w:hAnsi="宋体"/>
                <w:kern w:val="0"/>
                <w:highlight w:val="none"/>
              </w:rPr>
            </w:pPr>
            <w:r>
              <w:rPr>
                <w:rFonts w:hint="eastAsia" w:ascii="宋体" w:hAnsi="宋体"/>
                <w:kern w:val="0"/>
                <w:highlight w:val="none"/>
              </w:rPr>
              <w:t>3.以上评审采取就高原则，不重复计分。</w:t>
            </w:r>
          </w:p>
        </w:tc>
        <w:tc>
          <w:tcPr>
            <w:tcW w:w="493" w:type="pct"/>
            <w:noWrap/>
            <w:vAlign w:val="center"/>
          </w:tcPr>
          <w:p>
            <w:pPr>
              <w:spacing w:line="360" w:lineRule="auto"/>
              <w:jc w:val="center"/>
              <w:rPr>
                <w:rFonts w:hint="default" w:ascii="宋体" w:hAnsi="宋体" w:eastAsia="宋体"/>
                <w:kern w:val="0"/>
                <w:highlight w:val="none"/>
                <w:lang w:val="en-US" w:eastAsia="zh-CN"/>
              </w:rPr>
            </w:pPr>
            <w:r>
              <w:rPr>
                <w:rFonts w:hint="eastAsia" w:ascii="宋体" w:hAnsi="宋体"/>
                <w:kern w:val="0"/>
                <w:highlight w:val="no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ign w:val="center"/>
          </w:tcPr>
          <w:p>
            <w:pPr>
              <w:widowControl/>
              <w:spacing w:line="360" w:lineRule="auto"/>
              <w:jc w:val="center"/>
              <w:textAlignment w:val="center"/>
              <w:rPr>
                <w:rFonts w:ascii="宋体" w:hAnsi="宋体"/>
                <w:color w:val="000000"/>
                <w:kern w:val="0"/>
                <w:highlight w:val="none"/>
              </w:rPr>
            </w:pPr>
            <w:r>
              <w:rPr>
                <w:rFonts w:hint="eastAsia" w:ascii="宋体" w:hAnsi="宋体"/>
                <w:color w:val="000000"/>
                <w:kern w:val="0"/>
                <w:highlight w:val="none"/>
              </w:rPr>
              <w:t>2</w:t>
            </w:r>
          </w:p>
        </w:tc>
        <w:tc>
          <w:tcPr>
            <w:tcW w:w="639" w:type="pct"/>
            <w:noWrap/>
            <w:vAlign w:val="center"/>
          </w:tcPr>
          <w:p>
            <w:pPr>
              <w:widowControl/>
              <w:spacing w:line="360" w:lineRule="auto"/>
              <w:jc w:val="center"/>
              <w:textAlignment w:val="center"/>
              <w:rPr>
                <w:rFonts w:ascii="宋体" w:hAnsi="宋体"/>
                <w:color w:val="000000"/>
                <w:kern w:val="0"/>
                <w:highlight w:val="none"/>
              </w:rPr>
            </w:pPr>
            <w:r>
              <w:rPr>
                <w:rFonts w:hint="eastAsia" w:ascii="宋体" w:hAnsi="宋体"/>
                <w:highlight w:val="none"/>
              </w:rPr>
              <w:t>拟派团队组成员经验</w:t>
            </w:r>
          </w:p>
        </w:tc>
        <w:tc>
          <w:tcPr>
            <w:tcW w:w="3450" w:type="pct"/>
            <w:noWrap/>
            <w:vAlign w:val="center"/>
          </w:tcPr>
          <w:p>
            <w:pPr>
              <w:autoSpaceDE w:val="0"/>
              <w:autoSpaceDN w:val="0"/>
              <w:adjustRightInd w:val="0"/>
              <w:spacing w:line="360" w:lineRule="auto"/>
              <w:rPr>
                <w:rFonts w:ascii="宋体" w:hAnsi="宋体"/>
                <w:kern w:val="0"/>
                <w:highlight w:val="none"/>
              </w:rPr>
            </w:pPr>
            <w:r>
              <w:rPr>
                <w:rFonts w:hint="eastAsia" w:ascii="宋体" w:hAnsi="宋体"/>
                <w:kern w:val="0"/>
                <w:highlight w:val="none"/>
              </w:rPr>
              <w:t>提供响应截止时间前五年（以合同签订时间为准）预算绩效评价咨询服务评价报告（包括重大项目（政策）绩效评估服务、项目（政策）监控和评价（再评价）服务、绩效目标审核（绩效目标实质性审查）服务、部门整体预算绩效评价咨询服务</w:t>
            </w:r>
            <w:r>
              <w:rPr>
                <w:rFonts w:hint="eastAsia" w:ascii="宋体" w:hAnsi="宋体"/>
                <w:kern w:val="0"/>
                <w:highlight w:val="none"/>
                <w:lang w:eastAsia="zh-CN"/>
              </w:rPr>
              <w:t>、</w:t>
            </w:r>
            <w:r>
              <w:rPr>
                <w:rFonts w:hint="eastAsia" w:ascii="宋体" w:hAnsi="宋体"/>
                <w:kern w:val="0"/>
                <w:highlight w:val="none"/>
              </w:rPr>
              <w:t>其他预算绩效评价咨询服务事项），经专家组评审，行政事业单位委托的每类服务报告得</w:t>
            </w:r>
            <w:r>
              <w:rPr>
                <w:rFonts w:hint="eastAsia" w:ascii="宋体" w:hAnsi="宋体"/>
                <w:kern w:val="0"/>
                <w:highlight w:val="none"/>
                <w:lang w:val="en-US" w:eastAsia="zh-CN"/>
              </w:rPr>
              <w:t>2</w:t>
            </w:r>
            <w:r>
              <w:rPr>
                <w:rFonts w:hint="eastAsia" w:ascii="宋体" w:hAnsi="宋体"/>
                <w:kern w:val="0"/>
                <w:highlight w:val="none"/>
              </w:rPr>
              <w:t>分，同一份报告不重复计分。</w:t>
            </w:r>
          </w:p>
          <w:p>
            <w:pPr>
              <w:autoSpaceDE w:val="0"/>
              <w:autoSpaceDN w:val="0"/>
              <w:adjustRightInd w:val="0"/>
              <w:spacing w:line="360" w:lineRule="auto"/>
              <w:ind w:firstLine="480" w:firstLineChars="200"/>
              <w:rPr>
                <w:rFonts w:ascii="宋体" w:hAnsi="宋体"/>
                <w:kern w:val="0"/>
                <w:highlight w:val="none"/>
              </w:rPr>
            </w:pPr>
            <w:r>
              <w:rPr>
                <w:rFonts w:hint="eastAsia" w:ascii="宋体" w:hAnsi="宋体"/>
                <w:kern w:val="0"/>
                <w:highlight w:val="none"/>
              </w:rPr>
              <w:t>注：响应文件中须提供响应截止时间前五年承接的预算绩效评价咨询服务委托业务合同扫描件。（响应文件中须提供清晰可辨预算绩效管理服务委托合同，如合同中未明确上述对应人员信息的，另需提供绩效评价报告封面以及体现对应评价人员栏信息所在页）</w:t>
            </w:r>
          </w:p>
        </w:tc>
        <w:tc>
          <w:tcPr>
            <w:tcW w:w="493" w:type="pct"/>
            <w:noWrap/>
            <w:vAlign w:val="center"/>
          </w:tcPr>
          <w:p>
            <w:pPr>
              <w:spacing w:line="360" w:lineRule="auto"/>
              <w:jc w:val="center"/>
              <w:rPr>
                <w:rFonts w:hint="default" w:ascii="宋体" w:hAnsi="宋体" w:eastAsia="宋体"/>
                <w:kern w:val="0"/>
                <w:highlight w:val="none"/>
                <w:lang w:val="en-US" w:eastAsia="zh-CN"/>
              </w:rPr>
            </w:pPr>
            <w:r>
              <w:rPr>
                <w:rFonts w:hint="eastAsia" w:ascii="宋体" w:hAnsi="宋体"/>
                <w:kern w:val="0"/>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ign w:val="center"/>
          </w:tcPr>
          <w:p>
            <w:pPr>
              <w:widowControl/>
              <w:spacing w:line="360" w:lineRule="auto"/>
              <w:jc w:val="center"/>
              <w:textAlignment w:val="center"/>
              <w:rPr>
                <w:rFonts w:ascii="宋体" w:hAnsi="宋体"/>
                <w:color w:val="000000"/>
                <w:kern w:val="0"/>
                <w:highlight w:val="none"/>
              </w:rPr>
            </w:pPr>
            <w:r>
              <w:rPr>
                <w:rFonts w:hint="eastAsia" w:ascii="宋体" w:hAnsi="宋体"/>
                <w:color w:val="000000"/>
                <w:kern w:val="0"/>
                <w:highlight w:val="none"/>
              </w:rPr>
              <w:t>3</w:t>
            </w:r>
          </w:p>
        </w:tc>
        <w:tc>
          <w:tcPr>
            <w:tcW w:w="639" w:type="pct"/>
            <w:noWrap/>
            <w:vAlign w:val="center"/>
          </w:tcPr>
          <w:p>
            <w:pPr>
              <w:spacing w:line="360" w:lineRule="auto"/>
              <w:jc w:val="left"/>
              <w:rPr>
                <w:rFonts w:ascii="宋体" w:hAnsi="宋体"/>
                <w:highlight w:val="none"/>
              </w:rPr>
            </w:pPr>
            <w:r>
              <w:rPr>
                <w:rFonts w:hint="eastAsia" w:ascii="宋体" w:hAnsi="宋体"/>
                <w:highlight w:val="none"/>
              </w:rPr>
              <w:t>服务质量</w:t>
            </w:r>
          </w:p>
        </w:tc>
        <w:tc>
          <w:tcPr>
            <w:tcW w:w="3450" w:type="pct"/>
            <w:noWrap/>
            <w:vAlign w:val="center"/>
          </w:tcPr>
          <w:p>
            <w:pPr>
              <w:autoSpaceDE w:val="0"/>
              <w:autoSpaceDN w:val="0"/>
              <w:adjustRightInd w:val="0"/>
              <w:spacing w:line="360" w:lineRule="auto"/>
              <w:rPr>
                <w:rFonts w:ascii="宋体" w:hAnsi="宋体"/>
                <w:kern w:val="0"/>
                <w:highlight w:val="none"/>
              </w:rPr>
            </w:pPr>
            <w:r>
              <w:rPr>
                <w:rFonts w:hint="eastAsia" w:ascii="宋体" w:hAnsi="宋体"/>
                <w:kern w:val="0"/>
                <w:highlight w:val="none"/>
                <w:lang w:val="en-US" w:eastAsia="zh-CN"/>
              </w:rPr>
              <w:t>1.</w:t>
            </w:r>
            <w:r>
              <w:rPr>
                <w:rFonts w:hint="eastAsia" w:ascii="宋体" w:hAnsi="宋体"/>
                <w:kern w:val="0"/>
                <w:highlight w:val="none"/>
              </w:rPr>
              <w:t>根据供应商提供的重大项目（政策）绩效评估报告质量综合打分</w:t>
            </w:r>
            <w:r>
              <w:rPr>
                <w:rFonts w:hint="eastAsia" w:ascii="宋体" w:hAnsi="宋体" w:cs="宋体"/>
                <w:highlight w:val="none"/>
                <w:lang w:eastAsia="zh-CN"/>
              </w:rPr>
              <w:t>。</w:t>
            </w:r>
            <w:r>
              <w:rPr>
                <w:rFonts w:hint="eastAsia" w:ascii="宋体" w:hAnsi="宋体"/>
                <w:bCs/>
                <w:highlight w:val="none"/>
              </w:rPr>
              <w:t>（评分范围：</w:t>
            </w:r>
            <w:r>
              <w:rPr>
                <w:rFonts w:hint="eastAsia" w:ascii="宋体" w:hAnsi="宋体"/>
                <w:bCs/>
                <w:highlight w:val="none"/>
                <w:lang w:val="en-US" w:eastAsia="zh-CN"/>
              </w:rPr>
              <w:t>4，</w:t>
            </w:r>
            <w:r>
              <w:rPr>
                <w:rFonts w:hint="eastAsia" w:ascii="宋体" w:hAnsi="宋体"/>
                <w:bCs/>
                <w:highlight w:val="none"/>
              </w:rPr>
              <w:t>3，2，1，0）</w:t>
            </w:r>
          </w:p>
          <w:p>
            <w:pPr>
              <w:autoSpaceDE w:val="0"/>
              <w:autoSpaceDN w:val="0"/>
              <w:adjustRightInd w:val="0"/>
              <w:spacing w:line="360" w:lineRule="auto"/>
              <w:rPr>
                <w:rFonts w:hint="eastAsia" w:ascii="宋体" w:hAnsi="宋体"/>
                <w:bCs/>
                <w:highlight w:val="none"/>
              </w:rPr>
            </w:pPr>
            <w:r>
              <w:rPr>
                <w:rFonts w:hint="eastAsia" w:ascii="宋体" w:hAnsi="宋体"/>
                <w:kern w:val="0"/>
                <w:highlight w:val="none"/>
                <w:lang w:val="en-US" w:eastAsia="zh-CN"/>
              </w:rPr>
              <w:t>2.</w:t>
            </w:r>
            <w:r>
              <w:rPr>
                <w:rFonts w:hint="eastAsia" w:ascii="宋体" w:hAnsi="宋体"/>
                <w:kern w:val="0"/>
                <w:highlight w:val="none"/>
              </w:rPr>
              <w:t>根据供应商提供的项目（政策）监控和评价（再评价）报告质量综合打分</w:t>
            </w:r>
            <w:r>
              <w:rPr>
                <w:rFonts w:hint="eastAsia" w:ascii="宋体" w:hAnsi="宋体" w:cs="宋体"/>
                <w:highlight w:val="none"/>
                <w:lang w:eastAsia="zh-CN"/>
              </w:rPr>
              <w:t>。</w:t>
            </w:r>
            <w:r>
              <w:rPr>
                <w:rFonts w:hint="eastAsia" w:ascii="宋体" w:hAnsi="宋体"/>
                <w:bCs/>
                <w:highlight w:val="none"/>
              </w:rPr>
              <w:t>（评分范围</w:t>
            </w:r>
            <w:r>
              <w:rPr>
                <w:rFonts w:hint="eastAsia" w:ascii="宋体" w:hAnsi="宋体"/>
                <w:bCs/>
                <w:highlight w:val="none"/>
                <w:lang w:val="en-US" w:eastAsia="zh-CN"/>
              </w:rPr>
              <w:t>,4，</w:t>
            </w:r>
            <w:r>
              <w:rPr>
                <w:rFonts w:hint="eastAsia" w:ascii="宋体" w:hAnsi="宋体"/>
                <w:bCs/>
                <w:highlight w:val="none"/>
              </w:rPr>
              <w:t>3，2，1，0）</w:t>
            </w:r>
          </w:p>
          <w:p>
            <w:pPr>
              <w:autoSpaceDE w:val="0"/>
              <w:autoSpaceDN w:val="0"/>
              <w:adjustRightInd w:val="0"/>
              <w:spacing w:line="360" w:lineRule="auto"/>
              <w:rPr>
                <w:rFonts w:ascii="宋体" w:hAnsi="宋体"/>
                <w:kern w:val="0"/>
                <w:highlight w:val="none"/>
              </w:rPr>
            </w:pPr>
            <w:r>
              <w:rPr>
                <w:rFonts w:hint="eastAsia" w:ascii="宋体" w:hAnsi="宋体"/>
                <w:kern w:val="0"/>
                <w:highlight w:val="none"/>
                <w:lang w:val="en-US" w:eastAsia="zh-CN"/>
              </w:rPr>
              <w:t>3.</w:t>
            </w:r>
            <w:r>
              <w:rPr>
                <w:rFonts w:hint="eastAsia" w:ascii="宋体" w:hAnsi="宋体"/>
                <w:kern w:val="0"/>
                <w:highlight w:val="none"/>
              </w:rPr>
              <w:t>根据供应商提供的绩效目标审核（绩效目标实质性审查）报告质量综合打分</w:t>
            </w:r>
            <w:r>
              <w:rPr>
                <w:rFonts w:hint="eastAsia" w:ascii="宋体" w:hAnsi="宋体" w:cs="宋体"/>
                <w:highlight w:val="none"/>
                <w:lang w:eastAsia="zh-CN"/>
              </w:rPr>
              <w:t>。</w:t>
            </w:r>
            <w:r>
              <w:rPr>
                <w:rFonts w:hint="eastAsia" w:ascii="宋体" w:hAnsi="宋体"/>
                <w:bCs/>
                <w:highlight w:val="none"/>
              </w:rPr>
              <w:t>（评分范围：</w:t>
            </w:r>
            <w:r>
              <w:rPr>
                <w:rFonts w:hint="eastAsia" w:ascii="宋体" w:hAnsi="宋体"/>
                <w:bCs/>
                <w:highlight w:val="none"/>
                <w:lang w:val="en-US" w:eastAsia="zh-CN"/>
              </w:rPr>
              <w:t>4，</w:t>
            </w:r>
            <w:r>
              <w:rPr>
                <w:rFonts w:hint="eastAsia" w:ascii="宋体" w:hAnsi="宋体"/>
                <w:bCs/>
                <w:highlight w:val="none"/>
              </w:rPr>
              <w:t>3，2，1，0）</w:t>
            </w:r>
          </w:p>
          <w:p>
            <w:pPr>
              <w:spacing w:line="360" w:lineRule="auto"/>
              <w:jc w:val="left"/>
              <w:rPr>
                <w:rFonts w:ascii="宋体" w:hAnsi="宋体"/>
                <w:kern w:val="0"/>
                <w:highlight w:val="none"/>
              </w:rPr>
            </w:pPr>
            <w:r>
              <w:rPr>
                <w:rFonts w:hint="eastAsia" w:ascii="宋体" w:hAnsi="宋体"/>
                <w:kern w:val="0"/>
                <w:highlight w:val="none"/>
                <w:lang w:val="en-US" w:eastAsia="zh-CN"/>
              </w:rPr>
              <w:t>4.</w:t>
            </w:r>
            <w:r>
              <w:rPr>
                <w:rFonts w:hint="eastAsia" w:ascii="宋体" w:hAnsi="宋体"/>
                <w:kern w:val="0"/>
                <w:highlight w:val="none"/>
              </w:rPr>
              <w:t>根据供应商提供的部门整体预算绩效评价咨询服务报告质量综合打分</w:t>
            </w:r>
            <w:r>
              <w:rPr>
                <w:rFonts w:hint="eastAsia" w:ascii="宋体" w:hAnsi="宋体" w:cs="宋体"/>
                <w:highlight w:val="none"/>
                <w:lang w:eastAsia="zh-CN"/>
              </w:rPr>
              <w:t>。</w:t>
            </w:r>
            <w:r>
              <w:rPr>
                <w:rFonts w:hint="eastAsia" w:ascii="宋体" w:hAnsi="宋体"/>
                <w:bCs/>
                <w:highlight w:val="none"/>
              </w:rPr>
              <w:t>（评分范围</w:t>
            </w:r>
            <w:r>
              <w:rPr>
                <w:rFonts w:hint="eastAsia" w:ascii="宋体" w:hAnsi="宋体"/>
                <w:bCs/>
                <w:highlight w:val="none"/>
                <w:lang w:val="en-US" w:eastAsia="zh-CN"/>
              </w:rPr>
              <w:t>,4，</w:t>
            </w:r>
            <w:r>
              <w:rPr>
                <w:rFonts w:hint="eastAsia" w:ascii="宋体" w:hAnsi="宋体"/>
                <w:bCs/>
                <w:highlight w:val="none"/>
              </w:rPr>
              <w:t>3，2，1，0）</w:t>
            </w:r>
          </w:p>
          <w:p>
            <w:pPr>
              <w:spacing w:line="360" w:lineRule="auto"/>
              <w:jc w:val="left"/>
              <w:rPr>
                <w:rFonts w:hint="eastAsia" w:ascii="宋体" w:hAnsi="宋体"/>
                <w:kern w:val="0"/>
                <w:highlight w:val="none"/>
              </w:rPr>
            </w:pPr>
            <w:r>
              <w:rPr>
                <w:rFonts w:hint="eastAsia" w:ascii="宋体" w:hAnsi="宋体"/>
                <w:kern w:val="0"/>
                <w:highlight w:val="none"/>
                <w:lang w:val="en-US" w:eastAsia="zh-CN"/>
              </w:rPr>
              <w:t>5.</w:t>
            </w:r>
            <w:r>
              <w:rPr>
                <w:rFonts w:hint="eastAsia" w:ascii="宋体" w:hAnsi="宋体"/>
                <w:kern w:val="0"/>
                <w:highlight w:val="none"/>
              </w:rPr>
              <w:t>根据供应商提供的其他预算绩效评价咨询服务报告质量综合打分</w:t>
            </w:r>
            <w:r>
              <w:rPr>
                <w:rFonts w:hint="eastAsia" w:ascii="宋体" w:hAnsi="宋体"/>
                <w:kern w:val="0"/>
                <w:highlight w:val="none"/>
                <w:lang w:eastAsia="zh-CN"/>
              </w:rPr>
              <w:t>。</w:t>
            </w:r>
            <w:r>
              <w:rPr>
                <w:rFonts w:hint="eastAsia" w:ascii="宋体" w:hAnsi="宋体"/>
                <w:kern w:val="0"/>
                <w:highlight w:val="none"/>
              </w:rPr>
              <w:t>（评分范围</w:t>
            </w:r>
            <w:r>
              <w:rPr>
                <w:rFonts w:hint="eastAsia" w:ascii="宋体" w:hAnsi="宋体"/>
                <w:kern w:val="0"/>
                <w:highlight w:val="none"/>
                <w:lang w:val="en-US" w:eastAsia="zh-CN"/>
              </w:rPr>
              <w:t>,4，</w:t>
            </w:r>
            <w:r>
              <w:rPr>
                <w:rFonts w:hint="eastAsia" w:ascii="宋体" w:hAnsi="宋体"/>
                <w:kern w:val="0"/>
                <w:highlight w:val="none"/>
              </w:rPr>
              <w:t>3，2，1，0）</w:t>
            </w:r>
          </w:p>
          <w:p>
            <w:pPr>
              <w:spacing w:line="360" w:lineRule="auto"/>
              <w:jc w:val="left"/>
              <w:rPr>
                <w:rFonts w:ascii="宋体" w:hAnsi="宋体"/>
                <w:sz w:val="24"/>
                <w:highlight w:val="none"/>
              </w:rPr>
            </w:pPr>
            <w:r>
              <w:rPr>
                <w:rFonts w:hint="eastAsia" w:ascii="宋体" w:hAnsi="宋体"/>
                <w:kern w:val="0"/>
                <w:highlight w:val="none"/>
              </w:rPr>
              <w:t>注：供应商应当针对重大项目（政策）的绩效评估、项目（政策）监控和评价（再评价）、绩效目标审核（绩效目标实质性审查）</w:t>
            </w:r>
            <w:r>
              <w:rPr>
                <w:rFonts w:hint="eastAsia" w:ascii="宋体" w:hAnsi="宋体"/>
                <w:kern w:val="0"/>
                <w:highlight w:val="none"/>
                <w:lang w:eastAsia="zh-CN"/>
              </w:rPr>
              <w:t>、</w:t>
            </w:r>
            <w:r>
              <w:rPr>
                <w:rFonts w:hint="eastAsia" w:ascii="宋体" w:hAnsi="宋体"/>
                <w:kern w:val="0"/>
                <w:highlight w:val="none"/>
              </w:rPr>
              <w:t>部门整体预算绩效</w:t>
            </w:r>
            <w:r>
              <w:rPr>
                <w:rFonts w:hint="eastAsia" w:ascii="宋体" w:hAnsi="宋体"/>
                <w:kern w:val="0"/>
                <w:highlight w:val="none"/>
                <w:lang w:val="en-US" w:eastAsia="zh-CN"/>
              </w:rPr>
              <w:t>评价、</w:t>
            </w:r>
            <w:r>
              <w:rPr>
                <w:rFonts w:hint="eastAsia" w:ascii="宋体" w:hAnsi="宋体"/>
                <w:kern w:val="0"/>
                <w:highlight w:val="none"/>
              </w:rPr>
              <w:t>其他预算绩效评价等各提供一份预算绩效评价</w:t>
            </w:r>
            <w:r>
              <w:rPr>
                <w:rFonts w:hint="eastAsia" w:ascii="宋体" w:hAnsi="宋体"/>
                <w:color w:val="auto"/>
                <w:kern w:val="0"/>
                <w:sz w:val="24"/>
                <w:highlight w:val="none"/>
              </w:rPr>
              <w:t>咨询服务报告（具体单位、金额可抹去），主要包含问题与建议。提供多份的，仅第一份有效。不提供不得分。</w:t>
            </w:r>
          </w:p>
        </w:tc>
        <w:tc>
          <w:tcPr>
            <w:tcW w:w="493" w:type="pct"/>
            <w:noWrap/>
            <w:vAlign w:val="center"/>
          </w:tcPr>
          <w:p>
            <w:pPr>
              <w:spacing w:line="360" w:lineRule="auto"/>
              <w:jc w:val="center"/>
              <w:rPr>
                <w:rFonts w:hint="default" w:ascii="宋体" w:hAnsi="宋体" w:eastAsia="宋体"/>
                <w:kern w:val="0"/>
                <w:highlight w:val="none"/>
                <w:lang w:val="en-US" w:eastAsia="zh-CN"/>
              </w:rPr>
            </w:pPr>
            <w:r>
              <w:rPr>
                <w:rFonts w:hint="eastAsia" w:ascii="宋体" w:hAnsi="宋体"/>
                <w:kern w:val="0"/>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ign w:val="center"/>
          </w:tcPr>
          <w:p>
            <w:pPr>
              <w:widowControl/>
              <w:spacing w:line="360" w:lineRule="auto"/>
              <w:jc w:val="center"/>
              <w:textAlignment w:val="center"/>
              <w:rPr>
                <w:rFonts w:ascii="宋体" w:hAnsi="宋体"/>
                <w:color w:val="000000"/>
                <w:kern w:val="0"/>
                <w:highlight w:val="none"/>
              </w:rPr>
            </w:pPr>
            <w:r>
              <w:rPr>
                <w:rFonts w:hint="eastAsia" w:ascii="宋体" w:hAnsi="宋体"/>
                <w:color w:val="000000"/>
                <w:kern w:val="0"/>
                <w:highlight w:val="none"/>
              </w:rPr>
              <w:t>4</w:t>
            </w:r>
          </w:p>
        </w:tc>
        <w:tc>
          <w:tcPr>
            <w:tcW w:w="639" w:type="pct"/>
            <w:noWrap/>
            <w:vAlign w:val="center"/>
          </w:tcPr>
          <w:p>
            <w:pPr>
              <w:widowControl/>
              <w:spacing w:line="360" w:lineRule="auto"/>
              <w:jc w:val="center"/>
              <w:textAlignment w:val="center"/>
              <w:rPr>
                <w:rFonts w:ascii="宋体" w:hAnsi="宋体"/>
                <w:color w:val="000000"/>
                <w:kern w:val="0"/>
                <w:highlight w:val="none"/>
              </w:rPr>
            </w:pPr>
            <w:r>
              <w:rPr>
                <w:rFonts w:hint="eastAsia" w:ascii="宋体" w:hAnsi="宋体"/>
                <w:color w:val="000000"/>
                <w:kern w:val="0"/>
                <w:highlight w:val="none"/>
              </w:rPr>
              <w:t>预算绩效评价咨询服务制度</w:t>
            </w:r>
          </w:p>
        </w:tc>
        <w:tc>
          <w:tcPr>
            <w:tcW w:w="3450" w:type="pct"/>
            <w:noWrap/>
            <w:vAlign w:val="center"/>
          </w:tcPr>
          <w:p>
            <w:pPr>
              <w:autoSpaceDE w:val="0"/>
              <w:autoSpaceDN w:val="0"/>
              <w:adjustRightInd w:val="0"/>
              <w:spacing w:line="360" w:lineRule="auto"/>
              <w:rPr>
                <w:rFonts w:ascii="宋体" w:hAnsi="宋体"/>
                <w:kern w:val="0"/>
                <w:highlight w:val="none"/>
              </w:rPr>
            </w:pPr>
            <w:r>
              <w:rPr>
                <w:rFonts w:hint="eastAsia" w:ascii="宋体" w:hAnsi="宋体"/>
                <w:highlight w:val="none"/>
                <w:lang w:val="en-US" w:eastAsia="zh-CN"/>
              </w:rPr>
              <w:t>1.</w:t>
            </w:r>
            <w:r>
              <w:rPr>
                <w:rFonts w:hint="eastAsia" w:ascii="宋体" w:hAnsi="宋体"/>
                <w:kern w:val="0"/>
                <w:highlight w:val="none"/>
              </w:rPr>
              <w:t>根据供应商提供的预算绩效评价咨询服务工作制度，对财政预算绩效评价咨询服务政策的理解和掌握进行综合打分</w:t>
            </w:r>
            <w:r>
              <w:rPr>
                <w:rFonts w:hint="eastAsia" w:ascii="宋体" w:hAnsi="宋体"/>
                <w:kern w:val="0"/>
                <w:highlight w:val="none"/>
                <w:lang w:eastAsia="zh-CN"/>
              </w:rPr>
              <w:t>。</w:t>
            </w:r>
            <w:r>
              <w:rPr>
                <w:rFonts w:hint="eastAsia" w:ascii="宋体" w:hAnsi="宋体"/>
                <w:bCs/>
                <w:highlight w:val="none"/>
              </w:rPr>
              <w:t>（评分范围：</w:t>
            </w:r>
            <w:r>
              <w:rPr>
                <w:rFonts w:hint="eastAsia" w:ascii="宋体" w:hAnsi="宋体"/>
                <w:bCs/>
                <w:highlight w:val="none"/>
                <w:lang w:val="en-US" w:eastAsia="zh-CN"/>
              </w:rPr>
              <w:t>6，5，4，</w:t>
            </w:r>
            <w:r>
              <w:rPr>
                <w:rFonts w:hint="eastAsia" w:ascii="宋体" w:hAnsi="宋体"/>
                <w:bCs/>
                <w:highlight w:val="none"/>
              </w:rPr>
              <w:t>3，2，1，0）</w:t>
            </w:r>
          </w:p>
          <w:p>
            <w:pPr>
              <w:autoSpaceDE w:val="0"/>
              <w:autoSpaceDN w:val="0"/>
              <w:adjustRightInd w:val="0"/>
              <w:spacing w:line="360" w:lineRule="auto"/>
              <w:rPr>
                <w:rFonts w:ascii="宋体" w:hAnsi="宋体"/>
                <w:kern w:val="0"/>
                <w:highlight w:val="none"/>
              </w:rPr>
            </w:pPr>
            <w:r>
              <w:rPr>
                <w:rFonts w:hint="eastAsia" w:ascii="宋体" w:hAnsi="宋体"/>
                <w:kern w:val="0"/>
                <w:highlight w:val="none"/>
                <w:lang w:val="en-US" w:eastAsia="zh-CN"/>
              </w:rPr>
              <w:t>2.</w:t>
            </w:r>
            <w:r>
              <w:rPr>
                <w:rFonts w:hint="eastAsia" w:ascii="宋体" w:hAnsi="宋体"/>
                <w:kern w:val="0"/>
                <w:highlight w:val="none"/>
              </w:rPr>
              <w:t>根据供应商提供的预算绩效评价咨询服务工作制度，对预算绩效评价咨询服务的定位、目标、标准进行综合打分</w:t>
            </w:r>
            <w:r>
              <w:rPr>
                <w:rFonts w:hint="eastAsia" w:ascii="宋体" w:hAnsi="宋体"/>
                <w:kern w:val="0"/>
                <w:highlight w:val="none"/>
                <w:lang w:eastAsia="zh-CN"/>
              </w:rPr>
              <w:t>。</w:t>
            </w:r>
            <w:r>
              <w:rPr>
                <w:rFonts w:hint="eastAsia" w:ascii="宋体" w:hAnsi="宋体"/>
                <w:bCs/>
                <w:highlight w:val="none"/>
              </w:rPr>
              <w:t>（评分范围</w:t>
            </w:r>
            <w:r>
              <w:rPr>
                <w:rFonts w:hint="eastAsia" w:ascii="宋体" w:hAnsi="宋体"/>
                <w:bCs/>
                <w:highlight w:val="none"/>
                <w:lang w:val="en-US" w:eastAsia="zh-CN"/>
              </w:rPr>
              <w:t>：6，5，4，</w:t>
            </w:r>
            <w:r>
              <w:rPr>
                <w:rFonts w:hint="eastAsia" w:ascii="宋体" w:hAnsi="宋体"/>
                <w:bCs/>
                <w:highlight w:val="none"/>
              </w:rPr>
              <w:t>3，2，1，0）</w:t>
            </w:r>
          </w:p>
          <w:p>
            <w:pPr>
              <w:autoSpaceDE w:val="0"/>
              <w:autoSpaceDN w:val="0"/>
              <w:adjustRightInd w:val="0"/>
              <w:spacing w:line="360" w:lineRule="auto"/>
              <w:rPr>
                <w:rFonts w:ascii="宋体" w:hAnsi="宋体"/>
                <w:kern w:val="0"/>
                <w:highlight w:val="none"/>
              </w:rPr>
            </w:pPr>
            <w:r>
              <w:rPr>
                <w:rFonts w:hint="eastAsia" w:ascii="宋体" w:hAnsi="宋体"/>
                <w:kern w:val="0"/>
                <w:highlight w:val="none"/>
                <w:lang w:val="en-US" w:eastAsia="zh-CN"/>
              </w:rPr>
              <w:t>3.</w:t>
            </w:r>
            <w:r>
              <w:rPr>
                <w:rFonts w:hint="eastAsia" w:ascii="宋体" w:hAnsi="宋体"/>
                <w:kern w:val="0"/>
                <w:highlight w:val="none"/>
              </w:rPr>
              <w:t>对供应商提供的预算绩效评价咨询服务应急预案，进行综合打分</w:t>
            </w:r>
            <w:r>
              <w:rPr>
                <w:rFonts w:hint="eastAsia" w:ascii="宋体" w:hAnsi="宋体"/>
                <w:kern w:val="0"/>
                <w:highlight w:val="none"/>
                <w:lang w:eastAsia="zh-CN"/>
              </w:rPr>
              <w:t>。</w:t>
            </w:r>
            <w:r>
              <w:rPr>
                <w:rFonts w:hint="eastAsia" w:ascii="宋体" w:hAnsi="宋体"/>
                <w:bCs/>
                <w:highlight w:val="none"/>
              </w:rPr>
              <w:t>（评分范围：</w:t>
            </w:r>
            <w:r>
              <w:rPr>
                <w:rFonts w:hint="eastAsia" w:ascii="宋体" w:hAnsi="宋体"/>
                <w:bCs/>
                <w:highlight w:val="none"/>
                <w:lang w:val="en-US" w:eastAsia="zh-CN"/>
              </w:rPr>
              <w:t>5，4，</w:t>
            </w:r>
            <w:r>
              <w:rPr>
                <w:rFonts w:hint="eastAsia" w:ascii="宋体" w:hAnsi="宋体"/>
                <w:bCs/>
                <w:highlight w:val="none"/>
              </w:rPr>
              <w:t>3，2，1，0）</w:t>
            </w:r>
          </w:p>
        </w:tc>
        <w:tc>
          <w:tcPr>
            <w:tcW w:w="493" w:type="pct"/>
            <w:noWrap/>
            <w:vAlign w:val="center"/>
          </w:tcPr>
          <w:p>
            <w:pPr>
              <w:spacing w:line="360" w:lineRule="auto"/>
              <w:jc w:val="center"/>
              <w:rPr>
                <w:rFonts w:hint="default" w:ascii="宋体" w:hAnsi="宋体" w:eastAsia="宋体"/>
                <w:kern w:val="0"/>
                <w:highlight w:val="none"/>
                <w:lang w:val="en-US" w:eastAsia="zh-CN"/>
              </w:rPr>
            </w:pPr>
            <w:r>
              <w:rPr>
                <w:rFonts w:hint="eastAsia" w:ascii="宋体" w:hAnsi="宋体"/>
                <w:kern w:val="0"/>
                <w:highlight w:val="no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ign w:val="center"/>
          </w:tcPr>
          <w:p>
            <w:pPr>
              <w:widowControl/>
              <w:spacing w:line="360" w:lineRule="auto"/>
              <w:jc w:val="center"/>
              <w:textAlignment w:val="center"/>
              <w:rPr>
                <w:rFonts w:ascii="宋体" w:hAnsi="宋体"/>
                <w:color w:val="000000"/>
                <w:kern w:val="0"/>
                <w:highlight w:val="none"/>
              </w:rPr>
            </w:pPr>
            <w:r>
              <w:rPr>
                <w:rFonts w:hint="eastAsia" w:ascii="宋体" w:hAnsi="宋体"/>
                <w:color w:val="000000"/>
                <w:kern w:val="0"/>
                <w:highlight w:val="none"/>
              </w:rPr>
              <w:t>5</w:t>
            </w:r>
          </w:p>
        </w:tc>
        <w:tc>
          <w:tcPr>
            <w:tcW w:w="639" w:type="pct"/>
            <w:noWrap/>
            <w:vAlign w:val="center"/>
          </w:tcPr>
          <w:p>
            <w:pPr>
              <w:spacing w:line="360" w:lineRule="auto"/>
              <w:jc w:val="left"/>
              <w:rPr>
                <w:rFonts w:hint="default" w:ascii="宋体" w:hAnsi="宋体" w:eastAsia="宋体"/>
                <w:highlight w:val="none"/>
                <w:lang w:val="en-US" w:eastAsia="zh-CN"/>
              </w:rPr>
            </w:pPr>
            <w:r>
              <w:rPr>
                <w:rFonts w:hint="eastAsia" w:ascii="宋体" w:hAnsi="宋体"/>
                <w:kern w:val="0"/>
                <w:highlight w:val="none"/>
                <w:lang w:val="en-US" w:eastAsia="zh-CN"/>
              </w:rPr>
              <w:t>用户评价</w:t>
            </w:r>
          </w:p>
        </w:tc>
        <w:tc>
          <w:tcPr>
            <w:tcW w:w="3450" w:type="pct"/>
            <w:noWrap/>
            <w:vAlign w:val="center"/>
          </w:tcPr>
          <w:p>
            <w:pPr>
              <w:pStyle w:val="17"/>
              <w:spacing w:before="0" w:beforeAutospacing="0" w:after="0" w:afterAutospacing="0" w:line="360" w:lineRule="auto"/>
              <w:rPr>
                <w:rFonts w:cs="宋体"/>
                <w:highlight w:val="none"/>
              </w:rPr>
            </w:pPr>
            <w:r>
              <w:rPr>
                <w:rFonts w:hint="eastAsia" w:cs="宋体"/>
                <w:spacing w:val="-4"/>
                <w:highlight w:val="none"/>
              </w:rPr>
              <w:t>供应商提供</w:t>
            </w:r>
            <w:r>
              <w:rPr>
                <w:rFonts w:hint="eastAsia" w:cs="宋体"/>
                <w:highlight w:val="none"/>
              </w:rPr>
              <w:t>响应截止时间前三年</w:t>
            </w:r>
            <w:r>
              <w:rPr>
                <w:rFonts w:hint="eastAsia" w:cs="宋体"/>
                <w:spacing w:val="-4"/>
                <w:highlight w:val="none"/>
              </w:rPr>
              <w:t>预算绩效评价咨询服务委托方（行政事业单位）对其服务质量的用户评价</w:t>
            </w:r>
            <w:r>
              <w:rPr>
                <w:rFonts w:hint="eastAsia" w:cs="宋体"/>
                <w:spacing w:val="-4"/>
                <w:highlight w:val="none"/>
                <w:lang w:val="en-US" w:eastAsia="zh-CN"/>
              </w:rPr>
              <w:t>或验收意见</w:t>
            </w:r>
            <w:r>
              <w:rPr>
                <w:rFonts w:hint="eastAsia" w:cs="宋体"/>
                <w:spacing w:val="-4"/>
                <w:highlight w:val="none"/>
              </w:rPr>
              <w:t>，用户评价结果</w:t>
            </w:r>
            <w:r>
              <w:rPr>
                <w:rFonts w:hint="eastAsia" w:cs="宋体"/>
                <w:spacing w:val="-4"/>
                <w:highlight w:val="none"/>
                <w:lang w:val="en-US" w:eastAsia="zh-CN"/>
              </w:rPr>
              <w:t>或验收意见</w:t>
            </w:r>
            <w:r>
              <w:rPr>
                <w:rFonts w:hint="eastAsia" w:cs="宋体"/>
                <w:spacing w:val="-4"/>
                <w:highlight w:val="none"/>
              </w:rPr>
              <w:t>为满意或者优秀的，每提供一份得2分，最高得</w:t>
            </w:r>
            <w:r>
              <w:rPr>
                <w:rFonts w:hint="eastAsia" w:cs="宋体"/>
                <w:spacing w:val="-4"/>
                <w:highlight w:val="none"/>
                <w:lang w:val="en-US" w:eastAsia="zh-CN"/>
              </w:rPr>
              <w:t>10</w:t>
            </w:r>
            <w:r>
              <w:rPr>
                <w:rFonts w:hint="eastAsia" w:cs="宋体"/>
                <w:spacing w:val="-4"/>
                <w:highlight w:val="none"/>
              </w:rPr>
              <w:t>分。</w:t>
            </w:r>
          </w:p>
        </w:tc>
        <w:tc>
          <w:tcPr>
            <w:tcW w:w="493" w:type="pct"/>
            <w:noWrap/>
            <w:vAlign w:val="center"/>
          </w:tcPr>
          <w:p>
            <w:pPr>
              <w:widowControl/>
              <w:spacing w:line="360" w:lineRule="auto"/>
              <w:jc w:val="center"/>
              <w:textAlignment w:val="center"/>
              <w:rPr>
                <w:rFonts w:hint="default" w:ascii="宋体" w:hAnsi="宋体" w:eastAsia="宋体"/>
                <w:kern w:val="0"/>
                <w:highlight w:val="none"/>
                <w:lang w:val="en-US" w:eastAsia="zh-CN"/>
              </w:rPr>
            </w:pPr>
            <w:r>
              <w:rPr>
                <w:rFonts w:hint="eastAsia" w:ascii="宋体" w:hAnsi="宋体"/>
                <w:kern w:val="0"/>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ign w:val="center"/>
          </w:tcPr>
          <w:p>
            <w:pPr>
              <w:widowControl/>
              <w:spacing w:line="360" w:lineRule="auto"/>
              <w:jc w:val="center"/>
              <w:textAlignment w:val="center"/>
              <w:rPr>
                <w:rFonts w:ascii="宋体" w:hAnsi="宋体"/>
                <w:color w:val="000000"/>
                <w:kern w:val="0"/>
                <w:highlight w:val="none"/>
              </w:rPr>
            </w:pPr>
            <w:r>
              <w:rPr>
                <w:rFonts w:hint="eastAsia" w:ascii="宋体" w:hAnsi="宋体"/>
                <w:color w:val="000000"/>
                <w:kern w:val="0"/>
                <w:highlight w:val="none"/>
              </w:rPr>
              <w:t>6</w:t>
            </w:r>
          </w:p>
        </w:tc>
        <w:tc>
          <w:tcPr>
            <w:tcW w:w="639" w:type="pct"/>
            <w:noWrap/>
            <w:vAlign w:val="center"/>
          </w:tcPr>
          <w:p>
            <w:pPr>
              <w:spacing w:line="360" w:lineRule="auto"/>
              <w:jc w:val="left"/>
              <w:rPr>
                <w:rFonts w:ascii="宋体" w:hAnsi="宋体"/>
                <w:highlight w:val="none"/>
              </w:rPr>
            </w:pPr>
            <w:r>
              <w:rPr>
                <w:rFonts w:hint="eastAsia" w:ascii="宋体" w:hAnsi="宋体"/>
                <w:highlight w:val="none"/>
              </w:rPr>
              <w:t>承诺分</w:t>
            </w:r>
          </w:p>
        </w:tc>
        <w:tc>
          <w:tcPr>
            <w:tcW w:w="3450" w:type="pct"/>
            <w:noWrap/>
            <w:vAlign w:val="center"/>
          </w:tcPr>
          <w:p>
            <w:pPr>
              <w:spacing w:line="360" w:lineRule="auto"/>
              <w:jc w:val="left"/>
              <w:rPr>
                <w:rFonts w:ascii="宋体" w:hAnsi="宋体"/>
                <w:highlight w:val="none"/>
              </w:rPr>
            </w:pPr>
            <w:r>
              <w:rPr>
                <w:rFonts w:hint="eastAsia" w:ascii="宋体" w:hAnsi="宋体"/>
                <w:highlight w:val="none"/>
              </w:rPr>
              <w:t>供应商承诺：按采购人规定时间要求完成评价报告，响应时提供承诺函，承诺格式自拟。提供得</w:t>
            </w:r>
            <w:r>
              <w:rPr>
                <w:rFonts w:hint="eastAsia" w:ascii="宋体" w:hAnsi="宋体"/>
                <w:highlight w:val="none"/>
                <w:lang w:val="en-US" w:eastAsia="zh-CN"/>
              </w:rPr>
              <w:t>5</w:t>
            </w:r>
            <w:r>
              <w:rPr>
                <w:rFonts w:hint="eastAsia" w:ascii="宋体" w:hAnsi="宋体"/>
                <w:highlight w:val="none"/>
              </w:rPr>
              <w:t>分，不提供不得分。</w:t>
            </w:r>
          </w:p>
        </w:tc>
        <w:tc>
          <w:tcPr>
            <w:tcW w:w="493" w:type="pct"/>
            <w:noWrap/>
            <w:vAlign w:val="center"/>
          </w:tcPr>
          <w:p>
            <w:pPr>
              <w:widowControl/>
              <w:spacing w:line="360" w:lineRule="auto"/>
              <w:jc w:val="center"/>
              <w:textAlignment w:val="center"/>
              <w:rPr>
                <w:rFonts w:hint="eastAsia" w:ascii="宋体" w:hAnsi="宋体" w:eastAsia="宋体"/>
                <w:kern w:val="0"/>
                <w:highlight w:val="none"/>
                <w:lang w:eastAsia="zh-CN"/>
              </w:rPr>
            </w:pPr>
            <w:r>
              <w:rPr>
                <w:rFonts w:hint="eastAsia" w:ascii="宋体" w:hAnsi="宋体"/>
                <w:kern w:val="0"/>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16" w:type="pct"/>
            <w:noWrap/>
            <w:vAlign w:val="center"/>
          </w:tcPr>
          <w:p>
            <w:pPr>
              <w:spacing w:line="360" w:lineRule="auto"/>
              <w:jc w:val="center"/>
              <w:rPr>
                <w:rFonts w:ascii="宋体" w:hAnsi="宋体"/>
                <w:highlight w:val="none"/>
              </w:rPr>
            </w:pPr>
            <w:r>
              <w:rPr>
                <w:rFonts w:hint="eastAsia" w:ascii="宋体" w:hAnsi="宋体"/>
                <w:highlight w:val="none"/>
              </w:rPr>
              <w:t>7</w:t>
            </w:r>
          </w:p>
        </w:tc>
        <w:tc>
          <w:tcPr>
            <w:tcW w:w="639" w:type="pct"/>
            <w:noWrap/>
            <w:vAlign w:val="center"/>
          </w:tcPr>
          <w:p>
            <w:pPr>
              <w:spacing w:line="360" w:lineRule="auto"/>
              <w:jc w:val="left"/>
              <w:rPr>
                <w:rFonts w:ascii="宋体" w:hAnsi="宋体"/>
                <w:kern w:val="0"/>
                <w:highlight w:val="none"/>
              </w:rPr>
            </w:pPr>
            <w:r>
              <w:rPr>
                <w:rFonts w:hint="eastAsia" w:ascii="宋体" w:hAnsi="宋体"/>
                <w:highlight w:val="none"/>
              </w:rPr>
              <w:t>廉政措施</w:t>
            </w:r>
          </w:p>
        </w:tc>
        <w:tc>
          <w:tcPr>
            <w:tcW w:w="3450" w:type="pct"/>
            <w:noWrap/>
            <w:vAlign w:val="center"/>
          </w:tcPr>
          <w:p>
            <w:pPr>
              <w:spacing w:line="360" w:lineRule="auto"/>
              <w:jc w:val="left"/>
              <w:rPr>
                <w:rFonts w:ascii="宋体" w:hAnsi="宋体"/>
                <w:kern w:val="0"/>
                <w:highlight w:val="none"/>
              </w:rPr>
            </w:pPr>
            <w:r>
              <w:rPr>
                <w:rFonts w:hint="eastAsia" w:ascii="宋体" w:hAnsi="宋体"/>
                <w:highlight w:val="none"/>
              </w:rPr>
              <w:t>对项目工作人员廉洁方面的控制及采取的措施</w:t>
            </w:r>
            <w:r>
              <w:rPr>
                <w:rFonts w:hint="eastAsia" w:ascii="宋体" w:hAnsi="宋体"/>
                <w:highlight w:val="none"/>
                <w:lang w:eastAsia="zh-CN"/>
              </w:rPr>
              <w:t>。</w:t>
            </w:r>
            <w:r>
              <w:rPr>
                <w:rFonts w:hint="eastAsia" w:ascii="宋体" w:hAnsi="宋体"/>
                <w:bCs/>
                <w:highlight w:val="none"/>
              </w:rPr>
              <w:t>（评分范围：</w:t>
            </w:r>
            <w:r>
              <w:rPr>
                <w:rFonts w:hint="eastAsia" w:ascii="宋体" w:hAnsi="宋体"/>
                <w:bCs/>
                <w:highlight w:val="none"/>
                <w:lang w:val="en-US" w:eastAsia="zh-CN"/>
              </w:rPr>
              <w:t>5，4，</w:t>
            </w:r>
            <w:r>
              <w:rPr>
                <w:rFonts w:hint="eastAsia" w:ascii="宋体" w:hAnsi="宋体"/>
                <w:bCs/>
                <w:highlight w:val="none"/>
              </w:rPr>
              <w:t>3，2，1，0）</w:t>
            </w:r>
          </w:p>
        </w:tc>
        <w:tc>
          <w:tcPr>
            <w:tcW w:w="493" w:type="pct"/>
            <w:noWrap/>
            <w:vAlign w:val="center"/>
          </w:tcPr>
          <w:p>
            <w:pPr>
              <w:widowControl/>
              <w:spacing w:line="360" w:lineRule="auto"/>
              <w:jc w:val="center"/>
              <w:textAlignment w:val="center"/>
              <w:rPr>
                <w:rFonts w:hint="eastAsia" w:ascii="宋体" w:hAnsi="宋体" w:eastAsia="宋体"/>
                <w:kern w:val="0"/>
                <w:highlight w:val="none"/>
                <w:lang w:eastAsia="zh-CN"/>
              </w:rPr>
            </w:pPr>
            <w:r>
              <w:rPr>
                <w:rFonts w:hint="eastAsia" w:ascii="宋体" w:hAnsi="宋体"/>
                <w:kern w:val="0"/>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16" w:type="pct"/>
            <w:noWrap/>
            <w:vAlign w:val="center"/>
          </w:tcPr>
          <w:p>
            <w:pPr>
              <w:widowControl/>
              <w:spacing w:line="360" w:lineRule="auto"/>
              <w:jc w:val="center"/>
              <w:textAlignment w:val="center"/>
              <w:rPr>
                <w:rFonts w:ascii="宋体" w:hAnsi="宋体"/>
                <w:color w:val="000000"/>
                <w:kern w:val="0"/>
                <w:highlight w:val="none"/>
              </w:rPr>
            </w:pPr>
            <w:r>
              <w:rPr>
                <w:rFonts w:hint="eastAsia" w:ascii="宋体" w:hAnsi="宋体"/>
                <w:color w:val="000000"/>
                <w:kern w:val="0"/>
                <w:highlight w:val="none"/>
              </w:rPr>
              <w:t>8</w:t>
            </w:r>
          </w:p>
        </w:tc>
        <w:tc>
          <w:tcPr>
            <w:tcW w:w="639" w:type="pct"/>
            <w:noWrap/>
            <w:vAlign w:val="center"/>
          </w:tcPr>
          <w:p>
            <w:pPr>
              <w:spacing w:line="360" w:lineRule="auto"/>
              <w:jc w:val="left"/>
              <w:rPr>
                <w:rFonts w:ascii="宋体" w:hAnsi="宋体"/>
                <w:kern w:val="0"/>
                <w:highlight w:val="none"/>
              </w:rPr>
            </w:pPr>
            <w:r>
              <w:rPr>
                <w:rFonts w:hint="eastAsia" w:ascii="宋体" w:hAnsi="宋体"/>
                <w:kern w:val="0"/>
                <w:highlight w:val="none"/>
              </w:rPr>
              <w:t>保密承诺及制度</w:t>
            </w:r>
          </w:p>
        </w:tc>
        <w:tc>
          <w:tcPr>
            <w:tcW w:w="3450" w:type="pct"/>
            <w:noWrap/>
            <w:vAlign w:val="center"/>
          </w:tcPr>
          <w:p>
            <w:pPr>
              <w:spacing w:line="360" w:lineRule="auto"/>
              <w:jc w:val="left"/>
              <w:rPr>
                <w:rFonts w:ascii="宋体" w:hAnsi="宋体"/>
                <w:highlight w:val="none"/>
              </w:rPr>
            </w:pPr>
            <w:r>
              <w:rPr>
                <w:rFonts w:hint="eastAsia" w:ascii="宋体" w:hAnsi="宋体"/>
                <w:highlight w:val="none"/>
                <w:lang w:val="en-US" w:eastAsia="zh-CN"/>
              </w:rPr>
              <w:t>1.</w:t>
            </w:r>
            <w:r>
              <w:rPr>
                <w:rFonts w:hint="eastAsia" w:ascii="宋体" w:hAnsi="宋体"/>
                <w:highlight w:val="none"/>
              </w:rPr>
              <w:t>根据供应商提供的保密承诺（格式自拟），</w:t>
            </w:r>
            <w:r>
              <w:rPr>
                <w:rFonts w:hint="eastAsia" w:ascii="宋体" w:hAnsi="宋体"/>
                <w:highlight w:val="none"/>
                <w:lang w:eastAsia="zh-CN"/>
              </w:rPr>
              <w:t>提供</w:t>
            </w:r>
            <w:r>
              <w:rPr>
                <w:rFonts w:hint="eastAsia" w:ascii="宋体" w:hAnsi="宋体"/>
                <w:highlight w:val="none"/>
              </w:rPr>
              <w:t>得</w:t>
            </w:r>
            <w:r>
              <w:rPr>
                <w:rFonts w:hint="eastAsia" w:ascii="宋体" w:hAnsi="宋体"/>
                <w:highlight w:val="none"/>
                <w:lang w:val="en-US" w:eastAsia="zh-CN"/>
              </w:rPr>
              <w:t>5</w:t>
            </w:r>
            <w:r>
              <w:rPr>
                <w:rFonts w:hint="eastAsia" w:ascii="宋体" w:hAnsi="宋体"/>
                <w:highlight w:val="none"/>
              </w:rPr>
              <w:t>分，不提供不得分；</w:t>
            </w:r>
          </w:p>
          <w:p>
            <w:pPr>
              <w:spacing w:line="360" w:lineRule="auto"/>
              <w:jc w:val="left"/>
              <w:rPr>
                <w:rFonts w:ascii="宋体" w:hAnsi="宋体"/>
                <w:highlight w:val="none"/>
              </w:rPr>
            </w:pPr>
            <w:r>
              <w:rPr>
                <w:rFonts w:hint="eastAsia" w:ascii="宋体" w:hAnsi="宋体"/>
                <w:highlight w:val="none"/>
                <w:lang w:val="en-US" w:eastAsia="zh-CN"/>
              </w:rPr>
              <w:t>2.</w:t>
            </w:r>
            <w:r>
              <w:rPr>
                <w:rFonts w:hint="eastAsia" w:ascii="宋体" w:hAnsi="宋体"/>
                <w:highlight w:val="none"/>
              </w:rPr>
              <w:t>根据供应商针对本项目制订保密制度进行评审</w:t>
            </w:r>
            <w:r>
              <w:rPr>
                <w:rFonts w:hint="eastAsia" w:ascii="宋体" w:hAnsi="宋体"/>
                <w:highlight w:val="none"/>
                <w:lang w:eastAsia="zh-CN"/>
              </w:rPr>
              <w:t>。</w:t>
            </w:r>
            <w:r>
              <w:rPr>
                <w:rFonts w:hint="eastAsia" w:ascii="宋体" w:hAnsi="宋体"/>
                <w:bCs/>
                <w:highlight w:val="none"/>
              </w:rPr>
              <w:t>（评分范围：</w:t>
            </w:r>
            <w:r>
              <w:rPr>
                <w:rFonts w:hint="eastAsia" w:ascii="宋体" w:hAnsi="宋体"/>
                <w:bCs/>
                <w:highlight w:val="none"/>
                <w:lang w:val="en-US" w:eastAsia="zh-CN"/>
              </w:rPr>
              <w:t>5，4，</w:t>
            </w:r>
            <w:r>
              <w:rPr>
                <w:rFonts w:hint="eastAsia" w:ascii="宋体" w:hAnsi="宋体"/>
                <w:bCs/>
                <w:highlight w:val="none"/>
              </w:rPr>
              <w:t>3，2，1，0）</w:t>
            </w:r>
          </w:p>
        </w:tc>
        <w:tc>
          <w:tcPr>
            <w:tcW w:w="493" w:type="pct"/>
            <w:noWrap/>
            <w:vAlign w:val="center"/>
          </w:tcPr>
          <w:p>
            <w:pPr>
              <w:widowControl/>
              <w:spacing w:line="360" w:lineRule="auto"/>
              <w:jc w:val="center"/>
              <w:textAlignment w:val="center"/>
              <w:rPr>
                <w:rFonts w:hint="default" w:ascii="宋体" w:hAnsi="宋体" w:eastAsia="宋体"/>
                <w:kern w:val="0"/>
                <w:highlight w:val="none"/>
                <w:lang w:val="en-US" w:eastAsia="zh-CN"/>
              </w:rPr>
            </w:pPr>
            <w:r>
              <w:rPr>
                <w:rFonts w:hint="eastAsia" w:ascii="宋体" w:hAnsi="宋体"/>
                <w:kern w:val="0"/>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000" w:type="pct"/>
            <w:gridSpan w:val="4"/>
            <w:noWrap/>
            <w:vAlign w:val="center"/>
          </w:tcPr>
          <w:p>
            <w:pPr>
              <w:spacing w:line="360" w:lineRule="auto"/>
              <w:jc w:val="center"/>
              <w:rPr>
                <w:rFonts w:ascii="宋体" w:hAnsi="宋体"/>
                <w:highlight w:val="none"/>
              </w:rPr>
            </w:pPr>
            <w:r>
              <w:rPr>
                <w:rFonts w:hint="eastAsia" w:ascii="宋体" w:hAnsi="宋体"/>
                <w:b/>
                <w:bCs/>
                <w:highlight w:val="none"/>
              </w:rPr>
              <w:t>商务资信及其他分（</w:t>
            </w:r>
            <w:r>
              <w:rPr>
                <w:rFonts w:hint="eastAsia" w:ascii="宋体" w:hAnsi="宋体"/>
                <w:b/>
                <w:bCs/>
                <w:highlight w:val="none"/>
                <w:lang w:val="en-US" w:eastAsia="zh-CN"/>
              </w:rPr>
              <w:t>6</w:t>
            </w:r>
            <w:r>
              <w:rPr>
                <w:rFonts w:hint="eastAsia" w:ascii="宋体" w:hAnsi="宋体"/>
                <w:b/>
                <w:bCs/>
                <w:highlight w:val="none"/>
              </w:rPr>
              <w:t>分</w:t>
            </w:r>
            <w:r>
              <w:rPr>
                <w:rFonts w:hint="eastAsia" w:ascii="宋体"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ign w:val="center"/>
          </w:tcPr>
          <w:p>
            <w:pPr>
              <w:autoSpaceDE w:val="0"/>
              <w:autoSpaceDN w:val="0"/>
              <w:adjustRightInd w:val="0"/>
              <w:spacing w:line="360" w:lineRule="auto"/>
              <w:jc w:val="center"/>
              <w:rPr>
                <w:rFonts w:hint="eastAsia" w:ascii="宋体" w:hAnsi="宋体" w:eastAsia="宋体"/>
                <w:highlight w:val="none"/>
                <w:lang w:eastAsia="zh-CN"/>
              </w:rPr>
            </w:pPr>
            <w:r>
              <w:rPr>
                <w:rFonts w:hint="eastAsia" w:ascii="宋体" w:hAnsi="宋体"/>
                <w:highlight w:val="none"/>
                <w:lang w:val="en-US" w:eastAsia="zh-CN"/>
              </w:rPr>
              <w:t>9</w:t>
            </w:r>
          </w:p>
        </w:tc>
        <w:tc>
          <w:tcPr>
            <w:tcW w:w="639" w:type="pct"/>
            <w:noWrap/>
            <w:vAlign w:val="center"/>
          </w:tcPr>
          <w:p>
            <w:pPr>
              <w:autoSpaceDE w:val="0"/>
              <w:autoSpaceDN w:val="0"/>
              <w:adjustRightInd w:val="0"/>
              <w:spacing w:line="360" w:lineRule="auto"/>
              <w:jc w:val="center"/>
              <w:rPr>
                <w:rFonts w:ascii="宋体" w:hAnsi="宋体"/>
                <w:highlight w:val="none"/>
              </w:rPr>
            </w:pPr>
            <w:r>
              <w:rPr>
                <w:rFonts w:hint="eastAsia" w:ascii="宋体" w:hAnsi="宋体"/>
                <w:highlight w:val="none"/>
              </w:rPr>
              <w:t>诚信</w:t>
            </w:r>
          </w:p>
        </w:tc>
        <w:tc>
          <w:tcPr>
            <w:tcW w:w="3450" w:type="pct"/>
            <w:noWrap/>
            <w:vAlign w:val="bottom"/>
          </w:tcPr>
          <w:p>
            <w:pPr>
              <w:autoSpaceDE w:val="0"/>
              <w:autoSpaceDN w:val="0"/>
              <w:adjustRightInd w:val="0"/>
              <w:spacing w:line="360" w:lineRule="auto"/>
              <w:rPr>
                <w:rFonts w:ascii="宋体" w:hAnsi="宋体"/>
                <w:highlight w:val="none"/>
              </w:rPr>
            </w:pPr>
            <w:r>
              <w:rPr>
                <w:rFonts w:hint="eastAsia" w:ascii="宋体" w:hAnsi="宋体"/>
                <w:kern w:val="0"/>
                <w:highlight w:val="none"/>
              </w:rPr>
              <w:t>凡在响应截止时间前三年受到行政处罚、行政处理(含通报)或记入不良行为的，此项得分为0；若无处罚、行政处理(含通报)或记入不良行为的得</w:t>
            </w:r>
            <w:r>
              <w:rPr>
                <w:rFonts w:hint="eastAsia" w:ascii="宋体" w:hAnsi="宋体"/>
                <w:kern w:val="0"/>
                <w:highlight w:val="none"/>
                <w:lang w:val="en-US" w:eastAsia="zh-CN"/>
              </w:rPr>
              <w:t>4</w:t>
            </w:r>
            <w:r>
              <w:rPr>
                <w:rFonts w:hint="eastAsia" w:ascii="宋体" w:hAnsi="宋体"/>
                <w:kern w:val="0"/>
                <w:highlight w:val="none"/>
              </w:rPr>
              <w:t>分(供应商自行提供承诺函，不提供承诺函的得0分，如有不良记录又虚假承诺的，一经发现将取消中标资格并报监管部门依法处理。）</w:t>
            </w:r>
          </w:p>
        </w:tc>
        <w:tc>
          <w:tcPr>
            <w:tcW w:w="493" w:type="pct"/>
            <w:noWrap/>
            <w:vAlign w:val="center"/>
          </w:tcPr>
          <w:p>
            <w:pPr>
              <w:autoSpaceDE w:val="0"/>
              <w:autoSpaceDN w:val="0"/>
              <w:adjustRightInd w:val="0"/>
              <w:spacing w:line="360" w:lineRule="auto"/>
              <w:jc w:val="center"/>
              <w:rPr>
                <w:rFonts w:hint="eastAsia" w:ascii="宋体" w:hAnsi="宋体" w:eastAsia="宋体"/>
                <w:highlight w:val="none"/>
                <w:lang w:eastAsia="zh-CN"/>
              </w:rPr>
            </w:pPr>
            <w:r>
              <w:rPr>
                <w:rFonts w:hint="eastAsia" w:ascii="宋体" w:hAnsi="宋体"/>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ign w:val="center"/>
          </w:tcPr>
          <w:p>
            <w:pPr>
              <w:widowControl/>
              <w:spacing w:line="360" w:lineRule="auto"/>
              <w:jc w:val="center"/>
              <w:textAlignment w:val="center"/>
              <w:rPr>
                <w:rFonts w:hint="default" w:ascii="宋体" w:hAnsi="宋体" w:eastAsia="宋体"/>
                <w:color w:val="000000"/>
                <w:kern w:val="0"/>
                <w:highlight w:val="none"/>
                <w:lang w:val="en-US" w:eastAsia="zh-CN"/>
              </w:rPr>
            </w:pPr>
            <w:r>
              <w:rPr>
                <w:rFonts w:hint="eastAsia" w:ascii="宋体" w:hAnsi="宋体"/>
                <w:color w:val="000000"/>
                <w:kern w:val="0"/>
                <w:highlight w:val="none"/>
                <w:lang w:val="en-US" w:eastAsia="zh-CN"/>
              </w:rPr>
              <w:t>10</w:t>
            </w:r>
          </w:p>
        </w:tc>
        <w:tc>
          <w:tcPr>
            <w:tcW w:w="639" w:type="pct"/>
            <w:noWrap/>
            <w:vAlign w:val="center"/>
          </w:tcPr>
          <w:p>
            <w:pPr>
              <w:widowControl/>
              <w:tabs>
                <w:tab w:val="left" w:pos="1027"/>
              </w:tabs>
              <w:spacing w:line="360" w:lineRule="auto"/>
              <w:jc w:val="center"/>
              <w:textAlignment w:val="center"/>
              <w:rPr>
                <w:rFonts w:ascii="宋体" w:hAnsi="宋体"/>
                <w:kern w:val="0"/>
                <w:highlight w:val="none"/>
              </w:rPr>
            </w:pPr>
            <w:r>
              <w:rPr>
                <w:rFonts w:hint="eastAsia" w:ascii="宋体" w:hAnsi="宋体"/>
                <w:kern w:val="0"/>
                <w:highlight w:val="none"/>
              </w:rPr>
              <w:t>荣誉</w:t>
            </w:r>
          </w:p>
        </w:tc>
        <w:tc>
          <w:tcPr>
            <w:tcW w:w="3450" w:type="pct"/>
            <w:noWrap/>
            <w:vAlign w:val="center"/>
          </w:tcPr>
          <w:p>
            <w:pPr>
              <w:widowControl/>
              <w:tabs>
                <w:tab w:val="left" w:pos="1027"/>
              </w:tabs>
              <w:spacing w:line="360" w:lineRule="auto"/>
              <w:jc w:val="left"/>
              <w:textAlignment w:val="center"/>
              <w:rPr>
                <w:rFonts w:ascii="宋体" w:hAnsi="宋体"/>
                <w:kern w:val="0"/>
                <w:highlight w:val="none"/>
              </w:rPr>
            </w:pPr>
            <w:r>
              <w:rPr>
                <w:rFonts w:hint="eastAsia" w:ascii="宋体" w:hAnsi="宋体"/>
                <w:kern w:val="0"/>
                <w:highlight w:val="none"/>
              </w:rPr>
              <w:t>供应商追溯响应截止时间前五年（以发证或发文日期为准）且有利于项目履约的，获县市级</w:t>
            </w:r>
            <w:r>
              <w:rPr>
                <w:rFonts w:hint="eastAsia" w:ascii="宋体" w:hAnsi="宋体"/>
                <w:kern w:val="0"/>
                <w:highlight w:val="none"/>
                <w:lang w:val="en-US" w:eastAsia="zh-CN"/>
              </w:rPr>
              <w:t>及</w:t>
            </w:r>
            <w:r>
              <w:rPr>
                <w:rFonts w:hint="eastAsia" w:ascii="宋体" w:hAnsi="宋体"/>
                <w:kern w:val="0"/>
                <w:highlight w:val="none"/>
              </w:rPr>
              <w:t>以上的单位或个人（下同）荣誉的，每个得</w:t>
            </w:r>
            <w:r>
              <w:rPr>
                <w:rFonts w:hint="eastAsia" w:ascii="宋体" w:hAnsi="宋体"/>
                <w:kern w:val="0"/>
                <w:highlight w:val="none"/>
                <w:lang w:val="en-US" w:eastAsia="zh-CN"/>
              </w:rPr>
              <w:t>2</w:t>
            </w:r>
            <w:r>
              <w:rPr>
                <w:rFonts w:hint="eastAsia" w:ascii="宋体" w:hAnsi="宋体"/>
                <w:kern w:val="0"/>
                <w:highlight w:val="none"/>
              </w:rPr>
              <w:t>分，此项最高得</w:t>
            </w:r>
            <w:r>
              <w:rPr>
                <w:rFonts w:hint="eastAsia" w:ascii="宋体" w:hAnsi="宋体"/>
                <w:kern w:val="0"/>
                <w:highlight w:val="none"/>
                <w:lang w:val="en-US" w:eastAsia="zh-CN"/>
              </w:rPr>
              <w:t>2</w:t>
            </w:r>
            <w:r>
              <w:rPr>
                <w:rFonts w:hint="eastAsia" w:ascii="宋体" w:hAnsi="宋体"/>
                <w:kern w:val="0"/>
                <w:highlight w:val="none"/>
              </w:rPr>
              <w:t>分（响应时提供相应证明材料，不提供不得分）。</w:t>
            </w:r>
          </w:p>
        </w:tc>
        <w:tc>
          <w:tcPr>
            <w:tcW w:w="493" w:type="pct"/>
            <w:noWrap/>
            <w:vAlign w:val="center"/>
          </w:tcPr>
          <w:p>
            <w:pPr>
              <w:widowControl/>
              <w:spacing w:line="360" w:lineRule="auto"/>
              <w:jc w:val="center"/>
              <w:textAlignment w:val="center"/>
              <w:rPr>
                <w:rFonts w:hint="eastAsia" w:ascii="宋体" w:hAnsi="宋体" w:eastAsia="宋体"/>
                <w:color w:val="000000"/>
                <w:kern w:val="0"/>
                <w:highlight w:val="none"/>
                <w:lang w:eastAsia="zh-CN"/>
              </w:rPr>
            </w:pPr>
            <w:r>
              <w:rPr>
                <w:rFonts w:hint="eastAsia" w:ascii="宋体" w:hAnsi="宋体"/>
                <w:color w:val="000000"/>
                <w:kern w:val="0"/>
                <w:highlight w:val="none"/>
                <w:lang w:val="en-US" w:eastAsia="zh-CN"/>
              </w:rPr>
              <w:t>2</w:t>
            </w:r>
          </w:p>
        </w:tc>
      </w:tr>
      <w:bookmarkEnd w:id="0"/>
      <w:bookmarkEnd w:id="1"/>
      <w:bookmarkEnd w:id="3"/>
      <w:bookmarkEnd w:id="33"/>
      <w:bookmarkEnd w:id="34"/>
      <w:bookmarkEnd w:id="35"/>
      <w:bookmarkEnd w:id="36"/>
    </w:tbl>
    <w:p>
      <w:pPr>
        <w:pStyle w:val="11"/>
        <w:ind w:firstLine="321"/>
        <w:jc w:val="center"/>
        <w:rPr>
          <w:rFonts w:hint="eastAsia" w:ascii="黑体" w:hAnsi="黑体" w:eastAsia="黑体" w:cs="黑体"/>
          <w:b/>
          <w:bCs/>
          <w:sz w:val="32"/>
          <w:szCs w:val="32"/>
          <w:highlight w:val="none"/>
        </w:rPr>
      </w:pPr>
      <w:bookmarkStart w:id="88" w:name="_Toc979480569"/>
      <w:bookmarkStart w:id="89" w:name="_Toc12032"/>
      <w:bookmarkStart w:id="90" w:name="_Toc455"/>
    </w:p>
    <w:p>
      <w:pPr>
        <w:pStyle w:val="11"/>
        <w:ind w:firstLine="321"/>
        <w:jc w:val="center"/>
        <w:rPr>
          <w:rFonts w:hint="eastAsia" w:ascii="黑体" w:hAnsi="黑体" w:eastAsia="黑体" w:cs="黑体"/>
          <w:b/>
          <w:bCs/>
          <w:sz w:val="32"/>
          <w:szCs w:val="32"/>
          <w:highlight w:val="none"/>
        </w:rPr>
      </w:pPr>
    </w:p>
    <w:p>
      <w:pPr>
        <w:pStyle w:val="11"/>
        <w:ind w:firstLine="321"/>
        <w:jc w:val="center"/>
        <w:rPr>
          <w:rFonts w:hint="eastAsia" w:ascii="黑体" w:hAnsi="黑体" w:eastAsia="黑体" w:cs="黑体"/>
          <w:b/>
          <w:bCs/>
          <w:sz w:val="32"/>
          <w:szCs w:val="32"/>
          <w:highlight w:val="none"/>
        </w:rPr>
      </w:pPr>
    </w:p>
    <w:p>
      <w:pPr>
        <w:pStyle w:val="11"/>
        <w:ind w:firstLine="321"/>
        <w:jc w:val="center"/>
        <w:rPr>
          <w:rFonts w:hint="eastAsia" w:ascii="黑体" w:hAnsi="黑体" w:eastAsia="黑体" w:cs="黑体"/>
          <w:b/>
          <w:bCs/>
          <w:sz w:val="32"/>
          <w:szCs w:val="32"/>
          <w:highlight w:val="none"/>
        </w:rPr>
      </w:pPr>
    </w:p>
    <w:p>
      <w:pPr>
        <w:pStyle w:val="11"/>
        <w:ind w:firstLine="321"/>
        <w:jc w:val="center"/>
        <w:rPr>
          <w:rFonts w:hint="eastAsia" w:ascii="黑体" w:hAnsi="黑体" w:eastAsia="黑体" w:cs="黑体"/>
          <w:b/>
          <w:bCs/>
          <w:sz w:val="32"/>
          <w:szCs w:val="32"/>
          <w:highlight w:val="none"/>
        </w:rPr>
      </w:pPr>
    </w:p>
    <w:p>
      <w:pPr>
        <w:pStyle w:val="11"/>
        <w:ind w:firstLine="321"/>
        <w:jc w:val="center"/>
        <w:rPr>
          <w:rFonts w:hint="eastAsia" w:ascii="黑体" w:hAnsi="黑体" w:eastAsia="黑体" w:cs="黑体"/>
          <w:b/>
          <w:bCs/>
          <w:sz w:val="32"/>
          <w:szCs w:val="32"/>
          <w:highlight w:val="none"/>
        </w:rPr>
      </w:pPr>
    </w:p>
    <w:p>
      <w:pPr>
        <w:pStyle w:val="11"/>
        <w:ind w:firstLine="321"/>
        <w:jc w:val="center"/>
        <w:rPr>
          <w:rFonts w:hint="eastAsia" w:ascii="黑体" w:hAnsi="黑体" w:eastAsia="黑体" w:cs="黑体"/>
          <w:b/>
          <w:bCs/>
          <w:sz w:val="32"/>
          <w:szCs w:val="32"/>
          <w:highlight w:val="none"/>
        </w:rPr>
      </w:pPr>
    </w:p>
    <w:p>
      <w:pPr>
        <w:pStyle w:val="11"/>
        <w:ind w:firstLine="321"/>
        <w:jc w:val="center"/>
        <w:rPr>
          <w:rFonts w:hint="eastAsia" w:ascii="黑体" w:hAnsi="黑体" w:eastAsia="黑体" w:cs="黑体"/>
          <w:b/>
          <w:bCs/>
          <w:sz w:val="32"/>
          <w:szCs w:val="32"/>
          <w:highlight w:val="none"/>
        </w:rPr>
      </w:pPr>
    </w:p>
    <w:p>
      <w:pPr>
        <w:pStyle w:val="11"/>
        <w:ind w:firstLine="321"/>
        <w:jc w:val="center"/>
        <w:rPr>
          <w:rFonts w:hint="eastAsia" w:ascii="黑体" w:hAnsi="黑体" w:eastAsia="黑体" w:cs="黑体"/>
          <w:b/>
          <w:bCs/>
          <w:sz w:val="32"/>
          <w:szCs w:val="32"/>
          <w:highlight w:val="none"/>
        </w:rPr>
      </w:pPr>
    </w:p>
    <w:p>
      <w:pPr>
        <w:pStyle w:val="11"/>
        <w:ind w:firstLine="321"/>
        <w:jc w:val="center"/>
        <w:rPr>
          <w:rFonts w:hint="eastAsia" w:ascii="黑体" w:hAnsi="黑体" w:eastAsia="黑体" w:cs="黑体"/>
          <w:b/>
          <w:bCs/>
          <w:sz w:val="32"/>
          <w:szCs w:val="32"/>
          <w:highlight w:val="none"/>
        </w:rPr>
      </w:pPr>
    </w:p>
    <w:p>
      <w:pPr>
        <w:pStyle w:val="11"/>
        <w:ind w:firstLine="321"/>
        <w:jc w:val="center"/>
        <w:rPr>
          <w:rFonts w:hint="eastAsia" w:ascii="黑体" w:hAnsi="黑体" w:eastAsia="黑体" w:cs="黑体"/>
          <w:b/>
          <w:bCs/>
          <w:sz w:val="32"/>
          <w:szCs w:val="32"/>
          <w:highlight w:val="none"/>
        </w:rPr>
      </w:pPr>
    </w:p>
    <w:p>
      <w:pPr>
        <w:pStyle w:val="11"/>
        <w:ind w:firstLine="321"/>
        <w:jc w:val="center"/>
        <w:rPr>
          <w:rFonts w:hint="eastAsia" w:ascii="黑体" w:hAnsi="黑体" w:eastAsia="黑体" w:cs="黑体"/>
          <w:b/>
          <w:bCs/>
          <w:sz w:val="32"/>
          <w:szCs w:val="32"/>
          <w:highlight w:val="none"/>
        </w:rPr>
      </w:pPr>
    </w:p>
    <w:p>
      <w:pPr>
        <w:pStyle w:val="11"/>
        <w:ind w:firstLine="321"/>
        <w:jc w:val="center"/>
        <w:rPr>
          <w:rFonts w:hint="eastAsia" w:ascii="黑体" w:hAnsi="黑体" w:eastAsia="黑体" w:cs="黑体"/>
          <w:b/>
          <w:bCs/>
          <w:sz w:val="32"/>
          <w:szCs w:val="32"/>
          <w:highlight w:val="none"/>
        </w:rPr>
      </w:pPr>
    </w:p>
    <w:p>
      <w:pPr>
        <w:pStyle w:val="11"/>
        <w:ind w:firstLine="321"/>
        <w:jc w:val="center"/>
        <w:rPr>
          <w:rFonts w:hint="eastAsia" w:ascii="黑体" w:hAnsi="黑体" w:eastAsia="黑体" w:cs="黑体"/>
          <w:b/>
          <w:bCs/>
          <w:sz w:val="32"/>
          <w:szCs w:val="32"/>
          <w:highlight w:val="none"/>
        </w:rPr>
      </w:pPr>
    </w:p>
    <w:p>
      <w:pPr>
        <w:pStyle w:val="11"/>
        <w:ind w:firstLine="321"/>
        <w:jc w:val="center"/>
        <w:rPr>
          <w:rFonts w:hint="eastAsia" w:ascii="黑体" w:hAnsi="黑体" w:eastAsia="黑体" w:cs="黑体"/>
          <w:b/>
          <w:bCs/>
          <w:sz w:val="32"/>
          <w:szCs w:val="32"/>
          <w:highlight w:val="none"/>
        </w:rPr>
      </w:pPr>
    </w:p>
    <w:p>
      <w:pPr>
        <w:pStyle w:val="11"/>
        <w:ind w:firstLine="321"/>
        <w:jc w:val="center"/>
        <w:rPr>
          <w:rFonts w:hint="eastAsia" w:ascii="黑体" w:hAnsi="黑体" w:eastAsia="黑体" w:cs="黑体"/>
          <w:b/>
          <w:bCs/>
          <w:sz w:val="32"/>
          <w:szCs w:val="32"/>
          <w:highlight w:val="none"/>
        </w:rPr>
      </w:pPr>
    </w:p>
    <w:p>
      <w:pPr>
        <w:rPr>
          <w:rFonts w:hint="eastAsia" w:ascii="黑体" w:hAnsi="黑体" w:eastAsia="黑体" w:cs="黑体"/>
          <w:b/>
          <w:bCs/>
          <w:sz w:val="32"/>
          <w:szCs w:val="32"/>
          <w:highlight w:val="none"/>
        </w:rPr>
      </w:pPr>
    </w:p>
    <w:p>
      <w:pPr>
        <w:pStyle w:val="11"/>
        <w:ind w:firstLine="321"/>
        <w:jc w:val="center"/>
        <w:rPr>
          <w:rFonts w:ascii="黑体" w:hAnsi="黑体" w:eastAsia="黑体" w:cs="黑体"/>
          <w:b/>
          <w:bCs/>
          <w:sz w:val="32"/>
          <w:szCs w:val="32"/>
          <w:highlight w:val="none"/>
        </w:rPr>
      </w:pPr>
      <w:r>
        <w:rPr>
          <w:rFonts w:hint="eastAsia" w:ascii="黑体" w:hAnsi="黑体" w:eastAsia="黑体" w:cs="黑体"/>
          <w:b/>
          <w:bCs/>
          <w:sz w:val="32"/>
          <w:szCs w:val="32"/>
          <w:highlight w:val="none"/>
        </w:rPr>
        <w:t>第五章  框架协议主要条款</w:t>
      </w:r>
      <w:bookmarkEnd w:id="88"/>
      <w:bookmarkEnd w:id="89"/>
      <w:bookmarkEnd w:id="90"/>
    </w:p>
    <w:p>
      <w:pPr>
        <w:pStyle w:val="2"/>
        <w:ind w:left="480" w:firstLine="928" w:firstLineChars="400"/>
        <w:rPr>
          <w:rFonts w:hAnsi="宋体" w:cs="宋体"/>
          <w:sz w:val="24"/>
          <w:highlight w:val="none"/>
        </w:rPr>
      </w:pPr>
      <w:r>
        <w:rPr>
          <w:rFonts w:hint="eastAsia" w:hAnsi="宋体" w:cs="宋体"/>
          <w:sz w:val="24"/>
          <w:highlight w:val="none"/>
        </w:rPr>
        <w:t>（此稿为框架协议样本，最终定稿待双方协商后商定）</w:t>
      </w:r>
    </w:p>
    <w:p>
      <w:pPr>
        <w:pStyle w:val="2"/>
        <w:ind w:left="480" w:firstLine="464"/>
        <w:rPr>
          <w:rFonts w:hAnsi="宋体" w:cs="宋体"/>
          <w:sz w:val="24"/>
          <w:highlight w:val="none"/>
        </w:rPr>
      </w:pPr>
    </w:p>
    <w:p>
      <w:pPr>
        <w:pStyle w:val="2"/>
        <w:spacing w:line="360" w:lineRule="auto"/>
        <w:ind w:left="-240" w:leftChars="-100" w:firstLine="482" w:firstLineChars="0"/>
        <w:rPr>
          <w:rFonts w:hint="eastAsia" w:hAnsi="宋体" w:eastAsia="宋体" w:cs="宋体"/>
          <w:sz w:val="24"/>
          <w:highlight w:val="none"/>
          <w:lang w:eastAsia="zh-CN"/>
        </w:rPr>
      </w:pPr>
      <w:r>
        <w:rPr>
          <w:rFonts w:hint="eastAsia" w:hAnsi="宋体" w:cs="宋体"/>
          <w:sz w:val="24"/>
          <w:highlight w:val="none"/>
        </w:rPr>
        <w:t>项目编号：</w:t>
      </w:r>
      <w:r>
        <w:rPr>
          <w:rFonts w:hint="eastAsia" w:hAnsi="宋体" w:cs="宋体"/>
          <w:sz w:val="24"/>
          <w:highlight w:val="none"/>
          <w:lang w:eastAsia="zh-CN"/>
        </w:rPr>
        <w:t>平政采招2025-04</w:t>
      </w:r>
    </w:p>
    <w:p>
      <w:pPr>
        <w:pStyle w:val="2"/>
        <w:spacing w:line="360" w:lineRule="auto"/>
        <w:ind w:left="-240" w:leftChars="-100" w:firstLine="482" w:firstLineChars="0"/>
        <w:rPr>
          <w:rFonts w:hAnsi="宋体" w:cs="宋体"/>
          <w:sz w:val="24"/>
          <w:highlight w:val="none"/>
        </w:rPr>
      </w:pPr>
      <w:r>
        <w:rPr>
          <w:rFonts w:hint="eastAsia" w:hAnsi="宋体" w:cs="宋体"/>
          <w:sz w:val="24"/>
          <w:highlight w:val="none"/>
        </w:rPr>
        <w:t>项目名称：</w:t>
      </w:r>
      <w:r>
        <w:rPr>
          <w:rFonts w:hint="eastAsia" w:hAnsi="宋体" w:cs="宋体"/>
          <w:sz w:val="24"/>
          <w:highlight w:val="none"/>
          <w:lang w:eastAsia="zh-CN"/>
        </w:rPr>
        <w:t>2025-2026年度平湖市预算绩效评价咨询服务框架协议</w:t>
      </w:r>
      <w:r>
        <w:rPr>
          <w:rFonts w:hint="eastAsia" w:hAnsi="宋体" w:cs="宋体"/>
          <w:sz w:val="24"/>
          <w:highlight w:val="none"/>
        </w:rPr>
        <w:t xml:space="preserve">            </w:t>
      </w:r>
    </w:p>
    <w:p>
      <w:pPr>
        <w:pStyle w:val="2"/>
        <w:spacing w:line="360" w:lineRule="auto"/>
        <w:ind w:left="-240" w:leftChars="-100" w:firstLine="482" w:firstLineChars="0"/>
        <w:rPr>
          <w:rFonts w:hAnsi="宋体" w:cs="宋体"/>
          <w:sz w:val="24"/>
          <w:highlight w:val="none"/>
        </w:rPr>
      </w:pPr>
      <w:r>
        <w:rPr>
          <w:rFonts w:hint="eastAsia" w:hAnsi="宋体" w:cs="宋体"/>
          <w:sz w:val="24"/>
          <w:highlight w:val="none"/>
        </w:rPr>
        <w:t>征集人（甲方）：平湖市公共资源交易中心</w:t>
      </w:r>
    </w:p>
    <w:p>
      <w:pPr>
        <w:pStyle w:val="2"/>
        <w:spacing w:line="360" w:lineRule="auto"/>
        <w:ind w:left="-240" w:leftChars="-100" w:firstLine="482" w:firstLineChars="0"/>
        <w:rPr>
          <w:rFonts w:hAnsi="宋体" w:cs="宋体"/>
          <w:sz w:val="24"/>
          <w:highlight w:val="none"/>
        </w:rPr>
      </w:pPr>
      <w:r>
        <w:rPr>
          <w:rFonts w:hint="eastAsia" w:hAnsi="宋体" w:cs="宋体"/>
          <w:sz w:val="24"/>
          <w:highlight w:val="none"/>
        </w:rPr>
        <w:t>供应商（乙方）：</w:t>
      </w:r>
    </w:p>
    <w:p>
      <w:pPr>
        <w:pStyle w:val="2"/>
        <w:spacing w:line="360" w:lineRule="auto"/>
        <w:ind w:left="-240" w:leftChars="-100" w:firstLine="482" w:firstLineChars="0"/>
        <w:rPr>
          <w:rFonts w:hAnsi="宋体" w:cs="宋体"/>
          <w:sz w:val="24"/>
          <w:highlight w:val="none"/>
        </w:rPr>
      </w:pPr>
      <w:r>
        <w:rPr>
          <w:rFonts w:hint="eastAsia" w:hAnsi="宋体" w:cs="宋体"/>
          <w:sz w:val="24"/>
          <w:highlight w:val="none"/>
        </w:rPr>
        <w:t>根据“</w:t>
      </w:r>
      <w:r>
        <w:rPr>
          <w:rFonts w:hint="eastAsia" w:hAnsi="宋体" w:cs="宋体"/>
          <w:sz w:val="24"/>
          <w:highlight w:val="none"/>
          <w:lang w:eastAsia="zh-CN"/>
        </w:rPr>
        <w:t>2025-2026年度平湖市预算绩效评价咨询服务框架协议</w:t>
      </w:r>
      <w:r>
        <w:rPr>
          <w:rFonts w:hint="eastAsia" w:hAnsi="宋体" w:cs="宋体"/>
          <w:sz w:val="24"/>
          <w:highlight w:val="none"/>
        </w:rPr>
        <w:t>”（项目编号：</w:t>
      </w:r>
      <w:r>
        <w:rPr>
          <w:rFonts w:hint="eastAsia" w:hAnsi="宋体" w:cs="宋体"/>
          <w:sz w:val="24"/>
          <w:highlight w:val="none"/>
          <w:lang w:eastAsia="zh-CN"/>
        </w:rPr>
        <w:t>平政采招2025-04</w:t>
      </w:r>
      <w:r>
        <w:rPr>
          <w:rFonts w:hint="eastAsia" w:hAnsi="宋体" w:cs="宋体"/>
          <w:sz w:val="24"/>
          <w:highlight w:val="none"/>
        </w:rPr>
        <w:t>）要求、审核结果和《中华人民共和国政府采购法》、《政府采购框架协议采购方式管理暂行办法》等相关法律法规要求，双方经协商，达成以下条款，签订本协议。</w:t>
      </w:r>
    </w:p>
    <w:p>
      <w:pPr>
        <w:pStyle w:val="2"/>
        <w:spacing w:line="360" w:lineRule="auto"/>
        <w:ind w:left="-240" w:leftChars="-100" w:firstLine="482" w:firstLineChars="0"/>
        <w:rPr>
          <w:rFonts w:hAnsi="宋体" w:cs="宋体"/>
          <w:b/>
          <w:bCs/>
          <w:sz w:val="24"/>
          <w:highlight w:val="none"/>
        </w:rPr>
      </w:pPr>
      <w:r>
        <w:rPr>
          <w:rFonts w:hint="eastAsia" w:hAnsi="宋体" w:cs="宋体"/>
          <w:b/>
          <w:bCs/>
          <w:sz w:val="24"/>
          <w:highlight w:val="none"/>
        </w:rPr>
        <w:t>1.定义</w:t>
      </w:r>
    </w:p>
    <w:p>
      <w:pPr>
        <w:pStyle w:val="2"/>
        <w:spacing w:line="360" w:lineRule="auto"/>
        <w:ind w:left="-240" w:leftChars="-100" w:firstLine="482" w:firstLineChars="0"/>
        <w:rPr>
          <w:rFonts w:hAnsi="宋体" w:cs="宋体"/>
          <w:sz w:val="24"/>
          <w:highlight w:val="none"/>
        </w:rPr>
      </w:pPr>
      <w:r>
        <w:rPr>
          <w:rFonts w:hint="eastAsia" w:hAnsi="宋体" w:cs="宋体"/>
          <w:sz w:val="24"/>
          <w:highlight w:val="none"/>
        </w:rPr>
        <w:t>本协议中的下列术语应解释为：</w:t>
      </w:r>
    </w:p>
    <w:p>
      <w:pPr>
        <w:pStyle w:val="2"/>
        <w:spacing w:line="360" w:lineRule="auto"/>
        <w:ind w:left="-240" w:leftChars="-100" w:firstLine="482" w:firstLineChars="0"/>
        <w:rPr>
          <w:rFonts w:hAnsi="宋体" w:cs="宋体"/>
          <w:sz w:val="24"/>
          <w:highlight w:val="none"/>
        </w:rPr>
      </w:pPr>
      <w:r>
        <w:rPr>
          <w:rFonts w:hint="eastAsia" w:hAnsi="宋体" w:cs="宋体"/>
          <w:sz w:val="24"/>
          <w:highlight w:val="none"/>
        </w:rPr>
        <w:t>1.1“协议”系指载明甲方与乙方协利义务的协议，包括所有的附件、附录和其他构成协议的所有文件。</w:t>
      </w:r>
    </w:p>
    <w:p>
      <w:pPr>
        <w:pStyle w:val="2"/>
        <w:spacing w:line="360" w:lineRule="auto"/>
        <w:ind w:left="-240" w:leftChars="-100" w:firstLine="482" w:firstLineChars="0"/>
        <w:rPr>
          <w:rFonts w:hAnsi="宋体" w:cs="宋体"/>
          <w:sz w:val="24"/>
          <w:highlight w:val="none"/>
        </w:rPr>
      </w:pPr>
      <w:r>
        <w:rPr>
          <w:rFonts w:hint="eastAsia" w:hAnsi="宋体" w:cs="宋体"/>
          <w:sz w:val="24"/>
          <w:highlight w:val="none"/>
        </w:rPr>
        <w:t>1.2“甲方”系指平湖市公共资源交易中心。甲方不作为协议一方具体参加合同的实际履行。在实际履行中由采购人与乙方另行签订政府采购预算绩效评价咨询服务合同。</w:t>
      </w:r>
    </w:p>
    <w:p>
      <w:pPr>
        <w:pStyle w:val="2"/>
        <w:spacing w:line="360" w:lineRule="auto"/>
        <w:ind w:left="-240" w:leftChars="-100" w:firstLine="482" w:firstLineChars="0"/>
        <w:rPr>
          <w:rFonts w:hAnsi="宋体" w:cs="宋体"/>
          <w:sz w:val="24"/>
          <w:highlight w:val="none"/>
        </w:rPr>
      </w:pPr>
      <w:r>
        <w:rPr>
          <w:rFonts w:hint="eastAsia" w:hAnsi="宋体" w:cs="宋体"/>
          <w:sz w:val="24"/>
          <w:highlight w:val="none"/>
        </w:rPr>
        <w:t>1.3“乙方”系指本次为</w:t>
      </w:r>
      <w:r>
        <w:rPr>
          <w:rFonts w:hint="eastAsia" w:hAnsi="宋体" w:cs="宋体"/>
          <w:sz w:val="24"/>
          <w:highlight w:val="none"/>
          <w:lang w:eastAsia="zh-CN"/>
        </w:rPr>
        <w:t>平湖市</w:t>
      </w:r>
      <w:r>
        <w:rPr>
          <w:rFonts w:hint="eastAsia" w:hAnsi="宋体" w:cs="宋体"/>
          <w:sz w:val="24"/>
          <w:highlight w:val="none"/>
        </w:rPr>
        <w:t>各级国家机关、事业单位和团体组织（各级预算单位）以及中央预算单位提供政府采购预算绩效评价咨询服务的单位。</w:t>
      </w:r>
    </w:p>
    <w:p>
      <w:pPr>
        <w:pStyle w:val="2"/>
        <w:spacing w:line="360" w:lineRule="auto"/>
        <w:ind w:left="-240" w:leftChars="-100" w:firstLine="482" w:firstLineChars="0"/>
        <w:rPr>
          <w:rFonts w:hAnsi="宋体" w:cs="宋体"/>
          <w:sz w:val="24"/>
          <w:highlight w:val="none"/>
        </w:rPr>
      </w:pPr>
      <w:r>
        <w:rPr>
          <w:rFonts w:hint="eastAsia" w:hAnsi="宋体" w:cs="宋体"/>
          <w:sz w:val="24"/>
          <w:highlight w:val="none"/>
        </w:rPr>
        <w:t>1.4“采购人”系全</w:t>
      </w:r>
      <w:r>
        <w:rPr>
          <w:rFonts w:hint="eastAsia" w:hAnsi="宋体" w:cs="宋体"/>
          <w:sz w:val="24"/>
          <w:highlight w:val="none"/>
          <w:lang w:eastAsia="zh-CN"/>
        </w:rPr>
        <w:t>平湖市</w:t>
      </w:r>
      <w:r>
        <w:rPr>
          <w:rFonts w:hint="eastAsia" w:hAnsi="宋体" w:cs="宋体"/>
          <w:sz w:val="24"/>
          <w:highlight w:val="none"/>
        </w:rPr>
        <w:t>国家机关、事业单位和团体组织需要政府采购预算绩效评价咨询服务的单位，与甲方享有同等权力。本协议下述各处所指甲方同时包含采购人。</w:t>
      </w:r>
    </w:p>
    <w:p>
      <w:pPr>
        <w:pStyle w:val="2"/>
        <w:spacing w:line="360" w:lineRule="auto"/>
        <w:ind w:left="-240" w:leftChars="-100" w:firstLine="482" w:firstLineChars="0"/>
        <w:rPr>
          <w:rFonts w:hAnsi="宋体" w:cs="宋体"/>
          <w:sz w:val="24"/>
          <w:highlight w:val="none"/>
        </w:rPr>
      </w:pPr>
      <w:r>
        <w:rPr>
          <w:rFonts w:hint="eastAsia" w:hAnsi="宋体" w:cs="宋体"/>
          <w:sz w:val="24"/>
          <w:highlight w:val="none"/>
        </w:rPr>
        <w:t>1.5“征集公告”是指《</w:t>
      </w:r>
      <w:r>
        <w:rPr>
          <w:rFonts w:hint="eastAsia" w:hAnsi="宋体" w:cs="宋体"/>
          <w:sz w:val="24"/>
          <w:highlight w:val="none"/>
          <w:lang w:eastAsia="zh-CN"/>
        </w:rPr>
        <w:t>2025-2026年度平湖市预算绩效评价咨询服务框架协议</w:t>
      </w:r>
      <w:r>
        <w:rPr>
          <w:rFonts w:hint="eastAsia" w:hAnsi="宋体" w:cs="宋体"/>
          <w:sz w:val="24"/>
          <w:highlight w:val="none"/>
        </w:rPr>
        <w:t>项目征集公告》。</w:t>
      </w:r>
    </w:p>
    <w:p>
      <w:pPr>
        <w:pStyle w:val="2"/>
        <w:spacing w:line="360" w:lineRule="auto"/>
        <w:ind w:left="-240" w:leftChars="-100" w:firstLine="482" w:firstLineChars="0"/>
        <w:rPr>
          <w:rFonts w:hAnsi="宋体" w:cs="宋体"/>
          <w:b/>
          <w:bCs/>
          <w:sz w:val="24"/>
          <w:highlight w:val="none"/>
        </w:rPr>
      </w:pPr>
      <w:r>
        <w:rPr>
          <w:rFonts w:hint="eastAsia" w:hAnsi="宋体" w:cs="宋体"/>
          <w:b/>
          <w:bCs/>
          <w:sz w:val="24"/>
          <w:highlight w:val="none"/>
        </w:rPr>
        <w:t>2.适用范围及时间</w:t>
      </w:r>
    </w:p>
    <w:p>
      <w:pPr>
        <w:pStyle w:val="2"/>
        <w:spacing w:line="360" w:lineRule="auto"/>
        <w:ind w:left="-240" w:leftChars="-100" w:firstLine="482" w:firstLineChars="0"/>
        <w:rPr>
          <w:rFonts w:hAnsi="宋体" w:cs="宋体"/>
          <w:sz w:val="24"/>
          <w:highlight w:val="none"/>
        </w:rPr>
      </w:pPr>
      <w:r>
        <w:rPr>
          <w:rFonts w:hint="eastAsia" w:hAnsi="宋体" w:cs="宋体"/>
          <w:sz w:val="24"/>
          <w:highlight w:val="none"/>
        </w:rPr>
        <w:t>2.1适用范围：</w:t>
      </w:r>
      <w:r>
        <w:rPr>
          <w:rFonts w:hint="eastAsia" w:hAnsi="宋体" w:cs="宋体"/>
          <w:sz w:val="24"/>
          <w:highlight w:val="none"/>
          <w:lang w:eastAsia="zh-CN"/>
        </w:rPr>
        <w:t>2025-2026年度平湖市预算绩效评价咨询服务框架协议</w:t>
      </w:r>
      <w:r>
        <w:rPr>
          <w:rFonts w:hint="eastAsia" w:hAnsi="宋体" w:cs="宋体"/>
          <w:sz w:val="24"/>
          <w:highlight w:val="none"/>
        </w:rPr>
        <w:t>项目。</w:t>
      </w:r>
    </w:p>
    <w:p>
      <w:pPr>
        <w:pStyle w:val="2"/>
        <w:spacing w:line="360" w:lineRule="auto"/>
        <w:ind w:left="-240" w:leftChars="-100" w:firstLine="482" w:firstLineChars="0"/>
        <w:rPr>
          <w:rFonts w:hAnsi="宋体" w:cs="宋体"/>
          <w:sz w:val="24"/>
          <w:highlight w:val="none"/>
        </w:rPr>
      </w:pPr>
      <w:r>
        <w:rPr>
          <w:rFonts w:hint="eastAsia" w:hAnsi="宋体" w:cs="宋体"/>
          <w:sz w:val="24"/>
          <w:highlight w:val="none"/>
        </w:rPr>
        <w:t>2.2框架协议期限：</w:t>
      </w:r>
      <w:r>
        <w:rPr>
          <w:rFonts w:hint="eastAsia" w:hAnsi="宋体" w:cs="宋体"/>
          <w:sz w:val="24"/>
          <w:highlight w:val="none"/>
          <w:lang w:eastAsia="zh-CN"/>
        </w:rPr>
        <w:t>自2025年3月1日起至2027年2月28日止</w:t>
      </w:r>
      <w:r>
        <w:rPr>
          <w:rFonts w:hint="eastAsia" w:hAnsi="宋体" w:cs="宋体"/>
          <w:sz w:val="24"/>
          <w:highlight w:val="none"/>
        </w:rPr>
        <w:t>。</w:t>
      </w:r>
    </w:p>
    <w:p>
      <w:pPr>
        <w:pStyle w:val="2"/>
        <w:spacing w:line="360" w:lineRule="auto"/>
        <w:ind w:left="-240" w:leftChars="-100" w:firstLine="482" w:firstLineChars="0"/>
        <w:rPr>
          <w:rFonts w:hAnsi="宋体" w:cs="宋体"/>
          <w:b/>
          <w:bCs/>
          <w:sz w:val="24"/>
          <w:highlight w:val="none"/>
        </w:rPr>
      </w:pPr>
      <w:r>
        <w:rPr>
          <w:rFonts w:hint="eastAsia" w:hAnsi="宋体" w:cs="宋体"/>
          <w:b/>
          <w:bCs/>
          <w:sz w:val="24"/>
          <w:highlight w:val="none"/>
        </w:rPr>
        <w:t>3.项目承诺</w:t>
      </w:r>
    </w:p>
    <w:p>
      <w:pPr>
        <w:pStyle w:val="2"/>
        <w:spacing w:line="360" w:lineRule="auto"/>
        <w:ind w:left="-240" w:leftChars="-100" w:firstLine="482" w:firstLineChars="0"/>
        <w:rPr>
          <w:rFonts w:hAnsi="宋体" w:cs="宋体"/>
          <w:sz w:val="24"/>
          <w:highlight w:val="none"/>
        </w:rPr>
      </w:pPr>
      <w:r>
        <w:rPr>
          <w:rFonts w:hint="eastAsia" w:hAnsi="宋体" w:cs="宋体"/>
          <w:sz w:val="24"/>
          <w:highlight w:val="none"/>
        </w:rPr>
        <w:t>3.1业务开展范围</w:t>
      </w:r>
    </w:p>
    <w:p>
      <w:pPr>
        <w:pStyle w:val="2"/>
        <w:spacing w:line="360" w:lineRule="auto"/>
        <w:ind w:left="-240" w:leftChars="-100" w:firstLine="482" w:firstLineChars="0"/>
        <w:rPr>
          <w:rFonts w:hAnsi="宋体" w:cs="宋体"/>
          <w:sz w:val="24"/>
          <w:highlight w:val="none"/>
        </w:rPr>
      </w:pPr>
      <w:r>
        <w:rPr>
          <w:rFonts w:hint="eastAsia" w:hAnsi="宋体" w:cs="宋体"/>
          <w:sz w:val="24"/>
          <w:highlight w:val="none"/>
        </w:rPr>
        <w:t>（1）甲方确定乙方为</w:t>
      </w:r>
      <w:r>
        <w:rPr>
          <w:rFonts w:hint="eastAsia" w:hAnsi="宋体" w:cs="宋体"/>
          <w:sz w:val="24"/>
          <w:highlight w:val="none"/>
          <w:lang w:eastAsia="zh-CN"/>
        </w:rPr>
        <w:t>2025-2026年度平湖市</w:t>
      </w:r>
      <w:r>
        <w:rPr>
          <w:rFonts w:hint="eastAsia" w:hAnsi="宋体" w:cs="宋体"/>
          <w:sz w:val="24"/>
          <w:highlight w:val="none"/>
        </w:rPr>
        <w:t>政府采购预算绩效评价咨询服务项目服务企业。乙方提供采购人的政府采购预算绩效评价咨询服务项目。</w:t>
      </w:r>
    </w:p>
    <w:p>
      <w:pPr>
        <w:pStyle w:val="2"/>
        <w:spacing w:line="360" w:lineRule="auto"/>
        <w:ind w:left="-240" w:leftChars="-100" w:firstLine="482" w:firstLineChars="0"/>
        <w:rPr>
          <w:rFonts w:hAnsi="宋体" w:cs="宋体"/>
          <w:sz w:val="24"/>
          <w:highlight w:val="none"/>
        </w:rPr>
      </w:pPr>
      <w:r>
        <w:rPr>
          <w:rFonts w:hint="eastAsia" w:hAnsi="宋体" w:cs="宋体"/>
          <w:sz w:val="24"/>
          <w:highlight w:val="none"/>
        </w:rPr>
        <w:t>（2）乙方应按照政府采购预算绩效评价咨询服务有关行业规定、相关法律法规与采购人签署相关政府采购预算绩效评价咨询服务合同，提供政府采购会议服务范围及标准不应低于本框架协议约定要求。</w:t>
      </w:r>
    </w:p>
    <w:p>
      <w:pPr>
        <w:pStyle w:val="2"/>
        <w:spacing w:line="360" w:lineRule="auto"/>
        <w:ind w:left="-240" w:leftChars="-100" w:firstLine="482" w:firstLineChars="0"/>
        <w:rPr>
          <w:rFonts w:hAnsi="宋体" w:cs="宋体"/>
          <w:sz w:val="24"/>
          <w:highlight w:val="none"/>
        </w:rPr>
      </w:pPr>
      <w:r>
        <w:rPr>
          <w:rFonts w:hint="eastAsia" w:hAnsi="宋体" w:cs="宋体"/>
          <w:sz w:val="24"/>
          <w:highlight w:val="none"/>
        </w:rPr>
        <w:t>3.2服务价格</w:t>
      </w:r>
    </w:p>
    <w:p>
      <w:pPr>
        <w:pStyle w:val="2"/>
        <w:spacing w:line="360" w:lineRule="auto"/>
        <w:ind w:left="-240" w:leftChars="-100" w:firstLine="482" w:firstLineChars="0"/>
        <w:rPr>
          <w:rFonts w:hAnsi="宋体" w:cs="宋体"/>
          <w:sz w:val="24"/>
          <w:highlight w:val="none"/>
        </w:rPr>
      </w:pPr>
      <w:r>
        <w:rPr>
          <w:rFonts w:hint="eastAsia" w:hAnsi="宋体" w:cs="宋体"/>
          <w:sz w:val="24"/>
          <w:highlight w:val="none"/>
        </w:rPr>
        <w:t>乙方应以响应承诺的价格为上限，按照采购人需求的方式，提供具体的价格，提供相应的服务。甲方将在浙江政府采购网公示乙方承诺的价格。如乙方根据市场经营情况调整费用标准，应及时调整价格，并在政采云平台维护价格信息。</w:t>
      </w:r>
    </w:p>
    <w:p>
      <w:pPr>
        <w:pStyle w:val="2"/>
        <w:spacing w:line="360" w:lineRule="auto"/>
        <w:ind w:left="-240" w:leftChars="-100" w:firstLine="482" w:firstLineChars="0"/>
        <w:rPr>
          <w:rFonts w:hAnsi="宋体" w:cs="宋体"/>
          <w:sz w:val="24"/>
          <w:highlight w:val="none"/>
        </w:rPr>
      </w:pPr>
      <w:r>
        <w:rPr>
          <w:rFonts w:hint="eastAsia" w:hAnsi="宋体" w:cs="宋体"/>
          <w:sz w:val="24"/>
          <w:highlight w:val="none"/>
        </w:rPr>
        <w:t>3.3费用结算</w:t>
      </w:r>
    </w:p>
    <w:p>
      <w:pPr>
        <w:pStyle w:val="2"/>
        <w:spacing w:line="360" w:lineRule="auto"/>
        <w:ind w:left="-240" w:leftChars="-100" w:firstLine="482" w:firstLineChars="0"/>
        <w:rPr>
          <w:rFonts w:hAnsi="宋体" w:cs="宋体"/>
          <w:sz w:val="24"/>
          <w:highlight w:val="none"/>
        </w:rPr>
      </w:pPr>
      <w:r>
        <w:rPr>
          <w:rFonts w:hint="eastAsia" w:hAnsi="宋体" w:cs="宋体"/>
          <w:sz w:val="24"/>
          <w:highlight w:val="none"/>
        </w:rPr>
        <w:t>接收业务后，乙方应与项目委托单位签订政府采购预算绩效评价咨询服务合同。乙方按合同完成预算绩效管理业务后，可向项目委托单位收取服务费用，服务费用按响应时报价承诺结算。</w:t>
      </w:r>
    </w:p>
    <w:p>
      <w:pPr>
        <w:pStyle w:val="2"/>
        <w:spacing w:line="360" w:lineRule="auto"/>
        <w:ind w:left="-240" w:leftChars="-100" w:firstLine="482" w:firstLineChars="0"/>
        <w:rPr>
          <w:rFonts w:hAnsi="宋体" w:cs="宋体"/>
          <w:sz w:val="24"/>
          <w:highlight w:val="none"/>
        </w:rPr>
      </w:pPr>
      <w:r>
        <w:rPr>
          <w:rFonts w:hint="eastAsia" w:hAnsi="宋体" w:cs="宋体"/>
          <w:sz w:val="24"/>
          <w:highlight w:val="none"/>
        </w:rPr>
        <w:t>3.4 甲方的权利和义务</w:t>
      </w:r>
    </w:p>
    <w:p>
      <w:pPr>
        <w:pStyle w:val="2"/>
        <w:spacing w:line="360" w:lineRule="auto"/>
        <w:ind w:left="-240" w:leftChars="-100" w:firstLine="482" w:firstLineChars="0"/>
        <w:rPr>
          <w:rFonts w:hAnsi="宋体" w:cs="宋体"/>
          <w:sz w:val="24"/>
          <w:highlight w:val="none"/>
        </w:rPr>
      </w:pPr>
      <w:r>
        <w:rPr>
          <w:rFonts w:hint="eastAsia" w:hAnsi="宋体" w:cs="宋体"/>
          <w:sz w:val="24"/>
          <w:highlight w:val="none"/>
        </w:rPr>
        <w:t>3.4.1甲方有权按照政府采购监管部门的要求、征集公告、本协议、乙方的申请资料等文件文本对乙方承诺和实际提供的服务以及业务系统维护、操作等与本项目相关的事项进行日常考核、监督检查和管理；并建立清退和补充规则，清退情况包括但不限于本协议“违约责任”和 “协议的终止”中的内容。</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3.4.2甲方对采购人拖欠乙方费用不承担任何连带责任。</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3.4.3对乙方业务开展和履行合同情况，甲方有权在浙江政府采购网或其他媒体上公布。</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3.5.乙方的权利和义务</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3.5.1乙方的权利</w:t>
      </w:r>
    </w:p>
    <w:p>
      <w:pPr>
        <w:pStyle w:val="2"/>
        <w:tabs>
          <w:tab w:val="left" w:pos="-720"/>
        </w:tabs>
        <w:spacing w:line="360" w:lineRule="auto"/>
        <w:ind w:left="-240" w:leftChars="-100" w:firstLine="482" w:firstLineChars="0"/>
        <w:rPr>
          <w:rFonts w:hAnsi="宋体" w:cs="宋体"/>
          <w:sz w:val="24"/>
          <w:highlight w:val="none"/>
        </w:rPr>
      </w:pPr>
      <w:r>
        <w:rPr>
          <w:rFonts w:hint="eastAsia" w:hAnsi="宋体" w:cs="宋体"/>
          <w:sz w:val="24"/>
          <w:highlight w:val="none"/>
        </w:rPr>
        <w:t>（1）乙方有权拒绝甲方及采购人提出的服务和乙方承诺以外的其它要求。对采购人提出超出协议规定服务范围和虚开发票的要求，乙方有权拒绝；采购人不能出示有效证明，证明其在协议服务范围之内的，乙方有权拒绝向其提供协议价格的服务。</w:t>
      </w:r>
    </w:p>
    <w:p>
      <w:pPr>
        <w:pStyle w:val="2"/>
        <w:tabs>
          <w:tab w:val="left" w:pos="-720"/>
        </w:tabs>
        <w:spacing w:line="360" w:lineRule="auto"/>
        <w:ind w:left="-240" w:leftChars="-100" w:firstLine="482" w:firstLineChars="0"/>
        <w:rPr>
          <w:rFonts w:hAnsi="宋体" w:cs="宋体"/>
          <w:sz w:val="24"/>
          <w:highlight w:val="none"/>
        </w:rPr>
      </w:pPr>
      <w:r>
        <w:rPr>
          <w:rFonts w:hint="eastAsia" w:hAnsi="宋体" w:cs="宋体"/>
          <w:sz w:val="24"/>
          <w:highlight w:val="none"/>
        </w:rPr>
        <w:t>（2）乙方有权对甲方在日常管理工作中和采购人在服务过程中的不正当要求和违规行为进行投诉，并要求有关部门做出处理。</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3.5.2乙方的义务</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3.5.2.1乙方应严格遵守国家法律、法规和相关规定，诚实、守信，合法经营，自觉维护采购人的利益，全面履行承诺，杜绝不正当竞争行为，优先服务采购人，根据采购人的要求，向采购人提供响应文件承诺服务范围内的相关政府采购预算绩效评价咨询服务，应不低于平湖市关于政府采购预算绩效评价咨询服务的相关服务规范和要求，确保服务质量，圆满完成服务工作。</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3.5.2.2乙方应自觉接受并积极配合政府采购监管部门按照征集公告、本协议、乙方的响应文件及承诺提供的价格、设备设施、服务质量及服务能力进行的综合考核评定、监督检查和管理，严格履行承诺。</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3.5.2.3在协议有效期内，乙方在特定时间内对社会举办的优惠活动，采购人有权参加其优惠活动并享受其优惠政策；乙方的设施设备、服务质量等要符合国家规定标准，不得因价格优惠而减少服务项目、降低服务质量。</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3.5.2.4在协议有效期内，乙方承诺价格为最高限价，采购人可与乙方进行议价；如果乙方下调市场价格，则乙方应及时下调政府采购价格，否则视为“超过协议规定价格收费”。</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3.5.2.5乙方同意甲方建立的清退和补充规则，清退情况包括但不限于本协议“违约责任”和“协议的终止”中的内容。</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3.5.2.6乙方应严格按甲方要求完成以下工作，不能完成以下工作将被记录并作为考核及监督检查评分的依据。由于乙方未按甲方要求完成以下工作所造成的不利影响由乙方承担。</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（1）按时参加甲方举办的培训及召开的会议；</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（2）按甲方的要求填报并更新维护相关信息和资料；</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（3）配备专人负责框架协议采购相关事宜，按要求填报及更新相关信息，保证联系人、联系电话等信息真实齐全；</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（4）报价真实有效，杜绝以低于成本的价格恶意竞争；</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（5）向采购人提供等额的正式发票；</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（6）乙方财务部门具备公务卡结算的能力（即刷信用卡结算的能力）；</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（7）为采购人建立采购人档案并及时进行信息更新，建立健全客户服务制度等内部管理机制并严格执行；</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（8）不向采购人行贿或者提供其他不正当利益；</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（9）自觉接受并积极配合甲方组织的日常考核、监督检查和管理。</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3.5.2.8在协议有效期内，乙方应做好政采云平台上相关信息的维护工作，包括单位名称变更；及时变更联系人、联系电话、预订电话等。</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乙方应保证联系人、联系电话、预订电话真实有效，若发现未能及时修改联系人、联系电话、预订电话，出现不能联系到乙方的情况所造成的影响由乙方承担，并将被记录并作为综合考核评定及监督检查评分的依据。</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3.5.2.9在协议有效期内，乙方应保证各项设备、设施完好，具备履行协议的能力。如乙方设备、设施发生足以影响服务能力的重大变化，应在变化发生后十个工作日内书面通知甲方，甲方根据实际情况决定是否继续履行协议。</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3.5.2.10乙方承诺接受征集公告的所有内容，按照征集公告要求和响应文件承诺认真履约，如有违反将无条件接受甲方的处罚。</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3.6考核监督</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3.6.1政府采购监管部门、集中采购机构有权对乙方承诺的价格、服务承诺等履约情况进行监督检查，作为对乙方履约情况监督考核的依据，据此追究乙方的违约责任或者作为考核评分依据。</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3.6.2如采购人对乙方提供的服务质量等问题向政府采购监管部门投诉，政府采购监管部门有权进行核查，如情况属实可要求乙方及时消除影响、弥补损失。</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3.6.3政府采购监管部门有权在其网站及其他媒体上公布对乙方考核、监督检查及乙方履行协议的情况。</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4.违约责任</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4.1甲、乙任何一方违反本协议的约定，应当承担违约责任，并赔偿对方的实际损失。乙方违约行为给采购人造成经济损失的，采购人有权按实际经济损失要求乙方进行赔偿。</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4.2乙方有下列情形之一的，甲方可依据协议及《政府采购框架协议采购方式管理暂行办法》等相关规定取消入围资格，并报监督管理部门追究其相应责任：</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（1）乙方提供虚假材料谋取入围或者合同成交的；</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（2）乙方无正当理由拒不接受合同授予的；</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（3）不履行合同义务或者履行合同义务不符合约定，经采购人请求履行后仍不履行或者仍未按约定履行的；</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（4）乙方采用不正当竞争手段争揽业务，引起投诉并经甲方查实的；</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 xml:space="preserve">（5）未及时更新相关信息或者当高于市场价格时，未及时更新的； </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（6）乙方服务质量差，被采购人有效投诉三次（含）以上并经查实的；</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（7）各级财政部门认定的其他违法、违规的行为。</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（8）任何情况下，乙方都不得向经办人员提供任何形式的回扣，一经发现，甲方报经批准可立即取消资格，同时提请有关部门追究有关当事人的责任。</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4.3乙方与采购人签订合同的，乙方的义务不得低于本协议中约定的义务以及乙方在响应文件中的承诺，否则相应的条款无效，乙方相应的义务以本协议为准。</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4.4乙方违约情节特别严重的，甲方报送政府采购监管部门，采购监管部门可依法对其采取列入不良行为记录名单、在一至三年内禁止参加政府采购活动，并予以通报。</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5.不可抗力</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5.1协议任一方由于受诸如战争、骚乱、瘟疫、严重火灾、洪水、台风、地震等不可抗力事件的影响而不能执行协议时，履行协议的期限应予以延长，延长的期限应相当于事故所影响的时间。不可抗力事件是指甲乙双方在缔结协议时所不能预见的，且它的发生及其后果是无法避免和无法克服的事故。</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5.2遭受不可抗力一方应在不可抗力事故发生后尽快以书面形式通知对方，并于事故发生后14天内将有关部门出具的证明文件、详细情况报告以及不可抗力对履行协议影响程度的说明用特快专递或挂号信寄给对方。</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5.3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5.4一旦不可抗力事故的影响持续120天以上，甲乙双方通过友好协商，在合理的时间内达成进一步履行协议或终止协议的协议。</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6.保密条款</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6.1任何一方对其获知的本协议涉及的所有有形、无形的信息及资料（包括但不限于甲乙双方的往来书面文字文件、电子邮件及信息、软盘资料等）中另一方的商业秘密或国家秘密负有保密义务。</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6.2除非法律、法规另有规定或得到本协议之另一方的书面许可，任何一方不得向第三人泄露前款规定的商业秘密或国家秘密。保密期限自任何一方获知该商业秘密或国家秘密之日起至本条规定的秘密成为公众信息之日止。</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7.协议的解释</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7.1任何一方对本协议及其附件的解释均应遵循诚实信用原则，依照本协议签订时有效的中华人民共和国的法律、法规以及人们通常的理解进行。</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7.2本协议标题仅供查阅方便，并非对本协议的诠释或解释，本协议中以日表述的时间期限均指公历日。</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7.3对本协议的任何解释均应以书面做出。</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8.争议的解决</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本协议如发生纠纷，甲、乙应当及时协商解决，如协商不成，按《中华人民共和国民法典》、《中华人民共和国政府采购法》等规定处理。</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9.协议的终止</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9.1在协议期内任何一方不得擅自终止协议，否则应负担所造成的一切损失。如一方因故需终止协议，必须提前三个月书面通知另一方，经双方达成一致意见后，方可终止。</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9.2 协议期内乙方不得擅自终止协议，否则应负担所造成的一切损失。如乙方因故需终止协议，可以随时申请退出框架协议，经甲方审核后方可退出。</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9.3 出现下列情况时本协议自行终止：</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（1）本协议正常履行完毕；</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（2）甲乙双方协商终止本协议的履行；</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（3）不可抗力导致本协议无法履行或履行不必要时；</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（4）乙方不履行协议条款，造成无法执行协议，协商又不能解决的，乙方赔偿损失后，协议终止。</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9.4乙方出现本协议“违约责任”中“取消资格”情况的,协议终止，甲方有权提请有关部门追究相关当事人责任。</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10.协议的生效及其他</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10.1乙方自愿通过政采云平台参与本项目，框架协议自甲乙双方法定代表人或委托代理人签字并加盖单位公章之日起生效，并在框架协议签订后7个工作日内，将框架协议副本报本级财政部门备案。</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10.2协议履行期内甲乙双方均不得随意变更或解除协议。协议若有未尽事宜，需经双方共同协商，作出补充规定，补充规定与本协议有同等法律效力。</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10.3如有最新政策规定，甲乙双方按最新政策规定执行，不再签订补充协议。</w:t>
      </w:r>
    </w:p>
    <w:p>
      <w:pPr>
        <w:pStyle w:val="2"/>
        <w:tabs>
          <w:tab w:val="left" w:pos="0"/>
        </w:tabs>
        <w:spacing w:line="360" w:lineRule="auto"/>
        <w:ind w:left="-240" w:leftChars="-100" w:firstLine="482" w:firstLineChars="0"/>
        <w:rPr>
          <w:rFonts w:hAnsi="宋体" w:cs="宋体"/>
          <w:sz w:val="24"/>
          <w:highlight w:val="none"/>
        </w:rPr>
      </w:pPr>
      <w:r>
        <w:rPr>
          <w:rFonts w:hint="eastAsia" w:hAnsi="宋体" w:cs="宋体"/>
          <w:sz w:val="24"/>
          <w:highlight w:val="none"/>
        </w:rPr>
        <w:t>10.4本项目征集文件（项目编号：</w:t>
      </w:r>
      <w:r>
        <w:rPr>
          <w:rFonts w:hint="eastAsia" w:hAnsi="宋体" w:cs="宋体"/>
          <w:sz w:val="24"/>
          <w:highlight w:val="none"/>
          <w:lang w:eastAsia="zh-CN"/>
        </w:rPr>
        <w:t>平政采招2025-0</w:t>
      </w:r>
      <w:r>
        <w:rPr>
          <w:rFonts w:hint="eastAsia" w:hAnsi="宋体" w:cs="宋体"/>
          <w:sz w:val="24"/>
          <w:highlight w:val="none"/>
          <w:lang w:val="en-US" w:eastAsia="zh-CN"/>
        </w:rPr>
        <w:t>4</w:t>
      </w:r>
      <w:r>
        <w:rPr>
          <w:rFonts w:hint="eastAsia" w:hAnsi="宋体" w:cs="宋体"/>
          <w:sz w:val="24"/>
          <w:highlight w:val="none"/>
        </w:rPr>
        <w:t>）、响应文件及项目征集过程中形成的文字资料均作为本协议的组成部分，具有同等效力。</w:t>
      </w:r>
    </w:p>
    <w:tbl>
      <w:tblPr>
        <w:tblStyle w:val="18"/>
        <w:tblpPr w:leftFromText="180" w:rightFromText="180" w:vertAnchor="text" w:horzAnchor="page" w:tblpX="1879" w:tblpY="824"/>
        <w:tblOverlap w:val="never"/>
        <w:tblW w:w="9577" w:type="dxa"/>
        <w:tblInd w:w="0" w:type="dxa"/>
        <w:tblLayout w:type="fixed"/>
        <w:tblCellMar>
          <w:top w:w="0" w:type="dxa"/>
          <w:left w:w="108" w:type="dxa"/>
          <w:bottom w:w="0" w:type="dxa"/>
          <w:right w:w="108" w:type="dxa"/>
        </w:tblCellMar>
      </w:tblPr>
      <w:tblGrid>
        <w:gridCol w:w="4416"/>
        <w:gridCol w:w="5161"/>
      </w:tblGrid>
      <w:tr>
        <w:tblPrEx>
          <w:tblCellMar>
            <w:top w:w="0" w:type="dxa"/>
            <w:left w:w="108" w:type="dxa"/>
            <w:bottom w:w="0" w:type="dxa"/>
            <w:right w:w="108" w:type="dxa"/>
          </w:tblCellMar>
        </w:tblPrEx>
        <w:tc>
          <w:tcPr>
            <w:tcW w:w="4416" w:type="dxa"/>
          </w:tcPr>
          <w:p>
            <w:pPr>
              <w:widowControl/>
              <w:spacing w:line="360" w:lineRule="auto"/>
              <w:ind w:left="1560" w:hanging="1560" w:hangingChars="650"/>
              <w:rPr>
                <w:rFonts w:ascii="宋体" w:hAnsi="宋体"/>
                <w:kern w:val="0"/>
                <w:highlight w:val="none"/>
              </w:rPr>
            </w:pPr>
            <w:r>
              <w:rPr>
                <w:rFonts w:hint="eastAsia" w:ascii="宋体" w:hAnsi="宋体"/>
                <w:kern w:val="0"/>
                <w:highlight w:val="none"/>
              </w:rPr>
              <w:t>甲方（盖章）：</w:t>
            </w:r>
          </w:p>
        </w:tc>
        <w:tc>
          <w:tcPr>
            <w:tcW w:w="5161" w:type="dxa"/>
          </w:tcPr>
          <w:p>
            <w:pPr>
              <w:widowControl/>
              <w:spacing w:line="360" w:lineRule="auto"/>
              <w:ind w:firstLine="120"/>
              <w:rPr>
                <w:rFonts w:ascii="宋体" w:hAnsi="宋体"/>
                <w:kern w:val="0"/>
                <w:highlight w:val="none"/>
              </w:rPr>
            </w:pPr>
            <w:r>
              <w:rPr>
                <w:rFonts w:hint="eastAsia" w:ascii="宋体" w:hAnsi="宋体"/>
                <w:kern w:val="0"/>
                <w:highlight w:val="none"/>
              </w:rPr>
              <w:t>乙方（盖章）：</w:t>
            </w:r>
          </w:p>
        </w:tc>
      </w:tr>
      <w:tr>
        <w:tblPrEx>
          <w:tblCellMar>
            <w:top w:w="0" w:type="dxa"/>
            <w:left w:w="108" w:type="dxa"/>
            <w:bottom w:w="0" w:type="dxa"/>
            <w:right w:w="108" w:type="dxa"/>
          </w:tblCellMar>
        </w:tblPrEx>
        <w:tc>
          <w:tcPr>
            <w:tcW w:w="4416" w:type="dxa"/>
          </w:tcPr>
          <w:p>
            <w:pPr>
              <w:widowControl/>
              <w:spacing w:line="360" w:lineRule="auto"/>
              <w:rPr>
                <w:rFonts w:ascii="宋体" w:hAnsi="宋体"/>
                <w:kern w:val="0"/>
                <w:highlight w:val="none"/>
              </w:rPr>
            </w:pPr>
            <w:r>
              <w:rPr>
                <w:rFonts w:hint="eastAsia" w:ascii="宋体" w:hAnsi="宋体"/>
                <w:kern w:val="0"/>
                <w:highlight w:val="none"/>
              </w:rPr>
              <w:t>法定代表人</w:t>
            </w:r>
          </w:p>
        </w:tc>
        <w:tc>
          <w:tcPr>
            <w:tcW w:w="5161" w:type="dxa"/>
          </w:tcPr>
          <w:p>
            <w:pPr>
              <w:widowControl/>
              <w:spacing w:line="360" w:lineRule="auto"/>
              <w:ind w:firstLine="120"/>
              <w:rPr>
                <w:rFonts w:ascii="宋体" w:hAnsi="宋体"/>
                <w:kern w:val="0"/>
                <w:highlight w:val="none"/>
              </w:rPr>
            </w:pPr>
            <w:r>
              <w:rPr>
                <w:rFonts w:hint="eastAsia" w:ascii="宋体" w:hAnsi="宋体"/>
                <w:kern w:val="0"/>
                <w:highlight w:val="none"/>
              </w:rPr>
              <w:t>法定代表人</w:t>
            </w:r>
          </w:p>
        </w:tc>
      </w:tr>
      <w:tr>
        <w:tblPrEx>
          <w:tblCellMar>
            <w:top w:w="0" w:type="dxa"/>
            <w:left w:w="108" w:type="dxa"/>
            <w:bottom w:w="0" w:type="dxa"/>
            <w:right w:w="108" w:type="dxa"/>
          </w:tblCellMar>
        </w:tblPrEx>
        <w:tc>
          <w:tcPr>
            <w:tcW w:w="4416" w:type="dxa"/>
          </w:tcPr>
          <w:p>
            <w:pPr>
              <w:widowControl/>
              <w:spacing w:line="360" w:lineRule="auto"/>
              <w:rPr>
                <w:rFonts w:ascii="宋体" w:hAnsi="宋体"/>
                <w:kern w:val="0"/>
                <w:highlight w:val="none"/>
              </w:rPr>
            </w:pPr>
            <w:r>
              <w:rPr>
                <w:rFonts w:hint="eastAsia" w:ascii="宋体" w:hAnsi="宋体"/>
                <w:kern w:val="0"/>
                <w:highlight w:val="none"/>
              </w:rPr>
              <w:t>或授权代表（签字）：</w:t>
            </w:r>
          </w:p>
        </w:tc>
        <w:tc>
          <w:tcPr>
            <w:tcW w:w="5161" w:type="dxa"/>
          </w:tcPr>
          <w:p>
            <w:pPr>
              <w:widowControl/>
              <w:spacing w:line="360" w:lineRule="auto"/>
              <w:ind w:firstLine="120"/>
              <w:rPr>
                <w:rFonts w:ascii="宋体" w:hAnsi="宋体"/>
                <w:kern w:val="0"/>
                <w:highlight w:val="none"/>
              </w:rPr>
            </w:pPr>
            <w:r>
              <w:rPr>
                <w:rFonts w:hint="eastAsia" w:ascii="宋体" w:hAnsi="宋体"/>
                <w:kern w:val="0"/>
                <w:highlight w:val="none"/>
              </w:rPr>
              <w:t>或授权代表（签字）：</w:t>
            </w:r>
          </w:p>
        </w:tc>
      </w:tr>
      <w:tr>
        <w:tblPrEx>
          <w:tblCellMar>
            <w:top w:w="0" w:type="dxa"/>
            <w:left w:w="108" w:type="dxa"/>
            <w:bottom w:w="0" w:type="dxa"/>
            <w:right w:w="108" w:type="dxa"/>
          </w:tblCellMar>
        </w:tblPrEx>
        <w:tc>
          <w:tcPr>
            <w:tcW w:w="4416" w:type="dxa"/>
          </w:tcPr>
          <w:p>
            <w:pPr>
              <w:widowControl/>
              <w:spacing w:line="360" w:lineRule="auto"/>
              <w:ind w:left="720" w:hanging="720" w:hangingChars="300"/>
              <w:rPr>
                <w:rFonts w:ascii="宋体" w:hAnsi="宋体"/>
                <w:kern w:val="0"/>
                <w:highlight w:val="none"/>
              </w:rPr>
            </w:pPr>
            <w:r>
              <w:rPr>
                <w:rFonts w:hint="eastAsia" w:ascii="宋体" w:hAnsi="宋体"/>
                <w:kern w:val="0"/>
                <w:highlight w:val="none"/>
              </w:rPr>
              <w:t>地址：</w:t>
            </w:r>
          </w:p>
        </w:tc>
        <w:tc>
          <w:tcPr>
            <w:tcW w:w="5161" w:type="dxa"/>
          </w:tcPr>
          <w:p>
            <w:pPr>
              <w:widowControl/>
              <w:spacing w:line="360" w:lineRule="auto"/>
              <w:ind w:firstLine="120"/>
              <w:rPr>
                <w:rFonts w:ascii="宋体" w:hAnsi="宋体"/>
                <w:kern w:val="0"/>
                <w:highlight w:val="none"/>
              </w:rPr>
            </w:pPr>
            <w:r>
              <w:rPr>
                <w:rFonts w:hint="eastAsia" w:ascii="宋体" w:hAnsi="宋体"/>
                <w:kern w:val="0"/>
                <w:highlight w:val="none"/>
              </w:rPr>
              <w:t xml:space="preserve">地址： </w:t>
            </w:r>
          </w:p>
        </w:tc>
      </w:tr>
      <w:tr>
        <w:tblPrEx>
          <w:tblCellMar>
            <w:top w:w="0" w:type="dxa"/>
            <w:left w:w="108" w:type="dxa"/>
            <w:bottom w:w="0" w:type="dxa"/>
            <w:right w:w="108" w:type="dxa"/>
          </w:tblCellMar>
        </w:tblPrEx>
        <w:tc>
          <w:tcPr>
            <w:tcW w:w="4416" w:type="dxa"/>
          </w:tcPr>
          <w:p>
            <w:pPr>
              <w:widowControl/>
              <w:spacing w:line="360" w:lineRule="auto"/>
              <w:rPr>
                <w:rFonts w:ascii="宋体" w:hAnsi="宋体"/>
                <w:kern w:val="0"/>
                <w:highlight w:val="none"/>
              </w:rPr>
            </w:pPr>
            <w:r>
              <w:rPr>
                <w:rFonts w:hint="eastAsia" w:ascii="宋体" w:hAnsi="宋体"/>
                <w:highlight w:val="none"/>
              </w:rPr>
              <w:t>签约日期：   年    月    日</w:t>
            </w:r>
          </w:p>
        </w:tc>
        <w:tc>
          <w:tcPr>
            <w:tcW w:w="5161" w:type="dxa"/>
          </w:tcPr>
          <w:p>
            <w:pPr>
              <w:widowControl/>
              <w:spacing w:line="360" w:lineRule="auto"/>
              <w:ind w:firstLine="120"/>
              <w:rPr>
                <w:rFonts w:ascii="宋体" w:hAnsi="宋体"/>
                <w:kern w:val="0"/>
                <w:highlight w:val="none"/>
              </w:rPr>
            </w:pPr>
            <w:r>
              <w:rPr>
                <w:rFonts w:hint="eastAsia" w:ascii="宋体" w:hAnsi="宋体"/>
                <w:highlight w:val="none"/>
              </w:rPr>
              <w:t>签约日期：   年   月    日</w:t>
            </w:r>
          </w:p>
        </w:tc>
      </w:tr>
    </w:tbl>
    <w:p>
      <w:pPr>
        <w:spacing w:line="440" w:lineRule="exact"/>
        <w:ind w:right="480" w:firstLine="9216" w:firstLineChars="2550"/>
        <w:rPr>
          <w:rFonts w:ascii="宋体" w:hAnsi="宋体"/>
          <w:b/>
          <w:color w:val="000000" w:themeColor="text1"/>
          <w:sz w:val="36"/>
          <w:szCs w:val="36"/>
          <w:highlight w:val="none"/>
          <w14:textFill>
            <w14:solidFill>
              <w14:schemeClr w14:val="tx1"/>
            </w14:solidFill>
          </w14:textFill>
        </w:rPr>
      </w:pPr>
    </w:p>
    <w:p>
      <w:pPr>
        <w:pStyle w:val="3"/>
        <w:rPr>
          <w:rFonts w:hAnsi="宋体" w:cs="宋体"/>
          <w:highlight w:val="none"/>
        </w:rPr>
      </w:pPr>
    </w:p>
    <w:p>
      <w:pPr>
        <w:pStyle w:val="5"/>
        <w:spacing w:line="240" w:lineRule="auto"/>
        <w:jc w:val="both"/>
        <w:rPr>
          <w:rFonts w:asciiTheme="majorEastAsia" w:hAnsiTheme="majorEastAsia" w:eastAsiaTheme="majorEastAsia" w:cstheme="majorEastAsia"/>
          <w:highlight w:val="none"/>
        </w:rPr>
      </w:pPr>
      <w:bookmarkStart w:id="91" w:name="_Toc1409419452"/>
      <w:bookmarkStart w:id="92" w:name="_Toc7432608"/>
    </w:p>
    <w:p>
      <w:pPr>
        <w:pStyle w:val="5"/>
        <w:spacing w:line="240" w:lineRule="auto"/>
        <w:rPr>
          <w:rFonts w:asciiTheme="majorEastAsia" w:hAnsiTheme="majorEastAsia" w:eastAsiaTheme="majorEastAsia" w:cstheme="majorEastAsia"/>
          <w:highlight w:val="none"/>
        </w:rPr>
      </w:pPr>
    </w:p>
    <w:p>
      <w:pPr>
        <w:pStyle w:val="5"/>
        <w:spacing w:line="240" w:lineRule="auto"/>
        <w:jc w:val="both"/>
        <w:rPr>
          <w:rFonts w:asciiTheme="majorEastAsia" w:hAnsiTheme="majorEastAsia" w:eastAsiaTheme="majorEastAsia" w:cstheme="majorEastAsia"/>
          <w:highlight w:val="none"/>
        </w:rPr>
      </w:pPr>
    </w:p>
    <w:p>
      <w:pPr>
        <w:rPr>
          <w:rFonts w:asciiTheme="majorEastAsia" w:hAnsiTheme="majorEastAsia" w:eastAsiaTheme="majorEastAsia" w:cstheme="majorEastAsia"/>
          <w:highlight w:val="none"/>
        </w:rPr>
      </w:pPr>
    </w:p>
    <w:p>
      <w:pPr>
        <w:pStyle w:val="2"/>
        <w:rPr>
          <w:rFonts w:asciiTheme="majorEastAsia" w:hAnsiTheme="majorEastAsia" w:eastAsiaTheme="majorEastAsia" w:cstheme="majorEastAsia"/>
          <w:highlight w:val="none"/>
        </w:rPr>
      </w:pPr>
    </w:p>
    <w:p>
      <w:pPr>
        <w:pStyle w:val="4"/>
        <w:rPr>
          <w:rFonts w:asciiTheme="majorEastAsia" w:hAnsiTheme="majorEastAsia" w:eastAsiaTheme="majorEastAsia" w:cstheme="majorEastAsia"/>
          <w:highlight w:val="none"/>
        </w:rPr>
      </w:pPr>
    </w:p>
    <w:p>
      <w:pPr>
        <w:rPr>
          <w:rFonts w:asciiTheme="majorEastAsia" w:hAnsiTheme="majorEastAsia" w:eastAsiaTheme="majorEastAsia" w:cstheme="majorEastAsia"/>
          <w:highlight w:val="none"/>
        </w:rPr>
      </w:pPr>
    </w:p>
    <w:p>
      <w:pPr>
        <w:pStyle w:val="2"/>
        <w:rPr>
          <w:rFonts w:asciiTheme="majorEastAsia" w:hAnsiTheme="majorEastAsia" w:eastAsiaTheme="majorEastAsia" w:cstheme="majorEastAsia"/>
          <w:highlight w:val="none"/>
        </w:rPr>
      </w:pPr>
    </w:p>
    <w:p>
      <w:pPr>
        <w:pStyle w:val="4"/>
        <w:rPr>
          <w:rFonts w:asciiTheme="majorEastAsia" w:hAnsiTheme="majorEastAsia" w:eastAsiaTheme="majorEastAsia" w:cstheme="majorEastAsia"/>
          <w:highlight w:val="none"/>
        </w:rPr>
      </w:pPr>
    </w:p>
    <w:p>
      <w:pPr>
        <w:rPr>
          <w:rFonts w:asciiTheme="majorEastAsia" w:hAnsiTheme="majorEastAsia" w:eastAsiaTheme="majorEastAsia" w:cstheme="majorEastAsia"/>
          <w:highlight w:val="none"/>
        </w:rPr>
      </w:pPr>
    </w:p>
    <w:p>
      <w:pPr>
        <w:pStyle w:val="2"/>
        <w:rPr>
          <w:highlight w:val="none"/>
        </w:rPr>
      </w:pPr>
    </w:p>
    <w:p>
      <w:pPr>
        <w:rPr>
          <w:rFonts w:asciiTheme="majorEastAsia" w:hAnsiTheme="majorEastAsia" w:eastAsiaTheme="majorEastAsia" w:cstheme="majorEastAsia"/>
          <w:highlight w:val="none"/>
        </w:rPr>
      </w:pPr>
    </w:p>
    <w:p>
      <w:pPr>
        <w:pStyle w:val="2"/>
        <w:rPr>
          <w:highlight w:val="none"/>
        </w:rPr>
      </w:pPr>
    </w:p>
    <w:p>
      <w:pPr>
        <w:jc w:val="center"/>
        <w:rPr>
          <w:rFonts w:hint="eastAsia" w:ascii="黑体" w:hAnsi="黑体" w:eastAsia="黑体" w:cs="黑体"/>
          <w:b/>
          <w:bCs/>
          <w:kern w:val="2"/>
          <w:sz w:val="32"/>
          <w:szCs w:val="32"/>
          <w:highlight w:val="none"/>
          <w:lang w:val="en-US" w:eastAsia="zh-CN" w:bidi="ar-SA"/>
        </w:rPr>
      </w:pPr>
      <w:r>
        <w:rPr>
          <w:rFonts w:hint="eastAsia" w:ascii="黑体" w:hAnsi="黑体" w:eastAsia="黑体" w:cs="黑体"/>
          <w:b/>
          <w:bCs/>
          <w:kern w:val="2"/>
          <w:sz w:val="32"/>
          <w:szCs w:val="32"/>
          <w:highlight w:val="none"/>
          <w:lang w:val="en-US" w:eastAsia="zh-CN" w:bidi="ar-SA"/>
        </w:rPr>
        <w:t>预算绩效评价咨询服务采购合同</w:t>
      </w:r>
    </w:p>
    <w:p>
      <w:pPr>
        <w:keepNext w:val="0"/>
        <w:keepLines w:val="0"/>
        <w:pageBreakBefore w:val="0"/>
        <w:kinsoku/>
        <w:wordWrap/>
        <w:overflowPunct/>
        <w:topLinePunct w:val="0"/>
        <w:bidi w:val="0"/>
        <w:adjustRightIn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采购方</w:t>
      </w:r>
      <w:r>
        <w:rPr>
          <w:rFonts w:hint="eastAsia" w:ascii="宋体" w:hAnsi="宋体" w:eastAsia="宋体" w:cs="宋体"/>
          <w:color w:val="000000" w:themeColor="text1"/>
          <w:sz w:val="24"/>
          <w:szCs w:val="24"/>
          <w:highlight w:val="none"/>
          <w14:textFill>
            <w14:solidFill>
              <w14:schemeClr w14:val="tx1"/>
            </w14:solidFill>
          </w14:textFill>
        </w:rPr>
        <w:t>（甲方）：</w:t>
      </w:r>
    </w:p>
    <w:p>
      <w:pPr>
        <w:keepNext w:val="0"/>
        <w:keepLines w:val="0"/>
        <w:pageBreakBefore w:val="0"/>
        <w:kinsoku/>
        <w:wordWrap/>
        <w:overflowPunct/>
        <w:topLinePunct w:val="0"/>
        <w:bidi w:val="0"/>
        <w:adjustRightIn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成交</w:t>
      </w:r>
      <w:r>
        <w:rPr>
          <w:rFonts w:hint="eastAsia" w:ascii="宋体" w:hAnsi="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（乙方）：</w:t>
      </w:r>
    </w:p>
    <w:p>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w:t>
      </w:r>
      <w:r>
        <w:rPr>
          <w:rFonts w:hint="eastAsia" w:ascii="宋体" w:hAnsi="宋体" w:cs="宋体"/>
          <w:color w:val="000000" w:themeColor="text1"/>
          <w:sz w:val="24"/>
          <w:szCs w:val="24"/>
          <w:highlight w:val="none"/>
          <w:lang w:eastAsia="zh-CN"/>
          <w14:textFill>
            <w14:solidFill>
              <w14:schemeClr w14:val="tx1"/>
            </w14:solidFill>
          </w14:textFill>
        </w:rPr>
        <w:t>2025-2026年度平湖市预算绩效评价咨询服务框架协议</w:t>
      </w:r>
      <w:r>
        <w:rPr>
          <w:rFonts w:hint="eastAsia" w:ascii="宋体" w:hAnsi="宋体" w:eastAsia="宋体" w:cs="宋体"/>
          <w:color w:val="000000" w:themeColor="text1"/>
          <w:sz w:val="24"/>
          <w:szCs w:val="24"/>
          <w:highlight w:val="none"/>
          <w14:textFill>
            <w14:solidFill>
              <w14:schemeClr w14:val="tx1"/>
            </w14:solidFill>
          </w14:textFill>
        </w:rPr>
        <w:t>”（项目编号：平政采招2025-0</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公开征集文件、入围结果、框架协议和《中华人民共和国政府采购法》、《中华人民共和国政府采购法实施条例》、《政府采购框架协议采购方式管理暂行办法》等相关法律、法规、规章要求，双方经协商，达成以下条款：</w:t>
      </w:r>
    </w:p>
    <w:p>
      <w:pPr>
        <w:keepNext w:val="0"/>
        <w:keepLines w:val="0"/>
        <w:pageBreakBefore w:val="0"/>
        <w:kinsoku/>
        <w:wordWrap/>
        <w:overflowPunct/>
        <w:topLinePunct w:val="0"/>
        <w:bidi w:val="0"/>
        <w:adjustRightInd/>
        <w:spacing w:line="360" w:lineRule="auto"/>
        <w:ind w:firstLine="51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w:t>
      </w:r>
      <w:r>
        <w:rPr>
          <w:rFonts w:hint="eastAsia" w:ascii="宋体" w:hAnsi="宋体" w:cs="宋体"/>
          <w:b/>
          <w:color w:val="000000" w:themeColor="text1"/>
          <w:sz w:val="24"/>
          <w:szCs w:val="24"/>
          <w:highlight w:val="none"/>
          <w:lang w:eastAsia="zh-CN"/>
          <w14:textFill>
            <w14:solidFill>
              <w14:schemeClr w14:val="tx1"/>
            </w14:solidFill>
          </w14:textFill>
        </w:rPr>
        <w:t>预算绩效评价咨询服务</w:t>
      </w:r>
      <w:r>
        <w:rPr>
          <w:rFonts w:hint="eastAsia" w:ascii="宋体" w:hAnsi="宋体" w:eastAsia="宋体" w:cs="宋体"/>
          <w:b/>
          <w:color w:val="000000" w:themeColor="text1"/>
          <w:sz w:val="24"/>
          <w:szCs w:val="24"/>
          <w:highlight w:val="none"/>
          <w14:textFill>
            <w14:solidFill>
              <w14:schemeClr w14:val="tx1"/>
            </w14:solidFill>
          </w14:textFill>
        </w:rPr>
        <w:t>的范围、目的、对象</w:t>
      </w:r>
    </w:p>
    <w:p>
      <w:pPr>
        <w:pStyle w:val="8"/>
        <w:keepNext w:val="0"/>
        <w:keepLines w:val="0"/>
        <w:pageBreakBefore w:val="0"/>
        <w:kinsoku/>
        <w:wordWrap/>
        <w:overflowPunct/>
        <w:topLinePunct w:val="0"/>
        <w:bidi w:val="0"/>
        <w:adjustRightInd/>
        <w:spacing w:line="360" w:lineRule="auto"/>
        <w:ind w:left="0" w:leftChars="0" w:firstLine="240" w:firstLineChars="1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1、乙方接受甲方委托，对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进行</w:t>
      </w:r>
      <w:r>
        <w:rPr>
          <w:rFonts w:hint="eastAsia" w:ascii="宋体" w:hAnsi="宋体" w:cs="宋体"/>
          <w:color w:val="000000" w:themeColor="text1"/>
          <w:sz w:val="24"/>
          <w:szCs w:val="24"/>
          <w:highlight w:val="none"/>
          <w:lang w:eastAsia="zh-CN"/>
          <w14:textFill>
            <w14:solidFill>
              <w14:schemeClr w14:val="tx1"/>
            </w14:solidFill>
          </w14:textFill>
        </w:rPr>
        <w:t>预算绩效评价咨询服务</w:t>
      </w:r>
      <w:r>
        <w:rPr>
          <w:rFonts w:hint="eastAsia" w:ascii="宋体" w:hAnsi="宋体" w:eastAsia="宋体" w:cs="宋体"/>
          <w:color w:val="000000" w:themeColor="text1"/>
          <w:sz w:val="24"/>
          <w:szCs w:val="24"/>
          <w:highlight w:val="none"/>
          <w14:textFill>
            <w14:solidFill>
              <w14:schemeClr w14:val="tx1"/>
            </w14:solidFill>
          </w14:textFill>
        </w:rPr>
        <w:t>。</w:t>
      </w:r>
    </w:p>
    <w:p>
      <w:pPr>
        <w:pStyle w:val="3"/>
        <w:keepNext w:val="0"/>
        <w:keepLines w:val="0"/>
        <w:pageBreakBefore w:val="0"/>
        <w:kinsoku/>
        <w:wordWrap/>
        <w:overflowPunct/>
        <w:topLinePunct w:val="0"/>
        <w:bidi w:val="0"/>
        <w:adjustRightIn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2、乙方通过执行</w:t>
      </w:r>
      <w:r>
        <w:rPr>
          <w:rFonts w:hint="eastAsia" w:ascii="宋体" w:hAnsi="宋体" w:cs="宋体"/>
          <w:color w:val="000000" w:themeColor="text1"/>
          <w:sz w:val="24"/>
          <w:szCs w:val="24"/>
          <w:highlight w:val="none"/>
          <w:lang w:eastAsia="zh-CN"/>
          <w14:textFill>
            <w14:solidFill>
              <w14:schemeClr w14:val="tx1"/>
            </w14:solidFill>
          </w14:textFill>
        </w:rPr>
        <w:t>预算绩效评价咨询服务</w:t>
      </w:r>
      <w:r>
        <w:rPr>
          <w:rFonts w:hint="eastAsia" w:ascii="宋体" w:hAnsi="宋体" w:eastAsia="宋体" w:cs="宋体"/>
          <w:color w:val="000000" w:themeColor="text1"/>
          <w:sz w:val="24"/>
          <w:szCs w:val="24"/>
          <w:highlight w:val="none"/>
          <w14:textFill>
            <w14:solidFill>
              <w14:schemeClr w14:val="tx1"/>
            </w14:solidFill>
          </w14:textFill>
        </w:rPr>
        <w:t>，对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lang w:val="en-US" w:eastAsia="zh-CN"/>
          <w14:textFill>
            <w14:solidFill>
              <w14:schemeClr w14:val="tx1"/>
            </w14:solidFill>
          </w14:textFill>
        </w:rPr>
        <w:t>出具</w:t>
      </w:r>
      <w:r>
        <w:rPr>
          <w:rFonts w:hint="eastAsia"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hAnsi="宋体" w:cs="宋体"/>
          <w:color w:val="000000" w:themeColor="text1"/>
          <w:sz w:val="24"/>
          <w:szCs w:val="24"/>
          <w:highlight w:val="none"/>
          <w:lang w:eastAsia="zh-CN"/>
          <w14:textFill>
            <w14:solidFill>
              <w14:schemeClr w14:val="tx1"/>
            </w14:solidFill>
          </w14:textFill>
        </w:rPr>
        <w:t>服务报告</w:t>
      </w:r>
      <w:r>
        <w:rPr>
          <w:rFonts w:hint="eastAsia" w:ascii="宋体" w:hAnsi="宋体" w:eastAsia="宋体" w:cs="宋体"/>
          <w:color w:val="000000" w:themeColor="text1"/>
          <w:sz w:val="24"/>
          <w:szCs w:val="24"/>
          <w:highlight w:val="none"/>
          <w14:textFill>
            <w14:solidFill>
              <w14:schemeClr w14:val="tx1"/>
            </w14:solidFill>
          </w14:textFill>
        </w:rPr>
        <w:t>。</w:t>
      </w:r>
    </w:p>
    <w:p>
      <w:pPr>
        <w:pStyle w:val="3"/>
        <w:keepNext w:val="0"/>
        <w:keepLines w:val="0"/>
        <w:pageBreakBefore w:val="0"/>
        <w:kinsoku/>
        <w:wordWrap/>
        <w:overflowPunct/>
        <w:topLinePunct w:val="0"/>
        <w:bidi w:val="0"/>
        <w:adjustRightInd/>
        <w:spacing w:line="360" w:lineRule="auto"/>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服务对象：</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w:t>
      </w:r>
    </w:p>
    <w:p>
      <w:pPr>
        <w:keepNext w:val="0"/>
        <w:keepLines w:val="0"/>
        <w:pageBreakBefore w:val="0"/>
        <w:kinsoku/>
        <w:wordWrap/>
        <w:overflowPunct/>
        <w:topLinePunct w:val="0"/>
        <w:bidi w:val="0"/>
        <w:adjustRightInd/>
        <w:spacing w:line="360" w:lineRule="auto"/>
        <w:ind w:firstLine="510"/>
        <w:textAlignment w:val="auto"/>
        <w:rPr>
          <w:rFonts w:hint="default" w:ascii="宋体" w:hAnsi="宋体" w:eastAsia="宋体" w:cs="宋体"/>
          <w:b/>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二、委托</w:t>
      </w:r>
      <w:r>
        <w:rPr>
          <w:rFonts w:hint="eastAsia" w:ascii="宋体" w:hAnsi="宋体" w:cs="宋体"/>
          <w:b/>
          <w:color w:val="000000" w:themeColor="text1"/>
          <w:sz w:val="24"/>
          <w:szCs w:val="24"/>
          <w:highlight w:val="none"/>
          <w:lang w:eastAsia="zh-CN"/>
          <w14:textFill>
            <w14:solidFill>
              <w14:schemeClr w14:val="tx1"/>
            </w14:solidFill>
          </w14:textFill>
        </w:rPr>
        <w:t>预算绩效评价咨询服务</w:t>
      </w:r>
      <w:r>
        <w:rPr>
          <w:rFonts w:hint="eastAsia" w:ascii="宋体" w:hAnsi="宋体" w:eastAsia="宋体" w:cs="宋体"/>
          <w:b/>
          <w:color w:val="000000" w:themeColor="text1"/>
          <w:sz w:val="24"/>
          <w:szCs w:val="24"/>
          <w:highlight w:val="none"/>
          <w14:textFill>
            <w14:solidFill>
              <w14:schemeClr w14:val="tx1"/>
            </w14:solidFill>
          </w14:textFill>
        </w:rPr>
        <w:t>的内容、期间：</w:t>
      </w: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highlight w:val="none"/>
          <w:u w:val="single"/>
          <w:lang w:val="en-US" w:eastAsia="zh-CN"/>
          <w14:textFill>
            <w14:solidFill>
              <w14:schemeClr w14:val="tx1"/>
            </w14:solidFill>
          </w14:textFill>
        </w:rPr>
        <w:t xml:space="preserve">                </w:t>
      </w:r>
    </w:p>
    <w:p>
      <w:pPr>
        <w:keepNext w:val="0"/>
        <w:keepLines w:val="0"/>
        <w:pageBreakBefore w:val="0"/>
        <w:numPr>
          <w:ilvl w:val="0"/>
          <w:numId w:val="6"/>
        </w:numPr>
        <w:kinsoku/>
        <w:wordWrap/>
        <w:overflowPunct/>
        <w:topLinePunct w:val="0"/>
        <w:bidi w:val="0"/>
        <w:adjustRightInd/>
        <w:spacing w:line="360" w:lineRule="auto"/>
        <w:ind w:firstLine="51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完成时间</w:t>
      </w:r>
    </w:p>
    <w:p>
      <w:pPr>
        <w:keepNext w:val="0"/>
        <w:keepLines w:val="0"/>
        <w:pageBreakBefore w:val="0"/>
        <w:kinsoku/>
        <w:wordWrap/>
        <w:overflowPunct/>
        <w:topLinePunct w:val="0"/>
        <w:bidi w:val="0"/>
        <w:adjustRightInd/>
        <w:spacing w:line="360" w:lineRule="auto"/>
        <w:ind w:firstLine="480"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1、乙方应于本合同签订后的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个工作日内，向甲方递交</w:t>
      </w:r>
      <w:r>
        <w:rPr>
          <w:rFonts w:hint="eastAsia" w:ascii="宋体" w:hAnsi="宋体" w:cs="宋体"/>
          <w:color w:val="000000" w:themeColor="text1"/>
          <w:sz w:val="24"/>
          <w:szCs w:val="24"/>
          <w:highlight w:val="none"/>
          <w:lang w:eastAsia="zh-CN"/>
          <w14:textFill>
            <w14:solidFill>
              <w14:schemeClr w14:val="tx1"/>
            </w14:solidFill>
          </w14:textFill>
        </w:rPr>
        <w:t>预算绩效评价咨询服务</w:t>
      </w:r>
      <w:r>
        <w:rPr>
          <w:rFonts w:hint="eastAsia" w:ascii="宋体" w:hAnsi="宋体" w:eastAsia="宋体" w:cs="宋体"/>
          <w:color w:val="000000" w:themeColor="text1"/>
          <w:sz w:val="24"/>
          <w:szCs w:val="24"/>
          <w:highlight w:val="none"/>
          <w14:textFill>
            <w14:solidFill>
              <w14:schemeClr w14:val="tx1"/>
            </w14:solidFill>
          </w14:textFill>
        </w:rPr>
        <w:t>工作方案。</w:t>
      </w:r>
    </w:p>
    <w:p>
      <w:pPr>
        <w:keepNext w:val="0"/>
        <w:keepLines w:val="0"/>
        <w:pageBreakBefore w:val="0"/>
        <w:kinsoku/>
        <w:wordWrap/>
        <w:overflowPunct/>
        <w:topLinePunct w:val="0"/>
        <w:autoSpaceDE w:val="0"/>
        <w:autoSpaceDN w:val="0"/>
        <w:bidi w:val="0"/>
        <w:adjustRightInd/>
        <w:spacing w:line="360" w:lineRule="auto"/>
        <w:ind w:firstLine="480"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2、乙方应在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日前，向甲方递交</w:t>
      </w:r>
      <w:r>
        <w:rPr>
          <w:rFonts w:hint="eastAsia" w:hAnsi="宋体" w:cs="宋体"/>
          <w:color w:val="000000" w:themeColor="text1"/>
          <w:sz w:val="24"/>
          <w:szCs w:val="24"/>
          <w:highlight w:val="none"/>
          <w:lang w:eastAsia="zh-CN"/>
          <w14:textFill>
            <w14:solidFill>
              <w14:schemeClr w14:val="tx1"/>
            </w14:solidFill>
          </w14:textFill>
        </w:rPr>
        <w:t>预算绩效评价咨询服务报告</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kinsoku/>
        <w:wordWrap/>
        <w:overflowPunct/>
        <w:topLinePunct w:val="0"/>
        <w:bidi w:val="0"/>
        <w:adjustRightInd/>
        <w:spacing w:line="360" w:lineRule="auto"/>
        <w:ind w:firstLine="51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四、</w:t>
      </w:r>
      <w:r>
        <w:rPr>
          <w:rFonts w:hint="eastAsia" w:ascii="宋体" w:hAnsi="宋体" w:cs="宋体"/>
          <w:b/>
          <w:color w:val="000000" w:themeColor="text1"/>
          <w:sz w:val="24"/>
          <w:szCs w:val="24"/>
          <w:highlight w:val="none"/>
          <w:lang w:eastAsia="zh-CN"/>
          <w14:textFill>
            <w14:solidFill>
              <w14:schemeClr w14:val="tx1"/>
            </w14:solidFill>
          </w14:textFill>
        </w:rPr>
        <w:t>预算绩效评价咨询服务报告</w:t>
      </w:r>
      <w:r>
        <w:rPr>
          <w:rFonts w:hint="eastAsia" w:ascii="宋体" w:hAnsi="宋体" w:eastAsia="宋体" w:cs="宋体"/>
          <w:b/>
          <w:color w:val="000000" w:themeColor="text1"/>
          <w:sz w:val="24"/>
          <w:szCs w:val="24"/>
          <w:highlight w:val="none"/>
          <w14:textFill>
            <w14:solidFill>
              <w14:schemeClr w14:val="tx1"/>
            </w14:solidFill>
          </w14:textFill>
        </w:rPr>
        <w:t>的使用范围和使用责任</w:t>
      </w:r>
    </w:p>
    <w:p>
      <w:pPr>
        <w:keepNext w:val="0"/>
        <w:keepLines w:val="0"/>
        <w:pageBreakBefore w:val="0"/>
        <w:kinsoku/>
        <w:wordWrap/>
        <w:overflowPunct/>
        <w:topLinePunct w:val="0"/>
        <w:bidi w:val="0"/>
        <w:adjustRightInd/>
        <w:spacing w:line="360" w:lineRule="auto"/>
        <w:ind w:firstLine="51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乙方向甲方出具</w:t>
      </w:r>
      <w:r>
        <w:rPr>
          <w:rFonts w:hint="eastAsia" w:ascii="宋体" w:hAnsi="宋体" w:cs="宋体"/>
          <w:color w:val="000000" w:themeColor="text1"/>
          <w:sz w:val="24"/>
          <w:szCs w:val="24"/>
          <w:highlight w:val="none"/>
          <w:lang w:eastAsia="zh-CN"/>
          <w14:textFill>
            <w14:solidFill>
              <w14:schemeClr w14:val="tx1"/>
            </w14:solidFill>
          </w14:textFill>
        </w:rPr>
        <w:t>预算绩效评价咨询服务报告</w:t>
      </w:r>
      <w:r>
        <w:rPr>
          <w:rFonts w:hint="eastAsia" w:ascii="宋体" w:hAnsi="宋体" w:eastAsia="宋体" w:cs="宋体"/>
          <w:bCs/>
          <w:color w:val="000000" w:themeColor="text1"/>
          <w:sz w:val="24"/>
          <w:szCs w:val="24"/>
          <w:highlight w:val="none"/>
          <w14:textFill>
            <w14:solidFill>
              <w14:schemeClr w14:val="tx1"/>
            </w14:solidFill>
          </w14:textFill>
        </w:rPr>
        <w:t xml:space="preserve">一式 </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份</w:t>
      </w:r>
      <w:r>
        <w:rPr>
          <w:rFonts w:hint="eastAsia" w:ascii="宋体" w:hAnsi="宋体" w:eastAsia="宋体" w:cs="宋体"/>
          <w:bCs/>
          <w:color w:val="000000" w:themeColor="text1"/>
          <w:sz w:val="24"/>
          <w:szCs w:val="24"/>
          <w:highlight w:val="none"/>
          <w14:textFill>
            <w14:solidFill>
              <w14:schemeClr w14:val="tx1"/>
            </w14:solidFill>
          </w14:textFill>
        </w:rPr>
        <w:t>，由甲方分发、使用。恰当使用</w:t>
      </w:r>
      <w:r>
        <w:rPr>
          <w:rFonts w:hint="eastAsia" w:ascii="宋体" w:hAnsi="宋体" w:cs="宋体"/>
          <w:color w:val="000000" w:themeColor="text1"/>
          <w:sz w:val="24"/>
          <w:szCs w:val="24"/>
          <w:highlight w:val="none"/>
          <w:lang w:eastAsia="zh-CN"/>
          <w14:textFill>
            <w14:solidFill>
              <w14:schemeClr w14:val="tx1"/>
            </w14:solidFill>
          </w14:textFill>
        </w:rPr>
        <w:t>预算绩效评价咨询服务报告</w:t>
      </w:r>
      <w:r>
        <w:rPr>
          <w:rFonts w:hint="eastAsia" w:ascii="宋体" w:hAnsi="宋体" w:eastAsia="宋体" w:cs="宋体"/>
          <w:bCs/>
          <w:color w:val="000000" w:themeColor="text1"/>
          <w:sz w:val="24"/>
          <w:szCs w:val="24"/>
          <w:highlight w:val="none"/>
          <w14:textFill>
            <w14:solidFill>
              <w14:schemeClr w14:val="tx1"/>
            </w14:solidFill>
          </w14:textFill>
        </w:rPr>
        <w:t>是甲方的责任，如出现使用不当的情况与乙方无关。</w:t>
      </w:r>
    </w:p>
    <w:p>
      <w:pPr>
        <w:keepNext w:val="0"/>
        <w:keepLines w:val="0"/>
        <w:pageBreakBefore w:val="0"/>
        <w:kinsoku/>
        <w:wordWrap/>
        <w:overflowPunct/>
        <w:topLinePunct w:val="0"/>
        <w:bidi w:val="0"/>
        <w:adjustRightInd/>
        <w:spacing w:line="360" w:lineRule="auto"/>
        <w:ind w:firstLine="51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五、服务要求</w:t>
      </w:r>
    </w:p>
    <w:p>
      <w:pPr>
        <w:keepNext w:val="0"/>
        <w:keepLines w:val="0"/>
        <w:pageBreakBefore w:val="0"/>
        <w:kinsoku/>
        <w:wordWrap/>
        <w:overflowPunct/>
        <w:topLinePunct w:val="0"/>
        <w:bidi w:val="0"/>
        <w:adjustRightInd/>
        <w:spacing w:line="360" w:lineRule="auto"/>
        <w:ind w:firstLine="51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乙方应遵守以下服务标准：</w:t>
      </w:r>
    </w:p>
    <w:p>
      <w:pPr>
        <w:snapToGrid w:val="0"/>
        <w:spacing w:line="360" w:lineRule="auto"/>
        <w:ind w:firstLine="480" w:firstLineChars="200"/>
        <w:rPr>
          <w:rFonts w:ascii="宋体" w:hAnsi="宋体"/>
          <w:highlight w:val="none"/>
        </w:rPr>
      </w:pPr>
      <w:r>
        <w:rPr>
          <w:rFonts w:hint="eastAsia" w:ascii="宋体" w:hAnsi="宋体"/>
          <w:highlight w:val="none"/>
        </w:rPr>
        <w:t>1.服务标准</w:t>
      </w:r>
    </w:p>
    <w:p>
      <w:pPr>
        <w:snapToGrid w:val="0"/>
        <w:spacing w:line="360" w:lineRule="auto"/>
        <w:ind w:firstLine="480" w:firstLineChars="200"/>
        <w:rPr>
          <w:rFonts w:ascii="宋体" w:hAnsi="宋体"/>
          <w:highlight w:val="none"/>
        </w:rPr>
      </w:pPr>
      <w:r>
        <w:rPr>
          <w:rFonts w:hint="eastAsia" w:ascii="宋体" w:hAnsi="宋体"/>
          <w:highlight w:val="none"/>
        </w:rPr>
        <w:t>1.1应当遵守法律、行政法规，恪守职业道德，遵循执业准则、规则，依法独立、客观、公正执业，受法律保护，任何单位和个人不得违法干预。</w:t>
      </w:r>
    </w:p>
    <w:p>
      <w:pPr>
        <w:snapToGrid w:val="0"/>
        <w:spacing w:line="360" w:lineRule="auto"/>
        <w:ind w:firstLine="480" w:firstLineChars="200"/>
        <w:rPr>
          <w:rFonts w:ascii="宋体" w:hAnsi="宋体"/>
          <w:highlight w:val="none"/>
        </w:rPr>
      </w:pPr>
      <w:r>
        <w:rPr>
          <w:rFonts w:hint="eastAsia" w:ascii="宋体" w:hAnsi="宋体"/>
          <w:highlight w:val="none"/>
        </w:rPr>
        <w:t>1.2应当接受财政部门依法实施的监督检查，如实提供中文工作底稿及相关资料，不得拒绝、延误、阻挠、逃避检查，不得谎报、隐匿、销毁相关证据材料。</w:t>
      </w:r>
    </w:p>
    <w:p>
      <w:pPr>
        <w:snapToGrid w:val="0"/>
        <w:spacing w:line="360" w:lineRule="auto"/>
        <w:ind w:firstLine="480" w:firstLineChars="200"/>
        <w:rPr>
          <w:rFonts w:ascii="宋体" w:hAnsi="宋体"/>
          <w:highlight w:val="none"/>
        </w:rPr>
      </w:pPr>
      <w:r>
        <w:rPr>
          <w:rFonts w:hint="eastAsia" w:ascii="宋体" w:hAnsi="宋体"/>
          <w:highlight w:val="none"/>
        </w:rPr>
        <w:t>1.3协助有关部门做好对</w:t>
      </w:r>
      <w:r>
        <w:rPr>
          <w:rFonts w:hint="eastAsia" w:ascii="宋体" w:hAnsi="宋体"/>
          <w:highlight w:val="none"/>
          <w:lang w:eastAsia="zh-CN"/>
        </w:rPr>
        <w:t>甲方</w:t>
      </w:r>
      <w:r>
        <w:rPr>
          <w:rFonts w:hint="eastAsia" w:ascii="宋体" w:hAnsi="宋体"/>
          <w:highlight w:val="none"/>
        </w:rPr>
        <w:t>经办人的廉政工作，防止腐败现象的出现。</w:t>
      </w:r>
    </w:p>
    <w:p>
      <w:pPr>
        <w:snapToGrid w:val="0"/>
        <w:spacing w:line="360" w:lineRule="auto"/>
        <w:ind w:firstLine="480" w:firstLineChars="200"/>
        <w:rPr>
          <w:rFonts w:ascii="宋体" w:hAnsi="宋体"/>
          <w:highlight w:val="none"/>
        </w:rPr>
      </w:pPr>
      <w:r>
        <w:rPr>
          <w:rFonts w:hint="eastAsia" w:ascii="宋体" w:hAnsi="宋体"/>
          <w:highlight w:val="none"/>
        </w:rPr>
        <w:t>1.4应当在接受委托、安排人员时应实行回避制度。</w:t>
      </w:r>
    </w:p>
    <w:p>
      <w:pPr>
        <w:snapToGrid w:val="0"/>
        <w:spacing w:line="360" w:lineRule="auto"/>
        <w:ind w:firstLine="480" w:firstLineChars="200"/>
        <w:rPr>
          <w:rFonts w:ascii="宋体" w:hAnsi="宋体"/>
          <w:highlight w:val="none"/>
        </w:rPr>
      </w:pPr>
      <w:r>
        <w:rPr>
          <w:rFonts w:hint="eastAsia" w:ascii="宋体" w:hAnsi="宋体"/>
          <w:highlight w:val="none"/>
        </w:rPr>
        <w:t>1.4.1第三方机构与被评项目（单位）存在经济利益关系或其他利益关系的，应主动回避，不得接受委托。</w:t>
      </w:r>
    </w:p>
    <w:p>
      <w:pPr>
        <w:snapToGrid w:val="0"/>
        <w:spacing w:line="360" w:lineRule="auto"/>
        <w:ind w:firstLine="480" w:firstLineChars="200"/>
        <w:rPr>
          <w:rFonts w:ascii="宋体" w:hAnsi="宋体"/>
          <w:highlight w:val="none"/>
        </w:rPr>
      </w:pPr>
      <w:r>
        <w:rPr>
          <w:rFonts w:hint="eastAsia" w:ascii="宋体" w:hAnsi="宋体"/>
          <w:highlight w:val="none"/>
        </w:rPr>
        <w:t>1.4.2参与评估、评审、评价人员与被评项目（单位）有经济利益关系、与被评项目（单位）负责人或主管人员有亲属关系（含：夫妻关系、直系血亲关系、三代以内血亲关系以及近姻亲关系）的，应主动回避，不得接受第三方机构的工作委派。</w:t>
      </w:r>
    </w:p>
    <w:p>
      <w:pPr>
        <w:snapToGrid w:val="0"/>
        <w:spacing w:line="360" w:lineRule="auto"/>
        <w:ind w:firstLine="480" w:firstLineChars="200"/>
        <w:rPr>
          <w:rFonts w:ascii="宋体" w:hAnsi="宋体"/>
          <w:highlight w:val="none"/>
        </w:rPr>
      </w:pPr>
      <w:r>
        <w:rPr>
          <w:rFonts w:hint="eastAsia" w:ascii="宋体" w:hAnsi="宋体"/>
          <w:highlight w:val="none"/>
        </w:rPr>
        <w:t>1.4.3被评方提出第三方机构回避申请的，由委托方审定是否应当回避。</w:t>
      </w:r>
    </w:p>
    <w:p>
      <w:pPr>
        <w:snapToGrid w:val="0"/>
        <w:spacing w:line="360" w:lineRule="auto"/>
        <w:ind w:firstLine="480" w:firstLineChars="200"/>
        <w:rPr>
          <w:rFonts w:ascii="宋体" w:hAnsi="宋体"/>
          <w:highlight w:val="none"/>
        </w:rPr>
      </w:pPr>
      <w:r>
        <w:rPr>
          <w:rFonts w:hint="eastAsia" w:ascii="宋体" w:hAnsi="宋体"/>
          <w:highlight w:val="none"/>
        </w:rPr>
        <w:t>1.4.4应当回避而不回避的，委托方发现后有权终止委托。</w:t>
      </w:r>
    </w:p>
    <w:p>
      <w:pPr>
        <w:snapToGrid w:val="0"/>
        <w:spacing w:line="360" w:lineRule="auto"/>
        <w:ind w:firstLine="480" w:firstLineChars="200"/>
        <w:rPr>
          <w:rFonts w:ascii="宋体" w:hAnsi="宋体"/>
          <w:highlight w:val="none"/>
        </w:rPr>
      </w:pPr>
      <w:r>
        <w:rPr>
          <w:rFonts w:hint="eastAsia" w:ascii="宋体" w:hAnsi="宋体"/>
          <w:highlight w:val="none"/>
        </w:rPr>
        <w:t>1.5不得将任何受托业务转包或未经委托方同意分包给其他单位或个人实施；严格遵守国家保密规定，有关绩效报告及相关资料未经委托方许可不得对外发布，也不得用于与受托业务无关的事项，聘请专家时应当签订保密协议；</w:t>
      </w:r>
    </w:p>
    <w:p>
      <w:pPr>
        <w:snapToGrid w:val="0"/>
        <w:spacing w:line="360" w:lineRule="auto"/>
        <w:ind w:firstLine="480" w:firstLineChars="200"/>
        <w:rPr>
          <w:rFonts w:ascii="宋体" w:hAnsi="宋体"/>
          <w:highlight w:val="none"/>
        </w:rPr>
      </w:pPr>
      <w:r>
        <w:rPr>
          <w:rFonts w:hint="eastAsia" w:ascii="宋体" w:hAnsi="宋体"/>
          <w:highlight w:val="none"/>
        </w:rPr>
        <w:t>1.6</w:t>
      </w:r>
      <w:r>
        <w:rPr>
          <w:rFonts w:hint="eastAsia" w:ascii="宋体" w:hAnsi="宋体"/>
          <w:highlight w:val="none"/>
          <w:lang w:eastAsia="zh-CN"/>
        </w:rPr>
        <w:t>乙方</w:t>
      </w:r>
      <w:r>
        <w:rPr>
          <w:rFonts w:hint="eastAsia" w:ascii="宋体" w:hAnsi="宋体"/>
          <w:highlight w:val="none"/>
        </w:rPr>
        <w:t>提交响应文件时须对服务内容进行保密承诺，并提供保密制度。</w:t>
      </w:r>
    </w:p>
    <w:p>
      <w:pPr>
        <w:snapToGrid w:val="0"/>
        <w:spacing w:line="360" w:lineRule="auto"/>
        <w:ind w:firstLine="480" w:firstLineChars="200"/>
        <w:rPr>
          <w:rFonts w:ascii="宋体" w:hAnsi="宋体"/>
          <w:highlight w:val="none"/>
        </w:rPr>
      </w:pPr>
      <w:r>
        <w:rPr>
          <w:rFonts w:hint="eastAsia" w:ascii="宋体" w:hAnsi="宋体"/>
          <w:highlight w:val="none"/>
        </w:rPr>
        <w:t>2.服务人员及技术保障</w:t>
      </w:r>
      <w:r>
        <w:rPr>
          <w:rFonts w:hint="eastAsia" w:ascii="宋体" w:hAnsi="宋体"/>
          <w:highlight w:val="none"/>
          <w:lang w:eastAsia="zh-CN"/>
        </w:rPr>
        <w:t>。乙方</w:t>
      </w:r>
      <w:r>
        <w:rPr>
          <w:rFonts w:hint="eastAsia" w:ascii="宋体" w:hAnsi="宋体"/>
          <w:highlight w:val="none"/>
        </w:rPr>
        <w:t>应当组织相应的技术人员组成服务团队，制定和建立严格的质量保证措施和管理制度，确保绩效评价工作按照</w:t>
      </w:r>
      <w:r>
        <w:rPr>
          <w:rFonts w:hint="eastAsia" w:ascii="宋体" w:hAnsi="宋体"/>
          <w:highlight w:val="none"/>
          <w:lang w:eastAsia="zh-CN"/>
        </w:rPr>
        <w:t>甲方</w:t>
      </w:r>
      <w:r>
        <w:rPr>
          <w:rFonts w:hint="eastAsia" w:ascii="宋体" w:hAnsi="宋体"/>
          <w:highlight w:val="none"/>
        </w:rPr>
        <w:t>要求保质保量完成。承担具体绩效评价任务的人员应具备开展预算绩效评价咨询服务业务的能力并承担相应风险，能够依法维护委托人的权益并保守秘密。对不称职或不能胜任评价任务的工作人员，</w:t>
      </w:r>
      <w:r>
        <w:rPr>
          <w:rFonts w:hint="eastAsia" w:ascii="宋体" w:hAnsi="宋体"/>
          <w:highlight w:val="none"/>
          <w:lang w:eastAsia="zh-CN"/>
        </w:rPr>
        <w:t>甲方</w:t>
      </w:r>
      <w:r>
        <w:rPr>
          <w:rFonts w:hint="eastAsia" w:ascii="宋体" w:hAnsi="宋体"/>
          <w:highlight w:val="none"/>
        </w:rPr>
        <w:t>有权要求更换。</w:t>
      </w:r>
      <w:r>
        <w:rPr>
          <w:rFonts w:hint="eastAsia" w:ascii="宋体" w:hAnsi="宋体"/>
          <w:kern w:val="0"/>
          <w:highlight w:val="none"/>
        </w:rPr>
        <w:t>中介机构</w:t>
      </w:r>
      <w:r>
        <w:rPr>
          <w:rFonts w:hint="eastAsia" w:ascii="宋体" w:hAnsi="宋体"/>
          <w:highlight w:val="none"/>
        </w:rPr>
        <w:t>不得出现未经</w:t>
      </w:r>
      <w:r>
        <w:rPr>
          <w:rFonts w:hint="eastAsia" w:ascii="宋体" w:hAnsi="宋体"/>
          <w:highlight w:val="none"/>
          <w:lang w:eastAsia="zh-CN"/>
        </w:rPr>
        <w:t>甲方</w:t>
      </w:r>
      <w:r>
        <w:rPr>
          <w:rFonts w:hint="eastAsia" w:ascii="宋体" w:hAnsi="宋体"/>
          <w:highlight w:val="none"/>
        </w:rPr>
        <w:t>批准调换服务人员、中途退出或派出的服务人员不遵守工作纪律或不称职等情况，</w:t>
      </w:r>
      <w:r>
        <w:rPr>
          <w:rFonts w:hint="eastAsia" w:ascii="宋体" w:hAnsi="宋体"/>
          <w:highlight w:val="none"/>
          <w:lang w:eastAsia="zh-CN"/>
        </w:rPr>
        <w:t>甲方</w:t>
      </w:r>
      <w:r>
        <w:rPr>
          <w:rFonts w:hint="eastAsia" w:ascii="宋体" w:hAnsi="宋体"/>
          <w:highlight w:val="none"/>
        </w:rPr>
        <w:t>视情况要求整改，情节严重的，</w:t>
      </w:r>
      <w:r>
        <w:rPr>
          <w:rFonts w:hint="eastAsia" w:ascii="宋体" w:hAnsi="宋体"/>
          <w:highlight w:val="none"/>
          <w:lang w:eastAsia="zh-CN"/>
        </w:rPr>
        <w:t>甲方</w:t>
      </w:r>
      <w:r>
        <w:rPr>
          <w:rFonts w:hint="eastAsia" w:ascii="宋体" w:hAnsi="宋体"/>
          <w:highlight w:val="none"/>
        </w:rPr>
        <w:t>有权终止合同。</w:t>
      </w:r>
    </w:p>
    <w:p>
      <w:pPr>
        <w:adjustRightInd w:val="0"/>
        <w:snapToGrid w:val="0"/>
        <w:spacing w:line="360" w:lineRule="auto"/>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.服务方案需经</w:t>
      </w:r>
      <w:r>
        <w:rPr>
          <w:rFonts w:hint="eastAsia" w:ascii="宋体" w:hAnsi="宋体"/>
          <w:color w:val="000000" w:themeColor="text1"/>
          <w:highlight w:val="none"/>
          <w:lang w:eastAsia="zh-CN"/>
          <w14:textFill>
            <w14:solidFill>
              <w14:schemeClr w14:val="tx1"/>
            </w14:solidFill>
          </w14:textFill>
        </w:rPr>
        <w:t>甲方</w:t>
      </w:r>
      <w:r>
        <w:rPr>
          <w:rFonts w:hint="eastAsia" w:ascii="宋体" w:hAnsi="宋体"/>
          <w:color w:val="000000" w:themeColor="text1"/>
          <w:highlight w:val="none"/>
          <w14:textFill>
            <w14:solidFill>
              <w14:schemeClr w14:val="tx1"/>
            </w14:solidFill>
          </w14:textFill>
        </w:rPr>
        <w:t>确认，方可实施具体项目。方案执行完后，出具报告前，应当征求</w:t>
      </w:r>
      <w:r>
        <w:rPr>
          <w:rFonts w:hint="eastAsia" w:ascii="宋体" w:hAnsi="宋体"/>
          <w:color w:val="000000" w:themeColor="text1"/>
          <w:highlight w:val="none"/>
          <w:lang w:eastAsia="zh-CN"/>
          <w14:textFill>
            <w14:solidFill>
              <w14:schemeClr w14:val="tx1"/>
            </w14:solidFill>
          </w14:textFill>
        </w:rPr>
        <w:t>甲方</w:t>
      </w:r>
      <w:r>
        <w:rPr>
          <w:rFonts w:hint="eastAsia" w:ascii="宋体" w:hAnsi="宋体"/>
          <w:color w:val="000000" w:themeColor="text1"/>
          <w:highlight w:val="none"/>
          <w14:textFill>
            <w14:solidFill>
              <w14:schemeClr w14:val="tx1"/>
            </w14:solidFill>
          </w14:textFill>
        </w:rPr>
        <w:t>意见。</w:t>
      </w:r>
    </w:p>
    <w:p>
      <w:pPr>
        <w:keepNext w:val="0"/>
        <w:keepLines w:val="0"/>
        <w:pageBreakBefore w:val="0"/>
        <w:kinsoku/>
        <w:wordWrap/>
        <w:overflowPunct/>
        <w:topLinePunct w:val="0"/>
        <w:bidi w:val="0"/>
        <w:adjustRightInd/>
        <w:spacing w:line="360" w:lineRule="auto"/>
        <w:ind w:left="51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六、</w:t>
      </w:r>
      <w:r>
        <w:rPr>
          <w:rFonts w:hint="eastAsia" w:ascii="宋体" w:hAnsi="宋体" w:cs="宋体"/>
          <w:b/>
          <w:color w:val="000000" w:themeColor="text1"/>
          <w:sz w:val="24"/>
          <w:szCs w:val="24"/>
          <w:highlight w:val="none"/>
          <w:lang w:eastAsia="zh-CN"/>
          <w14:textFill>
            <w14:solidFill>
              <w14:schemeClr w14:val="tx1"/>
            </w14:solidFill>
          </w14:textFill>
        </w:rPr>
        <w:t>预算绩效评价咨询服务</w:t>
      </w:r>
      <w:r>
        <w:rPr>
          <w:rFonts w:hint="eastAsia" w:ascii="宋体" w:hAnsi="宋体" w:eastAsia="宋体" w:cs="宋体"/>
          <w:b/>
          <w:color w:val="000000" w:themeColor="text1"/>
          <w:sz w:val="24"/>
          <w:szCs w:val="24"/>
          <w:highlight w:val="none"/>
          <w14:textFill>
            <w14:solidFill>
              <w14:schemeClr w14:val="tx1"/>
            </w14:solidFill>
          </w14:textFill>
        </w:rPr>
        <w:t>费结算和支付</w:t>
      </w:r>
    </w:p>
    <w:p>
      <w:pPr>
        <w:pStyle w:val="10"/>
        <w:keepNext w:val="0"/>
        <w:keepLines w:val="0"/>
        <w:pageBreakBefore w:val="0"/>
        <w:kinsoku/>
        <w:wordWrap/>
        <w:overflowPunct/>
        <w:topLinePunct w:val="0"/>
        <w:bidi w:val="0"/>
        <w:adjustRightInd/>
        <w:spacing w:line="360" w:lineRule="auto"/>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（一）收费标准：</w:t>
      </w:r>
    </w:p>
    <w:tbl>
      <w:tblPr>
        <w:tblStyle w:val="19"/>
        <w:tblW w:w="9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0"/>
        <w:gridCol w:w="6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864" w:type="dxa"/>
            <w:gridSpan w:val="2"/>
            <w:shd w:val="clear" w:color="auto" w:fill="F1F1F1" w:themeFill="background1" w:themeFillShade="F2"/>
            <w:vAlign w:val="center"/>
          </w:tcPr>
          <w:p>
            <w:pPr>
              <w:pStyle w:val="11"/>
              <w:keepNext w:val="0"/>
              <w:keepLines w:val="0"/>
              <w:pageBreakBefore w:val="0"/>
              <w:kinsoku/>
              <w:wordWrap/>
              <w:overflowPunct/>
              <w:topLinePunct w:val="0"/>
              <w:bidi w:val="0"/>
              <w:adjustRightInd/>
              <w:spacing w:line="360" w:lineRule="auto"/>
              <w:ind w:firstLine="0"/>
              <w:jc w:val="center"/>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一、</w:t>
            </w:r>
            <w:r>
              <w:rPr>
                <w:rFonts w:hint="eastAsia" w:ascii="宋体" w:hAnsi="宋体" w:cs="宋体"/>
                <w:b/>
                <w:color w:val="000000" w:themeColor="text1"/>
                <w:kern w:val="0"/>
                <w:sz w:val="24"/>
                <w:szCs w:val="24"/>
                <w:highlight w:val="none"/>
                <w:lang w:eastAsia="zh-CN"/>
                <w14:textFill>
                  <w14:solidFill>
                    <w14:schemeClr w14:val="tx1"/>
                  </w14:solidFill>
                </w14:textFill>
              </w:rPr>
              <w:t>预算绩效评价咨询服务</w:t>
            </w:r>
            <w:r>
              <w:rPr>
                <w:rFonts w:hint="eastAsia" w:ascii="宋体" w:hAnsi="宋体" w:eastAsia="宋体" w:cs="宋体"/>
                <w:b/>
                <w:color w:val="000000" w:themeColor="text1"/>
                <w:kern w:val="0"/>
                <w:sz w:val="24"/>
                <w:szCs w:val="24"/>
                <w:highlight w:val="none"/>
                <w14:textFill>
                  <w14:solidFill>
                    <w14:schemeClr w14:val="tx1"/>
                  </w14:solidFill>
                </w14:textFill>
              </w:rPr>
              <w:t>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140" w:type="dxa"/>
            <w:shd w:val="clear" w:color="auto" w:fill="F1F1F1" w:themeFill="background1" w:themeFillShade="F2"/>
            <w:vAlign w:val="center"/>
          </w:tcPr>
          <w:p>
            <w:pPr>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highlight w:val="none"/>
                <w:lang w:eastAsia="zh-CN"/>
              </w:rPr>
              <w:t>计价项目名称</w:t>
            </w:r>
          </w:p>
        </w:tc>
        <w:tc>
          <w:tcPr>
            <w:tcW w:w="6724" w:type="dxa"/>
            <w:shd w:val="clear" w:color="auto" w:fill="F1F1F1" w:themeFill="background1" w:themeFillShade="F2"/>
            <w:vAlign w:val="center"/>
          </w:tcPr>
          <w:p>
            <w:pPr>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cs="Arial"/>
                <w:highlight w:val="none"/>
              </w:rPr>
              <w:t>最高限制单价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3140" w:type="dxa"/>
            <w:shd w:val="clear" w:color="auto" w:fill="F1F1F1" w:themeFill="background1" w:themeFillShade="F2"/>
            <w:vAlign w:val="center"/>
          </w:tcPr>
          <w:p>
            <w:pPr>
              <w:snapToGrid w:val="0"/>
              <w:spacing w:line="360" w:lineRule="auto"/>
              <w:rPr>
                <w:rFonts w:hint="eastAsia"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cs="Arial"/>
                <w:highlight w:val="none"/>
                <w:lang w:eastAsia="zh-CN"/>
              </w:rPr>
              <w:t>预算绩效评价咨询服务</w:t>
            </w:r>
          </w:p>
        </w:tc>
        <w:tc>
          <w:tcPr>
            <w:tcW w:w="6724" w:type="dxa"/>
            <w:shd w:val="clear" w:color="auto" w:fill="F1F1F1" w:themeFill="background1" w:themeFillShade="F2"/>
            <w:vAlign w:val="center"/>
          </w:tcPr>
          <w:p>
            <w:pPr>
              <w:snapToGrid w:val="0"/>
              <w:spacing w:line="360" w:lineRule="auto"/>
              <w:rPr>
                <w:rFonts w:hint="eastAsia" w:hAnsi="宋体" w:cs="宋体"/>
                <w:sz w:val="24"/>
                <w:highlight w:val="none"/>
              </w:rPr>
            </w:pPr>
            <w:r>
              <w:rPr>
                <w:rFonts w:hint="eastAsia" w:hAnsi="宋体" w:cs="宋体"/>
                <w:sz w:val="24"/>
                <w:highlight w:val="none"/>
              </w:rPr>
              <w:t>中级技术职称及以下专业人员</w:t>
            </w:r>
            <w:r>
              <w:rPr>
                <w:rFonts w:hint="eastAsia" w:ascii="宋体" w:hAnsi="宋体" w:cs="宋体"/>
                <w:sz w:val="24"/>
                <w:szCs w:val="24"/>
                <w:highlight w:val="none"/>
                <w:lang w:val="en-US" w:eastAsia="zh-CN"/>
              </w:rPr>
              <w:t>3</w:t>
            </w:r>
            <w:r>
              <w:rPr>
                <w:rFonts w:hint="default" w:ascii="宋体" w:hAnsi="宋体" w:cs="宋体"/>
                <w:sz w:val="24"/>
                <w:szCs w:val="24"/>
                <w:highlight w:val="none"/>
                <w:lang w:val="en-US"/>
              </w:rPr>
              <w:t>00</w:t>
            </w:r>
            <w:r>
              <w:rPr>
                <w:rFonts w:hint="eastAsia" w:ascii="宋体" w:hAnsi="宋体" w:eastAsia="宋体" w:cs="宋体"/>
                <w:sz w:val="24"/>
                <w:szCs w:val="24"/>
                <w:highlight w:val="none"/>
              </w:rPr>
              <w:t>元/人·</w:t>
            </w:r>
            <w:r>
              <w:rPr>
                <w:rFonts w:hint="eastAsia" w:ascii="宋体" w:hAnsi="宋体" w:cs="宋体"/>
                <w:sz w:val="24"/>
                <w:szCs w:val="24"/>
                <w:highlight w:val="none"/>
                <w:lang w:eastAsia="zh-CN"/>
              </w:rPr>
              <w:t>半</w:t>
            </w:r>
            <w:r>
              <w:rPr>
                <w:rFonts w:hint="eastAsia" w:ascii="宋体" w:hAnsi="宋体" w:eastAsia="宋体" w:cs="宋体"/>
                <w:sz w:val="24"/>
                <w:szCs w:val="24"/>
                <w:highlight w:val="none"/>
              </w:rPr>
              <w:t>天</w:t>
            </w:r>
            <w:r>
              <w:rPr>
                <w:rFonts w:hint="eastAsia" w:hAnsi="宋体" w:cs="宋体"/>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color w:val="000000" w:themeColor="text1"/>
                <w:kern w:val="0"/>
                <w:sz w:val="24"/>
                <w:szCs w:val="24"/>
                <w:highlight w:val="none"/>
                <w:lang w:val="en-US"/>
                <w14:textFill>
                  <w14:solidFill>
                    <w14:schemeClr w14:val="tx1"/>
                  </w14:solidFill>
                </w14:textFill>
              </w:rPr>
            </w:pPr>
            <w:r>
              <w:rPr>
                <w:rFonts w:hint="eastAsia" w:hAnsi="宋体" w:cs="宋体"/>
                <w:sz w:val="24"/>
                <w:highlight w:val="none"/>
              </w:rPr>
              <w:t>副高级技术职称专业人员以上、注册会计师或其他同等资格人员</w:t>
            </w:r>
            <w:r>
              <w:rPr>
                <w:rFonts w:hint="eastAsia" w:ascii="宋体" w:hAnsi="宋体" w:cs="宋体"/>
                <w:sz w:val="24"/>
                <w:szCs w:val="24"/>
                <w:highlight w:val="none"/>
                <w:lang w:val="en-US" w:eastAsia="zh-CN"/>
              </w:rPr>
              <w:t>6</w:t>
            </w:r>
            <w:r>
              <w:rPr>
                <w:rFonts w:hint="default" w:ascii="宋体" w:hAnsi="宋体" w:cs="宋体"/>
                <w:sz w:val="24"/>
                <w:szCs w:val="24"/>
                <w:highlight w:val="none"/>
                <w:lang w:val="en-US"/>
              </w:rPr>
              <w:t>00</w:t>
            </w:r>
            <w:r>
              <w:rPr>
                <w:rFonts w:hint="eastAsia" w:ascii="宋体" w:hAnsi="宋体" w:eastAsia="宋体" w:cs="宋体"/>
                <w:sz w:val="24"/>
                <w:szCs w:val="24"/>
                <w:highlight w:val="none"/>
              </w:rPr>
              <w:t>元/人·</w:t>
            </w:r>
            <w:r>
              <w:rPr>
                <w:rFonts w:hint="eastAsia" w:ascii="宋体" w:hAnsi="宋体" w:cs="宋体"/>
                <w:sz w:val="24"/>
                <w:szCs w:val="24"/>
                <w:highlight w:val="none"/>
                <w:lang w:eastAsia="zh-CN"/>
              </w:rPr>
              <w:t>半</w:t>
            </w:r>
            <w:r>
              <w:rPr>
                <w:rFonts w:hint="eastAsia" w:ascii="宋体" w:hAnsi="宋体" w:eastAsia="宋体" w:cs="宋体"/>
                <w:sz w:val="24"/>
                <w:szCs w:val="24"/>
                <w:highlight w:val="none"/>
              </w:rPr>
              <w:t>天</w:t>
            </w:r>
            <w:r>
              <w:rPr>
                <w:rFonts w:hint="eastAsia" w:hAnsi="宋体" w:cs="宋体"/>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64" w:type="dxa"/>
            <w:gridSpan w:val="2"/>
            <w:shd w:val="clear" w:color="auto" w:fill="F1F1F1" w:themeFill="background1" w:themeFillShade="F2"/>
            <w:vAlign w:val="center"/>
          </w:tcPr>
          <w:p>
            <w:pPr>
              <w:keepNext w:val="0"/>
              <w:keepLines w:val="0"/>
              <w:pageBreakBefore w:val="0"/>
              <w:kinsoku/>
              <w:wordWrap/>
              <w:overflowPunct/>
              <w:topLinePunct w:val="0"/>
              <w:bidi w:val="0"/>
              <w:adjustRightInd/>
              <w:spacing w:line="360" w:lineRule="auto"/>
              <w:textAlignment w:val="auto"/>
              <w:rPr>
                <w:rFonts w:hint="eastAsia" w:ascii="宋体" w:hAnsi="宋体" w:eastAsia="宋体" w:cs="宋体"/>
                <w:sz w:val="24"/>
                <w:szCs w:val="24"/>
                <w:highlight w:val="none"/>
              </w:rPr>
            </w:pPr>
            <w:r>
              <w:rPr>
                <w:rFonts w:hint="eastAsia" w:hAnsi="宋体" w:cs="宋体"/>
                <w:sz w:val="24"/>
                <w:highlight w:val="none"/>
                <w:lang w:eastAsia="zh-CN"/>
              </w:rPr>
              <w:t>注：</w:t>
            </w:r>
            <w:r>
              <w:rPr>
                <w:rFonts w:hint="eastAsia" w:hAnsi="宋体" w:cs="宋体"/>
                <w:sz w:val="24"/>
                <w:highlight w:val="none"/>
              </w:rPr>
              <w:t>需赴外地的，差旅费按政府机关出差标准据实计算，并按规定执行</w:t>
            </w: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864" w:type="dxa"/>
            <w:gridSpan w:val="2"/>
            <w:shd w:val="clear" w:color="auto" w:fill="F1F1F1" w:themeFill="background1" w:themeFillShade="F2"/>
            <w:vAlign w:val="center"/>
          </w:tcPr>
          <w:p>
            <w:pPr>
              <w:pStyle w:val="11"/>
              <w:keepNext w:val="0"/>
              <w:keepLines w:val="0"/>
              <w:pageBreakBefore w:val="0"/>
              <w:kinsoku/>
              <w:wordWrap/>
              <w:overflowPunct/>
              <w:topLinePunct w:val="0"/>
              <w:bidi w:val="0"/>
              <w:adjustRightInd/>
              <w:spacing w:line="360" w:lineRule="auto"/>
              <w:jc w:val="center"/>
              <w:textAlignment w:val="auto"/>
              <w:rPr>
                <w:rFonts w:hint="eastAsia" w:ascii="宋体" w:hAnsi="宋体" w:eastAsia="宋体" w:cs="宋体"/>
                <w:bCs/>
                <w:kern w:val="0"/>
                <w:sz w:val="24"/>
                <w:szCs w:val="24"/>
                <w:highlight w:val="none"/>
                <w:lang w:val="en-US"/>
              </w:rPr>
            </w:pPr>
            <w:r>
              <w:rPr>
                <w:rFonts w:hint="eastAsia" w:ascii="宋体" w:hAnsi="宋体" w:eastAsia="宋体" w:cs="宋体"/>
                <w:b/>
                <w:kern w:val="0"/>
                <w:sz w:val="24"/>
                <w:szCs w:val="24"/>
                <w:highlight w:val="none"/>
              </w:rPr>
              <w:t>二、乙方第一阶段响应报价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3140" w:type="dxa"/>
            <w:shd w:val="clear" w:color="auto" w:fill="F1F1F1" w:themeFill="background1" w:themeFillShade="F2"/>
            <w:vAlign w:val="center"/>
          </w:tcPr>
          <w:p>
            <w:pPr>
              <w:keepNext w:val="0"/>
              <w:keepLines w:val="0"/>
              <w:pageBreakBefore w:val="0"/>
              <w:widowControl/>
              <w:kinsoku/>
              <w:wordWrap/>
              <w:overflowPunct/>
              <w:topLinePunct w:val="0"/>
              <w:bidi w:val="0"/>
              <w:adjustRightInd/>
              <w:spacing w:line="360" w:lineRule="auto"/>
              <w:jc w:val="center"/>
              <w:textAlignment w:val="auto"/>
              <w:rPr>
                <w:rFonts w:hint="eastAsia" w:ascii="宋体" w:hAnsi="宋体" w:eastAsia="宋体" w:cs="宋体"/>
                <w:b/>
                <w:bCs/>
                <w:sz w:val="24"/>
                <w:szCs w:val="24"/>
                <w:highlight w:val="none"/>
                <w:u w:val="none"/>
              </w:rPr>
            </w:pPr>
            <w:r>
              <w:rPr>
                <w:rFonts w:hint="eastAsia" w:ascii="宋体" w:hAnsi="宋体" w:eastAsia="宋体" w:cs="宋体"/>
                <w:b/>
                <w:bCs/>
                <w:kern w:val="0"/>
                <w:sz w:val="24"/>
                <w:szCs w:val="24"/>
                <w:highlight w:val="none"/>
                <w:u w:val="none"/>
                <w:lang w:val="zh-CN"/>
              </w:rPr>
              <w:t>优惠率</w:t>
            </w:r>
          </w:p>
        </w:tc>
        <w:tc>
          <w:tcPr>
            <w:tcW w:w="6724" w:type="dxa"/>
            <w:shd w:val="clear" w:color="auto" w:fill="auto"/>
            <w:vAlign w:val="center"/>
          </w:tcPr>
          <w:p>
            <w:pPr>
              <w:keepNext w:val="0"/>
              <w:keepLines w:val="0"/>
              <w:pageBreakBefore w:val="0"/>
              <w:widowControl/>
              <w:kinsoku/>
              <w:wordWrap/>
              <w:overflowPunct/>
              <w:topLinePunct w:val="0"/>
              <w:bidi w:val="0"/>
              <w:adjustRightInd/>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864" w:type="dxa"/>
            <w:gridSpan w:val="2"/>
            <w:shd w:val="clear" w:color="auto" w:fill="F1F1F1" w:themeFill="background1" w:themeFillShade="F2"/>
            <w:vAlign w:val="center"/>
          </w:tcPr>
          <w:p>
            <w:pPr>
              <w:keepNext w:val="0"/>
              <w:keepLines w:val="0"/>
              <w:pageBreakBefore w:val="0"/>
              <w:widowControl/>
              <w:kinsoku/>
              <w:wordWrap/>
              <w:overflowPunct/>
              <w:topLinePunct w:val="0"/>
              <w:bidi w:val="0"/>
              <w:adjustRightInd/>
              <w:spacing w:line="360" w:lineRule="auto"/>
              <w:jc w:val="center"/>
              <w:textAlignment w:val="auto"/>
              <w:rPr>
                <w:rFonts w:hint="eastAsia" w:ascii="宋体" w:hAnsi="宋体" w:eastAsia="宋体" w:cs="宋体"/>
                <w:bCs/>
                <w:kern w:val="0"/>
                <w:sz w:val="24"/>
                <w:szCs w:val="24"/>
                <w:highlight w:val="none"/>
                <w:u w:val="single"/>
              </w:rPr>
            </w:pPr>
            <w:r>
              <w:rPr>
                <w:rFonts w:hint="eastAsia" w:ascii="宋体" w:hAnsi="宋体" w:cs="宋体"/>
                <w:b/>
                <w:kern w:val="0"/>
                <w:sz w:val="24"/>
                <w:szCs w:val="24"/>
                <w:highlight w:val="none"/>
                <w:lang w:eastAsia="zh-CN"/>
              </w:rPr>
              <w:t>三</w:t>
            </w:r>
            <w:r>
              <w:rPr>
                <w:rFonts w:hint="eastAsia" w:ascii="宋体" w:hAnsi="宋体" w:eastAsia="宋体" w:cs="宋体"/>
                <w:b/>
                <w:kern w:val="0"/>
                <w:sz w:val="24"/>
                <w:szCs w:val="24"/>
                <w:highlight w:val="none"/>
              </w:rPr>
              <w:t>、乙方第</w:t>
            </w:r>
            <w:r>
              <w:rPr>
                <w:rFonts w:hint="eastAsia" w:ascii="宋体" w:hAnsi="宋体" w:cs="宋体"/>
                <w:b/>
                <w:kern w:val="0"/>
                <w:sz w:val="24"/>
                <w:szCs w:val="24"/>
                <w:highlight w:val="none"/>
                <w:lang w:eastAsia="zh-CN"/>
              </w:rPr>
              <w:t>二</w:t>
            </w:r>
            <w:r>
              <w:rPr>
                <w:rFonts w:hint="eastAsia" w:ascii="宋体" w:hAnsi="宋体" w:eastAsia="宋体" w:cs="宋体"/>
                <w:b/>
                <w:kern w:val="0"/>
                <w:sz w:val="24"/>
                <w:szCs w:val="24"/>
                <w:highlight w:val="none"/>
              </w:rPr>
              <w:t>阶段报价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3140" w:type="dxa"/>
            <w:shd w:val="clear" w:color="auto" w:fill="F1F1F1" w:themeFill="background1" w:themeFillShade="F2"/>
            <w:vAlign w:val="center"/>
          </w:tcPr>
          <w:p>
            <w:pPr>
              <w:keepNext w:val="0"/>
              <w:keepLines w:val="0"/>
              <w:pageBreakBefore w:val="0"/>
              <w:widowControl/>
              <w:kinsoku/>
              <w:wordWrap/>
              <w:overflowPunct/>
              <w:topLinePunct w:val="0"/>
              <w:bidi w:val="0"/>
              <w:adjustRightInd/>
              <w:spacing w:line="360" w:lineRule="auto"/>
              <w:jc w:val="center"/>
              <w:textAlignment w:val="auto"/>
              <w:rPr>
                <w:rFonts w:hint="eastAsia" w:ascii="宋体" w:hAnsi="宋体" w:eastAsia="宋体" w:cs="宋体"/>
                <w:b/>
                <w:kern w:val="0"/>
                <w:sz w:val="24"/>
                <w:szCs w:val="24"/>
                <w:highlight w:val="none"/>
                <w:lang w:val="zh-CN"/>
              </w:rPr>
            </w:pPr>
            <w:r>
              <w:rPr>
                <w:rFonts w:hint="eastAsia" w:ascii="宋体" w:hAnsi="宋体" w:eastAsia="宋体" w:cs="宋体"/>
                <w:b/>
                <w:bCs/>
                <w:kern w:val="0"/>
                <w:sz w:val="24"/>
                <w:szCs w:val="24"/>
                <w:highlight w:val="none"/>
                <w:u w:val="none"/>
                <w:lang w:val="zh-CN"/>
              </w:rPr>
              <w:t>优惠率</w:t>
            </w:r>
          </w:p>
        </w:tc>
        <w:tc>
          <w:tcPr>
            <w:tcW w:w="6724" w:type="dxa"/>
            <w:shd w:val="clear" w:color="auto" w:fill="auto"/>
            <w:vAlign w:val="center"/>
          </w:tcPr>
          <w:p>
            <w:pPr>
              <w:keepNext w:val="0"/>
              <w:keepLines w:val="0"/>
              <w:pageBreakBefore w:val="0"/>
              <w:widowControl/>
              <w:kinsoku/>
              <w:wordWrap/>
              <w:overflowPunct/>
              <w:topLinePunct w:val="0"/>
              <w:bidi w:val="0"/>
              <w:adjustRightInd/>
              <w:spacing w:line="360" w:lineRule="auto"/>
              <w:jc w:val="center"/>
              <w:textAlignment w:val="auto"/>
              <w:rPr>
                <w:rFonts w:hint="eastAsia" w:ascii="宋体" w:hAnsi="宋体" w:eastAsia="宋体" w:cs="宋体"/>
                <w:bCs/>
                <w:kern w:val="0"/>
                <w:sz w:val="24"/>
                <w:szCs w:val="24"/>
                <w:highlight w:val="none"/>
                <w:u w:val="single"/>
              </w:rPr>
            </w:pPr>
            <w:r>
              <w:rPr>
                <w:rFonts w:hint="eastAsia"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864" w:type="dxa"/>
            <w:gridSpan w:val="2"/>
            <w:shd w:val="clear" w:color="auto" w:fill="F1F1F1" w:themeFill="background1" w:themeFillShade="F2"/>
            <w:vAlign w:val="center"/>
          </w:tcPr>
          <w:p>
            <w:pPr>
              <w:pStyle w:val="10"/>
              <w:keepNext w:val="0"/>
              <w:keepLines w:val="0"/>
              <w:pageBreakBefore w:val="0"/>
              <w:kinsoku/>
              <w:wordWrap/>
              <w:overflowPunct/>
              <w:topLinePunct w:val="0"/>
              <w:bidi w:val="0"/>
              <w:adjustRightInd/>
              <w:spacing w:line="360" w:lineRule="auto"/>
              <w:textAlignment w:val="auto"/>
              <w:rPr>
                <w:rFonts w:hint="eastAsia" w:ascii="宋体" w:hAnsi="宋体" w:eastAsia="宋体" w:cs="宋体"/>
                <w:bCs/>
                <w:kern w:val="0"/>
                <w:sz w:val="24"/>
                <w:szCs w:val="24"/>
                <w:highlight w:val="none"/>
                <w:lang w:val="en-US"/>
              </w:rPr>
            </w:pPr>
            <w:r>
              <w:rPr>
                <w:rFonts w:hint="eastAsia" w:ascii="宋体" w:hAnsi="宋体" w:eastAsia="宋体" w:cs="宋体"/>
                <w:bCs/>
                <w:sz w:val="24"/>
                <w:szCs w:val="24"/>
                <w:highlight w:val="none"/>
              </w:rPr>
              <w:t>第一阶段响应报价（即协议价格）是</w:t>
            </w:r>
            <w:r>
              <w:rPr>
                <w:rFonts w:hint="eastAsia" w:ascii="宋体" w:hAnsi="宋体" w:cs="宋体"/>
                <w:bCs/>
                <w:sz w:val="24"/>
                <w:szCs w:val="24"/>
                <w:highlight w:val="none"/>
                <w:lang w:eastAsia="zh-CN"/>
              </w:rPr>
              <w:t>甲方</w:t>
            </w:r>
            <w:r>
              <w:rPr>
                <w:rFonts w:hint="eastAsia" w:ascii="宋体" w:hAnsi="宋体" w:eastAsia="宋体" w:cs="宋体"/>
                <w:bCs/>
                <w:sz w:val="24"/>
                <w:szCs w:val="24"/>
                <w:highlight w:val="none"/>
              </w:rPr>
              <w:t>确定第二阶段成交</w:t>
            </w:r>
            <w:r>
              <w:rPr>
                <w:rFonts w:hint="eastAsia" w:ascii="宋体" w:hAnsi="宋体" w:cs="宋体"/>
                <w:bCs/>
                <w:sz w:val="24"/>
                <w:szCs w:val="24"/>
                <w:highlight w:val="none"/>
                <w:lang w:eastAsia="zh-CN"/>
              </w:rPr>
              <w:t>乙方</w:t>
            </w:r>
            <w:r>
              <w:rPr>
                <w:rFonts w:hint="eastAsia" w:ascii="宋体" w:hAnsi="宋体" w:eastAsia="宋体" w:cs="宋体"/>
                <w:bCs/>
                <w:sz w:val="24"/>
                <w:szCs w:val="24"/>
                <w:highlight w:val="none"/>
              </w:rPr>
              <w:t>的最高限价。</w:t>
            </w:r>
          </w:p>
        </w:tc>
      </w:tr>
    </w:tbl>
    <w:p>
      <w:pPr>
        <w:pStyle w:val="2"/>
        <w:keepNext w:val="0"/>
        <w:keepLines w:val="0"/>
        <w:pageBreakBefore w:val="0"/>
        <w:numPr>
          <w:ilvl w:val="0"/>
          <w:numId w:val="7"/>
        </w:numPr>
        <w:kinsoku/>
        <w:wordWrap/>
        <w:overflowPunct/>
        <w:topLinePunct w:val="0"/>
        <w:bidi w:val="0"/>
        <w:adjustRightInd/>
        <w:spacing w:line="360" w:lineRule="auto"/>
        <w:ind w:left="0" w:leftChars="0" w:firstLine="0" w:firstLineChars="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w:t>
      </w:r>
      <w:r>
        <w:rPr>
          <w:rFonts w:hint="eastAsia" w:hAnsi="宋体" w:cs="宋体"/>
          <w:color w:val="000000" w:themeColor="text1"/>
          <w:sz w:val="24"/>
          <w:szCs w:val="24"/>
          <w:highlight w:val="none"/>
          <w:lang w:eastAsia="zh-CN"/>
          <w14:textFill>
            <w14:solidFill>
              <w14:schemeClr w14:val="tx1"/>
            </w14:solidFill>
          </w14:textFill>
        </w:rPr>
        <w:t>预算绩效评价咨询服务</w:t>
      </w:r>
      <w:r>
        <w:rPr>
          <w:rFonts w:hint="eastAsia" w:ascii="宋体" w:hAnsi="宋体" w:eastAsia="宋体" w:cs="宋体"/>
          <w:color w:val="000000" w:themeColor="text1"/>
          <w:sz w:val="24"/>
          <w:szCs w:val="24"/>
          <w:highlight w:val="none"/>
          <w14:textFill>
            <w14:solidFill>
              <w14:schemeClr w14:val="tx1"/>
            </w14:solidFill>
          </w14:textFill>
        </w:rPr>
        <w:t>费计费方式为：</w:t>
      </w:r>
    </w:p>
    <w:p>
      <w:pPr>
        <w:pStyle w:val="2"/>
        <w:keepNext w:val="0"/>
        <w:keepLines w:val="0"/>
        <w:pageBreakBefore w:val="0"/>
        <w:kinsoku/>
        <w:wordWrap/>
        <w:overflowPunct/>
        <w:topLinePunct w:val="0"/>
        <w:bidi w:val="0"/>
        <w:adjustRightInd/>
        <w:spacing w:line="360" w:lineRule="auto"/>
        <w:ind w:left="0" w:leftChars="0" w:firstLine="48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按工作量计时收费方式：（具体服务人员的工日数在验收资料里列明）</w:t>
      </w:r>
    </w:p>
    <w:p>
      <w:pPr>
        <w:pStyle w:val="2"/>
        <w:keepNext w:val="0"/>
        <w:keepLines w:val="0"/>
        <w:pageBreakBefore w:val="0"/>
        <w:kinsoku/>
        <w:wordWrap/>
        <w:overflowPunct/>
        <w:topLinePunct w:val="0"/>
        <w:bidi w:val="0"/>
        <w:adjustRightInd/>
        <w:spacing w:line="360" w:lineRule="auto"/>
        <w:ind w:left="0" w:leftChars="0" w:firstLine="48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sym w:font="Wingdings 2" w:char="00A3"/>
      </w:r>
      <w:r>
        <w:rPr>
          <w:rFonts w:hint="eastAsia" w:hAnsi="宋体" w:cs="宋体"/>
          <w:sz w:val="24"/>
          <w:highlight w:val="none"/>
        </w:rPr>
        <w:t>中级技术职称及以下专业人员</w:t>
      </w:r>
      <w:r>
        <w:rPr>
          <w:rFonts w:hint="eastAsia" w:ascii="宋体" w:hAnsi="宋体" w:eastAsia="宋体" w:cs="宋体"/>
          <w:color w:val="000000" w:themeColor="text1"/>
          <w:sz w:val="24"/>
          <w:szCs w:val="24"/>
          <w:highlight w:val="none"/>
          <w14:textFill>
            <w14:solidFill>
              <w14:schemeClr w14:val="tx1"/>
            </w14:solidFill>
          </w14:textFill>
        </w:rPr>
        <w:t>收费元/半</w:t>
      </w:r>
      <w:r>
        <w:rPr>
          <w:rFonts w:hint="eastAsia" w:ascii="宋体" w:hAnsi="宋体" w:eastAsia="宋体" w:cs="宋体"/>
          <w:bCs/>
          <w:color w:val="000000" w:themeColor="text1"/>
          <w:sz w:val="24"/>
          <w:szCs w:val="24"/>
          <w:highlight w:val="none"/>
          <w14:textFill>
            <w14:solidFill>
              <w14:schemeClr w14:val="tx1"/>
            </w14:solidFill>
          </w14:textFill>
        </w:rPr>
        <w:t>天•人，人数</w:t>
      </w:r>
      <w:r>
        <w:rPr>
          <w:rFonts w:hint="eastAsia" w:ascii="宋体" w:hAnsi="宋体" w:eastAsia="宋体" w:cs="宋体"/>
          <w:bCs/>
          <w:sz w:val="24"/>
          <w:szCs w:val="24"/>
          <w:highlight w:val="none"/>
          <w:u w:val="single"/>
        </w:rPr>
        <w:t xml:space="preserve">    </w:t>
      </w:r>
      <w:r>
        <w:rPr>
          <w:rFonts w:hint="eastAsia" w:hAnsi="宋体" w:cs="宋体"/>
          <w:bCs/>
          <w:color w:val="000000" w:themeColor="text1"/>
          <w:sz w:val="24"/>
          <w:szCs w:val="24"/>
          <w:highlight w:val="none"/>
          <w:lang w:eastAsia="zh-CN"/>
          <w14:textFill>
            <w14:solidFill>
              <w14:schemeClr w14:val="tx1"/>
            </w14:solidFill>
          </w14:textFill>
        </w:rPr>
        <w:t>，</w:t>
      </w:r>
      <w:r>
        <w:rPr>
          <w:rFonts w:hint="eastAsia" w:hAnsi="宋体" w:cs="宋体"/>
          <w:bCs/>
          <w:color w:val="000000" w:themeColor="text1"/>
          <w:sz w:val="24"/>
          <w:szCs w:val="24"/>
          <w:highlight w:val="none"/>
          <w:lang w:val="en-US" w:eastAsia="zh-CN"/>
          <w14:textFill>
            <w14:solidFill>
              <w14:schemeClr w14:val="tx1"/>
            </w14:solidFill>
          </w14:textFill>
        </w:rPr>
        <w:t>天数</w:t>
      </w:r>
      <w:r>
        <w:rPr>
          <w:rFonts w:hint="eastAsia" w:ascii="宋体" w:hAnsi="宋体" w:eastAsia="宋体" w:cs="宋体"/>
          <w:bCs/>
          <w:sz w:val="24"/>
          <w:szCs w:val="24"/>
          <w:highlight w:val="none"/>
          <w:u w:val="single"/>
        </w:rPr>
        <w:t xml:space="preserve">    </w:t>
      </w:r>
      <w:r>
        <w:rPr>
          <w:rFonts w:hint="eastAsia" w:ascii="宋体" w:hAnsi="宋体" w:eastAsia="宋体" w:cs="宋体"/>
          <w:bCs/>
          <w:color w:val="000000" w:themeColor="text1"/>
          <w:sz w:val="24"/>
          <w:szCs w:val="24"/>
          <w:highlight w:val="none"/>
          <w14:textFill>
            <w14:solidFill>
              <w14:schemeClr w14:val="tx1"/>
            </w14:solidFill>
          </w14:textFill>
        </w:rPr>
        <w:t>；</w:t>
      </w:r>
    </w:p>
    <w:p>
      <w:pPr>
        <w:pStyle w:val="2"/>
        <w:keepNext w:val="0"/>
        <w:keepLines w:val="0"/>
        <w:pageBreakBefore w:val="0"/>
        <w:kinsoku/>
        <w:wordWrap/>
        <w:overflowPunct/>
        <w:topLinePunct w:val="0"/>
        <w:bidi w:val="0"/>
        <w:adjustRightInd/>
        <w:spacing w:line="360" w:lineRule="auto"/>
        <w:ind w:left="0" w:leftChars="0" w:firstLine="48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sym w:font="Wingdings 2" w:char="00A3"/>
      </w:r>
      <w:r>
        <w:rPr>
          <w:rFonts w:hint="eastAsia" w:hAnsi="宋体" w:cs="宋体"/>
          <w:sz w:val="24"/>
          <w:highlight w:val="none"/>
        </w:rPr>
        <w:t>副高级技术职称专业人员以上、注册会计师或其他同等资格人员</w:t>
      </w:r>
      <w:r>
        <w:rPr>
          <w:rFonts w:hint="eastAsia" w:ascii="宋体" w:hAnsi="宋体" w:eastAsia="宋体" w:cs="宋体"/>
          <w:bCs/>
          <w:color w:val="000000" w:themeColor="text1"/>
          <w:sz w:val="24"/>
          <w:szCs w:val="24"/>
          <w:highlight w:val="none"/>
          <w14:textFill>
            <w14:solidFill>
              <w14:schemeClr w14:val="tx1"/>
            </w14:solidFill>
          </w14:textFill>
        </w:rPr>
        <w:t>收费元/半天•人，人数</w:t>
      </w:r>
      <w:r>
        <w:rPr>
          <w:rFonts w:hint="eastAsia" w:ascii="宋体" w:hAnsi="宋体" w:eastAsia="宋体" w:cs="宋体"/>
          <w:bCs/>
          <w:sz w:val="24"/>
          <w:szCs w:val="24"/>
          <w:highlight w:val="none"/>
          <w:u w:val="single"/>
        </w:rPr>
        <w:t xml:space="preserve">    </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hAnsi="宋体" w:cs="宋体"/>
          <w:bCs/>
          <w:color w:val="000000" w:themeColor="text1"/>
          <w:sz w:val="24"/>
          <w:szCs w:val="24"/>
          <w:highlight w:val="none"/>
          <w:lang w:val="en-US" w:eastAsia="zh-CN"/>
          <w14:textFill>
            <w14:solidFill>
              <w14:schemeClr w14:val="tx1"/>
            </w14:solidFill>
          </w14:textFill>
        </w:rPr>
        <w:t>天数</w:t>
      </w:r>
      <w:r>
        <w:rPr>
          <w:rFonts w:hint="eastAsia" w:ascii="宋体" w:hAnsi="宋体" w:eastAsia="宋体" w:cs="宋体"/>
          <w:bCs/>
          <w:sz w:val="24"/>
          <w:szCs w:val="24"/>
          <w:highlight w:val="none"/>
          <w:u w:val="single"/>
        </w:rPr>
        <w:t xml:space="preserve">    </w:t>
      </w:r>
      <w:r>
        <w:rPr>
          <w:rFonts w:hint="eastAsia" w:ascii="宋体" w:hAnsi="宋体" w:eastAsia="宋体" w:cs="宋体"/>
          <w:bCs/>
          <w:color w:val="000000" w:themeColor="text1"/>
          <w:sz w:val="24"/>
          <w:szCs w:val="24"/>
          <w:highlight w:val="none"/>
          <w14:textFill>
            <w14:solidFill>
              <w14:schemeClr w14:val="tx1"/>
            </w14:solidFill>
          </w14:textFill>
        </w:rPr>
        <w:t>；</w:t>
      </w:r>
    </w:p>
    <w:p>
      <w:pPr>
        <w:pStyle w:val="2"/>
        <w:keepNext w:val="0"/>
        <w:keepLines w:val="0"/>
        <w:pageBreakBefore w:val="0"/>
        <w:kinsoku/>
        <w:wordWrap/>
        <w:overflowPunct/>
        <w:topLinePunct w:val="0"/>
        <w:bidi w:val="0"/>
        <w:adjustRightInd/>
        <w:spacing w:line="360" w:lineRule="auto"/>
        <w:ind w:left="0" w:leftChars="0" w:firstLine="480"/>
        <w:jc w:val="left"/>
        <w:textAlignment w:val="auto"/>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sym w:font="Wingdings 2" w:char="00A3"/>
      </w:r>
      <w:r>
        <w:rPr>
          <w:rFonts w:hint="eastAsia" w:ascii="宋体" w:hAnsi="宋体" w:eastAsia="宋体" w:cs="宋体"/>
          <w:color w:val="000000" w:themeColor="text1"/>
          <w:sz w:val="24"/>
          <w:szCs w:val="24"/>
          <w:highlight w:val="none"/>
          <w14:textFill>
            <w14:solidFill>
              <w14:schemeClr w14:val="tx1"/>
            </w14:solidFill>
          </w14:textFill>
        </w:rPr>
        <w:t>其他</w:t>
      </w:r>
      <w:r>
        <w:rPr>
          <w:rFonts w:hint="eastAsia" w:ascii="宋体" w:hAnsi="宋体" w:eastAsia="宋体" w:cs="宋体"/>
          <w:color w:val="000000" w:themeColor="text1"/>
          <w:sz w:val="24"/>
          <w:szCs w:val="24"/>
          <w:highlight w:val="none"/>
          <w:lang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人员</w:t>
      </w:r>
      <w:r>
        <w:rPr>
          <w:rFonts w:hint="eastAsia" w:ascii="宋体" w:hAnsi="宋体" w:eastAsia="宋体" w:cs="宋体"/>
          <w:bCs/>
          <w:iCs/>
          <w:color w:val="000000" w:themeColor="text1"/>
          <w:sz w:val="24"/>
          <w:szCs w:val="24"/>
          <w:highlight w:val="none"/>
          <w14:textFill>
            <w14:solidFill>
              <w14:schemeClr w14:val="tx1"/>
            </w14:solidFill>
          </w14:textFill>
        </w:rPr>
        <w:t>（注：按人员类别再细分列明）</w:t>
      </w:r>
      <w:r>
        <w:rPr>
          <w:rFonts w:hint="eastAsia" w:ascii="宋体" w:hAnsi="宋体" w:eastAsia="宋体" w:cs="宋体"/>
          <w:bCs/>
          <w:color w:val="000000" w:themeColor="text1"/>
          <w:sz w:val="24"/>
          <w:szCs w:val="24"/>
          <w:highlight w:val="none"/>
          <w14:textFill>
            <w14:solidFill>
              <w14:schemeClr w14:val="tx1"/>
            </w14:solidFill>
          </w14:textFill>
        </w:rPr>
        <w:t>收费元/半天•人，人数</w:t>
      </w:r>
      <w:r>
        <w:rPr>
          <w:rFonts w:hint="eastAsia" w:ascii="宋体" w:hAnsi="宋体" w:eastAsia="宋体" w:cs="宋体"/>
          <w:bCs/>
          <w:sz w:val="24"/>
          <w:szCs w:val="24"/>
          <w:highlight w:val="none"/>
          <w:u w:val="single"/>
        </w:rPr>
        <w:t xml:space="preserve">    </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hAnsi="宋体" w:cs="宋体"/>
          <w:bCs/>
          <w:color w:val="000000" w:themeColor="text1"/>
          <w:sz w:val="24"/>
          <w:szCs w:val="24"/>
          <w:highlight w:val="none"/>
          <w:lang w:val="en-US" w:eastAsia="zh-CN"/>
          <w14:textFill>
            <w14:solidFill>
              <w14:schemeClr w14:val="tx1"/>
            </w14:solidFill>
          </w14:textFill>
        </w:rPr>
        <w:t>天数</w:t>
      </w:r>
      <w:r>
        <w:rPr>
          <w:rFonts w:hint="eastAsia" w:ascii="宋体" w:hAnsi="宋体" w:eastAsia="宋体" w:cs="宋体"/>
          <w:bCs/>
          <w:sz w:val="24"/>
          <w:szCs w:val="24"/>
          <w:highlight w:val="none"/>
          <w:u w:val="single"/>
        </w:rPr>
        <w:t xml:space="preserve">    </w:t>
      </w:r>
      <w:r>
        <w:rPr>
          <w:rFonts w:hint="eastAsia" w:hAnsi="宋体" w:cs="宋体"/>
          <w:bCs/>
          <w:color w:val="000000" w:themeColor="text1"/>
          <w:sz w:val="24"/>
          <w:szCs w:val="24"/>
          <w:highlight w:val="none"/>
          <w:lang w:eastAsia="zh-CN"/>
          <w14:textFill>
            <w14:solidFill>
              <w14:schemeClr w14:val="tx1"/>
            </w14:solidFill>
          </w14:textFill>
        </w:rPr>
        <w:t>。</w:t>
      </w:r>
    </w:p>
    <w:p>
      <w:pPr>
        <w:pStyle w:val="10"/>
        <w:keepNext w:val="0"/>
        <w:keepLines w:val="0"/>
        <w:pageBreakBefore w:val="0"/>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（三）合同金额：</w:t>
      </w:r>
    </w:p>
    <w:p>
      <w:pPr>
        <w:pStyle w:val="2"/>
        <w:keepNext w:val="0"/>
        <w:keepLines w:val="0"/>
        <w:pageBreakBefore w:val="0"/>
        <w:kinsoku/>
        <w:wordWrap/>
        <w:overflowPunct/>
        <w:topLinePunct w:val="0"/>
        <w:bidi w:val="0"/>
        <w:adjustRightInd/>
        <w:spacing w:line="360" w:lineRule="auto"/>
        <w:ind w:left="0" w:leftChars="0" w:firstLine="48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w:t>
      </w:r>
      <w:r>
        <w:rPr>
          <w:rFonts w:hint="eastAsia" w:hAnsi="宋体" w:cs="宋体"/>
          <w:color w:val="000000" w:themeColor="text1"/>
          <w:sz w:val="24"/>
          <w:szCs w:val="24"/>
          <w:highlight w:val="none"/>
          <w:lang w:eastAsia="zh-CN"/>
          <w14:textFill>
            <w14:solidFill>
              <w14:schemeClr w14:val="tx1"/>
            </w14:solidFill>
          </w14:textFill>
        </w:rPr>
        <w:t>预算绩效评价咨询服务</w:t>
      </w:r>
      <w:r>
        <w:rPr>
          <w:rFonts w:hint="eastAsia" w:ascii="宋体" w:hAnsi="宋体" w:eastAsia="宋体" w:cs="宋体"/>
          <w:color w:val="000000" w:themeColor="text1"/>
          <w:sz w:val="24"/>
          <w:szCs w:val="24"/>
          <w:highlight w:val="none"/>
          <w14:textFill>
            <w14:solidFill>
              <w14:schemeClr w14:val="tx1"/>
            </w14:solidFill>
          </w14:textFill>
        </w:rPr>
        <w:t>费共计：¥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（大写金额：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pPr>
        <w:pStyle w:val="2"/>
        <w:keepNext w:val="0"/>
        <w:keepLines w:val="0"/>
        <w:pageBreakBefore w:val="0"/>
        <w:kinsoku/>
        <w:wordWrap/>
        <w:overflowPunct/>
        <w:topLinePunct w:val="0"/>
        <w:bidi w:val="0"/>
        <w:adjustRightInd/>
        <w:spacing w:line="360" w:lineRule="auto"/>
        <w:ind w:left="0" w:leftChars="0" w:firstLine="48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（四）支付方式：</w:t>
      </w:r>
      <w:r>
        <w:rPr>
          <w:rFonts w:hint="eastAsia" w:ascii="宋体" w:hAnsi="宋体" w:eastAsia="宋体" w:cs="宋体"/>
          <w:color w:val="000000" w:themeColor="text1"/>
          <w:sz w:val="24"/>
          <w:szCs w:val="24"/>
          <w:highlight w:val="none"/>
          <w14:textFill>
            <w14:solidFill>
              <w14:schemeClr w14:val="tx1"/>
            </w14:solidFill>
          </w14:textFill>
        </w:rPr>
        <w:sym w:font="Wingdings 2" w:char="00A3"/>
      </w:r>
      <w:r>
        <w:rPr>
          <w:rFonts w:hint="eastAsia" w:ascii="宋体" w:hAnsi="宋体" w:eastAsia="宋体" w:cs="宋体"/>
          <w:color w:val="000000" w:themeColor="text1"/>
          <w:sz w:val="24"/>
          <w:szCs w:val="24"/>
          <w:highlight w:val="none"/>
          <w14:textFill>
            <w14:solidFill>
              <w14:schemeClr w14:val="tx1"/>
            </w14:solidFill>
          </w14:textFill>
        </w:rPr>
        <w:t xml:space="preserve">无预付款   </w:t>
      </w:r>
      <w:r>
        <w:rPr>
          <w:rFonts w:hint="eastAsia" w:ascii="宋体" w:hAnsi="宋体" w:eastAsia="宋体" w:cs="宋体"/>
          <w:color w:val="000000" w:themeColor="text1"/>
          <w:sz w:val="24"/>
          <w:szCs w:val="24"/>
          <w:highlight w:val="none"/>
          <w14:textFill>
            <w14:solidFill>
              <w14:schemeClr w14:val="tx1"/>
            </w14:solidFill>
          </w14:textFill>
        </w:rPr>
        <w:sym w:font="Wingdings 2" w:char="00A3"/>
      </w:r>
      <w:r>
        <w:rPr>
          <w:rFonts w:hint="eastAsia" w:ascii="宋体" w:hAnsi="宋体" w:eastAsia="宋体" w:cs="宋体"/>
          <w:color w:val="000000" w:themeColor="text1"/>
          <w:sz w:val="24"/>
          <w:szCs w:val="24"/>
          <w:highlight w:val="none"/>
          <w14:textFill>
            <w14:solidFill>
              <w14:schemeClr w14:val="tx1"/>
            </w14:solidFill>
          </w14:textFill>
        </w:rPr>
        <w:t>有预付款，预付款比例为：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pPr>
        <w:pStyle w:val="2"/>
        <w:keepNext w:val="0"/>
        <w:keepLines w:val="0"/>
        <w:pageBreakBefore w:val="0"/>
        <w:kinsoku/>
        <w:wordWrap/>
        <w:overflowPunct/>
        <w:topLinePunct w:val="0"/>
        <w:bidi w:val="0"/>
        <w:adjustRightInd/>
        <w:spacing w:line="360" w:lineRule="auto"/>
        <w:ind w:left="0" w:leftChars="0" w:firstLine="464"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（五）履约保证金：</w:t>
      </w:r>
    </w:p>
    <w:p>
      <w:pPr>
        <w:pStyle w:val="2"/>
        <w:keepNext w:val="0"/>
        <w:keepLines w:val="0"/>
        <w:pageBreakBefore w:val="0"/>
        <w:kinsoku/>
        <w:wordWrap/>
        <w:overflowPunct/>
        <w:topLinePunct w:val="0"/>
        <w:bidi w:val="0"/>
        <w:adjustRightInd/>
        <w:spacing w:line="360" w:lineRule="auto"/>
        <w:ind w:left="0" w:leftChars="0" w:firstLine="48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sym w:font="Wingdings 2" w:char="00A3"/>
      </w:r>
      <w:r>
        <w:rPr>
          <w:rFonts w:hint="eastAsia" w:ascii="宋体" w:hAnsi="宋体" w:eastAsia="宋体" w:cs="宋体"/>
          <w:color w:val="000000" w:themeColor="text1"/>
          <w:sz w:val="24"/>
          <w:szCs w:val="24"/>
          <w:highlight w:val="none"/>
          <w14:textFill>
            <w14:solidFill>
              <w14:schemeClr w14:val="tx1"/>
            </w14:solidFill>
          </w14:textFill>
        </w:rPr>
        <w:t xml:space="preserve">免收履约保证金    </w:t>
      </w:r>
    </w:p>
    <w:p>
      <w:pPr>
        <w:pStyle w:val="2"/>
        <w:keepNext w:val="0"/>
        <w:keepLines w:val="0"/>
        <w:pageBreakBefore w:val="0"/>
        <w:kinsoku/>
        <w:wordWrap/>
        <w:overflowPunct/>
        <w:topLinePunct w:val="0"/>
        <w:bidi w:val="0"/>
        <w:adjustRightInd/>
        <w:spacing w:line="360" w:lineRule="auto"/>
        <w:ind w:left="0" w:leftChars="0" w:firstLine="48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sym w:font="Wingdings 2" w:char="00A3"/>
      </w:r>
      <w:r>
        <w:rPr>
          <w:rFonts w:hint="eastAsia" w:ascii="宋体" w:hAnsi="宋体" w:eastAsia="宋体" w:cs="宋体"/>
          <w:color w:val="000000" w:themeColor="text1"/>
          <w:sz w:val="24"/>
          <w:szCs w:val="24"/>
          <w:highlight w:val="none"/>
          <w14:textFill>
            <w14:solidFill>
              <w14:schemeClr w14:val="tx1"/>
            </w14:solidFill>
          </w14:textFill>
        </w:rPr>
        <w:t>甲方向乙方收取合同金额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的履约保证金，</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pStyle w:val="2"/>
        <w:keepNext w:val="0"/>
        <w:keepLines w:val="0"/>
        <w:pageBreakBefore w:val="0"/>
        <w:kinsoku/>
        <w:wordWrap/>
        <w:overflowPunct/>
        <w:topLinePunct w:val="0"/>
        <w:bidi w:val="0"/>
        <w:adjustRightInd/>
        <w:spacing w:line="360" w:lineRule="auto"/>
        <w:ind w:left="0" w:leftChars="0" w:firstLine="464"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（六）验收要求：</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pStyle w:val="2"/>
        <w:keepNext w:val="0"/>
        <w:keepLines w:val="0"/>
        <w:pageBreakBefore w:val="0"/>
        <w:kinsoku/>
        <w:wordWrap/>
        <w:overflowPunct/>
        <w:topLinePunct w:val="0"/>
        <w:bidi w:val="0"/>
        <w:adjustRightInd/>
        <w:spacing w:line="360" w:lineRule="auto"/>
        <w:ind w:left="0" w:leftChars="0" w:firstLine="464"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（七）支付条件：通过甲方验收后</w:t>
      </w:r>
      <w:r>
        <w:rPr>
          <w:rFonts w:hint="eastAsia" w:hAnsi="宋体" w:cs="宋体"/>
          <w:color w:val="000000" w:themeColor="text1"/>
          <w:sz w:val="24"/>
          <w:szCs w:val="24"/>
          <w:highlight w:val="none"/>
          <w:lang w:val="en-US" w:eastAsia="zh-CN"/>
          <w14:textFill>
            <w14:solidFill>
              <w14:schemeClr w14:val="tx1"/>
            </w14:solidFill>
          </w14:textFill>
        </w:rPr>
        <w:t>按实结算后</w:t>
      </w:r>
      <w:r>
        <w:rPr>
          <w:rFonts w:hint="eastAsia" w:ascii="宋体" w:hAnsi="宋体" w:eastAsia="宋体" w:cs="宋体"/>
          <w:color w:val="000000" w:themeColor="text1"/>
          <w:sz w:val="24"/>
          <w:szCs w:val="24"/>
          <w:highlight w:val="none"/>
          <w14:textFill>
            <w14:solidFill>
              <w14:schemeClr w14:val="tx1"/>
            </w14:solidFill>
          </w14:textFill>
        </w:rPr>
        <w:t>支付</w:t>
      </w:r>
      <w:r>
        <w:rPr>
          <w:rFonts w:hint="eastAsia" w:hAnsi="宋体" w:cs="宋体"/>
          <w:color w:val="000000" w:themeColor="text1"/>
          <w:sz w:val="24"/>
          <w:szCs w:val="24"/>
          <w:highlight w:val="none"/>
          <w:lang w:eastAsia="zh-CN"/>
          <w14:textFill>
            <w14:solidFill>
              <w14:schemeClr w14:val="tx1"/>
            </w14:solidFill>
          </w14:textFill>
        </w:rPr>
        <w:t>。</w:t>
      </w:r>
    </w:p>
    <w:p>
      <w:pPr>
        <w:keepNext w:val="0"/>
        <w:keepLines w:val="0"/>
        <w:pageBreakBefore w:val="0"/>
        <w:kinsoku/>
        <w:wordWrap/>
        <w:overflowPunct/>
        <w:topLinePunct w:val="0"/>
        <w:bidi w:val="0"/>
        <w:adjustRightInd/>
        <w:spacing w:line="360" w:lineRule="auto"/>
        <w:ind w:left="51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七、甲乙双方的权利和义务</w:t>
      </w:r>
    </w:p>
    <w:p>
      <w:pPr>
        <w:pStyle w:val="10"/>
        <w:keepNext w:val="0"/>
        <w:keepLines w:val="0"/>
        <w:pageBreakBefore w:val="0"/>
        <w:kinsoku/>
        <w:wordWrap/>
        <w:overflowPunct/>
        <w:topLinePunct w:val="0"/>
        <w:bidi w:val="0"/>
        <w:adjustRightIn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（一）甲方（</w:t>
      </w:r>
      <w:r>
        <w:rPr>
          <w:rFonts w:hint="eastAsia" w:ascii="宋体" w:hAnsi="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）的权利和义务：</w:t>
      </w:r>
    </w:p>
    <w:p>
      <w:pPr>
        <w:pStyle w:val="10"/>
        <w:keepNext w:val="0"/>
        <w:keepLines w:val="0"/>
        <w:pageBreakBefore w:val="0"/>
        <w:kinsoku/>
        <w:wordWrap/>
        <w:overflowPunct/>
        <w:topLinePunct w:val="0"/>
        <w:bidi w:val="0"/>
        <w:adjustRightInd/>
        <w:spacing w:line="360" w:lineRule="auto"/>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pPr>
        <w:pStyle w:val="10"/>
        <w:keepNext w:val="0"/>
        <w:keepLines w:val="0"/>
        <w:pageBreakBefore w:val="0"/>
        <w:numPr>
          <w:ilvl w:val="0"/>
          <w:numId w:val="0"/>
        </w:numPr>
        <w:kinsoku/>
        <w:wordWrap/>
        <w:overflowPunct/>
        <w:topLinePunct w:val="0"/>
        <w:bidi w:val="0"/>
        <w:adjustRightInd/>
        <w:spacing w:line="360" w:lineRule="auto"/>
        <w:ind w:leftChars="0" w:firstLine="480" w:firstLineChars="200"/>
        <w:jc w:val="left"/>
        <w:textAlignment w:val="auto"/>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lang w:val="en-US"/>
          <w14:textFill>
            <w14:solidFill>
              <w14:schemeClr w14:val="tx1"/>
            </w14:solidFill>
          </w14:textFill>
        </w:rPr>
        <w:t>乙方（成交</w:t>
      </w:r>
      <w:r>
        <w:rPr>
          <w:rFonts w:hint="eastAsia" w:ascii="宋体" w:hAnsi="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lang w:val="en-US"/>
          <w14:textFill>
            <w14:solidFill>
              <w14:schemeClr w14:val="tx1"/>
            </w14:solidFill>
          </w14:textFill>
        </w:rPr>
        <w:t>）的权利和义务：</w:t>
      </w:r>
    </w:p>
    <w:p>
      <w:pPr>
        <w:pStyle w:val="10"/>
        <w:keepNext w:val="0"/>
        <w:keepLines w:val="0"/>
        <w:pageBreakBefore w:val="0"/>
        <w:numPr>
          <w:ilvl w:val="0"/>
          <w:numId w:val="0"/>
        </w:numPr>
        <w:kinsoku/>
        <w:wordWrap/>
        <w:overflowPunct/>
        <w:topLinePunct w:val="0"/>
        <w:bidi w:val="0"/>
        <w:adjustRightInd/>
        <w:spacing w:line="360" w:lineRule="auto"/>
        <w:ind w:leftChars="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pPr>
        <w:pStyle w:val="11"/>
        <w:keepNext w:val="0"/>
        <w:keepLines w:val="0"/>
        <w:pageBreakBefore w:val="0"/>
        <w:numPr>
          <w:ilvl w:val="0"/>
          <w:numId w:val="8"/>
        </w:numPr>
        <w:kinsoku/>
        <w:wordWrap/>
        <w:overflowPunct/>
        <w:topLinePunct w:val="0"/>
        <w:bidi w:val="0"/>
        <w:adjustRightInd/>
        <w:spacing w:line="360" w:lineRule="auto"/>
        <w:ind w:firstLine="723" w:firstLineChars="300"/>
        <w:textAlignment w:val="auto"/>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其他约定事项</w:t>
      </w:r>
      <w:r>
        <w:rPr>
          <w:rFonts w:hint="eastAsia" w:ascii="宋体" w:hAnsi="宋体" w:eastAsia="宋体" w:cs="宋体"/>
          <w:b/>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b/>
          <w:color w:val="000000" w:themeColor="text1"/>
          <w:kern w:val="0"/>
          <w:sz w:val="24"/>
          <w:szCs w:val="24"/>
          <w:highlight w:val="none"/>
          <w:lang w:val="en-US" w:eastAsia="zh-CN"/>
          <w14:textFill>
            <w14:solidFill>
              <w14:schemeClr w14:val="tx1"/>
            </w14:solidFill>
          </w14:textFill>
        </w:rPr>
        <w:t xml:space="preserve">  </w:t>
      </w:r>
    </w:p>
    <w:p>
      <w:pPr>
        <w:pStyle w:val="11"/>
        <w:keepNext w:val="0"/>
        <w:keepLines w:val="0"/>
        <w:pageBreakBefore w:val="0"/>
        <w:numPr>
          <w:ilvl w:val="0"/>
          <w:numId w:val="0"/>
        </w:numPr>
        <w:kinsoku/>
        <w:wordWrap/>
        <w:overflowPunct/>
        <w:topLinePunct w:val="0"/>
        <w:bidi w:val="0"/>
        <w:adjustRightInd/>
        <w:spacing w:line="360" w:lineRule="auto"/>
        <w:textAlignment w:val="auto"/>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color w:val="000000" w:themeColor="text1"/>
          <w:kern w:val="0"/>
          <w:sz w:val="24"/>
          <w:szCs w:val="24"/>
          <w:highlight w:val="none"/>
          <w:u w:val="none"/>
          <w:lang w:val="en-US" w:eastAsia="zh-CN"/>
          <w14:textFill>
            <w14:solidFill>
              <w14:schemeClr w14:val="tx1"/>
            </w14:solidFill>
          </w14:textFill>
        </w:rPr>
        <w:t xml:space="preserve">      </w:t>
      </w:r>
      <w:r>
        <w:rPr>
          <w:rFonts w:hint="eastAsia" w:ascii="宋体" w:hAnsi="宋体" w:eastAsia="宋体" w:cs="宋体"/>
          <w:b/>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b/>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b/>
          <w:color w:val="000000" w:themeColor="text1"/>
          <w:kern w:val="0"/>
          <w:sz w:val="24"/>
          <w:szCs w:val="24"/>
          <w:highlight w:val="none"/>
          <w:u w:val="single"/>
          <w:lang w:val="en-US" w:eastAsia="zh-CN"/>
          <w14:textFill>
            <w14:solidFill>
              <w14:schemeClr w14:val="tx1"/>
            </w14:solidFill>
          </w14:textFill>
        </w:rPr>
        <w:t xml:space="preserve">                </w:t>
      </w:r>
    </w:p>
    <w:p>
      <w:pPr>
        <w:pStyle w:val="11"/>
        <w:keepNext w:val="0"/>
        <w:keepLines w:val="0"/>
        <w:pageBreakBefore w:val="0"/>
        <w:numPr>
          <w:ilvl w:val="0"/>
          <w:numId w:val="8"/>
        </w:numPr>
        <w:kinsoku/>
        <w:wordWrap/>
        <w:overflowPunct/>
        <w:topLinePunct w:val="0"/>
        <w:bidi w:val="0"/>
        <w:adjustRightInd/>
        <w:spacing w:line="360" w:lineRule="auto"/>
        <w:ind w:left="0" w:leftChars="0" w:firstLine="723" w:firstLineChars="30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14:textFill>
            <w14:solidFill>
              <w14:schemeClr w14:val="tx1"/>
            </w14:solidFill>
          </w14:textFill>
        </w:rPr>
        <w:t>违约责任和争议的解决</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p>
    <w:p>
      <w:pPr>
        <w:pStyle w:val="11"/>
        <w:keepNext w:val="0"/>
        <w:keepLines w:val="0"/>
        <w:pageBreakBefore w:val="0"/>
        <w:numPr>
          <w:ilvl w:val="0"/>
          <w:numId w:val="0"/>
        </w:numPr>
        <w:kinsoku/>
        <w:wordWrap/>
        <w:overflowPunct/>
        <w:topLinePunct w:val="0"/>
        <w:bidi w:val="0"/>
        <w:adjustRightInd/>
        <w:spacing w:line="360" w:lineRule="auto"/>
        <w:ind w:leftChars="300"/>
        <w:textAlignment w:val="auto"/>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 xml:space="preserve">           </w:t>
      </w:r>
    </w:p>
    <w:p>
      <w:pPr>
        <w:pStyle w:val="11"/>
        <w:keepNext w:val="0"/>
        <w:keepLines w:val="0"/>
        <w:pageBreakBefore w:val="0"/>
        <w:numPr>
          <w:ilvl w:val="0"/>
          <w:numId w:val="8"/>
        </w:numPr>
        <w:kinsoku/>
        <w:wordWrap/>
        <w:overflowPunct/>
        <w:topLinePunct w:val="0"/>
        <w:bidi w:val="0"/>
        <w:adjustRightInd/>
        <w:spacing w:line="360" w:lineRule="auto"/>
        <w:ind w:left="0" w:leftChars="0" w:firstLine="723" w:firstLineChars="30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14:textFill>
            <w14:solidFill>
              <w14:schemeClr w14:val="tx1"/>
            </w14:solidFill>
          </w14:textFill>
        </w:rPr>
        <w:t>委托合同约定生效期</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p>
    <w:p>
      <w:pPr>
        <w:pStyle w:val="11"/>
        <w:keepNext w:val="0"/>
        <w:keepLines w:val="0"/>
        <w:pageBreakBefore w:val="0"/>
        <w:numPr>
          <w:ilvl w:val="0"/>
          <w:numId w:val="0"/>
        </w:numPr>
        <w:kinsoku/>
        <w:wordWrap/>
        <w:overflowPunct/>
        <w:topLinePunct w:val="0"/>
        <w:bidi w:val="0"/>
        <w:adjustRightInd/>
        <w:spacing w:line="360" w:lineRule="auto"/>
        <w:ind w:leftChars="300"/>
        <w:textAlignment w:val="auto"/>
        <w:rPr>
          <w:rFonts w:hint="default" w:ascii="宋体" w:hAnsi="宋体" w:eastAsia="宋体" w:cs="宋体"/>
          <w:sz w:val="24"/>
          <w:szCs w:val="24"/>
          <w:highlight w:val="none"/>
          <w:u w:val="single"/>
          <w:lang w:val="en-US" w:eastAsia="zh-CN"/>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 xml:space="preserve">           </w:t>
      </w:r>
    </w:p>
    <w:p>
      <w:pPr>
        <w:pStyle w:val="11"/>
        <w:rPr>
          <w:rFonts w:ascii="仿宋_GB2312" w:eastAsia="仿宋_GB2312"/>
          <w:color w:val="000000" w:themeColor="text1"/>
          <w:highlight w:val="none"/>
          <w:lang w:val="en-US"/>
          <w14:textFill>
            <w14:solidFill>
              <w14:schemeClr w14:val="tx1"/>
            </w14:solidFill>
          </w14:textFill>
        </w:rPr>
      </w:pPr>
    </w:p>
    <w:tbl>
      <w:tblPr>
        <w:tblStyle w:val="18"/>
        <w:tblW w:w="9577" w:type="dxa"/>
        <w:jc w:val="center"/>
        <w:tblLayout w:type="fixed"/>
        <w:tblCellMar>
          <w:top w:w="0" w:type="dxa"/>
          <w:left w:w="108" w:type="dxa"/>
          <w:bottom w:w="0" w:type="dxa"/>
          <w:right w:w="108" w:type="dxa"/>
        </w:tblCellMar>
      </w:tblPr>
      <w:tblGrid>
        <w:gridCol w:w="4416"/>
        <w:gridCol w:w="5161"/>
      </w:tblGrid>
      <w:tr>
        <w:tblPrEx>
          <w:tblCellMar>
            <w:top w:w="0" w:type="dxa"/>
            <w:left w:w="108" w:type="dxa"/>
            <w:bottom w:w="0" w:type="dxa"/>
            <w:right w:w="108" w:type="dxa"/>
          </w:tblCellMar>
        </w:tblPrEx>
        <w:trPr>
          <w:trHeight w:val="751" w:hRule="atLeast"/>
          <w:jc w:val="center"/>
        </w:trPr>
        <w:tc>
          <w:tcPr>
            <w:tcW w:w="4416" w:type="dxa"/>
          </w:tcPr>
          <w:p>
            <w:pPr>
              <w:widowControl/>
              <w:spacing w:line="360" w:lineRule="auto"/>
              <w:ind w:left="1560" w:hanging="1560" w:hangingChars="650"/>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甲方（盖章）：</w:t>
            </w:r>
          </w:p>
        </w:tc>
        <w:tc>
          <w:tcPr>
            <w:tcW w:w="5161" w:type="dxa"/>
          </w:tcPr>
          <w:p>
            <w:pPr>
              <w:widowControl/>
              <w:spacing w:line="360" w:lineRule="auto"/>
              <w:ind w:firstLine="120"/>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乙方（盖章）：</w:t>
            </w:r>
          </w:p>
        </w:tc>
      </w:tr>
      <w:tr>
        <w:tblPrEx>
          <w:tblCellMar>
            <w:top w:w="0" w:type="dxa"/>
            <w:left w:w="108" w:type="dxa"/>
            <w:bottom w:w="0" w:type="dxa"/>
            <w:right w:w="108" w:type="dxa"/>
          </w:tblCellMar>
        </w:tblPrEx>
        <w:trPr>
          <w:trHeight w:val="991" w:hRule="atLeast"/>
          <w:jc w:val="center"/>
        </w:trPr>
        <w:tc>
          <w:tcPr>
            <w:tcW w:w="4416" w:type="dxa"/>
          </w:tcPr>
          <w:p>
            <w:pPr>
              <w:widowControl/>
              <w:spacing w:line="360" w:lineRule="auto"/>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sz w:val="24"/>
                <w:highlight w:val="none"/>
                <w14:textFill>
                  <w14:solidFill>
                    <w14:schemeClr w14:val="tx1"/>
                  </w14:solidFill>
                </w14:textFill>
              </w:rPr>
              <w:t>签约日期： 年   月    日</w:t>
            </w:r>
          </w:p>
        </w:tc>
        <w:tc>
          <w:tcPr>
            <w:tcW w:w="5161" w:type="dxa"/>
          </w:tcPr>
          <w:p>
            <w:pPr>
              <w:widowControl/>
              <w:spacing w:line="360" w:lineRule="auto"/>
              <w:ind w:firstLine="120"/>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sz w:val="24"/>
                <w:highlight w:val="none"/>
                <w14:textFill>
                  <w14:solidFill>
                    <w14:schemeClr w14:val="tx1"/>
                  </w14:solidFill>
                </w14:textFill>
              </w:rPr>
              <w:t>签约日期： 年   月    日</w:t>
            </w:r>
          </w:p>
        </w:tc>
      </w:tr>
    </w:tbl>
    <w:p>
      <w:pPr>
        <w:pStyle w:val="24"/>
        <w:rPr>
          <w:rFonts w:ascii="宋体" w:hAnsi="宋体"/>
          <w:b/>
          <w:color w:val="000000" w:themeColor="text1"/>
          <w:sz w:val="36"/>
          <w:szCs w:val="36"/>
          <w:highlight w:val="none"/>
          <w14:textFill>
            <w14:solidFill>
              <w14:schemeClr w14:val="tx1"/>
            </w14:solidFill>
          </w14:textFill>
        </w:rPr>
      </w:pPr>
    </w:p>
    <w:p>
      <w:pPr>
        <w:pStyle w:val="2"/>
        <w:ind w:left="480" w:firstLine="404"/>
        <w:rPr>
          <w:rFonts w:asciiTheme="majorEastAsia" w:hAnsiTheme="majorEastAsia" w:eastAsiaTheme="majorEastAsia" w:cstheme="majorEastAsia"/>
          <w:highlight w:val="none"/>
        </w:rPr>
      </w:pPr>
    </w:p>
    <w:p>
      <w:pPr>
        <w:pStyle w:val="4"/>
        <w:rPr>
          <w:rFonts w:asciiTheme="majorEastAsia" w:hAnsiTheme="majorEastAsia" w:eastAsiaTheme="majorEastAsia" w:cstheme="majorEastAsia"/>
          <w:highlight w:val="none"/>
        </w:rPr>
      </w:pPr>
    </w:p>
    <w:p>
      <w:pPr>
        <w:rPr>
          <w:rFonts w:asciiTheme="majorEastAsia" w:hAnsiTheme="majorEastAsia" w:eastAsiaTheme="majorEastAsia" w:cstheme="majorEastAsia"/>
          <w:highlight w:val="none"/>
        </w:rPr>
      </w:pPr>
    </w:p>
    <w:p>
      <w:pPr>
        <w:pStyle w:val="2"/>
        <w:ind w:left="480" w:firstLine="404"/>
        <w:rPr>
          <w:rFonts w:asciiTheme="majorEastAsia" w:hAnsiTheme="majorEastAsia" w:eastAsiaTheme="majorEastAsia" w:cstheme="majorEastAsia"/>
          <w:highlight w:val="none"/>
        </w:rPr>
      </w:pPr>
    </w:p>
    <w:p>
      <w:pPr>
        <w:pStyle w:val="4"/>
        <w:rPr>
          <w:rFonts w:asciiTheme="majorEastAsia" w:hAnsiTheme="majorEastAsia" w:eastAsiaTheme="majorEastAsia" w:cstheme="majorEastAsia"/>
          <w:highlight w:val="none"/>
        </w:rPr>
      </w:pPr>
    </w:p>
    <w:p>
      <w:pPr>
        <w:rPr>
          <w:rFonts w:asciiTheme="majorEastAsia" w:hAnsiTheme="majorEastAsia" w:eastAsiaTheme="majorEastAsia" w:cstheme="majorEastAsia"/>
          <w:highlight w:val="none"/>
        </w:rPr>
      </w:pPr>
    </w:p>
    <w:p>
      <w:pPr>
        <w:pStyle w:val="2"/>
        <w:rPr>
          <w:rFonts w:asciiTheme="majorEastAsia" w:hAnsiTheme="majorEastAsia" w:eastAsiaTheme="majorEastAsia" w:cstheme="majorEastAsia"/>
          <w:highlight w:val="none"/>
        </w:rPr>
      </w:pPr>
    </w:p>
    <w:p>
      <w:pPr>
        <w:pStyle w:val="4"/>
        <w:rPr>
          <w:rFonts w:asciiTheme="majorEastAsia" w:hAnsiTheme="majorEastAsia" w:eastAsiaTheme="majorEastAsia" w:cstheme="majorEastAsia"/>
          <w:highlight w:val="none"/>
        </w:rPr>
      </w:pPr>
    </w:p>
    <w:p>
      <w:pPr>
        <w:rPr>
          <w:rFonts w:asciiTheme="majorEastAsia" w:hAnsiTheme="majorEastAsia" w:eastAsiaTheme="majorEastAsia" w:cstheme="majorEastAsia"/>
          <w:highlight w:val="none"/>
        </w:rPr>
      </w:pPr>
    </w:p>
    <w:p>
      <w:pPr>
        <w:pStyle w:val="2"/>
        <w:rPr>
          <w:rFonts w:asciiTheme="majorEastAsia" w:hAnsiTheme="majorEastAsia" w:eastAsiaTheme="majorEastAsia" w:cstheme="majorEastAsia"/>
          <w:highlight w:val="none"/>
        </w:rPr>
      </w:pPr>
    </w:p>
    <w:p>
      <w:pPr>
        <w:pStyle w:val="4"/>
        <w:rPr>
          <w:highlight w:val="none"/>
        </w:rPr>
      </w:pPr>
    </w:p>
    <w:p>
      <w:pPr>
        <w:rPr>
          <w:rFonts w:asciiTheme="majorEastAsia" w:hAnsiTheme="majorEastAsia" w:eastAsiaTheme="majorEastAsia" w:cstheme="majorEastAsia"/>
          <w:highlight w:val="none"/>
        </w:rPr>
      </w:pPr>
    </w:p>
    <w:p>
      <w:pPr>
        <w:pStyle w:val="2"/>
        <w:rPr>
          <w:rFonts w:asciiTheme="majorEastAsia" w:hAnsiTheme="majorEastAsia" w:eastAsiaTheme="majorEastAsia" w:cstheme="majorEastAsia"/>
          <w:highlight w:val="none"/>
        </w:rPr>
      </w:pPr>
    </w:p>
    <w:p>
      <w:pPr>
        <w:pStyle w:val="4"/>
        <w:rPr>
          <w:rFonts w:asciiTheme="majorEastAsia" w:hAnsiTheme="majorEastAsia" w:eastAsiaTheme="majorEastAsia" w:cstheme="majorEastAsia"/>
          <w:highlight w:val="none"/>
        </w:rPr>
      </w:pPr>
    </w:p>
    <w:p>
      <w:pPr>
        <w:rPr>
          <w:rFonts w:asciiTheme="majorEastAsia" w:hAnsiTheme="majorEastAsia" w:eastAsiaTheme="majorEastAsia" w:cstheme="majorEastAsia"/>
          <w:highlight w:val="none"/>
        </w:rPr>
      </w:pPr>
    </w:p>
    <w:p>
      <w:pPr>
        <w:pStyle w:val="2"/>
        <w:rPr>
          <w:rFonts w:asciiTheme="majorEastAsia" w:hAnsiTheme="majorEastAsia" w:eastAsiaTheme="majorEastAsia" w:cstheme="majorEastAsia"/>
          <w:highlight w:val="none"/>
        </w:rPr>
      </w:pPr>
    </w:p>
    <w:p>
      <w:pPr>
        <w:pStyle w:val="4"/>
        <w:rPr>
          <w:rFonts w:asciiTheme="majorEastAsia" w:hAnsiTheme="majorEastAsia" w:eastAsiaTheme="majorEastAsia" w:cstheme="majorEastAsia"/>
          <w:highlight w:val="none"/>
        </w:rPr>
      </w:pPr>
    </w:p>
    <w:p>
      <w:pPr>
        <w:rPr>
          <w:rFonts w:asciiTheme="majorEastAsia" w:hAnsiTheme="majorEastAsia" w:eastAsiaTheme="majorEastAsia" w:cstheme="majorEastAsia"/>
          <w:highlight w:val="none"/>
        </w:rPr>
      </w:pPr>
    </w:p>
    <w:p>
      <w:pPr>
        <w:pStyle w:val="2"/>
        <w:rPr>
          <w:rFonts w:asciiTheme="majorEastAsia" w:hAnsiTheme="majorEastAsia" w:eastAsiaTheme="majorEastAsia" w:cstheme="majorEastAsia"/>
          <w:highlight w:val="none"/>
        </w:rPr>
      </w:pPr>
    </w:p>
    <w:p>
      <w:pPr>
        <w:pStyle w:val="4"/>
        <w:rPr>
          <w:highlight w:val="none"/>
        </w:rPr>
      </w:pPr>
    </w:p>
    <w:p>
      <w:pPr>
        <w:pStyle w:val="4"/>
        <w:rPr>
          <w:highlight w:val="none"/>
        </w:rPr>
      </w:pPr>
    </w:p>
    <w:bookmarkEnd w:id="91"/>
    <w:bookmarkEnd w:id="92"/>
    <w:p>
      <w:pPr>
        <w:pStyle w:val="12"/>
        <w:snapToGrid w:val="0"/>
        <w:spacing w:beforeLines="0" w:afterLines="0" w:line="360" w:lineRule="exact"/>
        <w:ind w:firstLine="161" w:firstLineChars="50"/>
        <w:jc w:val="center"/>
        <w:rPr>
          <w:rFonts w:ascii="Arial" w:hAnsi="Arial" w:eastAsia="黑体"/>
          <w:b/>
          <w:bCs/>
          <w:sz w:val="32"/>
          <w:szCs w:val="32"/>
          <w:highlight w:val="none"/>
        </w:rPr>
      </w:pPr>
      <w:r>
        <w:rPr>
          <w:rFonts w:ascii="Arial" w:hAnsi="Arial" w:eastAsia="黑体"/>
          <w:b/>
          <w:bCs/>
          <w:sz w:val="32"/>
          <w:szCs w:val="32"/>
          <w:highlight w:val="none"/>
        </w:rPr>
        <w:t>第六章　</w:t>
      </w:r>
      <w:r>
        <w:rPr>
          <w:rFonts w:hint="eastAsia" w:ascii="Arial" w:hAnsi="Arial" w:eastAsia="黑体"/>
          <w:b/>
          <w:bCs/>
          <w:sz w:val="32"/>
          <w:szCs w:val="32"/>
          <w:highlight w:val="none"/>
        </w:rPr>
        <w:t>响应</w:t>
      </w:r>
      <w:r>
        <w:rPr>
          <w:rFonts w:ascii="Arial" w:hAnsi="Arial" w:eastAsia="黑体"/>
          <w:b/>
          <w:bCs/>
          <w:sz w:val="32"/>
          <w:szCs w:val="32"/>
          <w:highlight w:val="none"/>
        </w:rPr>
        <w:t>文件格式</w:t>
      </w:r>
    </w:p>
    <w:p>
      <w:pPr>
        <w:rPr>
          <w:highlight w:val="none"/>
        </w:rPr>
      </w:pPr>
    </w:p>
    <w:p>
      <w:pPr>
        <w:pStyle w:val="12"/>
        <w:snapToGrid w:val="0"/>
        <w:spacing w:beforeLines="0" w:afterLines="0" w:line="440" w:lineRule="exact"/>
        <w:outlineLvl w:val="1"/>
        <w:rPr>
          <w:rFonts w:hAnsi="宋体"/>
          <w:b/>
          <w:highlight w:val="none"/>
        </w:rPr>
      </w:pPr>
      <w:r>
        <w:rPr>
          <w:rFonts w:hint="eastAsia" w:hAnsi="宋体"/>
          <w:b/>
          <w:highlight w:val="none"/>
        </w:rPr>
        <w:t>一、资格文件格式</w:t>
      </w:r>
    </w:p>
    <w:p>
      <w:pPr>
        <w:snapToGrid w:val="0"/>
        <w:spacing w:line="440" w:lineRule="exact"/>
        <w:rPr>
          <w:rFonts w:ascii="宋体" w:hAnsi="宋体"/>
          <w:highlight w:val="none"/>
        </w:rPr>
      </w:pPr>
      <w:r>
        <w:rPr>
          <w:rFonts w:hint="eastAsia" w:ascii="宋体" w:hAnsi="宋体"/>
          <w:bCs/>
          <w:highlight w:val="none"/>
        </w:rPr>
        <w:t>1</w:t>
      </w:r>
      <w:r>
        <w:rPr>
          <w:rFonts w:ascii="宋体" w:hAnsi="宋体"/>
          <w:highlight w:val="none"/>
        </w:rPr>
        <w:t>.</w:t>
      </w:r>
      <w:r>
        <w:rPr>
          <w:rFonts w:hint="eastAsia" w:ascii="宋体" w:hAnsi="宋体"/>
          <w:highlight w:val="none"/>
        </w:rPr>
        <w:t>资格文件封面格式</w:t>
      </w:r>
    </w:p>
    <w:p>
      <w:pPr>
        <w:snapToGrid w:val="0"/>
        <w:spacing w:line="440" w:lineRule="exact"/>
        <w:rPr>
          <w:rFonts w:ascii="宋体" w:hAnsi="宋体"/>
          <w:b/>
          <w:bCs/>
          <w:highlight w:val="none"/>
        </w:rPr>
      </w:pPr>
    </w:p>
    <w:p>
      <w:pPr>
        <w:snapToGrid w:val="0"/>
        <w:spacing w:line="440" w:lineRule="exact"/>
        <w:jc w:val="center"/>
        <w:rPr>
          <w:rFonts w:ascii="宋体" w:hAnsi="宋体"/>
          <w:b/>
          <w:bCs/>
          <w:highlight w:val="none"/>
        </w:rPr>
      </w:pPr>
      <w:r>
        <w:rPr>
          <w:rFonts w:hint="eastAsia" w:ascii="宋体" w:hAnsi="宋体"/>
          <w:b/>
          <w:bCs/>
          <w:highlight w:val="none"/>
        </w:rPr>
        <w:t>资格文件</w:t>
      </w:r>
    </w:p>
    <w:p>
      <w:pPr>
        <w:snapToGrid w:val="0"/>
        <w:spacing w:line="440" w:lineRule="exact"/>
        <w:ind w:firstLine="900" w:firstLineChars="375"/>
        <w:rPr>
          <w:rFonts w:ascii="宋体" w:hAnsi="宋体"/>
          <w:color w:val="auto"/>
          <w:sz w:val="24"/>
          <w:highlight w:val="none"/>
        </w:rPr>
      </w:pPr>
      <w:r>
        <w:rPr>
          <w:rFonts w:hint="eastAsia" w:ascii="宋体" w:hAnsi="宋体"/>
          <w:bCs/>
          <w:color w:val="auto"/>
          <w:sz w:val="24"/>
          <w:highlight w:val="none"/>
        </w:rPr>
        <w:t>项目名称：</w:t>
      </w:r>
      <w:r>
        <w:rPr>
          <w:rFonts w:hint="eastAsia" w:ascii="宋体" w:hAnsi="宋体"/>
          <w:bCs/>
          <w:color w:val="auto"/>
          <w:sz w:val="24"/>
          <w:highlight w:val="none"/>
          <w:u w:val="single"/>
        </w:rPr>
        <w:t xml:space="preserve">                    </w:t>
      </w:r>
      <w:r>
        <w:rPr>
          <w:rFonts w:hint="eastAsia" w:ascii="宋体" w:hAnsi="宋体"/>
          <w:color w:val="auto"/>
          <w:sz w:val="24"/>
          <w:highlight w:val="none"/>
        </w:rPr>
        <w:t>采购项目</w:t>
      </w:r>
    </w:p>
    <w:p>
      <w:pPr>
        <w:pStyle w:val="8"/>
        <w:snapToGrid w:val="0"/>
        <w:spacing w:line="440" w:lineRule="exact"/>
        <w:ind w:firstLine="900" w:firstLineChars="375"/>
        <w:rPr>
          <w:rFonts w:ascii="宋体" w:hAnsi="宋体"/>
          <w:bCs/>
          <w:color w:val="auto"/>
          <w:sz w:val="24"/>
          <w:highlight w:val="none"/>
        </w:rPr>
      </w:pPr>
      <w:r>
        <w:rPr>
          <w:rFonts w:hint="eastAsia" w:ascii="宋体" w:hAnsi="宋体"/>
          <w:bCs/>
          <w:color w:val="auto"/>
          <w:sz w:val="24"/>
          <w:highlight w:val="none"/>
        </w:rPr>
        <w:t>项目编号：</w:t>
      </w:r>
    </w:p>
    <w:p>
      <w:pPr>
        <w:pStyle w:val="8"/>
        <w:snapToGrid w:val="0"/>
        <w:spacing w:line="440" w:lineRule="exact"/>
        <w:ind w:firstLine="900" w:firstLineChars="375"/>
        <w:rPr>
          <w:rFonts w:ascii="宋体" w:hAnsi="宋体"/>
          <w:bCs/>
          <w:color w:val="auto"/>
          <w:sz w:val="24"/>
          <w:highlight w:val="none"/>
        </w:rPr>
      </w:pPr>
      <w:r>
        <w:rPr>
          <w:rFonts w:hint="eastAsia" w:ascii="宋体" w:hAnsi="宋体"/>
          <w:bCs/>
          <w:color w:val="auto"/>
          <w:sz w:val="24"/>
          <w:highlight w:val="none"/>
          <w:lang w:eastAsia="zh-CN"/>
        </w:rPr>
        <w:t>供应商</w:t>
      </w:r>
      <w:r>
        <w:rPr>
          <w:rFonts w:hint="eastAsia" w:ascii="宋体" w:hAnsi="宋体"/>
          <w:bCs/>
          <w:color w:val="auto"/>
          <w:sz w:val="24"/>
          <w:highlight w:val="none"/>
        </w:rPr>
        <w:t>名称（盖章）：</w:t>
      </w:r>
    </w:p>
    <w:p>
      <w:pPr>
        <w:pStyle w:val="8"/>
        <w:snapToGrid w:val="0"/>
        <w:spacing w:line="440" w:lineRule="exact"/>
        <w:ind w:firstLine="900" w:firstLineChars="375"/>
        <w:rPr>
          <w:rFonts w:ascii="宋体" w:hAnsi="宋体"/>
          <w:bCs/>
          <w:color w:val="auto"/>
          <w:sz w:val="24"/>
          <w:highlight w:val="none"/>
        </w:rPr>
      </w:pPr>
      <w:r>
        <w:rPr>
          <w:rFonts w:hint="eastAsia" w:ascii="宋体" w:hAnsi="宋体"/>
          <w:bCs/>
          <w:color w:val="auto"/>
          <w:sz w:val="24"/>
          <w:highlight w:val="none"/>
          <w:lang w:eastAsia="zh-CN"/>
        </w:rPr>
        <w:t>供应商</w:t>
      </w:r>
      <w:r>
        <w:rPr>
          <w:rFonts w:hint="eastAsia" w:ascii="宋体" w:hAnsi="宋体"/>
          <w:bCs/>
          <w:color w:val="auto"/>
          <w:sz w:val="24"/>
          <w:highlight w:val="none"/>
        </w:rPr>
        <w:t>地址：</w:t>
      </w:r>
    </w:p>
    <w:p>
      <w:pPr>
        <w:snapToGrid w:val="0"/>
        <w:spacing w:line="440" w:lineRule="exact"/>
        <w:ind w:firstLine="3280" w:firstLineChars="1367"/>
        <w:rPr>
          <w:rFonts w:ascii="宋体" w:hAnsi="宋体"/>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pPr>
        <w:snapToGrid w:val="0"/>
        <w:spacing w:line="360" w:lineRule="auto"/>
        <w:ind w:firstLine="3280" w:firstLineChars="1367"/>
        <w:rPr>
          <w:rFonts w:ascii="宋体" w:hAnsi="宋体"/>
          <w:highlight w:val="none"/>
        </w:rPr>
      </w:pPr>
    </w:p>
    <w:p>
      <w:pPr>
        <w:snapToGrid w:val="0"/>
        <w:spacing w:line="360" w:lineRule="auto"/>
        <w:ind w:firstLine="3280" w:firstLineChars="1367"/>
        <w:rPr>
          <w:rFonts w:ascii="宋体" w:hAnsi="宋体"/>
          <w:highlight w:val="none"/>
        </w:rPr>
      </w:pPr>
    </w:p>
    <w:p>
      <w:pPr>
        <w:snapToGrid w:val="0"/>
        <w:spacing w:line="360" w:lineRule="auto"/>
        <w:ind w:firstLine="3280" w:firstLineChars="1367"/>
        <w:rPr>
          <w:rFonts w:ascii="宋体" w:hAnsi="宋体"/>
          <w:highlight w:val="none"/>
        </w:rPr>
      </w:pPr>
    </w:p>
    <w:p>
      <w:pPr>
        <w:snapToGrid w:val="0"/>
        <w:spacing w:line="360" w:lineRule="auto"/>
        <w:ind w:firstLine="3280" w:firstLineChars="1367"/>
        <w:rPr>
          <w:rFonts w:ascii="宋体" w:hAnsi="宋体"/>
          <w:highlight w:val="none"/>
        </w:rPr>
      </w:pPr>
    </w:p>
    <w:p>
      <w:pPr>
        <w:snapToGrid w:val="0"/>
        <w:spacing w:line="440" w:lineRule="exact"/>
        <w:rPr>
          <w:rFonts w:ascii="宋体" w:hAnsi="宋体"/>
          <w:bCs/>
          <w:highlight w:val="none"/>
        </w:rPr>
      </w:pPr>
      <w:r>
        <w:rPr>
          <w:rFonts w:hint="eastAsia" w:ascii="宋体" w:hAnsi="宋体"/>
          <w:bCs/>
          <w:highlight w:val="none"/>
        </w:rPr>
        <w:t>2</w:t>
      </w:r>
      <w:r>
        <w:rPr>
          <w:rFonts w:ascii="宋体" w:hAnsi="宋体"/>
          <w:bCs/>
          <w:highlight w:val="none"/>
        </w:rPr>
        <w:t>.</w:t>
      </w:r>
      <w:r>
        <w:rPr>
          <w:rFonts w:hint="eastAsia" w:ascii="宋体" w:hAnsi="宋体"/>
          <w:bCs/>
          <w:highlight w:val="none"/>
        </w:rPr>
        <w:t>资格文件目录（请按照“第三章投标人须知，</w:t>
      </w:r>
      <w:r>
        <w:rPr>
          <w:rFonts w:ascii="宋体" w:hAnsi="宋体"/>
          <w:bCs/>
          <w:highlight w:val="none"/>
        </w:rPr>
        <w:t>三、</w:t>
      </w:r>
      <w:r>
        <w:rPr>
          <w:rFonts w:hint="eastAsia" w:ascii="宋体" w:hAnsi="宋体"/>
          <w:bCs/>
          <w:highlight w:val="none"/>
        </w:rPr>
        <w:t>响应文件</w:t>
      </w:r>
      <w:r>
        <w:rPr>
          <w:rFonts w:ascii="宋体" w:hAnsi="宋体"/>
          <w:bCs/>
          <w:highlight w:val="none"/>
        </w:rPr>
        <w:t>的编制</w:t>
      </w:r>
      <w:r>
        <w:rPr>
          <w:rFonts w:hint="eastAsia" w:ascii="宋体" w:hAnsi="宋体"/>
          <w:bCs/>
          <w:highlight w:val="none"/>
        </w:rPr>
        <w:t>”的顺序，结合评标办法自行编制目录）</w:t>
      </w:r>
    </w:p>
    <w:p>
      <w:pPr>
        <w:snapToGrid w:val="0"/>
        <w:spacing w:line="440" w:lineRule="exact"/>
        <w:rPr>
          <w:rFonts w:ascii="宋体" w:hAnsi="宋体"/>
          <w:bCs/>
          <w:highlight w:val="none"/>
        </w:rPr>
      </w:pPr>
      <w:r>
        <w:rPr>
          <w:rFonts w:hint="eastAsia" w:ascii="宋体" w:hAnsi="宋体"/>
          <w:bCs/>
          <w:highlight w:val="none"/>
        </w:rPr>
        <w:t>例如：</w:t>
      </w:r>
    </w:p>
    <w:p>
      <w:pPr>
        <w:snapToGrid w:val="0"/>
        <w:spacing w:line="440" w:lineRule="exact"/>
        <w:rPr>
          <w:rFonts w:ascii="宋体" w:hAnsi="宋体"/>
          <w:bCs/>
          <w:highlight w:val="none"/>
        </w:rPr>
      </w:pPr>
      <w:r>
        <w:rPr>
          <w:rFonts w:hint="eastAsia" w:ascii="宋体" w:hAnsi="宋体"/>
          <w:bCs/>
          <w:highlight w:val="none"/>
        </w:rPr>
        <w:t>资格文件：</w:t>
      </w:r>
    </w:p>
    <w:p>
      <w:pPr>
        <w:snapToGrid w:val="0"/>
        <w:spacing w:line="440" w:lineRule="exact"/>
        <w:jc w:val="left"/>
        <w:rPr>
          <w:rFonts w:ascii="宋体" w:hAnsi="宋体"/>
          <w:highlight w:val="none"/>
        </w:rPr>
      </w:pPr>
      <w:r>
        <w:rPr>
          <w:rFonts w:hint="eastAsia" w:ascii="宋体" w:hAnsi="宋体"/>
          <w:highlight w:val="none"/>
        </w:rPr>
        <w:t>（1</w:t>
      </w:r>
      <w:r>
        <w:rPr>
          <w:rFonts w:ascii="宋体" w:hAnsi="宋体"/>
          <w:highlight w:val="none"/>
        </w:rPr>
        <w:t>）</w:t>
      </w:r>
      <w:r>
        <w:rPr>
          <w:rFonts w:hint="eastAsia" w:ascii="宋体" w:hAnsi="宋体"/>
          <w:highlight w:val="none"/>
        </w:rPr>
        <w:t>投标声明书</w:t>
      </w:r>
      <w:r>
        <w:rPr>
          <w:rFonts w:ascii="宋体" w:hAnsi="宋体"/>
          <w:highlight w:val="none"/>
        </w:rPr>
        <w:t xml:space="preserve"> </w:t>
      </w:r>
      <w:r>
        <w:rPr>
          <w:rFonts w:hint="eastAsia" w:ascii="宋体" w:hAnsi="宋体"/>
          <w:kern w:val="0"/>
          <w:highlight w:val="none"/>
        </w:rPr>
        <w:t>……………………………………………………………</w:t>
      </w:r>
      <w:r>
        <w:rPr>
          <w:rFonts w:hint="eastAsia" w:ascii="宋体" w:hAnsi="宋体"/>
          <w:kern w:val="0"/>
          <w:highlight w:val="none"/>
          <w:lang w:val="en-US" w:eastAsia="zh-CN"/>
        </w:rPr>
        <w:t xml:space="preserve"> </w:t>
      </w:r>
      <w:r>
        <w:rPr>
          <w:rFonts w:hint="eastAsia" w:ascii="宋体" w:hAnsi="宋体"/>
          <w:kern w:val="0"/>
          <w:highlight w:val="none"/>
        </w:rPr>
        <w:t>（页码）</w:t>
      </w:r>
    </w:p>
    <w:p>
      <w:pPr>
        <w:snapToGrid w:val="0"/>
        <w:spacing w:line="440" w:lineRule="exact"/>
        <w:jc w:val="left"/>
        <w:rPr>
          <w:rFonts w:ascii="宋体" w:hAnsi="宋体"/>
          <w:highlight w:val="none"/>
        </w:rPr>
      </w:pPr>
      <w:r>
        <w:rPr>
          <w:rFonts w:hint="eastAsia" w:ascii="宋体" w:hAnsi="宋体"/>
          <w:highlight w:val="none"/>
        </w:rPr>
        <w:t>（2</w:t>
      </w:r>
      <w:r>
        <w:rPr>
          <w:rFonts w:ascii="宋体" w:hAnsi="宋体"/>
          <w:highlight w:val="none"/>
        </w:rPr>
        <w:t>）</w:t>
      </w:r>
      <w:r>
        <w:rPr>
          <w:rFonts w:hint="eastAsia" w:ascii="宋体" w:hAnsi="宋体"/>
          <w:highlight w:val="none"/>
        </w:rPr>
        <w:t>法定代表人有效身份证件复印件或者法定代表人授权委托书</w:t>
      </w:r>
      <w:r>
        <w:rPr>
          <w:rFonts w:hint="eastAsia" w:ascii="宋体" w:hAnsi="宋体"/>
          <w:kern w:val="0"/>
          <w:highlight w:val="none"/>
        </w:rPr>
        <w:t>………（页码）</w:t>
      </w:r>
    </w:p>
    <w:p>
      <w:pPr>
        <w:snapToGrid w:val="0"/>
        <w:spacing w:line="440" w:lineRule="exact"/>
        <w:jc w:val="left"/>
        <w:rPr>
          <w:rFonts w:ascii="宋体" w:hAnsi="宋体"/>
          <w:highlight w:val="none"/>
        </w:rPr>
      </w:pPr>
      <w:r>
        <w:rPr>
          <w:rFonts w:hint="eastAsia" w:ascii="宋体" w:hAnsi="宋体"/>
          <w:highlight w:val="none"/>
        </w:rPr>
        <w:t>（3</w:t>
      </w:r>
      <w:r>
        <w:rPr>
          <w:rFonts w:ascii="宋体" w:hAnsi="宋体"/>
          <w:highlight w:val="none"/>
        </w:rPr>
        <w:t>）</w:t>
      </w:r>
      <w:r>
        <w:rPr>
          <w:rFonts w:hint="eastAsia" w:ascii="宋体" w:hAnsi="宋体"/>
          <w:highlight w:val="none"/>
        </w:rPr>
        <w:t>企业（法人）营业执照复印件</w:t>
      </w:r>
      <w:r>
        <w:rPr>
          <w:rFonts w:hint="eastAsia" w:ascii="宋体" w:hAnsi="宋体"/>
          <w:kern w:val="0"/>
          <w:highlight w:val="none"/>
        </w:rPr>
        <w:t>…………………………………………（页码）</w:t>
      </w:r>
    </w:p>
    <w:p>
      <w:pPr>
        <w:snapToGrid w:val="0"/>
        <w:spacing w:beforeLines="50" w:after="50"/>
        <w:rPr>
          <w:rFonts w:ascii="宋体" w:hAnsi="宋体"/>
          <w:szCs w:val="20"/>
          <w:highlight w:val="none"/>
        </w:rPr>
      </w:pPr>
    </w:p>
    <w:p>
      <w:pPr>
        <w:pStyle w:val="2"/>
        <w:ind w:left="480" w:firstLine="464"/>
        <w:rPr>
          <w:rFonts w:hAnsi="宋体"/>
          <w:sz w:val="24"/>
          <w:szCs w:val="20"/>
          <w:highlight w:val="none"/>
        </w:rPr>
      </w:pPr>
    </w:p>
    <w:p>
      <w:pPr>
        <w:pStyle w:val="2"/>
        <w:ind w:left="480" w:firstLine="464"/>
        <w:rPr>
          <w:rFonts w:hAnsi="宋体"/>
          <w:sz w:val="24"/>
          <w:szCs w:val="20"/>
          <w:highlight w:val="none"/>
        </w:rPr>
      </w:pPr>
    </w:p>
    <w:p>
      <w:pPr>
        <w:pStyle w:val="2"/>
        <w:ind w:left="480" w:firstLine="464"/>
        <w:rPr>
          <w:rFonts w:hAnsi="宋体"/>
          <w:sz w:val="24"/>
          <w:szCs w:val="20"/>
          <w:highlight w:val="none"/>
        </w:rPr>
      </w:pPr>
    </w:p>
    <w:p>
      <w:pPr>
        <w:pStyle w:val="2"/>
        <w:ind w:left="480" w:firstLine="464"/>
        <w:rPr>
          <w:rFonts w:hAnsi="宋体"/>
          <w:sz w:val="24"/>
          <w:szCs w:val="20"/>
          <w:highlight w:val="none"/>
        </w:rPr>
      </w:pPr>
    </w:p>
    <w:p>
      <w:pPr>
        <w:pStyle w:val="2"/>
        <w:ind w:left="480" w:firstLine="464"/>
        <w:rPr>
          <w:rFonts w:hAnsi="宋体"/>
          <w:sz w:val="24"/>
          <w:szCs w:val="20"/>
          <w:highlight w:val="none"/>
        </w:rPr>
      </w:pPr>
    </w:p>
    <w:p>
      <w:pPr>
        <w:snapToGrid w:val="0"/>
        <w:spacing w:beforeLines="50" w:after="50"/>
        <w:rPr>
          <w:rFonts w:ascii="宋体" w:hAnsi="宋体"/>
          <w:szCs w:val="20"/>
          <w:highlight w:val="none"/>
        </w:rPr>
      </w:pPr>
    </w:p>
    <w:p>
      <w:pPr>
        <w:pStyle w:val="12"/>
        <w:snapToGrid w:val="0"/>
        <w:spacing w:beforeLines="0" w:afterLines="0" w:line="440" w:lineRule="exact"/>
        <w:outlineLvl w:val="1"/>
        <w:rPr>
          <w:rFonts w:hAnsi="宋体"/>
          <w:b/>
          <w:highlight w:val="none"/>
        </w:rPr>
      </w:pPr>
    </w:p>
    <w:p>
      <w:pPr>
        <w:rPr>
          <w:rFonts w:hAnsi="宋体"/>
          <w:b/>
          <w:highlight w:val="none"/>
        </w:rPr>
      </w:pPr>
    </w:p>
    <w:p>
      <w:pPr>
        <w:pStyle w:val="2"/>
        <w:ind w:left="480" w:firstLine="404"/>
        <w:rPr>
          <w:highlight w:val="none"/>
        </w:rPr>
      </w:pPr>
    </w:p>
    <w:p>
      <w:pPr>
        <w:snapToGrid w:val="0"/>
        <w:spacing w:line="360" w:lineRule="auto"/>
        <w:rPr>
          <w:rFonts w:ascii="宋体" w:hAnsi="宋体"/>
          <w:highlight w:val="none"/>
        </w:rPr>
      </w:pPr>
      <w:r>
        <w:rPr>
          <w:rFonts w:hint="eastAsia" w:ascii="宋体" w:hAnsi="宋体"/>
          <w:highlight w:val="none"/>
        </w:rPr>
        <w:t xml:space="preserve">3. </w:t>
      </w:r>
      <w:r>
        <w:rPr>
          <w:rFonts w:ascii="宋体" w:hAnsi="宋体"/>
          <w:highlight w:val="none"/>
        </w:rPr>
        <w:t>投标声明书格式：</w:t>
      </w:r>
    </w:p>
    <w:p>
      <w:pPr>
        <w:pStyle w:val="6"/>
        <w:spacing w:line="360" w:lineRule="auto"/>
        <w:jc w:val="center"/>
        <w:rPr>
          <w:rFonts w:ascii="宋体" w:hAnsi="宋体"/>
          <w:szCs w:val="24"/>
          <w:highlight w:val="none"/>
        </w:rPr>
      </w:pPr>
      <w:r>
        <w:rPr>
          <w:rFonts w:ascii="宋体" w:hAnsi="宋体"/>
          <w:szCs w:val="24"/>
          <w:highlight w:val="none"/>
        </w:rPr>
        <w:t>投标声明书</w:t>
      </w:r>
    </w:p>
    <w:p>
      <w:pPr>
        <w:spacing w:line="360" w:lineRule="auto"/>
        <w:rPr>
          <w:rFonts w:ascii="宋体" w:hAnsi="宋体"/>
          <w:color w:val="auto"/>
          <w:sz w:val="24"/>
          <w:highlight w:val="none"/>
        </w:rPr>
      </w:pPr>
      <w:r>
        <w:rPr>
          <w:rFonts w:ascii="宋体" w:hAnsi="宋体"/>
          <w:color w:val="auto"/>
          <w:sz w:val="24"/>
          <w:highlight w:val="none"/>
        </w:rPr>
        <w:t>致：</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平湖市公共资源交易中心</w:t>
      </w:r>
      <w:r>
        <w:rPr>
          <w:rFonts w:hint="eastAsia" w:ascii="宋体" w:hAnsi="宋体"/>
          <w:color w:val="auto"/>
          <w:sz w:val="24"/>
          <w:highlight w:val="none"/>
        </w:rPr>
        <w:t>：</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lang w:eastAsia="zh-CN"/>
        </w:rPr>
        <w:t>供应商</w:t>
      </w:r>
      <w:r>
        <w:rPr>
          <w:rFonts w:ascii="宋体" w:hAnsi="宋体"/>
          <w:color w:val="auto"/>
          <w:sz w:val="24"/>
          <w:highlight w:val="none"/>
        </w:rPr>
        <w:t>名称）系中华人民共和国合法企业，经营地址</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我</w:t>
      </w:r>
      <w:r>
        <w:rPr>
          <w:rFonts w:hint="eastAsia" w:ascii="宋体" w:hAnsi="宋体"/>
          <w:color w:val="auto"/>
          <w:sz w:val="24"/>
          <w:highlight w:val="none"/>
          <w:u w:val="single"/>
        </w:rPr>
        <w:t xml:space="preserve">           </w:t>
      </w:r>
      <w:r>
        <w:rPr>
          <w:rFonts w:ascii="宋体" w:hAnsi="宋体"/>
          <w:color w:val="auto"/>
          <w:sz w:val="24"/>
          <w:highlight w:val="none"/>
        </w:rPr>
        <w:t>（姓名）系</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ascii="宋体" w:hAnsi="宋体"/>
          <w:color w:val="auto"/>
          <w:sz w:val="24"/>
          <w:highlight w:val="none"/>
        </w:rPr>
        <w:t>（</w:t>
      </w:r>
      <w:r>
        <w:rPr>
          <w:rFonts w:hint="eastAsia" w:ascii="宋体" w:hAnsi="宋体"/>
          <w:color w:val="auto"/>
          <w:sz w:val="24"/>
          <w:highlight w:val="none"/>
          <w:lang w:eastAsia="zh-CN"/>
        </w:rPr>
        <w:t>供应商</w:t>
      </w:r>
      <w:r>
        <w:rPr>
          <w:rFonts w:ascii="宋体" w:hAnsi="宋体"/>
          <w:color w:val="auto"/>
          <w:sz w:val="24"/>
          <w:highlight w:val="none"/>
        </w:rPr>
        <w:t>名称）的法定代表人，我方</w:t>
      </w:r>
      <w:r>
        <w:rPr>
          <w:rFonts w:hint="eastAsia" w:ascii="宋体" w:hAnsi="宋体"/>
          <w:color w:val="auto"/>
          <w:sz w:val="24"/>
          <w:highlight w:val="none"/>
        </w:rPr>
        <w:t>自</w:t>
      </w:r>
      <w:r>
        <w:rPr>
          <w:rFonts w:ascii="宋体" w:hAnsi="宋体"/>
          <w:color w:val="auto"/>
          <w:sz w:val="24"/>
          <w:highlight w:val="none"/>
        </w:rPr>
        <w:t>愿参加贵方组织的</w:t>
      </w:r>
      <w:r>
        <w:rPr>
          <w:rFonts w:hint="eastAsia" w:ascii="宋体" w:hAnsi="宋体"/>
          <w:color w:val="auto"/>
          <w:sz w:val="24"/>
          <w:highlight w:val="none"/>
          <w:u w:val="single"/>
        </w:rPr>
        <w:t xml:space="preserve">              </w:t>
      </w:r>
      <w:r>
        <w:rPr>
          <w:rFonts w:ascii="宋体" w:hAnsi="宋体"/>
          <w:color w:val="auto"/>
          <w:sz w:val="24"/>
          <w:highlight w:val="none"/>
        </w:rPr>
        <w:t>项目的投标，为便于贵方公正、择优地确定中标人及其投标产品和服务，我方就本次投标有关事项郑重声明如下：</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.我方向贵方提交的所有</w:t>
      </w:r>
      <w:r>
        <w:rPr>
          <w:rFonts w:hint="eastAsia" w:ascii="宋体" w:hAnsi="宋体"/>
          <w:color w:val="auto"/>
          <w:sz w:val="24"/>
          <w:highlight w:val="none"/>
          <w:lang w:eastAsia="zh-CN"/>
        </w:rPr>
        <w:t>响应文件</w:t>
      </w:r>
      <w:r>
        <w:rPr>
          <w:rFonts w:hint="eastAsia" w:ascii="宋体" w:hAnsi="宋体"/>
          <w:color w:val="auto"/>
          <w:sz w:val="24"/>
          <w:highlight w:val="none"/>
        </w:rPr>
        <w:t>及相关</w:t>
      </w:r>
      <w:r>
        <w:rPr>
          <w:rFonts w:ascii="宋体" w:hAnsi="宋体"/>
          <w:color w:val="auto"/>
          <w:sz w:val="24"/>
          <w:highlight w:val="none"/>
        </w:rPr>
        <w:t>资料都是真实的</w:t>
      </w:r>
      <w:r>
        <w:rPr>
          <w:rFonts w:hint="eastAsia" w:ascii="宋体" w:hAnsi="宋体"/>
          <w:color w:val="auto"/>
          <w:sz w:val="24"/>
          <w:highlight w:val="none"/>
        </w:rPr>
        <w:t>、合法的</w:t>
      </w:r>
      <w:r>
        <w:rPr>
          <w:rFonts w:ascii="宋体" w:hAnsi="宋体"/>
          <w:color w:val="auto"/>
          <w:sz w:val="24"/>
          <w:highlight w:val="none"/>
        </w:rPr>
        <w:t>。</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.我方不是</w:t>
      </w:r>
      <w:r>
        <w:rPr>
          <w:rFonts w:hint="eastAsia" w:ascii="宋体" w:hAnsi="宋体"/>
          <w:color w:val="auto"/>
          <w:sz w:val="24"/>
          <w:highlight w:val="none"/>
          <w:lang w:eastAsia="zh-CN"/>
        </w:rPr>
        <w:t>征集人</w:t>
      </w:r>
      <w:r>
        <w:rPr>
          <w:rFonts w:ascii="宋体" w:hAnsi="宋体"/>
          <w:color w:val="auto"/>
          <w:sz w:val="24"/>
          <w:highlight w:val="none"/>
        </w:rPr>
        <w:t>的附属机构；在获知本项目采购信息后，与</w:t>
      </w:r>
      <w:r>
        <w:rPr>
          <w:rFonts w:hint="eastAsia" w:ascii="宋体" w:hAnsi="宋体"/>
          <w:color w:val="auto"/>
          <w:sz w:val="24"/>
          <w:highlight w:val="none"/>
          <w:lang w:eastAsia="zh-CN"/>
        </w:rPr>
        <w:t>征集人</w:t>
      </w:r>
      <w:r>
        <w:rPr>
          <w:rFonts w:ascii="宋体" w:hAnsi="宋体"/>
          <w:color w:val="auto"/>
          <w:sz w:val="24"/>
          <w:highlight w:val="none"/>
        </w:rPr>
        <w:t>聘请的为此项目提供咨询服务的公司及其附属机构没有任何联系。</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我公司已详细阅读全部“</w:t>
      </w:r>
      <w:r>
        <w:rPr>
          <w:rFonts w:hint="eastAsia" w:ascii="宋体" w:hAnsi="宋体"/>
          <w:color w:val="auto"/>
          <w:sz w:val="24"/>
          <w:highlight w:val="none"/>
          <w:lang w:eastAsia="zh-CN"/>
        </w:rPr>
        <w:t>征集文件</w:t>
      </w:r>
      <w:r>
        <w:rPr>
          <w:rFonts w:hint="eastAsia" w:ascii="宋体" w:hAnsi="宋体"/>
          <w:color w:val="auto"/>
          <w:sz w:val="24"/>
          <w:highlight w:val="none"/>
        </w:rPr>
        <w:t>”，包括修改文件（如果有）以及全部招标资料和相关附件，并已了解我公司在招投标过程中的权利和义务。</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响应文件</w:t>
      </w:r>
      <w:r>
        <w:rPr>
          <w:rFonts w:hint="eastAsia" w:ascii="宋体" w:hAnsi="宋体"/>
          <w:color w:val="auto"/>
          <w:sz w:val="24"/>
          <w:highlight w:val="none"/>
        </w:rPr>
        <w:t>自开标日起有效期为90天。</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5.我公司声明参与本项目前3年内的经营活动中没有重大违法记录；</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6.我方通过“信用中国”网站（www.creditchina.gov.cn）、中国政府采购网（www.ccgp.gov.cn）查询，未被列入失信被执行人、重大税收违法案件当事人名单、政府采购严重违法失信行为记录名单。</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我公司理解并接受</w:t>
      </w:r>
      <w:r>
        <w:rPr>
          <w:rFonts w:hint="eastAsia" w:ascii="宋体" w:hAnsi="宋体"/>
          <w:color w:val="auto"/>
          <w:sz w:val="24"/>
          <w:highlight w:val="none"/>
          <w:lang w:eastAsia="zh-CN"/>
        </w:rPr>
        <w:t>征集文件</w:t>
      </w:r>
      <w:r>
        <w:rPr>
          <w:rFonts w:hint="eastAsia" w:ascii="宋体" w:hAnsi="宋体"/>
          <w:color w:val="auto"/>
          <w:sz w:val="24"/>
          <w:highlight w:val="none"/>
        </w:rPr>
        <w:t>的各项规定和要求，同意此次</w:t>
      </w:r>
      <w:r>
        <w:rPr>
          <w:rFonts w:hint="eastAsia" w:ascii="宋体" w:hAnsi="宋体"/>
          <w:color w:val="auto"/>
          <w:sz w:val="24"/>
          <w:highlight w:val="none"/>
          <w:lang w:eastAsia="zh-CN"/>
        </w:rPr>
        <w:t>征集文件</w:t>
      </w:r>
      <w:r>
        <w:rPr>
          <w:rFonts w:hint="eastAsia" w:ascii="宋体" w:hAnsi="宋体"/>
          <w:color w:val="auto"/>
          <w:sz w:val="24"/>
          <w:highlight w:val="none"/>
        </w:rPr>
        <w:t>中的各项内容，并同意提供按照贵方可能要求的与投标有关的一切数据或资料等。</w:t>
      </w:r>
    </w:p>
    <w:p>
      <w:pPr>
        <w:snapToGrid w:val="0"/>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本公司如中标，保证按照</w:t>
      </w:r>
      <w:r>
        <w:rPr>
          <w:rFonts w:hint="eastAsia" w:ascii="宋体" w:hAnsi="宋体"/>
          <w:color w:val="auto"/>
          <w:sz w:val="24"/>
          <w:highlight w:val="none"/>
          <w:lang w:eastAsia="zh-CN"/>
        </w:rPr>
        <w:t>响应文件</w:t>
      </w:r>
      <w:r>
        <w:rPr>
          <w:rFonts w:hint="eastAsia" w:ascii="宋体" w:hAnsi="宋体"/>
          <w:color w:val="auto"/>
          <w:sz w:val="24"/>
          <w:highlight w:val="none"/>
        </w:rPr>
        <w:t>的承诺与贵方签订合同，保证履行合同条款。</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.以上事项如有虚假或隐瞒，我方愿意承担一切后果，并不再寻求任何旨在减轻或免除法律责任的辩解。</w:t>
      </w:r>
    </w:p>
    <w:p>
      <w:pPr>
        <w:pStyle w:val="26"/>
        <w:snapToGrid w:val="0"/>
        <w:spacing w:line="360" w:lineRule="auto"/>
        <w:ind w:firstLine="480" w:firstLineChars="200"/>
        <w:rPr>
          <w:rFonts w:ascii="宋体" w:hAnsi="宋体"/>
          <w:szCs w:val="24"/>
          <w:highlight w:val="none"/>
        </w:rPr>
      </w:pPr>
    </w:p>
    <w:p>
      <w:pPr>
        <w:tabs>
          <w:tab w:val="left" w:pos="1418"/>
        </w:tabs>
        <w:spacing w:line="360" w:lineRule="auto"/>
        <w:ind w:firstLine="240" w:firstLineChars="100"/>
        <w:rPr>
          <w:rFonts w:ascii="宋体" w:hAnsi="宋体"/>
          <w:bCs/>
          <w:highlight w:val="none"/>
        </w:rPr>
      </w:pPr>
      <w:r>
        <w:rPr>
          <w:rFonts w:ascii="宋体" w:hAnsi="宋体"/>
          <w:highlight w:val="none"/>
        </w:rPr>
        <w:t>法定代表人或委托代理人签名：</w:t>
      </w:r>
    </w:p>
    <w:p>
      <w:pPr>
        <w:tabs>
          <w:tab w:val="left" w:pos="1418"/>
        </w:tabs>
        <w:spacing w:line="360" w:lineRule="auto"/>
        <w:ind w:firstLine="240" w:firstLineChars="100"/>
        <w:rPr>
          <w:rFonts w:ascii="宋体" w:hAnsi="宋体"/>
          <w:highlight w:val="none"/>
        </w:rPr>
      </w:pPr>
      <w:r>
        <w:rPr>
          <w:rFonts w:hint="eastAsia" w:ascii="宋体" w:hAnsi="宋体"/>
          <w:bCs/>
          <w:highlight w:val="none"/>
        </w:rPr>
        <w:t>投 标 人（盖章）：                              年  月  日</w:t>
      </w:r>
    </w:p>
    <w:p>
      <w:pPr>
        <w:snapToGrid w:val="0"/>
        <w:spacing w:line="360" w:lineRule="auto"/>
        <w:rPr>
          <w:rFonts w:ascii="宋体" w:hAnsi="宋体"/>
          <w:highlight w:val="none"/>
        </w:rPr>
      </w:pPr>
    </w:p>
    <w:p>
      <w:pPr>
        <w:snapToGrid w:val="0"/>
        <w:spacing w:line="360" w:lineRule="auto"/>
        <w:rPr>
          <w:rFonts w:ascii="宋体" w:hAnsi="宋体"/>
          <w:highlight w:val="none"/>
        </w:rPr>
      </w:pPr>
    </w:p>
    <w:p>
      <w:pPr>
        <w:pStyle w:val="2"/>
        <w:ind w:left="480" w:firstLine="464"/>
        <w:rPr>
          <w:rFonts w:hAnsi="宋体"/>
          <w:sz w:val="24"/>
          <w:highlight w:val="none"/>
        </w:rPr>
      </w:pPr>
    </w:p>
    <w:p>
      <w:pPr>
        <w:rPr>
          <w:rFonts w:ascii="宋体" w:hAnsi="宋体"/>
          <w:highlight w:val="none"/>
        </w:rPr>
      </w:pPr>
    </w:p>
    <w:p>
      <w:pPr>
        <w:pStyle w:val="2"/>
        <w:ind w:left="480" w:firstLine="404"/>
        <w:rPr>
          <w:highlight w:val="none"/>
        </w:rPr>
      </w:pPr>
    </w:p>
    <w:p>
      <w:pPr>
        <w:snapToGrid w:val="0"/>
        <w:spacing w:line="360" w:lineRule="auto"/>
        <w:rPr>
          <w:rFonts w:ascii="宋体" w:hAnsi="宋体"/>
          <w:highlight w:val="none"/>
        </w:rPr>
      </w:pPr>
      <w:r>
        <w:rPr>
          <w:rFonts w:hint="eastAsia" w:ascii="宋体" w:hAnsi="宋体"/>
          <w:highlight w:val="none"/>
        </w:rPr>
        <w:t xml:space="preserve">4. </w:t>
      </w:r>
      <w:r>
        <w:rPr>
          <w:rFonts w:ascii="宋体" w:hAnsi="宋体"/>
          <w:highlight w:val="none"/>
        </w:rPr>
        <w:t>法定代表人授权委托书格式：</w:t>
      </w:r>
    </w:p>
    <w:p>
      <w:pPr>
        <w:pStyle w:val="6"/>
        <w:spacing w:line="360" w:lineRule="auto"/>
        <w:jc w:val="center"/>
        <w:rPr>
          <w:rFonts w:ascii="宋体" w:hAnsi="宋体"/>
          <w:szCs w:val="24"/>
          <w:highlight w:val="none"/>
        </w:rPr>
      </w:pPr>
      <w:r>
        <w:rPr>
          <w:rFonts w:ascii="宋体" w:hAnsi="宋体"/>
          <w:szCs w:val="24"/>
          <w:highlight w:val="none"/>
        </w:rPr>
        <w:t>法定代表人授权委托书</w:t>
      </w:r>
    </w:p>
    <w:p>
      <w:pPr>
        <w:snapToGrid w:val="0"/>
        <w:spacing w:before="240" w:beforeLines="100" w:line="360" w:lineRule="auto"/>
        <w:rPr>
          <w:rFonts w:ascii="宋体" w:hAnsi="宋体"/>
          <w:b/>
          <w:bCs/>
          <w:color w:val="auto"/>
          <w:sz w:val="24"/>
          <w:highlight w:val="none"/>
        </w:rPr>
      </w:pPr>
      <w:r>
        <w:rPr>
          <w:rFonts w:ascii="宋体" w:hAnsi="宋体"/>
          <w:bCs/>
          <w:color w:val="auto"/>
          <w:sz w:val="24"/>
          <w:highlight w:val="none"/>
        </w:rPr>
        <w:t>致：</w:t>
      </w:r>
      <w:r>
        <w:rPr>
          <w:rFonts w:hint="eastAsia" w:ascii="宋体" w:hAnsi="宋体"/>
          <w:color w:val="auto"/>
          <w:sz w:val="24"/>
          <w:highlight w:val="none"/>
          <w:u w:val="single"/>
          <w:lang w:eastAsia="zh-CN"/>
        </w:rPr>
        <w:t>平湖市公共资源交易中心</w:t>
      </w:r>
      <w:r>
        <w:rPr>
          <w:rFonts w:ascii="宋体" w:hAnsi="宋体"/>
          <w:color w:val="auto"/>
          <w:sz w:val="24"/>
          <w:highlight w:val="none"/>
        </w:rPr>
        <w:t>：</w:t>
      </w:r>
    </w:p>
    <w:p>
      <w:pPr>
        <w:snapToGrid w:val="0"/>
        <w:spacing w:line="360" w:lineRule="auto"/>
        <w:ind w:firstLine="720" w:firstLineChars="300"/>
        <w:rPr>
          <w:rFonts w:ascii="宋体" w:hAnsi="宋体"/>
          <w:color w:val="auto"/>
          <w:sz w:val="24"/>
          <w:highlight w:val="none"/>
        </w:rPr>
      </w:pPr>
      <w:r>
        <w:rPr>
          <w:rFonts w:ascii="宋体" w:hAnsi="宋体"/>
          <w:color w:val="auto"/>
          <w:sz w:val="24"/>
          <w:highlight w:val="none"/>
        </w:rPr>
        <w:t>我</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（姓名）系</w:t>
      </w:r>
      <w:r>
        <w:rPr>
          <w:rFonts w:hint="eastAsia"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lang w:eastAsia="zh-CN"/>
        </w:rPr>
        <w:t>供应商</w:t>
      </w:r>
      <w:r>
        <w:rPr>
          <w:rFonts w:ascii="宋体" w:hAnsi="宋体"/>
          <w:color w:val="auto"/>
          <w:sz w:val="24"/>
          <w:highlight w:val="none"/>
        </w:rPr>
        <w:t>名称）的法定代表人，现授权委托本单位在职职工</w:t>
      </w:r>
      <w:r>
        <w:rPr>
          <w:rFonts w:ascii="宋体" w:hAnsi="宋体"/>
          <w:color w:val="auto"/>
          <w:sz w:val="24"/>
          <w:highlight w:val="none"/>
          <w:u w:val="single"/>
        </w:rPr>
        <w:t xml:space="preserve">         </w:t>
      </w:r>
      <w:r>
        <w:rPr>
          <w:rFonts w:ascii="宋体" w:hAnsi="宋体"/>
          <w:color w:val="auto"/>
          <w:sz w:val="24"/>
          <w:highlight w:val="none"/>
        </w:rPr>
        <w:t>（姓名）以我方的名义参加</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rPr>
        <w:t>政府采购项目的投标活动，并代表我方全权办理针对上述项目的投标、开标、评标、签约等具体事务和签署相关文件。</w:t>
      </w:r>
    </w:p>
    <w:p>
      <w:pPr>
        <w:snapToGrid w:val="0"/>
        <w:spacing w:line="360" w:lineRule="auto"/>
        <w:rPr>
          <w:rFonts w:ascii="宋体" w:hAnsi="宋体"/>
          <w:color w:val="auto"/>
          <w:sz w:val="24"/>
          <w:highlight w:val="none"/>
        </w:rPr>
      </w:pPr>
      <w:r>
        <w:rPr>
          <w:rFonts w:ascii="宋体" w:hAnsi="宋体"/>
          <w:color w:val="auto"/>
          <w:sz w:val="24"/>
          <w:highlight w:val="none"/>
        </w:rPr>
        <w:t xml:space="preserve">    我方对被授权人的签名事项负全部责任。</w:t>
      </w:r>
    </w:p>
    <w:p>
      <w:pPr>
        <w:snapToGrid w:val="0"/>
        <w:spacing w:line="360" w:lineRule="auto"/>
        <w:ind w:firstLine="480"/>
        <w:rPr>
          <w:rFonts w:ascii="宋体" w:hAnsi="宋体"/>
          <w:color w:val="auto"/>
          <w:sz w:val="24"/>
          <w:highlight w:val="none"/>
        </w:rPr>
      </w:pPr>
      <w:r>
        <w:rPr>
          <w:rFonts w:ascii="宋体" w:hAnsi="宋体"/>
          <w:color w:val="auto"/>
          <w:sz w:val="24"/>
          <w:highlight w:val="none"/>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color w:val="auto"/>
          <w:sz w:val="24"/>
          <w:highlight w:val="none"/>
        </w:rPr>
      </w:pPr>
      <w:r>
        <w:rPr>
          <w:rFonts w:ascii="宋体" w:hAnsi="宋体"/>
          <w:color w:val="auto"/>
          <w:sz w:val="24"/>
          <w:highlight w:val="none"/>
        </w:rPr>
        <w:t>被授权人无转委托权，特此委托。</w:t>
      </w: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u w:val="single"/>
        </w:rPr>
      </w:pPr>
      <w:r>
        <w:rPr>
          <w:rFonts w:ascii="宋体" w:hAnsi="宋体"/>
          <w:color w:val="auto"/>
          <w:sz w:val="24"/>
          <w:highlight w:val="none"/>
        </w:rPr>
        <w:t>被授权人签名：</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法定代表人签名：</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napToGrid w:val="0"/>
        <w:spacing w:line="360" w:lineRule="auto"/>
        <w:ind w:firstLine="960" w:firstLineChars="400"/>
        <w:rPr>
          <w:rFonts w:ascii="宋体" w:hAnsi="宋体"/>
          <w:color w:val="auto"/>
          <w:sz w:val="24"/>
          <w:highlight w:val="none"/>
        </w:rPr>
      </w:pPr>
      <w:r>
        <w:rPr>
          <w:rFonts w:ascii="宋体" w:hAnsi="宋体"/>
          <w:color w:val="auto"/>
          <w:sz w:val="24"/>
          <w:highlight w:val="none"/>
        </w:rPr>
        <w:t>职务：</w:t>
      </w:r>
      <w:r>
        <w:rPr>
          <w:rFonts w:ascii="宋体" w:hAnsi="宋体"/>
          <w:color w:val="auto"/>
          <w:sz w:val="24"/>
          <w:highlight w:val="none"/>
          <w:u w:val="single"/>
        </w:rPr>
        <w:t xml:space="preserve">           </w:t>
      </w:r>
      <w:r>
        <w:rPr>
          <w:rFonts w:ascii="宋体" w:hAnsi="宋体"/>
          <w:color w:val="auto"/>
          <w:sz w:val="24"/>
          <w:highlight w:val="none"/>
        </w:rPr>
        <w:t xml:space="preserve">                          职务：</w:t>
      </w:r>
      <w:r>
        <w:rPr>
          <w:rFonts w:ascii="宋体" w:hAnsi="宋体"/>
          <w:color w:val="auto"/>
          <w:sz w:val="24"/>
          <w:highlight w:val="none"/>
          <w:u w:val="single"/>
        </w:rPr>
        <w:t xml:space="preserve">           </w:t>
      </w:r>
    </w:p>
    <w:p>
      <w:pPr>
        <w:spacing w:line="360" w:lineRule="auto"/>
        <w:rPr>
          <w:rFonts w:ascii="宋体" w:hAnsi="宋体"/>
          <w:color w:val="auto"/>
          <w:sz w:val="24"/>
          <w:highlight w:val="none"/>
        </w:rPr>
      </w:pPr>
      <w:r>
        <w:rPr>
          <w:rFonts w:ascii="宋体" w:hAnsi="宋体"/>
          <w:color w:val="auto"/>
          <w:sz w:val="24"/>
          <w:highlight w:val="none"/>
        </w:rPr>
        <w:t>被授权人身份证号码：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p>
    <w:p>
      <w:pPr>
        <w:spacing w:line="360" w:lineRule="auto"/>
        <w:rPr>
          <w:rFonts w:ascii="宋体" w:hAnsi="宋体"/>
          <w:color w:val="auto"/>
          <w:sz w:val="24"/>
          <w:highlight w:val="none"/>
        </w:rPr>
      </w:pPr>
    </w:p>
    <w:p>
      <w:pPr>
        <w:spacing w:line="360" w:lineRule="auto"/>
        <w:jc w:val="center"/>
        <w:rPr>
          <w:rFonts w:ascii="宋体" w:hAnsi="宋体"/>
          <w:color w:val="auto"/>
          <w:sz w:val="24"/>
          <w:highlight w:val="none"/>
        </w:rPr>
      </w:pPr>
      <w:r>
        <w:rPr>
          <w:rFonts w:hint="eastAsia" w:ascii="宋体" w:hAnsi="宋体"/>
          <w:color w:val="auto"/>
          <w:sz w:val="24"/>
          <w:highlight w:val="none"/>
          <w:lang w:eastAsia="zh-CN"/>
        </w:rPr>
        <w:t>供应商</w:t>
      </w:r>
      <w:r>
        <w:rPr>
          <w:rFonts w:ascii="宋体" w:hAnsi="宋体"/>
          <w:color w:val="auto"/>
          <w:sz w:val="24"/>
          <w:highlight w:val="none"/>
        </w:rPr>
        <w:t>公章：</w:t>
      </w:r>
      <w:r>
        <w:rPr>
          <w:rFonts w:ascii="宋体" w:hAnsi="宋体"/>
          <w:color w:val="auto"/>
          <w:sz w:val="24"/>
          <w:highlight w:val="none"/>
          <w:u w:val="single"/>
        </w:rPr>
        <w:t xml:space="preserve">               </w:t>
      </w:r>
      <w:r>
        <w:rPr>
          <w:rFonts w:ascii="宋体" w:hAnsi="宋体"/>
          <w:color w:val="auto"/>
          <w:sz w:val="24"/>
          <w:highlight w:val="none"/>
        </w:rPr>
        <w:t xml:space="preserve">                      年    月    日</w:t>
      </w:r>
    </w:p>
    <w:p>
      <w:pPr>
        <w:spacing w:line="360" w:lineRule="auto"/>
        <w:ind w:firstLine="3600" w:firstLineChars="1500"/>
        <w:rPr>
          <w:rFonts w:ascii="宋体" w:hAnsi="宋体"/>
          <w:color w:val="auto"/>
          <w:sz w:val="24"/>
          <w:highlight w:val="none"/>
        </w:rPr>
      </w:pPr>
    </w:p>
    <w:p>
      <w:pPr>
        <w:spacing w:line="360" w:lineRule="auto"/>
        <w:rPr>
          <w:rFonts w:ascii="宋体" w:hAnsi="宋体"/>
          <w:highlight w:val="none"/>
        </w:rPr>
      </w:pPr>
      <w:r>
        <w:rPr>
          <w:rFonts w:hint="eastAsia" w:ascii="宋体" w:hAnsi="宋体"/>
          <w:color w:val="auto"/>
          <w:sz w:val="24"/>
          <w:highlight w:val="none"/>
        </w:rPr>
        <w:t xml:space="preserve">法定代表人身份证复印件粘贴处：             </w:t>
      </w:r>
      <w:r>
        <w:rPr>
          <w:rFonts w:ascii="宋体" w:hAnsi="宋体"/>
          <w:color w:val="auto"/>
          <w:sz w:val="24"/>
          <w:highlight w:val="none"/>
        </w:rPr>
        <w:t>被授权人</w:t>
      </w:r>
      <w:r>
        <w:rPr>
          <w:rFonts w:hint="eastAsia" w:ascii="宋体" w:hAnsi="宋体"/>
          <w:color w:val="auto"/>
          <w:sz w:val="24"/>
          <w:highlight w:val="none"/>
        </w:rPr>
        <w:t>身份证复印件粘贴处：</w:t>
      </w:r>
    </w:p>
    <w:p>
      <w:pPr>
        <w:snapToGrid w:val="0"/>
        <w:spacing w:beforeLines="50" w:after="50" w:line="360" w:lineRule="auto"/>
        <w:rPr>
          <w:rFonts w:ascii="宋体" w:hAnsi="宋体"/>
          <w:highlight w:val="none"/>
        </w:rPr>
      </w:pPr>
    </w:p>
    <w:p>
      <w:pPr>
        <w:snapToGrid w:val="0"/>
        <w:spacing w:beforeLines="50" w:after="50" w:line="360" w:lineRule="auto"/>
        <w:rPr>
          <w:rFonts w:ascii="宋体" w:hAnsi="宋体"/>
          <w:highlight w:val="none"/>
        </w:rPr>
      </w:pPr>
    </w:p>
    <w:p>
      <w:pPr>
        <w:pStyle w:val="6"/>
        <w:rPr>
          <w:highlight w:val="none"/>
        </w:rPr>
      </w:pPr>
    </w:p>
    <w:p>
      <w:pPr>
        <w:snapToGrid w:val="0"/>
        <w:spacing w:beforeLines="50" w:after="50" w:line="360" w:lineRule="auto"/>
        <w:rPr>
          <w:rFonts w:ascii="宋体" w:hAnsi="宋体"/>
          <w:highlight w:val="none"/>
        </w:rPr>
      </w:pPr>
    </w:p>
    <w:p>
      <w:pPr>
        <w:spacing w:line="588" w:lineRule="exact"/>
        <w:jc w:val="center"/>
        <w:rPr>
          <w:rFonts w:ascii="宋体" w:hAnsi="宋体"/>
          <w:b/>
          <w:spacing w:val="6"/>
          <w:highlight w:val="none"/>
        </w:rPr>
      </w:pPr>
    </w:p>
    <w:p>
      <w:pPr>
        <w:pStyle w:val="2"/>
        <w:ind w:left="480" w:firstLine="506"/>
        <w:rPr>
          <w:rFonts w:hAnsi="宋体" w:cs="宋体"/>
          <w:b/>
          <w:spacing w:val="6"/>
          <w:sz w:val="24"/>
          <w:highlight w:val="none"/>
        </w:rPr>
      </w:pPr>
    </w:p>
    <w:p>
      <w:pPr>
        <w:rPr>
          <w:rFonts w:ascii="宋体" w:hAnsi="宋体"/>
          <w:b/>
          <w:spacing w:val="6"/>
          <w:highlight w:val="none"/>
        </w:rPr>
      </w:pPr>
    </w:p>
    <w:p>
      <w:pPr>
        <w:pStyle w:val="2"/>
        <w:ind w:left="480" w:firstLine="506"/>
        <w:rPr>
          <w:rFonts w:hAnsi="宋体" w:cs="宋体"/>
          <w:b/>
          <w:spacing w:val="6"/>
          <w:sz w:val="24"/>
          <w:highlight w:val="none"/>
        </w:rPr>
      </w:pPr>
    </w:p>
    <w:p>
      <w:pPr>
        <w:rPr>
          <w:highlight w:val="none"/>
        </w:rPr>
      </w:pPr>
    </w:p>
    <w:p>
      <w:pPr>
        <w:pStyle w:val="6"/>
        <w:spacing w:line="360" w:lineRule="auto"/>
        <w:rPr>
          <w:rFonts w:ascii="宋体" w:hAnsi="宋体"/>
          <w:b w:val="0"/>
          <w:bCs w:val="0"/>
          <w:szCs w:val="24"/>
          <w:highlight w:val="none"/>
        </w:rPr>
      </w:pPr>
      <w:r>
        <w:rPr>
          <w:rFonts w:hint="eastAsia" w:ascii="宋体" w:hAnsi="宋体"/>
          <w:b w:val="0"/>
          <w:bCs w:val="0"/>
          <w:highlight w:val="none"/>
        </w:rPr>
        <w:t xml:space="preserve">5. </w:t>
      </w:r>
      <w:r>
        <w:rPr>
          <w:rFonts w:hint="eastAsia" w:ascii="宋体" w:hAnsi="宋体"/>
          <w:b w:val="0"/>
          <w:bCs w:val="0"/>
          <w:szCs w:val="24"/>
          <w:highlight w:val="none"/>
        </w:rPr>
        <w:t>符合参加政府采购活动应当具备的一般条件的承诺函格式：</w:t>
      </w:r>
    </w:p>
    <w:p>
      <w:pPr>
        <w:pStyle w:val="6"/>
        <w:spacing w:line="360" w:lineRule="auto"/>
        <w:jc w:val="center"/>
        <w:rPr>
          <w:rFonts w:ascii="宋体" w:hAnsi="宋体"/>
          <w:szCs w:val="24"/>
          <w:highlight w:val="none"/>
        </w:rPr>
      </w:pPr>
      <w:r>
        <w:rPr>
          <w:rFonts w:hint="eastAsia" w:ascii="宋体" w:hAnsi="宋体"/>
          <w:szCs w:val="24"/>
          <w:highlight w:val="none"/>
        </w:rPr>
        <w:t>符合参加政府采购活动应当具备的一般条件的承诺函</w:t>
      </w:r>
    </w:p>
    <w:p>
      <w:pPr>
        <w:spacing w:line="360" w:lineRule="auto"/>
        <w:rPr>
          <w:rFonts w:ascii="宋体" w:hAnsi="宋体"/>
          <w:color w:val="auto"/>
          <w:sz w:val="24"/>
          <w:highlight w:val="none"/>
        </w:rPr>
      </w:pPr>
      <w:r>
        <w:rPr>
          <w:rFonts w:ascii="宋体" w:hAnsi="宋体"/>
          <w:color w:val="auto"/>
          <w:sz w:val="24"/>
          <w:highlight w:val="none"/>
        </w:rPr>
        <w:t>致：</w:t>
      </w:r>
      <w:r>
        <w:rPr>
          <w:rFonts w:hint="eastAsia" w:ascii="宋体" w:hAnsi="宋体"/>
          <w:color w:val="auto"/>
          <w:sz w:val="24"/>
          <w:highlight w:val="none"/>
          <w:u w:val="single"/>
          <w:lang w:eastAsia="zh-CN"/>
        </w:rPr>
        <w:t>平湖市公共资源交易中心</w:t>
      </w:r>
      <w:r>
        <w:rPr>
          <w:rFonts w:hint="eastAsia" w:ascii="宋体" w:hAnsi="宋体"/>
          <w:color w:val="auto"/>
          <w:sz w:val="24"/>
          <w:highlight w:val="none"/>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我方参与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（项目名称）【</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编号：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】政府采购活动，郑重承诺：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（一）具备《中华人民共和国政府采购法》第二十二条第一款规定的条件：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1、具有独立承担民事责任的能力；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2、具有良好的商业信誉和健全的财务会计制度；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3、具有履行合同所必需的设备和专业技术能力；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4、有依法缴纳税收和社会保障资金的良好记录；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5、参加政府采购活动前三年内，在经营活动中没有重大违法记录；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6、具有法律、行政法规规定的其他条件。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（二）未被信用中国（www.creditchina.gov.cn)、中国政府采购网（www.ccgp.gov.cn）列入失信被执行人、重大税收违法案件当事人名单、政府采购严重违法失信行为记录名单。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（三）不存在以下情况：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1、单位负责人为同一人或者存在直接控股、管理关系的不同供应商参加同一合同项下的政府采购活动的；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kern w:val="0"/>
          <w:highlight w:val="none"/>
        </w:rPr>
      </w:pPr>
      <w:r>
        <w:rPr>
          <w:rFonts w:hint="eastAsia" w:ascii="宋体" w:hAnsi="宋体" w:cs="宋体"/>
          <w:color w:val="auto"/>
          <w:kern w:val="0"/>
          <w:sz w:val="24"/>
          <w:highlight w:val="none"/>
        </w:rPr>
        <w:t>2、为采购项目提供整体设计、规范编制或者项目管理、监理、检测等服务后再参加该采购项目的其他采购活动的。</w:t>
      </w:r>
    </w:p>
    <w:p>
      <w:pPr>
        <w:tabs>
          <w:tab w:val="left" w:pos="1418"/>
        </w:tabs>
        <w:spacing w:line="360" w:lineRule="auto"/>
        <w:ind w:firstLine="240" w:firstLineChars="100"/>
        <w:rPr>
          <w:rFonts w:ascii="宋体" w:hAnsi="宋体"/>
          <w:highlight w:val="none"/>
        </w:rPr>
      </w:pPr>
    </w:p>
    <w:p>
      <w:pPr>
        <w:tabs>
          <w:tab w:val="left" w:pos="1418"/>
        </w:tabs>
        <w:spacing w:line="360" w:lineRule="auto"/>
        <w:ind w:firstLine="240" w:firstLineChars="100"/>
        <w:rPr>
          <w:rFonts w:ascii="宋体" w:hAnsi="宋体"/>
          <w:bCs/>
          <w:highlight w:val="none"/>
        </w:rPr>
      </w:pPr>
      <w:r>
        <w:rPr>
          <w:rFonts w:ascii="宋体" w:hAnsi="宋体"/>
          <w:highlight w:val="none"/>
        </w:rPr>
        <w:t>法定代表人或委托代理人签名：</w:t>
      </w:r>
    </w:p>
    <w:p>
      <w:pPr>
        <w:tabs>
          <w:tab w:val="left" w:pos="1418"/>
        </w:tabs>
        <w:spacing w:line="360" w:lineRule="auto"/>
        <w:ind w:firstLine="240" w:firstLineChars="100"/>
        <w:rPr>
          <w:rFonts w:ascii="宋体" w:hAnsi="宋体"/>
          <w:bCs/>
          <w:highlight w:val="none"/>
        </w:rPr>
      </w:pPr>
      <w:r>
        <w:rPr>
          <w:rFonts w:hint="eastAsia" w:ascii="宋体" w:hAnsi="宋体"/>
          <w:bCs/>
          <w:highlight w:val="none"/>
        </w:rPr>
        <w:t xml:space="preserve">采购响应方（盖章）：                              </w:t>
      </w:r>
    </w:p>
    <w:p>
      <w:pPr>
        <w:tabs>
          <w:tab w:val="left" w:pos="1418"/>
        </w:tabs>
        <w:spacing w:line="360" w:lineRule="auto"/>
        <w:ind w:firstLine="240" w:firstLineChars="100"/>
        <w:jc w:val="right"/>
        <w:rPr>
          <w:rFonts w:ascii="宋体" w:hAnsi="宋体"/>
          <w:b/>
          <w:bCs/>
          <w:highlight w:val="none"/>
        </w:rPr>
      </w:pPr>
      <w:r>
        <w:rPr>
          <w:rFonts w:hint="eastAsia" w:ascii="宋体" w:hAnsi="宋体"/>
          <w:bCs/>
          <w:highlight w:val="none"/>
        </w:rPr>
        <w:t>年  月  日</w:t>
      </w:r>
    </w:p>
    <w:p>
      <w:pPr>
        <w:snapToGrid w:val="0"/>
        <w:spacing w:line="360" w:lineRule="auto"/>
        <w:rPr>
          <w:rFonts w:ascii="宋体" w:hAnsi="宋体"/>
          <w:highlight w:val="none"/>
        </w:rPr>
      </w:pPr>
    </w:p>
    <w:p>
      <w:pPr>
        <w:pStyle w:val="2"/>
        <w:ind w:left="480" w:firstLine="464"/>
        <w:rPr>
          <w:rFonts w:hAnsi="宋体"/>
          <w:sz w:val="24"/>
          <w:highlight w:val="none"/>
        </w:rPr>
      </w:pPr>
    </w:p>
    <w:p>
      <w:pPr>
        <w:pStyle w:val="2"/>
        <w:ind w:left="480" w:firstLine="464"/>
        <w:rPr>
          <w:rFonts w:hAnsi="宋体"/>
          <w:sz w:val="24"/>
          <w:highlight w:val="none"/>
        </w:rPr>
      </w:pPr>
    </w:p>
    <w:p>
      <w:pPr>
        <w:pStyle w:val="2"/>
        <w:ind w:left="480" w:firstLine="464"/>
        <w:rPr>
          <w:rFonts w:hAnsi="宋体"/>
          <w:sz w:val="24"/>
          <w:highlight w:val="none"/>
        </w:rPr>
      </w:pPr>
    </w:p>
    <w:p>
      <w:pPr>
        <w:rPr>
          <w:rFonts w:hAnsi="宋体"/>
          <w:highlight w:val="none"/>
        </w:rPr>
      </w:pPr>
    </w:p>
    <w:p>
      <w:pPr>
        <w:pStyle w:val="6"/>
        <w:rPr>
          <w:highlight w:val="none"/>
        </w:rPr>
      </w:pPr>
    </w:p>
    <w:p>
      <w:pPr>
        <w:pStyle w:val="2"/>
        <w:ind w:left="480" w:firstLine="464"/>
        <w:rPr>
          <w:rFonts w:hAnsi="宋体"/>
          <w:sz w:val="24"/>
          <w:highlight w:val="none"/>
        </w:rPr>
      </w:pPr>
    </w:p>
    <w:p>
      <w:pPr>
        <w:rPr>
          <w:rFonts w:hAnsi="宋体"/>
          <w:highlight w:val="none"/>
        </w:rPr>
      </w:pPr>
    </w:p>
    <w:p>
      <w:pPr>
        <w:snapToGrid w:val="0"/>
        <w:spacing w:line="360" w:lineRule="auto"/>
        <w:rPr>
          <w:rFonts w:ascii="宋体" w:hAnsi="宋体"/>
          <w:highlight w:val="none"/>
        </w:rPr>
      </w:pPr>
      <w:r>
        <w:rPr>
          <w:rFonts w:hint="eastAsia" w:ascii="宋体" w:hAnsi="宋体"/>
          <w:highlight w:val="none"/>
        </w:rPr>
        <w:t>6. 中小企业声明函等承诺函</w:t>
      </w:r>
    </w:p>
    <w:p>
      <w:pPr>
        <w:snapToGrid w:val="0"/>
        <w:spacing w:line="360" w:lineRule="auto"/>
        <w:jc w:val="center"/>
        <w:rPr>
          <w:rFonts w:ascii="Arial" w:hAnsi="Arial" w:eastAsia="黑体"/>
          <w:b/>
          <w:bCs/>
          <w:sz w:val="32"/>
          <w:szCs w:val="32"/>
          <w:highlight w:val="none"/>
        </w:rPr>
      </w:pPr>
      <w:r>
        <w:rPr>
          <w:rFonts w:hint="eastAsia" w:ascii="Arial" w:hAnsi="Arial" w:eastAsia="黑体"/>
          <w:b/>
          <w:bCs/>
          <w:sz w:val="32"/>
          <w:szCs w:val="32"/>
          <w:highlight w:val="none"/>
        </w:rPr>
        <w:t>中小企业声明函（工程、服务）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color w:val="000000"/>
          <w:kern w:val="0"/>
          <w:sz w:val="24"/>
          <w:highlight w:val="none"/>
          <w:lang w:bidi="ar"/>
        </w:rPr>
        <w:t>本公司（联合体）郑重声明，根据《政府采购促进中小企业发展管理办法》（财库﹝2020﹞46 号）的规定，本公司（联合体）参加</w:t>
      </w:r>
      <w:r>
        <w:rPr>
          <w:rFonts w:hint="eastAsia" w:ascii="宋体" w:hAnsi="宋体" w:cs="宋体"/>
          <w:iCs/>
          <w:color w:val="000000"/>
          <w:kern w:val="0"/>
          <w:sz w:val="24"/>
          <w:highlight w:val="none"/>
          <w:u w:val="single"/>
          <w:lang w:bidi="ar"/>
        </w:rPr>
        <w:t>（单位名称）</w:t>
      </w:r>
      <w:r>
        <w:rPr>
          <w:rFonts w:hint="eastAsia" w:ascii="宋体" w:hAnsi="宋体" w:cs="宋体"/>
          <w:iCs/>
          <w:color w:val="000000"/>
          <w:kern w:val="0"/>
          <w:sz w:val="24"/>
          <w:highlight w:val="none"/>
          <w:u w:val="single"/>
          <w:lang w:val="en-US" w:eastAsia="zh-CN" w:bidi="ar"/>
        </w:rPr>
        <w:t xml:space="preserve">              </w:t>
      </w:r>
      <w:r>
        <w:rPr>
          <w:rFonts w:hint="eastAsia" w:ascii="宋体" w:hAnsi="宋体" w:cs="宋体"/>
          <w:iCs/>
          <w:color w:val="000000"/>
          <w:kern w:val="0"/>
          <w:sz w:val="24"/>
          <w:highlight w:val="none"/>
          <w:lang w:bidi="ar"/>
        </w:rPr>
        <w:t>的</w:t>
      </w:r>
      <w:r>
        <w:rPr>
          <w:rFonts w:hint="eastAsia" w:ascii="宋体" w:hAnsi="宋体" w:cs="宋体"/>
          <w:iCs/>
          <w:color w:val="000000"/>
          <w:kern w:val="0"/>
          <w:sz w:val="24"/>
          <w:highlight w:val="none"/>
          <w:u w:val="single"/>
          <w:lang w:val="en-US" w:eastAsia="zh-CN" w:bidi="ar"/>
        </w:rPr>
        <w:t xml:space="preserve">            </w:t>
      </w:r>
      <w:r>
        <w:rPr>
          <w:rFonts w:hint="eastAsia" w:ascii="宋体" w:hAnsi="宋体" w:cs="宋体"/>
          <w:iCs/>
          <w:color w:val="000000"/>
          <w:kern w:val="0"/>
          <w:sz w:val="24"/>
          <w:highlight w:val="none"/>
          <w:u w:val="single"/>
          <w:lang w:bidi="ar"/>
        </w:rPr>
        <w:t>（项目名称）</w:t>
      </w:r>
      <w:r>
        <w:rPr>
          <w:rFonts w:hint="eastAsia" w:ascii="宋体" w:hAnsi="宋体" w:cs="宋体"/>
          <w:iCs/>
          <w:color w:val="000000"/>
          <w:kern w:val="0"/>
          <w:sz w:val="24"/>
          <w:highlight w:val="none"/>
          <w:lang w:bidi="ar"/>
        </w:rPr>
        <w:t>采购活动，工程的施工单位全部为符合政策要求</w:t>
      </w:r>
      <w:r>
        <w:rPr>
          <w:rFonts w:hint="eastAsia" w:ascii="宋体" w:hAnsi="宋体" w:cs="宋体"/>
          <w:color w:val="000000"/>
          <w:kern w:val="0"/>
          <w:sz w:val="24"/>
          <w:highlight w:val="none"/>
          <w:lang w:bidi="ar"/>
        </w:rPr>
        <w:t>的中小企业（或者：服务全部由符合政策要求的中小企业承接）。相关企业（含联合体中的中小企业、签订分包意向协议的中小企业）的具体情况如下：</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color w:val="000000"/>
          <w:kern w:val="0"/>
          <w:sz w:val="24"/>
          <w:highlight w:val="none"/>
          <w:lang w:bidi="ar"/>
        </w:rPr>
        <w:t>1.</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u w:val="single"/>
          <w:lang w:val="en-US" w:eastAsia="zh-CN" w:bidi="ar"/>
        </w:rPr>
        <w:t xml:space="preserve">              </w:t>
      </w:r>
      <w:r>
        <w:rPr>
          <w:rFonts w:hint="eastAsia" w:ascii="宋体" w:hAnsi="宋体"/>
          <w:sz w:val="24"/>
          <w:highlight w:val="none"/>
          <w:u w:val="single"/>
        </w:rPr>
        <w:t>（标的名称）</w:t>
      </w:r>
      <w:r>
        <w:rPr>
          <w:rFonts w:hint="eastAsia" w:ascii="宋体" w:hAnsi="宋体"/>
          <w:sz w:val="24"/>
          <w:highlight w:val="none"/>
        </w:rPr>
        <w:t xml:space="preserve"> ，属于</w:t>
      </w:r>
      <w:r>
        <w:rPr>
          <w:rFonts w:hint="eastAsia" w:ascii="宋体" w:hAnsi="宋体"/>
          <w:sz w:val="24"/>
          <w:highlight w:val="none"/>
          <w:lang w:val="en-US" w:eastAsia="zh-CN"/>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（采购文件中明确的所属行业）</w:t>
      </w:r>
      <w:r>
        <w:rPr>
          <w:rFonts w:hint="eastAsia" w:ascii="宋体" w:hAnsi="宋体" w:cs="宋体"/>
          <w:color w:val="000000"/>
          <w:kern w:val="0"/>
          <w:sz w:val="24"/>
          <w:highlight w:val="none"/>
          <w:lang w:bidi="ar"/>
        </w:rPr>
        <w:t>；承建（承接）企业为</w:t>
      </w:r>
      <w:r>
        <w:rPr>
          <w:rFonts w:hint="eastAsia" w:ascii="宋体" w:hAnsi="宋体" w:cs="宋体"/>
          <w:color w:val="000000"/>
          <w:kern w:val="0"/>
          <w:sz w:val="24"/>
          <w:highlight w:val="none"/>
          <w:lang w:val="en-US" w:eastAsia="zh-CN" w:bidi="ar"/>
        </w:rPr>
        <w:t xml:space="preserve"> </w:t>
      </w:r>
      <w:r>
        <w:rPr>
          <w:rFonts w:hint="eastAsia" w:ascii="宋体" w:hAnsi="宋体" w:cs="宋体"/>
          <w:color w:val="000000"/>
          <w:kern w:val="0"/>
          <w:sz w:val="24"/>
          <w:highlight w:val="none"/>
          <w:u w:val="single"/>
          <w:lang w:val="en-US" w:eastAsia="zh-CN" w:bidi="ar"/>
        </w:rPr>
        <w:t xml:space="preserve">               </w:t>
      </w:r>
      <w:r>
        <w:rPr>
          <w:rFonts w:hint="eastAsia" w:ascii="宋体" w:hAnsi="宋体"/>
          <w:sz w:val="24"/>
          <w:highlight w:val="none"/>
          <w:u w:val="single"/>
        </w:rPr>
        <w:t>（企业名称）</w:t>
      </w:r>
      <w:r>
        <w:rPr>
          <w:rFonts w:hint="eastAsia" w:ascii="宋体" w:hAnsi="宋体" w:cs="宋体"/>
          <w:color w:val="000000"/>
          <w:kern w:val="0"/>
          <w:sz w:val="24"/>
          <w:highlight w:val="none"/>
          <w:lang w:bidi="ar"/>
        </w:rPr>
        <w:t>，从业人员</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u w:val="single"/>
          <w:lang w:val="en-US" w:eastAsia="zh-CN" w:bidi="ar"/>
        </w:rPr>
        <w:t xml:space="preserve">  </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 xml:space="preserve"> 人，营业收入为</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u w:val="single"/>
          <w:lang w:val="en-US" w:eastAsia="zh-CN" w:bidi="ar"/>
        </w:rPr>
        <w:t xml:space="preserve"> </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万元，资产总额为</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u w:val="single"/>
          <w:lang w:val="en-US" w:eastAsia="zh-CN" w:bidi="ar"/>
        </w:rPr>
        <w:t xml:space="preserve">  </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万元，属于</w:t>
      </w:r>
      <w:r>
        <w:rPr>
          <w:rFonts w:hint="eastAsia" w:ascii="宋体" w:hAnsi="宋体" w:cs="宋体"/>
          <w:color w:val="000000"/>
          <w:kern w:val="0"/>
          <w:sz w:val="24"/>
          <w:highlight w:val="none"/>
          <w:u w:val="single"/>
          <w:lang w:val="en-US" w:eastAsia="zh-CN" w:bidi="ar"/>
        </w:rPr>
        <w:t xml:space="preserve">             </w:t>
      </w:r>
      <w:r>
        <w:rPr>
          <w:rFonts w:hint="eastAsia" w:ascii="宋体" w:hAnsi="宋体"/>
          <w:sz w:val="24"/>
          <w:highlight w:val="none"/>
          <w:u w:val="single"/>
        </w:rPr>
        <w:t>（中型企业、小型企业、微型企业）</w:t>
      </w:r>
      <w:r>
        <w:rPr>
          <w:rFonts w:hint="eastAsia" w:ascii="宋体" w:hAnsi="宋体" w:cs="宋体"/>
          <w:color w:val="000000"/>
          <w:kern w:val="0"/>
          <w:sz w:val="24"/>
          <w:highlight w:val="none"/>
          <w:lang w:bidi="ar"/>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color w:val="000000"/>
          <w:kern w:val="0"/>
          <w:sz w:val="24"/>
          <w:highlight w:val="none"/>
          <w:lang w:val="en-US" w:eastAsia="zh-CN" w:bidi="ar"/>
        </w:rPr>
        <w:t>2</w:t>
      </w:r>
      <w:r>
        <w:rPr>
          <w:rFonts w:hint="eastAsia" w:ascii="宋体" w:hAnsi="宋体" w:cs="宋体"/>
          <w:color w:val="000000"/>
          <w:kern w:val="0"/>
          <w:sz w:val="24"/>
          <w:highlight w:val="none"/>
          <w:lang w:bidi="ar"/>
        </w:rPr>
        <w:t>.</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u w:val="single"/>
          <w:lang w:val="en-US" w:eastAsia="zh-CN" w:bidi="ar"/>
        </w:rPr>
        <w:t xml:space="preserve">              </w:t>
      </w:r>
      <w:r>
        <w:rPr>
          <w:rFonts w:hint="eastAsia" w:ascii="宋体" w:hAnsi="宋体"/>
          <w:sz w:val="24"/>
          <w:highlight w:val="none"/>
          <w:u w:val="single"/>
        </w:rPr>
        <w:t>（标的名称）</w:t>
      </w:r>
      <w:r>
        <w:rPr>
          <w:rFonts w:hint="eastAsia" w:ascii="宋体" w:hAnsi="宋体"/>
          <w:sz w:val="24"/>
          <w:highlight w:val="none"/>
        </w:rPr>
        <w:t xml:space="preserve"> ，属于</w:t>
      </w:r>
      <w:r>
        <w:rPr>
          <w:rFonts w:hint="eastAsia" w:ascii="宋体" w:hAnsi="宋体"/>
          <w:sz w:val="24"/>
          <w:highlight w:val="none"/>
          <w:lang w:val="en-US" w:eastAsia="zh-CN"/>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（采购文件中明确的所属行业）</w:t>
      </w:r>
      <w:r>
        <w:rPr>
          <w:rFonts w:hint="eastAsia" w:ascii="宋体" w:hAnsi="宋体" w:cs="宋体"/>
          <w:color w:val="000000"/>
          <w:kern w:val="0"/>
          <w:sz w:val="24"/>
          <w:highlight w:val="none"/>
          <w:lang w:bidi="ar"/>
        </w:rPr>
        <w:t>；承建（承接）企业为</w:t>
      </w:r>
      <w:r>
        <w:rPr>
          <w:rFonts w:hint="eastAsia" w:ascii="宋体" w:hAnsi="宋体" w:cs="宋体"/>
          <w:color w:val="000000"/>
          <w:kern w:val="0"/>
          <w:sz w:val="24"/>
          <w:highlight w:val="none"/>
          <w:lang w:val="en-US" w:eastAsia="zh-CN" w:bidi="ar"/>
        </w:rPr>
        <w:t xml:space="preserve"> </w:t>
      </w:r>
      <w:r>
        <w:rPr>
          <w:rFonts w:hint="eastAsia" w:ascii="宋体" w:hAnsi="宋体" w:cs="宋体"/>
          <w:color w:val="000000"/>
          <w:kern w:val="0"/>
          <w:sz w:val="24"/>
          <w:highlight w:val="none"/>
          <w:u w:val="single"/>
          <w:lang w:val="en-US" w:eastAsia="zh-CN" w:bidi="ar"/>
        </w:rPr>
        <w:t xml:space="preserve">               </w:t>
      </w:r>
      <w:r>
        <w:rPr>
          <w:rFonts w:hint="eastAsia" w:ascii="宋体" w:hAnsi="宋体"/>
          <w:sz w:val="24"/>
          <w:highlight w:val="none"/>
          <w:u w:val="single"/>
        </w:rPr>
        <w:t>（企业名称）</w:t>
      </w:r>
      <w:r>
        <w:rPr>
          <w:rFonts w:hint="eastAsia" w:ascii="宋体" w:hAnsi="宋体" w:cs="宋体"/>
          <w:color w:val="000000"/>
          <w:kern w:val="0"/>
          <w:sz w:val="24"/>
          <w:highlight w:val="none"/>
          <w:lang w:bidi="ar"/>
        </w:rPr>
        <w:t>，从业人员</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u w:val="single"/>
          <w:lang w:val="en-US" w:eastAsia="zh-CN" w:bidi="ar"/>
        </w:rPr>
        <w:t xml:space="preserve">  </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 xml:space="preserve"> 人，营业收入为</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u w:val="single"/>
          <w:lang w:val="en-US" w:eastAsia="zh-CN" w:bidi="ar"/>
        </w:rPr>
        <w:t xml:space="preserve"> </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万元，资产总额为</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u w:val="single"/>
          <w:lang w:val="en-US" w:eastAsia="zh-CN" w:bidi="ar"/>
        </w:rPr>
        <w:t xml:space="preserve">  </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万元，属于</w:t>
      </w:r>
      <w:r>
        <w:rPr>
          <w:rFonts w:hint="eastAsia" w:ascii="宋体" w:hAnsi="宋体" w:cs="宋体"/>
          <w:color w:val="000000"/>
          <w:kern w:val="0"/>
          <w:sz w:val="24"/>
          <w:highlight w:val="none"/>
          <w:u w:val="single"/>
          <w:lang w:val="en-US" w:eastAsia="zh-CN" w:bidi="ar"/>
        </w:rPr>
        <w:t xml:space="preserve">             </w:t>
      </w:r>
      <w:r>
        <w:rPr>
          <w:rFonts w:hint="eastAsia" w:ascii="宋体" w:hAnsi="宋体"/>
          <w:sz w:val="24"/>
          <w:highlight w:val="none"/>
          <w:u w:val="single"/>
        </w:rPr>
        <w:t>（中型企业、小型企业、微型企业）</w:t>
      </w:r>
      <w:r>
        <w:rPr>
          <w:rFonts w:hint="eastAsia" w:ascii="宋体" w:hAnsi="宋体" w:cs="宋体"/>
          <w:color w:val="000000"/>
          <w:kern w:val="0"/>
          <w:sz w:val="24"/>
          <w:highlight w:val="none"/>
          <w:lang w:bidi="ar"/>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highlight w:val="none"/>
        </w:rPr>
      </w:pPr>
      <w:r>
        <w:rPr>
          <w:rFonts w:hint="eastAsia" w:ascii="宋体" w:hAnsi="宋体" w:cs="宋体"/>
          <w:color w:val="000000"/>
          <w:kern w:val="0"/>
          <w:sz w:val="24"/>
          <w:highlight w:val="none"/>
          <w:lang w:bidi="ar"/>
        </w:rPr>
        <w:t>以上企业，不属于大企业的分支机构，不存在控股股东为大企业的情形，也不存在与大企业的负责人为同一人的情形。</w:t>
      </w:r>
    </w:p>
    <w:p>
      <w:pPr>
        <w:snapToGrid w:val="0"/>
        <w:spacing w:line="360" w:lineRule="auto"/>
        <w:ind w:firstLine="720" w:firstLineChars="300"/>
        <w:rPr>
          <w:rFonts w:ascii="宋体" w:hAnsi="宋体"/>
          <w:highlight w:val="none"/>
        </w:rPr>
      </w:pPr>
      <w:r>
        <w:rPr>
          <w:rFonts w:hint="eastAsia" w:ascii="宋体" w:hAnsi="宋体" w:cs="宋体"/>
          <w:color w:val="000000"/>
          <w:kern w:val="0"/>
          <w:sz w:val="24"/>
          <w:highlight w:val="none"/>
          <w:lang w:bidi="ar"/>
        </w:rPr>
        <w:t>本企业对上述声明内容的真实性负责。如有虚假，将依法承担相应责任</w:t>
      </w:r>
      <w:r>
        <w:rPr>
          <w:rFonts w:hint="eastAsia" w:ascii="宋体" w:hAnsi="宋体"/>
          <w:highlight w:val="none"/>
        </w:rPr>
        <w:t xml:space="preserve">。 </w:t>
      </w:r>
    </w:p>
    <w:p>
      <w:pPr>
        <w:pStyle w:val="24"/>
        <w:ind w:firstLine="0" w:firstLineChars="0"/>
        <w:rPr>
          <w:highlight w:val="none"/>
        </w:rPr>
      </w:pPr>
    </w:p>
    <w:p>
      <w:pPr>
        <w:snapToGrid w:val="0"/>
        <w:spacing w:line="360" w:lineRule="auto"/>
        <w:ind w:firstLine="4560" w:firstLineChars="1900"/>
        <w:rPr>
          <w:rFonts w:ascii="宋体" w:hAnsi="宋体"/>
          <w:highlight w:val="none"/>
        </w:rPr>
      </w:pPr>
      <w:r>
        <w:rPr>
          <w:rFonts w:hint="eastAsia" w:ascii="宋体" w:hAnsi="宋体"/>
          <w:highlight w:val="none"/>
        </w:rPr>
        <w:t xml:space="preserve">企业名称（盖章）： </w:t>
      </w:r>
    </w:p>
    <w:p>
      <w:pPr>
        <w:snapToGrid w:val="0"/>
        <w:spacing w:line="360" w:lineRule="auto"/>
        <w:ind w:firstLine="4560" w:firstLineChars="1900"/>
        <w:rPr>
          <w:rFonts w:ascii="宋体" w:hAnsi="宋体"/>
          <w:highlight w:val="none"/>
        </w:rPr>
      </w:pPr>
      <w:r>
        <w:rPr>
          <w:rFonts w:hint="eastAsia" w:ascii="宋体" w:hAnsi="宋体"/>
          <w:highlight w:val="none"/>
        </w:rPr>
        <w:t xml:space="preserve">日 期： </w:t>
      </w:r>
    </w:p>
    <w:p>
      <w:pPr>
        <w:wordWrap w:val="0"/>
        <w:topLinePunct/>
        <w:snapToGrid w:val="0"/>
        <w:spacing w:line="360" w:lineRule="auto"/>
        <w:rPr>
          <w:rFonts w:ascii="宋体" w:hAnsi="宋体"/>
          <w:b/>
          <w:highlight w:val="none"/>
        </w:rPr>
      </w:pPr>
      <w:r>
        <w:rPr>
          <w:rFonts w:hint="eastAsia" w:ascii="宋体" w:hAnsi="宋体"/>
          <w:b/>
          <w:highlight w:val="none"/>
        </w:rPr>
        <w:t>注：</w:t>
      </w:r>
    </w:p>
    <w:p>
      <w:pPr>
        <w:wordWrap w:val="0"/>
        <w:topLinePunct/>
        <w:snapToGrid w:val="0"/>
        <w:spacing w:line="360" w:lineRule="auto"/>
        <w:ind w:firstLine="480"/>
        <w:rPr>
          <w:rFonts w:ascii="宋体" w:hAnsi="宋体"/>
          <w:bCs/>
          <w:highlight w:val="none"/>
        </w:rPr>
      </w:pPr>
      <w:r>
        <w:rPr>
          <w:rFonts w:hint="eastAsia" w:ascii="宋体" w:hAnsi="宋体"/>
          <w:bCs/>
          <w:highlight w:val="none"/>
        </w:rPr>
        <w:t>1、从业人员、营业收入、资产总额填报上一年度数据，无上一年度数据的新成立企业可不填报。</w:t>
      </w:r>
    </w:p>
    <w:p>
      <w:pPr>
        <w:wordWrap w:val="0"/>
        <w:topLinePunct/>
        <w:snapToGrid w:val="0"/>
        <w:spacing w:line="360" w:lineRule="auto"/>
        <w:ind w:firstLine="480"/>
        <w:rPr>
          <w:rFonts w:ascii="宋体" w:hAnsi="宋体"/>
          <w:bCs/>
          <w:highlight w:val="none"/>
        </w:rPr>
      </w:pPr>
      <w:r>
        <w:rPr>
          <w:rFonts w:hint="eastAsia" w:ascii="宋体" w:hAnsi="宋体"/>
          <w:bCs/>
          <w:highlight w:val="none"/>
        </w:rPr>
        <w:t>2、采购标的：预算绩效评价咨询服务；所属行业：租赁和商务服务业行业。</w:t>
      </w:r>
    </w:p>
    <w:p>
      <w:pPr>
        <w:wordWrap w:val="0"/>
        <w:topLinePunct/>
        <w:snapToGrid w:val="0"/>
        <w:spacing w:line="360" w:lineRule="auto"/>
        <w:ind w:firstLine="480"/>
        <w:rPr>
          <w:bCs/>
          <w:highlight w:val="none"/>
        </w:rPr>
      </w:pPr>
      <w:r>
        <w:rPr>
          <w:rFonts w:hint="eastAsia" w:ascii="宋体" w:hAnsi="宋体"/>
          <w:bCs/>
          <w:highlight w:val="none"/>
        </w:rPr>
        <w:t>3、根据财库〔2020〕46号、财库〔2022〕19号、浙财采监〔2022〕8号文件的相关规定：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w:t>
      </w:r>
    </w:p>
    <w:p>
      <w:pPr>
        <w:pStyle w:val="6"/>
        <w:keepNext w:val="0"/>
        <w:keepLines w:val="0"/>
        <w:wordWrap w:val="0"/>
        <w:topLinePunct/>
        <w:spacing w:line="400" w:lineRule="exact"/>
        <w:ind w:firstLine="480" w:firstLineChars="200"/>
        <w:jc w:val="both"/>
        <w:rPr>
          <w:rFonts w:ascii="宋体" w:hAnsi="宋体" w:cs="宋体"/>
          <w:b w:val="0"/>
          <w:szCs w:val="24"/>
          <w:highlight w:val="none"/>
        </w:rPr>
      </w:pPr>
      <w:r>
        <w:rPr>
          <w:rFonts w:hint="eastAsia" w:ascii="宋体" w:hAnsi="宋体" w:cs="宋体"/>
          <w:b w:val="0"/>
          <w:highlight w:val="none"/>
        </w:rPr>
        <w:t>4、</w:t>
      </w:r>
      <w:r>
        <w:rPr>
          <w:rFonts w:ascii="宋体" w:hAnsi="宋体" w:cs="宋体"/>
          <w:b w:val="0"/>
          <w:szCs w:val="24"/>
          <w:highlight w:val="none"/>
        </w:rPr>
        <w:t>中小企业划型标准</w:t>
      </w:r>
      <w:r>
        <w:rPr>
          <w:rFonts w:hint="eastAsia" w:ascii="宋体" w:hAnsi="宋体" w:cs="宋体"/>
          <w:b w:val="0"/>
          <w:szCs w:val="24"/>
          <w:highlight w:val="none"/>
        </w:rPr>
        <w:t>请按照《</w:t>
      </w:r>
      <w:r>
        <w:rPr>
          <w:rFonts w:ascii="宋体" w:hAnsi="宋体" w:cs="宋体"/>
          <w:b w:val="0"/>
          <w:szCs w:val="24"/>
          <w:highlight w:val="none"/>
        </w:rPr>
        <w:t xml:space="preserve">工信部联企业〔2011〕300号 </w:t>
      </w:r>
      <w:r>
        <w:rPr>
          <w:rFonts w:hint="eastAsia" w:ascii="宋体" w:hAnsi="宋体" w:cs="宋体"/>
          <w:b w:val="0"/>
          <w:szCs w:val="24"/>
          <w:highlight w:val="none"/>
        </w:rPr>
        <w:t>》之</w:t>
      </w:r>
      <w:r>
        <w:rPr>
          <w:rFonts w:ascii="宋体" w:hAnsi="宋体" w:cs="宋体"/>
          <w:b w:val="0"/>
          <w:szCs w:val="24"/>
          <w:highlight w:val="none"/>
        </w:rPr>
        <w:t>规定</w:t>
      </w:r>
    </w:p>
    <w:p>
      <w:pPr>
        <w:rPr>
          <w:rFonts w:ascii="宋体" w:hAnsi="宋体"/>
          <w:bCs/>
          <w:highlight w:val="none"/>
        </w:rPr>
      </w:pPr>
    </w:p>
    <w:tbl>
      <w:tblPr>
        <w:tblStyle w:val="18"/>
        <w:tblW w:w="9354"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912"/>
        <w:gridCol w:w="1365"/>
        <w:gridCol w:w="1201"/>
        <w:gridCol w:w="1843"/>
        <w:gridCol w:w="1586"/>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Style w:val="21"/>
                <w:rFonts w:hint="eastAsia" w:cs="宋体"/>
                <w:sz w:val="21"/>
                <w:szCs w:val="21"/>
                <w:highlight w:val="none"/>
              </w:rPr>
              <w:t>行业名称</w:t>
            </w:r>
          </w:p>
        </w:tc>
        <w:tc>
          <w:tcPr>
            <w:tcW w:w="1365"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Style w:val="21"/>
                <w:rFonts w:hint="eastAsia" w:cs="宋体"/>
                <w:sz w:val="21"/>
                <w:szCs w:val="21"/>
                <w:highlight w:val="none"/>
              </w:rPr>
              <w:t>指标名称</w:t>
            </w:r>
          </w:p>
        </w:tc>
        <w:tc>
          <w:tcPr>
            <w:tcW w:w="1201"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Style w:val="21"/>
                <w:rFonts w:hint="eastAsia" w:cs="宋体"/>
                <w:sz w:val="21"/>
                <w:szCs w:val="21"/>
                <w:highlight w:val="none"/>
              </w:rPr>
              <w:t>计量单位</w:t>
            </w:r>
          </w:p>
        </w:tc>
        <w:tc>
          <w:tcPr>
            <w:tcW w:w="1843"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Style w:val="21"/>
                <w:rFonts w:hint="eastAsia" w:cs="宋体"/>
                <w:sz w:val="21"/>
                <w:szCs w:val="21"/>
                <w:highlight w:val="none"/>
              </w:rPr>
              <w:t>中型</w:t>
            </w:r>
          </w:p>
        </w:tc>
        <w:tc>
          <w:tcPr>
            <w:tcW w:w="1586"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Style w:val="21"/>
                <w:rFonts w:hint="eastAsia" w:cs="宋体"/>
                <w:sz w:val="21"/>
                <w:szCs w:val="21"/>
                <w:highlight w:val="none"/>
              </w:rPr>
              <w:t>小型</w:t>
            </w:r>
          </w:p>
        </w:tc>
        <w:tc>
          <w:tcPr>
            <w:tcW w:w="1447"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Style w:val="21"/>
                <w:rFonts w:hint="eastAsia" w:cs="宋体"/>
                <w:sz w:val="21"/>
                <w:szCs w:val="21"/>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农、林、牧、渔业</w:t>
            </w:r>
          </w:p>
        </w:tc>
        <w:tc>
          <w:tcPr>
            <w:tcW w:w="1365"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营业收入(Y)</w:t>
            </w:r>
          </w:p>
        </w:tc>
        <w:tc>
          <w:tcPr>
            <w:tcW w:w="1201"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万元</w:t>
            </w:r>
          </w:p>
        </w:tc>
        <w:tc>
          <w:tcPr>
            <w:tcW w:w="1843"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500≤Y&lt;20000</w:t>
            </w:r>
          </w:p>
        </w:tc>
        <w:tc>
          <w:tcPr>
            <w:tcW w:w="1586"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50≤Y&lt;500</w:t>
            </w:r>
          </w:p>
        </w:tc>
        <w:tc>
          <w:tcPr>
            <w:tcW w:w="1447"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restart"/>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工业</w:t>
            </w:r>
          </w:p>
        </w:tc>
        <w:tc>
          <w:tcPr>
            <w:tcW w:w="1365"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从业人员(X)</w:t>
            </w:r>
          </w:p>
        </w:tc>
        <w:tc>
          <w:tcPr>
            <w:tcW w:w="1201"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人</w:t>
            </w:r>
          </w:p>
        </w:tc>
        <w:tc>
          <w:tcPr>
            <w:tcW w:w="1843"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300≤X&lt;1000</w:t>
            </w:r>
          </w:p>
        </w:tc>
        <w:tc>
          <w:tcPr>
            <w:tcW w:w="1586"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20≤X&lt;300</w:t>
            </w:r>
          </w:p>
        </w:tc>
        <w:tc>
          <w:tcPr>
            <w:tcW w:w="1447"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 w:val="21"/>
                <w:szCs w:val="21"/>
                <w:highlight w:val="none"/>
              </w:rPr>
            </w:pPr>
          </w:p>
        </w:tc>
        <w:tc>
          <w:tcPr>
            <w:tcW w:w="1365"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营业收入(Y)</w:t>
            </w:r>
          </w:p>
        </w:tc>
        <w:tc>
          <w:tcPr>
            <w:tcW w:w="1201"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万元</w:t>
            </w:r>
          </w:p>
        </w:tc>
        <w:tc>
          <w:tcPr>
            <w:tcW w:w="1843"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2000≤Y&lt;40000</w:t>
            </w:r>
          </w:p>
        </w:tc>
        <w:tc>
          <w:tcPr>
            <w:tcW w:w="1586"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300≤Y&lt;2000</w:t>
            </w:r>
          </w:p>
        </w:tc>
        <w:tc>
          <w:tcPr>
            <w:tcW w:w="1447"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1912" w:type="dxa"/>
            <w:vMerge w:val="restart"/>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建筑业</w:t>
            </w:r>
          </w:p>
        </w:tc>
        <w:tc>
          <w:tcPr>
            <w:tcW w:w="1365"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营业收入(Y)</w:t>
            </w:r>
          </w:p>
        </w:tc>
        <w:tc>
          <w:tcPr>
            <w:tcW w:w="1201"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万元</w:t>
            </w:r>
          </w:p>
        </w:tc>
        <w:tc>
          <w:tcPr>
            <w:tcW w:w="1843"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6000≤Y&lt;80000</w:t>
            </w:r>
          </w:p>
        </w:tc>
        <w:tc>
          <w:tcPr>
            <w:tcW w:w="1586"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300≤Y&lt;6000</w:t>
            </w:r>
          </w:p>
        </w:tc>
        <w:tc>
          <w:tcPr>
            <w:tcW w:w="1447"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 w:val="21"/>
                <w:szCs w:val="21"/>
                <w:highlight w:val="none"/>
              </w:rPr>
            </w:pPr>
          </w:p>
        </w:tc>
        <w:tc>
          <w:tcPr>
            <w:tcW w:w="1365"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资产总额(Z)</w:t>
            </w:r>
          </w:p>
        </w:tc>
        <w:tc>
          <w:tcPr>
            <w:tcW w:w="1201"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万元</w:t>
            </w:r>
          </w:p>
        </w:tc>
        <w:tc>
          <w:tcPr>
            <w:tcW w:w="1843"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5000≤Z&lt;80000</w:t>
            </w:r>
          </w:p>
        </w:tc>
        <w:tc>
          <w:tcPr>
            <w:tcW w:w="1586"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300≤Z&lt;5000</w:t>
            </w:r>
          </w:p>
        </w:tc>
        <w:tc>
          <w:tcPr>
            <w:tcW w:w="1447"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1912" w:type="dxa"/>
            <w:vMerge w:val="restart"/>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批发业</w:t>
            </w:r>
          </w:p>
        </w:tc>
        <w:tc>
          <w:tcPr>
            <w:tcW w:w="1365"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从业人员(X)</w:t>
            </w:r>
          </w:p>
        </w:tc>
        <w:tc>
          <w:tcPr>
            <w:tcW w:w="1201"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人</w:t>
            </w:r>
          </w:p>
        </w:tc>
        <w:tc>
          <w:tcPr>
            <w:tcW w:w="1843"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20≤X&lt;200</w:t>
            </w:r>
          </w:p>
        </w:tc>
        <w:tc>
          <w:tcPr>
            <w:tcW w:w="1586"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5≤X&lt;20</w:t>
            </w:r>
          </w:p>
        </w:tc>
        <w:tc>
          <w:tcPr>
            <w:tcW w:w="1447"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 w:val="21"/>
                <w:szCs w:val="21"/>
                <w:highlight w:val="none"/>
              </w:rPr>
            </w:pPr>
          </w:p>
        </w:tc>
        <w:tc>
          <w:tcPr>
            <w:tcW w:w="1365"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营业收入(Y)</w:t>
            </w:r>
          </w:p>
        </w:tc>
        <w:tc>
          <w:tcPr>
            <w:tcW w:w="1201"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万元</w:t>
            </w:r>
          </w:p>
        </w:tc>
        <w:tc>
          <w:tcPr>
            <w:tcW w:w="1843"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5000≤Y&lt;40000</w:t>
            </w:r>
          </w:p>
        </w:tc>
        <w:tc>
          <w:tcPr>
            <w:tcW w:w="1586"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1000≤Y&lt;5000</w:t>
            </w:r>
          </w:p>
        </w:tc>
        <w:tc>
          <w:tcPr>
            <w:tcW w:w="1447"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1912" w:type="dxa"/>
            <w:vMerge w:val="restart"/>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零售业</w:t>
            </w:r>
          </w:p>
        </w:tc>
        <w:tc>
          <w:tcPr>
            <w:tcW w:w="1365"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从业人员(X)</w:t>
            </w:r>
          </w:p>
        </w:tc>
        <w:tc>
          <w:tcPr>
            <w:tcW w:w="1201"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人</w:t>
            </w:r>
          </w:p>
        </w:tc>
        <w:tc>
          <w:tcPr>
            <w:tcW w:w="1843"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50≤X&lt;300</w:t>
            </w:r>
          </w:p>
        </w:tc>
        <w:tc>
          <w:tcPr>
            <w:tcW w:w="1586"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10≤X&lt;50</w:t>
            </w:r>
          </w:p>
        </w:tc>
        <w:tc>
          <w:tcPr>
            <w:tcW w:w="1447"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 w:val="21"/>
                <w:szCs w:val="21"/>
                <w:highlight w:val="none"/>
              </w:rPr>
            </w:pPr>
          </w:p>
        </w:tc>
        <w:tc>
          <w:tcPr>
            <w:tcW w:w="1365"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营业收入(Y)</w:t>
            </w:r>
          </w:p>
        </w:tc>
        <w:tc>
          <w:tcPr>
            <w:tcW w:w="1201"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万元</w:t>
            </w:r>
          </w:p>
        </w:tc>
        <w:tc>
          <w:tcPr>
            <w:tcW w:w="1843"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500≤Y&lt;20000</w:t>
            </w:r>
          </w:p>
        </w:tc>
        <w:tc>
          <w:tcPr>
            <w:tcW w:w="1586"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100≤Y&lt;500</w:t>
            </w:r>
          </w:p>
        </w:tc>
        <w:tc>
          <w:tcPr>
            <w:tcW w:w="1447"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1912" w:type="dxa"/>
            <w:vMerge w:val="restart"/>
            <w:shd w:val="clear" w:color="auto" w:fill="auto"/>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交通运输业</w:t>
            </w:r>
          </w:p>
        </w:tc>
        <w:tc>
          <w:tcPr>
            <w:tcW w:w="1365" w:type="dxa"/>
            <w:shd w:val="clear" w:color="auto" w:fill="auto"/>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从业人员(X)</w:t>
            </w:r>
          </w:p>
        </w:tc>
        <w:tc>
          <w:tcPr>
            <w:tcW w:w="1201" w:type="dxa"/>
            <w:shd w:val="clear" w:color="auto" w:fill="auto"/>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人</w:t>
            </w:r>
          </w:p>
        </w:tc>
        <w:tc>
          <w:tcPr>
            <w:tcW w:w="1843" w:type="dxa"/>
            <w:shd w:val="clear" w:color="auto" w:fill="auto"/>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300≤X&lt;1000</w:t>
            </w:r>
          </w:p>
        </w:tc>
        <w:tc>
          <w:tcPr>
            <w:tcW w:w="1586" w:type="dxa"/>
            <w:shd w:val="clear" w:color="auto" w:fill="auto"/>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20≤X&lt;300</w:t>
            </w:r>
          </w:p>
        </w:tc>
        <w:tc>
          <w:tcPr>
            <w:tcW w:w="1447" w:type="dxa"/>
            <w:shd w:val="clear" w:color="auto" w:fill="auto"/>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auto"/>
            <w:tcMar>
              <w:top w:w="30" w:type="dxa"/>
              <w:left w:w="90" w:type="dxa"/>
              <w:bottom w:w="30" w:type="dxa"/>
              <w:right w:w="90" w:type="dxa"/>
            </w:tcMar>
            <w:vAlign w:val="center"/>
          </w:tcPr>
          <w:p>
            <w:pPr>
              <w:wordWrap w:val="0"/>
              <w:topLinePunct/>
              <w:jc w:val="left"/>
              <w:rPr>
                <w:rFonts w:ascii="宋体" w:hAnsi="宋体"/>
                <w:sz w:val="21"/>
                <w:szCs w:val="21"/>
                <w:highlight w:val="none"/>
              </w:rPr>
            </w:pPr>
          </w:p>
        </w:tc>
        <w:tc>
          <w:tcPr>
            <w:tcW w:w="1365" w:type="dxa"/>
            <w:shd w:val="clear" w:color="auto" w:fill="auto"/>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营业收入(Y)</w:t>
            </w:r>
          </w:p>
        </w:tc>
        <w:tc>
          <w:tcPr>
            <w:tcW w:w="1201" w:type="dxa"/>
            <w:shd w:val="clear" w:color="auto" w:fill="auto"/>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万元</w:t>
            </w:r>
          </w:p>
        </w:tc>
        <w:tc>
          <w:tcPr>
            <w:tcW w:w="1843" w:type="dxa"/>
            <w:shd w:val="clear" w:color="auto" w:fill="auto"/>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3000≤Y&lt;30000</w:t>
            </w:r>
          </w:p>
        </w:tc>
        <w:tc>
          <w:tcPr>
            <w:tcW w:w="1586" w:type="dxa"/>
            <w:shd w:val="clear" w:color="auto" w:fill="auto"/>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200≤Y&lt;3000</w:t>
            </w:r>
          </w:p>
        </w:tc>
        <w:tc>
          <w:tcPr>
            <w:tcW w:w="1447" w:type="dxa"/>
            <w:shd w:val="clear" w:color="auto" w:fill="auto"/>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1912" w:type="dxa"/>
            <w:vMerge w:val="restart"/>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仓储业</w:t>
            </w:r>
          </w:p>
        </w:tc>
        <w:tc>
          <w:tcPr>
            <w:tcW w:w="1365"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从业人员(X)</w:t>
            </w:r>
          </w:p>
        </w:tc>
        <w:tc>
          <w:tcPr>
            <w:tcW w:w="1201"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人</w:t>
            </w:r>
          </w:p>
        </w:tc>
        <w:tc>
          <w:tcPr>
            <w:tcW w:w="1843"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100≤X&lt;200</w:t>
            </w:r>
          </w:p>
        </w:tc>
        <w:tc>
          <w:tcPr>
            <w:tcW w:w="1586"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20≤X&lt;100</w:t>
            </w:r>
          </w:p>
        </w:tc>
        <w:tc>
          <w:tcPr>
            <w:tcW w:w="1447"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 w:val="21"/>
                <w:szCs w:val="21"/>
                <w:highlight w:val="none"/>
              </w:rPr>
            </w:pPr>
          </w:p>
        </w:tc>
        <w:tc>
          <w:tcPr>
            <w:tcW w:w="1365"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营业收入(Y)</w:t>
            </w:r>
          </w:p>
        </w:tc>
        <w:tc>
          <w:tcPr>
            <w:tcW w:w="1201"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万元</w:t>
            </w:r>
          </w:p>
        </w:tc>
        <w:tc>
          <w:tcPr>
            <w:tcW w:w="1843"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1000≤Y&lt;30000</w:t>
            </w:r>
          </w:p>
        </w:tc>
        <w:tc>
          <w:tcPr>
            <w:tcW w:w="1586"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100≤Y&lt;1000</w:t>
            </w:r>
          </w:p>
        </w:tc>
        <w:tc>
          <w:tcPr>
            <w:tcW w:w="1447"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1912" w:type="dxa"/>
            <w:vMerge w:val="restart"/>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邮政业</w:t>
            </w:r>
          </w:p>
        </w:tc>
        <w:tc>
          <w:tcPr>
            <w:tcW w:w="1365"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从业人员(X)</w:t>
            </w:r>
          </w:p>
        </w:tc>
        <w:tc>
          <w:tcPr>
            <w:tcW w:w="1201"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人</w:t>
            </w:r>
          </w:p>
        </w:tc>
        <w:tc>
          <w:tcPr>
            <w:tcW w:w="1843"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300≤X&lt;1000</w:t>
            </w:r>
          </w:p>
        </w:tc>
        <w:tc>
          <w:tcPr>
            <w:tcW w:w="1586"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20≤X&lt;300</w:t>
            </w:r>
          </w:p>
        </w:tc>
        <w:tc>
          <w:tcPr>
            <w:tcW w:w="1447"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 w:val="21"/>
                <w:szCs w:val="21"/>
                <w:highlight w:val="none"/>
              </w:rPr>
            </w:pPr>
          </w:p>
        </w:tc>
        <w:tc>
          <w:tcPr>
            <w:tcW w:w="1365"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营业收入(Y)</w:t>
            </w:r>
          </w:p>
        </w:tc>
        <w:tc>
          <w:tcPr>
            <w:tcW w:w="1201"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万元</w:t>
            </w:r>
          </w:p>
        </w:tc>
        <w:tc>
          <w:tcPr>
            <w:tcW w:w="1843"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2000≤Y&lt;30000</w:t>
            </w:r>
          </w:p>
        </w:tc>
        <w:tc>
          <w:tcPr>
            <w:tcW w:w="1586"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100≤Y&lt;2000</w:t>
            </w:r>
          </w:p>
        </w:tc>
        <w:tc>
          <w:tcPr>
            <w:tcW w:w="1447"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1912" w:type="dxa"/>
            <w:vMerge w:val="restart"/>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住宿业</w:t>
            </w:r>
          </w:p>
        </w:tc>
        <w:tc>
          <w:tcPr>
            <w:tcW w:w="1365"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从业人员(X)</w:t>
            </w:r>
          </w:p>
        </w:tc>
        <w:tc>
          <w:tcPr>
            <w:tcW w:w="1201"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人</w:t>
            </w:r>
          </w:p>
        </w:tc>
        <w:tc>
          <w:tcPr>
            <w:tcW w:w="1843"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100≤X&lt;300</w:t>
            </w:r>
          </w:p>
        </w:tc>
        <w:tc>
          <w:tcPr>
            <w:tcW w:w="1586"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10≤X&lt;100</w:t>
            </w:r>
          </w:p>
        </w:tc>
        <w:tc>
          <w:tcPr>
            <w:tcW w:w="1447"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 w:val="21"/>
                <w:szCs w:val="21"/>
                <w:highlight w:val="none"/>
              </w:rPr>
            </w:pPr>
          </w:p>
        </w:tc>
        <w:tc>
          <w:tcPr>
            <w:tcW w:w="1365"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营业收入(Y)</w:t>
            </w:r>
          </w:p>
        </w:tc>
        <w:tc>
          <w:tcPr>
            <w:tcW w:w="1201"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万元</w:t>
            </w:r>
          </w:p>
        </w:tc>
        <w:tc>
          <w:tcPr>
            <w:tcW w:w="1843"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2000≤Y&lt;10000</w:t>
            </w:r>
          </w:p>
        </w:tc>
        <w:tc>
          <w:tcPr>
            <w:tcW w:w="1586"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100≤Y&lt;2000</w:t>
            </w:r>
          </w:p>
        </w:tc>
        <w:tc>
          <w:tcPr>
            <w:tcW w:w="1447"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1912" w:type="dxa"/>
            <w:vMerge w:val="restart"/>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餐饮业</w:t>
            </w:r>
          </w:p>
        </w:tc>
        <w:tc>
          <w:tcPr>
            <w:tcW w:w="1365"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从业人员(X)</w:t>
            </w:r>
          </w:p>
        </w:tc>
        <w:tc>
          <w:tcPr>
            <w:tcW w:w="1201"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人</w:t>
            </w:r>
          </w:p>
        </w:tc>
        <w:tc>
          <w:tcPr>
            <w:tcW w:w="1843"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100≤X&lt;300</w:t>
            </w:r>
          </w:p>
        </w:tc>
        <w:tc>
          <w:tcPr>
            <w:tcW w:w="1586"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10≤X&lt;100</w:t>
            </w:r>
          </w:p>
        </w:tc>
        <w:tc>
          <w:tcPr>
            <w:tcW w:w="1447"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 w:val="21"/>
                <w:szCs w:val="21"/>
                <w:highlight w:val="none"/>
              </w:rPr>
            </w:pPr>
          </w:p>
        </w:tc>
        <w:tc>
          <w:tcPr>
            <w:tcW w:w="1365"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营业收入(Y)</w:t>
            </w:r>
          </w:p>
        </w:tc>
        <w:tc>
          <w:tcPr>
            <w:tcW w:w="1201"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万元</w:t>
            </w:r>
          </w:p>
        </w:tc>
        <w:tc>
          <w:tcPr>
            <w:tcW w:w="1843"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2000≤Y&lt;10000</w:t>
            </w:r>
          </w:p>
        </w:tc>
        <w:tc>
          <w:tcPr>
            <w:tcW w:w="1586"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100≤Y&lt;2000</w:t>
            </w:r>
          </w:p>
        </w:tc>
        <w:tc>
          <w:tcPr>
            <w:tcW w:w="1447"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1912" w:type="dxa"/>
            <w:vMerge w:val="restart"/>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信息传输业</w:t>
            </w:r>
          </w:p>
        </w:tc>
        <w:tc>
          <w:tcPr>
            <w:tcW w:w="1365"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从业人员(X)</w:t>
            </w:r>
          </w:p>
        </w:tc>
        <w:tc>
          <w:tcPr>
            <w:tcW w:w="1201"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人</w:t>
            </w:r>
          </w:p>
        </w:tc>
        <w:tc>
          <w:tcPr>
            <w:tcW w:w="1843"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100≤X&lt;2000</w:t>
            </w:r>
          </w:p>
        </w:tc>
        <w:tc>
          <w:tcPr>
            <w:tcW w:w="1586"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10≤X&lt;100</w:t>
            </w:r>
          </w:p>
        </w:tc>
        <w:tc>
          <w:tcPr>
            <w:tcW w:w="1447"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 w:val="21"/>
                <w:szCs w:val="21"/>
                <w:highlight w:val="none"/>
              </w:rPr>
            </w:pPr>
          </w:p>
        </w:tc>
        <w:tc>
          <w:tcPr>
            <w:tcW w:w="1365"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营业收入(Y)</w:t>
            </w:r>
          </w:p>
        </w:tc>
        <w:tc>
          <w:tcPr>
            <w:tcW w:w="1201"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万元</w:t>
            </w:r>
          </w:p>
        </w:tc>
        <w:tc>
          <w:tcPr>
            <w:tcW w:w="1843"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1000≤Y&lt;100000</w:t>
            </w:r>
          </w:p>
        </w:tc>
        <w:tc>
          <w:tcPr>
            <w:tcW w:w="1586"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100≤Y&lt;1000</w:t>
            </w:r>
          </w:p>
        </w:tc>
        <w:tc>
          <w:tcPr>
            <w:tcW w:w="1447"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1912" w:type="dxa"/>
            <w:vMerge w:val="restart"/>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软件和信息技术服务业</w:t>
            </w:r>
          </w:p>
        </w:tc>
        <w:tc>
          <w:tcPr>
            <w:tcW w:w="1365"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从业人员(X)</w:t>
            </w:r>
          </w:p>
        </w:tc>
        <w:tc>
          <w:tcPr>
            <w:tcW w:w="1201"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人</w:t>
            </w:r>
          </w:p>
        </w:tc>
        <w:tc>
          <w:tcPr>
            <w:tcW w:w="1843"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100≤X&lt;300</w:t>
            </w:r>
          </w:p>
        </w:tc>
        <w:tc>
          <w:tcPr>
            <w:tcW w:w="1586"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10≤X&lt;100</w:t>
            </w:r>
          </w:p>
        </w:tc>
        <w:tc>
          <w:tcPr>
            <w:tcW w:w="1447"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 w:val="21"/>
                <w:szCs w:val="21"/>
                <w:highlight w:val="none"/>
              </w:rPr>
            </w:pPr>
          </w:p>
        </w:tc>
        <w:tc>
          <w:tcPr>
            <w:tcW w:w="1365"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营业收入(Y)</w:t>
            </w:r>
          </w:p>
        </w:tc>
        <w:tc>
          <w:tcPr>
            <w:tcW w:w="1201"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万元</w:t>
            </w:r>
          </w:p>
        </w:tc>
        <w:tc>
          <w:tcPr>
            <w:tcW w:w="1843"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1000≤Y&lt;10000</w:t>
            </w:r>
          </w:p>
        </w:tc>
        <w:tc>
          <w:tcPr>
            <w:tcW w:w="1586"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50≤Y&lt;1000</w:t>
            </w:r>
          </w:p>
        </w:tc>
        <w:tc>
          <w:tcPr>
            <w:tcW w:w="1447"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1912" w:type="dxa"/>
            <w:vMerge w:val="restart"/>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房地产开发经营</w:t>
            </w:r>
          </w:p>
        </w:tc>
        <w:tc>
          <w:tcPr>
            <w:tcW w:w="1365"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营业收入(Y)</w:t>
            </w:r>
          </w:p>
        </w:tc>
        <w:tc>
          <w:tcPr>
            <w:tcW w:w="1201"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万元</w:t>
            </w:r>
          </w:p>
        </w:tc>
        <w:tc>
          <w:tcPr>
            <w:tcW w:w="1843"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1000≤Y&lt;200000</w:t>
            </w:r>
          </w:p>
        </w:tc>
        <w:tc>
          <w:tcPr>
            <w:tcW w:w="1586"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100≤Y&lt;1000</w:t>
            </w:r>
          </w:p>
        </w:tc>
        <w:tc>
          <w:tcPr>
            <w:tcW w:w="1447"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sz w:val="21"/>
                <w:szCs w:val="21"/>
                <w:highlight w:val="none"/>
              </w:rPr>
            </w:pPr>
          </w:p>
        </w:tc>
        <w:tc>
          <w:tcPr>
            <w:tcW w:w="1365"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资产总额(Z)</w:t>
            </w:r>
          </w:p>
        </w:tc>
        <w:tc>
          <w:tcPr>
            <w:tcW w:w="1201"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万元</w:t>
            </w:r>
          </w:p>
        </w:tc>
        <w:tc>
          <w:tcPr>
            <w:tcW w:w="1843"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5000≤Z&lt;10000</w:t>
            </w:r>
          </w:p>
        </w:tc>
        <w:tc>
          <w:tcPr>
            <w:tcW w:w="1586"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2000≤Z&lt;5000</w:t>
            </w:r>
          </w:p>
        </w:tc>
        <w:tc>
          <w:tcPr>
            <w:tcW w:w="1447"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1912" w:type="dxa"/>
            <w:vMerge w:val="restart"/>
            <w:shd w:val="clear" w:color="auto" w:fill="auto"/>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物业管理</w:t>
            </w:r>
          </w:p>
        </w:tc>
        <w:tc>
          <w:tcPr>
            <w:tcW w:w="1365" w:type="dxa"/>
            <w:shd w:val="clear" w:color="auto" w:fill="auto"/>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从业人员(X)</w:t>
            </w:r>
          </w:p>
        </w:tc>
        <w:tc>
          <w:tcPr>
            <w:tcW w:w="1201" w:type="dxa"/>
            <w:shd w:val="clear" w:color="auto" w:fill="auto"/>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人</w:t>
            </w:r>
          </w:p>
        </w:tc>
        <w:tc>
          <w:tcPr>
            <w:tcW w:w="1843" w:type="dxa"/>
            <w:shd w:val="clear" w:color="auto" w:fill="auto"/>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300≤X&lt;1000</w:t>
            </w:r>
          </w:p>
        </w:tc>
        <w:tc>
          <w:tcPr>
            <w:tcW w:w="1586" w:type="dxa"/>
            <w:shd w:val="clear" w:color="auto" w:fill="auto"/>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100≤X&lt;300</w:t>
            </w:r>
          </w:p>
        </w:tc>
        <w:tc>
          <w:tcPr>
            <w:tcW w:w="1447" w:type="dxa"/>
            <w:shd w:val="clear" w:color="auto" w:fill="auto"/>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1912" w:type="dxa"/>
            <w:vMerge w:val="continue"/>
            <w:shd w:val="clear" w:color="auto" w:fill="auto"/>
            <w:tcMar>
              <w:top w:w="30" w:type="dxa"/>
              <w:left w:w="90" w:type="dxa"/>
              <w:bottom w:w="30" w:type="dxa"/>
              <w:right w:w="90" w:type="dxa"/>
            </w:tcMar>
            <w:vAlign w:val="center"/>
          </w:tcPr>
          <w:p>
            <w:pPr>
              <w:wordWrap w:val="0"/>
              <w:topLinePunct/>
              <w:jc w:val="left"/>
              <w:rPr>
                <w:rFonts w:ascii="宋体" w:hAnsi="宋体"/>
                <w:sz w:val="21"/>
                <w:szCs w:val="21"/>
                <w:highlight w:val="none"/>
              </w:rPr>
            </w:pPr>
          </w:p>
        </w:tc>
        <w:tc>
          <w:tcPr>
            <w:tcW w:w="1365" w:type="dxa"/>
            <w:shd w:val="clear" w:color="auto" w:fill="auto"/>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营业收入(Y)</w:t>
            </w:r>
          </w:p>
        </w:tc>
        <w:tc>
          <w:tcPr>
            <w:tcW w:w="1201" w:type="dxa"/>
            <w:shd w:val="clear" w:color="auto" w:fill="auto"/>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万元</w:t>
            </w:r>
          </w:p>
        </w:tc>
        <w:tc>
          <w:tcPr>
            <w:tcW w:w="1843" w:type="dxa"/>
            <w:shd w:val="clear" w:color="auto" w:fill="auto"/>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1000≤Y&lt;5000</w:t>
            </w:r>
          </w:p>
        </w:tc>
        <w:tc>
          <w:tcPr>
            <w:tcW w:w="1586" w:type="dxa"/>
            <w:shd w:val="clear" w:color="auto" w:fill="auto"/>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500≤Y&lt;1000</w:t>
            </w:r>
          </w:p>
        </w:tc>
        <w:tc>
          <w:tcPr>
            <w:tcW w:w="1447" w:type="dxa"/>
            <w:shd w:val="clear" w:color="auto" w:fill="auto"/>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1912" w:type="dxa"/>
            <w:vMerge w:val="restart"/>
            <w:shd w:val="clear" w:color="auto" w:fill="FBE5D6" w:themeFill="accent2" w:themeFillTint="32"/>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租赁和商务服务业</w:t>
            </w:r>
          </w:p>
        </w:tc>
        <w:tc>
          <w:tcPr>
            <w:tcW w:w="1365" w:type="dxa"/>
            <w:shd w:val="clear" w:color="auto" w:fill="FBE5D6" w:themeFill="accent2" w:themeFillTint="32"/>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从业人员(X)</w:t>
            </w:r>
          </w:p>
        </w:tc>
        <w:tc>
          <w:tcPr>
            <w:tcW w:w="1201" w:type="dxa"/>
            <w:shd w:val="clear" w:color="auto" w:fill="FBE5D6" w:themeFill="accent2" w:themeFillTint="32"/>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人</w:t>
            </w:r>
          </w:p>
        </w:tc>
        <w:tc>
          <w:tcPr>
            <w:tcW w:w="1843" w:type="dxa"/>
            <w:shd w:val="clear" w:color="auto" w:fill="FBE5D6" w:themeFill="accent2" w:themeFillTint="32"/>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100≤X&lt;300</w:t>
            </w:r>
          </w:p>
        </w:tc>
        <w:tc>
          <w:tcPr>
            <w:tcW w:w="1586" w:type="dxa"/>
            <w:shd w:val="clear" w:color="auto" w:fill="FBE5D6" w:themeFill="accent2" w:themeFillTint="32"/>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10≤X&lt;100</w:t>
            </w:r>
          </w:p>
        </w:tc>
        <w:tc>
          <w:tcPr>
            <w:tcW w:w="1447" w:type="dxa"/>
            <w:shd w:val="clear" w:color="auto" w:fill="FBE5D6" w:themeFill="accent2" w:themeFillTint="32"/>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912" w:type="dxa"/>
            <w:vMerge w:val="continue"/>
            <w:shd w:val="clear" w:color="auto" w:fill="FBE5D6" w:themeFill="accent2" w:themeFillTint="32"/>
            <w:tcMar>
              <w:top w:w="30" w:type="dxa"/>
              <w:left w:w="90" w:type="dxa"/>
              <w:bottom w:w="30" w:type="dxa"/>
              <w:right w:w="90" w:type="dxa"/>
            </w:tcMar>
            <w:vAlign w:val="center"/>
          </w:tcPr>
          <w:p>
            <w:pPr>
              <w:wordWrap w:val="0"/>
              <w:topLinePunct/>
              <w:jc w:val="left"/>
              <w:rPr>
                <w:rFonts w:ascii="宋体" w:hAnsi="宋体"/>
                <w:sz w:val="21"/>
                <w:szCs w:val="21"/>
                <w:highlight w:val="none"/>
              </w:rPr>
            </w:pPr>
          </w:p>
        </w:tc>
        <w:tc>
          <w:tcPr>
            <w:tcW w:w="1365" w:type="dxa"/>
            <w:shd w:val="clear" w:color="auto" w:fill="FBE5D6" w:themeFill="accent2" w:themeFillTint="32"/>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资产总额(Z)</w:t>
            </w:r>
          </w:p>
        </w:tc>
        <w:tc>
          <w:tcPr>
            <w:tcW w:w="1201" w:type="dxa"/>
            <w:shd w:val="clear" w:color="auto" w:fill="FBE5D6" w:themeFill="accent2" w:themeFillTint="32"/>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万元</w:t>
            </w:r>
          </w:p>
        </w:tc>
        <w:tc>
          <w:tcPr>
            <w:tcW w:w="1843" w:type="dxa"/>
            <w:shd w:val="clear" w:color="auto" w:fill="FBE5D6" w:themeFill="accent2" w:themeFillTint="32"/>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8000≤Z&lt;120000</w:t>
            </w:r>
          </w:p>
        </w:tc>
        <w:tc>
          <w:tcPr>
            <w:tcW w:w="1586" w:type="dxa"/>
            <w:shd w:val="clear" w:color="auto" w:fill="FBE5D6" w:themeFill="accent2" w:themeFillTint="32"/>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100≤Z&lt;8000</w:t>
            </w:r>
          </w:p>
        </w:tc>
        <w:tc>
          <w:tcPr>
            <w:tcW w:w="1447" w:type="dxa"/>
            <w:shd w:val="clear" w:color="auto" w:fill="FBE5D6" w:themeFill="accent2" w:themeFillTint="32"/>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1912"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其他未列明行业</w:t>
            </w:r>
          </w:p>
        </w:tc>
        <w:tc>
          <w:tcPr>
            <w:tcW w:w="1365"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从业人员(X)</w:t>
            </w:r>
          </w:p>
        </w:tc>
        <w:tc>
          <w:tcPr>
            <w:tcW w:w="1201"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人</w:t>
            </w:r>
          </w:p>
        </w:tc>
        <w:tc>
          <w:tcPr>
            <w:tcW w:w="1843"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100≤X&lt;300</w:t>
            </w:r>
          </w:p>
        </w:tc>
        <w:tc>
          <w:tcPr>
            <w:tcW w:w="1586"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10≤X&lt;100</w:t>
            </w:r>
          </w:p>
        </w:tc>
        <w:tc>
          <w:tcPr>
            <w:tcW w:w="1447" w:type="dxa"/>
            <w:shd w:val="clear" w:color="auto" w:fill="FFFFFF"/>
            <w:tcMar>
              <w:top w:w="30" w:type="dxa"/>
              <w:left w:w="90" w:type="dxa"/>
              <w:bottom w:w="30" w:type="dxa"/>
              <w:right w:w="90" w:type="dxa"/>
            </w:tcMar>
            <w:vAlign w:val="center"/>
          </w:tcPr>
          <w:p>
            <w:pPr>
              <w:pStyle w:val="17"/>
              <w:widowControl w:val="0"/>
              <w:wordWrap w:val="0"/>
              <w:topLinePunct/>
              <w:spacing w:before="0" w:beforeAutospacing="0" w:after="0" w:afterAutospacing="0" w:line="360" w:lineRule="atLeast"/>
              <w:rPr>
                <w:rFonts w:cs="宋体"/>
                <w:sz w:val="21"/>
                <w:szCs w:val="21"/>
                <w:highlight w:val="none"/>
              </w:rPr>
            </w:pPr>
            <w:r>
              <w:rPr>
                <w:rFonts w:hint="eastAsia" w:cs="宋体"/>
                <w:sz w:val="21"/>
                <w:szCs w:val="21"/>
                <w:highlight w:val="none"/>
              </w:rPr>
              <w:t>X&lt;10</w:t>
            </w:r>
          </w:p>
        </w:tc>
      </w:tr>
    </w:tbl>
    <w:p>
      <w:pPr>
        <w:rPr>
          <w:highlight w:val="none"/>
        </w:rPr>
      </w:pPr>
    </w:p>
    <w:p>
      <w:pPr>
        <w:pStyle w:val="6"/>
        <w:spacing w:line="360" w:lineRule="auto"/>
        <w:jc w:val="center"/>
        <w:rPr>
          <w:highlight w:val="none"/>
        </w:rPr>
      </w:pPr>
      <w:r>
        <w:rPr>
          <w:rFonts w:hint="eastAsia"/>
          <w:highlight w:val="none"/>
        </w:rPr>
        <w:t>残疾人福利性单位声明函</w:t>
      </w:r>
    </w:p>
    <w:p>
      <w:pPr>
        <w:spacing w:line="588" w:lineRule="exact"/>
        <w:rPr>
          <w:rFonts w:ascii="宋体" w:hAnsi="宋体"/>
          <w:b/>
          <w:spacing w:val="6"/>
          <w:highlight w:val="none"/>
        </w:rPr>
      </w:pPr>
    </w:p>
    <w:p>
      <w:pPr>
        <w:spacing w:line="360" w:lineRule="auto"/>
        <w:ind w:firstLine="480" w:firstLineChars="200"/>
        <w:rPr>
          <w:rFonts w:ascii="宋体" w:hAnsi="宋体"/>
          <w:highlight w:val="none"/>
        </w:rPr>
      </w:pPr>
      <w:r>
        <w:rPr>
          <w:rFonts w:hint="eastAsia" w:ascii="宋体" w:hAnsi="宋体"/>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highlight w:val="none"/>
        </w:rPr>
      </w:pPr>
      <w:r>
        <w:rPr>
          <w:rFonts w:hint="eastAsia" w:ascii="宋体" w:hAnsi="宋体"/>
          <w:highlight w:val="none"/>
        </w:rPr>
        <w:t>本单位对上述声明的真实性负责。如有虚假，将依法承担相应责任。</w:t>
      </w:r>
    </w:p>
    <w:p>
      <w:pPr>
        <w:spacing w:line="360" w:lineRule="auto"/>
        <w:ind w:firstLine="480" w:firstLineChars="200"/>
        <w:rPr>
          <w:rFonts w:ascii="宋体" w:hAnsi="宋体"/>
          <w:highlight w:val="none"/>
        </w:rPr>
      </w:pPr>
    </w:p>
    <w:p>
      <w:pPr>
        <w:spacing w:line="588" w:lineRule="exact"/>
        <w:ind w:firstLine="504" w:firstLineChars="200"/>
        <w:rPr>
          <w:rFonts w:ascii="宋体" w:hAnsi="宋体"/>
          <w:spacing w:val="6"/>
          <w:highlight w:val="none"/>
        </w:rPr>
      </w:pPr>
    </w:p>
    <w:p>
      <w:pPr>
        <w:spacing w:line="360" w:lineRule="auto"/>
        <w:ind w:firstLine="480" w:firstLineChars="200"/>
        <w:jc w:val="right"/>
        <w:rPr>
          <w:rFonts w:ascii="宋体" w:hAnsi="宋体"/>
          <w:highlight w:val="none"/>
        </w:rPr>
      </w:pPr>
      <w:r>
        <w:rPr>
          <w:rFonts w:hint="eastAsia" w:ascii="宋体" w:hAnsi="宋体"/>
          <w:highlight w:val="none"/>
        </w:rPr>
        <w:t xml:space="preserve">      单位名称（盖章）：</w:t>
      </w:r>
    </w:p>
    <w:p>
      <w:pPr>
        <w:spacing w:line="360" w:lineRule="auto"/>
        <w:ind w:firstLine="480" w:firstLineChars="200"/>
        <w:jc w:val="right"/>
        <w:rPr>
          <w:rFonts w:ascii="宋体" w:hAnsi="宋体"/>
          <w:highlight w:val="none"/>
        </w:rPr>
      </w:pPr>
      <w:r>
        <w:rPr>
          <w:rFonts w:hint="eastAsia" w:ascii="宋体" w:hAnsi="宋体"/>
          <w:highlight w:val="none"/>
        </w:rPr>
        <w:t xml:space="preserve">       日  期：</w:t>
      </w:r>
    </w:p>
    <w:p>
      <w:pPr>
        <w:spacing w:line="360" w:lineRule="auto"/>
        <w:rPr>
          <w:rFonts w:ascii="宋体" w:hAnsi="宋体"/>
          <w:highlight w:val="none"/>
        </w:rPr>
      </w:pPr>
    </w:p>
    <w:p>
      <w:pPr>
        <w:snapToGrid w:val="0"/>
        <w:spacing w:beforeLines="50" w:after="50" w:line="360" w:lineRule="auto"/>
        <w:rPr>
          <w:rFonts w:ascii="宋体" w:hAnsi="宋体"/>
          <w:highlight w:val="none"/>
        </w:rPr>
      </w:pPr>
    </w:p>
    <w:p>
      <w:pPr>
        <w:rPr>
          <w:highlight w:val="none"/>
        </w:rPr>
      </w:pPr>
    </w:p>
    <w:p>
      <w:pPr>
        <w:pStyle w:val="2"/>
        <w:ind w:left="480" w:firstLine="404"/>
        <w:rPr>
          <w:highlight w:val="none"/>
        </w:rPr>
      </w:pPr>
    </w:p>
    <w:p>
      <w:pPr>
        <w:pStyle w:val="2"/>
        <w:ind w:left="480" w:firstLine="404"/>
        <w:rPr>
          <w:highlight w:val="none"/>
        </w:rPr>
      </w:pPr>
    </w:p>
    <w:p>
      <w:pPr>
        <w:pStyle w:val="2"/>
        <w:ind w:left="480" w:firstLine="404"/>
        <w:rPr>
          <w:highlight w:val="none"/>
        </w:rPr>
      </w:pPr>
    </w:p>
    <w:p>
      <w:pPr>
        <w:pStyle w:val="2"/>
        <w:ind w:left="480" w:firstLine="404"/>
        <w:rPr>
          <w:highlight w:val="none"/>
        </w:rPr>
      </w:pPr>
    </w:p>
    <w:p>
      <w:pPr>
        <w:pStyle w:val="2"/>
        <w:ind w:left="480" w:firstLine="404"/>
        <w:rPr>
          <w:highlight w:val="none"/>
        </w:rPr>
      </w:pPr>
    </w:p>
    <w:p>
      <w:pPr>
        <w:pStyle w:val="2"/>
        <w:ind w:left="480" w:firstLine="404"/>
        <w:rPr>
          <w:highlight w:val="none"/>
        </w:rPr>
      </w:pPr>
    </w:p>
    <w:p>
      <w:pPr>
        <w:pStyle w:val="2"/>
        <w:ind w:left="480" w:firstLine="404"/>
        <w:rPr>
          <w:highlight w:val="none"/>
        </w:rPr>
      </w:pPr>
    </w:p>
    <w:p>
      <w:pPr>
        <w:pStyle w:val="2"/>
        <w:ind w:left="480" w:firstLine="404"/>
        <w:rPr>
          <w:highlight w:val="none"/>
        </w:rPr>
      </w:pPr>
    </w:p>
    <w:p>
      <w:pPr>
        <w:pStyle w:val="2"/>
        <w:ind w:left="480" w:firstLine="404"/>
        <w:rPr>
          <w:highlight w:val="none"/>
        </w:rPr>
      </w:pPr>
    </w:p>
    <w:p>
      <w:pPr>
        <w:pStyle w:val="2"/>
        <w:ind w:left="480" w:firstLine="464"/>
        <w:rPr>
          <w:rFonts w:hAnsi="宋体"/>
          <w:sz w:val="24"/>
          <w:highlight w:val="none"/>
        </w:rPr>
      </w:pPr>
    </w:p>
    <w:p>
      <w:pPr>
        <w:pStyle w:val="6"/>
        <w:spacing w:line="360" w:lineRule="auto"/>
        <w:rPr>
          <w:rFonts w:ascii="宋体" w:hAnsi="宋体" w:cs="宋体"/>
          <w:b w:val="0"/>
          <w:szCs w:val="24"/>
          <w:highlight w:val="none"/>
        </w:rPr>
      </w:pPr>
      <w:r>
        <w:rPr>
          <w:rFonts w:hint="eastAsia" w:ascii="宋体" w:hAnsi="宋体"/>
          <w:b w:val="0"/>
          <w:bCs w:val="0"/>
          <w:highlight w:val="none"/>
        </w:rPr>
        <w:t>7.</w:t>
      </w:r>
      <w:r>
        <w:rPr>
          <w:rFonts w:hint="eastAsia" w:ascii="宋体" w:hAnsi="宋体"/>
          <w:b w:val="0"/>
          <w:bCs w:val="0"/>
          <w:szCs w:val="24"/>
          <w:highlight w:val="none"/>
        </w:rPr>
        <w:t>落实政府采购政策需满足的资格要求格式：</w:t>
      </w:r>
    </w:p>
    <w:p>
      <w:pPr>
        <w:snapToGrid w:val="0"/>
        <w:spacing w:line="360" w:lineRule="auto"/>
        <w:ind w:right="480"/>
        <w:jc w:val="center"/>
        <w:rPr>
          <w:rFonts w:ascii="宋体" w:hAnsi="宋体"/>
          <w:b/>
          <w:kern w:val="0"/>
          <w:highlight w:val="none"/>
        </w:rPr>
      </w:pPr>
      <w:r>
        <w:rPr>
          <w:rFonts w:hint="eastAsia" w:ascii="宋体" w:hAnsi="宋体"/>
          <w:b/>
          <w:kern w:val="0"/>
          <w:highlight w:val="none"/>
        </w:rPr>
        <w:t>落实政府采购政策需满足的资格要求</w:t>
      </w:r>
    </w:p>
    <w:p>
      <w:pPr>
        <w:snapToGrid w:val="0"/>
        <w:spacing w:beforeLines="50" w:after="50" w:line="360" w:lineRule="auto"/>
        <w:rPr>
          <w:rFonts w:ascii="宋体" w:hAnsi="宋体"/>
          <w:highlight w:val="none"/>
        </w:rPr>
      </w:pPr>
      <w:r>
        <w:rPr>
          <w:rFonts w:hint="eastAsia" w:ascii="宋体" w:hAnsi="宋体"/>
          <w:kern w:val="0"/>
          <w:highlight w:val="none"/>
        </w:rPr>
        <w:t>（根据招标公告落实政府采购政策需满足的资格要求选择提供相应的材料；未要求的，无需提供）</w:t>
      </w:r>
    </w:p>
    <w:p>
      <w:pPr>
        <w:snapToGrid w:val="0"/>
        <w:spacing w:line="360" w:lineRule="auto"/>
        <w:rPr>
          <w:rFonts w:ascii="宋体" w:hAnsi="宋体"/>
          <w:highlight w:val="none"/>
        </w:rPr>
      </w:pPr>
    </w:p>
    <w:p>
      <w:pPr>
        <w:pStyle w:val="12"/>
        <w:snapToGrid w:val="0"/>
        <w:spacing w:beforeLines="0" w:afterLines="0" w:line="440" w:lineRule="exact"/>
        <w:outlineLvl w:val="1"/>
        <w:rPr>
          <w:rFonts w:hAnsi="宋体"/>
          <w:b/>
          <w:highlight w:val="none"/>
        </w:rPr>
      </w:pPr>
      <w:r>
        <w:rPr>
          <w:rFonts w:hint="eastAsia" w:hAnsi="宋体"/>
          <w:b/>
          <w:highlight w:val="none"/>
        </w:rPr>
        <w:t>二、商务技术文件格式</w:t>
      </w:r>
    </w:p>
    <w:p>
      <w:pPr>
        <w:snapToGrid w:val="0"/>
        <w:spacing w:line="440" w:lineRule="exact"/>
        <w:rPr>
          <w:rFonts w:ascii="宋体" w:hAnsi="宋体"/>
          <w:highlight w:val="none"/>
        </w:rPr>
      </w:pPr>
      <w:r>
        <w:rPr>
          <w:rFonts w:hint="eastAsia" w:ascii="宋体" w:hAnsi="宋体"/>
          <w:bCs/>
          <w:highlight w:val="none"/>
        </w:rPr>
        <w:t>1</w:t>
      </w:r>
      <w:r>
        <w:rPr>
          <w:rFonts w:ascii="宋体" w:hAnsi="宋体"/>
          <w:highlight w:val="none"/>
        </w:rPr>
        <w:t>.</w:t>
      </w:r>
      <w:r>
        <w:rPr>
          <w:rFonts w:hint="eastAsia" w:ascii="宋体" w:hAnsi="宋体"/>
          <w:highlight w:val="none"/>
        </w:rPr>
        <w:t>商务技术文件封面格式</w:t>
      </w:r>
    </w:p>
    <w:p>
      <w:pPr>
        <w:snapToGrid w:val="0"/>
        <w:spacing w:line="440" w:lineRule="exact"/>
        <w:rPr>
          <w:rFonts w:ascii="宋体" w:hAnsi="宋体"/>
          <w:b/>
          <w:bCs/>
          <w:highlight w:val="none"/>
        </w:rPr>
      </w:pPr>
    </w:p>
    <w:p>
      <w:pPr>
        <w:snapToGrid w:val="0"/>
        <w:spacing w:line="440" w:lineRule="exact"/>
        <w:jc w:val="center"/>
        <w:rPr>
          <w:rFonts w:ascii="宋体" w:hAnsi="宋体"/>
          <w:b/>
          <w:bCs/>
          <w:highlight w:val="none"/>
        </w:rPr>
      </w:pPr>
      <w:r>
        <w:rPr>
          <w:rFonts w:hint="eastAsia" w:ascii="宋体" w:hAnsi="宋体"/>
          <w:b/>
          <w:bCs/>
          <w:highlight w:val="none"/>
        </w:rPr>
        <w:t>商务技术文件</w:t>
      </w:r>
    </w:p>
    <w:p>
      <w:pPr>
        <w:snapToGrid w:val="0"/>
        <w:spacing w:line="440" w:lineRule="exact"/>
        <w:ind w:firstLine="900" w:firstLineChars="375"/>
        <w:rPr>
          <w:rFonts w:ascii="宋体" w:hAnsi="宋体"/>
          <w:color w:val="auto"/>
          <w:sz w:val="24"/>
          <w:highlight w:val="none"/>
        </w:rPr>
      </w:pPr>
      <w:r>
        <w:rPr>
          <w:rFonts w:hint="eastAsia" w:ascii="宋体" w:hAnsi="宋体"/>
          <w:bCs/>
          <w:color w:val="auto"/>
          <w:sz w:val="24"/>
          <w:highlight w:val="none"/>
        </w:rPr>
        <w:t>项目名称：</w:t>
      </w:r>
      <w:r>
        <w:rPr>
          <w:rFonts w:hint="eastAsia" w:ascii="宋体" w:hAnsi="宋体"/>
          <w:bCs/>
          <w:color w:val="auto"/>
          <w:sz w:val="24"/>
          <w:highlight w:val="none"/>
          <w:u w:val="single"/>
        </w:rPr>
        <w:t xml:space="preserve">                    </w:t>
      </w:r>
      <w:r>
        <w:rPr>
          <w:rFonts w:hint="eastAsia" w:ascii="宋体" w:hAnsi="宋体"/>
          <w:color w:val="auto"/>
          <w:sz w:val="24"/>
          <w:highlight w:val="none"/>
        </w:rPr>
        <w:t>采购项目</w:t>
      </w:r>
    </w:p>
    <w:p>
      <w:pPr>
        <w:pStyle w:val="8"/>
        <w:snapToGrid w:val="0"/>
        <w:spacing w:line="440" w:lineRule="exact"/>
        <w:ind w:firstLine="900" w:firstLineChars="375"/>
        <w:rPr>
          <w:rFonts w:ascii="宋体" w:hAnsi="宋体"/>
          <w:bCs/>
          <w:color w:val="auto"/>
          <w:sz w:val="24"/>
          <w:highlight w:val="none"/>
        </w:rPr>
      </w:pPr>
      <w:r>
        <w:rPr>
          <w:rFonts w:hint="eastAsia" w:ascii="宋体" w:hAnsi="宋体"/>
          <w:bCs/>
          <w:color w:val="auto"/>
          <w:sz w:val="24"/>
          <w:highlight w:val="none"/>
        </w:rPr>
        <w:t>项目编号：</w:t>
      </w:r>
    </w:p>
    <w:p>
      <w:pPr>
        <w:pStyle w:val="8"/>
        <w:snapToGrid w:val="0"/>
        <w:spacing w:line="440" w:lineRule="exact"/>
        <w:ind w:firstLine="900" w:firstLineChars="375"/>
        <w:rPr>
          <w:rFonts w:ascii="宋体" w:hAnsi="宋体"/>
          <w:bCs/>
          <w:color w:val="auto"/>
          <w:sz w:val="24"/>
          <w:highlight w:val="none"/>
        </w:rPr>
      </w:pPr>
      <w:r>
        <w:rPr>
          <w:rFonts w:hint="eastAsia" w:ascii="宋体" w:hAnsi="宋体"/>
          <w:bCs/>
          <w:color w:val="auto"/>
          <w:sz w:val="24"/>
          <w:highlight w:val="none"/>
          <w:lang w:eastAsia="zh-CN"/>
        </w:rPr>
        <w:t>供应商</w:t>
      </w:r>
      <w:r>
        <w:rPr>
          <w:rFonts w:hint="eastAsia" w:ascii="宋体" w:hAnsi="宋体"/>
          <w:bCs/>
          <w:color w:val="auto"/>
          <w:sz w:val="24"/>
          <w:highlight w:val="none"/>
        </w:rPr>
        <w:t>名称（盖章）：</w:t>
      </w:r>
    </w:p>
    <w:p>
      <w:pPr>
        <w:pStyle w:val="8"/>
        <w:snapToGrid w:val="0"/>
        <w:spacing w:line="440" w:lineRule="exact"/>
        <w:ind w:firstLine="900" w:firstLineChars="375"/>
        <w:rPr>
          <w:rFonts w:ascii="宋体" w:hAnsi="宋体"/>
          <w:bCs/>
          <w:color w:val="auto"/>
          <w:sz w:val="24"/>
          <w:highlight w:val="none"/>
        </w:rPr>
      </w:pPr>
      <w:r>
        <w:rPr>
          <w:rFonts w:hint="eastAsia" w:ascii="宋体" w:hAnsi="宋体"/>
          <w:bCs/>
          <w:color w:val="auto"/>
          <w:sz w:val="24"/>
          <w:highlight w:val="none"/>
          <w:lang w:eastAsia="zh-CN"/>
        </w:rPr>
        <w:t>供应商</w:t>
      </w:r>
      <w:r>
        <w:rPr>
          <w:rFonts w:hint="eastAsia" w:ascii="宋体" w:hAnsi="宋体"/>
          <w:bCs/>
          <w:color w:val="auto"/>
          <w:sz w:val="24"/>
          <w:highlight w:val="none"/>
        </w:rPr>
        <w:t>地址：</w:t>
      </w:r>
    </w:p>
    <w:p>
      <w:pPr>
        <w:snapToGrid w:val="0"/>
        <w:spacing w:line="360" w:lineRule="auto"/>
        <w:ind w:firstLine="3280" w:firstLineChars="1367"/>
        <w:rPr>
          <w:rFonts w:ascii="宋体" w:hAnsi="宋体"/>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pPr>
        <w:snapToGrid w:val="0"/>
        <w:spacing w:line="360" w:lineRule="auto"/>
        <w:ind w:firstLine="3280" w:firstLineChars="1367"/>
        <w:rPr>
          <w:rFonts w:ascii="宋体" w:hAnsi="宋体"/>
          <w:highlight w:val="none"/>
        </w:rPr>
      </w:pPr>
    </w:p>
    <w:p>
      <w:pPr>
        <w:snapToGrid w:val="0"/>
        <w:spacing w:line="360" w:lineRule="auto"/>
        <w:ind w:firstLine="3280" w:firstLineChars="1367"/>
        <w:rPr>
          <w:rFonts w:ascii="宋体" w:hAnsi="宋体"/>
          <w:highlight w:val="none"/>
        </w:rPr>
      </w:pPr>
    </w:p>
    <w:p>
      <w:pPr>
        <w:snapToGrid w:val="0"/>
        <w:spacing w:line="360" w:lineRule="auto"/>
        <w:ind w:firstLine="3280" w:firstLineChars="1367"/>
        <w:rPr>
          <w:rFonts w:ascii="宋体" w:hAnsi="宋体"/>
          <w:highlight w:val="none"/>
        </w:rPr>
      </w:pPr>
    </w:p>
    <w:p>
      <w:pPr>
        <w:snapToGrid w:val="0"/>
        <w:spacing w:line="440" w:lineRule="exact"/>
        <w:rPr>
          <w:rFonts w:ascii="宋体" w:hAnsi="宋体"/>
          <w:bCs/>
          <w:highlight w:val="none"/>
        </w:rPr>
      </w:pPr>
      <w:r>
        <w:rPr>
          <w:rFonts w:hint="eastAsia" w:ascii="宋体" w:hAnsi="宋体"/>
          <w:bCs/>
          <w:highlight w:val="none"/>
        </w:rPr>
        <w:t>2</w:t>
      </w:r>
      <w:r>
        <w:rPr>
          <w:rFonts w:ascii="宋体" w:hAnsi="宋体"/>
          <w:bCs/>
          <w:highlight w:val="none"/>
        </w:rPr>
        <w:t>.</w:t>
      </w:r>
      <w:r>
        <w:rPr>
          <w:rFonts w:hint="eastAsia" w:ascii="宋体" w:hAnsi="宋体"/>
          <w:bCs/>
          <w:highlight w:val="none"/>
        </w:rPr>
        <w:t>商务技术文件目录（请按照“第三章投标人须知，</w:t>
      </w:r>
      <w:r>
        <w:rPr>
          <w:rFonts w:ascii="宋体" w:hAnsi="宋体"/>
          <w:bCs/>
          <w:highlight w:val="none"/>
        </w:rPr>
        <w:t>三、</w:t>
      </w:r>
      <w:r>
        <w:rPr>
          <w:rFonts w:hint="eastAsia" w:ascii="宋体" w:hAnsi="宋体"/>
          <w:bCs/>
          <w:highlight w:val="none"/>
        </w:rPr>
        <w:t>响应文件</w:t>
      </w:r>
      <w:r>
        <w:rPr>
          <w:rFonts w:ascii="宋体" w:hAnsi="宋体"/>
          <w:bCs/>
          <w:highlight w:val="none"/>
        </w:rPr>
        <w:t>的编制</w:t>
      </w:r>
      <w:r>
        <w:rPr>
          <w:rFonts w:hint="eastAsia" w:ascii="宋体" w:hAnsi="宋体"/>
          <w:bCs/>
          <w:highlight w:val="none"/>
        </w:rPr>
        <w:t>”的顺序，结合评标办法自行编制目录）</w:t>
      </w:r>
    </w:p>
    <w:p>
      <w:pPr>
        <w:snapToGrid w:val="0"/>
        <w:spacing w:line="440" w:lineRule="exact"/>
        <w:rPr>
          <w:rFonts w:ascii="宋体" w:hAnsi="宋体"/>
          <w:bCs/>
          <w:highlight w:val="none"/>
        </w:rPr>
      </w:pPr>
      <w:r>
        <w:rPr>
          <w:rFonts w:hint="eastAsia" w:ascii="宋体" w:hAnsi="宋体"/>
          <w:bCs/>
          <w:highlight w:val="none"/>
        </w:rPr>
        <w:t>例如：</w:t>
      </w:r>
    </w:p>
    <w:p>
      <w:pPr>
        <w:snapToGrid w:val="0"/>
        <w:spacing w:line="440" w:lineRule="exact"/>
        <w:rPr>
          <w:rFonts w:ascii="宋体" w:hAnsi="宋体"/>
          <w:bCs/>
          <w:highlight w:val="none"/>
        </w:rPr>
      </w:pPr>
      <w:r>
        <w:rPr>
          <w:rFonts w:hint="eastAsia" w:ascii="宋体" w:hAnsi="宋体"/>
          <w:bCs/>
          <w:highlight w:val="none"/>
        </w:rPr>
        <w:t>资信商务文件：</w:t>
      </w:r>
    </w:p>
    <w:p>
      <w:pPr>
        <w:snapToGrid w:val="0"/>
        <w:spacing w:line="440" w:lineRule="exact"/>
        <w:rPr>
          <w:rFonts w:ascii="宋体" w:hAnsi="宋体"/>
          <w:szCs w:val="20"/>
          <w:highlight w:val="none"/>
        </w:rPr>
      </w:pPr>
      <w:r>
        <w:rPr>
          <w:rFonts w:hint="eastAsia" w:ascii="宋体" w:hAnsi="宋体"/>
          <w:highlight w:val="none"/>
        </w:rPr>
        <w:t>（1</w:t>
      </w:r>
      <w:r>
        <w:rPr>
          <w:rFonts w:ascii="宋体" w:hAnsi="宋体"/>
          <w:highlight w:val="none"/>
        </w:rPr>
        <w:t>）</w:t>
      </w:r>
      <w:r>
        <w:rPr>
          <w:rFonts w:hint="eastAsia" w:ascii="宋体" w:hAnsi="宋体"/>
          <w:highlight w:val="none"/>
        </w:rPr>
        <w:t>投标人基本情况介绍</w:t>
      </w:r>
      <w:r>
        <w:rPr>
          <w:rFonts w:ascii="宋体" w:hAnsi="宋体"/>
          <w:highlight w:val="none"/>
        </w:rPr>
        <w:t xml:space="preserve"> (格式见附</w:t>
      </w:r>
      <w:r>
        <w:rPr>
          <w:rFonts w:hint="eastAsia" w:ascii="宋体" w:hAnsi="宋体"/>
          <w:highlight w:val="none"/>
        </w:rPr>
        <w:t>件）</w:t>
      </w:r>
      <w:r>
        <w:rPr>
          <w:rFonts w:hint="eastAsia" w:ascii="宋体" w:hAnsi="宋体"/>
          <w:kern w:val="0"/>
          <w:highlight w:val="none"/>
        </w:rPr>
        <w:t>…………………………………（页码）</w:t>
      </w:r>
    </w:p>
    <w:p>
      <w:pPr>
        <w:snapToGrid w:val="0"/>
        <w:spacing w:line="440" w:lineRule="exact"/>
        <w:jc w:val="left"/>
        <w:rPr>
          <w:rFonts w:ascii="宋体" w:hAnsi="宋体"/>
          <w:highlight w:val="none"/>
        </w:rPr>
      </w:pPr>
      <w:r>
        <w:rPr>
          <w:rFonts w:hint="eastAsia" w:ascii="宋体" w:hAnsi="宋体"/>
          <w:highlight w:val="none"/>
        </w:rPr>
        <w:t>（2</w:t>
      </w:r>
      <w:r>
        <w:rPr>
          <w:rFonts w:ascii="宋体" w:hAnsi="宋体"/>
          <w:highlight w:val="none"/>
        </w:rPr>
        <w:t>）</w:t>
      </w:r>
      <w:r>
        <w:rPr>
          <w:rFonts w:hint="eastAsia" w:ascii="宋体" w:hAnsi="宋体"/>
          <w:highlight w:val="none"/>
        </w:rPr>
        <w:t>诚信承诺书（格式见附件）</w:t>
      </w:r>
      <w:r>
        <w:rPr>
          <w:rFonts w:hint="eastAsia" w:ascii="宋体" w:hAnsi="宋体"/>
          <w:kern w:val="0"/>
          <w:highlight w:val="none"/>
        </w:rPr>
        <w:t>……………………………………………（页码）</w:t>
      </w:r>
    </w:p>
    <w:p>
      <w:pPr>
        <w:snapToGrid w:val="0"/>
        <w:spacing w:line="440" w:lineRule="exact"/>
        <w:jc w:val="left"/>
        <w:rPr>
          <w:rFonts w:ascii="宋体" w:hAnsi="宋体"/>
          <w:highlight w:val="none"/>
        </w:rPr>
      </w:pPr>
      <w:r>
        <w:rPr>
          <w:rFonts w:hint="eastAsia" w:ascii="宋体" w:hAnsi="宋体"/>
          <w:highlight w:val="none"/>
        </w:rPr>
        <w:t>（3</w:t>
      </w:r>
      <w:r>
        <w:rPr>
          <w:rFonts w:ascii="宋体" w:hAnsi="宋体"/>
          <w:highlight w:val="none"/>
        </w:rPr>
        <w:t>）</w:t>
      </w:r>
      <w:r>
        <w:rPr>
          <w:rFonts w:hint="eastAsia" w:ascii="宋体" w:hAnsi="宋体"/>
          <w:highlight w:val="none"/>
        </w:rPr>
        <w:t>所有荣誉证书、资质文件等（复印件）</w:t>
      </w:r>
      <w:r>
        <w:rPr>
          <w:rFonts w:hint="eastAsia" w:ascii="宋体" w:hAnsi="宋体"/>
          <w:kern w:val="0"/>
          <w:highlight w:val="none"/>
        </w:rPr>
        <w:t>………………………………（页码）</w:t>
      </w:r>
    </w:p>
    <w:p>
      <w:pPr>
        <w:snapToGrid w:val="0"/>
        <w:spacing w:beforeLines="50" w:after="50"/>
        <w:rPr>
          <w:rFonts w:ascii="宋体" w:hAnsi="宋体"/>
          <w:szCs w:val="20"/>
          <w:highlight w:val="none"/>
        </w:rPr>
      </w:pPr>
    </w:p>
    <w:p>
      <w:pPr>
        <w:snapToGrid w:val="0"/>
        <w:spacing w:beforeLines="50" w:after="50"/>
        <w:rPr>
          <w:rFonts w:ascii="宋体" w:hAnsi="宋体"/>
          <w:szCs w:val="20"/>
          <w:highlight w:val="none"/>
        </w:rPr>
      </w:pPr>
    </w:p>
    <w:p>
      <w:pPr>
        <w:snapToGrid w:val="0"/>
        <w:spacing w:beforeLines="50" w:after="50"/>
        <w:rPr>
          <w:rFonts w:ascii="宋体" w:hAnsi="宋体"/>
          <w:szCs w:val="20"/>
          <w:highlight w:val="none"/>
        </w:rPr>
      </w:pPr>
    </w:p>
    <w:p>
      <w:pPr>
        <w:snapToGrid w:val="0"/>
        <w:spacing w:beforeLines="50" w:after="50"/>
        <w:rPr>
          <w:rFonts w:ascii="宋体" w:hAnsi="宋体"/>
          <w:szCs w:val="20"/>
          <w:highlight w:val="none"/>
        </w:rPr>
      </w:pPr>
    </w:p>
    <w:p>
      <w:pPr>
        <w:snapToGrid w:val="0"/>
        <w:spacing w:beforeLines="50" w:after="50"/>
        <w:rPr>
          <w:rFonts w:ascii="宋体" w:hAnsi="宋体"/>
          <w:szCs w:val="20"/>
          <w:highlight w:val="none"/>
        </w:rPr>
      </w:pPr>
    </w:p>
    <w:p>
      <w:pPr>
        <w:snapToGrid w:val="0"/>
        <w:spacing w:beforeLines="50" w:after="50"/>
        <w:rPr>
          <w:rFonts w:ascii="宋体" w:hAnsi="宋体"/>
          <w:szCs w:val="20"/>
          <w:highlight w:val="none"/>
        </w:rPr>
      </w:pPr>
    </w:p>
    <w:p>
      <w:pPr>
        <w:snapToGrid w:val="0"/>
        <w:spacing w:beforeLines="50" w:after="50"/>
        <w:rPr>
          <w:rFonts w:ascii="宋体" w:hAnsi="宋体"/>
          <w:szCs w:val="20"/>
          <w:highlight w:val="none"/>
        </w:rPr>
      </w:pPr>
    </w:p>
    <w:p>
      <w:pPr>
        <w:snapToGrid w:val="0"/>
        <w:spacing w:beforeLines="50" w:after="50" w:line="360" w:lineRule="auto"/>
        <w:rPr>
          <w:rFonts w:ascii="宋体" w:hAnsi="宋体"/>
          <w:highlight w:val="none"/>
        </w:rPr>
      </w:pPr>
    </w:p>
    <w:p>
      <w:pPr>
        <w:pStyle w:val="2"/>
        <w:ind w:left="480" w:firstLine="404"/>
        <w:rPr>
          <w:highlight w:val="none"/>
        </w:rPr>
      </w:pPr>
    </w:p>
    <w:p>
      <w:pPr>
        <w:pStyle w:val="2"/>
        <w:ind w:left="480" w:firstLine="464"/>
        <w:rPr>
          <w:rFonts w:hAnsi="宋体"/>
          <w:sz w:val="24"/>
          <w:highlight w:val="none"/>
        </w:rPr>
      </w:pPr>
    </w:p>
    <w:p>
      <w:pPr>
        <w:pStyle w:val="4"/>
        <w:rPr>
          <w:highlight w:val="none"/>
        </w:rPr>
      </w:pPr>
    </w:p>
    <w:p>
      <w:pPr>
        <w:snapToGrid w:val="0"/>
        <w:spacing w:beforeLines="50" w:after="50" w:line="360" w:lineRule="auto"/>
        <w:rPr>
          <w:rFonts w:ascii="宋体" w:hAnsi="宋体"/>
          <w:highlight w:val="none"/>
        </w:rPr>
      </w:pPr>
    </w:p>
    <w:p>
      <w:pPr>
        <w:snapToGrid w:val="0"/>
        <w:spacing w:beforeLines="50" w:after="50" w:line="360" w:lineRule="auto"/>
        <w:rPr>
          <w:rFonts w:ascii="宋体" w:hAnsi="宋体"/>
          <w:highlight w:val="none"/>
        </w:rPr>
      </w:pPr>
      <w:r>
        <w:rPr>
          <w:rFonts w:hint="eastAsia" w:ascii="宋体" w:hAnsi="宋体"/>
          <w:highlight w:val="none"/>
        </w:rPr>
        <w:t>3.</w:t>
      </w:r>
      <w:r>
        <w:rPr>
          <w:rFonts w:hint="eastAsia" w:ascii="宋体" w:hAnsi="宋体"/>
          <w:bCs/>
          <w:highlight w:val="none"/>
        </w:rPr>
        <w:t>投标人基本情况介绍</w:t>
      </w:r>
      <w:r>
        <w:rPr>
          <w:rFonts w:ascii="宋体" w:hAnsi="宋体"/>
          <w:highlight w:val="none"/>
        </w:rPr>
        <w:t>格式：</w:t>
      </w:r>
    </w:p>
    <w:p>
      <w:pPr>
        <w:pStyle w:val="12"/>
        <w:spacing w:before="120" w:after="120" w:line="360" w:lineRule="auto"/>
        <w:jc w:val="center"/>
        <w:rPr>
          <w:rFonts w:hAnsi="宋体"/>
          <w:b/>
          <w:highlight w:val="none"/>
        </w:rPr>
      </w:pPr>
      <w:r>
        <w:rPr>
          <w:rFonts w:hint="eastAsia" w:hAnsi="宋体"/>
          <w:b/>
          <w:highlight w:val="none"/>
        </w:rPr>
        <w:t>投标人经营情况介绍</w:t>
      </w:r>
    </w:p>
    <w:tbl>
      <w:tblPr>
        <w:tblStyle w:val="18"/>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371"/>
        <w:gridCol w:w="1260"/>
        <w:gridCol w:w="1260"/>
        <w:gridCol w:w="162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477" w:type="dxa"/>
            <w:noWrap/>
            <w:vAlign w:val="center"/>
          </w:tcPr>
          <w:p>
            <w:pPr>
              <w:widowControl/>
              <w:spacing w:line="360" w:lineRule="auto"/>
              <w:jc w:val="center"/>
              <w:rPr>
                <w:rFonts w:ascii="宋体" w:hAnsi="宋体"/>
                <w:kern w:val="0"/>
                <w:highlight w:val="none"/>
              </w:rPr>
            </w:pPr>
            <w:r>
              <w:rPr>
                <w:rFonts w:hint="eastAsia" w:ascii="宋体" w:hAnsi="宋体"/>
                <w:kern w:val="0"/>
                <w:highlight w:val="none"/>
              </w:rPr>
              <w:t>名  称</w:t>
            </w:r>
          </w:p>
        </w:tc>
        <w:tc>
          <w:tcPr>
            <w:tcW w:w="7983" w:type="dxa"/>
            <w:gridSpan w:val="6"/>
            <w:noWrap/>
            <w:vAlign w:val="center"/>
          </w:tcPr>
          <w:p>
            <w:pPr>
              <w:widowControl/>
              <w:spacing w:line="360" w:lineRule="auto"/>
              <w:jc w:val="center"/>
              <w:rPr>
                <w:rFonts w:ascii="宋体" w:hAnsi="宋体"/>
                <w:kern w:val="0"/>
                <w:highlight w:val="none"/>
              </w:rPr>
            </w:pPr>
            <w:r>
              <w:rPr>
                <w:rFonts w:hint="eastAsia" w:ascii="宋体" w:hAnsi="宋体"/>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77" w:type="dxa"/>
            <w:noWrap/>
            <w:vAlign w:val="center"/>
          </w:tcPr>
          <w:p>
            <w:pPr>
              <w:widowControl/>
              <w:spacing w:line="360" w:lineRule="auto"/>
              <w:jc w:val="center"/>
              <w:rPr>
                <w:rFonts w:ascii="宋体" w:hAnsi="宋体"/>
                <w:kern w:val="0"/>
                <w:highlight w:val="none"/>
              </w:rPr>
            </w:pPr>
            <w:r>
              <w:rPr>
                <w:rFonts w:hint="eastAsia" w:ascii="宋体" w:hAnsi="宋体"/>
                <w:kern w:val="0"/>
                <w:highlight w:val="none"/>
              </w:rPr>
              <w:t>地  址</w:t>
            </w:r>
          </w:p>
        </w:tc>
        <w:tc>
          <w:tcPr>
            <w:tcW w:w="7983" w:type="dxa"/>
            <w:gridSpan w:val="6"/>
            <w:noWrap/>
            <w:vAlign w:val="center"/>
          </w:tcPr>
          <w:p>
            <w:pPr>
              <w:widowControl/>
              <w:spacing w:line="360" w:lineRule="auto"/>
              <w:jc w:val="center"/>
              <w:rPr>
                <w:rFonts w:ascii="宋体" w:hAnsi="宋体"/>
                <w:kern w:val="0"/>
                <w:highlight w:val="none"/>
              </w:rPr>
            </w:pPr>
            <w:r>
              <w:rPr>
                <w:rFonts w:hint="eastAsia" w:ascii="宋体" w:hAnsi="宋体"/>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477" w:type="dxa"/>
            <w:vMerge w:val="restart"/>
            <w:noWrap/>
            <w:vAlign w:val="center"/>
          </w:tcPr>
          <w:p>
            <w:pPr>
              <w:widowControl/>
              <w:spacing w:line="360" w:lineRule="auto"/>
              <w:jc w:val="center"/>
              <w:rPr>
                <w:rFonts w:ascii="宋体" w:hAnsi="宋体"/>
                <w:kern w:val="0"/>
                <w:highlight w:val="none"/>
              </w:rPr>
            </w:pPr>
            <w:r>
              <w:rPr>
                <w:rFonts w:hint="eastAsia" w:ascii="宋体" w:hAnsi="宋体"/>
                <w:kern w:val="0"/>
                <w:highlight w:val="none"/>
              </w:rPr>
              <w:t>概  况</w:t>
            </w:r>
          </w:p>
        </w:tc>
        <w:tc>
          <w:tcPr>
            <w:tcW w:w="1371" w:type="dxa"/>
            <w:noWrap/>
            <w:vAlign w:val="center"/>
          </w:tcPr>
          <w:p>
            <w:pPr>
              <w:widowControl/>
              <w:spacing w:line="400" w:lineRule="exact"/>
              <w:jc w:val="center"/>
              <w:rPr>
                <w:rFonts w:ascii="宋体" w:hAnsi="宋体"/>
                <w:kern w:val="0"/>
                <w:highlight w:val="none"/>
              </w:rPr>
            </w:pPr>
            <w:r>
              <w:rPr>
                <w:rFonts w:hint="eastAsia" w:ascii="宋体" w:hAnsi="宋体"/>
                <w:kern w:val="0"/>
                <w:highlight w:val="none"/>
              </w:rPr>
              <w:t>成立和注册时间</w:t>
            </w:r>
          </w:p>
        </w:tc>
        <w:tc>
          <w:tcPr>
            <w:tcW w:w="2520" w:type="dxa"/>
            <w:gridSpan w:val="2"/>
            <w:noWrap/>
            <w:vAlign w:val="center"/>
          </w:tcPr>
          <w:p>
            <w:pPr>
              <w:widowControl/>
              <w:spacing w:line="400" w:lineRule="exact"/>
              <w:jc w:val="center"/>
              <w:rPr>
                <w:rFonts w:ascii="宋体" w:hAnsi="宋体"/>
                <w:kern w:val="0"/>
                <w:highlight w:val="none"/>
              </w:rPr>
            </w:pPr>
            <w:r>
              <w:rPr>
                <w:rFonts w:hint="eastAsia" w:ascii="宋体" w:hAnsi="宋体"/>
                <w:kern w:val="0"/>
                <w:highlight w:val="none"/>
              </w:rPr>
              <w:t>　</w:t>
            </w:r>
          </w:p>
        </w:tc>
        <w:tc>
          <w:tcPr>
            <w:tcW w:w="1620" w:type="dxa"/>
            <w:noWrap/>
            <w:vAlign w:val="center"/>
          </w:tcPr>
          <w:p>
            <w:pPr>
              <w:widowControl/>
              <w:spacing w:line="400" w:lineRule="exact"/>
              <w:jc w:val="center"/>
              <w:rPr>
                <w:rFonts w:ascii="宋体" w:hAnsi="宋体"/>
                <w:kern w:val="0"/>
                <w:highlight w:val="none"/>
              </w:rPr>
            </w:pPr>
            <w:r>
              <w:rPr>
                <w:rFonts w:hint="eastAsia" w:ascii="宋体" w:hAnsi="宋体"/>
                <w:kern w:val="0"/>
                <w:highlight w:val="none"/>
              </w:rPr>
              <w:t>注册资金</w:t>
            </w:r>
          </w:p>
        </w:tc>
        <w:tc>
          <w:tcPr>
            <w:tcW w:w="2472" w:type="dxa"/>
            <w:gridSpan w:val="2"/>
            <w:noWrap/>
            <w:vAlign w:val="center"/>
          </w:tcPr>
          <w:p>
            <w:pPr>
              <w:widowControl/>
              <w:spacing w:line="400" w:lineRule="exact"/>
              <w:jc w:val="center"/>
              <w:rPr>
                <w:rFonts w:ascii="宋体" w:hAnsi="宋体"/>
                <w:kern w:val="0"/>
                <w:highlight w:val="none"/>
              </w:rPr>
            </w:pPr>
            <w:r>
              <w:rPr>
                <w:rFonts w:hint="eastAsia" w:ascii="宋体" w:hAnsi="宋体"/>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kern w:val="0"/>
                <w:highlight w:val="none"/>
              </w:rPr>
            </w:pPr>
          </w:p>
        </w:tc>
        <w:tc>
          <w:tcPr>
            <w:tcW w:w="1371" w:type="dxa"/>
            <w:noWrap/>
            <w:vAlign w:val="center"/>
          </w:tcPr>
          <w:p>
            <w:pPr>
              <w:widowControl/>
              <w:spacing w:line="400" w:lineRule="exact"/>
              <w:jc w:val="center"/>
              <w:rPr>
                <w:rFonts w:ascii="宋体" w:hAnsi="宋体"/>
                <w:kern w:val="0"/>
                <w:highlight w:val="none"/>
              </w:rPr>
            </w:pPr>
            <w:r>
              <w:rPr>
                <w:rFonts w:hint="eastAsia" w:ascii="宋体" w:hAnsi="宋体"/>
                <w:kern w:val="0"/>
                <w:highlight w:val="none"/>
              </w:rPr>
              <w:t>法人代表</w:t>
            </w:r>
          </w:p>
        </w:tc>
        <w:tc>
          <w:tcPr>
            <w:tcW w:w="2520" w:type="dxa"/>
            <w:gridSpan w:val="2"/>
            <w:noWrap/>
            <w:vAlign w:val="center"/>
          </w:tcPr>
          <w:p>
            <w:pPr>
              <w:widowControl/>
              <w:spacing w:line="400" w:lineRule="exact"/>
              <w:jc w:val="center"/>
              <w:rPr>
                <w:rFonts w:ascii="宋体" w:hAnsi="宋体"/>
                <w:kern w:val="0"/>
                <w:highlight w:val="none"/>
              </w:rPr>
            </w:pPr>
            <w:r>
              <w:rPr>
                <w:rFonts w:hint="eastAsia" w:ascii="宋体" w:hAnsi="宋体"/>
                <w:kern w:val="0"/>
                <w:highlight w:val="none"/>
              </w:rPr>
              <w:t>　</w:t>
            </w:r>
          </w:p>
        </w:tc>
        <w:tc>
          <w:tcPr>
            <w:tcW w:w="1620" w:type="dxa"/>
            <w:noWrap/>
            <w:vAlign w:val="center"/>
          </w:tcPr>
          <w:p>
            <w:pPr>
              <w:widowControl/>
              <w:spacing w:line="400" w:lineRule="exact"/>
              <w:jc w:val="center"/>
              <w:rPr>
                <w:rFonts w:ascii="宋体" w:hAnsi="宋体"/>
                <w:kern w:val="0"/>
                <w:highlight w:val="none"/>
              </w:rPr>
            </w:pPr>
            <w:r>
              <w:rPr>
                <w:rFonts w:hint="eastAsia" w:ascii="宋体" w:hAnsi="宋体"/>
                <w:kern w:val="0"/>
                <w:highlight w:val="none"/>
              </w:rPr>
              <w:t>电   话</w:t>
            </w:r>
          </w:p>
        </w:tc>
        <w:tc>
          <w:tcPr>
            <w:tcW w:w="2472" w:type="dxa"/>
            <w:gridSpan w:val="2"/>
            <w:noWrap/>
            <w:vAlign w:val="center"/>
          </w:tcPr>
          <w:p>
            <w:pPr>
              <w:widowControl/>
              <w:spacing w:line="400" w:lineRule="exact"/>
              <w:jc w:val="center"/>
              <w:rPr>
                <w:rFonts w:ascii="宋体" w:hAnsi="宋体"/>
                <w:kern w:val="0"/>
                <w:highlight w:val="none"/>
              </w:rPr>
            </w:pPr>
            <w:r>
              <w:rPr>
                <w:rFonts w:hint="eastAsia" w:ascii="宋体" w:hAnsi="宋体"/>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kern w:val="0"/>
                <w:highlight w:val="none"/>
              </w:rPr>
            </w:pPr>
          </w:p>
        </w:tc>
        <w:tc>
          <w:tcPr>
            <w:tcW w:w="1371" w:type="dxa"/>
            <w:noWrap/>
            <w:vAlign w:val="center"/>
          </w:tcPr>
          <w:p>
            <w:pPr>
              <w:widowControl/>
              <w:spacing w:line="400" w:lineRule="exact"/>
              <w:jc w:val="center"/>
              <w:rPr>
                <w:rFonts w:ascii="宋体" w:hAnsi="宋体"/>
                <w:kern w:val="0"/>
                <w:highlight w:val="none"/>
              </w:rPr>
            </w:pPr>
            <w:r>
              <w:rPr>
                <w:rFonts w:hint="eastAsia" w:ascii="宋体" w:hAnsi="宋体"/>
                <w:kern w:val="0"/>
                <w:highlight w:val="none"/>
              </w:rPr>
              <w:t>技术负责人</w:t>
            </w:r>
          </w:p>
        </w:tc>
        <w:tc>
          <w:tcPr>
            <w:tcW w:w="2520" w:type="dxa"/>
            <w:gridSpan w:val="2"/>
            <w:noWrap/>
            <w:vAlign w:val="center"/>
          </w:tcPr>
          <w:p>
            <w:pPr>
              <w:widowControl/>
              <w:spacing w:line="400" w:lineRule="exact"/>
              <w:jc w:val="center"/>
              <w:rPr>
                <w:rFonts w:ascii="宋体" w:hAnsi="宋体"/>
                <w:kern w:val="0"/>
                <w:highlight w:val="none"/>
              </w:rPr>
            </w:pPr>
            <w:r>
              <w:rPr>
                <w:rFonts w:hint="eastAsia" w:ascii="宋体" w:hAnsi="宋体"/>
                <w:kern w:val="0"/>
                <w:highlight w:val="none"/>
              </w:rPr>
              <w:t>　</w:t>
            </w:r>
          </w:p>
        </w:tc>
        <w:tc>
          <w:tcPr>
            <w:tcW w:w="1620" w:type="dxa"/>
            <w:noWrap/>
            <w:vAlign w:val="center"/>
          </w:tcPr>
          <w:p>
            <w:pPr>
              <w:widowControl/>
              <w:spacing w:line="400" w:lineRule="exact"/>
              <w:jc w:val="center"/>
              <w:rPr>
                <w:rFonts w:ascii="宋体" w:hAnsi="宋体"/>
                <w:kern w:val="0"/>
                <w:highlight w:val="none"/>
              </w:rPr>
            </w:pPr>
            <w:r>
              <w:rPr>
                <w:rFonts w:hint="eastAsia" w:ascii="宋体" w:hAnsi="宋体"/>
                <w:kern w:val="0"/>
                <w:highlight w:val="none"/>
              </w:rPr>
              <w:t>电   话</w:t>
            </w:r>
          </w:p>
        </w:tc>
        <w:tc>
          <w:tcPr>
            <w:tcW w:w="2472" w:type="dxa"/>
            <w:gridSpan w:val="2"/>
            <w:noWrap/>
            <w:vAlign w:val="center"/>
          </w:tcPr>
          <w:p>
            <w:pPr>
              <w:widowControl/>
              <w:spacing w:line="400" w:lineRule="exact"/>
              <w:jc w:val="center"/>
              <w:rPr>
                <w:rFonts w:ascii="宋体" w:hAnsi="宋体"/>
                <w:kern w:val="0"/>
                <w:highlight w:val="none"/>
              </w:rPr>
            </w:pPr>
            <w:r>
              <w:rPr>
                <w:rFonts w:hint="eastAsia" w:ascii="宋体" w:hAnsi="宋体"/>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kern w:val="0"/>
                <w:highlight w:val="none"/>
              </w:rPr>
            </w:pPr>
          </w:p>
        </w:tc>
        <w:tc>
          <w:tcPr>
            <w:tcW w:w="1371" w:type="dxa"/>
            <w:noWrap/>
            <w:vAlign w:val="center"/>
          </w:tcPr>
          <w:p>
            <w:pPr>
              <w:widowControl/>
              <w:spacing w:line="400" w:lineRule="exact"/>
              <w:jc w:val="center"/>
              <w:rPr>
                <w:rFonts w:ascii="宋体" w:hAnsi="宋体"/>
                <w:kern w:val="0"/>
                <w:highlight w:val="none"/>
              </w:rPr>
            </w:pPr>
            <w:r>
              <w:rPr>
                <w:rFonts w:hint="eastAsia" w:ascii="宋体" w:hAnsi="宋体"/>
                <w:kern w:val="0"/>
                <w:highlight w:val="none"/>
              </w:rPr>
              <w:t>职工总数</w:t>
            </w:r>
          </w:p>
        </w:tc>
        <w:tc>
          <w:tcPr>
            <w:tcW w:w="2520" w:type="dxa"/>
            <w:gridSpan w:val="2"/>
            <w:noWrap/>
            <w:vAlign w:val="center"/>
          </w:tcPr>
          <w:p>
            <w:pPr>
              <w:widowControl/>
              <w:spacing w:line="400" w:lineRule="exact"/>
              <w:jc w:val="center"/>
              <w:rPr>
                <w:rFonts w:ascii="宋体" w:hAnsi="宋体"/>
                <w:kern w:val="0"/>
                <w:highlight w:val="none"/>
              </w:rPr>
            </w:pPr>
            <w:r>
              <w:rPr>
                <w:rFonts w:hint="eastAsia" w:ascii="宋体" w:hAnsi="宋体"/>
                <w:kern w:val="0"/>
                <w:highlight w:val="none"/>
              </w:rPr>
              <w:t>　</w:t>
            </w:r>
          </w:p>
        </w:tc>
        <w:tc>
          <w:tcPr>
            <w:tcW w:w="1620" w:type="dxa"/>
            <w:noWrap/>
            <w:vAlign w:val="center"/>
          </w:tcPr>
          <w:p>
            <w:pPr>
              <w:widowControl/>
              <w:spacing w:line="400" w:lineRule="exact"/>
              <w:jc w:val="center"/>
              <w:rPr>
                <w:rFonts w:ascii="宋体" w:hAnsi="宋体"/>
                <w:kern w:val="0"/>
                <w:highlight w:val="none"/>
              </w:rPr>
            </w:pPr>
            <w:r>
              <w:rPr>
                <w:rFonts w:hint="eastAsia" w:ascii="宋体" w:hAnsi="宋体"/>
                <w:kern w:val="0"/>
                <w:highlight w:val="none"/>
              </w:rPr>
              <w:t>技术人员数</w:t>
            </w:r>
          </w:p>
        </w:tc>
        <w:tc>
          <w:tcPr>
            <w:tcW w:w="2472" w:type="dxa"/>
            <w:gridSpan w:val="2"/>
            <w:noWrap/>
            <w:vAlign w:val="center"/>
          </w:tcPr>
          <w:p>
            <w:pPr>
              <w:widowControl/>
              <w:spacing w:line="400" w:lineRule="exact"/>
              <w:jc w:val="center"/>
              <w:rPr>
                <w:rFonts w:ascii="宋体" w:hAnsi="宋体"/>
                <w:kern w:val="0"/>
                <w:highlight w:val="none"/>
              </w:rPr>
            </w:pPr>
            <w:r>
              <w:rPr>
                <w:rFonts w:hint="eastAsia" w:ascii="宋体" w:hAnsi="宋体"/>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kern w:val="0"/>
                <w:highlight w:val="none"/>
              </w:rPr>
            </w:pPr>
          </w:p>
        </w:tc>
        <w:tc>
          <w:tcPr>
            <w:tcW w:w="1371" w:type="dxa"/>
            <w:vMerge w:val="restart"/>
            <w:noWrap/>
            <w:vAlign w:val="center"/>
          </w:tcPr>
          <w:p>
            <w:pPr>
              <w:widowControl/>
              <w:spacing w:line="400" w:lineRule="exact"/>
              <w:jc w:val="center"/>
              <w:rPr>
                <w:rFonts w:ascii="宋体" w:hAnsi="宋体"/>
                <w:kern w:val="0"/>
                <w:highlight w:val="none"/>
              </w:rPr>
            </w:pPr>
            <w:r>
              <w:rPr>
                <w:rFonts w:hint="eastAsia" w:ascii="宋体" w:hAnsi="宋体"/>
                <w:kern w:val="0"/>
                <w:highlight w:val="none"/>
              </w:rPr>
              <w:t>资产情况</w:t>
            </w:r>
          </w:p>
        </w:tc>
        <w:tc>
          <w:tcPr>
            <w:tcW w:w="2520" w:type="dxa"/>
            <w:gridSpan w:val="2"/>
            <w:noWrap/>
            <w:vAlign w:val="center"/>
          </w:tcPr>
          <w:p>
            <w:pPr>
              <w:widowControl/>
              <w:spacing w:line="400" w:lineRule="exact"/>
              <w:jc w:val="left"/>
              <w:rPr>
                <w:rFonts w:ascii="宋体" w:hAnsi="宋体"/>
                <w:kern w:val="0"/>
                <w:highlight w:val="none"/>
              </w:rPr>
            </w:pPr>
            <w:r>
              <w:rPr>
                <w:rFonts w:hint="eastAsia" w:ascii="宋体" w:hAnsi="宋体"/>
                <w:kern w:val="0"/>
                <w:highlight w:val="none"/>
              </w:rPr>
              <w:t xml:space="preserve">净资产：            </w:t>
            </w:r>
          </w:p>
        </w:tc>
        <w:tc>
          <w:tcPr>
            <w:tcW w:w="4092" w:type="dxa"/>
            <w:gridSpan w:val="3"/>
            <w:noWrap/>
            <w:vAlign w:val="center"/>
          </w:tcPr>
          <w:p>
            <w:pPr>
              <w:widowControl/>
              <w:spacing w:line="400" w:lineRule="exact"/>
              <w:jc w:val="left"/>
              <w:rPr>
                <w:rFonts w:ascii="宋体" w:hAnsi="宋体"/>
                <w:kern w:val="0"/>
                <w:highlight w:val="none"/>
              </w:rPr>
            </w:pPr>
            <w:r>
              <w:rPr>
                <w:rFonts w:hint="eastAsia" w:ascii="宋体" w:hAnsi="宋体"/>
                <w:kern w:val="0"/>
                <w:highlight w:val="none"/>
              </w:rPr>
              <w:t>固定资产原值：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kern w:val="0"/>
                <w:highlight w:val="none"/>
              </w:rPr>
            </w:pPr>
          </w:p>
        </w:tc>
        <w:tc>
          <w:tcPr>
            <w:tcW w:w="1371" w:type="dxa"/>
            <w:vMerge w:val="continue"/>
            <w:noWrap/>
            <w:vAlign w:val="center"/>
          </w:tcPr>
          <w:p>
            <w:pPr>
              <w:widowControl/>
              <w:spacing w:line="400" w:lineRule="exact"/>
              <w:jc w:val="left"/>
              <w:rPr>
                <w:rFonts w:ascii="宋体" w:hAnsi="宋体"/>
                <w:kern w:val="0"/>
                <w:highlight w:val="none"/>
              </w:rPr>
            </w:pPr>
          </w:p>
        </w:tc>
        <w:tc>
          <w:tcPr>
            <w:tcW w:w="2520" w:type="dxa"/>
            <w:gridSpan w:val="2"/>
            <w:noWrap/>
            <w:vAlign w:val="center"/>
          </w:tcPr>
          <w:p>
            <w:pPr>
              <w:widowControl/>
              <w:spacing w:line="400" w:lineRule="exact"/>
              <w:jc w:val="left"/>
              <w:rPr>
                <w:rFonts w:ascii="宋体" w:hAnsi="宋体"/>
                <w:kern w:val="0"/>
                <w:highlight w:val="none"/>
              </w:rPr>
            </w:pPr>
            <w:r>
              <w:rPr>
                <w:rFonts w:hint="eastAsia" w:ascii="宋体" w:hAnsi="宋体"/>
                <w:kern w:val="0"/>
                <w:highlight w:val="none"/>
              </w:rPr>
              <w:t xml:space="preserve">负  债：            </w:t>
            </w:r>
          </w:p>
        </w:tc>
        <w:tc>
          <w:tcPr>
            <w:tcW w:w="4092" w:type="dxa"/>
            <w:gridSpan w:val="3"/>
            <w:noWrap/>
            <w:vAlign w:val="center"/>
          </w:tcPr>
          <w:p>
            <w:pPr>
              <w:widowControl/>
              <w:spacing w:line="400" w:lineRule="exact"/>
              <w:jc w:val="left"/>
              <w:rPr>
                <w:rFonts w:ascii="宋体" w:hAnsi="宋体"/>
                <w:kern w:val="0"/>
                <w:highlight w:val="none"/>
              </w:rPr>
            </w:pPr>
            <w:r>
              <w:rPr>
                <w:rFonts w:hint="eastAsia" w:ascii="宋体" w:hAnsi="宋体"/>
                <w:kern w:val="0"/>
                <w:highlight w:val="none"/>
              </w:rPr>
              <w:t>固定资产净值：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kern w:val="0"/>
                <w:highlight w:val="none"/>
              </w:rPr>
            </w:pPr>
          </w:p>
        </w:tc>
        <w:tc>
          <w:tcPr>
            <w:tcW w:w="1371" w:type="dxa"/>
            <w:noWrap/>
            <w:vAlign w:val="center"/>
          </w:tcPr>
          <w:p>
            <w:pPr>
              <w:widowControl/>
              <w:spacing w:line="360" w:lineRule="auto"/>
              <w:jc w:val="center"/>
              <w:rPr>
                <w:rFonts w:ascii="宋体" w:hAnsi="宋体"/>
                <w:kern w:val="0"/>
                <w:highlight w:val="none"/>
              </w:rPr>
            </w:pPr>
            <w:r>
              <w:rPr>
                <w:rFonts w:hint="eastAsia" w:ascii="宋体" w:hAnsi="宋体"/>
                <w:kern w:val="0"/>
                <w:highlight w:val="none"/>
              </w:rPr>
              <w:t>202</w:t>
            </w:r>
            <w:r>
              <w:rPr>
                <w:rFonts w:hint="eastAsia" w:ascii="宋体" w:hAnsi="宋体"/>
                <w:kern w:val="0"/>
                <w:highlight w:val="none"/>
                <w:lang w:val="en-US" w:eastAsia="zh-CN"/>
              </w:rPr>
              <w:t>4</w:t>
            </w:r>
            <w:r>
              <w:rPr>
                <w:rFonts w:hint="eastAsia" w:ascii="宋体" w:hAnsi="宋体"/>
                <w:kern w:val="0"/>
                <w:highlight w:val="none"/>
              </w:rPr>
              <w:t>年 度</w:t>
            </w:r>
          </w:p>
        </w:tc>
        <w:tc>
          <w:tcPr>
            <w:tcW w:w="1260" w:type="dxa"/>
            <w:noWrap/>
            <w:vAlign w:val="center"/>
          </w:tcPr>
          <w:p>
            <w:pPr>
              <w:widowControl/>
              <w:spacing w:line="360" w:lineRule="auto"/>
              <w:jc w:val="center"/>
              <w:rPr>
                <w:rFonts w:ascii="宋体" w:hAnsi="宋体"/>
                <w:kern w:val="0"/>
                <w:highlight w:val="none"/>
              </w:rPr>
            </w:pPr>
            <w:r>
              <w:rPr>
                <w:rFonts w:hint="eastAsia" w:ascii="宋体" w:hAnsi="宋体"/>
                <w:kern w:val="0"/>
                <w:highlight w:val="none"/>
              </w:rPr>
              <w:t>主营收入(万元)</w:t>
            </w:r>
          </w:p>
        </w:tc>
        <w:tc>
          <w:tcPr>
            <w:tcW w:w="1260" w:type="dxa"/>
            <w:noWrap/>
            <w:vAlign w:val="center"/>
          </w:tcPr>
          <w:p>
            <w:pPr>
              <w:widowControl/>
              <w:spacing w:line="360" w:lineRule="auto"/>
              <w:jc w:val="center"/>
              <w:rPr>
                <w:rFonts w:ascii="宋体" w:hAnsi="宋体"/>
                <w:kern w:val="0"/>
                <w:highlight w:val="none"/>
              </w:rPr>
            </w:pPr>
            <w:r>
              <w:rPr>
                <w:rFonts w:hint="eastAsia" w:ascii="宋体" w:hAnsi="宋体"/>
                <w:kern w:val="0"/>
                <w:highlight w:val="none"/>
              </w:rPr>
              <w:t>收入总额(万元)</w:t>
            </w:r>
          </w:p>
        </w:tc>
        <w:tc>
          <w:tcPr>
            <w:tcW w:w="1620" w:type="dxa"/>
            <w:noWrap/>
            <w:vAlign w:val="center"/>
          </w:tcPr>
          <w:p>
            <w:pPr>
              <w:widowControl/>
              <w:spacing w:line="360" w:lineRule="auto"/>
              <w:jc w:val="center"/>
              <w:rPr>
                <w:rFonts w:ascii="宋体" w:hAnsi="宋体"/>
                <w:kern w:val="0"/>
                <w:highlight w:val="none"/>
              </w:rPr>
            </w:pPr>
            <w:r>
              <w:rPr>
                <w:rFonts w:hint="eastAsia" w:ascii="宋体" w:hAnsi="宋体"/>
                <w:kern w:val="0"/>
                <w:highlight w:val="none"/>
              </w:rPr>
              <w:t>利润收入(万元)</w:t>
            </w:r>
          </w:p>
        </w:tc>
        <w:tc>
          <w:tcPr>
            <w:tcW w:w="1260" w:type="dxa"/>
            <w:noWrap/>
            <w:vAlign w:val="center"/>
          </w:tcPr>
          <w:p>
            <w:pPr>
              <w:widowControl/>
              <w:spacing w:line="360" w:lineRule="auto"/>
              <w:jc w:val="center"/>
              <w:rPr>
                <w:rFonts w:ascii="宋体" w:hAnsi="宋体"/>
                <w:kern w:val="0"/>
                <w:highlight w:val="none"/>
              </w:rPr>
            </w:pPr>
            <w:r>
              <w:rPr>
                <w:rFonts w:hint="eastAsia" w:ascii="宋体" w:hAnsi="宋体"/>
                <w:kern w:val="0"/>
                <w:highlight w:val="none"/>
              </w:rPr>
              <w:t>净利润收入(万元)</w:t>
            </w:r>
          </w:p>
        </w:tc>
        <w:tc>
          <w:tcPr>
            <w:tcW w:w="1212" w:type="dxa"/>
            <w:noWrap/>
            <w:vAlign w:val="center"/>
          </w:tcPr>
          <w:p>
            <w:pPr>
              <w:widowControl/>
              <w:spacing w:line="360" w:lineRule="auto"/>
              <w:jc w:val="center"/>
              <w:rPr>
                <w:rFonts w:ascii="宋体" w:hAnsi="宋体"/>
                <w:kern w:val="0"/>
                <w:highlight w:val="none"/>
              </w:rPr>
            </w:pPr>
            <w:r>
              <w:rPr>
                <w:rFonts w:hint="eastAsia" w:ascii="宋体" w:hAnsi="宋体"/>
                <w:kern w:val="0"/>
                <w:highlight w:val="none"/>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kern w:val="0"/>
                <w:highlight w:val="none"/>
              </w:rPr>
            </w:pPr>
          </w:p>
        </w:tc>
        <w:tc>
          <w:tcPr>
            <w:tcW w:w="1371" w:type="dxa"/>
            <w:noWrap/>
            <w:vAlign w:val="center"/>
          </w:tcPr>
          <w:p>
            <w:pPr>
              <w:widowControl/>
              <w:spacing w:line="360" w:lineRule="auto"/>
              <w:jc w:val="center"/>
              <w:rPr>
                <w:rFonts w:ascii="宋体" w:hAnsi="宋体"/>
                <w:kern w:val="0"/>
                <w:highlight w:val="none"/>
              </w:rPr>
            </w:pPr>
          </w:p>
        </w:tc>
        <w:tc>
          <w:tcPr>
            <w:tcW w:w="1260" w:type="dxa"/>
            <w:noWrap/>
            <w:vAlign w:val="center"/>
          </w:tcPr>
          <w:p>
            <w:pPr>
              <w:widowControl/>
              <w:spacing w:line="360" w:lineRule="auto"/>
              <w:jc w:val="center"/>
              <w:rPr>
                <w:rFonts w:ascii="宋体" w:hAnsi="宋体"/>
                <w:kern w:val="0"/>
                <w:highlight w:val="none"/>
              </w:rPr>
            </w:pPr>
          </w:p>
        </w:tc>
        <w:tc>
          <w:tcPr>
            <w:tcW w:w="1260" w:type="dxa"/>
            <w:noWrap/>
            <w:vAlign w:val="center"/>
          </w:tcPr>
          <w:p>
            <w:pPr>
              <w:widowControl/>
              <w:spacing w:line="360" w:lineRule="auto"/>
              <w:jc w:val="center"/>
              <w:rPr>
                <w:rFonts w:ascii="宋体" w:hAnsi="宋体"/>
                <w:kern w:val="0"/>
                <w:highlight w:val="none"/>
              </w:rPr>
            </w:pPr>
          </w:p>
        </w:tc>
        <w:tc>
          <w:tcPr>
            <w:tcW w:w="1620" w:type="dxa"/>
            <w:noWrap/>
            <w:vAlign w:val="center"/>
          </w:tcPr>
          <w:p>
            <w:pPr>
              <w:widowControl/>
              <w:spacing w:line="360" w:lineRule="auto"/>
              <w:jc w:val="center"/>
              <w:rPr>
                <w:rFonts w:ascii="宋体" w:hAnsi="宋体"/>
                <w:kern w:val="0"/>
                <w:highlight w:val="none"/>
              </w:rPr>
            </w:pPr>
          </w:p>
        </w:tc>
        <w:tc>
          <w:tcPr>
            <w:tcW w:w="1260" w:type="dxa"/>
            <w:noWrap/>
            <w:vAlign w:val="center"/>
          </w:tcPr>
          <w:p>
            <w:pPr>
              <w:widowControl/>
              <w:spacing w:line="360" w:lineRule="auto"/>
              <w:jc w:val="center"/>
              <w:rPr>
                <w:rFonts w:ascii="宋体" w:hAnsi="宋体"/>
                <w:kern w:val="0"/>
                <w:highlight w:val="none"/>
              </w:rPr>
            </w:pPr>
          </w:p>
        </w:tc>
        <w:tc>
          <w:tcPr>
            <w:tcW w:w="1212" w:type="dxa"/>
            <w:noWrap/>
            <w:vAlign w:val="center"/>
          </w:tcPr>
          <w:p>
            <w:pPr>
              <w:widowControl/>
              <w:spacing w:line="360" w:lineRule="auto"/>
              <w:jc w:val="center"/>
              <w:rPr>
                <w:rFonts w:ascii="宋体" w:hAns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477" w:type="dxa"/>
            <w:vMerge w:val="restart"/>
            <w:noWrap/>
            <w:vAlign w:val="center"/>
          </w:tcPr>
          <w:p>
            <w:pPr>
              <w:widowControl/>
              <w:spacing w:line="360" w:lineRule="auto"/>
              <w:jc w:val="center"/>
              <w:rPr>
                <w:rFonts w:ascii="宋体" w:hAnsi="宋体"/>
                <w:kern w:val="0"/>
                <w:highlight w:val="none"/>
              </w:rPr>
            </w:pPr>
            <w:r>
              <w:rPr>
                <w:rFonts w:hint="eastAsia" w:ascii="宋体" w:hAnsi="宋体"/>
                <w:kern w:val="0"/>
                <w:highlight w:val="none"/>
              </w:rPr>
              <w:t>售后服务网点</w:t>
            </w:r>
          </w:p>
        </w:tc>
        <w:tc>
          <w:tcPr>
            <w:tcW w:w="1371" w:type="dxa"/>
            <w:noWrap/>
            <w:vAlign w:val="center"/>
          </w:tcPr>
          <w:p>
            <w:pPr>
              <w:widowControl/>
              <w:spacing w:line="360" w:lineRule="auto"/>
              <w:jc w:val="center"/>
              <w:rPr>
                <w:rFonts w:ascii="宋体" w:hAnsi="宋体"/>
                <w:kern w:val="0"/>
                <w:highlight w:val="none"/>
              </w:rPr>
            </w:pPr>
            <w:r>
              <w:rPr>
                <w:rFonts w:hint="eastAsia" w:ascii="宋体" w:hAnsi="宋体"/>
                <w:kern w:val="0"/>
                <w:highlight w:val="none"/>
              </w:rPr>
              <w:t>服务机构</w:t>
            </w:r>
          </w:p>
          <w:p>
            <w:pPr>
              <w:widowControl/>
              <w:spacing w:line="360" w:lineRule="auto"/>
              <w:jc w:val="center"/>
              <w:rPr>
                <w:rFonts w:ascii="宋体" w:hAnsi="宋体"/>
                <w:kern w:val="0"/>
                <w:highlight w:val="none"/>
              </w:rPr>
            </w:pPr>
            <w:r>
              <w:rPr>
                <w:rFonts w:hint="eastAsia" w:ascii="宋体" w:hAnsi="宋体"/>
                <w:kern w:val="0"/>
                <w:highlight w:val="none"/>
              </w:rPr>
              <w:t>名称</w:t>
            </w:r>
          </w:p>
        </w:tc>
        <w:tc>
          <w:tcPr>
            <w:tcW w:w="4140" w:type="dxa"/>
            <w:gridSpan w:val="3"/>
            <w:noWrap/>
            <w:vAlign w:val="center"/>
          </w:tcPr>
          <w:p>
            <w:pPr>
              <w:widowControl/>
              <w:spacing w:line="360" w:lineRule="auto"/>
              <w:jc w:val="center"/>
              <w:rPr>
                <w:rFonts w:ascii="宋体" w:hAnsi="宋体"/>
                <w:kern w:val="0"/>
                <w:highlight w:val="none"/>
              </w:rPr>
            </w:pPr>
            <w:r>
              <w:rPr>
                <w:rFonts w:hint="eastAsia" w:ascii="宋体" w:hAnsi="宋体"/>
                <w:kern w:val="0"/>
                <w:highlight w:val="none"/>
              </w:rPr>
              <w:t>　</w:t>
            </w:r>
          </w:p>
        </w:tc>
        <w:tc>
          <w:tcPr>
            <w:tcW w:w="1260" w:type="dxa"/>
            <w:noWrap/>
            <w:vAlign w:val="center"/>
          </w:tcPr>
          <w:p>
            <w:pPr>
              <w:widowControl/>
              <w:spacing w:line="360" w:lineRule="auto"/>
              <w:jc w:val="center"/>
              <w:rPr>
                <w:rFonts w:ascii="宋体" w:hAnsi="宋体"/>
                <w:kern w:val="0"/>
                <w:highlight w:val="none"/>
              </w:rPr>
            </w:pPr>
            <w:r>
              <w:rPr>
                <w:rFonts w:hint="eastAsia" w:ascii="宋体" w:hAnsi="宋体"/>
                <w:kern w:val="0"/>
                <w:highlight w:val="none"/>
              </w:rPr>
              <w:t>负 责 人</w:t>
            </w:r>
          </w:p>
        </w:tc>
        <w:tc>
          <w:tcPr>
            <w:tcW w:w="1212" w:type="dxa"/>
            <w:noWrap/>
            <w:vAlign w:val="center"/>
          </w:tcPr>
          <w:p>
            <w:pPr>
              <w:widowControl/>
              <w:spacing w:line="360" w:lineRule="auto"/>
              <w:jc w:val="center"/>
              <w:rPr>
                <w:rFonts w:ascii="宋体" w:hAnsi="宋体"/>
                <w:kern w:val="0"/>
                <w:highlight w:val="none"/>
              </w:rPr>
            </w:pPr>
            <w:r>
              <w:rPr>
                <w:rFonts w:hint="eastAsia" w:ascii="宋体" w:hAnsi="宋体"/>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kern w:val="0"/>
                <w:highlight w:val="none"/>
              </w:rPr>
            </w:pPr>
          </w:p>
        </w:tc>
        <w:tc>
          <w:tcPr>
            <w:tcW w:w="1371" w:type="dxa"/>
            <w:noWrap/>
            <w:vAlign w:val="center"/>
          </w:tcPr>
          <w:p>
            <w:pPr>
              <w:widowControl/>
              <w:spacing w:line="360" w:lineRule="auto"/>
              <w:jc w:val="center"/>
              <w:rPr>
                <w:rFonts w:ascii="宋体" w:hAnsi="宋体"/>
                <w:kern w:val="0"/>
                <w:highlight w:val="none"/>
              </w:rPr>
            </w:pPr>
            <w:r>
              <w:rPr>
                <w:rFonts w:hint="eastAsia" w:ascii="宋体" w:hAnsi="宋体"/>
                <w:kern w:val="0"/>
                <w:highlight w:val="none"/>
              </w:rPr>
              <w:t>机构地点</w:t>
            </w:r>
          </w:p>
        </w:tc>
        <w:tc>
          <w:tcPr>
            <w:tcW w:w="4140" w:type="dxa"/>
            <w:gridSpan w:val="3"/>
            <w:noWrap/>
            <w:vAlign w:val="center"/>
          </w:tcPr>
          <w:p>
            <w:pPr>
              <w:widowControl/>
              <w:spacing w:line="360" w:lineRule="auto"/>
              <w:jc w:val="center"/>
              <w:rPr>
                <w:rFonts w:ascii="宋体" w:hAnsi="宋体"/>
                <w:kern w:val="0"/>
                <w:highlight w:val="none"/>
              </w:rPr>
            </w:pPr>
            <w:r>
              <w:rPr>
                <w:rFonts w:hint="eastAsia" w:ascii="宋体" w:hAnsi="宋体"/>
                <w:kern w:val="0"/>
                <w:highlight w:val="none"/>
              </w:rPr>
              <w:t>　</w:t>
            </w:r>
          </w:p>
        </w:tc>
        <w:tc>
          <w:tcPr>
            <w:tcW w:w="1260" w:type="dxa"/>
            <w:noWrap/>
            <w:vAlign w:val="center"/>
          </w:tcPr>
          <w:p>
            <w:pPr>
              <w:widowControl/>
              <w:spacing w:line="360" w:lineRule="auto"/>
              <w:jc w:val="center"/>
              <w:rPr>
                <w:rFonts w:ascii="宋体" w:hAnsi="宋体"/>
                <w:kern w:val="0"/>
                <w:highlight w:val="none"/>
              </w:rPr>
            </w:pPr>
            <w:r>
              <w:rPr>
                <w:rFonts w:hint="eastAsia" w:ascii="宋体" w:hAnsi="宋体"/>
                <w:kern w:val="0"/>
                <w:highlight w:val="none"/>
              </w:rPr>
              <w:t>联系电话</w:t>
            </w:r>
          </w:p>
        </w:tc>
        <w:tc>
          <w:tcPr>
            <w:tcW w:w="1212" w:type="dxa"/>
            <w:noWrap/>
            <w:vAlign w:val="center"/>
          </w:tcPr>
          <w:p>
            <w:pPr>
              <w:widowControl/>
              <w:spacing w:line="360" w:lineRule="auto"/>
              <w:jc w:val="center"/>
              <w:rPr>
                <w:rFonts w:ascii="宋体" w:hAnsi="宋体"/>
                <w:kern w:val="0"/>
                <w:highlight w:val="none"/>
              </w:rPr>
            </w:pPr>
            <w:r>
              <w:rPr>
                <w:rFonts w:hint="eastAsia" w:ascii="宋体" w:hAnsi="宋体"/>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477" w:type="dxa"/>
            <w:noWrap/>
            <w:vAlign w:val="center"/>
          </w:tcPr>
          <w:p>
            <w:pPr>
              <w:widowControl/>
              <w:spacing w:line="360" w:lineRule="auto"/>
              <w:jc w:val="center"/>
              <w:rPr>
                <w:rFonts w:ascii="宋体" w:hAnsi="宋体"/>
                <w:kern w:val="0"/>
                <w:highlight w:val="none"/>
              </w:rPr>
            </w:pPr>
            <w:r>
              <w:rPr>
                <w:rFonts w:hint="eastAsia" w:ascii="宋体" w:hAnsi="宋体"/>
                <w:kern w:val="0"/>
                <w:highlight w:val="none"/>
              </w:rPr>
              <w:t>投标人简介及机构设置</w:t>
            </w:r>
          </w:p>
        </w:tc>
        <w:tc>
          <w:tcPr>
            <w:tcW w:w="7983" w:type="dxa"/>
            <w:gridSpan w:val="6"/>
            <w:noWrap/>
            <w:vAlign w:val="center"/>
          </w:tcPr>
          <w:p>
            <w:pPr>
              <w:widowControl/>
              <w:spacing w:line="360" w:lineRule="auto"/>
              <w:jc w:val="center"/>
              <w:rPr>
                <w:rFonts w:ascii="宋体" w:hAns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477" w:type="dxa"/>
            <w:noWrap/>
            <w:vAlign w:val="center"/>
          </w:tcPr>
          <w:p>
            <w:pPr>
              <w:widowControl/>
              <w:spacing w:line="360" w:lineRule="auto"/>
              <w:jc w:val="center"/>
              <w:rPr>
                <w:rFonts w:ascii="宋体" w:hAnsi="宋体"/>
                <w:kern w:val="0"/>
                <w:highlight w:val="none"/>
              </w:rPr>
            </w:pPr>
            <w:r>
              <w:rPr>
                <w:rFonts w:hint="eastAsia" w:ascii="宋体" w:hAnsi="宋体"/>
                <w:kern w:val="0"/>
                <w:highlight w:val="none"/>
              </w:rPr>
              <w:t>投标人优势及特长</w:t>
            </w:r>
          </w:p>
        </w:tc>
        <w:tc>
          <w:tcPr>
            <w:tcW w:w="7983" w:type="dxa"/>
            <w:gridSpan w:val="6"/>
            <w:noWrap/>
            <w:vAlign w:val="center"/>
          </w:tcPr>
          <w:p>
            <w:pPr>
              <w:widowControl/>
              <w:spacing w:line="360" w:lineRule="auto"/>
              <w:jc w:val="center"/>
              <w:rPr>
                <w:rFonts w:ascii="宋体" w:hAnsi="宋体"/>
                <w:kern w:val="0"/>
                <w:highlight w:val="none"/>
              </w:rPr>
            </w:pPr>
            <w:r>
              <w:rPr>
                <w:rFonts w:hint="eastAsia" w:ascii="宋体" w:hAnsi="宋体"/>
                <w:kern w:val="0"/>
                <w:highlight w:val="none"/>
              </w:rPr>
              <w:t>　</w:t>
            </w:r>
          </w:p>
        </w:tc>
      </w:tr>
    </w:tbl>
    <w:p>
      <w:pPr>
        <w:spacing w:line="360" w:lineRule="auto"/>
        <w:rPr>
          <w:rFonts w:ascii="宋体" w:hAnsi="宋体"/>
          <w:bCs/>
          <w:highlight w:val="none"/>
        </w:rPr>
      </w:pPr>
      <w:r>
        <w:rPr>
          <w:rFonts w:hint="eastAsia" w:ascii="宋体" w:hAnsi="宋体"/>
          <w:bCs/>
          <w:highlight w:val="none"/>
        </w:rPr>
        <w:t>说明：</w:t>
      </w:r>
      <w:r>
        <w:rPr>
          <w:rFonts w:ascii="宋体" w:hAnsi="宋体"/>
          <w:bCs/>
          <w:highlight w:val="none"/>
        </w:rPr>
        <w:t>在填写时，如本表格不适合投标人的实际情况，可根据本表格格式自行划表填写。</w:t>
      </w:r>
    </w:p>
    <w:p>
      <w:pPr>
        <w:tabs>
          <w:tab w:val="left" w:pos="1418"/>
        </w:tabs>
        <w:spacing w:line="360" w:lineRule="auto"/>
        <w:ind w:firstLine="240" w:firstLineChars="100"/>
        <w:rPr>
          <w:rFonts w:ascii="宋体" w:hAnsi="宋体"/>
          <w:bCs/>
          <w:highlight w:val="none"/>
        </w:rPr>
      </w:pPr>
      <w:r>
        <w:rPr>
          <w:rFonts w:ascii="宋体" w:hAnsi="宋体"/>
          <w:highlight w:val="none"/>
        </w:rPr>
        <w:t>法定代表人或委托代理人签名：</w:t>
      </w:r>
    </w:p>
    <w:p>
      <w:pPr>
        <w:tabs>
          <w:tab w:val="left" w:pos="1418"/>
        </w:tabs>
        <w:spacing w:line="360" w:lineRule="auto"/>
        <w:ind w:firstLine="240" w:firstLineChars="100"/>
        <w:rPr>
          <w:rFonts w:ascii="宋体" w:hAnsi="宋体"/>
          <w:highlight w:val="none"/>
        </w:rPr>
      </w:pPr>
      <w:r>
        <w:rPr>
          <w:rFonts w:hint="eastAsia" w:ascii="宋体" w:hAnsi="宋体"/>
          <w:bCs/>
          <w:highlight w:val="none"/>
        </w:rPr>
        <w:t>投 标 人（盖章）：                              年  月  日</w:t>
      </w:r>
    </w:p>
    <w:p>
      <w:pPr>
        <w:snapToGrid w:val="0"/>
        <w:spacing w:line="360" w:lineRule="auto"/>
        <w:rPr>
          <w:rFonts w:ascii="宋体" w:hAnsi="宋体"/>
          <w:highlight w:val="none"/>
        </w:rPr>
      </w:pPr>
    </w:p>
    <w:p>
      <w:pPr>
        <w:pStyle w:val="2"/>
        <w:ind w:left="480" w:firstLine="404"/>
        <w:rPr>
          <w:highlight w:val="none"/>
        </w:rPr>
      </w:pPr>
    </w:p>
    <w:p>
      <w:pPr>
        <w:snapToGrid w:val="0"/>
        <w:spacing w:line="360" w:lineRule="auto"/>
        <w:rPr>
          <w:rFonts w:ascii="宋体" w:hAnsi="宋体"/>
          <w:highlight w:val="none"/>
        </w:rPr>
      </w:pPr>
      <w:r>
        <w:rPr>
          <w:rFonts w:hint="eastAsia" w:ascii="宋体" w:hAnsi="宋体"/>
          <w:highlight w:val="none"/>
        </w:rPr>
        <w:t>4.诚信承诺书格式：</w:t>
      </w:r>
    </w:p>
    <w:p>
      <w:pPr>
        <w:pStyle w:val="6"/>
        <w:spacing w:line="360" w:lineRule="auto"/>
        <w:jc w:val="center"/>
        <w:rPr>
          <w:rFonts w:ascii="宋体" w:hAnsi="宋体" w:cs="宋体"/>
          <w:szCs w:val="24"/>
          <w:highlight w:val="none"/>
        </w:rPr>
      </w:pPr>
      <w:r>
        <w:rPr>
          <w:rFonts w:hint="eastAsia" w:ascii="宋体" w:hAnsi="宋体" w:cs="宋体"/>
          <w:szCs w:val="24"/>
          <w:highlight w:val="none"/>
        </w:rPr>
        <w:t>诚信承诺书</w:t>
      </w:r>
    </w:p>
    <w:p>
      <w:pPr>
        <w:spacing w:line="360" w:lineRule="auto"/>
        <w:rPr>
          <w:rFonts w:ascii="宋体" w:hAnsi="宋体"/>
          <w:color w:val="auto"/>
          <w:sz w:val="24"/>
          <w:highlight w:val="none"/>
        </w:rPr>
      </w:pPr>
      <w:r>
        <w:rPr>
          <w:rFonts w:ascii="宋体" w:hAnsi="宋体"/>
          <w:color w:val="auto"/>
          <w:sz w:val="24"/>
          <w:highlight w:val="none"/>
        </w:rPr>
        <w:t>致：</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平湖市公共资源交易中心</w:t>
      </w:r>
      <w:r>
        <w:rPr>
          <w:rFonts w:hint="eastAsia" w:ascii="宋体" w:hAnsi="宋体"/>
          <w:color w:val="auto"/>
          <w:sz w:val="24"/>
          <w:highlight w:val="none"/>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我方在参加贵单位的</w:t>
      </w:r>
      <w:r>
        <w:rPr>
          <w:rFonts w:hint="eastAsia" w:ascii="宋体" w:hAnsi="宋体"/>
          <w:color w:val="auto"/>
          <w:sz w:val="24"/>
          <w:highlight w:val="none"/>
          <w:u w:val="single"/>
        </w:rPr>
        <w:t xml:space="preserve">                  </w:t>
      </w:r>
      <w:r>
        <w:rPr>
          <w:rFonts w:hint="eastAsia" w:ascii="宋体" w:hAnsi="宋体"/>
          <w:color w:val="auto"/>
          <w:sz w:val="24"/>
          <w:highlight w:val="none"/>
        </w:rPr>
        <w:t>政府采购项目的招投标活动中，郑重承诺如下：</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1、我方申报的所有资料都是真实、准确、完整的；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2、我方无资质挂靠情形，保证不参与串标、围标及抬标；</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3、我方未处于被各级行政主管部门做出停止市场行为处罚的期限内；</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4、我方参加本项目政府采购活动前3年内在经营活动中没有重大违法记录；</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5、若我方中标，将严格按照规定及时与</w:t>
      </w:r>
      <w:r>
        <w:rPr>
          <w:rFonts w:hint="eastAsia" w:ascii="宋体" w:hAnsi="宋体"/>
          <w:color w:val="auto"/>
          <w:sz w:val="24"/>
          <w:highlight w:val="none"/>
          <w:lang w:eastAsia="zh-CN"/>
        </w:rPr>
        <w:t>征集人</w:t>
      </w:r>
      <w:r>
        <w:rPr>
          <w:rFonts w:hint="eastAsia" w:ascii="宋体" w:hAnsi="宋体"/>
          <w:color w:val="auto"/>
          <w:sz w:val="24"/>
          <w:highlight w:val="none"/>
        </w:rPr>
        <w:t>签订合同；</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6、若我方中标，将严格按照</w:t>
      </w:r>
      <w:r>
        <w:rPr>
          <w:rFonts w:hint="eastAsia" w:ascii="宋体" w:hAnsi="宋体"/>
          <w:color w:val="auto"/>
          <w:sz w:val="24"/>
          <w:highlight w:val="none"/>
          <w:lang w:eastAsia="zh-CN"/>
        </w:rPr>
        <w:t>征集文件</w:t>
      </w:r>
      <w:r>
        <w:rPr>
          <w:rFonts w:hint="eastAsia" w:ascii="宋体" w:hAnsi="宋体"/>
          <w:color w:val="auto"/>
          <w:sz w:val="24"/>
          <w:highlight w:val="none"/>
        </w:rPr>
        <w:t>要求及</w:t>
      </w:r>
      <w:r>
        <w:rPr>
          <w:rFonts w:hint="eastAsia" w:ascii="宋体" w:hAnsi="宋体"/>
          <w:color w:val="auto"/>
          <w:sz w:val="24"/>
          <w:highlight w:val="none"/>
          <w:lang w:eastAsia="zh-CN"/>
        </w:rPr>
        <w:t>响应文件</w:t>
      </w:r>
      <w:r>
        <w:rPr>
          <w:rFonts w:hint="eastAsia" w:ascii="宋体" w:hAnsi="宋体"/>
          <w:color w:val="auto"/>
          <w:sz w:val="24"/>
          <w:highlight w:val="none"/>
        </w:rPr>
        <w:t>承诺的报价、质量、工期、供应商案、项目负责人等内容组织实施；</w:t>
      </w:r>
    </w:p>
    <w:p>
      <w:pPr>
        <w:spacing w:line="360" w:lineRule="auto"/>
        <w:ind w:firstLine="480" w:firstLineChars="200"/>
        <w:rPr>
          <w:rFonts w:ascii="宋体" w:hAnsi="宋体"/>
          <w:highlight w:val="none"/>
        </w:rPr>
      </w:pPr>
      <w:r>
        <w:rPr>
          <w:rFonts w:hint="eastAsia" w:ascii="宋体" w:hAnsi="宋体"/>
          <w:color w:val="auto"/>
          <w:sz w:val="24"/>
          <w:highlight w:val="none"/>
        </w:rPr>
        <w:t>我方若违反上述承诺，隐瞒、提供虚假资料或不按</w:t>
      </w:r>
      <w:r>
        <w:rPr>
          <w:rFonts w:hint="eastAsia" w:ascii="宋体" w:hAnsi="宋体"/>
          <w:color w:val="auto"/>
          <w:sz w:val="24"/>
          <w:highlight w:val="none"/>
          <w:lang w:eastAsia="zh-CN"/>
        </w:rPr>
        <w:t>征集文件</w:t>
      </w:r>
      <w:r>
        <w:rPr>
          <w:rFonts w:hint="eastAsia" w:ascii="宋体" w:hAnsi="宋体"/>
          <w:color w:val="auto"/>
          <w:sz w:val="24"/>
          <w:highlight w:val="none"/>
        </w:rPr>
        <w:t>要求组织实施或参与串标、抬标及围标等行为，被贵方发现或被他人举报查实，无条件接受</w:t>
      </w:r>
      <w:r>
        <w:rPr>
          <w:rFonts w:hint="eastAsia" w:ascii="宋体" w:hAnsi="宋体"/>
          <w:color w:val="auto"/>
          <w:sz w:val="24"/>
          <w:highlight w:val="none"/>
          <w:lang w:eastAsia="zh-CN"/>
        </w:rPr>
        <w:t>征集人</w:t>
      </w:r>
      <w:r>
        <w:rPr>
          <w:rFonts w:hint="eastAsia" w:ascii="宋体" w:hAnsi="宋体"/>
          <w:color w:val="auto"/>
          <w:sz w:val="24"/>
          <w:highlight w:val="none"/>
        </w:rPr>
        <w:t>、行政监管部门作出的取消投标资格、中标资格、解除合同、拒绝后续政府采购投标、不良行为记录等的处罚。对造成的损失，任何法律和经济责任完全由我方负责。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ascii="宋体" w:hAnsi="宋体"/>
          <w:highlight w:val="none"/>
        </w:rPr>
      </w:pPr>
      <w:r>
        <w:rPr>
          <w:rFonts w:hint="eastAsia" w:ascii="宋体" w:hAnsi="宋体"/>
          <w:highlight w:val="none"/>
        </w:rPr>
        <w:t>特此承诺。</w:t>
      </w:r>
    </w:p>
    <w:p>
      <w:pPr>
        <w:tabs>
          <w:tab w:val="left" w:pos="1418"/>
        </w:tabs>
        <w:spacing w:line="360" w:lineRule="auto"/>
        <w:rPr>
          <w:rFonts w:ascii="宋体" w:hAnsi="宋体"/>
          <w:bCs/>
          <w:highlight w:val="none"/>
        </w:rPr>
      </w:pPr>
      <w:r>
        <w:rPr>
          <w:rFonts w:hint="eastAsia" w:ascii="宋体" w:hAnsi="宋体"/>
          <w:highlight w:val="none"/>
        </w:rPr>
        <w:t>法定代表人或委托代理人签名：</w:t>
      </w:r>
    </w:p>
    <w:p>
      <w:pPr>
        <w:tabs>
          <w:tab w:val="left" w:pos="1418"/>
        </w:tabs>
        <w:spacing w:line="360" w:lineRule="auto"/>
        <w:rPr>
          <w:rFonts w:ascii="宋体" w:hAnsi="宋体"/>
          <w:bCs/>
          <w:highlight w:val="none"/>
        </w:rPr>
      </w:pPr>
      <w:r>
        <w:rPr>
          <w:rFonts w:hint="eastAsia" w:ascii="宋体" w:hAnsi="宋体"/>
          <w:bCs/>
          <w:highlight w:val="none"/>
        </w:rPr>
        <w:t xml:space="preserve">    投 标 人（盖章）：                              年  月  日</w:t>
      </w:r>
    </w:p>
    <w:p>
      <w:pPr>
        <w:tabs>
          <w:tab w:val="left" w:pos="1418"/>
        </w:tabs>
        <w:spacing w:line="360" w:lineRule="auto"/>
        <w:rPr>
          <w:rFonts w:ascii="宋体" w:hAnsi="宋体"/>
          <w:bCs/>
          <w:highlight w:val="none"/>
        </w:rPr>
      </w:pPr>
    </w:p>
    <w:p>
      <w:pPr>
        <w:tabs>
          <w:tab w:val="left" w:pos="1418"/>
        </w:tabs>
        <w:spacing w:line="360" w:lineRule="auto"/>
        <w:rPr>
          <w:rFonts w:ascii="宋体" w:hAnsi="宋体"/>
          <w:bCs/>
          <w:highlight w:val="none"/>
        </w:rPr>
      </w:pPr>
    </w:p>
    <w:p>
      <w:pPr>
        <w:tabs>
          <w:tab w:val="left" w:pos="1418"/>
        </w:tabs>
        <w:spacing w:line="360" w:lineRule="auto"/>
        <w:rPr>
          <w:rFonts w:ascii="宋体" w:hAnsi="宋体"/>
          <w:bCs/>
          <w:highlight w:val="none"/>
        </w:rPr>
      </w:pPr>
    </w:p>
    <w:p>
      <w:pPr>
        <w:tabs>
          <w:tab w:val="left" w:pos="1418"/>
        </w:tabs>
        <w:spacing w:line="360" w:lineRule="auto"/>
        <w:rPr>
          <w:rFonts w:ascii="宋体" w:hAnsi="宋体"/>
          <w:bCs/>
          <w:highlight w:val="none"/>
        </w:rPr>
      </w:pPr>
    </w:p>
    <w:p>
      <w:pPr>
        <w:tabs>
          <w:tab w:val="left" w:pos="1418"/>
        </w:tabs>
        <w:spacing w:line="360" w:lineRule="auto"/>
        <w:rPr>
          <w:rFonts w:ascii="宋体" w:hAnsi="宋体"/>
          <w:bCs/>
          <w:highlight w:val="none"/>
        </w:rPr>
      </w:pPr>
    </w:p>
    <w:p>
      <w:pPr>
        <w:pStyle w:val="2"/>
        <w:spacing w:line="360" w:lineRule="auto"/>
        <w:ind w:left="480" w:firstLine="464"/>
        <w:rPr>
          <w:rFonts w:hAnsi="宋体" w:cs="宋体"/>
          <w:bCs/>
          <w:sz w:val="24"/>
          <w:highlight w:val="none"/>
        </w:rPr>
      </w:pPr>
    </w:p>
    <w:p>
      <w:pPr>
        <w:pStyle w:val="2"/>
        <w:spacing w:line="360" w:lineRule="auto"/>
        <w:ind w:left="480" w:firstLine="464"/>
        <w:rPr>
          <w:rFonts w:hAnsi="宋体" w:cs="宋体"/>
          <w:bCs/>
          <w:sz w:val="24"/>
          <w:highlight w:val="none"/>
        </w:rPr>
      </w:pPr>
    </w:p>
    <w:p>
      <w:pPr>
        <w:rPr>
          <w:rFonts w:ascii="宋体" w:hAnsi="宋体"/>
          <w:bCs/>
          <w:highlight w:val="none"/>
        </w:rPr>
      </w:pPr>
    </w:p>
    <w:p>
      <w:pPr>
        <w:pStyle w:val="2"/>
        <w:ind w:left="480" w:firstLine="404"/>
        <w:rPr>
          <w:highlight w:val="none"/>
        </w:rPr>
      </w:pPr>
    </w:p>
    <w:p>
      <w:pPr>
        <w:pStyle w:val="2"/>
        <w:spacing w:line="360" w:lineRule="auto"/>
        <w:ind w:left="480" w:firstLine="464"/>
        <w:rPr>
          <w:rFonts w:hAnsi="宋体" w:cs="宋体"/>
          <w:bCs/>
          <w:sz w:val="24"/>
          <w:highlight w:val="none"/>
        </w:rPr>
      </w:pPr>
    </w:p>
    <w:p>
      <w:pPr>
        <w:pStyle w:val="2"/>
        <w:spacing w:line="360" w:lineRule="auto"/>
        <w:ind w:left="0" w:leftChars="0" w:firstLine="0" w:firstLineChars="0"/>
        <w:rPr>
          <w:rFonts w:hAnsi="宋体" w:cs="宋体"/>
          <w:bCs/>
          <w:sz w:val="24"/>
          <w:highlight w:val="none"/>
        </w:rPr>
      </w:pPr>
    </w:p>
    <w:p>
      <w:pPr>
        <w:snapToGrid w:val="0"/>
        <w:spacing w:before="50" w:line="360" w:lineRule="auto"/>
        <w:jc w:val="left"/>
        <w:rPr>
          <w:rFonts w:ascii="宋体" w:hAnsi="宋体"/>
          <w:highlight w:val="none"/>
        </w:rPr>
      </w:pPr>
      <w:r>
        <w:rPr>
          <w:rFonts w:hint="eastAsia" w:ascii="宋体" w:hAnsi="宋体"/>
          <w:bCs/>
          <w:highlight w:val="none"/>
        </w:rPr>
        <w:t>5.</w:t>
      </w:r>
      <w:r>
        <w:rPr>
          <w:rFonts w:hint="eastAsia" w:ascii="宋体" w:hAnsi="宋体"/>
          <w:highlight w:val="none"/>
        </w:rPr>
        <w:t>商务技术响应表格式：</w:t>
      </w:r>
    </w:p>
    <w:p>
      <w:pPr>
        <w:pStyle w:val="12"/>
        <w:spacing w:before="120" w:after="120" w:line="360" w:lineRule="auto"/>
        <w:jc w:val="center"/>
        <w:rPr>
          <w:rFonts w:hAnsi="宋体" w:cs="宋体"/>
          <w:b/>
          <w:highlight w:val="none"/>
        </w:rPr>
      </w:pPr>
      <w:r>
        <w:rPr>
          <w:rFonts w:hint="eastAsia" w:hAnsi="宋体" w:cs="宋体"/>
          <w:b/>
          <w:highlight w:val="none"/>
        </w:rPr>
        <w:t>商务技术响应表</w:t>
      </w:r>
    </w:p>
    <w:p>
      <w:pPr>
        <w:spacing w:line="360" w:lineRule="auto"/>
        <w:ind w:firstLine="240" w:firstLineChars="100"/>
        <w:rPr>
          <w:rFonts w:ascii="宋体" w:hAnsi="宋体"/>
          <w:highlight w:val="none"/>
        </w:rPr>
      </w:pPr>
      <w:r>
        <w:rPr>
          <w:rFonts w:hint="eastAsia" w:ascii="宋体" w:hAnsi="宋体"/>
          <w:highlight w:val="none"/>
        </w:rPr>
        <w:t>单位名称（盖章）：</w:t>
      </w:r>
    </w:p>
    <w:tbl>
      <w:tblPr>
        <w:tblStyle w:val="18"/>
        <w:tblW w:w="8493"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jc w:val="center"/>
              <w:rPr>
                <w:rFonts w:ascii="宋体" w:hAnsi="宋体"/>
                <w:highlight w:val="none"/>
              </w:rPr>
            </w:pPr>
            <w:r>
              <w:rPr>
                <w:rFonts w:hint="eastAsia" w:ascii="宋体" w:hAnsi="宋体"/>
                <w:highlight w:val="none"/>
              </w:rPr>
              <w:t>序号</w:t>
            </w:r>
          </w:p>
        </w:tc>
        <w:tc>
          <w:tcPr>
            <w:tcW w:w="3086" w:type="dxa"/>
            <w:noWrap/>
          </w:tcPr>
          <w:p>
            <w:pPr>
              <w:spacing w:before="240" w:after="240" w:line="360" w:lineRule="auto"/>
              <w:jc w:val="center"/>
              <w:rPr>
                <w:rFonts w:ascii="宋体" w:hAnsi="宋体"/>
                <w:highlight w:val="none"/>
              </w:rPr>
            </w:pPr>
            <w:r>
              <w:rPr>
                <w:rFonts w:hint="eastAsia" w:ascii="宋体" w:hAnsi="宋体"/>
                <w:highlight w:val="none"/>
              </w:rPr>
              <w:t>征集文件的规定</w:t>
            </w:r>
          </w:p>
        </w:tc>
        <w:tc>
          <w:tcPr>
            <w:tcW w:w="3086" w:type="dxa"/>
            <w:noWrap/>
          </w:tcPr>
          <w:p>
            <w:pPr>
              <w:spacing w:before="240" w:after="240" w:line="360" w:lineRule="auto"/>
              <w:jc w:val="center"/>
              <w:rPr>
                <w:rFonts w:ascii="宋体" w:hAnsi="宋体"/>
                <w:highlight w:val="none"/>
              </w:rPr>
            </w:pPr>
            <w:r>
              <w:rPr>
                <w:rFonts w:hint="eastAsia" w:ascii="宋体" w:hAnsi="宋体"/>
                <w:highlight w:val="none"/>
              </w:rPr>
              <w:t>响应文件的响应</w:t>
            </w:r>
          </w:p>
        </w:tc>
        <w:tc>
          <w:tcPr>
            <w:tcW w:w="1411" w:type="dxa"/>
            <w:noWrap/>
          </w:tcPr>
          <w:p>
            <w:pPr>
              <w:spacing w:before="240" w:after="240" w:line="360" w:lineRule="auto"/>
              <w:jc w:val="center"/>
              <w:rPr>
                <w:rFonts w:ascii="宋体" w:hAnsi="宋体"/>
                <w:highlight w:val="none"/>
              </w:rPr>
            </w:pPr>
            <w:r>
              <w:rPr>
                <w:rFonts w:hint="eastAsia" w:ascii="宋体" w:hAnsi="宋体"/>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rPr>
                <w:rFonts w:ascii="宋体" w:hAnsi="宋体"/>
                <w:highlight w:val="none"/>
              </w:rPr>
            </w:pPr>
          </w:p>
        </w:tc>
        <w:tc>
          <w:tcPr>
            <w:tcW w:w="3086" w:type="dxa"/>
            <w:noWrap/>
          </w:tcPr>
          <w:p>
            <w:pPr>
              <w:spacing w:before="240" w:after="240" w:line="360" w:lineRule="auto"/>
              <w:rPr>
                <w:rFonts w:ascii="宋体" w:hAnsi="宋体"/>
                <w:highlight w:val="none"/>
              </w:rPr>
            </w:pPr>
          </w:p>
        </w:tc>
        <w:tc>
          <w:tcPr>
            <w:tcW w:w="3086" w:type="dxa"/>
            <w:noWrap/>
          </w:tcPr>
          <w:p>
            <w:pPr>
              <w:spacing w:before="240" w:after="240" w:line="360" w:lineRule="auto"/>
              <w:rPr>
                <w:rFonts w:ascii="宋体" w:hAnsi="宋体"/>
                <w:highlight w:val="none"/>
              </w:rPr>
            </w:pPr>
          </w:p>
        </w:tc>
        <w:tc>
          <w:tcPr>
            <w:tcW w:w="1411" w:type="dxa"/>
            <w:noWrap/>
          </w:tcPr>
          <w:p>
            <w:pPr>
              <w:spacing w:before="240" w:after="240" w:line="360" w:lineRule="auto"/>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rPr>
                <w:rFonts w:ascii="宋体" w:hAnsi="宋体"/>
                <w:highlight w:val="none"/>
              </w:rPr>
            </w:pPr>
          </w:p>
        </w:tc>
        <w:tc>
          <w:tcPr>
            <w:tcW w:w="3086" w:type="dxa"/>
            <w:noWrap/>
          </w:tcPr>
          <w:p>
            <w:pPr>
              <w:spacing w:before="240" w:after="240" w:line="360" w:lineRule="auto"/>
              <w:rPr>
                <w:rFonts w:ascii="宋体" w:hAnsi="宋体"/>
                <w:highlight w:val="none"/>
              </w:rPr>
            </w:pPr>
          </w:p>
        </w:tc>
        <w:tc>
          <w:tcPr>
            <w:tcW w:w="3086" w:type="dxa"/>
            <w:noWrap/>
          </w:tcPr>
          <w:p>
            <w:pPr>
              <w:spacing w:before="240" w:after="240" w:line="360" w:lineRule="auto"/>
              <w:rPr>
                <w:rFonts w:ascii="宋体" w:hAnsi="宋体"/>
                <w:highlight w:val="none"/>
              </w:rPr>
            </w:pPr>
          </w:p>
        </w:tc>
        <w:tc>
          <w:tcPr>
            <w:tcW w:w="1411" w:type="dxa"/>
            <w:noWrap/>
          </w:tcPr>
          <w:p>
            <w:pPr>
              <w:spacing w:before="240" w:after="240" w:line="360" w:lineRule="auto"/>
              <w:rPr>
                <w:rFonts w:ascii="宋体" w:hAnsi="宋体"/>
                <w:highlight w:val="none"/>
              </w:rPr>
            </w:pPr>
          </w:p>
        </w:tc>
      </w:tr>
    </w:tbl>
    <w:p>
      <w:pPr>
        <w:spacing w:line="360" w:lineRule="auto"/>
        <w:rPr>
          <w:rFonts w:ascii="宋体" w:hAnsi="宋体"/>
          <w:highlight w:val="none"/>
        </w:rPr>
      </w:pPr>
      <w:r>
        <w:rPr>
          <w:rFonts w:hint="eastAsia" w:ascii="宋体" w:hAnsi="宋体"/>
          <w:highlight w:val="none"/>
        </w:rPr>
        <w:t>注：供应商的响应文件与征集文件之规定存在偏离的，应在此表中如实说明。未在上表中说明的，将被认为完全响应征集文件的规定。</w:t>
      </w:r>
    </w:p>
    <w:p>
      <w:pPr>
        <w:spacing w:line="360" w:lineRule="auto"/>
        <w:rPr>
          <w:rFonts w:ascii="宋体" w:hAnsi="宋体"/>
          <w:highlight w:val="none"/>
        </w:rPr>
      </w:pPr>
    </w:p>
    <w:p>
      <w:pPr>
        <w:tabs>
          <w:tab w:val="left" w:pos="1418"/>
        </w:tabs>
        <w:spacing w:line="360" w:lineRule="auto"/>
        <w:rPr>
          <w:rFonts w:ascii="宋体" w:hAnsi="宋体"/>
          <w:bCs/>
          <w:highlight w:val="none"/>
        </w:rPr>
      </w:pPr>
      <w:r>
        <w:rPr>
          <w:rFonts w:hint="eastAsia" w:ascii="宋体" w:hAnsi="宋体"/>
          <w:highlight w:val="none"/>
        </w:rPr>
        <w:t>法定代表人或委托代理人签名：</w:t>
      </w:r>
    </w:p>
    <w:p>
      <w:pPr>
        <w:tabs>
          <w:tab w:val="left" w:pos="1418"/>
        </w:tabs>
        <w:spacing w:line="360" w:lineRule="auto"/>
        <w:rPr>
          <w:rFonts w:ascii="宋体" w:hAnsi="宋体"/>
          <w:bCs/>
          <w:highlight w:val="none"/>
        </w:rPr>
      </w:pPr>
      <w:r>
        <w:rPr>
          <w:rFonts w:hint="eastAsia" w:ascii="宋体" w:hAnsi="宋体"/>
          <w:bCs/>
          <w:highlight w:val="none"/>
        </w:rPr>
        <w:t>投 标 人（盖章）：                              年  月  日</w:t>
      </w:r>
    </w:p>
    <w:p>
      <w:pPr>
        <w:pStyle w:val="2"/>
        <w:spacing w:line="360" w:lineRule="auto"/>
        <w:ind w:left="480" w:firstLine="464"/>
        <w:rPr>
          <w:rFonts w:hAnsi="宋体" w:cs="宋体"/>
          <w:bCs/>
          <w:sz w:val="24"/>
          <w:highlight w:val="none"/>
        </w:rPr>
      </w:pPr>
    </w:p>
    <w:p>
      <w:pPr>
        <w:pStyle w:val="2"/>
        <w:spacing w:line="360" w:lineRule="auto"/>
        <w:ind w:left="480" w:firstLine="464"/>
        <w:rPr>
          <w:rFonts w:hAnsi="宋体" w:cs="宋体"/>
          <w:bCs/>
          <w:sz w:val="24"/>
          <w:highlight w:val="none"/>
        </w:rPr>
      </w:pPr>
    </w:p>
    <w:p>
      <w:pPr>
        <w:pStyle w:val="2"/>
        <w:spacing w:line="360" w:lineRule="auto"/>
        <w:ind w:left="480" w:firstLine="464"/>
        <w:rPr>
          <w:rFonts w:hAnsi="宋体" w:cs="宋体"/>
          <w:bCs/>
          <w:sz w:val="24"/>
          <w:highlight w:val="none"/>
        </w:rPr>
      </w:pPr>
    </w:p>
    <w:p>
      <w:pPr>
        <w:pStyle w:val="2"/>
        <w:spacing w:line="360" w:lineRule="auto"/>
        <w:ind w:left="480" w:firstLine="464"/>
        <w:rPr>
          <w:rFonts w:hAnsi="宋体" w:cs="宋体"/>
          <w:bCs/>
          <w:sz w:val="24"/>
          <w:highlight w:val="none"/>
        </w:rPr>
      </w:pPr>
    </w:p>
    <w:p>
      <w:pPr>
        <w:pStyle w:val="2"/>
        <w:spacing w:line="360" w:lineRule="auto"/>
        <w:ind w:left="480" w:firstLine="464"/>
        <w:rPr>
          <w:rFonts w:hAnsi="宋体" w:cs="宋体"/>
          <w:bCs/>
          <w:sz w:val="24"/>
          <w:highlight w:val="none"/>
        </w:rPr>
      </w:pPr>
    </w:p>
    <w:p>
      <w:pPr>
        <w:pStyle w:val="2"/>
        <w:spacing w:line="360" w:lineRule="auto"/>
        <w:ind w:left="480" w:firstLine="464"/>
        <w:rPr>
          <w:rFonts w:hAnsi="宋体" w:cs="宋体"/>
          <w:bCs/>
          <w:sz w:val="24"/>
          <w:highlight w:val="none"/>
        </w:rPr>
      </w:pPr>
    </w:p>
    <w:p>
      <w:pPr>
        <w:pStyle w:val="2"/>
        <w:spacing w:line="360" w:lineRule="auto"/>
        <w:ind w:left="480" w:firstLine="464"/>
        <w:rPr>
          <w:rFonts w:hAnsi="宋体" w:cs="宋体"/>
          <w:bCs/>
          <w:sz w:val="24"/>
          <w:highlight w:val="none"/>
        </w:rPr>
      </w:pPr>
    </w:p>
    <w:p>
      <w:pPr>
        <w:pStyle w:val="2"/>
        <w:spacing w:line="360" w:lineRule="auto"/>
        <w:ind w:left="480" w:firstLine="464"/>
        <w:rPr>
          <w:rFonts w:hAnsi="宋体" w:cs="宋体"/>
          <w:bCs/>
          <w:sz w:val="24"/>
          <w:highlight w:val="none"/>
        </w:rPr>
      </w:pPr>
    </w:p>
    <w:p>
      <w:pPr>
        <w:pStyle w:val="2"/>
        <w:spacing w:line="360" w:lineRule="auto"/>
        <w:ind w:left="480" w:firstLine="464"/>
        <w:rPr>
          <w:rFonts w:hAnsi="宋体" w:cs="宋体"/>
          <w:bCs/>
          <w:sz w:val="24"/>
          <w:highlight w:val="none"/>
        </w:rPr>
      </w:pPr>
    </w:p>
    <w:p>
      <w:pPr>
        <w:pStyle w:val="2"/>
        <w:spacing w:line="360" w:lineRule="auto"/>
        <w:ind w:left="480" w:firstLine="464"/>
        <w:rPr>
          <w:rFonts w:hAnsi="宋体" w:cs="宋体"/>
          <w:bCs/>
          <w:sz w:val="24"/>
          <w:highlight w:val="none"/>
        </w:rPr>
      </w:pPr>
    </w:p>
    <w:p>
      <w:pPr>
        <w:pStyle w:val="2"/>
        <w:spacing w:line="360" w:lineRule="auto"/>
        <w:ind w:left="480" w:firstLine="464"/>
        <w:rPr>
          <w:rFonts w:hAnsi="宋体" w:cs="宋体"/>
          <w:bCs/>
          <w:sz w:val="24"/>
          <w:highlight w:val="none"/>
        </w:rPr>
      </w:pPr>
    </w:p>
    <w:p>
      <w:pPr>
        <w:pStyle w:val="2"/>
        <w:spacing w:line="360" w:lineRule="auto"/>
        <w:ind w:left="480" w:firstLine="464"/>
        <w:rPr>
          <w:rFonts w:hAnsi="宋体" w:cs="宋体"/>
          <w:bCs/>
          <w:sz w:val="24"/>
          <w:highlight w:val="none"/>
        </w:rPr>
      </w:pPr>
    </w:p>
    <w:p>
      <w:pPr>
        <w:snapToGrid w:val="0"/>
        <w:spacing w:before="50" w:afterLines="50" w:line="360" w:lineRule="auto"/>
        <w:jc w:val="left"/>
        <w:rPr>
          <w:rFonts w:ascii="宋体" w:hAnsi="宋体"/>
          <w:highlight w:val="none"/>
        </w:rPr>
      </w:pPr>
      <w:r>
        <w:rPr>
          <w:rFonts w:hint="eastAsia" w:ascii="宋体" w:hAnsi="宋体"/>
          <w:highlight w:val="none"/>
        </w:rPr>
        <w:t>6.拟派项目团队组成员基本情况表</w:t>
      </w:r>
    </w:p>
    <w:p>
      <w:pPr>
        <w:spacing w:line="360" w:lineRule="auto"/>
        <w:jc w:val="center"/>
        <w:rPr>
          <w:rFonts w:ascii="宋体" w:hAnsi="宋体"/>
          <w:b/>
          <w:snapToGrid w:val="0"/>
          <w:color w:val="000000"/>
          <w:highlight w:val="none"/>
        </w:rPr>
      </w:pPr>
      <w:r>
        <w:rPr>
          <w:rFonts w:hint="eastAsia" w:ascii="宋体" w:hAnsi="宋体"/>
          <w:b/>
          <w:snapToGrid w:val="0"/>
          <w:color w:val="000000"/>
          <w:highlight w:val="none"/>
        </w:rPr>
        <w:t>拟派项目团队组成员基本情况表</w:t>
      </w:r>
    </w:p>
    <w:tbl>
      <w:tblPr>
        <w:tblStyle w:val="18"/>
        <w:tblW w:w="4996" w:type="pct"/>
        <w:tblInd w:w="0" w:type="dxa"/>
        <w:tblLayout w:type="autofit"/>
        <w:tblCellMar>
          <w:top w:w="0" w:type="dxa"/>
          <w:left w:w="108" w:type="dxa"/>
          <w:bottom w:w="0" w:type="dxa"/>
          <w:right w:w="108" w:type="dxa"/>
        </w:tblCellMar>
      </w:tblPr>
      <w:tblGrid>
        <w:gridCol w:w="531"/>
        <w:gridCol w:w="588"/>
        <w:gridCol w:w="532"/>
        <w:gridCol w:w="958"/>
        <w:gridCol w:w="978"/>
        <w:gridCol w:w="900"/>
        <w:gridCol w:w="978"/>
        <w:gridCol w:w="954"/>
        <w:gridCol w:w="1002"/>
        <w:gridCol w:w="876"/>
        <w:gridCol w:w="1651"/>
      </w:tblGrid>
      <w:tr>
        <w:tblPrEx>
          <w:tblCellMar>
            <w:top w:w="0" w:type="dxa"/>
            <w:left w:w="108" w:type="dxa"/>
            <w:bottom w:w="0" w:type="dxa"/>
            <w:right w:w="108" w:type="dxa"/>
          </w:tblCellMar>
        </w:tblPrEx>
        <w:trPr>
          <w:trHeight w:val="465" w:hRule="atLeast"/>
        </w:trPr>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highlight w:val="none"/>
              </w:rPr>
            </w:pPr>
            <w:r>
              <w:rPr>
                <w:rFonts w:hint="eastAsia" w:ascii="宋体" w:hAnsi="宋体"/>
                <w:kern w:val="0"/>
                <w:highlight w:val="none"/>
              </w:rPr>
              <w:t>序号</w:t>
            </w:r>
          </w:p>
        </w:tc>
        <w:tc>
          <w:tcPr>
            <w:tcW w:w="296"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highlight w:val="none"/>
              </w:rPr>
            </w:pPr>
            <w:r>
              <w:rPr>
                <w:rFonts w:hint="eastAsia" w:ascii="宋体" w:hAnsi="宋体"/>
                <w:kern w:val="0"/>
                <w:highlight w:val="none"/>
              </w:rPr>
              <w:t>姓名</w:t>
            </w:r>
          </w:p>
        </w:tc>
        <w:tc>
          <w:tcPr>
            <w:tcW w:w="267" w:type="pct"/>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r>
              <w:rPr>
                <w:rFonts w:hint="eastAsia" w:ascii="宋体" w:hAnsi="宋体"/>
                <w:kern w:val="0"/>
                <w:highlight w:val="none"/>
              </w:rPr>
              <w:t>性别</w:t>
            </w:r>
          </w:p>
        </w:tc>
        <w:tc>
          <w:tcPr>
            <w:tcW w:w="481" w:type="pct"/>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r>
              <w:rPr>
                <w:rFonts w:hint="eastAsia" w:ascii="宋体" w:hAnsi="宋体"/>
                <w:kern w:val="0"/>
                <w:highlight w:val="none"/>
              </w:rPr>
              <w:t>出生年月</w:t>
            </w:r>
          </w:p>
        </w:tc>
        <w:tc>
          <w:tcPr>
            <w:tcW w:w="491" w:type="pct"/>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r>
              <w:rPr>
                <w:rFonts w:hint="eastAsia" w:ascii="宋体" w:hAnsi="宋体"/>
                <w:kern w:val="0"/>
                <w:highlight w:val="none"/>
              </w:rPr>
              <w:t>毕业院校</w:t>
            </w:r>
          </w:p>
        </w:tc>
        <w:tc>
          <w:tcPr>
            <w:tcW w:w="452" w:type="pct"/>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r>
              <w:rPr>
                <w:rFonts w:hint="eastAsia" w:ascii="宋体" w:hAnsi="宋体"/>
                <w:kern w:val="0"/>
                <w:highlight w:val="none"/>
              </w:rPr>
              <w:t>学历</w:t>
            </w:r>
          </w:p>
        </w:tc>
        <w:tc>
          <w:tcPr>
            <w:tcW w:w="491" w:type="pct"/>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r>
              <w:rPr>
                <w:rFonts w:hint="eastAsia" w:ascii="宋体" w:hAnsi="宋体"/>
                <w:kern w:val="0"/>
                <w:highlight w:val="none"/>
              </w:rPr>
              <w:t>技术职称</w:t>
            </w:r>
          </w:p>
        </w:tc>
        <w:tc>
          <w:tcPr>
            <w:tcW w:w="479" w:type="pct"/>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r>
              <w:rPr>
                <w:rFonts w:hint="eastAsia" w:ascii="宋体" w:hAnsi="宋体"/>
                <w:kern w:val="0"/>
                <w:highlight w:val="none"/>
              </w:rPr>
              <w:t>执业资格</w:t>
            </w:r>
          </w:p>
        </w:tc>
        <w:tc>
          <w:tcPr>
            <w:tcW w:w="503" w:type="pct"/>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r>
              <w:rPr>
                <w:rFonts w:hint="eastAsia" w:ascii="宋体" w:hAnsi="宋体"/>
                <w:kern w:val="0"/>
                <w:highlight w:val="none"/>
              </w:rPr>
              <w:t>从事专业</w:t>
            </w:r>
          </w:p>
        </w:tc>
        <w:tc>
          <w:tcPr>
            <w:tcW w:w="440" w:type="pct"/>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r>
              <w:rPr>
                <w:rFonts w:hint="eastAsia" w:ascii="宋体" w:hAnsi="宋体"/>
                <w:kern w:val="0"/>
                <w:highlight w:val="none"/>
              </w:rPr>
              <w:t>从业年限</w:t>
            </w:r>
          </w:p>
        </w:tc>
        <w:tc>
          <w:tcPr>
            <w:tcW w:w="829" w:type="pct"/>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r>
              <w:rPr>
                <w:rFonts w:hint="eastAsia" w:ascii="宋体" w:hAnsi="宋体"/>
                <w:kern w:val="0"/>
                <w:highlight w:val="none"/>
              </w:rPr>
              <w:t>备注、联系电话</w:t>
            </w:r>
          </w:p>
        </w:tc>
      </w:tr>
      <w:tr>
        <w:tblPrEx>
          <w:tblCellMar>
            <w:top w:w="0" w:type="dxa"/>
            <w:left w:w="108" w:type="dxa"/>
            <w:bottom w:w="0" w:type="dxa"/>
            <w:right w:w="108" w:type="dxa"/>
          </w:tblCellMar>
        </w:tblPrEx>
        <w:trPr>
          <w:trHeight w:val="531" w:hRule="atLeast"/>
        </w:trPr>
        <w:tc>
          <w:tcPr>
            <w:tcW w:w="267" w:type="pct"/>
            <w:tcBorders>
              <w:top w:val="nil"/>
              <w:left w:val="single" w:color="auto" w:sz="4" w:space="0"/>
              <w:bottom w:val="single" w:color="auto" w:sz="4" w:space="0"/>
              <w:right w:val="single" w:color="auto" w:sz="4" w:space="0"/>
            </w:tcBorders>
          </w:tcPr>
          <w:p>
            <w:pPr>
              <w:widowControl/>
              <w:spacing w:line="360" w:lineRule="auto"/>
              <w:jc w:val="center"/>
              <w:rPr>
                <w:rFonts w:ascii="宋体" w:hAnsi="宋体"/>
                <w:bCs/>
                <w:kern w:val="0"/>
                <w:highlight w:val="none"/>
              </w:rPr>
            </w:pPr>
            <w:r>
              <w:rPr>
                <w:rFonts w:hint="eastAsia" w:ascii="宋体" w:hAnsi="宋体"/>
                <w:bCs/>
                <w:kern w:val="0"/>
                <w:highlight w:val="none"/>
              </w:rPr>
              <w:t>1</w:t>
            </w:r>
          </w:p>
        </w:tc>
        <w:tc>
          <w:tcPr>
            <w:tcW w:w="296"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b/>
                <w:bCs/>
                <w:kern w:val="0"/>
                <w:highlight w:val="none"/>
              </w:rPr>
            </w:pPr>
          </w:p>
        </w:tc>
        <w:tc>
          <w:tcPr>
            <w:tcW w:w="267"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81"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91"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52"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91"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79"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503"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40"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829"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r>
      <w:tr>
        <w:tblPrEx>
          <w:tblCellMar>
            <w:top w:w="0" w:type="dxa"/>
            <w:left w:w="108" w:type="dxa"/>
            <w:bottom w:w="0" w:type="dxa"/>
            <w:right w:w="108" w:type="dxa"/>
          </w:tblCellMar>
        </w:tblPrEx>
        <w:trPr>
          <w:trHeight w:val="531" w:hRule="atLeast"/>
        </w:trPr>
        <w:tc>
          <w:tcPr>
            <w:tcW w:w="267" w:type="pct"/>
            <w:tcBorders>
              <w:top w:val="nil"/>
              <w:left w:val="single" w:color="auto" w:sz="4" w:space="0"/>
              <w:bottom w:val="single" w:color="auto" w:sz="4" w:space="0"/>
              <w:right w:val="single" w:color="auto" w:sz="4" w:space="0"/>
            </w:tcBorders>
          </w:tcPr>
          <w:p>
            <w:pPr>
              <w:widowControl/>
              <w:spacing w:line="360" w:lineRule="auto"/>
              <w:jc w:val="center"/>
              <w:rPr>
                <w:rFonts w:ascii="宋体" w:hAnsi="宋体"/>
                <w:kern w:val="0"/>
                <w:highlight w:val="none"/>
              </w:rPr>
            </w:pPr>
            <w:r>
              <w:rPr>
                <w:rFonts w:hint="eastAsia" w:ascii="宋体" w:hAnsi="宋体"/>
                <w:kern w:val="0"/>
                <w:highlight w:val="none"/>
              </w:rPr>
              <w:t>2</w:t>
            </w:r>
          </w:p>
        </w:tc>
        <w:tc>
          <w:tcPr>
            <w:tcW w:w="296"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267"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81"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91"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52"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91"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79"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503"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40"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829"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r>
      <w:tr>
        <w:tblPrEx>
          <w:tblCellMar>
            <w:top w:w="0" w:type="dxa"/>
            <w:left w:w="108" w:type="dxa"/>
            <w:bottom w:w="0" w:type="dxa"/>
            <w:right w:w="108" w:type="dxa"/>
          </w:tblCellMar>
        </w:tblPrEx>
        <w:trPr>
          <w:trHeight w:val="531" w:hRule="atLeast"/>
        </w:trPr>
        <w:tc>
          <w:tcPr>
            <w:tcW w:w="267" w:type="pct"/>
            <w:tcBorders>
              <w:top w:val="nil"/>
              <w:left w:val="single" w:color="auto" w:sz="4" w:space="0"/>
              <w:bottom w:val="single" w:color="auto" w:sz="4" w:space="0"/>
              <w:right w:val="single" w:color="auto" w:sz="4" w:space="0"/>
            </w:tcBorders>
          </w:tcPr>
          <w:p>
            <w:pPr>
              <w:widowControl/>
              <w:spacing w:line="360" w:lineRule="auto"/>
              <w:jc w:val="center"/>
              <w:rPr>
                <w:rFonts w:ascii="宋体" w:hAnsi="宋体"/>
                <w:kern w:val="0"/>
                <w:highlight w:val="none"/>
              </w:rPr>
            </w:pPr>
            <w:r>
              <w:rPr>
                <w:rFonts w:hint="eastAsia" w:ascii="宋体" w:hAnsi="宋体"/>
                <w:kern w:val="0"/>
                <w:highlight w:val="none"/>
              </w:rPr>
              <w:t>3</w:t>
            </w:r>
          </w:p>
        </w:tc>
        <w:tc>
          <w:tcPr>
            <w:tcW w:w="296"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267"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81"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91"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52"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91"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79"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503"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40"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829"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r>
      <w:tr>
        <w:tblPrEx>
          <w:tblCellMar>
            <w:top w:w="0" w:type="dxa"/>
            <w:left w:w="108" w:type="dxa"/>
            <w:bottom w:w="0" w:type="dxa"/>
            <w:right w:w="108" w:type="dxa"/>
          </w:tblCellMar>
        </w:tblPrEx>
        <w:trPr>
          <w:trHeight w:val="531" w:hRule="atLeast"/>
        </w:trPr>
        <w:tc>
          <w:tcPr>
            <w:tcW w:w="267" w:type="pct"/>
            <w:tcBorders>
              <w:top w:val="nil"/>
              <w:left w:val="single" w:color="auto" w:sz="4" w:space="0"/>
              <w:bottom w:val="single" w:color="auto" w:sz="4" w:space="0"/>
              <w:right w:val="single" w:color="auto" w:sz="4" w:space="0"/>
            </w:tcBorders>
          </w:tcPr>
          <w:p>
            <w:pPr>
              <w:widowControl/>
              <w:spacing w:line="360" w:lineRule="auto"/>
              <w:jc w:val="center"/>
              <w:rPr>
                <w:rFonts w:ascii="宋体" w:hAnsi="宋体"/>
                <w:kern w:val="0"/>
                <w:highlight w:val="none"/>
              </w:rPr>
            </w:pPr>
            <w:r>
              <w:rPr>
                <w:rFonts w:hint="eastAsia" w:ascii="宋体" w:hAnsi="宋体"/>
                <w:kern w:val="0"/>
                <w:highlight w:val="none"/>
              </w:rPr>
              <w:t>4</w:t>
            </w:r>
          </w:p>
        </w:tc>
        <w:tc>
          <w:tcPr>
            <w:tcW w:w="296"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267"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81"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91"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52"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91"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79"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503"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40"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829"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r>
      <w:tr>
        <w:tblPrEx>
          <w:tblCellMar>
            <w:top w:w="0" w:type="dxa"/>
            <w:left w:w="108" w:type="dxa"/>
            <w:bottom w:w="0" w:type="dxa"/>
            <w:right w:w="108" w:type="dxa"/>
          </w:tblCellMar>
        </w:tblPrEx>
        <w:trPr>
          <w:trHeight w:val="531" w:hRule="atLeast"/>
        </w:trPr>
        <w:tc>
          <w:tcPr>
            <w:tcW w:w="267" w:type="pct"/>
            <w:tcBorders>
              <w:top w:val="nil"/>
              <w:left w:val="single" w:color="auto" w:sz="4" w:space="0"/>
              <w:bottom w:val="single" w:color="auto" w:sz="4" w:space="0"/>
              <w:right w:val="single" w:color="auto" w:sz="4" w:space="0"/>
            </w:tcBorders>
          </w:tcPr>
          <w:p>
            <w:pPr>
              <w:widowControl/>
              <w:spacing w:line="360" w:lineRule="auto"/>
              <w:jc w:val="center"/>
              <w:rPr>
                <w:rFonts w:ascii="宋体" w:hAnsi="宋体"/>
                <w:bCs/>
                <w:kern w:val="0"/>
                <w:highlight w:val="none"/>
              </w:rPr>
            </w:pPr>
            <w:r>
              <w:rPr>
                <w:rFonts w:hint="eastAsia" w:ascii="宋体" w:hAnsi="宋体"/>
                <w:bCs/>
                <w:kern w:val="0"/>
                <w:highlight w:val="none"/>
              </w:rPr>
              <w:t>5</w:t>
            </w:r>
          </w:p>
        </w:tc>
        <w:tc>
          <w:tcPr>
            <w:tcW w:w="296"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b/>
                <w:bCs/>
                <w:kern w:val="0"/>
                <w:highlight w:val="none"/>
              </w:rPr>
            </w:pPr>
          </w:p>
        </w:tc>
        <w:tc>
          <w:tcPr>
            <w:tcW w:w="267"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81"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91"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52"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91"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79"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503"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40"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829"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r>
      <w:tr>
        <w:tblPrEx>
          <w:tblCellMar>
            <w:top w:w="0" w:type="dxa"/>
            <w:left w:w="108" w:type="dxa"/>
            <w:bottom w:w="0" w:type="dxa"/>
            <w:right w:w="108" w:type="dxa"/>
          </w:tblCellMar>
        </w:tblPrEx>
        <w:trPr>
          <w:trHeight w:val="531" w:hRule="atLeast"/>
        </w:trPr>
        <w:tc>
          <w:tcPr>
            <w:tcW w:w="267" w:type="pct"/>
            <w:tcBorders>
              <w:top w:val="nil"/>
              <w:left w:val="single" w:color="auto" w:sz="4" w:space="0"/>
              <w:bottom w:val="single" w:color="auto" w:sz="4" w:space="0"/>
              <w:right w:val="single" w:color="auto" w:sz="4" w:space="0"/>
            </w:tcBorders>
          </w:tcPr>
          <w:p>
            <w:pPr>
              <w:widowControl/>
              <w:spacing w:line="360" w:lineRule="auto"/>
              <w:jc w:val="center"/>
              <w:rPr>
                <w:rFonts w:ascii="宋体" w:hAnsi="宋体"/>
                <w:kern w:val="0"/>
                <w:highlight w:val="none"/>
              </w:rPr>
            </w:pPr>
            <w:r>
              <w:rPr>
                <w:rFonts w:hint="eastAsia" w:ascii="宋体" w:hAnsi="宋体"/>
                <w:kern w:val="0"/>
                <w:highlight w:val="none"/>
              </w:rPr>
              <w:t>6</w:t>
            </w:r>
          </w:p>
        </w:tc>
        <w:tc>
          <w:tcPr>
            <w:tcW w:w="296"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267"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81"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91"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52"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91"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79"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503"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40"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829"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r>
      <w:tr>
        <w:tblPrEx>
          <w:tblCellMar>
            <w:top w:w="0" w:type="dxa"/>
            <w:left w:w="108" w:type="dxa"/>
            <w:bottom w:w="0" w:type="dxa"/>
            <w:right w:w="108" w:type="dxa"/>
          </w:tblCellMar>
        </w:tblPrEx>
        <w:trPr>
          <w:trHeight w:val="531" w:hRule="atLeast"/>
        </w:trPr>
        <w:tc>
          <w:tcPr>
            <w:tcW w:w="267" w:type="pct"/>
            <w:tcBorders>
              <w:top w:val="nil"/>
              <w:left w:val="single" w:color="auto" w:sz="4" w:space="0"/>
              <w:bottom w:val="single" w:color="auto" w:sz="4" w:space="0"/>
              <w:right w:val="single" w:color="auto" w:sz="4" w:space="0"/>
            </w:tcBorders>
          </w:tcPr>
          <w:p>
            <w:pPr>
              <w:widowControl/>
              <w:spacing w:line="360" w:lineRule="auto"/>
              <w:jc w:val="center"/>
              <w:rPr>
                <w:rFonts w:ascii="宋体" w:hAnsi="宋体"/>
                <w:kern w:val="0"/>
                <w:highlight w:val="none"/>
              </w:rPr>
            </w:pPr>
            <w:r>
              <w:rPr>
                <w:rFonts w:hint="eastAsia" w:ascii="宋体" w:hAnsi="宋体"/>
                <w:kern w:val="0"/>
                <w:highlight w:val="none"/>
              </w:rPr>
              <w:t>7</w:t>
            </w:r>
          </w:p>
        </w:tc>
        <w:tc>
          <w:tcPr>
            <w:tcW w:w="296"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267"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81"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91"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52"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91"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79"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503"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40"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829"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r>
      <w:tr>
        <w:tblPrEx>
          <w:tblCellMar>
            <w:top w:w="0" w:type="dxa"/>
            <w:left w:w="108" w:type="dxa"/>
            <w:bottom w:w="0" w:type="dxa"/>
            <w:right w:w="108" w:type="dxa"/>
          </w:tblCellMar>
        </w:tblPrEx>
        <w:trPr>
          <w:trHeight w:val="531" w:hRule="atLeast"/>
        </w:trPr>
        <w:tc>
          <w:tcPr>
            <w:tcW w:w="267" w:type="pct"/>
            <w:tcBorders>
              <w:top w:val="nil"/>
              <w:left w:val="single" w:color="auto" w:sz="4" w:space="0"/>
              <w:bottom w:val="single" w:color="auto" w:sz="4" w:space="0"/>
              <w:right w:val="single" w:color="auto" w:sz="4" w:space="0"/>
            </w:tcBorders>
          </w:tcPr>
          <w:p>
            <w:pPr>
              <w:widowControl/>
              <w:spacing w:line="360" w:lineRule="auto"/>
              <w:jc w:val="center"/>
              <w:rPr>
                <w:rFonts w:ascii="宋体" w:hAnsi="宋体"/>
                <w:kern w:val="0"/>
                <w:highlight w:val="none"/>
              </w:rPr>
            </w:pPr>
            <w:r>
              <w:rPr>
                <w:rFonts w:hint="eastAsia" w:ascii="宋体" w:hAnsi="宋体"/>
                <w:kern w:val="0"/>
                <w:highlight w:val="none"/>
              </w:rPr>
              <w:t>8</w:t>
            </w:r>
          </w:p>
        </w:tc>
        <w:tc>
          <w:tcPr>
            <w:tcW w:w="296"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267"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81"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91"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52"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91"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79"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503"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40"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829"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r>
      <w:tr>
        <w:tblPrEx>
          <w:tblCellMar>
            <w:top w:w="0" w:type="dxa"/>
            <w:left w:w="108" w:type="dxa"/>
            <w:bottom w:w="0" w:type="dxa"/>
            <w:right w:w="108" w:type="dxa"/>
          </w:tblCellMar>
        </w:tblPrEx>
        <w:trPr>
          <w:trHeight w:val="531" w:hRule="atLeast"/>
        </w:trPr>
        <w:tc>
          <w:tcPr>
            <w:tcW w:w="267" w:type="pct"/>
            <w:tcBorders>
              <w:top w:val="nil"/>
              <w:left w:val="single" w:color="auto" w:sz="4" w:space="0"/>
              <w:bottom w:val="single" w:color="auto" w:sz="4" w:space="0"/>
              <w:right w:val="single" w:color="auto" w:sz="4" w:space="0"/>
            </w:tcBorders>
          </w:tcPr>
          <w:p>
            <w:pPr>
              <w:widowControl/>
              <w:spacing w:line="360" w:lineRule="auto"/>
              <w:jc w:val="center"/>
              <w:rPr>
                <w:rFonts w:ascii="宋体" w:hAnsi="宋体"/>
                <w:kern w:val="0"/>
                <w:highlight w:val="none"/>
              </w:rPr>
            </w:pPr>
            <w:r>
              <w:rPr>
                <w:rFonts w:hint="eastAsia" w:ascii="宋体" w:hAnsi="宋体"/>
                <w:kern w:val="0"/>
                <w:highlight w:val="none"/>
              </w:rPr>
              <w:t>9</w:t>
            </w:r>
          </w:p>
        </w:tc>
        <w:tc>
          <w:tcPr>
            <w:tcW w:w="296"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267"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81"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91"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52"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91"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79"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503"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440"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c>
          <w:tcPr>
            <w:tcW w:w="829" w:type="pct"/>
            <w:tcBorders>
              <w:top w:val="nil"/>
              <w:left w:val="nil"/>
              <w:bottom w:val="single" w:color="auto" w:sz="4" w:space="0"/>
              <w:right w:val="single" w:color="auto" w:sz="4" w:space="0"/>
            </w:tcBorders>
            <w:vAlign w:val="center"/>
          </w:tcPr>
          <w:p>
            <w:pPr>
              <w:widowControl/>
              <w:spacing w:line="360" w:lineRule="auto"/>
              <w:jc w:val="center"/>
              <w:rPr>
                <w:rFonts w:ascii="宋体" w:hAnsi="宋体"/>
                <w:kern w:val="0"/>
                <w:highlight w:val="none"/>
              </w:rPr>
            </w:pPr>
          </w:p>
        </w:tc>
      </w:tr>
    </w:tbl>
    <w:p>
      <w:pPr>
        <w:spacing w:line="360" w:lineRule="auto"/>
        <w:rPr>
          <w:rFonts w:ascii="宋体" w:hAnsi="宋体"/>
          <w:highlight w:val="none"/>
        </w:rPr>
      </w:pPr>
      <w:r>
        <w:rPr>
          <w:rFonts w:hint="eastAsia" w:ascii="宋体" w:hAnsi="宋体"/>
          <w:highlight w:val="none"/>
        </w:rPr>
        <w:t>注：1.为完成本项目组建的工作小组名单，请供应商按以上表格分别填写，表格不够自行添加。</w:t>
      </w:r>
    </w:p>
    <w:p>
      <w:pPr>
        <w:spacing w:line="360" w:lineRule="auto"/>
        <w:rPr>
          <w:rFonts w:hint="eastAsia" w:ascii="宋体" w:hAnsi="宋体" w:eastAsia="宋体"/>
          <w:b/>
          <w:bCs/>
          <w:strike/>
          <w:kern w:val="0"/>
          <w:highlight w:val="none"/>
          <w:lang w:eastAsia="zh-CN"/>
        </w:rPr>
      </w:pPr>
      <w:r>
        <w:rPr>
          <w:rFonts w:hint="eastAsia" w:ascii="宋体" w:hAnsi="宋体"/>
          <w:highlight w:val="none"/>
        </w:rPr>
        <w:t>2.项目团队要求：</w:t>
      </w:r>
      <w:r>
        <w:rPr>
          <w:rFonts w:hint="eastAsia" w:ascii="宋体" w:hAnsi="宋体"/>
          <w:color w:val="000000"/>
          <w:highlight w:val="none"/>
        </w:rPr>
        <w:t>项目小组人员</w:t>
      </w:r>
      <w:r>
        <w:rPr>
          <w:rFonts w:hint="eastAsia" w:ascii="宋体" w:hAnsi="宋体"/>
          <w:highlight w:val="none"/>
        </w:rPr>
        <w:t>须包含本单位至少1名高级职称人员或1名注册会计师、资产评估师、税务师等同等资格人员</w:t>
      </w:r>
      <w:r>
        <w:rPr>
          <w:rFonts w:hint="eastAsia" w:ascii="宋体" w:hAnsi="宋体"/>
          <w:highlight w:val="none"/>
          <w:lang w:eastAsia="zh-CN"/>
        </w:rPr>
        <w:t>。</w:t>
      </w:r>
    </w:p>
    <w:p>
      <w:pPr>
        <w:pStyle w:val="3"/>
        <w:spacing w:line="360" w:lineRule="auto"/>
        <w:ind w:firstLine="240" w:firstLineChars="100"/>
        <w:rPr>
          <w:rFonts w:hAnsi="宋体" w:cs="宋体"/>
          <w:spacing w:val="0"/>
          <w:kern w:val="2"/>
          <w:sz w:val="24"/>
          <w:szCs w:val="24"/>
          <w:highlight w:val="none"/>
        </w:rPr>
      </w:pPr>
      <w:r>
        <w:rPr>
          <w:rFonts w:hint="eastAsia" w:hAnsi="宋体" w:cs="宋体"/>
          <w:spacing w:val="0"/>
          <w:kern w:val="2"/>
          <w:sz w:val="24"/>
          <w:szCs w:val="24"/>
          <w:highlight w:val="none"/>
        </w:rPr>
        <w:t>随表须提供：①相应资质、职称职级等证明材料②响应时提交</w:t>
      </w:r>
      <w:r>
        <w:rPr>
          <w:rFonts w:hint="eastAsia" w:hAnsi="宋体" w:cs="宋体"/>
          <w:spacing w:val="0"/>
          <w:kern w:val="2"/>
          <w:sz w:val="24"/>
          <w:szCs w:val="24"/>
          <w:highlight w:val="none"/>
          <w:lang w:eastAsia="zh-CN"/>
        </w:rPr>
        <w:t>响应截止前最近三个月供应商为该项目拟派团队组成员缴纳的社保证明材料</w:t>
      </w:r>
      <w:r>
        <w:rPr>
          <w:rFonts w:hint="eastAsia" w:hAnsi="宋体" w:cs="宋体"/>
          <w:spacing w:val="0"/>
          <w:kern w:val="2"/>
          <w:sz w:val="24"/>
          <w:szCs w:val="24"/>
          <w:highlight w:val="none"/>
        </w:rPr>
        <w:t>（退休人员提供劳务合同）。③从事预算绩效评价咨询服务工作经验按照相关人员参与实施预算绩效评价咨询服务工作起算，响应文件内同时提供项目合同和绩效评价报告复印件，时间以合同签订之日起计算（提供绩效评价报告封面以及体现全部评价人员栏信息所在页，能够清晰证明即可；非行政事业单位委托的不予认可）。</w:t>
      </w:r>
    </w:p>
    <w:p>
      <w:pPr>
        <w:spacing w:line="360" w:lineRule="auto"/>
        <w:rPr>
          <w:rFonts w:ascii="宋体" w:hAnsi="宋体"/>
          <w:highlight w:val="none"/>
        </w:rPr>
      </w:pPr>
      <w:r>
        <w:rPr>
          <w:rFonts w:hint="eastAsia" w:ascii="宋体" w:hAnsi="宋体"/>
          <w:highlight w:val="none"/>
        </w:rPr>
        <w:t>３.具体项目实施人员从上述名单中选取并提交给采购人。</w:t>
      </w:r>
    </w:p>
    <w:p>
      <w:pPr>
        <w:tabs>
          <w:tab w:val="left" w:pos="1418"/>
        </w:tabs>
        <w:spacing w:line="360" w:lineRule="auto"/>
        <w:rPr>
          <w:rFonts w:ascii="宋体" w:hAnsi="宋体"/>
          <w:highlight w:val="none"/>
        </w:rPr>
      </w:pPr>
    </w:p>
    <w:p>
      <w:pPr>
        <w:tabs>
          <w:tab w:val="left" w:pos="1418"/>
        </w:tabs>
        <w:spacing w:line="360" w:lineRule="auto"/>
        <w:rPr>
          <w:rFonts w:ascii="宋体" w:hAnsi="宋体"/>
          <w:bCs/>
          <w:highlight w:val="none"/>
        </w:rPr>
      </w:pPr>
      <w:r>
        <w:rPr>
          <w:rFonts w:hint="eastAsia" w:ascii="宋体" w:hAnsi="宋体"/>
          <w:highlight w:val="none"/>
        </w:rPr>
        <w:t>法定代表人或委托代理人签名：</w:t>
      </w:r>
    </w:p>
    <w:p>
      <w:pPr>
        <w:tabs>
          <w:tab w:val="left" w:pos="1418"/>
        </w:tabs>
        <w:spacing w:line="360" w:lineRule="auto"/>
        <w:rPr>
          <w:rFonts w:ascii="宋体" w:hAnsi="宋体"/>
          <w:bCs/>
          <w:highlight w:val="none"/>
        </w:rPr>
      </w:pPr>
      <w:r>
        <w:rPr>
          <w:rFonts w:hint="eastAsia" w:ascii="宋体" w:hAnsi="宋体"/>
          <w:bCs/>
          <w:highlight w:val="none"/>
        </w:rPr>
        <w:t>投 标 人（盖章）：                              年  月  日</w:t>
      </w:r>
    </w:p>
    <w:p>
      <w:pPr>
        <w:tabs>
          <w:tab w:val="left" w:pos="1418"/>
        </w:tabs>
        <w:spacing w:line="360" w:lineRule="auto"/>
        <w:rPr>
          <w:rFonts w:ascii="宋体" w:hAnsi="宋体"/>
          <w:bCs/>
          <w:highlight w:val="none"/>
        </w:rPr>
      </w:pPr>
    </w:p>
    <w:p>
      <w:pPr>
        <w:pStyle w:val="2"/>
        <w:ind w:left="480" w:firstLine="464"/>
        <w:rPr>
          <w:rFonts w:hAnsi="宋体" w:cs="宋体"/>
          <w:bCs/>
          <w:sz w:val="24"/>
          <w:highlight w:val="none"/>
        </w:rPr>
      </w:pPr>
    </w:p>
    <w:p>
      <w:pPr>
        <w:pStyle w:val="2"/>
        <w:ind w:left="480" w:firstLine="464"/>
        <w:rPr>
          <w:rFonts w:hAnsi="宋体" w:cs="宋体"/>
          <w:bCs/>
          <w:sz w:val="24"/>
          <w:highlight w:val="none"/>
        </w:rPr>
      </w:pPr>
    </w:p>
    <w:p>
      <w:pPr>
        <w:snapToGrid w:val="0"/>
        <w:spacing w:before="50" w:afterLines="50" w:line="360" w:lineRule="auto"/>
        <w:jc w:val="left"/>
        <w:rPr>
          <w:rFonts w:ascii="宋体" w:hAnsi="宋体"/>
          <w:highlight w:val="none"/>
        </w:rPr>
      </w:pPr>
      <w:r>
        <w:rPr>
          <w:rFonts w:hint="eastAsia" w:ascii="宋体" w:hAnsi="宋体"/>
          <w:highlight w:val="none"/>
        </w:rPr>
        <w:t>7.项目团队组成员工作经验一览表</w:t>
      </w:r>
    </w:p>
    <w:p>
      <w:pPr>
        <w:spacing w:line="360" w:lineRule="auto"/>
        <w:jc w:val="center"/>
        <w:rPr>
          <w:rFonts w:ascii="宋体" w:hAnsi="宋体"/>
          <w:b/>
          <w:snapToGrid w:val="0"/>
          <w:color w:val="000000"/>
          <w:highlight w:val="none"/>
        </w:rPr>
      </w:pPr>
      <w:r>
        <w:rPr>
          <w:rFonts w:hint="eastAsia" w:ascii="宋体" w:hAnsi="宋体"/>
          <w:b/>
          <w:snapToGrid w:val="0"/>
          <w:color w:val="000000"/>
          <w:highlight w:val="none"/>
        </w:rPr>
        <w:t>项目团队组成员工作经验一览表</w:t>
      </w:r>
    </w:p>
    <w:tbl>
      <w:tblPr>
        <w:tblStyle w:val="1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4"/>
        <w:gridCol w:w="794"/>
        <w:gridCol w:w="1770"/>
        <w:gridCol w:w="1485"/>
        <w:gridCol w:w="1276"/>
        <w:gridCol w:w="1095"/>
        <w:gridCol w:w="1201"/>
        <w:gridCol w:w="15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2" w:hRule="atLeast"/>
          <w:jc w:val="center"/>
        </w:trPr>
        <w:tc>
          <w:tcPr>
            <w:tcW w:w="394"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highlight w:val="none"/>
              </w:rPr>
            </w:pPr>
            <w:r>
              <w:rPr>
                <w:rFonts w:hint="eastAsia" w:ascii="宋体" w:hAnsi="宋体"/>
                <w:highlight w:val="none"/>
              </w:rPr>
              <w:t>序号</w:t>
            </w:r>
          </w:p>
        </w:tc>
        <w:tc>
          <w:tcPr>
            <w:tcW w:w="399"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highlight w:val="none"/>
              </w:rPr>
            </w:pPr>
            <w:r>
              <w:rPr>
                <w:rFonts w:hint="eastAsia" w:ascii="宋体" w:hAnsi="宋体"/>
                <w:highlight w:val="none"/>
              </w:rPr>
              <w:t>姓名</w:t>
            </w:r>
          </w:p>
        </w:tc>
        <w:tc>
          <w:tcPr>
            <w:tcW w:w="888"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highlight w:val="none"/>
              </w:rPr>
            </w:pPr>
            <w:r>
              <w:rPr>
                <w:rFonts w:hint="eastAsia" w:ascii="宋体" w:hAnsi="宋体"/>
                <w:highlight w:val="none"/>
              </w:rPr>
              <w:t>项目名称</w:t>
            </w:r>
          </w:p>
        </w:tc>
        <w:tc>
          <w:tcPr>
            <w:tcW w:w="745"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highlight w:val="none"/>
              </w:rPr>
            </w:pPr>
            <w:r>
              <w:rPr>
                <w:rFonts w:hint="eastAsia" w:ascii="宋体" w:hAnsi="宋体"/>
                <w:highlight w:val="none"/>
              </w:rPr>
              <w:t>委托部门</w:t>
            </w:r>
          </w:p>
        </w:tc>
        <w:tc>
          <w:tcPr>
            <w:tcW w:w="640" w:type="pct"/>
            <w:tcBorders>
              <w:top w:val="single" w:color="auto" w:sz="4" w:space="0"/>
              <w:left w:val="single" w:color="auto" w:sz="4" w:space="0"/>
              <w:right w:val="single" w:color="auto" w:sz="4" w:space="0"/>
            </w:tcBorders>
            <w:noWrap/>
            <w:vAlign w:val="center"/>
          </w:tcPr>
          <w:p>
            <w:pPr>
              <w:snapToGrid w:val="0"/>
              <w:spacing w:line="360" w:lineRule="auto"/>
              <w:jc w:val="center"/>
              <w:rPr>
                <w:rFonts w:ascii="宋体" w:hAnsi="宋体"/>
                <w:highlight w:val="none"/>
              </w:rPr>
            </w:pPr>
            <w:r>
              <w:rPr>
                <w:rFonts w:hint="eastAsia" w:ascii="宋体" w:hAnsi="宋体"/>
                <w:highlight w:val="none"/>
              </w:rPr>
              <w:t>合同签订时间</w:t>
            </w:r>
          </w:p>
        </w:tc>
        <w:tc>
          <w:tcPr>
            <w:tcW w:w="549"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highlight w:val="none"/>
              </w:rPr>
            </w:pPr>
            <w:r>
              <w:rPr>
                <w:rFonts w:hint="eastAsia" w:ascii="宋体" w:hAnsi="宋体"/>
                <w:highlight w:val="none"/>
              </w:rPr>
              <w:t>项目业绩中身份</w:t>
            </w:r>
          </w:p>
        </w:tc>
        <w:tc>
          <w:tcPr>
            <w:tcW w:w="602"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highlight w:val="none"/>
              </w:rPr>
            </w:pPr>
            <w:r>
              <w:rPr>
                <w:rFonts w:hint="eastAsia" w:ascii="宋体" w:hAnsi="宋体"/>
                <w:highlight w:val="none"/>
              </w:rPr>
              <w:t>预算绩效评价服务类别</w:t>
            </w:r>
          </w:p>
        </w:tc>
        <w:tc>
          <w:tcPr>
            <w:tcW w:w="778"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highlight w:val="none"/>
              </w:rPr>
            </w:pPr>
            <w:r>
              <w:rPr>
                <w:rFonts w:hint="eastAsia" w:ascii="宋体" w:hAnsi="宋体"/>
                <w:highlight w:val="none"/>
              </w:rPr>
              <w:t>行政级次（中央、省级、地市级、区县级）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394"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highlight w:val="none"/>
              </w:rPr>
            </w:pPr>
          </w:p>
        </w:tc>
        <w:tc>
          <w:tcPr>
            <w:tcW w:w="399"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highlight w:val="none"/>
              </w:rPr>
            </w:pPr>
          </w:p>
        </w:tc>
        <w:tc>
          <w:tcPr>
            <w:tcW w:w="888"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highlight w:val="none"/>
              </w:rPr>
            </w:pPr>
          </w:p>
        </w:tc>
        <w:tc>
          <w:tcPr>
            <w:tcW w:w="745"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highlight w:val="none"/>
              </w:rPr>
            </w:pPr>
          </w:p>
        </w:tc>
        <w:tc>
          <w:tcPr>
            <w:tcW w:w="64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highlight w:val="none"/>
              </w:rPr>
            </w:pPr>
          </w:p>
        </w:tc>
        <w:tc>
          <w:tcPr>
            <w:tcW w:w="549"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highlight w:val="none"/>
              </w:rPr>
            </w:pPr>
          </w:p>
        </w:tc>
        <w:tc>
          <w:tcPr>
            <w:tcW w:w="602"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highlight w:val="none"/>
              </w:rPr>
            </w:pPr>
          </w:p>
        </w:tc>
        <w:tc>
          <w:tcPr>
            <w:tcW w:w="778"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94"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Lines="50" w:line="360" w:lineRule="auto"/>
              <w:jc w:val="left"/>
              <w:rPr>
                <w:rFonts w:ascii="宋体" w:hAnsi="宋体"/>
                <w:color w:val="000000"/>
                <w:highlight w:val="none"/>
              </w:rPr>
            </w:pPr>
          </w:p>
        </w:tc>
        <w:tc>
          <w:tcPr>
            <w:tcW w:w="399"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Lines="50" w:line="360" w:lineRule="auto"/>
              <w:jc w:val="left"/>
              <w:rPr>
                <w:rFonts w:ascii="宋体" w:hAnsi="宋体"/>
                <w:color w:val="000000"/>
                <w:highlight w:val="none"/>
              </w:rPr>
            </w:pPr>
          </w:p>
        </w:tc>
        <w:tc>
          <w:tcPr>
            <w:tcW w:w="88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Lines="50" w:line="360" w:lineRule="auto"/>
              <w:jc w:val="left"/>
              <w:rPr>
                <w:rFonts w:ascii="宋体" w:hAnsi="宋体"/>
                <w:color w:val="000000"/>
                <w:highlight w:val="none"/>
              </w:rPr>
            </w:pPr>
          </w:p>
        </w:tc>
        <w:tc>
          <w:tcPr>
            <w:tcW w:w="74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Lines="50" w:line="360" w:lineRule="auto"/>
              <w:jc w:val="left"/>
              <w:rPr>
                <w:rFonts w:ascii="宋体" w:hAnsi="宋体"/>
                <w:color w:val="000000"/>
                <w:highlight w:val="none"/>
              </w:rPr>
            </w:pPr>
          </w:p>
        </w:tc>
        <w:tc>
          <w:tcPr>
            <w:tcW w:w="640"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Lines="50" w:line="360" w:lineRule="auto"/>
              <w:jc w:val="left"/>
              <w:rPr>
                <w:rFonts w:ascii="宋体" w:hAnsi="宋体"/>
                <w:color w:val="000000"/>
                <w:highlight w:val="none"/>
              </w:rPr>
            </w:pPr>
          </w:p>
        </w:tc>
        <w:tc>
          <w:tcPr>
            <w:tcW w:w="549"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Lines="50" w:line="360" w:lineRule="auto"/>
              <w:jc w:val="left"/>
              <w:rPr>
                <w:rFonts w:ascii="宋体" w:hAnsi="宋体"/>
                <w:color w:val="000000"/>
                <w:highlight w:val="none"/>
              </w:rPr>
            </w:pPr>
          </w:p>
        </w:tc>
        <w:tc>
          <w:tcPr>
            <w:tcW w:w="602"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Lines="50" w:line="360" w:lineRule="auto"/>
              <w:jc w:val="left"/>
              <w:rPr>
                <w:rFonts w:ascii="宋体" w:hAnsi="宋体"/>
                <w:color w:val="000000"/>
                <w:highlight w:val="none"/>
              </w:rPr>
            </w:pPr>
          </w:p>
        </w:tc>
        <w:tc>
          <w:tcPr>
            <w:tcW w:w="77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Lines="50" w:line="360" w:lineRule="auto"/>
              <w:jc w:val="left"/>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394"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Lines="50" w:line="360" w:lineRule="auto"/>
              <w:jc w:val="left"/>
              <w:rPr>
                <w:rFonts w:ascii="宋体" w:hAnsi="宋体"/>
                <w:color w:val="000000"/>
                <w:highlight w:val="none"/>
              </w:rPr>
            </w:pPr>
          </w:p>
        </w:tc>
        <w:tc>
          <w:tcPr>
            <w:tcW w:w="399"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Lines="50" w:line="360" w:lineRule="auto"/>
              <w:jc w:val="left"/>
              <w:rPr>
                <w:rFonts w:ascii="宋体" w:hAnsi="宋体"/>
                <w:color w:val="000000"/>
                <w:highlight w:val="none"/>
              </w:rPr>
            </w:pPr>
          </w:p>
        </w:tc>
        <w:tc>
          <w:tcPr>
            <w:tcW w:w="88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Lines="50" w:line="360" w:lineRule="auto"/>
              <w:jc w:val="left"/>
              <w:rPr>
                <w:rFonts w:ascii="宋体" w:hAnsi="宋体"/>
                <w:color w:val="000000"/>
                <w:highlight w:val="none"/>
              </w:rPr>
            </w:pPr>
          </w:p>
        </w:tc>
        <w:tc>
          <w:tcPr>
            <w:tcW w:w="74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Lines="50" w:line="360" w:lineRule="auto"/>
              <w:jc w:val="left"/>
              <w:rPr>
                <w:rFonts w:ascii="宋体" w:hAnsi="宋体"/>
                <w:color w:val="000000"/>
                <w:highlight w:val="none"/>
              </w:rPr>
            </w:pPr>
          </w:p>
        </w:tc>
        <w:tc>
          <w:tcPr>
            <w:tcW w:w="640"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Lines="50" w:line="360" w:lineRule="auto"/>
              <w:jc w:val="left"/>
              <w:rPr>
                <w:rFonts w:ascii="宋体" w:hAnsi="宋体"/>
                <w:color w:val="000000"/>
                <w:highlight w:val="none"/>
              </w:rPr>
            </w:pPr>
          </w:p>
        </w:tc>
        <w:tc>
          <w:tcPr>
            <w:tcW w:w="549"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Lines="50" w:line="360" w:lineRule="auto"/>
              <w:jc w:val="left"/>
              <w:rPr>
                <w:rFonts w:ascii="宋体" w:hAnsi="宋体"/>
                <w:color w:val="000000"/>
                <w:highlight w:val="none"/>
              </w:rPr>
            </w:pPr>
          </w:p>
        </w:tc>
        <w:tc>
          <w:tcPr>
            <w:tcW w:w="602"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Lines="50" w:line="360" w:lineRule="auto"/>
              <w:jc w:val="left"/>
              <w:rPr>
                <w:rFonts w:ascii="宋体" w:hAnsi="宋体"/>
                <w:color w:val="000000"/>
                <w:highlight w:val="none"/>
              </w:rPr>
            </w:pPr>
          </w:p>
        </w:tc>
        <w:tc>
          <w:tcPr>
            <w:tcW w:w="77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Lines="50" w:line="360" w:lineRule="auto"/>
              <w:jc w:val="left"/>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94"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Lines="50" w:line="360" w:lineRule="auto"/>
              <w:jc w:val="left"/>
              <w:rPr>
                <w:rFonts w:ascii="宋体" w:hAnsi="宋体"/>
                <w:color w:val="000000"/>
                <w:highlight w:val="none"/>
              </w:rPr>
            </w:pPr>
          </w:p>
        </w:tc>
        <w:tc>
          <w:tcPr>
            <w:tcW w:w="399"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Lines="50" w:line="360" w:lineRule="auto"/>
              <w:jc w:val="left"/>
              <w:rPr>
                <w:rFonts w:ascii="宋体" w:hAnsi="宋体"/>
                <w:color w:val="000000"/>
                <w:highlight w:val="none"/>
              </w:rPr>
            </w:pPr>
          </w:p>
        </w:tc>
        <w:tc>
          <w:tcPr>
            <w:tcW w:w="88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Lines="50" w:line="360" w:lineRule="auto"/>
              <w:jc w:val="left"/>
              <w:rPr>
                <w:rFonts w:ascii="宋体" w:hAnsi="宋体"/>
                <w:color w:val="000000"/>
                <w:highlight w:val="none"/>
              </w:rPr>
            </w:pPr>
          </w:p>
        </w:tc>
        <w:tc>
          <w:tcPr>
            <w:tcW w:w="74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Lines="50" w:line="360" w:lineRule="auto"/>
              <w:jc w:val="left"/>
              <w:rPr>
                <w:rFonts w:ascii="宋体" w:hAnsi="宋体"/>
                <w:color w:val="000000"/>
                <w:highlight w:val="none"/>
              </w:rPr>
            </w:pPr>
          </w:p>
        </w:tc>
        <w:tc>
          <w:tcPr>
            <w:tcW w:w="640"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Lines="50" w:line="360" w:lineRule="auto"/>
              <w:jc w:val="left"/>
              <w:rPr>
                <w:rFonts w:ascii="宋体" w:hAnsi="宋体"/>
                <w:color w:val="000000"/>
                <w:highlight w:val="none"/>
              </w:rPr>
            </w:pPr>
          </w:p>
        </w:tc>
        <w:tc>
          <w:tcPr>
            <w:tcW w:w="549"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Lines="50" w:line="360" w:lineRule="auto"/>
              <w:jc w:val="left"/>
              <w:rPr>
                <w:rFonts w:ascii="宋体" w:hAnsi="宋体"/>
                <w:color w:val="000000"/>
                <w:highlight w:val="none"/>
              </w:rPr>
            </w:pPr>
          </w:p>
        </w:tc>
        <w:tc>
          <w:tcPr>
            <w:tcW w:w="602"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Lines="50" w:line="360" w:lineRule="auto"/>
              <w:jc w:val="left"/>
              <w:rPr>
                <w:rFonts w:ascii="宋体" w:hAnsi="宋体"/>
                <w:color w:val="000000"/>
                <w:highlight w:val="none"/>
              </w:rPr>
            </w:pPr>
          </w:p>
        </w:tc>
        <w:tc>
          <w:tcPr>
            <w:tcW w:w="77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Lines="50" w:line="360" w:lineRule="auto"/>
              <w:jc w:val="left"/>
              <w:rPr>
                <w:rFonts w:ascii="宋体" w:hAnsi="宋体"/>
                <w:color w:val="000000"/>
                <w:highlight w:val="none"/>
              </w:rPr>
            </w:pPr>
          </w:p>
        </w:tc>
      </w:tr>
    </w:tbl>
    <w:p>
      <w:pPr>
        <w:spacing w:line="360" w:lineRule="auto"/>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说明：</w:t>
      </w:r>
    </w:p>
    <w:p>
      <w:pPr>
        <w:spacing w:line="360" w:lineRule="auto"/>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响应文件中须提供响应截止时间前五年承接的预算绩效评价咨询服务委托业务合同扫描件。（响应文件中须提供清晰可辨预算绩效管理服务委托合同，如合同中未明确上述对应人员信息的，另需提供绩效评价报告封面以及体现对应评价人员栏信息所在页）。如供应商提供的合同扫描件因模糊不清而造成评审小组在评审时做出对供应商不利的评审由供应商自行承担。</w:t>
      </w:r>
    </w:p>
    <w:p>
      <w:pPr>
        <w:spacing w:line="360" w:lineRule="auto"/>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预算绩效评价服务类别包括重大项目（政策）绩效评估服务、重大项目（政策）监控和评价（再评价）服务、绩效目标审核（绩效目标实质性审查）服务，部门整体预算绩效管理服务，政府财政综合运行评价服务、其他预算绩效管理服务事项。</w:t>
      </w:r>
    </w:p>
    <w:p>
      <w:pPr>
        <w:pStyle w:val="2"/>
        <w:spacing w:line="360" w:lineRule="auto"/>
        <w:ind w:left="480" w:firstLine="464"/>
        <w:rPr>
          <w:rFonts w:hAnsi="宋体" w:cs="宋体"/>
          <w:color w:val="000000" w:themeColor="text1"/>
          <w:sz w:val="24"/>
          <w:highlight w:val="none"/>
          <w14:textFill>
            <w14:solidFill>
              <w14:schemeClr w14:val="tx1"/>
            </w14:solidFill>
          </w14:textFill>
        </w:rPr>
      </w:pPr>
    </w:p>
    <w:p>
      <w:pPr>
        <w:tabs>
          <w:tab w:val="left" w:pos="1418"/>
        </w:tabs>
        <w:spacing w:line="360" w:lineRule="auto"/>
        <w:rPr>
          <w:rFonts w:ascii="宋体" w:hAnsi="宋体"/>
          <w:bCs/>
          <w:highlight w:val="none"/>
        </w:rPr>
      </w:pPr>
      <w:r>
        <w:rPr>
          <w:rFonts w:hint="eastAsia" w:ascii="宋体" w:hAnsi="宋体"/>
          <w:highlight w:val="none"/>
        </w:rPr>
        <w:t>法定代表人或委托代理人签名：</w:t>
      </w:r>
    </w:p>
    <w:p>
      <w:pPr>
        <w:tabs>
          <w:tab w:val="left" w:pos="1418"/>
        </w:tabs>
        <w:spacing w:line="360" w:lineRule="auto"/>
        <w:rPr>
          <w:rFonts w:ascii="宋体" w:hAnsi="宋体"/>
          <w:bCs/>
          <w:highlight w:val="none"/>
        </w:rPr>
      </w:pPr>
      <w:r>
        <w:rPr>
          <w:rFonts w:hint="eastAsia" w:ascii="宋体" w:hAnsi="宋体"/>
          <w:bCs/>
          <w:highlight w:val="none"/>
        </w:rPr>
        <w:t>投 标 人（盖章）：                              年  月  日</w:t>
      </w:r>
    </w:p>
    <w:p>
      <w:pPr>
        <w:snapToGrid w:val="0"/>
        <w:spacing w:before="50" w:afterLines="50" w:line="360" w:lineRule="auto"/>
        <w:jc w:val="left"/>
        <w:rPr>
          <w:rFonts w:ascii="宋体" w:hAnsi="宋体"/>
          <w:highlight w:val="none"/>
        </w:rPr>
      </w:pPr>
    </w:p>
    <w:p>
      <w:pPr>
        <w:pStyle w:val="2"/>
        <w:ind w:left="480" w:firstLine="464"/>
        <w:rPr>
          <w:rFonts w:hAnsi="宋体" w:cs="宋体"/>
          <w:sz w:val="24"/>
          <w:highlight w:val="none"/>
        </w:rPr>
      </w:pPr>
    </w:p>
    <w:p>
      <w:pPr>
        <w:rPr>
          <w:rFonts w:ascii="宋体" w:hAnsi="宋体"/>
          <w:highlight w:val="none"/>
        </w:rPr>
      </w:pPr>
    </w:p>
    <w:p>
      <w:pPr>
        <w:pStyle w:val="2"/>
        <w:ind w:left="480" w:firstLine="464"/>
        <w:rPr>
          <w:rFonts w:hAnsi="宋体" w:cs="宋体"/>
          <w:sz w:val="24"/>
          <w:highlight w:val="none"/>
        </w:rPr>
      </w:pPr>
    </w:p>
    <w:p>
      <w:pPr>
        <w:rPr>
          <w:rFonts w:ascii="宋体" w:hAnsi="宋体"/>
          <w:highlight w:val="none"/>
        </w:rPr>
      </w:pPr>
    </w:p>
    <w:p>
      <w:pPr>
        <w:pStyle w:val="2"/>
        <w:ind w:left="480" w:firstLine="404"/>
        <w:rPr>
          <w:highlight w:val="none"/>
        </w:rPr>
      </w:pPr>
    </w:p>
    <w:p>
      <w:pPr>
        <w:snapToGrid w:val="0"/>
        <w:spacing w:before="50" w:afterLines="50" w:line="360" w:lineRule="auto"/>
        <w:jc w:val="left"/>
        <w:rPr>
          <w:rFonts w:ascii="宋体" w:hAnsi="宋体"/>
          <w:highlight w:val="none"/>
        </w:rPr>
      </w:pPr>
      <w:r>
        <w:rPr>
          <w:rFonts w:hint="eastAsia" w:ascii="宋体" w:hAnsi="宋体"/>
          <w:highlight w:val="none"/>
        </w:rPr>
        <w:t>8.服务质量</w:t>
      </w:r>
    </w:p>
    <w:p>
      <w:pPr>
        <w:snapToGrid w:val="0"/>
        <w:spacing w:before="50" w:afterLines="50" w:line="360" w:lineRule="auto"/>
        <w:jc w:val="center"/>
        <w:rPr>
          <w:rFonts w:ascii="宋体" w:hAnsi="宋体"/>
          <w:b/>
          <w:snapToGrid w:val="0"/>
          <w:color w:val="000000"/>
          <w:highlight w:val="none"/>
        </w:rPr>
      </w:pPr>
      <w:r>
        <w:rPr>
          <w:rFonts w:hint="eastAsia" w:ascii="宋体" w:hAnsi="宋体"/>
          <w:b/>
          <w:snapToGrid w:val="0"/>
          <w:color w:val="000000"/>
          <w:highlight w:val="none"/>
        </w:rPr>
        <w:t>服务质量</w:t>
      </w:r>
    </w:p>
    <w:p>
      <w:pPr>
        <w:spacing w:line="360" w:lineRule="auto"/>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供应商应当针对重大项目（政策）的绩效评估、重大项目（政策）监控和评价（再评价）、部门整体预算绩效管理、政府综合运行评价等各提供一份预算绩效评价咨询服务报告（具体单位、金额可抹去），主要包含问题与建议。格式自拟。）</w:t>
      </w:r>
    </w:p>
    <w:p>
      <w:pPr>
        <w:tabs>
          <w:tab w:val="left" w:pos="1418"/>
        </w:tabs>
        <w:spacing w:line="360" w:lineRule="auto"/>
        <w:rPr>
          <w:rFonts w:ascii="宋体" w:hAnsi="宋体"/>
          <w:highlight w:val="none"/>
        </w:rPr>
      </w:pPr>
    </w:p>
    <w:p>
      <w:pPr>
        <w:tabs>
          <w:tab w:val="left" w:pos="1418"/>
        </w:tabs>
        <w:spacing w:line="360" w:lineRule="auto"/>
        <w:rPr>
          <w:rFonts w:ascii="宋体" w:hAnsi="宋体"/>
          <w:bCs/>
          <w:highlight w:val="none"/>
        </w:rPr>
      </w:pPr>
      <w:r>
        <w:rPr>
          <w:rFonts w:hint="eastAsia" w:ascii="宋体" w:hAnsi="宋体"/>
          <w:highlight w:val="none"/>
        </w:rPr>
        <w:t>法定代表人或委托代理人签名：</w:t>
      </w:r>
    </w:p>
    <w:p>
      <w:pPr>
        <w:tabs>
          <w:tab w:val="left" w:pos="1418"/>
        </w:tabs>
        <w:spacing w:line="360" w:lineRule="auto"/>
        <w:rPr>
          <w:rFonts w:ascii="宋体" w:hAnsi="宋体"/>
          <w:bCs/>
          <w:highlight w:val="none"/>
        </w:rPr>
      </w:pPr>
      <w:r>
        <w:rPr>
          <w:rFonts w:hint="eastAsia" w:ascii="宋体" w:hAnsi="宋体"/>
          <w:bCs/>
          <w:highlight w:val="none"/>
        </w:rPr>
        <w:t>投 标 人（盖章）：                              年  月  日</w:t>
      </w:r>
    </w:p>
    <w:p>
      <w:pPr>
        <w:pStyle w:val="12"/>
        <w:snapToGrid w:val="0"/>
        <w:spacing w:beforeLines="0" w:afterLines="0" w:line="360" w:lineRule="auto"/>
        <w:outlineLvl w:val="1"/>
        <w:rPr>
          <w:rFonts w:hAnsi="宋体"/>
          <w:b/>
          <w:highlight w:val="none"/>
        </w:rPr>
      </w:pPr>
    </w:p>
    <w:p>
      <w:pPr>
        <w:rPr>
          <w:highlight w:val="none"/>
        </w:rPr>
      </w:pPr>
    </w:p>
    <w:p>
      <w:pPr>
        <w:pStyle w:val="2"/>
        <w:ind w:left="480" w:firstLine="404"/>
        <w:rPr>
          <w:highlight w:val="none"/>
        </w:rPr>
      </w:pPr>
    </w:p>
    <w:p>
      <w:pPr>
        <w:rPr>
          <w:highlight w:val="none"/>
        </w:rPr>
      </w:pPr>
    </w:p>
    <w:p>
      <w:pPr>
        <w:pStyle w:val="2"/>
        <w:ind w:left="480" w:firstLine="404"/>
        <w:rPr>
          <w:highlight w:val="none"/>
        </w:rPr>
      </w:pPr>
    </w:p>
    <w:p>
      <w:pPr>
        <w:rPr>
          <w:highlight w:val="none"/>
        </w:rPr>
      </w:pPr>
    </w:p>
    <w:p>
      <w:pPr>
        <w:pStyle w:val="2"/>
        <w:ind w:left="480" w:firstLine="404"/>
        <w:rPr>
          <w:highlight w:val="none"/>
        </w:rPr>
      </w:pPr>
    </w:p>
    <w:p>
      <w:pPr>
        <w:rPr>
          <w:highlight w:val="none"/>
        </w:rPr>
      </w:pPr>
    </w:p>
    <w:p>
      <w:pPr>
        <w:pStyle w:val="2"/>
        <w:ind w:left="480" w:firstLine="404"/>
        <w:rPr>
          <w:highlight w:val="none"/>
        </w:rPr>
      </w:pPr>
    </w:p>
    <w:p>
      <w:pPr>
        <w:rPr>
          <w:highlight w:val="none"/>
        </w:rPr>
      </w:pPr>
    </w:p>
    <w:p>
      <w:pPr>
        <w:pStyle w:val="2"/>
        <w:ind w:left="480" w:firstLine="404"/>
        <w:rPr>
          <w:highlight w:val="none"/>
        </w:rPr>
      </w:pPr>
    </w:p>
    <w:p>
      <w:pPr>
        <w:rPr>
          <w:highlight w:val="none"/>
        </w:rPr>
      </w:pPr>
    </w:p>
    <w:p>
      <w:pPr>
        <w:pStyle w:val="2"/>
        <w:ind w:left="480" w:firstLine="404"/>
        <w:rPr>
          <w:highlight w:val="none"/>
        </w:rPr>
      </w:pPr>
    </w:p>
    <w:p>
      <w:pPr>
        <w:rPr>
          <w:highlight w:val="none"/>
        </w:rPr>
      </w:pPr>
    </w:p>
    <w:p>
      <w:pPr>
        <w:pStyle w:val="2"/>
        <w:ind w:left="480" w:firstLine="404"/>
        <w:rPr>
          <w:highlight w:val="none"/>
        </w:rPr>
      </w:pPr>
    </w:p>
    <w:p>
      <w:pPr>
        <w:rPr>
          <w:highlight w:val="none"/>
        </w:rPr>
      </w:pPr>
    </w:p>
    <w:p>
      <w:pPr>
        <w:pStyle w:val="2"/>
        <w:ind w:left="480" w:firstLine="404"/>
        <w:rPr>
          <w:highlight w:val="none"/>
        </w:rPr>
      </w:pPr>
    </w:p>
    <w:p>
      <w:pPr>
        <w:rPr>
          <w:highlight w:val="none"/>
        </w:rPr>
      </w:pPr>
    </w:p>
    <w:p>
      <w:pPr>
        <w:pStyle w:val="2"/>
        <w:ind w:left="480" w:firstLine="404"/>
        <w:rPr>
          <w:highlight w:val="none"/>
        </w:rPr>
      </w:pPr>
    </w:p>
    <w:p>
      <w:pPr>
        <w:rPr>
          <w:highlight w:val="none"/>
        </w:rPr>
      </w:pPr>
    </w:p>
    <w:p>
      <w:pPr>
        <w:pStyle w:val="2"/>
        <w:ind w:left="480" w:firstLine="404"/>
        <w:rPr>
          <w:highlight w:val="none"/>
        </w:rPr>
      </w:pPr>
    </w:p>
    <w:p>
      <w:pPr>
        <w:rPr>
          <w:highlight w:val="none"/>
        </w:rPr>
      </w:pPr>
    </w:p>
    <w:p>
      <w:pPr>
        <w:pStyle w:val="2"/>
        <w:ind w:left="480" w:firstLine="404"/>
        <w:rPr>
          <w:highlight w:val="none"/>
        </w:rPr>
      </w:pPr>
    </w:p>
    <w:p>
      <w:pPr>
        <w:rPr>
          <w:highlight w:val="none"/>
        </w:rPr>
      </w:pPr>
    </w:p>
    <w:p>
      <w:pPr>
        <w:pStyle w:val="2"/>
        <w:ind w:left="480" w:firstLine="404"/>
        <w:rPr>
          <w:highlight w:val="none"/>
        </w:rPr>
      </w:pPr>
    </w:p>
    <w:p>
      <w:pPr>
        <w:pStyle w:val="4"/>
        <w:rPr>
          <w:highlight w:val="none"/>
        </w:rPr>
      </w:pPr>
    </w:p>
    <w:p>
      <w:pPr>
        <w:rPr>
          <w:highlight w:val="none"/>
        </w:rPr>
      </w:pPr>
    </w:p>
    <w:p>
      <w:pPr>
        <w:pStyle w:val="2"/>
        <w:ind w:left="480" w:firstLine="404"/>
        <w:rPr>
          <w:highlight w:val="none"/>
        </w:rPr>
      </w:pPr>
    </w:p>
    <w:p>
      <w:pPr>
        <w:rPr>
          <w:highlight w:val="none"/>
        </w:rPr>
      </w:pPr>
    </w:p>
    <w:p>
      <w:pPr>
        <w:pStyle w:val="12"/>
        <w:snapToGrid w:val="0"/>
        <w:spacing w:beforeLines="0" w:afterLines="0" w:line="360" w:lineRule="auto"/>
        <w:outlineLvl w:val="1"/>
        <w:rPr>
          <w:rFonts w:hAnsi="宋体"/>
          <w:b/>
          <w:highlight w:val="none"/>
        </w:rPr>
      </w:pPr>
      <w:r>
        <w:rPr>
          <w:rFonts w:hint="eastAsia" w:hAnsi="宋体"/>
          <w:b/>
          <w:highlight w:val="none"/>
        </w:rPr>
        <w:t>三、报价文件格式</w:t>
      </w:r>
    </w:p>
    <w:p>
      <w:pPr>
        <w:snapToGrid w:val="0"/>
        <w:spacing w:line="360" w:lineRule="auto"/>
        <w:rPr>
          <w:rFonts w:ascii="宋体" w:hAnsi="宋体"/>
          <w:highlight w:val="none"/>
        </w:rPr>
      </w:pPr>
      <w:r>
        <w:rPr>
          <w:rFonts w:hint="eastAsia" w:ascii="宋体" w:hAnsi="宋体"/>
          <w:bCs/>
          <w:highlight w:val="none"/>
        </w:rPr>
        <w:t>1</w:t>
      </w:r>
      <w:r>
        <w:rPr>
          <w:rFonts w:ascii="宋体" w:hAnsi="宋体"/>
          <w:highlight w:val="none"/>
        </w:rPr>
        <w:t>.</w:t>
      </w:r>
      <w:r>
        <w:rPr>
          <w:rFonts w:hint="eastAsia" w:ascii="宋体" w:hAnsi="宋体"/>
          <w:highlight w:val="none"/>
        </w:rPr>
        <w:t>投标报价文件封面格式</w:t>
      </w:r>
    </w:p>
    <w:p>
      <w:pPr>
        <w:snapToGrid w:val="0"/>
        <w:spacing w:line="360" w:lineRule="auto"/>
        <w:rPr>
          <w:rFonts w:ascii="宋体" w:hAnsi="宋体"/>
          <w:b/>
          <w:bCs/>
          <w:highlight w:val="none"/>
        </w:rPr>
      </w:pPr>
    </w:p>
    <w:p>
      <w:pPr>
        <w:snapToGrid w:val="0"/>
        <w:spacing w:beforeLines="50" w:line="360" w:lineRule="auto"/>
        <w:jc w:val="center"/>
        <w:rPr>
          <w:rFonts w:ascii="宋体" w:hAnsi="宋体"/>
          <w:b/>
          <w:bCs/>
          <w:highlight w:val="none"/>
        </w:rPr>
      </w:pPr>
      <w:r>
        <w:rPr>
          <w:rFonts w:hint="eastAsia" w:ascii="宋体" w:hAnsi="宋体"/>
          <w:b/>
          <w:bCs/>
          <w:highlight w:val="none"/>
        </w:rPr>
        <w:t>投标报价文件</w:t>
      </w:r>
    </w:p>
    <w:p>
      <w:pPr>
        <w:snapToGrid w:val="0"/>
        <w:spacing w:line="360" w:lineRule="auto"/>
        <w:ind w:firstLine="900" w:firstLineChars="375"/>
        <w:rPr>
          <w:rFonts w:hint="eastAsia" w:ascii="宋体" w:hAnsi="宋体"/>
          <w:color w:val="auto"/>
          <w:sz w:val="24"/>
          <w:highlight w:val="none"/>
        </w:rPr>
      </w:pPr>
      <w:r>
        <w:rPr>
          <w:rFonts w:hint="eastAsia" w:ascii="宋体" w:hAnsi="宋体"/>
          <w:bCs/>
          <w:color w:val="auto"/>
          <w:sz w:val="24"/>
          <w:highlight w:val="none"/>
        </w:rPr>
        <w:t>项目名称：</w:t>
      </w:r>
      <w:r>
        <w:rPr>
          <w:rFonts w:hint="eastAsia" w:ascii="宋体" w:hAnsi="宋体"/>
          <w:bCs/>
          <w:color w:val="auto"/>
          <w:sz w:val="24"/>
          <w:highlight w:val="none"/>
          <w:u w:val="single"/>
        </w:rPr>
        <w:t xml:space="preserve">                          </w:t>
      </w:r>
      <w:r>
        <w:rPr>
          <w:rFonts w:hint="eastAsia" w:ascii="宋体" w:hAnsi="宋体"/>
          <w:color w:val="auto"/>
          <w:sz w:val="24"/>
          <w:highlight w:val="none"/>
        </w:rPr>
        <w:t>采购项目</w:t>
      </w:r>
    </w:p>
    <w:p>
      <w:pPr>
        <w:pStyle w:val="8"/>
        <w:snapToGrid w:val="0"/>
        <w:spacing w:line="360" w:lineRule="auto"/>
        <w:ind w:firstLine="900" w:firstLineChars="375"/>
        <w:rPr>
          <w:rFonts w:hint="eastAsia" w:ascii="宋体" w:hAnsi="宋体"/>
          <w:bCs/>
          <w:color w:val="auto"/>
          <w:sz w:val="24"/>
          <w:highlight w:val="none"/>
        </w:rPr>
      </w:pPr>
      <w:r>
        <w:rPr>
          <w:rFonts w:hint="eastAsia" w:ascii="宋体" w:hAnsi="宋体"/>
          <w:bCs/>
          <w:color w:val="auto"/>
          <w:sz w:val="24"/>
          <w:highlight w:val="none"/>
        </w:rPr>
        <w:t>项目编号：</w:t>
      </w:r>
    </w:p>
    <w:p>
      <w:pPr>
        <w:pStyle w:val="8"/>
        <w:snapToGrid w:val="0"/>
        <w:spacing w:line="360" w:lineRule="auto"/>
        <w:ind w:firstLine="900" w:firstLineChars="375"/>
        <w:rPr>
          <w:rFonts w:ascii="宋体" w:hAnsi="宋体"/>
          <w:bCs/>
          <w:color w:val="auto"/>
          <w:sz w:val="24"/>
          <w:highlight w:val="none"/>
        </w:rPr>
      </w:pPr>
      <w:r>
        <w:rPr>
          <w:rFonts w:hint="eastAsia" w:ascii="宋体" w:hAnsi="宋体"/>
          <w:bCs/>
          <w:color w:val="auto"/>
          <w:sz w:val="24"/>
          <w:highlight w:val="none"/>
          <w:lang w:eastAsia="zh-CN"/>
        </w:rPr>
        <w:t>供应商</w:t>
      </w:r>
      <w:r>
        <w:rPr>
          <w:rFonts w:hint="eastAsia" w:ascii="宋体" w:hAnsi="宋体"/>
          <w:bCs/>
          <w:color w:val="auto"/>
          <w:sz w:val="24"/>
          <w:highlight w:val="none"/>
        </w:rPr>
        <w:t>名称（盖章）：</w:t>
      </w:r>
    </w:p>
    <w:p>
      <w:pPr>
        <w:pStyle w:val="8"/>
        <w:snapToGrid w:val="0"/>
        <w:spacing w:line="360" w:lineRule="auto"/>
        <w:ind w:firstLine="900" w:firstLineChars="375"/>
        <w:rPr>
          <w:rFonts w:ascii="宋体" w:hAnsi="宋体"/>
          <w:bCs/>
          <w:color w:val="auto"/>
          <w:sz w:val="24"/>
          <w:highlight w:val="none"/>
        </w:rPr>
      </w:pPr>
      <w:r>
        <w:rPr>
          <w:rFonts w:hint="eastAsia" w:ascii="宋体" w:hAnsi="宋体"/>
          <w:bCs/>
          <w:color w:val="auto"/>
          <w:sz w:val="24"/>
          <w:highlight w:val="none"/>
          <w:lang w:eastAsia="zh-CN"/>
        </w:rPr>
        <w:t>供应商</w:t>
      </w:r>
      <w:r>
        <w:rPr>
          <w:rFonts w:hint="eastAsia" w:ascii="宋体" w:hAnsi="宋体"/>
          <w:bCs/>
          <w:color w:val="auto"/>
          <w:sz w:val="24"/>
          <w:highlight w:val="none"/>
        </w:rPr>
        <w:t>地址：</w:t>
      </w:r>
    </w:p>
    <w:p>
      <w:pPr>
        <w:snapToGrid w:val="0"/>
        <w:spacing w:line="360" w:lineRule="auto"/>
        <w:ind w:firstLine="3280" w:firstLineChars="1367"/>
        <w:rPr>
          <w:rFonts w:ascii="宋体" w:hAnsi="宋体"/>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pPr>
        <w:snapToGrid w:val="0"/>
        <w:spacing w:line="360" w:lineRule="auto"/>
        <w:rPr>
          <w:rFonts w:ascii="宋体" w:hAnsi="宋体"/>
          <w:bCs/>
          <w:highlight w:val="none"/>
        </w:rPr>
      </w:pPr>
    </w:p>
    <w:p>
      <w:pPr>
        <w:snapToGrid w:val="0"/>
        <w:spacing w:beforeLines="50" w:after="50"/>
        <w:rPr>
          <w:rFonts w:ascii="宋体" w:hAnsi="宋体"/>
          <w:bCs/>
          <w:highlight w:val="none"/>
        </w:rPr>
      </w:pPr>
      <w:r>
        <w:rPr>
          <w:rFonts w:hint="eastAsia" w:ascii="宋体" w:hAnsi="宋体"/>
          <w:bCs/>
          <w:highlight w:val="none"/>
        </w:rPr>
        <w:t>2</w:t>
      </w:r>
      <w:r>
        <w:rPr>
          <w:rFonts w:ascii="宋体" w:hAnsi="宋体"/>
          <w:bCs/>
          <w:highlight w:val="none"/>
        </w:rPr>
        <w:t>.</w:t>
      </w:r>
      <w:r>
        <w:rPr>
          <w:rFonts w:hint="eastAsia" w:ascii="宋体" w:hAnsi="宋体"/>
          <w:bCs/>
          <w:highlight w:val="none"/>
        </w:rPr>
        <w:t>投标报价文件目录（请按照“第三章投标人须知，</w:t>
      </w:r>
      <w:r>
        <w:rPr>
          <w:rFonts w:ascii="宋体" w:hAnsi="宋体"/>
          <w:bCs/>
          <w:highlight w:val="none"/>
        </w:rPr>
        <w:t>三、</w:t>
      </w:r>
      <w:r>
        <w:rPr>
          <w:rFonts w:hint="eastAsia" w:ascii="宋体" w:hAnsi="宋体"/>
          <w:bCs/>
          <w:highlight w:val="none"/>
        </w:rPr>
        <w:t>响应文件</w:t>
      </w:r>
      <w:r>
        <w:rPr>
          <w:rFonts w:ascii="宋体" w:hAnsi="宋体"/>
          <w:bCs/>
          <w:highlight w:val="none"/>
        </w:rPr>
        <w:t>的编制</w:t>
      </w:r>
      <w:r>
        <w:rPr>
          <w:rFonts w:hint="eastAsia" w:ascii="宋体" w:hAnsi="宋体"/>
          <w:bCs/>
          <w:highlight w:val="none"/>
        </w:rPr>
        <w:t>”的顺序，结合评标办法自行编制目录）</w:t>
      </w:r>
    </w:p>
    <w:p>
      <w:pPr>
        <w:snapToGrid w:val="0"/>
        <w:spacing w:before="50" w:after="50"/>
        <w:rPr>
          <w:rFonts w:ascii="宋体" w:hAnsi="宋体"/>
          <w:bCs/>
          <w:highlight w:val="none"/>
        </w:rPr>
      </w:pPr>
      <w:r>
        <w:rPr>
          <w:rFonts w:hint="eastAsia" w:ascii="宋体" w:hAnsi="宋体"/>
          <w:bCs/>
          <w:highlight w:val="none"/>
        </w:rPr>
        <w:t>例如：</w:t>
      </w:r>
    </w:p>
    <w:p>
      <w:pPr>
        <w:snapToGrid w:val="0"/>
        <w:spacing w:line="480" w:lineRule="exact"/>
        <w:rPr>
          <w:rFonts w:ascii="宋体" w:hAnsi="宋体"/>
          <w:highlight w:val="none"/>
        </w:rPr>
      </w:pPr>
      <w:r>
        <w:rPr>
          <w:rFonts w:hint="eastAsia" w:ascii="宋体" w:hAnsi="宋体"/>
          <w:bCs/>
          <w:highlight w:val="none"/>
        </w:rPr>
        <w:t>报价文件：</w:t>
      </w:r>
    </w:p>
    <w:p>
      <w:pPr>
        <w:snapToGrid w:val="0"/>
        <w:spacing w:line="360" w:lineRule="auto"/>
        <w:jc w:val="center"/>
        <w:rPr>
          <w:rFonts w:ascii="宋体" w:hAnsi="宋体"/>
          <w:b/>
          <w:highlight w:val="none"/>
        </w:rPr>
      </w:pPr>
      <w:r>
        <w:rPr>
          <w:rFonts w:hint="eastAsia" w:ascii="宋体" w:hAnsi="宋体"/>
          <w:b/>
          <w:highlight w:val="none"/>
        </w:rPr>
        <w:t>目 录</w:t>
      </w:r>
    </w:p>
    <w:p>
      <w:pPr>
        <w:spacing w:line="360" w:lineRule="auto"/>
        <w:outlineLvl w:val="0"/>
        <w:rPr>
          <w:rFonts w:ascii="宋体" w:hAnsi="宋体"/>
          <w:kern w:val="0"/>
          <w:highlight w:val="none"/>
        </w:rPr>
      </w:pPr>
      <w:r>
        <w:rPr>
          <w:rFonts w:hint="eastAsia" w:ascii="宋体" w:hAnsi="宋体"/>
          <w:kern w:val="0"/>
          <w:highlight w:val="none"/>
        </w:rPr>
        <w:t>（1）投标函……………………………………………………………………（页码）</w:t>
      </w:r>
    </w:p>
    <w:p>
      <w:pPr>
        <w:spacing w:line="360" w:lineRule="auto"/>
        <w:outlineLvl w:val="0"/>
        <w:rPr>
          <w:rFonts w:ascii="宋体" w:hAnsi="宋体"/>
          <w:kern w:val="0"/>
          <w:highlight w:val="none"/>
        </w:rPr>
      </w:pPr>
      <w:r>
        <w:rPr>
          <w:rFonts w:hint="eastAsia" w:ascii="宋体" w:hAnsi="宋体"/>
          <w:kern w:val="0"/>
          <w:highlight w:val="none"/>
        </w:rPr>
        <w:t>（2）</w:t>
      </w:r>
      <w:r>
        <w:rPr>
          <w:rFonts w:hint="eastAsia" w:hAnsi="宋体" w:cs="宋体"/>
          <w:color w:val="FF0000"/>
          <w:highlight w:val="none"/>
          <w:lang w:eastAsia="zh-CN"/>
        </w:rPr>
        <w:t>报价一览表</w:t>
      </w:r>
      <w:r>
        <w:rPr>
          <w:rFonts w:hint="eastAsia" w:ascii="宋体" w:hAnsi="宋体"/>
          <w:kern w:val="0"/>
          <w:highlight w:val="none"/>
        </w:rPr>
        <w:t>………………………………………………………………（页码）</w:t>
      </w:r>
    </w:p>
    <w:p>
      <w:pPr>
        <w:spacing w:line="360" w:lineRule="auto"/>
        <w:rPr>
          <w:rFonts w:ascii="宋体" w:hAnsi="宋体"/>
          <w:highlight w:val="none"/>
        </w:rPr>
      </w:pPr>
    </w:p>
    <w:p>
      <w:pPr>
        <w:spacing w:line="360" w:lineRule="auto"/>
        <w:rPr>
          <w:rFonts w:ascii="宋体" w:hAnsi="宋体"/>
          <w:highlight w:val="none"/>
        </w:rPr>
      </w:pPr>
    </w:p>
    <w:p>
      <w:pPr>
        <w:spacing w:line="360" w:lineRule="auto"/>
        <w:rPr>
          <w:rFonts w:ascii="宋体" w:hAnsi="宋体"/>
          <w:highlight w:val="none"/>
        </w:rPr>
      </w:pPr>
    </w:p>
    <w:p>
      <w:pPr>
        <w:spacing w:line="360" w:lineRule="auto"/>
        <w:rPr>
          <w:rFonts w:ascii="宋体" w:hAnsi="宋体"/>
          <w:highlight w:val="none"/>
        </w:rPr>
      </w:pPr>
    </w:p>
    <w:p>
      <w:pPr>
        <w:pStyle w:val="2"/>
        <w:ind w:left="480" w:firstLine="464"/>
        <w:rPr>
          <w:rFonts w:hAnsi="宋体"/>
          <w:sz w:val="24"/>
          <w:highlight w:val="none"/>
        </w:rPr>
      </w:pPr>
    </w:p>
    <w:p>
      <w:pPr>
        <w:rPr>
          <w:rFonts w:ascii="宋体" w:hAnsi="宋体"/>
          <w:highlight w:val="none"/>
        </w:rPr>
      </w:pPr>
    </w:p>
    <w:p>
      <w:pPr>
        <w:pStyle w:val="2"/>
        <w:ind w:left="480" w:firstLine="404"/>
        <w:rPr>
          <w:highlight w:val="none"/>
        </w:rPr>
      </w:pPr>
    </w:p>
    <w:p>
      <w:pPr>
        <w:spacing w:line="360" w:lineRule="auto"/>
        <w:rPr>
          <w:rFonts w:ascii="宋体" w:hAnsi="宋体"/>
          <w:highlight w:val="none"/>
        </w:rPr>
      </w:pPr>
    </w:p>
    <w:p>
      <w:pPr>
        <w:pStyle w:val="2"/>
        <w:ind w:left="480" w:firstLine="464"/>
        <w:rPr>
          <w:rFonts w:hAnsi="宋体"/>
          <w:sz w:val="24"/>
          <w:highlight w:val="none"/>
        </w:rPr>
      </w:pPr>
    </w:p>
    <w:p>
      <w:pPr>
        <w:pStyle w:val="2"/>
        <w:ind w:left="480" w:firstLine="464"/>
        <w:rPr>
          <w:rFonts w:hAnsi="宋体"/>
          <w:sz w:val="24"/>
          <w:highlight w:val="none"/>
        </w:rPr>
      </w:pPr>
    </w:p>
    <w:p>
      <w:pPr>
        <w:pStyle w:val="2"/>
        <w:ind w:left="480" w:firstLine="464"/>
        <w:rPr>
          <w:rFonts w:hAnsi="宋体"/>
          <w:sz w:val="24"/>
          <w:highlight w:val="none"/>
        </w:rPr>
      </w:pPr>
    </w:p>
    <w:p>
      <w:pPr>
        <w:pStyle w:val="2"/>
        <w:ind w:left="480" w:firstLine="464"/>
        <w:rPr>
          <w:rFonts w:hAnsi="宋体"/>
          <w:sz w:val="24"/>
          <w:highlight w:val="none"/>
        </w:rPr>
      </w:pPr>
    </w:p>
    <w:p>
      <w:pPr>
        <w:pStyle w:val="2"/>
        <w:ind w:left="480" w:firstLine="464"/>
        <w:rPr>
          <w:rFonts w:hAnsi="宋体"/>
          <w:sz w:val="24"/>
          <w:highlight w:val="none"/>
        </w:rPr>
      </w:pPr>
    </w:p>
    <w:p>
      <w:pPr>
        <w:spacing w:line="360" w:lineRule="auto"/>
        <w:rPr>
          <w:rFonts w:ascii="宋体" w:hAnsi="宋体"/>
          <w:highlight w:val="none"/>
        </w:rPr>
      </w:pPr>
    </w:p>
    <w:p>
      <w:pPr>
        <w:spacing w:line="360" w:lineRule="auto"/>
        <w:rPr>
          <w:rFonts w:ascii="宋体" w:hAnsi="宋体"/>
          <w:highlight w:val="none"/>
        </w:rPr>
      </w:pPr>
      <w:r>
        <w:rPr>
          <w:rFonts w:hint="eastAsia" w:ascii="宋体" w:hAnsi="宋体"/>
          <w:highlight w:val="none"/>
        </w:rPr>
        <w:t>3.投标函格式：</w:t>
      </w:r>
    </w:p>
    <w:p>
      <w:pPr>
        <w:pStyle w:val="6"/>
        <w:spacing w:line="360" w:lineRule="auto"/>
        <w:jc w:val="center"/>
        <w:rPr>
          <w:rFonts w:ascii="宋体" w:hAnsi="宋体"/>
          <w:szCs w:val="24"/>
          <w:highlight w:val="none"/>
        </w:rPr>
      </w:pPr>
      <w:r>
        <w:rPr>
          <w:rFonts w:hint="eastAsia" w:ascii="宋体" w:hAnsi="宋体"/>
          <w:szCs w:val="24"/>
          <w:highlight w:val="none"/>
        </w:rPr>
        <w:t>投标函</w:t>
      </w:r>
    </w:p>
    <w:p>
      <w:pPr>
        <w:spacing w:line="360" w:lineRule="auto"/>
        <w:rPr>
          <w:rFonts w:ascii="宋体" w:hAnsi="宋体"/>
          <w:highlight w:val="none"/>
        </w:rPr>
      </w:pPr>
      <w:r>
        <w:rPr>
          <w:rFonts w:ascii="宋体" w:hAnsi="宋体"/>
          <w:highlight w:val="none"/>
        </w:rPr>
        <w:t>致：</w:t>
      </w:r>
      <w:r>
        <w:rPr>
          <w:rFonts w:hint="eastAsia" w:ascii="宋体" w:hAnsi="宋体"/>
          <w:highlight w:val="none"/>
          <w:u w:val="single"/>
        </w:rPr>
        <w:t>平湖市公共资源交易中心</w:t>
      </w:r>
      <w:r>
        <w:rPr>
          <w:rFonts w:hint="eastAsia" w:ascii="宋体" w:hAnsi="宋体"/>
          <w:highlight w:val="none"/>
        </w:rPr>
        <w:t>（招标采购单位名称）：</w:t>
      </w:r>
    </w:p>
    <w:p>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根据贵方为</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项目的公开招标公告（项目编号：</w:t>
      </w:r>
      <w:r>
        <w:rPr>
          <w:rFonts w:hint="eastAsia" w:ascii="宋体" w:hAnsi="宋体"/>
          <w:color w:val="auto"/>
          <w:sz w:val="24"/>
          <w:highlight w:val="none"/>
          <w:u w:val="single"/>
        </w:rPr>
        <w:t xml:space="preserve">                </w:t>
      </w:r>
      <w:r>
        <w:rPr>
          <w:rFonts w:hint="eastAsia" w:ascii="宋体" w:hAnsi="宋体"/>
          <w:color w:val="auto"/>
          <w:sz w:val="24"/>
          <w:highlight w:val="none"/>
        </w:rPr>
        <w:t>），签字代表</w:t>
      </w:r>
      <w:r>
        <w:rPr>
          <w:rFonts w:hint="eastAsia" w:ascii="宋体" w:hAnsi="宋体"/>
          <w:color w:val="auto"/>
          <w:sz w:val="24"/>
          <w:highlight w:val="none"/>
          <w:u w:val="single"/>
        </w:rPr>
        <w:t xml:space="preserve">        </w:t>
      </w:r>
      <w:r>
        <w:rPr>
          <w:rFonts w:hint="eastAsia" w:ascii="宋体" w:hAnsi="宋体"/>
          <w:color w:val="auto"/>
          <w:sz w:val="24"/>
          <w:highlight w:val="none"/>
        </w:rPr>
        <w:t>（全名）经正式授权并代表</w:t>
      </w:r>
      <w:r>
        <w:rPr>
          <w:rFonts w:hint="eastAsia" w:ascii="宋体" w:hAnsi="宋体"/>
          <w:color w:val="auto"/>
          <w:sz w:val="24"/>
          <w:highlight w:val="none"/>
          <w:lang w:eastAsia="zh-CN"/>
        </w:rPr>
        <w:t>供应商</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lang w:eastAsia="zh-CN"/>
        </w:rPr>
        <w:t>供应商</w:t>
      </w:r>
      <w:r>
        <w:rPr>
          <w:rFonts w:hint="eastAsia" w:ascii="宋体" w:hAnsi="宋体"/>
          <w:color w:val="auto"/>
          <w:sz w:val="24"/>
          <w:highlight w:val="none"/>
        </w:rPr>
        <w:t>名称）提交资信</w:t>
      </w:r>
      <w:r>
        <w:rPr>
          <w:rFonts w:ascii="宋体" w:hAnsi="宋体"/>
          <w:color w:val="auto"/>
          <w:sz w:val="24"/>
          <w:highlight w:val="none"/>
        </w:rPr>
        <w:t>/</w:t>
      </w:r>
      <w:r>
        <w:rPr>
          <w:rFonts w:hint="eastAsia" w:ascii="宋体" w:hAnsi="宋体"/>
          <w:color w:val="auto"/>
          <w:sz w:val="24"/>
          <w:highlight w:val="none"/>
        </w:rPr>
        <w:t>商务及技术文件、投标报价文件。</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据此函，签字代表宣布同意如下：</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.我方已详细审查全部“</w:t>
      </w:r>
      <w:r>
        <w:rPr>
          <w:rFonts w:hint="eastAsia" w:ascii="宋体" w:hAnsi="宋体"/>
          <w:color w:val="auto"/>
          <w:sz w:val="24"/>
          <w:highlight w:val="none"/>
          <w:lang w:eastAsia="zh-CN"/>
        </w:rPr>
        <w:t>征集文件</w:t>
      </w:r>
      <w:r>
        <w:rPr>
          <w:rFonts w:hint="eastAsia" w:ascii="宋体" w:hAnsi="宋体"/>
          <w:color w:val="auto"/>
          <w:sz w:val="24"/>
          <w:highlight w:val="none"/>
        </w:rPr>
        <w:t>”，包括修改文件（如有的话）以及全部参考资料和有关附件，已经了解我方对于“</w:t>
      </w:r>
      <w:r>
        <w:rPr>
          <w:rFonts w:hint="eastAsia" w:ascii="宋体" w:hAnsi="宋体"/>
          <w:color w:val="auto"/>
          <w:sz w:val="24"/>
          <w:highlight w:val="none"/>
          <w:lang w:eastAsia="zh-CN"/>
        </w:rPr>
        <w:t>征集文件</w:t>
      </w:r>
      <w:r>
        <w:rPr>
          <w:rFonts w:hint="eastAsia" w:ascii="宋体" w:hAnsi="宋体"/>
          <w:color w:val="auto"/>
          <w:sz w:val="24"/>
          <w:highlight w:val="none"/>
        </w:rPr>
        <w:t>”、采购过程、采购结果有依法进行询问、质疑、投诉的权利及相关渠道和要求。</w:t>
      </w:r>
    </w:p>
    <w:p>
      <w:pPr>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.我方在投标之前已经与贵方进行了充分的沟通，完全理解并接受“</w:t>
      </w:r>
      <w:r>
        <w:rPr>
          <w:rFonts w:hint="eastAsia" w:ascii="宋体" w:hAnsi="宋体"/>
          <w:color w:val="auto"/>
          <w:sz w:val="24"/>
          <w:highlight w:val="none"/>
          <w:lang w:eastAsia="zh-CN"/>
        </w:rPr>
        <w:t>征集文件</w:t>
      </w:r>
      <w:r>
        <w:rPr>
          <w:rFonts w:hint="eastAsia" w:ascii="宋体" w:hAnsi="宋体"/>
          <w:color w:val="auto"/>
          <w:sz w:val="24"/>
          <w:highlight w:val="none"/>
        </w:rPr>
        <w:t>”的各项规定和要求，对“</w:t>
      </w:r>
      <w:r>
        <w:rPr>
          <w:rFonts w:hint="eastAsia" w:ascii="宋体" w:hAnsi="宋体"/>
          <w:color w:val="auto"/>
          <w:sz w:val="24"/>
          <w:highlight w:val="none"/>
          <w:lang w:eastAsia="zh-CN"/>
        </w:rPr>
        <w:t>征集文件</w:t>
      </w:r>
      <w:r>
        <w:rPr>
          <w:rFonts w:hint="eastAsia" w:ascii="宋体" w:hAnsi="宋体"/>
          <w:color w:val="auto"/>
          <w:sz w:val="24"/>
          <w:highlight w:val="none"/>
        </w:rPr>
        <w:t>”的合理性、合法性不再有异议。</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3.我方同意按照贵方要求提供与投标有关的一切数据或资料。</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4.我方完全理解贵方不一定要接受最低价的投标。</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5.本投标有效期自开标日起</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90 </w:t>
      </w:r>
      <w:r>
        <w:rPr>
          <w:rFonts w:hint="eastAsia" w:ascii="宋体" w:hAnsi="宋体"/>
          <w:color w:val="auto"/>
          <w:sz w:val="24"/>
          <w:highlight w:val="none"/>
        </w:rPr>
        <w:t>个日历天。</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6.如中标，本</w:t>
      </w:r>
      <w:r>
        <w:rPr>
          <w:rFonts w:hint="eastAsia" w:ascii="宋体" w:hAnsi="宋体"/>
          <w:color w:val="auto"/>
          <w:sz w:val="24"/>
          <w:highlight w:val="none"/>
          <w:lang w:eastAsia="zh-CN"/>
        </w:rPr>
        <w:t>响应文件</w:t>
      </w:r>
      <w:r>
        <w:rPr>
          <w:rFonts w:hint="eastAsia" w:ascii="宋体" w:hAnsi="宋体"/>
          <w:color w:val="auto"/>
          <w:sz w:val="24"/>
          <w:highlight w:val="none"/>
        </w:rPr>
        <w:t>至本项目合同履行完毕均保持有效，本</w:t>
      </w:r>
      <w:r>
        <w:rPr>
          <w:rFonts w:hint="eastAsia" w:ascii="宋体" w:hAnsi="宋体"/>
          <w:color w:val="auto"/>
          <w:sz w:val="24"/>
          <w:highlight w:val="none"/>
          <w:lang w:eastAsia="zh-CN"/>
        </w:rPr>
        <w:t>供应商</w:t>
      </w:r>
      <w:r>
        <w:rPr>
          <w:rFonts w:hint="eastAsia" w:ascii="宋体" w:hAnsi="宋体"/>
          <w:color w:val="auto"/>
          <w:sz w:val="24"/>
          <w:highlight w:val="none"/>
        </w:rPr>
        <w:t>将保证忠实地执行双方所签订的合同，并承担合同规定的责任和义务。</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7.我方将严格遵守《中华人民共和国政府采购法》第七十七条、《</w:t>
      </w:r>
      <w:r>
        <w:rPr>
          <w:rFonts w:ascii="宋体" w:hAnsi="宋体" w:cs="Arial"/>
          <w:bCs/>
          <w:color w:val="auto"/>
          <w:kern w:val="0"/>
          <w:sz w:val="24"/>
          <w:highlight w:val="none"/>
        </w:rPr>
        <w:t>浙江省政府采购供应商注册及诚信管理暂行办法</w:t>
      </w:r>
      <w:r>
        <w:rPr>
          <w:rFonts w:hint="eastAsia" w:ascii="宋体" w:hAnsi="宋体" w:cs="Arial"/>
          <w:bCs/>
          <w:color w:val="auto"/>
          <w:kern w:val="0"/>
          <w:sz w:val="24"/>
          <w:highlight w:val="none"/>
        </w:rPr>
        <w:t>》</w:t>
      </w:r>
      <w:r>
        <w:rPr>
          <w:rFonts w:ascii="宋体" w:hAnsi="宋体" w:cs="Arial"/>
          <w:color w:val="auto"/>
          <w:kern w:val="0"/>
          <w:sz w:val="24"/>
          <w:highlight w:val="none"/>
        </w:rPr>
        <w:t>第三十八条</w:t>
      </w:r>
      <w:r>
        <w:rPr>
          <w:rFonts w:hint="eastAsia" w:ascii="宋体" w:hAnsi="宋体" w:cs="Arial"/>
          <w:color w:val="auto"/>
          <w:kern w:val="0"/>
          <w:sz w:val="24"/>
          <w:highlight w:val="none"/>
        </w:rPr>
        <w:t>、</w:t>
      </w:r>
      <w:r>
        <w:rPr>
          <w:rFonts w:ascii="宋体" w:hAnsi="宋体" w:cs="Arial"/>
          <w:color w:val="auto"/>
          <w:kern w:val="0"/>
          <w:sz w:val="24"/>
          <w:highlight w:val="none"/>
        </w:rPr>
        <w:t>第三十九条</w:t>
      </w:r>
      <w:r>
        <w:rPr>
          <w:rFonts w:hint="eastAsia" w:ascii="宋体" w:hAnsi="宋体" w:cs="Arial"/>
          <w:color w:val="auto"/>
          <w:kern w:val="0"/>
          <w:sz w:val="24"/>
          <w:highlight w:val="none"/>
        </w:rPr>
        <w:t>、</w:t>
      </w:r>
      <w:r>
        <w:rPr>
          <w:rFonts w:ascii="宋体" w:hAnsi="宋体" w:cs="Arial"/>
          <w:color w:val="auto"/>
          <w:kern w:val="0"/>
          <w:sz w:val="24"/>
          <w:highlight w:val="none"/>
        </w:rPr>
        <w:t>第四十条</w:t>
      </w:r>
      <w:r>
        <w:rPr>
          <w:rFonts w:hint="eastAsia" w:ascii="宋体" w:hAnsi="宋体"/>
          <w:color w:val="auto"/>
          <w:sz w:val="24"/>
          <w:highlight w:val="none"/>
        </w:rPr>
        <w:t>规定。</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8.与本投标有关的一切正式往来信函请寄：</w:t>
      </w:r>
    </w:p>
    <w:p>
      <w:pPr>
        <w:snapToGrid w:val="0"/>
        <w:spacing w:line="360" w:lineRule="auto"/>
        <w:rPr>
          <w:rFonts w:hint="eastAsia" w:ascii="宋体" w:hAnsi="宋体"/>
          <w:color w:val="auto"/>
          <w:sz w:val="24"/>
          <w:highlight w:val="none"/>
          <w:u w:val="single"/>
        </w:rPr>
      </w:pPr>
      <w:r>
        <w:rPr>
          <w:rFonts w:ascii="宋体" w:hAnsi="宋体"/>
          <w:color w:val="auto"/>
          <w:sz w:val="24"/>
          <w:highlight w:val="none"/>
        </w:rPr>
        <w:t>地址：</w:t>
      </w:r>
      <w:r>
        <w:rPr>
          <w:rFonts w:hint="eastAsia" w:ascii="宋体" w:hAnsi="宋体"/>
          <w:color w:val="auto"/>
          <w:sz w:val="24"/>
          <w:highlight w:val="none"/>
          <w:u w:val="single"/>
        </w:rPr>
        <w:t xml:space="preserve">                          </w:t>
      </w:r>
      <w:r>
        <w:rPr>
          <w:rFonts w:ascii="宋体" w:hAnsi="宋体"/>
          <w:color w:val="auto"/>
          <w:sz w:val="24"/>
          <w:highlight w:val="none"/>
        </w:rPr>
        <w:t>邮编：</w:t>
      </w:r>
      <w:r>
        <w:rPr>
          <w:rFonts w:hint="eastAsia" w:ascii="宋体" w:hAnsi="宋体"/>
          <w:color w:val="auto"/>
          <w:sz w:val="24"/>
          <w:highlight w:val="none"/>
          <w:u w:val="single"/>
        </w:rPr>
        <w:t xml:space="preserve">             </w:t>
      </w:r>
      <w:r>
        <w:rPr>
          <w:rFonts w:ascii="宋体" w:hAnsi="宋体"/>
          <w:color w:val="auto"/>
          <w:sz w:val="24"/>
          <w:highlight w:val="none"/>
        </w:rPr>
        <w:t>电话：</w:t>
      </w:r>
      <w:r>
        <w:rPr>
          <w:rFonts w:hint="eastAsia" w:ascii="宋体" w:hAnsi="宋体"/>
          <w:color w:val="auto"/>
          <w:sz w:val="24"/>
          <w:highlight w:val="none"/>
          <w:u w:val="single"/>
        </w:rPr>
        <w:t xml:space="preserve">              </w:t>
      </w:r>
    </w:p>
    <w:p>
      <w:pPr>
        <w:snapToGrid w:val="0"/>
        <w:spacing w:line="360" w:lineRule="auto"/>
        <w:rPr>
          <w:rFonts w:hint="eastAsia" w:ascii="宋体" w:hAnsi="宋体"/>
          <w:color w:val="auto"/>
          <w:sz w:val="24"/>
          <w:highlight w:val="none"/>
          <w:u w:val="single"/>
        </w:rPr>
      </w:pPr>
      <w:r>
        <w:rPr>
          <w:rFonts w:ascii="宋体" w:hAnsi="宋体"/>
          <w:color w:val="auto"/>
          <w:sz w:val="24"/>
          <w:highlight w:val="none"/>
        </w:rPr>
        <w:t>传真：</w:t>
      </w:r>
      <w:r>
        <w:rPr>
          <w:rFonts w:hint="eastAsia" w:ascii="宋体" w:hAnsi="宋体"/>
          <w:color w:val="auto"/>
          <w:sz w:val="24"/>
          <w:highlight w:val="none"/>
          <w:u w:val="single"/>
        </w:rPr>
        <w:t xml:space="preserve">                </w:t>
      </w:r>
      <w:r>
        <w:rPr>
          <w:rFonts w:hint="eastAsia" w:ascii="宋体" w:hAnsi="宋体"/>
          <w:color w:val="auto"/>
          <w:sz w:val="24"/>
          <w:highlight w:val="none"/>
          <w:lang w:eastAsia="zh-CN"/>
        </w:rPr>
        <w:t>供应商</w:t>
      </w:r>
      <w:r>
        <w:rPr>
          <w:rFonts w:ascii="宋体" w:hAnsi="宋体"/>
          <w:color w:val="auto"/>
          <w:sz w:val="24"/>
          <w:highlight w:val="none"/>
        </w:rPr>
        <w:t>代表姓名</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ascii="宋体" w:hAnsi="宋体"/>
          <w:color w:val="auto"/>
          <w:sz w:val="24"/>
          <w:highlight w:val="none"/>
        </w:rPr>
        <w:t>职务：</w:t>
      </w:r>
      <w:r>
        <w:rPr>
          <w:rFonts w:hint="eastAsia" w:ascii="宋体" w:hAnsi="宋体"/>
          <w:color w:val="auto"/>
          <w:sz w:val="24"/>
          <w:highlight w:val="none"/>
          <w:u w:val="single"/>
        </w:rPr>
        <w:t xml:space="preserve">              </w:t>
      </w:r>
    </w:p>
    <w:p>
      <w:pPr>
        <w:snapToGrid w:val="0"/>
        <w:spacing w:line="360" w:lineRule="auto"/>
        <w:rPr>
          <w:rFonts w:hint="eastAsia" w:ascii="宋体" w:hAnsi="宋体"/>
          <w:color w:val="auto"/>
          <w:sz w:val="24"/>
          <w:highlight w:val="none"/>
          <w:u w:val="single"/>
        </w:rPr>
      </w:pPr>
      <w:r>
        <w:rPr>
          <w:rFonts w:hint="eastAsia" w:ascii="宋体" w:hAnsi="宋体"/>
          <w:color w:val="auto"/>
          <w:sz w:val="24"/>
          <w:highlight w:val="none"/>
          <w:lang w:eastAsia="zh-CN"/>
        </w:rPr>
        <w:t>供应商</w:t>
      </w:r>
      <w:r>
        <w:rPr>
          <w:rFonts w:ascii="宋体" w:hAnsi="宋体"/>
          <w:color w:val="auto"/>
          <w:sz w:val="24"/>
          <w:highlight w:val="none"/>
        </w:rPr>
        <w:t>名称(公章):</w:t>
      </w:r>
      <w:r>
        <w:rPr>
          <w:rFonts w:hint="eastAsia" w:ascii="宋体" w:hAnsi="宋体"/>
          <w:color w:val="auto"/>
          <w:sz w:val="24"/>
          <w:highlight w:val="none"/>
          <w:u w:val="single"/>
        </w:rPr>
        <w:t xml:space="preserve">                                  </w:t>
      </w:r>
    </w:p>
    <w:p>
      <w:pPr>
        <w:snapToGrid w:val="0"/>
        <w:spacing w:line="360" w:lineRule="auto"/>
        <w:rPr>
          <w:rFonts w:ascii="宋体" w:hAnsi="宋体"/>
          <w:color w:val="auto"/>
          <w:sz w:val="24"/>
          <w:highlight w:val="none"/>
        </w:rPr>
      </w:pPr>
      <w:r>
        <w:rPr>
          <w:rFonts w:ascii="宋体" w:hAnsi="宋体"/>
          <w:color w:val="auto"/>
          <w:sz w:val="24"/>
          <w:highlight w:val="none"/>
        </w:rPr>
        <w:t>开户银行：</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银行帐号：</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p>
    <w:p>
      <w:pPr>
        <w:snapToGrid w:val="0"/>
        <w:spacing w:line="360" w:lineRule="auto"/>
        <w:rPr>
          <w:rFonts w:ascii="宋体" w:hAnsi="宋体"/>
          <w:color w:val="auto"/>
          <w:sz w:val="24"/>
          <w:highlight w:val="none"/>
        </w:rPr>
      </w:pPr>
      <w:r>
        <w:rPr>
          <w:rFonts w:hint="eastAsia" w:ascii="宋体" w:hAnsi="宋体"/>
          <w:color w:val="auto"/>
          <w:sz w:val="24"/>
          <w:highlight w:val="none"/>
        </w:rPr>
        <w:t>法定代表人签字：</w:t>
      </w:r>
      <w:r>
        <w:rPr>
          <w:rFonts w:ascii="宋体" w:hAnsi="宋体"/>
          <w:color w:val="auto"/>
          <w:sz w:val="24"/>
          <w:highlight w:val="none"/>
        </w:rPr>
        <w:t>___________   日期:</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p>
    <w:p>
      <w:pPr>
        <w:spacing w:line="360" w:lineRule="auto"/>
        <w:outlineLvl w:val="4"/>
        <w:rPr>
          <w:rFonts w:ascii="宋体" w:hAnsi="宋体"/>
          <w:highlight w:val="none"/>
        </w:rPr>
      </w:pPr>
    </w:p>
    <w:p>
      <w:pPr>
        <w:spacing w:line="360" w:lineRule="auto"/>
        <w:outlineLvl w:val="4"/>
        <w:rPr>
          <w:rFonts w:ascii="宋体" w:hAnsi="宋体"/>
          <w:highlight w:val="none"/>
        </w:rPr>
      </w:pPr>
    </w:p>
    <w:p>
      <w:pPr>
        <w:pStyle w:val="2"/>
        <w:ind w:left="480" w:firstLine="464"/>
        <w:rPr>
          <w:rFonts w:hAnsi="宋体"/>
          <w:sz w:val="24"/>
          <w:highlight w:val="none"/>
        </w:rPr>
      </w:pPr>
    </w:p>
    <w:p>
      <w:pPr>
        <w:rPr>
          <w:rFonts w:ascii="宋体" w:hAnsi="宋体"/>
          <w:highlight w:val="none"/>
        </w:rPr>
      </w:pPr>
    </w:p>
    <w:p>
      <w:pPr>
        <w:pStyle w:val="2"/>
        <w:ind w:left="480" w:firstLine="404"/>
        <w:rPr>
          <w:highlight w:val="none"/>
        </w:rPr>
      </w:pPr>
    </w:p>
    <w:p>
      <w:pPr>
        <w:spacing w:line="360" w:lineRule="auto"/>
        <w:rPr>
          <w:rFonts w:hint="eastAsia" w:ascii="宋体" w:hAnsi="宋体"/>
          <w:highlight w:val="none"/>
        </w:rPr>
      </w:pPr>
      <w:r>
        <w:rPr>
          <w:rFonts w:hint="eastAsia" w:ascii="宋体" w:hAnsi="宋体"/>
          <w:highlight w:val="none"/>
        </w:rPr>
        <w:t>4.</w:t>
      </w:r>
      <w:r>
        <w:rPr>
          <w:rFonts w:hint="eastAsia" w:ascii="宋体" w:hAnsi="宋体"/>
          <w:highlight w:val="none"/>
          <w:lang w:eastAsia="zh-CN"/>
        </w:rPr>
        <w:t>报价一览表</w:t>
      </w:r>
      <w:r>
        <w:rPr>
          <w:rFonts w:hint="eastAsia" w:ascii="宋体" w:hAnsi="宋体"/>
          <w:highlight w:val="none"/>
        </w:rPr>
        <w:t xml:space="preserve"> </w:t>
      </w:r>
    </w:p>
    <w:p>
      <w:pPr>
        <w:snapToGrid w:val="0"/>
        <w:jc w:val="center"/>
        <w:rPr>
          <w:rFonts w:ascii="宋体" w:hAnsi="宋体"/>
          <w:b/>
          <w:sz w:val="36"/>
          <w:szCs w:val="36"/>
          <w:highlight w:val="none"/>
        </w:rPr>
      </w:pPr>
      <w:bookmarkStart w:id="93" w:name="_Toc369700782"/>
    </w:p>
    <w:p>
      <w:pPr>
        <w:snapToGrid w:val="0"/>
        <w:spacing w:line="360" w:lineRule="auto"/>
        <w:jc w:val="center"/>
        <w:rPr>
          <w:rFonts w:ascii="宋体" w:hAnsi="宋体"/>
          <w:b/>
          <w:bCs/>
          <w:highlight w:val="none"/>
        </w:rPr>
      </w:pPr>
      <w:r>
        <w:rPr>
          <w:rFonts w:hint="eastAsia" w:asciiTheme="majorEastAsia" w:hAnsiTheme="majorEastAsia" w:eastAsiaTheme="majorEastAsia" w:cstheme="majorEastAsia"/>
          <w:b/>
          <w:bCs/>
          <w:spacing w:val="-4"/>
          <w:highlight w:val="none"/>
          <w:lang w:eastAsia="zh-CN"/>
        </w:rPr>
        <w:t>报价一览表</w:t>
      </w:r>
      <w:r>
        <w:rPr>
          <w:rFonts w:hint="eastAsia" w:ascii="宋体" w:hAnsi="宋体"/>
          <w:b/>
          <w:bCs/>
          <w:highlight w:val="none"/>
        </w:rPr>
        <w:t xml:space="preserve"> </w:t>
      </w:r>
    </w:p>
    <w:tbl>
      <w:tblPr>
        <w:tblStyle w:val="18"/>
        <w:tblpPr w:leftFromText="180" w:rightFromText="180" w:vertAnchor="text" w:tblpXSpec="center" w:tblpY="1"/>
        <w:tblOverlap w:val="never"/>
        <w:tblW w:w="889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390"/>
        <w:gridCol w:w="3705"/>
        <w:gridCol w:w="2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Arial"/>
                <w:highlight w:val="none"/>
              </w:rPr>
            </w:pPr>
            <w:r>
              <w:rPr>
                <w:rFonts w:hint="eastAsia" w:ascii="宋体" w:hAnsi="宋体" w:cs="Arial"/>
                <w:highlight w:val="none"/>
              </w:rPr>
              <w:t>序号</w:t>
            </w:r>
          </w:p>
        </w:tc>
        <w:tc>
          <w:tcPr>
            <w:tcW w:w="239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Arial"/>
                <w:highlight w:val="none"/>
              </w:rPr>
            </w:pPr>
            <w:r>
              <w:rPr>
                <w:rFonts w:hint="eastAsia" w:ascii="宋体" w:hAnsi="宋体" w:cs="Arial"/>
                <w:highlight w:val="none"/>
              </w:rPr>
              <w:t>计价项目名称</w:t>
            </w:r>
          </w:p>
        </w:tc>
        <w:tc>
          <w:tcPr>
            <w:tcW w:w="370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Arial"/>
                <w:highlight w:val="none"/>
              </w:rPr>
            </w:pPr>
            <w:r>
              <w:rPr>
                <w:rFonts w:hint="eastAsia" w:ascii="宋体" w:hAnsi="宋体" w:cs="Arial"/>
                <w:highlight w:val="none"/>
              </w:rPr>
              <w:t>最高限制单价</w:t>
            </w:r>
          </w:p>
        </w:tc>
        <w:tc>
          <w:tcPr>
            <w:tcW w:w="209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s="Arial"/>
                <w:highlight w:val="none"/>
              </w:rPr>
            </w:pPr>
            <w:r>
              <w:rPr>
                <w:rFonts w:hint="eastAsia" w:ascii="宋体" w:hAnsi="宋体" w:cs="Arial"/>
                <w:highlight w:val="none"/>
              </w:rPr>
              <w:t>优惠率（%）</w:t>
            </w:r>
          </w:p>
          <w:p>
            <w:pPr>
              <w:snapToGrid w:val="0"/>
              <w:spacing w:line="360" w:lineRule="auto"/>
              <w:jc w:val="center"/>
              <w:rPr>
                <w:rFonts w:ascii="宋体" w:hAnsi="宋体" w:cs="Arial"/>
                <w:highlight w:val="none"/>
              </w:rPr>
            </w:pPr>
            <w:r>
              <w:rPr>
                <w:rFonts w:hint="eastAsia" w:ascii="宋体" w:hAnsi="宋体" w:cs="Arial"/>
                <w:b/>
                <w:bCs/>
                <w:sz w:val="18"/>
                <w:szCs w:val="18"/>
                <w:highlight w:val="none"/>
              </w:rPr>
              <w:t>填列到百分比的个位数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Arial"/>
                <w:highlight w:val="none"/>
              </w:rPr>
            </w:pPr>
            <w:r>
              <w:rPr>
                <w:rFonts w:ascii="宋体" w:hAnsi="宋体" w:cs="Arial"/>
                <w:highlight w:val="none"/>
              </w:rPr>
              <w:t>1</w:t>
            </w:r>
          </w:p>
        </w:tc>
        <w:tc>
          <w:tcPr>
            <w:tcW w:w="239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Arial"/>
                <w:highlight w:val="none"/>
              </w:rPr>
            </w:pPr>
            <w:r>
              <w:rPr>
                <w:rFonts w:hint="eastAsia" w:ascii="宋体" w:hAnsi="宋体" w:cs="Arial"/>
                <w:highlight w:val="none"/>
                <w:lang w:eastAsia="zh-CN"/>
              </w:rPr>
              <w:t>预算绩效评价咨询服务</w:t>
            </w:r>
          </w:p>
        </w:tc>
        <w:tc>
          <w:tcPr>
            <w:tcW w:w="370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hAnsi="宋体" w:cs="宋体"/>
                <w:sz w:val="24"/>
                <w:highlight w:val="none"/>
              </w:rPr>
            </w:pPr>
            <w:r>
              <w:rPr>
                <w:rFonts w:hint="eastAsia" w:hAnsi="宋体" w:cs="宋体"/>
                <w:sz w:val="24"/>
                <w:highlight w:val="none"/>
              </w:rPr>
              <w:t>中级技术职称及以下专业人员</w:t>
            </w:r>
            <w:r>
              <w:rPr>
                <w:rFonts w:hint="eastAsia" w:ascii="宋体" w:hAnsi="宋体" w:cs="宋体"/>
                <w:sz w:val="24"/>
                <w:szCs w:val="24"/>
                <w:highlight w:val="none"/>
                <w:lang w:val="en-US" w:eastAsia="zh-CN"/>
              </w:rPr>
              <w:t>3</w:t>
            </w:r>
            <w:r>
              <w:rPr>
                <w:rFonts w:hint="default" w:ascii="宋体" w:hAnsi="宋体" w:cs="宋体"/>
                <w:sz w:val="24"/>
                <w:szCs w:val="24"/>
                <w:highlight w:val="none"/>
                <w:lang w:val="en-US"/>
              </w:rPr>
              <w:t>00</w:t>
            </w:r>
            <w:r>
              <w:rPr>
                <w:rFonts w:hint="eastAsia" w:ascii="宋体" w:hAnsi="宋体" w:eastAsia="宋体" w:cs="宋体"/>
                <w:sz w:val="24"/>
                <w:szCs w:val="24"/>
                <w:highlight w:val="none"/>
              </w:rPr>
              <w:t>元/人·</w:t>
            </w:r>
            <w:r>
              <w:rPr>
                <w:rFonts w:hint="eastAsia" w:ascii="宋体" w:hAnsi="宋体" w:cs="宋体"/>
                <w:sz w:val="24"/>
                <w:szCs w:val="24"/>
                <w:highlight w:val="none"/>
                <w:lang w:eastAsia="zh-CN"/>
              </w:rPr>
              <w:t>半</w:t>
            </w:r>
            <w:r>
              <w:rPr>
                <w:rFonts w:hint="eastAsia" w:ascii="宋体" w:hAnsi="宋体" w:eastAsia="宋体" w:cs="宋体"/>
                <w:sz w:val="24"/>
                <w:szCs w:val="24"/>
                <w:highlight w:val="none"/>
              </w:rPr>
              <w:t>天</w:t>
            </w:r>
            <w:r>
              <w:rPr>
                <w:rFonts w:hint="eastAsia" w:hAnsi="宋体" w:cs="宋体"/>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Arial"/>
                <w:highlight w:val="none"/>
              </w:rPr>
            </w:pPr>
            <w:r>
              <w:rPr>
                <w:rFonts w:hint="eastAsia" w:hAnsi="宋体" w:cs="宋体"/>
                <w:sz w:val="24"/>
                <w:highlight w:val="none"/>
              </w:rPr>
              <w:t>副高级技术职称专业人员以上、注册会计师或其他同等资格人员</w:t>
            </w:r>
            <w:r>
              <w:rPr>
                <w:rFonts w:hint="eastAsia" w:ascii="宋体" w:hAnsi="宋体" w:cs="宋体"/>
                <w:sz w:val="24"/>
                <w:szCs w:val="24"/>
                <w:highlight w:val="none"/>
                <w:lang w:val="en-US" w:eastAsia="zh-CN"/>
              </w:rPr>
              <w:t>6</w:t>
            </w:r>
            <w:r>
              <w:rPr>
                <w:rFonts w:hint="default" w:ascii="宋体" w:hAnsi="宋体" w:cs="宋体"/>
                <w:sz w:val="24"/>
                <w:szCs w:val="24"/>
                <w:highlight w:val="none"/>
                <w:lang w:val="en-US"/>
              </w:rPr>
              <w:t>00</w:t>
            </w:r>
            <w:r>
              <w:rPr>
                <w:rFonts w:hint="eastAsia" w:ascii="宋体" w:hAnsi="宋体" w:eastAsia="宋体" w:cs="宋体"/>
                <w:sz w:val="24"/>
                <w:szCs w:val="24"/>
                <w:highlight w:val="none"/>
              </w:rPr>
              <w:t>元/人·</w:t>
            </w:r>
            <w:r>
              <w:rPr>
                <w:rFonts w:hint="eastAsia" w:ascii="宋体" w:hAnsi="宋体" w:cs="宋体"/>
                <w:sz w:val="24"/>
                <w:szCs w:val="24"/>
                <w:highlight w:val="none"/>
                <w:lang w:eastAsia="zh-CN"/>
              </w:rPr>
              <w:t>半</w:t>
            </w:r>
            <w:r>
              <w:rPr>
                <w:rFonts w:hint="eastAsia" w:ascii="宋体" w:hAnsi="宋体" w:eastAsia="宋体" w:cs="宋体"/>
                <w:sz w:val="24"/>
                <w:szCs w:val="24"/>
                <w:highlight w:val="none"/>
              </w:rPr>
              <w:t>天</w:t>
            </w:r>
            <w:r>
              <w:rPr>
                <w:rFonts w:hint="eastAsia" w:hAnsi="宋体" w:cs="宋体"/>
                <w:sz w:val="24"/>
                <w:highlight w:val="none"/>
              </w:rPr>
              <w:t xml:space="preserve"> </w:t>
            </w:r>
          </w:p>
        </w:tc>
        <w:tc>
          <w:tcPr>
            <w:tcW w:w="209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Arial"/>
                <w:highlight w:val="none"/>
              </w:rPr>
            </w:pPr>
          </w:p>
        </w:tc>
      </w:tr>
      <w:bookmarkEnd w:id="93"/>
    </w:tbl>
    <w:p>
      <w:pPr>
        <w:widowControl/>
        <w:numPr>
          <w:ilvl w:val="0"/>
          <w:numId w:val="0"/>
        </w:numPr>
        <w:spacing w:line="360" w:lineRule="auto"/>
        <w:ind w:firstLine="482" w:firstLineChars="200"/>
        <w:jc w:val="left"/>
        <w:rPr>
          <w:rFonts w:hint="eastAsia" w:hAnsi="宋体" w:cs="宋体"/>
          <w:b/>
          <w:bCs/>
          <w:sz w:val="24"/>
          <w:highlight w:val="none"/>
          <w:lang w:val="en-US" w:eastAsia="zh-CN"/>
        </w:rPr>
      </w:pPr>
      <w:r>
        <w:rPr>
          <w:rFonts w:hint="eastAsia" w:hAnsi="宋体" w:cs="宋体"/>
          <w:b/>
          <w:bCs/>
          <w:sz w:val="24"/>
          <w:highlight w:val="none"/>
          <w:lang w:val="en-US" w:eastAsia="zh-CN"/>
        </w:rPr>
        <w:t>备注：</w:t>
      </w:r>
    </w:p>
    <w:p>
      <w:pPr>
        <w:widowControl/>
        <w:numPr>
          <w:ilvl w:val="0"/>
          <w:numId w:val="0"/>
        </w:numPr>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lang w:val="en-US" w:eastAsia="zh-CN"/>
        </w:rPr>
        <w:t>1.</w:t>
      </w:r>
      <w:r>
        <w:rPr>
          <w:rFonts w:hint="eastAsia" w:ascii="宋体" w:hAnsi="宋体"/>
          <w:highlight w:val="none"/>
        </w:rPr>
        <w:t>▲</w:t>
      </w:r>
      <w:r>
        <w:rPr>
          <w:rFonts w:hint="eastAsia" w:hAnsi="宋体" w:cs="宋体"/>
          <w:b/>
          <w:bCs/>
          <w:sz w:val="24"/>
          <w:highlight w:val="none"/>
        </w:rPr>
        <w:t>优惠率填列到百分比的个位数，如优惠率为12%有效，12.1%和12.01%均为无效</w:t>
      </w:r>
      <w:r>
        <w:rPr>
          <w:rFonts w:hint="eastAsia" w:ascii="宋体" w:hAnsi="宋体" w:eastAsia="宋体" w:cs="宋体"/>
          <w:b w:val="0"/>
          <w:bCs w:val="0"/>
          <w:sz w:val="24"/>
          <w:highlight w:val="none"/>
        </w:rPr>
        <w:t>，实际服务费用按照优惠率结算（实际服务费用=基准价*（1-优惠率））。</w:t>
      </w:r>
    </w:p>
    <w:p>
      <w:pPr>
        <w:widowControl/>
        <w:spacing w:line="360" w:lineRule="auto"/>
        <w:ind w:firstLine="480" w:firstLineChars="200"/>
        <w:jc w:val="left"/>
        <w:rPr>
          <w:rFonts w:hint="eastAsia" w:ascii="宋体" w:hAnsi="宋体" w:eastAsia="宋体" w:cs="宋体"/>
          <w:b w:val="0"/>
          <w:bCs w:val="0"/>
          <w:highlight w:val="none"/>
        </w:rPr>
      </w:pPr>
      <w:r>
        <w:rPr>
          <w:rFonts w:hint="eastAsia" w:ascii="宋体" w:hAnsi="宋体" w:eastAsia="宋体" w:cs="宋体"/>
          <w:b w:val="0"/>
          <w:bCs w:val="0"/>
          <w:highlight w:val="none"/>
          <w:lang w:val="en-US" w:eastAsia="zh-CN"/>
        </w:rPr>
        <w:t>2.</w:t>
      </w:r>
      <w:r>
        <w:rPr>
          <w:rFonts w:hint="eastAsia" w:ascii="宋体" w:hAnsi="宋体" w:eastAsia="宋体" w:cs="宋体"/>
          <w:b w:val="0"/>
          <w:bCs w:val="0"/>
          <w:highlight w:val="none"/>
        </w:rPr>
        <w:t>需赴外地的，差旅费按政府机关出差标准据实计算，并按规定执行。</w:t>
      </w:r>
    </w:p>
    <w:p>
      <w:pPr>
        <w:widowControl/>
        <w:spacing w:line="360" w:lineRule="auto"/>
        <w:ind w:firstLine="480" w:firstLineChars="200"/>
        <w:jc w:val="left"/>
        <w:rPr>
          <w:rFonts w:ascii="宋体" w:hAnsi="宋体"/>
          <w:b w:val="0"/>
          <w:bCs w:val="0"/>
          <w:highlight w:val="none"/>
        </w:rPr>
      </w:pPr>
      <w:r>
        <w:rPr>
          <w:rFonts w:hint="eastAsia" w:ascii="宋体" w:hAnsi="宋体" w:eastAsia="宋体" w:cs="宋体"/>
          <w:b w:val="0"/>
          <w:bCs w:val="0"/>
          <w:color w:val="333333"/>
          <w:kern w:val="0"/>
          <w:highlight w:val="none"/>
          <w:shd w:val="clear" w:color="auto" w:fill="FFFFFF"/>
          <w:lang w:val="en-US" w:eastAsia="zh-CN"/>
        </w:rPr>
        <w:t>3.</w:t>
      </w:r>
      <w:r>
        <w:rPr>
          <w:rFonts w:hint="eastAsia" w:ascii="宋体" w:hAnsi="宋体" w:eastAsia="宋体" w:cs="宋体"/>
          <w:b w:val="0"/>
          <w:bCs w:val="0"/>
          <w:color w:val="333333"/>
          <w:kern w:val="0"/>
          <w:highlight w:val="none"/>
          <w:shd w:val="clear" w:color="auto" w:fill="FFFFFF"/>
        </w:rPr>
        <w:t>供应商响应优惠率</w:t>
      </w:r>
      <w:r>
        <w:rPr>
          <w:rFonts w:hint="eastAsia" w:ascii="宋体" w:hAnsi="宋体"/>
          <w:b w:val="0"/>
          <w:bCs w:val="0"/>
          <w:color w:val="333333"/>
          <w:kern w:val="0"/>
          <w:highlight w:val="none"/>
          <w:shd w:val="clear" w:color="auto" w:fill="FFFFFF"/>
        </w:rPr>
        <w:t>为框架协议第一阶段响应报价，该报价是采购人或者服务对象确定第二阶段成交供应商的最高限价。</w:t>
      </w:r>
    </w:p>
    <w:p>
      <w:pPr>
        <w:rPr>
          <w:highlight w:val="none"/>
        </w:rPr>
      </w:pPr>
    </w:p>
    <w:p>
      <w:pPr>
        <w:tabs>
          <w:tab w:val="left" w:pos="1418"/>
        </w:tabs>
        <w:spacing w:line="360" w:lineRule="auto"/>
        <w:rPr>
          <w:rFonts w:ascii="宋体" w:hAnsi="宋体"/>
          <w:bCs/>
          <w:highlight w:val="none"/>
        </w:rPr>
      </w:pPr>
      <w:r>
        <w:rPr>
          <w:rFonts w:hint="eastAsia" w:ascii="宋体" w:hAnsi="宋体"/>
          <w:highlight w:val="none"/>
        </w:rPr>
        <w:t>法定代表人或委托代理人签名：</w:t>
      </w:r>
    </w:p>
    <w:p>
      <w:pPr>
        <w:tabs>
          <w:tab w:val="left" w:pos="1418"/>
        </w:tabs>
        <w:spacing w:line="360" w:lineRule="auto"/>
        <w:rPr>
          <w:rFonts w:ascii="宋体" w:hAnsi="宋体"/>
          <w:bCs/>
          <w:highlight w:val="none"/>
        </w:rPr>
      </w:pPr>
      <w:r>
        <w:rPr>
          <w:rFonts w:hint="eastAsia" w:ascii="宋体" w:hAnsi="宋体"/>
          <w:bCs/>
          <w:highlight w:val="none"/>
        </w:rPr>
        <w:t>投 标 人（盖章）：                              年  月  日</w:t>
      </w:r>
    </w:p>
    <w:p>
      <w:pPr>
        <w:pStyle w:val="28"/>
        <w:spacing w:line="360" w:lineRule="auto"/>
        <w:jc w:val="center"/>
        <w:rPr>
          <w:rFonts w:hAnsi="宋体" w:eastAsia="宋体" w:cs="宋体"/>
          <w:sz w:val="24"/>
          <w:szCs w:val="24"/>
          <w:highlight w:val="none"/>
        </w:rPr>
      </w:pPr>
    </w:p>
    <w:p>
      <w:pPr>
        <w:pStyle w:val="2"/>
        <w:rPr>
          <w:highlight w:val="none"/>
        </w:rPr>
      </w:pPr>
    </w:p>
    <w:sectPr>
      <w:headerReference r:id="rId4" w:type="default"/>
      <w:footerReference r:id="rId5" w:type="default"/>
      <w:pgSz w:w="11906" w:h="16838"/>
      <w:pgMar w:top="1440" w:right="1083" w:bottom="1440" w:left="1083" w:header="851"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720" w:firstLine="210" w:firstLineChars="10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727835" cy="1727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727835" cy="172720"/>
                      </a:xfrm>
                      <a:prstGeom prst="rect">
                        <a:avLst/>
                      </a:prstGeom>
                      <a:noFill/>
                      <a:ln>
                        <a:noFill/>
                      </a:ln>
                      <a:effectLst/>
                    </wps:spPr>
                    <wps:txbx>
                      <w:txbxContent>
                        <w:p>
                          <w:pPr>
                            <w:pStyle w:val="14"/>
                            <w:ind w:right="720" w:firstLine="180" w:firstLineChars="100"/>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3.6pt;width:136.05pt;mso-position-horizontal:right;mso-position-horizontal-relative:margin;mso-wrap-style:none;z-index:251659264;mso-width-relative:page;mso-height-relative:page;" filled="f" stroked="f" coordsize="21600,21600" o:gfxdata="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4nLDK0AAAAAQBAAAPAAAAAAAAAAEAIAAAACIAAABkcnMv&#10;ZG93bnJldi54bWxQSwECFAAUAAAACACHTuJA/b+3GNIBAACmAwAADgAAAAAAAAABACAAAAAfAQAA&#10;ZHJzL2Uyb0RvYy54bWxQSwUGAAAAAAYABgBZAQAAYwUAAAAA&#10;">
              <v:fill on="f" focussize="0,0"/>
              <v:stroke on="f"/>
              <v:imagedata o:title=""/>
              <o:lock v:ext="edit" aspectratio="f"/>
              <v:textbox inset="0mm,0mm,0mm,0mm" style="mso-fit-shape-to-text:t;">
                <w:txbxContent>
                  <w:p>
                    <w:pPr>
                      <w:pStyle w:val="14"/>
                      <w:ind w:right="720" w:firstLine="180" w:firstLineChars="100"/>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p>
    <w:pPr>
      <w:pStyle w:val="14"/>
      <w:ind w:right="720" w:firstLine="210" w:firstLineChars="100"/>
      <w:jc w:val="center"/>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884E0"/>
    <w:multiLevelType w:val="singleLevel"/>
    <w:tmpl w:val="88E884E0"/>
    <w:lvl w:ilvl="0" w:tentative="0">
      <w:start w:val="3"/>
      <w:numFmt w:val="chineseCounting"/>
      <w:suff w:val="nothing"/>
      <w:lvlText w:val="%1、"/>
      <w:lvlJc w:val="left"/>
      <w:rPr>
        <w:rFonts w:hint="eastAsia"/>
      </w:rPr>
    </w:lvl>
  </w:abstractNum>
  <w:abstractNum w:abstractNumId="1">
    <w:nsid w:val="AB7F1320"/>
    <w:multiLevelType w:val="singleLevel"/>
    <w:tmpl w:val="AB7F1320"/>
    <w:lvl w:ilvl="0" w:tentative="0">
      <w:start w:val="3"/>
      <w:numFmt w:val="chineseCounting"/>
      <w:suff w:val="nothing"/>
      <w:lvlText w:val="（%1）"/>
      <w:lvlJc w:val="left"/>
      <w:rPr>
        <w:rFonts w:hint="eastAsia"/>
      </w:rPr>
    </w:lvl>
  </w:abstractNum>
  <w:abstractNum w:abstractNumId="2">
    <w:nsid w:val="AF9200B9"/>
    <w:multiLevelType w:val="singleLevel"/>
    <w:tmpl w:val="AF9200B9"/>
    <w:lvl w:ilvl="0" w:tentative="0">
      <w:start w:val="2"/>
      <w:numFmt w:val="chineseCounting"/>
      <w:suff w:val="nothing"/>
      <w:lvlText w:val="（%1）"/>
      <w:lvlJc w:val="left"/>
      <w:rPr>
        <w:rFonts w:hint="eastAsia"/>
      </w:rPr>
    </w:lvl>
  </w:abstractNum>
  <w:abstractNum w:abstractNumId="3">
    <w:nsid w:val="ED535DDF"/>
    <w:multiLevelType w:val="singleLevel"/>
    <w:tmpl w:val="ED535DDF"/>
    <w:lvl w:ilvl="0" w:tentative="0">
      <w:start w:val="2"/>
      <w:numFmt w:val="decimal"/>
      <w:lvlText w:val="%1."/>
      <w:lvlJc w:val="left"/>
      <w:pPr>
        <w:tabs>
          <w:tab w:val="left" w:pos="312"/>
        </w:tabs>
      </w:pPr>
    </w:lvl>
  </w:abstractNum>
  <w:abstractNum w:abstractNumId="4">
    <w:nsid w:val="2842CB26"/>
    <w:multiLevelType w:val="singleLevel"/>
    <w:tmpl w:val="2842CB26"/>
    <w:lvl w:ilvl="0" w:tentative="0">
      <w:start w:val="2"/>
      <w:numFmt w:val="chineseCounting"/>
      <w:suff w:val="nothing"/>
      <w:lvlText w:val="%1、"/>
      <w:lvlJc w:val="left"/>
      <w:rPr>
        <w:rFonts w:hint="eastAsia"/>
      </w:rPr>
    </w:lvl>
  </w:abstractNum>
  <w:abstractNum w:abstractNumId="5">
    <w:nsid w:val="362E736B"/>
    <w:multiLevelType w:val="singleLevel"/>
    <w:tmpl w:val="362E736B"/>
    <w:lvl w:ilvl="0" w:tentative="0">
      <w:start w:val="8"/>
      <w:numFmt w:val="chineseCounting"/>
      <w:suff w:val="nothing"/>
      <w:lvlText w:val="%1、"/>
      <w:lvlJc w:val="left"/>
      <w:rPr>
        <w:rFonts w:hint="eastAsia"/>
      </w:rPr>
    </w:lvl>
  </w:abstractNum>
  <w:abstractNum w:abstractNumId="6">
    <w:nsid w:val="60354BE1"/>
    <w:multiLevelType w:val="singleLevel"/>
    <w:tmpl w:val="60354BE1"/>
    <w:lvl w:ilvl="0" w:tentative="0">
      <w:start w:val="1"/>
      <w:numFmt w:val="decimal"/>
      <w:pStyle w:val="7"/>
      <w:lvlText w:val="%1."/>
      <w:lvlJc w:val="left"/>
      <w:pPr>
        <w:tabs>
          <w:tab w:val="left" w:pos="360"/>
        </w:tabs>
        <w:ind w:left="360" w:hanging="360"/>
      </w:pPr>
    </w:lvl>
  </w:abstractNum>
  <w:abstractNum w:abstractNumId="7">
    <w:nsid w:val="6AB019D5"/>
    <w:multiLevelType w:val="singleLevel"/>
    <w:tmpl w:val="6AB019D5"/>
    <w:lvl w:ilvl="0" w:tentative="0">
      <w:start w:val="4"/>
      <w:numFmt w:val="decimal"/>
      <w:lvlText w:val="%1."/>
      <w:lvlJc w:val="left"/>
      <w:pPr>
        <w:tabs>
          <w:tab w:val="left" w:pos="312"/>
        </w:tabs>
      </w:pPr>
    </w:lvl>
  </w:abstractNum>
  <w:num w:numId="1">
    <w:abstractNumId w:val="6"/>
  </w:num>
  <w:num w:numId="2">
    <w:abstractNumId w:val="1"/>
  </w:num>
  <w:num w:numId="3">
    <w:abstractNumId w:val="7"/>
  </w:num>
  <w:num w:numId="4">
    <w:abstractNumId w:val="4"/>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187"/>
    <w:rsid w:val="00072458"/>
    <w:rsid w:val="005B0518"/>
    <w:rsid w:val="006F08EC"/>
    <w:rsid w:val="00765F66"/>
    <w:rsid w:val="00791BA7"/>
    <w:rsid w:val="00797A38"/>
    <w:rsid w:val="007B762B"/>
    <w:rsid w:val="0096079D"/>
    <w:rsid w:val="00995155"/>
    <w:rsid w:val="009A0187"/>
    <w:rsid w:val="009F37AC"/>
    <w:rsid w:val="00A04B43"/>
    <w:rsid w:val="00A641EB"/>
    <w:rsid w:val="00D61962"/>
    <w:rsid w:val="00D66AE8"/>
    <w:rsid w:val="00DC50A5"/>
    <w:rsid w:val="00ED4825"/>
    <w:rsid w:val="00EE2DA1"/>
    <w:rsid w:val="00F27EFD"/>
    <w:rsid w:val="00F97554"/>
    <w:rsid w:val="05BB2A69"/>
    <w:rsid w:val="05E645AB"/>
    <w:rsid w:val="0740145D"/>
    <w:rsid w:val="07750A4F"/>
    <w:rsid w:val="096812F6"/>
    <w:rsid w:val="09D715C6"/>
    <w:rsid w:val="0D672A3C"/>
    <w:rsid w:val="0FCB577D"/>
    <w:rsid w:val="10495B1C"/>
    <w:rsid w:val="11FB3D33"/>
    <w:rsid w:val="16C91B31"/>
    <w:rsid w:val="1A4267F6"/>
    <w:rsid w:val="1A5B334B"/>
    <w:rsid w:val="1ABF2869"/>
    <w:rsid w:val="1CD7465F"/>
    <w:rsid w:val="20860509"/>
    <w:rsid w:val="211A3AE6"/>
    <w:rsid w:val="215178DE"/>
    <w:rsid w:val="264F486A"/>
    <w:rsid w:val="29007D4E"/>
    <w:rsid w:val="29122ECD"/>
    <w:rsid w:val="2C64676A"/>
    <w:rsid w:val="30C91F35"/>
    <w:rsid w:val="33FD50FA"/>
    <w:rsid w:val="34835446"/>
    <w:rsid w:val="3B98674D"/>
    <w:rsid w:val="400D53BA"/>
    <w:rsid w:val="409E046A"/>
    <w:rsid w:val="42E53E82"/>
    <w:rsid w:val="43112158"/>
    <w:rsid w:val="44646A2B"/>
    <w:rsid w:val="47042B37"/>
    <w:rsid w:val="48635D63"/>
    <w:rsid w:val="489B56CF"/>
    <w:rsid w:val="4995081B"/>
    <w:rsid w:val="4AAA02A7"/>
    <w:rsid w:val="4E5A5D55"/>
    <w:rsid w:val="54771AAB"/>
    <w:rsid w:val="55BF0DA9"/>
    <w:rsid w:val="5A72728C"/>
    <w:rsid w:val="5BCA5E87"/>
    <w:rsid w:val="5D49610B"/>
    <w:rsid w:val="630B32EB"/>
    <w:rsid w:val="662E2EBF"/>
    <w:rsid w:val="67326DEE"/>
    <w:rsid w:val="678371C8"/>
    <w:rsid w:val="6BFF57BE"/>
    <w:rsid w:val="6CD30E0D"/>
    <w:rsid w:val="6D9E0ECD"/>
    <w:rsid w:val="71D80910"/>
    <w:rsid w:val="742E00A5"/>
    <w:rsid w:val="74DD4E81"/>
    <w:rsid w:val="79645A2E"/>
    <w:rsid w:val="79AB2792"/>
    <w:rsid w:val="79D95B3A"/>
    <w:rsid w:val="7D05227E"/>
    <w:rsid w:val="7DDB39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4"/>
      <w:szCs w:val="24"/>
      <w:lang w:val="en-US" w:eastAsia="zh-CN" w:bidi="ar-SA"/>
    </w:rPr>
  </w:style>
  <w:style w:type="paragraph" w:styleId="5">
    <w:name w:val="heading 1"/>
    <w:basedOn w:val="1"/>
    <w:next w:val="1"/>
    <w:qFormat/>
    <w:uiPriority w:val="0"/>
    <w:pPr>
      <w:keepNext/>
      <w:keepLines/>
      <w:spacing w:before="340" w:after="330" w:line="360" w:lineRule="auto"/>
      <w:jc w:val="center"/>
      <w:outlineLvl w:val="0"/>
    </w:pPr>
    <w:rPr>
      <w:rFonts w:ascii="楷体_GB2312" w:eastAsia="楷体_GB2312" w:cs="Times New Roman"/>
      <w:b/>
      <w:bCs/>
      <w:kern w:val="44"/>
      <w:sz w:val="44"/>
      <w:szCs w:val="44"/>
    </w:rPr>
  </w:style>
  <w:style w:type="paragraph" w:styleId="6">
    <w:name w:val="heading 2"/>
    <w:basedOn w:val="1"/>
    <w:next w:val="1"/>
    <w:qFormat/>
    <w:uiPriority w:val="0"/>
    <w:pPr>
      <w:keepNext/>
      <w:keepLines/>
      <w:spacing w:line="540" w:lineRule="exact"/>
      <w:jc w:val="left"/>
      <w:outlineLvl w:val="1"/>
    </w:pPr>
    <w:rPr>
      <w:rFonts w:ascii="Arial" w:hAnsi="Arial" w:cs="Times New Roman"/>
      <w:b/>
      <w:bCs/>
      <w:kern w:val="0"/>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pacing w:after="120" w:line="240" w:lineRule="auto"/>
      <w:ind w:left="420" w:leftChars="200" w:firstLine="420" w:firstLineChars="200"/>
    </w:pPr>
    <w:rPr>
      <w:sz w:val="21"/>
      <w:szCs w:val="24"/>
    </w:rPr>
  </w:style>
  <w:style w:type="paragraph" w:styleId="3">
    <w:name w:val="Body Text Indent"/>
    <w:basedOn w:val="1"/>
    <w:next w:val="2"/>
    <w:qFormat/>
    <w:uiPriority w:val="0"/>
    <w:pPr>
      <w:spacing w:line="200" w:lineRule="exact"/>
      <w:ind w:firstLine="301"/>
    </w:pPr>
    <w:rPr>
      <w:rFonts w:ascii="宋体" w:hAnsi="Courier New" w:cs="Times New Roman"/>
      <w:spacing w:val="-4"/>
      <w:kern w:val="0"/>
      <w:sz w:val="18"/>
      <w:szCs w:val="20"/>
    </w:rPr>
  </w:style>
  <w:style w:type="paragraph" w:customStyle="1" w:styleId="4">
    <w:name w:val="xl53"/>
    <w:basedOn w:val="1"/>
    <w:next w:val="1"/>
    <w:qFormat/>
    <w:uiPriority w:val="0"/>
    <w:pPr>
      <w:spacing w:before="280" w:after="280" w:line="100" w:lineRule="exact"/>
      <w:jc w:val="center"/>
    </w:pPr>
    <w:rPr>
      <w:b/>
      <w:sz w:val="20"/>
    </w:rPr>
  </w:style>
  <w:style w:type="paragraph" w:styleId="7">
    <w:name w:val="List Number"/>
    <w:basedOn w:val="1"/>
    <w:qFormat/>
    <w:uiPriority w:val="0"/>
    <w:pPr>
      <w:numPr>
        <w:ilvl w:val="0"/>
        <w:numId w:val="1"/>
      </w:numPr>
    </w:pPr>
  </w:style>
  <w:style w:type="paragraph" w:styleId="8">
    <w:name w:val="Normal Indent"/>
    <w:basedOn w:val="1"/>
    <w:qFormat/>
    <w:uiPriority w:val="0"/>
    <w:pPr>
      <w:ind w:firstLine="420"/>
    </w:pPr>
    <w:rPr>
      <w:rFonts w:cs="Times New Roman"/>
      <w:szCs w:val="22"/>
    </w:rPr>
  </w:style>
  <w:style w:type="paragraph" w:styleId="9">
    <w:name w:val="Body Text 3"/>
    <w:basedOn w:val="1"/>
    <w:unhideWhenUsed/>
    <w:qFormat/>
    <w:uiPriority w:val="99"/>
    <w:pPr>
      <w:spacing w:after="120"/>
    </w:pPr>
    <w:rPr>
      <w:color w:val="595959"/>
      <w:sz w:val="16"/>
    </w:rPr>
  </w:style>
  <w:style w:type="paragraph" w:styleId="10">
    <w:name w:val="Body Text"/>
    <w:basedOn w:val="1"/>
    <w:next w:val="11"/>
    <w:qFormat/>
    <w:uiPriority w:val="0"/>
    <w:pPr>
      <w:spacing w:after="120"/>
    </w:pPr>
  </w:style>
  <w:style w:type="paragraph" w:styleId="11">
    <w:name w:val="Body Text First Indent"/>
    <w:basedOn w:val="10"/>
    <w:next w:val="1"/>
    <w:qFormat/>
    <w:uiPriority w:val="0"/>
    <w:pPr>
      <w:ind w:firstLine="420" w:firstLineChars="100"/>
    </w:pPr>
  </w:style>
  <w:style w:type="paragraph" w:styleId="12">
    <w:name w:val="Plain Text"/>
    <w:basedOn w:val="1"/>
    <w:next w:val="1"/>
    <w:qFormat/>
    <w:uiPriority w:val="0"/>
    <w:pPr>
      <w:spacing w:beforeLines="50" w:afterLines="50" w:line="400" w:lineRule="exact"/>
    </w:pPr>
    <w:rPr>
      <w:rFonts w:ascii="宋体" w:hAnsi="Courier New" w:cs="Times New Roman"/>
      <w:kern w:val="0"/>
    </w:rPr>
  </w:style>
  <w:style w:type="paragraph" w:styleId="13">
    <w:name w:val="Balloon Text"/>
    <w:basedOn w:val="1"/>
    <w:qFormat/>
    <w:uiPriority w:val="0"/>
    <w:rPr>
      <w:rFonts w:cs="Times New Roman"/>
      <w:kern w:val="0"/>
      <w:sz w:val="18"/>
      <w:szCs w:val="18"/>
    </w:rPr>
  </w:style>
  <w:style w:type="paragraph" w:styleId="14">
    <w:name w:val="footer"/>
    <w:basedOn w:val="1"/>
    <w:qFormat/>
    <w:uiPriority w:val="0"/>
    <w:pPr>
      <w:tabs>
        <w:tab w:val="center" w:pos="4153"/>
        <w:tab w:val="right" w:pos="8306"/>
      </w:tabs>
      <w:snapToGrid w:val="0"/>
      <w:jc w:val="left"/>
    </w:pPr>
    <w:rPr>
      <w:rFonts w:cs="Times New Roman"/>
      <w:kern w:val="0"/>
      <w:sz w:val="18"/>
      <w:szCs w:val="18"/>
    </w:rPr>
  </w:style>
  <w:style w:type="paragraph" w:styleId="15">
    <w:name w:val="toc 1"/>
    <w:basedOn w:val="1"/>
    <w:next w:val="1"/>
    <w:qFormat/>
    <w:uiPriority w:val="0"/>
    <w:rPr>
      <w:rFonts w:cs="Times New Roman"/>
    </w:rPr>
  </w:style>
  <w:style w:type="paragraph" w:styleId="16">
    <w:name w:val="Body Text Indent 3"/>
    <w:basedOn w:val="1"/>
    <w:qFormat/>
    <w:uiPriority w:val="0"/>
    <w:pPr>
      <w:snapToGrid w:val="0"/>
      <w:ind w:firstLine="480" w:firstLineChars="200"/>
      <w:jc w:val="left"/>
    </w:pPr>
    <w:rPr>
      <w:rFonts w:ascii="仿宋_GB2312" w:hAnsi="宋体" w:eastAsia="仿宋_GB2312" w:cs="Times New Roman"/>
      <w:color w:val="000000"/>
      <w:kern w:val="0"/>
    </w:rPr>
  </w:style>
  <w:style w:type="paragraph" w:styleId="17">
    <w:name w:val="Normal (Web)"/>
    <w:basedOn w:val="1"/>
    <w:qFormat/>
    <w:uiPriority w:val="0"/>
    <w:pPr>
      <w:widowControl/>
      <w:spacing w:before="100" w:beforeAutospacing="1" w:after="100" w:afterAutospacing="1"/>
      <w:jc w:val="left"/>
    </w:pPr>
    <w:rPr>
      <w:rFonts w:ascii="宋体" w:hAnsi="宋体" w:cs="Times New Roman"/>
      <w:kern w:val="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rPr>
  </w:style>
  <w:style w:type="character" w:styleId="22">
    <w:name w:val="Hyperlink"/>
    <w:qFormat/>
    <w:uiPriority w:val="0"/>
    <w:rPr>
      <w:rFonts w:ascii="Times New Roman" w:hAnsi="Times New Roman" w:eastAsia="宋体" w:cs="Times New Roman"/>
      <w:color w:val="0000FF"/>
      <w:u w:val="single"/>
    </w:rPr>
  </w:style>
  <w:style w:type="character" w:styleId="23">
    <w:name w:val="HTML Sample"/>
    <w:basedOn w:val="20"/>
    <w:qFormat/>
    <w:uiPriority w:val="0"/>
    <w:rPr>
      <w:rFonts w:ascii="Courier New" w:hAnsi="Courier New"/>
    </w:rPr>
  </w:style>
  <w:style w:type="paragraph" w:customStyle="1" w:styleId="24">
    <w:name w:val="标准正文"/>
    <w:basedOn w:val="1"/>
    <w:qFormat/>
    <w:uiPriority w:val="0"/>
    <w:pPr>
      <w:spacing w:line="360" w:lineRule="auto"/>
      <w:ind w:firstLine="200" w:firstLineChars="200"/>
    </w:pPr>
    <w:rPr>
      <w:rFonts w:cs="Times New Roman"/>
      <w:szCs w:val="20"/>
    </w:rPr>
  </w:style>
  <w:style w:type="paragraph" w:customStyle="1" w:styleId="25">
    <w:name w:val="正文2"/>
    <w:basedOn w:val="1"/>
    <w:qFormat/>
    <w:uiPriority w:val="0"/>
    <w:pPr>
      <w:spacing w:before="156" w:line="360" w:lineRule="auto"/>
      <w:ind w:firstLine="510" w:firstLineChars="200"/>
    </w:pPr>
    <w:rPr>
      <w:szCs w:val="20"/>
    </w:rPr>
  </w:style>
  <w:style w:type="paragraph" w:customStyle="1" w:styleId="26">
    <w:name w:val="默认段落字体 Para Char Char Char Char Char Char Char Char Char1 Char Char Char Char"/>
    <w:basedOn w:val="1"/>
    <w:qFormat/>
    <w:uiPriority w:val="0"/>
    <w:rPr>
      <w:rFonts w:ascii="Tahoma" w:hAnsi="Tahoma"/>
      <w:szCs w:val="20"/>
    </w:rPr>
  </w:style>
  <w:style w:type="paragraph" w:customStyle="1" w:styleId="27">
    <w:name w:val="纯文本2"/>
    <w:basedOn w:val="1"/>
    <w:qFormat/>
    <w:uiPriority w:val="0"/>
    <w:pPr>
      <w:adjustRightInd w:val="0"/>
      <w:textAlignment w:val="baseline"/>
    </w:pPr>
    <w:rPr>
      <w:rFonts w:ascii="宋体" w:hAnsi="Courier New" w:eastAsia="楷体_GB2312" w:cs="Times New Roman"/>
      <w:sz w:val="26"/>
      <w:szCs w:val="20"/>
    </w:rPr>
  </w:style>
  <w:style w:type="paragraph" w:customStyle="1" w:styleId="28">
    <w:name w:val="纯文本1"/>
    <w:basedOn w:val="1"/>
    <w:qFormat/>
    <w:uiPriority w:val="0"/>
    <w:pPr>
      <w:adjustRightInd w:val="0"/>
      <w:textAlignment w:val="baseline"/>
    </w:pPr>
    <w:rPr>
      <w:rFonts w:ascii="宋体" w:hAnsi="Courier New" w:eastAsia="楷体_GB2312" w:cs="Times New Roman"/>
      <w:sz w:val="26"/>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6361</Words>
  <Characters>7157</Characters>
  <Lines>78</Lines>
  <Paragraphs>75</Paragraphs>
  <TotalTime>2</TotalTime>
  <ScaleCrop>false</ScaleCrop>
  <LinksUpToDate>false</LinksUpToDate>
  <CharactersWithSpaces>7273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2023-05-06T08:45:00Z</dcterms:created>
  <dc:creator>pc1</dc:creator>
  <cp:lastModifiedBy>欢乐向</cp:lastModifiedBy>
  <cp:lastPrinted>2023-05-10T01:58:00Z</cp:lastPrinted>
  <dcterms:modified xsi:type="dcterms:W3CDTF">2025-01-10T08:50:28Z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1066146172B04A0799CD77489C4CDBBF</vt:lpwstr>
  </property>
</Properties>
</file>