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5415A">
      <w:pPr>
        <w:pStyle w:val="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B57206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淳安县数据资源中心</w:t>
      </w:r>
      <w:r>
        <w:rPr>
          <w:rFonts w:hint="eastAsia" w:ascii="宋体" w:hAnsi="宋体" w:cs="宋体"/>
          <w:color w:val="auto"/>
          <w:sz w:val="24"/>
          <w:highlight w:val="none"/>
        </w:rPr>
        <w:t>、浙江之信工程项目管理有限公司</w:t>
      </w:r>
      <w:r>
        <w:rPr>
          <w:rFonts w:hint="eastAsia" w:ascii="宋体" w:hAnsi="宋体" w:cs="宋体"/>
          <w:color w:val="auto"/>
          <w:kern w:val="0"/>
          <w:sz w:val="24"/>
          <w:highlight w:val="none"/>
          <w:lang w:val="zh-CN"/>
        </w:rPr>
        <w:t>：</w:t>
      </w:r>
    </w:p>
    <w:p w14:paraId="6A3FBB6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淳安县政务云服务租赁项目（标二）</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w:t>
      </w:r>
      <w:r>
        <w:rPr>
          <w:rFonts w:hint="eastAsia" w:ascii="宋体" w:hAnsi="宋体" w:cs="宋体"/>
          <w:color w:val="auto"/>
          <w:sz w:val="24"/>
          <w:highlight w:val="none"/>
          <w:lang w:eastAsia="zh-CN"/>
        </w:rPr>
        <w:t>ZF2024174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2A610F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p>
    <w:tbl>
      <w:tblPr>
        <w:tblStyle w:val="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095"/>
        <w:gridCol w:w="1950"/>
        <w:gridCol w:w="2310"/>
        <w:gridCol w:w="2576"/>
        <w:gridCol w:w="2126"/>
      </w:tblGrid>
      <w:tr w14:paraId="785A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817" w:type="dxa"/>
            <w:noWrap w:val="0"/>
            <w:vAlign w:val="center"/>
          </w:tcPr>
          <w:p w14:paraId="1676700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noWrap w:val="0"/>
            <w:vAlign w:val="center"/>
          </w:tcPr>
          <w:p w14:paraId="4F2170E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noWrap w:val="0"/>
            <w:vAlign w:val="top"/>
          </w:tcPr>
          <w:p w14:paraId="18AA0F2B">
            <w:pPr>
              <w:spacing w:line="360" w:lineRule="auto"/>
              <w:jc w:val="center"/>
              <w:rPr>
                <w:rFonts w:ascii="宋体" w:hAnsi="宋体" w:cs="宋体"/>
                <w:b/>
                <w:color w:val="auto"/>
                <w:sz w:val="24"/>
                <w:highlight w:val="none"/>
              </w:rPr>
            </w:pPr>
          </w:p>
          <w:p w14:paraId="38A3A26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095" w:type="dxa"/>
            <w:noWrap w:val="0"/>
            <w:vAlign w:val="center"/>
          </w:tcPr>
          <w:p w14:paraId="78AB166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950" w:type="dxa"/>
            <w:noWrap w:val="0"/>
            <w:vAlign w:val="center"/>
          </w:tcPr>
          <w:p w14:paraId="2FC80C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310" w:type="dxa"/>
            <w:noWrap w:val="0"/>
            <w:vAlign w:val="center"/>
          </w:tcPr>
          <w:p w14:paraId="04DBE1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最高限价（元/月）</w:t>
            </w:r>
          </w:p>
        </w:tc>
        <w:tc>
          <w:tcPr>
            <w:tcW w:w="2576" w:type="dxa"/>
            <w:noWrap w:val="0"/>
            <w:vAlign w:val="top"/>
          </w:tcPr>
          <w:p w14:paraId="68EFA23E">
            <w:pPr>
              <w:spacing w:line="360" w:lineRule="auto"/>
              <w:jc w:val="center"/>
              <w:rPr>
                <w:rFonts w:ascii="宋体" w:hAnsi="宋体" w:cs="宋体"/>
                <w:b/>
                <w:color w:val="auto"/>
                <w:sz w:val="24"/>
                <w:highlight w:val="none"/>
              </w:rPr>
            </w:pPr>
          </w:p>
          <w:p w14:paraId="6659AB23">
            <w:pPr>
              <w:spacing w:line="360" w:lineRule="auto"/>
              <w:jc w:val="center"/>
              <w:rPr>
                <w:rFonts w:hint="eastAsia" w:ascii="宋体" w:hAnsi="宋体" w:eastAsia="宋体" w:cs="宋体"/>
                <w:b/>
                <w:color w:val="auto"/>
                <w:sz w:val="24"/>
                <w:highlight w:val="none"/>
                <w:lang w:val="en-US" w:eastAsia="zh-CN"/>
              </w:rPr>
            </w:pPr>
            <w:bookmarkStart w:id="0" w:name="_GoBack"/>
            <w:r>
              <w:rPr>
                <w:rFonts w:hint="eastAsia" w:ascii="宋体" w:hAnsi="宋体" w:cs="宋体"/>
                <w:b/>
                <w:color w:val="FF0000"/>
                <w:sz w:val="24"/>
                <w:highlight w:val="none"/>
                <w:lang w:val="en-US" w:eastAsia="zh-CN"/>
              </w:rPr>
              <w:t>统一折扣（%）</w:t>
            </w:r>
            <w:bookmarkEnd w:id="0"/>
          </w:p>
        </w:tc>
        <w:tc>
          <w:tcPr>
            <w:tcW w:w="2126" w:type="dxa"/>
            <w:noWrap w:val="0"/>
            <w:vAlign w:val="center"/>
          </w:tcPr>
          <w:p w14:paraId="6D7470BA">
            <w:pPr>
              <w:spacing w:line="360" w:lineRule="auto"/>
              <w:jc w:val="center"/>
              <w:rPr>
                <w:rFonts w:ascii="宋体" w:hAnsi="宋体" w:cs="宋体"/>
                <w:b/>
                <w:color w:val="auto"/>
                <w:sz w:val="24"/>
                <w:highlight w:val="none"/>
              </w:rPr>
            </w:pPr>
          </w:p>
          <w:p w14:paraId="416BDB4E">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服务期</w:t>
            </w:r>
          </w:p>
          <w:p w14:paraId="147E704A">
            <w:pPr>
              <w:spacing w:line="360" w:lineRule="auto"/>
              <w:jc w:val="center"/>
              <w:rPr>
                <w:rFonts w:ascii="宋体" w:hAnsi="宋体" w:cs="宋体"/>
                <w:b/>
                <w:color w:val="auto"/>
                <w:sz w:val="24"/>
                <w:highlight w:val="none"/>
              </w:rPr>
            </w:pPr>
          </w:p>
        </w:tc>
      </w:tr>
      <w:tr w14:paraId="42FF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14:paraId="7D61040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noWrap w:val="0"/>
            <w:vAlign w:val="center"/>
          </w:tcPr>
          <w:p w14:paraId="22B9B08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noWrap w:val="0"/>
            <w:vAlign w:val="center"/>
          </w:tcPr>
          <w:p w14:paraId="66CB4847">
            <w:pPr>
              <w:snapToGrid w:val="0"/>
              <w:spacing w:line="360" w:lineRule="auto"/>
              <w:jc w:val="center"/>
              <w:rPr>
                <w:rFonts w:ascii="宋体" w:hAnsi="宋体" w:cs="宋体"/>
                <w:color w:val="auto"/>
                <w:sz w:val="24"/>
                <w:highlight w:val="none"/>
              </w:rPr>
            </w:pPr>
          </w:p>
        </w:tc>
        <w:tc>
          <w:tcPr>
            <w:tcW w:w="2095" w:type="dxa"/>
            <w:noWrap w:val="0"/>
            <w:vAlign w:val="center"/>
          </w:tcPr>
          <w:p w14:paraId="08B66C82">
            <w:pPr>
              <w:snapToGrid w:val="0"/>
              <w:spacing w:line="360" w:lineRule="auto"/>
              <w:jc w:val="center"/>
              <w:rPr>
                <w:rFonts w:ascii="宋体" w:hAnsi="宋体" w:cs="宋体"/>
                <w:color w:val="auto"/>
                <w:sz w:val="24"/>
                <w:highlight w:val="none"/>
              </w:rPr>
            </w:pPr>
          </w:p>
        </w:tc>
        <w:tc>
          <w:tcPr>
            <w:tcW w:w="1950" w:type="dxa"/>
            <w:noWrap w:val="0"/>
            <w:vAlign w:val="center"/>
          </w:tcPr>
          <w:p w14:paraId="1ED15D63">
            <w:pPr>
              <w:snapToGrid w:val="0"/>
              <w:spacing w:line="360" w:lineRule="auto"/>
              <w:jc w:val="center"/>
              <w:rPr>
                <w:rFonts w:ascii="宋体" w:hAnsi="宋体" w:cs="宋体"/>
                <w:color w:val="auto"/>
                <w:sz w:val="24"/>
                <w:highlight w:val="none"/>
              </w:rPr>
            </w:pPr>
          </w:p>
        </w:tc>
        <w:tc>
          <w:tcPr>
            <w:tcW w:w="2310" w:type="dxa"/>
            <w:noWrap w:val="0"/>
            <w:vAlign w:val="center"/>
          </w:tcPr>
          <w:p w14:paraId="2A0D2E8B">
            <w:pPr>
              <w:spacing w:line="360" w:lineRule="auto"/>
              <w:jc w:val="center"/>
              <w:rPr>
                <w:rFonts w:ascii="宋体" w:hAnsi="宋体" w:cs="宋体"/>
                <w:color w:val="auto"/>
                <w:sz w:val="24"/>
                <w:highlight w:val="none"/>
              </w:rPr>
            </w:pPr>
          </w:p>
        </w:tc>
        <w:tc>
          <w:tcPr>
            <w:tcW w:w="2576" w:type="dxa"/>
            <w:vMerge w:val="restart"/>
            <w:noWrap w:val="0"/>
            <w:vAlign w:val="top"/>
          </w:tcPr>
          <w:p w14:paraId="06CAE528">
            <w:pPr>
              <w:spacing w:line="360" w:lineRule="auto"/>
              <w:jc w:val="center"/>
              <w:rPr>
                <w:rFonts w:ascii="宋体" w:hAnsi="宋体" w:cs="宋体"/>
                <w:color w:val="auto"/>
                <w:sz w:val="24"/>
                <w:highlight w:val="none"/>
              </w:rPr>
            </w:pPr>
          </w:p>
        </w:tc>
        <w:tc>
          <w:tcPr>
            <w:tcW w:w="2126" w:type="dxa"/>
            <w:noWrap w:val="0"/>
            <w:vAlign w:val="center"/>
          </w:tcPr>
          <w:p w14:paraId="72C10ED4">
            <w:pPr>
              <w:spacing w:line="360" w:lineRule="auto"/>
              <w:jc w:val="center"/>
              <w:rPr>
                <w:rFonts w:ascii="宋体" w:hAnsi="宋体" w:cs="宋体"/>
                <w:color w:val="auto"/>
                <w:sz w:val="24"/>
                <w:highlight w:val="none"/>
              </w:rPr>
            </w:pPr>
          </w:p>
        </w:tc>
      </w:tr>
      <w:tr w14:paraId="4082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1CDC88D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noWrap w:val="0"/>
            <w:vAlign w:val="center"/>
          </w:tcPr>
          <w:p w14:paraId="75D72E5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noWrap w:val="0"/>
            <w:vAlign w:val="center"/>
          </w:tcPr>
          <w:p w14:paraId="4ABCB652">
            <w:pPr>
              <w:snapToGrid w:val="0"/>
              <w:spacing w:line="360" w:lineRule="auto"/>
              <w:jc w:val="center"/>
              <w:rPr>
                <w:rFonts w:ascii="宋体" w:hAnsi="宋体" w:cs="宋体"/>
                <w:color w:val="auto"/>
                <w:sz w:val="24"/>
                <w:highlight w:val="none"/>
              </w:rPr>
            </w:pPr>
          </w:p>
        </w:tc>
        <w:tc>
          <w:tcPr>
            <w:tcW w:w="2095" w:type="dxa"/>
            <w:noWrap w:val="0"/>
            <w:vAlign w:val="center"/>
          </w:tcPr>
          <w:p w14:paraId="7EBE0ED5">
            <w:pPr>
              <w:snapToGrid w:val="0"/>
              <w:spacing w:line="360" w:lineRule="auto"/>
              <w:jc w:val="center"/>
              <w:rPr>
                <w:rFonts w:ascii="宋体" w:hAnsi="宋体" w:cs="宋体"/>
                <w:color w:val="auto"/>
                <w:sz w:val="24"/>
                <w:highlight w:val="none"/>
              </w:rPr>
            </w:pPr>
          </w:p>
        </w:tc>
        <w:tc>
          <w:tcPr>
            <w:tcW w:w="1950" w:type="dxa"/>
            <w:noWrap w:val="0"/>
            <w:vAlign w:val="center"/>
          </w:tcPr>
          <w:p w14:paraId="4BA8B1E1">
            <w:pPr>
              <w:snapToGrid w:val="0"/>
              <w:spacing w:line="360" w:lineRule="auto"/>
              <w:jc w:val="center"/>
              <w:rPr>
                <w:rFonts w:ascii="宋体" w:hAnsi="宋体" w:cs="宋体"/>
                <w:color w:val="auto"/>
                <w:sz w:val="24"/>
                <w:highlight w:val="none"/>
              </w:rPr>
            </w:pPr>
          </w:p>
        </w:tc>
        <w:tc>
          <w:tcPr>
            <w:tcW w:w="2310" w:type="dxa"/>
            <w:noWrap w:val="0"/>
            <w:vAlign w:val="center"/>
          </w:tcPr>
          <w:p w14:paraId="0048CDE4">
            <w:pPr>
              <w:spacing w:line="360" w:lineRule="auto"/>
              <w:jc w:val="center"/>
              <w:rPr>
                <w:rFonts w:ascii="宋体" w:hAnsi="宋体" w:cs="宋体"/>
                <w:color w:val="auto"/>
                <w:sz w:val="24"/>
                <w:highlight w:val="none"/>
              </w:rPr>
            </w:pPr>
          </w:p>
        </w:tc>
        <w:tc>
          <w:tcPr>
            <w:tcW w:w="2576" w:type="dxa"/>
            <w:vMerge w:val="continue"/>
            <w:tcBorders/>
            <w:noWrap w:val="0"/>
            <w:vAlign w:val="top"/>
          </w:tcPr>
          <w:p w14:paraId="7AE429F6">
            <w:pPr>
              <w:spacing w:line="360" w:lineRule="auto"/>
              <w:jc w:val="center"/>
              <w:rPr>
                <w:rFonts w:ascii="宋体" w:hAnsi="宋体" w:cs="宋体"/>
                <w:color w:val="auto"/>
                <w:sz w:val="24"/>
                <w:highlight w:val="none"/>
              </w:rPr>
            </w:pPr>
          </w:p>
        </w:tc>
        <w:tc>
          <w:tcPr>
            <w:tcW w:w="2126" w:type="dxa"/>
            <w:noWrap w:val="0"/>
            <w:vAlign w:val="center"/>
          </w:tcPr>
          <w:p w14:paraId="110476EE">
            <w:pPr>
              <w:spacing w:line="360" w:lineRule="auto"/>
              <w:jc w:val="center"/>
              <w:rPr>
                <w:rFonts w:ascii="宋体" w:hAnsi="宋体" w:cs="宋体"/>
                <w:color w:val="auto"/>
                <w:sz w:val="24"/>
                <w:highlight w:val="none"/>
              </w:rPr>
            </w:pPr>
          </w:p>
        </w:tc>
      </w:tr>
      <w:tr w14:paraId="3D4D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817" w:type="dxa"/>
            <w:noWrap w:val="0"/>
            <w:vAlign w:val="center"/>
          </w:tcPr>
          <w:p w14:paraId="27227CD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noWrap w:val="0"/>
            <w:vAlign w:val="center"/>
          </w:tcPr>
          <w:p w14:paraId="789A4EBC">
            <w:pPr>
              <w:snapToGrid w:val="0"/>
              <w:spacing w:line="360" w:lineRule="auto"/>
              <w:jc w:val="center"/>
              <w:rPr>
                <w:rFonts w:ascii="宋体" w:hAnsi="宋体" w:cs="宋体"/>
                <w:color w:val="auto"/>
                <w:sz w:val="24"/>
                <w:highlight w:val="none"/>
              </w:rPr>
            </w:pPr>
          </w:p>
        </w:tc>
        <w:tc>
          <w:tcPr>
            <w:tcW w:w="2268" w:type="dxa"/>
            <w:noWrap w:val="0"/>
            <w:vAlign w:val="center"/>
          </w:tcPr>
          <w:p w14:paraId="13552978">
            <w:pPr>
              <w:snapToGrid w:val="0"/>
              <w:spacing w:line="360" w:lineRule="auto"/>
              <w:jc w:val="center"/>
              <w:rPr>
                <w:rFonts w:ascii="宋体" w:hAnsi="宋体" w:cs="宋体"/>
                <w:color w:val="auto"/>
                <w:sz w:val="24"/>
                <w:highlight w:val="none"/>
              </w:rPr>
            </w:pPr>
          </w:p>
        </w:tc>
        <w:tc>
          <w:tcPr>
            <w:tcW w:w="2095" w:type="dxa"/>
            <w:noWrap w:val="0"/>
            <w:vAlign w:val="center"/>
          </w:tcPr>
          <w:p w14:paraId="65CD478A">
            <w:pPr>
              <w:snapToGrid w:val="0"/>
              <w:spacing w:line="360" w:lineRule="auto"/>
              <w:jc w:val="center"/>
              <w:rPr>
                <w:rFonts w:ascii="宋体" w:hAnsi="宋体" w:cs="宋体"/>
                <w:color w:val="auto"/>
                <w:sz w:val="24"/>
                <w:highlight w:val="none"/>
              </w:rPr>
            </w:pPr>
          </w:p>
        </w:tc>
        <w:tc>
          <w:tcPr>
            <w:tcW w:w="1950" w:type="dxa"/>
            <w:noWrap w:val="0"/>
            <w:vAlign w:val="center"/>
          </w:tcPr>
          <w:p w14:paraId="77936479">
            <w:pPr>
              <w:snapToGrid w:val="0"/>
              <w:spacing w:line="360" w:lineRule="auto"/>
              <w:jc w:val="center"/>
              <w:rPr>
                <w:rFonts w:ascii="宋体" w:hAnsi="宋体" w:cs="宋体"/>
                <w:color w:val="auto"/>
                <w:sz w:val="24"/>
                <w:highlight w:val="none"/>
              </w:rPr>
            </w:pPr>
          </w:p>
        </w:tc>
        <w:tc>
          <w:tcPr>
            <w:tcW w:w="2310" w:type="dxa"/>
            <w:noWrap w:val="0"/>
            <w:vAlign w:val="center"/>
          </w:tcPr>
          <w:p w14:paraId="5B850CD5">
            <w:pPr>
              <w:spacing w:line="360" w:lineRule="auto"/>
              <w:jc w:val="center"/>
              <w:rPr>
                <w:rFonts w:ascii="宋体" w:hAnsi="宋体" w:cs="宋体"/>
                <w:color w:val="auto"/>
                <w:sz w:val="24"/>
                <w:highlight w:val="none"/>
              </w:rPr>
            </w:pPr>
          </w:p>
        </w:tc>
        <w:tc>
          <w:tcPr>
            <w:tcW w:w="2576" w:type="dxa"/>
            <w:vMerge w:val="continue"/>
            <w:tcBorders/>
            <w:noWrap w:val="0"/>
            <w:vAlign w:val="top"/>
          </w:tcPr>
          <w:p w14:paraId="058EA4CA">
            <w:pPr>
              <w:spacing w:line="360" w:lineRule="auto"/>
              <w:jc w:val="center"/>
              <w:rPr>
                <w:rFonts w:ascii="宋体" w:hAnsi="宋体" w:cs="宋体"/>
                <w:color w:val="auto"/>
                <w:sz w:val="24"/>
                <w:highlight w:val="none"/>
              </w:rPr>
            </w:pPr>
          </w:p>
        </w:tc>
        <w:tc>
          <w:tcPr>
            <w:tcW w:w="2126" w:type="dxa"/>
            <w:noWrap w:val="0"/>
            <w:vAlign w:val="center"/>
          </w:tcPr>
          <w:p w14:paraId="1AE3BA8F">
            <w:pPr>
              <w:spacing w:line="360" w:lineRule="auto"/>
              <w:jc w:val="center"/>
              <w:rPr>
                <w:rFonts w:ascii="宋体" w:hAnsi="宋体" w:cs="宋体"/>
                <w:color w:val="auto"/>
                <w:sz w:val="24"/>
                <w:highlight w:val="none"/>
              </w:rPr>
            </w:pPr>
          </w:p>
        </w:tc>
      </w:tr>
      <w:tr w14:paraId="2BE9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0E0A504C">
            <w:pPr>
              <w:spacing w:line="360" w:lineRule="auto"/>
              <w:jc w:val="center"/>
              <w:rPr>
                <w:rFonts w:ascii="宋体" w:hAnsi="宋体" w:cs="宋体"/>
                <w:color w:val="auto"/>
                <w:sz w:val="24"/>
                <w:highlight w:val="none"/>
              </w:rPr>
            </w:pPr>
          </w:p>
        </w:tc>
        <w:tc>
          <w:tcPr>
            <w:tcW w:w="992" w:type="dxa"/>
            <w:noWrap w:val="0"/>
            <w:vAlign w:val="center"/>
          </w:tcPr>
          <w:p w14:paraId="01685337">
            <w:pPr>
              <w:snapToGrid w:val="0"/>
              <w:spacing w:line="360" w:lineRule="auto"/>
              <w:jc w:val="center"/>
              <w:rPr>
                <w:rFonts w:ascii="宋体" w:hAnsi="宋体" w:cs="宋体"/>
                <w:color w:val="auto"/>
                <w:sz w:val="24"/>
                <w:highlight w:val="none"/>
              </w:rPr>
            </w:pPr>
          </w:p>
        </w:tc>
        <w:tc>
          <w:tcPr>
            <w:tcW w:w="2268" w:type="dxa"/>
            <w:noWrap w:val="0"/>
            <w:vAlign w:val="center"/>
          </w:tcPr>
          <w:p w14:paraId="532C0E05">
            <w:pPr>
              <w:snapToGrid w:val="0"/>
              <w:spacing w:line="360" w:lineRule="auto"/>
              <w:jc w:val="center"/>
              <w:rPr>
                <w:rFonts w:ascii="宋体" w:hAnsi="宋体" w:cs="宋体"/>
                <w:color w:val="auto"/>
                <w:sz w:val="24"/>
                <w:highlight w:val="none"/>
              </w:rPr>
            </w:pPr>
          </w:p>
        </w:tc>
        <w:tc>
          <w:tcPr>
            <w:tcW w:w="2095" w:type="dxa"/>
            <w:noWrap w:val="0"/>
            <w:vAlign w:val="center"/>
          </w:tcPr>
          <w:p w14:paraId="6595CF24">
            <w:pPr>
              <w:snapToGrid w:val="0"/>
              <w:spacing w:line="360" w:lineRule="auto"/>
              <w:jc w:val="center"/>
              <w:rPr>
                <w:rFonts w:ascii="宋体" w:hAnsi="宋体" w:cs="宋体"/>
                <w:color w:val="auto"/>
                <w:sz w:val="24"/>
                <w:highlight w:val="none"/>
              </w:rPr>
            </w:pPr>
          </w:p>
        </w:tc>
        <w:tc>
          <w:tcPr>
            <w:tcW w:w="1950" w:type="dxa"/>
            <w:noWrap w:val="0"/>
            <w:vAlign w:val="center"/>
          </w:tcPr>
          <w:p w14:paraId="71487557">
            <w:pPr>
              <w:snapToGrid w:val="0"/>
              <w:spacing w:line="360" w:lineRule="auto"/>
              <w:jc w:val="center"/>
              <w:rPr>
                <w:rFonts w:ascii="宋体" w:hAnsi="宋体" w:cs="宋体"/>
                <w:color w:val="auto"/>
                <w:sz w:val="24"/>
                <w:highlight w:val="none"/>
              </w:rPr>
            </w:pPr>
          </w:p>
        </w:tc>
        <w:tc>
          <w:tcPr>
            <w:tcW w:w="2310" w:type="dxa"/>
            <w:noWrap w:val="0"/>
            <w:vAlign w:val="center"/>
          </w:tcPr>
          <w:p w14:paraId="4A69EB24">
            <w:pPr>
              <w:spacing w:line="360" w:lineRule="auto"/>
              <w:jc w:val="center"/>
              <w:rPr>
                <w:rFonts w:ascii="宋体" w:hAnsi="宋体" w:cs="宋体"/>
                <w:color w:val="auto"/>
                <w:sz w:val="24"/>
                <w:highlight w:val="none"/>
              </w:rPr>
            </w:pPr>
          </w:p>
        </w:tc>
        <w:tc>
          <w:tcPr>
            <w:tcW w:w="2576" w:type="dxa"/>
            <w:vMerge w:val="continue"/>
            <w:tcBorders/>
            <w:noWrap w:val="0"/>
            <w:vAlign w:val="top"/>
          </w:tcPr>
          <w:p w14:paraId="65CFF4A0">
            <w:pPr>
              <w:spacing w:line="360" w:lineRule="auto"/>
              <w:jc w:val="center"/>
              <w:rPr>
                <w:rFonts w:ascii="宋体" w:hAnsi="宋体" w:cs="宋体"/>
                <w:color w:val="auto"/>
                <w:sz w:val="24"/>
                <w:highlight w:val="none"/>
              </w:rPr>
            </w:pPr>
          </w:p>
        </w:tc>
        <w:tc>
          <w:tcPr>
            <w:tcW w:w="2126" w:type="dxa"/>
            <w:noWrap w:val="0"/>
            <w:vAlign w:val="center"/>
          </w:tcPr>
          <w:p w14:paraId="5A56DDBD">
            <w:pPr>
              <w:spacing w:line="360" w:lineRule="auto"/>
              <w:jc w:val="center"/>
              <w:rPr>
                <w:rFonts w:ascii="宋体" w:hAnsi="宋体" w:cs="宋体"/>
                <w:color w:val="auto"/>
                <w:sz w:val="24"/>
                <w:highlight w:val="none"/>
              </w:rPr>
            </w:pPr>
          </w:p>
        </w:tc>
      </w:tr>
      <w:tr w14:paraId="4BFA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7AA96BB1">
            <w:pPr>
              <w:spacing w:line="360" w:lineRule="auto"/>
              <w:jc w:val="center"/>
              <w:rPr>
                <w:rFonts w:ascii="宋体" w:hAnsi="宋体" w:cs="宋体"/>
                <w:color w:val="auto"/>
                <w:sz w:val="24"/>
                <w:highlight w:val="none"/>
              </w:rPr>
            </w:pPr>
          </w:p>
        </w:tc>
        <w:tc>
          <w:tcPr>
            <w:tcW w:w="992" w:type="dxa"/>
            <w:noWrap w:val="0"/>
            <w:vAlign w:val="center"/>
          </w:tcPr>
          <w:p w14:paraId="51E47F64">
            <w:pPr>
              <w:snapToGrid w:val="0"/>
              <w:spacing w:line="360" w:lineRule="auto"/>
              <w:jc w:val="center"/>
              <w:rPr>
                <w:rFonts w:ascii="宋体" w:hAnsi="宋体" w:cs="宋体"/>
                <w:color w:val="auto"/>
                <w:sz w:val="24"/>
                <w:highlight w:val="none"/>
              </w:rPr>
            </w:pPr>
          </w:p>
        </w:tc>
        <w:tc>
          <w:tcPr>
            <w:tcW w:w="2268" w:type="dxa"/>
            <w:noWrap w:val="0"/>
            <w:vAlign w:val="center"/>
          </w:tcPr>
          <w:p w14:paraId="380BE6E2">
            <w:pPr>
              <w:snapToGrid w:val="0"/>
              <w:spacing w:line="360" w:lineRule="auto"/>
              <w:jc w:val="center"/>
              <w:rPr>
                <w:rFonts w:ascii="宋体" w:hAnsi="宋体" w:cs="宋体"/>
                <w:color w:val="auto"/>
                <w:sz w:val="24"/>
                <w:highlight w:val="none"/>
              </w:rPr>
            </w:pPr>
          </w:p>
        </w:tc>
        <w:tc>
          <w:tcPr>
            <w:tcW w:w="2095" w:type="dxa"/>
            <w:noWrap w:val="0"/>
            <w:vAlign w:val="center"/>
          </w:tcPr>
          <w:p w14:paraId="1F496CEC">
            <w:pPr>
              <w:snapToGrid w:val="0"/>
              <w:spacing w:line="360" w:lineRule="auto"/>
              <w:jc w:val="center"/>
              <w:rPr>
                <w:rFonts w:ascii="宋体" w:hAnsi="宋体" w:cs="宋体"/>
                <w:color w:val="auto"/>
                <w:sz w:val="24"/>
                <w:highlight w:val="none"/>
              </w:rPr>
            </w:pPr>
          </w:p>
        </w:tc>
        <w:tc>
          <w:tcPr>
            <w:tcW w:w="1950" w:type="dxa"/>
            <w:noWrap w:val="0"/>
            <w:vAlign w:val="center"/>
          </w:tcPr>
          <w:p w14:paraId="7251FF3E">
            <w:pPr>
              <w:snapToGrid w:val="0"/>
              <w:spacing w:line="360" w:lineRule="auto"/>
              <w:jc w:val="center"/>
              <w:rPr>
                <w:rFonts w:ascii="宋体" w:hAnsi="宋体" w:cs="宋体"/>
                <w:color w:val="auto"/>
                <w:sz w:val="24"/>
                <w:highlight w:val="none"/>
              </w:rPr>
            </w:pPr>
          </w:p>
        </w:tc>
        <w:tc>
          <w:tcPr>
            <w:tcW w:w="2310" w:type="dxa"/>
            <w:noWrap w:val="0"/>
            <w:vAlign w:val="center"/>
          </w:tcPr>
          <w:p w14:paraId="7E19779B">
            <w:pPr>
              <w:spacing w:line="360" w:lineRule="auto"/>
              <w:jc w:val="center"/>
              <w:rPr>
                <w:rFonts w:ascii="宋体" w:hAnsi="宋体" w:cs="宋体"/>
                <w:color w:val="auto"/>
                <w:sz w:val="24"/>
                <w:highlight w:val="none"/>
              </w:rPr>
            </w:pPr>
          </w:p>
        </w:tc>
        <w:tc>
          <w:tcPr>
            <w:tcW w:w="2576" w:type="dxa"/>
            <w:vMerge w:val="continue"/>
            <w:tcBorders/>
            <w:noWrap w:val="0"/>
            <w:vAlign w:val="top"/>
          </w:tcPr>
          <w:p w14:paraId="0DE0D717">
            <w:pPr>
              <w:spacing w:line="360" w:lineRule="auto"/>
              <w:jc w:val="center"/>
              <w:rPr>
                <w:rFonts w:ascii="宋体" w:hAnsi="宋体" w:cs="宋体"/>
                <w:color w:val="auto"/>
                <w:sz w:val="24"/>
                <w:highlight w:val="none"/>
              </w:rPr>
            </w:pPr>
          </w:p>
        </w:tc>
        <w:tc>
          <w:tcPr>
            <w:tcW w:w="2126" w:type="dxa"/>
            <w:noWrap w:val="0"/>
            <w:vAlign w:val="center"/>
          </w:tcPr>
          <w:p w14:paraId="399664BD">
            <w:pPr>
              <w:spacing w:line="360" w:lineRule="auto"/>
              <w:jc w:val="center"/>
              <w:rPr>
                <w:rFonts w:ascii="宋体" w:hAnsi="宋体" w:cs="宋体"/>
                <w:color w:val="auto"/>
                <w:sz w:val="24"/>
                <w:highlight w:val="none"/>
              </w:rPr>
            </w:pPr>
          </w:p>
        </w:tc>
      </w:tr>
    </w:tbl>
    <w:p w14:paraId="6933638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F62CEA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E9D933C">
      <w:pP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zh-CN"/>
        </w:rPr>
        <w:t>2、</w:t>
      </w:r>
      <w:r>
        <w:rPr>
          <w:rFonts w:hint="eastAsia" w:ascii="宋体" w:hAnsi="宋体" w:cs="宋体"/>
          <w:b/>
          <w:bCs/>
          <w:color w:val="FF0000"/>
          <w:kern w:val="0"/>
          <w:sz w:val="24"/>
          <w:highlight w:val="none"/>
          <w:lang w:val="zh-CN"/>
        </w:rPr>
        <w:t>在</w:t>
      </w:r>
      <w:r>
        <w:rPr>
          <w:rFonts w:hint="eastAsia" w:ascii="宋体" w:hAnsi="宋体" w:cs="宋体"/>
          <w:b/>
          <w:bCs/>
          <w:color w:val="FF0000"/>
          <w:kern w:val="0"/>
          <w:sz w:val="24"/>
          <w:highlight w:val="none"/>
          <w:lang w:val="en-US" w:eastAsia="zh-CN"/>
        </w:rPr>
        <w:t>采购</w:t>
      </w:r>
      <w:r>
        <w:rPr>
          <w:rFonts w:hint="eastAsia" w:ascii="宋体" w:hAnsi="宋体" w:cs="宋体"/>
          <w:b/>
          <w:bCs/>
          <w:color w:val="FF0000"/>
          <w:kern w:val="0"/>
          <w:sz w:val="24"/>
          <w:highlight w:val="none"/>
          <w:lang w:val="zh-CN"/>
        </w:rPr>
        <w:t>需求中单价</w:t>
      </w:r>
      <w:r>
        <w:rPr>
          <w:rFonts w:hint="eastAsia" w:ascii="宋体" w:hAnsi="宋体" w:cs="宋体"/>
          <w:b/>
          <w:bCs/>
          <w:color w:val="FF0000"/>
          <w:kern w:val="0"/>
          <w:sz w:val="24"/>
          <w:highlight w:val="none"/>
          <w:lang w:val="en-US" w:eastAsia="zh-CN"/>
        </w:rPr>
        <w:t>最高</w:t>
      </w:r>
      <w:r>
        <w:rPr>
          <w:rFonts w:hint="eastAsia" w:ascii="宋体" w:hAnsi="宋体" w:cs="宋体"/>
          <w:b/>
          <w:bCs/>
          <w:color w:val="FF0000"/>
          <w:kern w:val="0"/>
          <w:sz w:val="24"/>
          <w:highlight w:val="none"/>
          <w:lang w:val="zh-CN"/>
        </w:rPr>
        <w:t>限价的基础上统一报折扣，投标单价=单价</w:t>
      </w:r>
      <w:r>
        <w:rPr>
          <w:rFonts w:hint="eastAsia" w:ascii="宋体" w:hAnsi="宋体" w:cs="宋体"/>
          <w:b/>
          <w:bCs/>
          <w:color w:val="FF0000"/>
          <w:kern w:val="0"/>
          <w:sz w:val="24"/>
          <w:highlight w:val="none"/>
          <w:lang w:val="en-US" w:eastAsia="zh-CN"/>
        </w:rPr>
        <w:t>最高</w:t>
      </w:r>
      <w:r>
        <w:rPr>
          <w:rFonts w:hint="eastAsia" w:ascii="宋体" w:hAnsi="宋体" w:cs="宋体"/>
          <w:b/>
          <w:bCs/>
          <w:color w:val="FF0000"/>
          <w:kern w:val="0"/>
          <w:sz w:val="24"/>
          <w:highlight w:val="none"/>
          <w:lang w:val="zh-CN"/>
        </w:rPr>
        <w:t>限价*折扣。例如：报价折扣为80%,投标单价=单价最高限价*80%。</w:t>
      </w:r>
      <w:r>
        <w:rPr>
          <w:rFonts w:hint="eastAsia" w:ascii="宋体" w:hAnsi="宋体" w:cs="宋体"/>
          <w:b/>
          <w:bCs/>
          <w:color w:val="FF0000"/>
          <w:kern w:val="0"/>
          <w:sz w:val="24"/>
          <w:highlight w:val="none"/>
          <w:lang w:val="en-US" w:eastAsia="zh-CN"/>
        </w:rPr>
        <w:t>最终结算按实际发生数量*投标单价。</w:t>
      </w:r>
    </w:p>
    <w:p w14:paraId="523F943A">
      <w:pPr>
        <w:spacing w:line="360" w:lineRule="auto"/>
        <w:ind w:firstLine="480" w:firstLineChars="200"/>
        <w:rPr>
          <w:rFonts w:hint="eastAsia" w:ascii="宋体" w:hAnsi="宋体" w:eastAsia="宋体" w:cs="宋体"/>
          <w:b w:val="0"/>
          <w:bCs w:val="0"/>
          <w:color w:val="auto"/>
          <w:kern w:val="2"/>
          <w:sz w:val="24"/>
          <w:szCs w:val="24"/>
          <w:highlight w:val="none"/>
          <w:lang w:val="zh-CN" w:eastAsia="zh-CN" w:bidi="ar-SA"/>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有关本项目实施所涉及的一切费用均计入报价。</w:t>
      </w:r>
      <w:r>
        <w:rPr>
          <w:rFonts w:hint="eastAsia" w:ascii="宋体" w:hAnsi="宋体" w:eastAsia="宋体" w:cs="宋体"/>
          <w:b w:val="0"/>
          <w:bCs w:val="0"/>
          <w:color w:val="auto"/>
          <w:kern w:val="2"/>
          <w:sz w:val="24"/>
          <w:szCs w:val="24"/>
          <w:highlight w:val="none"/>
          <w:lang w:val="zh-CN" w:eastAsia="zh-CN" w:bidi="ar-SA"/>
        </w:rPr>
        <w:t>合同总价不为零，报价明细表中部分产品、服务单价为零的，视作已包含在总价中。</w:t>
      </w:r>
      <w:r>
        <w:rPr>
          <w:rFonts w:hint="eastAsia" w:ascii="宋体" w:hAnsi="宋体" w:eastAsia="宋体" w:cs="宋体"/>
          <w:b/>
          <w:bCs/>
          <w:color w:val="auto"/>
          <w:kern w:val="2"/>
          <w:sz w:val="24"/>
          <w:szCs w:val="24"/>
          <w:highlight w:val="none"/>
          <w:lang w:val="zh-CN" w:eastAsia="zh-CN" w:bidi="ar-SA"/>
        </w:rPr>
        <w:t>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r>
        <w:rPr>
          <w:rFonts w:hint="eastAsia" w:ascii="宋体" w:hAnsi="宋体" w:eastAsia="宋体" w:cs="宋体"/>
          <w:b w:val="0"/>
          <w:bCs w:val="0"/>
          <w:color w:val="auto"/>
          <w:kern w:val="2"/>
          <w:sz w:val="24"/>
          <w:szCs w:val="24"/>
          <w:highlight w:val="none"/>
          <w:lang w:val="zh-CN" w:eastAsia="zh-CN" w:bidi="ar-SA"/>
        </w:rPr>
        <w:t>。</w:t>
      </w:r>
    </w:p>
    <w:p w14:paraId="5FBCCB0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7FA3C785">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en-US" w:eastAsia="zh-CN"/>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E709938">
      <w:pPr>
        <w:ind w:firstLine="480" w:firstLineChars="200"/>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、特别说明:</w:t>
      </w:r>
      <w:r>
        <w:rPr>
          <w:rFonts w:hint="eastAsia" w:ascii="微软雅黑" w:hAnsi="微软雅黑" w:eastAsia="微软雅黑" w:cs="微软雅黑"/>
          <w:b/>
          <w:bCs/>
          <w:color w:val="auto"/>
          <w:kern w:val="0"/>
          <w:sz w:val="24"/>
          <w:highlight w:val="none"/>
        </w:rPr>
        <w:t>▲</w:t>
      </w:r>
      <w:r>
        <w:rPr>
          <w:rFonts w:hint="eastAsia" w:ascii="宋体" w:hAnsi="宋体" w:cs="宋体"/>
          <w:b/>
          <w:bCs/>
          <w:color w:val="auto"/>
          <w:kern w:val="0"/>
          <w:sz w:val="24"/>
          <w:highlight w:val="none"/>
        </w:rPr>
        <w:t>供应商报价低于项目预算 50%的，应当在报价文件中详细阐述不影响产品质量或者诚信履约的具体原因。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3734D"/>
    <w:rsid w:val="2F2D0876"/>
    <w:rsid w:val="4D43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2024-12-25T01:50:00Z</dcterms:created>
  <dc:creator>Esc</dc:creator>
  <cp:lastModifiedBy>Esc</cp:lastModifiedBy>
  <dcterms:modified xsi:type="dcterms:W3CDTF">2024-12-25T02:27:22Z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016C32F92BFB42DDB60076FE6B18514C_11</vt:lpwstr>
  </property>
</Properties>
</file>