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39E552">
      <w:pPr>
        <w:pStyle w:val="2"/>
        <w:shd w:val="clear" w:color="auto" w:fill="FFFFFF"/>
        <w:spacing w:before="0" w:beforeAutospacing="0" w:after="0" w:afterAutospacing="0" w:line="360" w:lineRule="auto"/>
        <w:jc w:val="center"/>
        <w:rPr>
          <w:rFonts w:asciiTheme="minorEastAsia" w:hAnsiTheme="minorEastAsia" w:eastAsiaTheme="minorEastAsia"/>
          <w:color w:val="232323"/>
          <w:sz w:val="28"/>
          <w:szCs w:val="28"/>
        </w:rPr>
      </w:pPr>
      <w:r>
        <w:rPr>
          <w:rFonts w:asciiTheme="minorEastAsia" w:hAnsiTheme="minorEastAsia" w:eastAsiaTheme="minorEastAsia"/>
          <w:sz w:val="32"/>
          <w:szCs w:val="28"/>
        </w:rPr>
        <w:t>关于</w:t>
      </w:r>
      <w:r>
        <w:rPr>
          <w:rFonts w:hint="eastAsia" w:asciiTheme="minorEastAsia" w:hAnsiTheme="minorEastAsia" w:eastAsiaTheme="minorEastAsia"/>
          <w:color w:val="232323"/>
          <w:sz w:val="32"/>
          <w:szCs w:val="28"/>
        </w:rPr>
        <w:t>瑞安市妇幼保健院全自动血凝分析仪耗材（试剂）及配套设备租赁项目的情况说明</w:t>
      </w:r>
    </w:p>
    <w:p w14:paraId="4F48FD52">
      <w:pPr>
        <w:spacing w:line="360" w:lineRule="auto"/>
        <w:ind w:firstLine="480" w:firstLineChars="200"/>
        <w:rPr>
          <w:rFonts w:hint="eastAsia" w:asciiTheme="minorEastAsia" w:hAnsiTheme="minorEastAsia"/>
          <w:color w:val="333333"/>
          <w:sz w:val="24"/>
          <w:szCs w:val="28"/>
        </w:rPr>
      </w:pPr>
      <w:r>
        <w:rPr>
          <w:rFonts w:hint="eastAsia" w:asciiTheme="minorEastAsia" w:hAnsiTheme="minorEastAsia"/>
          <w:color w:val="232323"/>
          <w:sz w:val="24"/>
          <w:szCs w:val="28"/>
        </w:rPr>
        <w:t>瑞安市妇幼保健院全自动血凝分析仪耗材（试剂）及配套设备租赁项目于2025年4月1日在瑞安市公共资源交易中心进行开评标，</w:t>
      </w:r>
      <w:r>
        <w:rPr>
          <w:rFonts w:hint="eastAsia" w:asciiTheme="minorEastAsia" w:hAnsiTheme="minorEastAsia"/>
          <w:color w:val="333333"/>
          <w:sz w:val="24"/>
          <w:szCs w:val="28"/>
          <w:shd w:val="clear" w:color="auto" w:fill="FFFFFF"/>
        </w:rPr>
        <w:t>浙江泰禧生物科技有限公司以1226000元的价格中标</w:t>
      </w:r>
      <w:r>
        <w:rPr>
          <w:rFonts w:asciiTheme="minorEastAsia" w:hAnsiTheme="minorEastAsia"/>
          <w:sz w:val="24"/>
          <w:szCs w:val="28"/>
        </w:rPr>
        <w:t>。</w:t>
      </w:r>
      <w:r>
        <w:rPr>
          <w:rFonts w:hint="eastAsia" w:asciiTheme="minorEastAsia" w:hAnsiTheme="minorEastAsia"/>
          <w:color w:val="333333"/>
          <w:sz w:val="24"/>
          <w:szCs w:val="28"/>
        </w:rPr>
        <w:t>杭州诺嘉医疗设备有限公司于2025年4月8日对采购结果提出质疑，现根据浙江综盛项目管理有限公司组织协助质疑答复和</w:t>
      </w:r>
      <w:r>
        <w:rPr>
          <w:rFonts w:hint="eastAsia" w:asciiTheme="minorEastAsia" w:hAnsiTheme="minorEastAsia"/>
          <w:color w:val="333333"/>
          <w:sz w:val="24"/>
          <w:szCs w:val="28"/>
          <w:shd w:val="clear" w:color="auto" w:fill="FFFFFF"/>
        </w:rPr>
        <w:t>浙江泰禧生物科技有限公司的问询回复</w:t>
      </w:r>
      <w:r>
        <w:rPr>
          <w:rFonts w:hint="eastAsia" w:asciiTheme="minorEastAsia" w:hAnsiTheme="minorEastAsia"/>
          <w:color w:val="333333"/>
          <w:sz w:val="24"/>
          <w:szCs w:val="28"/>
        </w:rPr>
        <w:t>后，情况说明如下：</w:t>
      </w:r>
    </w:p>
    <w:p w14:paraId="5299B542">
      <w:pPr>
        <w:shd w:val="clear" w:color="auto" w:fill="FFFFFF"/>
        <w:spacing w:line="360" w:lineRule="auto"/>
        <w:ind w:firstLine="480"/>
        <w:rPr>
          <w:rFonts w:hint="eastAsia" w:asciiTheme="minorEastAsia" w:hAnsiTheme="minorEastAsia"/>
          <w:color w:val="333333"/>
          <w:sz w:val="24"/>
          <w:szCs w:val="24"/>
          <w:shd w:val="clear" w:color="auto" w:fill="FFFFFF"/>
        </w:rPr>
      </w:pPr>
      <w:r>
        <w:rPr>
          <w:rFonts w:hint="eastAsia" w:asciiTheme="minorEastAsia" w:hAnsiTheme="minorEastAsia"/>
          <w:color w:val="333333"/>
          <w:sz w:val="24"/>
          <w:szCs w:val="24"/>
          <w:shd w:val="clear" w:color="auto" w:fill="FFFFFF"/>
        </w:rPr>
        <w:t>浙江泰禧生物科技有限公司于投标文件的P105投标标的清单中写明投标配套设备租赁为SYSMEX CS-5100型号全自动凝血分析仪，经过专家对其投标文件的查阅和该公司的协助质疑回复，证实SYSMEY CS-5100型号全自动凝血分析仪的方法学非磁珠法。对于中标单位的投标文件P106商务技术偏离表中描述“响应：我司会随配置一台磁珠法设备供医院使用”，经专家对其投标文件的查阅和该公司的协助质疑回复，证实该中标单位并未在其投标文件中的其他地方提及这台随配的磁珠法设备型号或具体信息。</w:t>
      </w:r>
    </w:p>
    <w:p w14:paraId="4708C32C">
      <w:pPr>
        <w:shd w:val="clear" w:color="auto" w:fill="FFFFFF"/>
        <w:spacing w:line="360" w:lineRule="auto"/>
        <w:ind w:firstLine="480"/>
        <w:rPr>
          <w:rFonts w:ascii="Helvetica" w:hAnsi="Helvetica" w:eastAsia="宋体" w:cs="Helvetica"/>
          <w:color w:val="333333"/>
          <w:kern w:val="0"/>
          <w:sz w:val="24"/>
          <w:szCs w:val="24"/>
        </w:rPr>
      </w:pPr>
      <w:r>
        <w:rPr>
          <w:rFonts w:hint="eastAsia" w:asciiTheme="minorEastAsia" w:hAnsiTheme="minorEastAsia"/>
          <w:color w:val="333333"/>
          <w:sz w:val="24"/>
          <w:szCs w:val="24"/>
          <w:shd w:val="clear" w:color="auto" w:fill="FFFFFF"/>
        </w:rPr>
        <w:t>因此综上所述，浙江泰禧生物科技有限公司的“</w:t>
      </w:r>
      <w:r>
        <w:rPr>
          <w:rFonts w:hint="eastAsia" w:cs="仿宋" w:asciiTheme="minorEastAsia" w:hAnsiTheme="minorEastAsia"/>
          <w:sz w:val="24"/>
          <w:szCs w:val="24"/>
        </w:rPr>
        <w:t>△2凝固法采用摆动磁珠法</w:t>
      </w:r>
      <w:r>
        <w:rPr>
          <w:rFonts w:hint="eastAsia" w:asciiTheme="minorEastAsia" w:hAnsiTheme="minorEastAsia"/>
          <w:color w:val="333333"/>
          <w:sz w:val="24"/>
          <w:szCs w:val="24"/>
          <w:shd w:val="clear" w:color="auto" w:fill="FFFFFF"/>
        </w:rPr>
        <w:t>”参数无法得分，且涉嫌虚假响应，</w:t>
      </w:r>
      <w:bookmarkStart w:id="0" w:name="_GoBack"/>
      <w:bookmarkEnd w:id="0"/>
      <w:r>
        <w:rPr>
          <w:rFonts w:hint="eastAsia" w:asciiTheme="minorEastAsia" w:hAnsiTheme="minorEastAsia"/>
          <w:color w:val="333333"/>
          <w:sz w:val="24"/>
          <w:szCs w:val="24"/>
          <w:shd w:val="clear" w:color="auto" w:fill="FFFFFF"/>
        </w:rPr>
        <w:t>扣除该参数的3分后整体投标供应商的排名发生变化，影响了采购结果。由于本项目的有效供应商仅有3家，根据</w:t>
      </w:r>
      <w:r>
        <w:rPr>
          <w:rStyle w:val="10"/>
          <w:rFonts w:ascii="Helvetica" w:hAnsi="Helvetica" w:cs="Helvetica"/>
          <w:color w:val="333333"/>
          <w:sz w:val="24"/>
          <w:szCs w:val="24"/>
          <w:shd w:val="clear" w:color="auto" w:fill="FFFFFF"/>
        </w:rPr>
        <w:t>中华人民共和国财政部</w:t>
      </w:r>
      <w:r>
        <w:rPr>
          <w:rStyle w:val="10"/>
          <w:rFonts w:ascii="Helvetica" w:hAnsi="Helvetica" w:cs="Helvetica"/>
          <w:bCs/>
          <w:color w:val="333333"/>
          <w:sz w:val="24"/>
          <w:szCs w:val="24"/>
          <w:shd w:val="clear" w:color="auto" w:fill="FFFFFF"/>
        </w:rPr>
        <w:t>令第94号</w:t>
      </w:r>
      <w:r>
        <w:rPr>
          <w:rFonts w:ascii="Helvetica" w:hAnsi="Helvetica" w:cs="Helvetica"/>
          <w:color w:val="333333"/>
          <w:sz w:val="24"/>
          <w:szCs w:val="24"/>
          <w:shd w:val="clear" w:color="auto" w:fill="FFFFFF"/>
        </w:rPr>
        <w:t>《政府采购质疑和投诉办法》的</w:t>
      </w:r>
      <w:r>
        <w:rPr>
          <w:rFonts w:ascii="Helvetica" w:hAnsi="Helvetica" w:eastAsia="宋体" w:cs="Helvetica"/>
          <w:color w:val="333333"/>
          <w:kern w:val="0"/>
          <w:sz w:val="24"/>
          <w:szCs w:val="24"/>
        </w:rPr>
        <w:t>第十六条</w:t>
      </w:r>
      <w:r>
        <w:rPr>
          <w:rFonts w:hint="eastAsia" w:ascii="Helvetica" w:hAnsi="Helvetica" w:eastAsia="宋体" w:cs="Helvetica"/>
          <w:color w:val="333333"/>
          <w:kern w:val="0"/>
          <w:sz w:val="24"/>
          <w:szCs w:val="24"/>
        </w:rPr>
        <w:t>“</w:t>
      </w:r>
      <w:r>
        <w:rPr>
          <w:rFonts w:ascii="Helvetica" w:hAnsi="Helvetica" w:eastAsia="宋体" w:cs="Helvetica"/>
          <w:color w:val="333333"/>
          <w:kern w:val="0"/>
          <w:sz w:val="24"/>
          <w:szCs w:val="24"/>
        </w:rPr>
        <w:t>采购人、采购代理机构认为供应商质疑不成立，或者成立但未对中标、成交结果构成影响的，继续开展采购活动；认为供应商质疑成立且影响或者可能影响中标、成交结果的，按照下列情况处理：（一）对采购文件提出的质疑，依法通过澄清或者修改可以继续开展采购活动的，澄清或者修改采购文件后继续开展采购活动；否则应当修改采购文件后重新开展采购活动。（二）对采购过程、中标或者成交结果提出的质疑，合格供应商符合法定数量时，可以从合格的中标或者成交候选人中另行确定中标、成交供应商的，应当依法另行确定中标、成交供应商；否则应当重</w:t>
      </w:r>
      <w:r>
        <w:rPr>
          <w:rFonts w:hint="eastAsia" w:ascii="Helvetica" w:hAnsi="Helvetica" w:eastAsia="宋体" w:cs="Helvetica"/>
          <w:color w:val="333333"/>
          <w:kern w:val="0"/>
          <w:sz w:val="24"/>
          <w:szCs w:val="24"/>
          <w:lang w:val="en-US" w:eastAsia="zh-CN"/>
        </w:rPr>
        <w:t>新</w:t>
      </w:r>
      <w:r>
        <w:rPr>
          <w:rFonts w:ascii="Helvetica" w:hAnsi="Helvetica" w:eastAsia="宋体" w:cs="Helvetica"/>
          <w:color w:val="333333"/>
          <w:kern w:val="0"/>
          <w:sz w:val="24"/>
          <w:szCs w:val="24"/>
        </w:rPr>
        <w:t>开展采购活动。</w:t>
      </w:r>
      <w:r>
        <w:rPr>
          <w:rFonts w:hint="eastAsia" w:ascii="Helvetica" w:hAnsi="Helvetica" w:eastAsia="宋体" w:cs="Helvetica"/>
          <w:color w:val="333333"/>
          <w:kern w:val="0"/>
          <w:sz w:val="24"/>
          <w:szCs w:val="24"/>
        </w:rPr>
        <w:t>”建议该项目废标并重新开展采购活动。</w:t>
      </w:r>
    </w:p>
    <w:p w14:paraId="6F0A52CC">
      <w:pPr>
        <w:spacing w:line="360" w:lineRule="auto"/>
        <w:ind w:firstLine="480" w:firstLineChars="200"/>
        <w:rPr>
          <w:rFonts w:asciiTheme="minorEastAsia" w:hAnsiTheme="minorEastAsia"/>
          <w:color w:val="333333"/>
          <w:sz w:val="24"/>
          <w:szCs w:val="28"/>
          <w:shd w:val="clear" w:color="auto" w:fill="FFFFFF"/>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Helvetica">
    <w:altName w:val="Arial"/>
    <w:panose1 w:val="020B0604020202020204"/>
    <w:charset w:val="00"/>
    <w:family w:val="swiss"/>
    <w:pitch w:val="default"/>
    <w:sig w:usb0="00000000" w:usb1="00000000" w:usb2="00000009" w:usb3="00000000" w:csb0="000001FF"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auto"/>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A44C18"/>
    <w:rsid w:val="000505D4"/>
    <w:rsid w:val="002F47B9"/>
    <w:rsid w:val="00412B7E"/>
    <w:rsid w:val="00570CF6"/>
    <w:rsid w:val="00A44C18"/>
    <w:rsid w:val="00C7441C"/>
    <w:rsid w:val="00C8351E"/>
    <w:rsid w:val="577D28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link w:val="9"/>
    <w:qFormat/>
    <w:uiPriority w:val="9"/>
    <w:pPr>
      <w:widowControl/>
      <w:spacing w:before="100" w:beforeAutospacing="1" w:after="100" w:afterAutospacing="1"/>
      <w:jc w:val="left"/>
      <w:outlineLvl w:val="1"/>
    </w:pPr>
    <w:rPr>
      <w:rFonts w:ascii="宋体" w:hAnsi="宋体" w:eastAsia="宋体" w:cs="宋体"/>
      <w:b/>
      <w:bCs/>
      <w:kern w:val="0"/>
      <w:sz w:val="36"/>
      <w:szCs w:val="36"/>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8"/>
    <w:semiHidden/>
    <w:unhideWhenUsed/>
    <w:uiPriority w:val="99"/>
    <w:pPr>
      <w:tabs>
        <w:tab w:val="center" w:pos="4153"/>
        <w:tab w:val="right" w:pos="8306"/>
      </w:tabs>
      <w:snapToGrid w:val="0"/>
      <w:jc w:val="left"/>
    </w:pPr>
    <w:rPr>
      <w:sz w:val="18"/>
      <w:szCs w:val="18"/>
    </w:rPr>
  </w:style>
  <w:style w:type="paragraph" w:styleId="4">
    <w:name w:val="header"/>
    <w:basedOn w:val="1"/>
    <w:link w:val="7"/>
    <w:semiHidden/>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semiHidden/>
    <w:uiPriority w:val="99"/>
    <w:rPr>
      <w:sz w:val="18"/>
      <w:szCs w:val="18"/>
    </w:rPr>
  </w:style>
  <w:style w:type="character" w:customStyle="1" w:styleId="8">
    <w:name w:val="页脚 Char"/>
    <w:basedOn w:val="6"/>
    <w:link w:val="3"/>
    <w:semiHidden/>
    <w:uiPriority w:val="99"/>
    <w:rPr>
      <w:sz w:val="18"/>
      <w:szCs w:val="18"/>
    </w:rPr>
  </w:style>
  <w:style w:type="character" w:customStyle="1" w:styleId="9">
    <w:name w:val="标题 2 Char"/>
    <w:basedOn w:val="6"/>
    <w:link w:val="2"/>
    <w:uiPriority w:val="9"/>
    <w:rPr>
      <w:rFonts w:ascii="宋体" w:hAnsi="宋体" w:eastAsia="宋体" w:cs="宋体"/>
      <w:b/>
      <w:bCs/>
      <w:kern w:val="0"/>
      <w:sz w:val="36"/>
      <w:szCs w:val="36"/>
    </w:rPr>
  </w:style>
  <w:style w:type="character" w:customStyle="1" w:styleId="10">
    <w:name w:val="text_qs7xs"/>
    <w:basedOn w:val="6"/>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816</Words>
  <Characters>857</Characters>
  <Lines>6</Lines>
  <Paragraphs>1</Paragraphs>
  <TotalTime>71</TotalTime>
  <ScaleCrop>false</ScaleCrop>
  <LinksUpToDate>false</LinksUpToDate>
  <CharactersWithSpaces>862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2025-04-11T07:21:00Z</dcterms:created>
  <dc:creator>admina</dc:creator>
  <cp:lastModifiedBy>天下为攻</cp:lastModifiedBy>
  <cp:lastPrinted>2025-04-11T08:26:00Z</cp:lastPrinted>
  <dcterms:modified xsi:type="dcterms:W3CDTF">2025-04-11T10:02:57Z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eyJoZGlkIjoiNWJmZTJkYjgwNzdhNjQwNjJhNzllNDYwYThkNDJlODIiLCJ1c2VySWQiOiIyMTA5OTcxNTAifQ==</vt:lpwstr>
  </property>
  <property fmtid="{D5CDD505-2E9C-101B-9397-08002B2CF9AE}" pid="3" name="KSOProductBuildVer">
    <vt:lpwstr>2052-12.1.0.20784</vt:lpwstr>
  </property>
  <property fmtid="{D5CDD505-2E9C-101B-9397-08002B2CF9AE}" pid="4" name="ICV">
    <vt:lpwstr>E74EF92534F842849D2D92FA635CD366_12</vt:lpwstr>
  </property>
</Properties>
</file>