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41A4FB7">
      <w:pPr>
        <w:autoSpaceDE w:val="0"/>
        <w:autoSpaceDN w:val="0"/>
        <w:spacing w:line="360" w:lineRule="auto"/>
        <w:textAlignment w:val="bottom"/>
        <w:rPr>
          <w:rFonts w:ascii="宋体" w:hAnsi="宋体" w:cs="Courier New"/>
          <w:b/>
          <w:bCs/>
          <w:spacing w:val="120"/>
          <w:sz w:val="72"/>
          <w:szCs w:val="72"/>
          <w:highlight w:val="none"/>
        </w:rPr>
      </w:pPr>
    </w:p>
    <w:p w14:paraId="0070BF54">
      <w:pPr>
        <w:autoSpaceDE w:val="0"/>
        <w:autoSpaceDN w:val="0"/>
        <w:spacing w:line="500" w:lineRule="atLeast"/>
        <w:jc w:val="center"/>
        <w:textAlignment w:val="bottom"/>
        <w:rPr>
          <w:rFonts w:ascii="宋体" w:hAnsi="宋体" w:cs="Courier New"/>
          <w:bCs/>
          <w:sz w:val="62"/>
          <w:szCs w:val="62"/>
          <w:highlight w:val="none"/>
        </w:rPr>
      </w:pPr>
      <w:sdt>
        <w:sdtPr>
          <w:rPr>
            <w:rFonts w:hint="eastAsia" w:ascii="宋体" w:hAnsi="宋体" w:cs="Courier New"/>
            <w:b/>
            <w:bCs/>
            <w:spacing w:val="120"/>
            <w:sz w:val="72"/>
            <w:szCs w:val="72"/>
            <w:highlight w:val="none"/>
          </w:rPr>
          <w:alias w:val="区域选择"/>
          <w:tag w:val="区域选择"/>
          <w:id w:val="-1848550771"/>
          <w:placeholder>
            <w:docPart w:val="C337678128134B22A10BFE8AEAEE4CC1"/>
          </w:placeholder>
          <w:dropDownList>
            <w:listItem w:value="选择一项。"/>
            <w:listItem w:displayText="温州市" w:value="温州市"/>
            <w:listItem w:displayText="瓯海区" w:value="瓯海区"/>
            <w:listItem w:displayText="鹿城区" w:value="鹿城区"/>
            <w:listItem w:displayText="龙湾区" w:value="龙湾区"/>
          </w:dropDownList>
        </w:sdtPr>
        <w:sdtEndPr>
          <w:rPr>
            <w:rFonts w:hint="eastAsia" w:ascii="宋体" w:hAnsi="宋体" w:cs="Courier New"/>
            <w:b/>
            <w:bCs/>
            <w:spacing w:val="120"/>
            <w:sz w:val="72"/>
            <w:szCs w:val="72"/>
            <w:highlight w:val="none"/>
          </w:rPr>
        </w:sdtEndPr>
        <w:sdtContent>
          <w:r>
            <w:rPr>
              <w:rFonts w:hint="eastAsia" w:ascii="宋体" w:hAnsi="宋体" w:eastAsia="宋体" w:cs="Courier New"/>
              <w:b/>
              <w:bCs/>
              <w:spacing w:val="120"/>
              <w:kern w:val="2"/>
              <w:sz w:val="72"/>
              <w:szCs w:val="72"/>
              <w:highlight w:val="none"/>
              <w:lang w:val="en-US" w:eastAsia="zh-CN" w:bidi="ar-SA"/>
            </w:rPr>
            <w:t>瓯海区</w:t>
          </w:r>
        </w:sdtContent>
      </w:sdt>
      <w:r>
        <w:rPr>
          <w:rFonts w:ascii="宋体" w:hAnsi="宋体" w:cs="Courier New"/>
          <w:b/>
          <w:bCs/>
          <w:spacing w:val="120"/>
          <w:sz w:val="72"/>
          <w:szCs w:val="72"/>
          <w:highlight w:val="none"/>
        </w:rPr>
        <w:t>政府分散采购</w:t>
      </w:r>
    </w:p>
    <w:p w14:paraId="0068B490">
      <w:pPr>
        <w:autoSpaceDE w:val="0"/>
        <w:autoSpaceDN w:val="0"/>
        <w:spacing w:line="500" w:lineRule="atLeast"/>
        <w:jc w:val="center"/>
        <w:textAlignment w:val="bottom"/>
        <w:rPr>
          <w:rFonts w:ascii="宋体" w:hAnsi="宋体" w:cs="Courier New"/>
          <w:bCs/>
          <w:sz w:val="72"/>
          <w:szCs w:val="72"/>
          <w:highlight w:val="none"/>
        </w:rPr>
      </w:pPr>
    </w:p>
    <w:p w14:paraId="4BE3B0E2">
      <w:pPr>
        <w:spacing w:line="400" w:lineRule="atLeast"/>
        <w:jc w:val="center"/>
        <w:rPr>
          <w:rFonts w:ascii="宋体" w:hAnsi="宋体" w:cs="Courier New"/>
          <w:b/>
          <w:sz w:val="52"/>
          <w:highlight w:val="none"/>
        </w:rPr>
      </w:pPr>
    </w:p>
    <w:p w14:paraId="7905B8C2">
      <w:pPr>
        <w:spacing w:line="400" w:lineRule="atLeast"/>
        <w:jc w:val="center"/>
        <w:rPr>
          <w:rFonts w:ascii="宋体" w:hAnsi="宋体" w:cs="Courier New"/>
          <w:b/>
          <w:sz w:val="52"/>
          <w:highlight w:val="none"/>
        </w:rPr>
      </w:pPr>
    </w:p>
    <w:p w14:paraId="6B8DD912">
      <w:pPr>
        <w:autoSpaceDE w:val="0"/>
        <w:autoSpaceDN w:val="0"/>
        <w:spacing w:line="500" w:lineRule="atLeast"/>
        <w:jc w:val="center"/>
        <w:textAlignment w:val="bottom"/>
        <w:rPr>
          <w:rFonts w:ascii="宋体" w:hAnsi="宋体" w:cs="Courier New"/>
          <w:b/>
          <w:bCs/>
          <w:sz w:val="72"/>
          <w:szCs w:val="72"/>
          <w:highlight w:val="none"/>
        </w:rPr>
      </w:pPr>
      <w:r>
        <w:rPr>
          <w:rFonts w:hint="eastAsia" w:ascii="宋体" w:hAnsi="宋体" w:cs="Courier New"/>
          <w:b/>
          <w:bCs/>
          <w:sz w:val="72"/>
          <w:szCs w:val="72"/>
          <w:highlight w:val="none"/>
        </w:rPr>
        <w:t>招  标  文  件</w:t>
      </w:r>
    </w:p>
    <w:p w14:paraId="3BCD6546">
      <w:pPr>
        <w:autoSpaceDE w:val="0"/>
        <w:autoSpaceDN w:val="0"/>
        <w:spacing w:line="500" w:lineRule="atLeast"/>
        <w:jc w:val="center"/>
        <w:textAlignment w:val="bottom"/>
        <w:rPr>
          <w:rFonts w:ascii="宋体" w:hAnsi="宋体" w:cs="Courier New"/>
          <w:sz w:val="42"/>
          <w:szCs w:val="72"/>
          <w:highlight w:val="none"/>
        </w:rPr>
      </w:pPr>
      <w:r>
        <w:rPr>
          <w:rFonts w:hint="eastAsia" w:ascii="宋体" w:hAnsi="宋体" w:cs="Courier New"/>
          <w:sz w:val="42"/>
          <w:szCs w:val="72"/>
          <w:highlight w:val="none"/>
        </w:rPr>
        <w:t>（线上电子招投标）</w:t>
      </w:r>
    </w:p>
    <w:p w14:paraId="51B31142">
      <w:pPr>
        <w:spacing w:line="400" w:lineRule="exact"/>
        <w:jc w:val="center"/>
        <w:rPr>
          <w:rFonts w:ascii="宋体" w:hAnsi="宋体"/>
          <w:b/>
          <w:sz w:val="32"/>
          <w:highlight w:val="none"/>
        </w:rPr>
      </w:pPr>
    </w:p>
    <w:p w14:paraId="5DAA0138">
      <w:pPr>
        <w:spacing w:line="400" w:lineRule="exact"/>
        <w:jc w:val="center"/>
        <w:rPr>
          <w:rFonts w:ascii="宋体" w:hAnsi="宋体"/>
          <w:b/>
          <w:sz w:val="32"/>
          <w:highlight w:val="none"/>
        </w:rPr>
      </w:pPr>
    </w:p>
    <w:p w14:paraId="5DFD9EED">
      <w:pPr>
        <w:spacing w:line="400" w:lineRule="exact"/>
        <w:jc w:val="center"/>
        <w:rPr>
          <w:rFonts w:ascii="宋体" w:hAnsi="宋体"/>
          <w:b/>
          <w:sz w:val="32"/>
          <w:highlight w:val="none"/>
        </w:rPr>
      </w:pPr>
    </w:p>
    <w:tbl>
      <w:tblPr>
        <w:tblStyle w:val="40"/>
        <w:tblW w:w="8555" w:type="dxa"/>
        <w:jc w:val="center"/>
        <w:tblLayout w:type="fixed"/>
        <w:tblCellMar>
          <w:top w:w="0" w:type="dxa"/>
          <w:left w:w="108" w:type="dxa"/>
          <w:bottom w:w="0" w:type="dxa"/>
          <w:right w:w="108" w:type="dxa"/>
        </w:tblCellMar>
      </w:tblPr>
      <w:tblGrid>
        <w:gridCol w:w="2340"/>
        <w:gridCol w:w="360"/>
        <w:gridCol w:w="5855"/>
      </w:tblGrid>
      <w:tr w14:paraId="1699F986">
        <w:tblPrEx>
          <w:tblCellMar>
            <w:top w:w="0" w:type="dxa"/>
            <w:left w:w="108" w:type="dxa"/>
            <w:bottom w:w="0" w:type="dxa"/>
            <w:right w:w="108" w:type="dxa"/>
          </w:tblCellMar>
        </w:tblPrEx>
        <w:trPr>
          <w:trHeight w:val="659" w:hRule="atLeast"/>
          <w:jc w:val="center"/>
        </w:trPr>
        <w:tc>
          <w:tcPr>
            <w:tcW w:w="2340" w:type="dxa"/>
            <w:vAlign w:val="center"/>
          </w:tcPr>
          <w:p w14:paraId="65C6E547">
            <w:pPr>
              <w:adjustRightInd w:val="0"/>
              <w:snapToGrid w:val="0"/>
              <w:spacing w:line="440" w:lineRule="exact"/>
              <w:jc w:val="distribute"/>
              <w:rPr>
                <w:rFonts w:ascii="宋体" w:hAnsi="宋体"/>
                <w:sz w:val="30"/>
                <w:szCs w:val="30"/>
                <w:highlight w:val="none"/>
              </w:rPr>
            </w:pPr>
            <w:r>
              <w:rPr>
                <w:rFonts w:ascii="宋体" w:hAnsi="宋体"/>
                <w:spacing w:val="40"/>
                <w:sz w:val="30"/>
                <w:szCs w:val="30"/>
                <w:highlight w:val="none"/>
              </w:rPr>
              <w:t>项目编号</w:t>
            </w:r>
          </w:p>
        </w:tc>
        <w:tc>
          <w:tcPr>
            <w:tcW w:w="360" w:type="dxa"/>
            <w:vAlign w:val="center"/>
          </w:tcPr>
          <w:p w14:paraId="1A56C650">
            <w:pPr>
              <w:adjustRightInd w:val="0"/>
              <w:snapToGrid w:val="0"/>
              <w:spacing w:line="440" w:lineRule="exact"/>
              <w:jc w:val="distribute"/>
              <w:rPr>
                <w:rFonts w:ascii="宋体" w:hAnsi="宋体"/>
                <w:sz w:val="30"/>
                <w:szCs w:val="30"/>
                <w:highlight w:val="none"/>
              </w:rPr>
            </w:pPr>
            <w:r>
              <w:rPr>
                <w:rFonts w:ascii="宋体" w:hAnsi="宋体"/>
                <w:sz w:val="30"/>
                <w:szCs w:val="30"/>
                <w:highlight w:val="none"/>
              </w:rPr>
              <w:t>：</w:t>
            </w:r>
          </w:p>
        </w:tc>
        <w:tc>
          <w:tcPr>
            <w:tcW w:w="5855" w:type="dxa"/>
            <w:vAlign w:val="center"/>
          </w:tcPr>
          <w:p w14:paraId="0E02A5A9">
            <w:pPr>
              <w:adjustRightInd w:val="0"/>
              <w:snapToGrid w:val="0"/>
              <w:spacing w:line="440" w:lineRule="exact"/>
              <w:rPr>
                <w:rFonts w:hint="eastAsia" w:ascii="宋体" w:hAnsi="宋体" w:eastAsia="宋体"/>
                <w:spacing w:val="-20"/>
                <w:sz w:val="30"/>
                <w:szCs w:val="30"/>
                <w:highlight w:val="none"/>
                <w:lang w:eastAsia="zh-CN"/>
              </w:rPr>
            </w:pPr>
            <w:r>
              <w:rPr>
                <w:rFonts w:hint="eastAsia" w:ascii="宋体" w:hAnsi="宋体"/>
                <w:sz w:val="30"/>
                <w:szCs w:val="30"/>
                <w:highlight w:val="none"/>
                <w:lang w:eastAsia="zh-CN"/>
              </w:rPr>
              <w:t>HP-DL-2024082716</w:t>
            </w:r>
          </w:p>
        </w:tc>
      </w:tr>
      <w:tr w14:paraId="6BF4E6DF">
        <w:tblPrEx>
          <w:tblCellMar>
            <w:top w:w="0" w:type="dxa"/>
            <w:left w:w="108" w:type="dxa"/>
            <w:bottom w:w="0" w:type="dxa"/>
            <w:right w:w="108" w:type="dxa"/>
          </w:tblCellMar>
        </w:tblPrEx>
        <w:trPr>
          <w:trHeight w:val="614" w:hRule="atLeast"/>
          <w:jc w:val="center"/>
        </w:trPr>
        <w:tc>
          <w:tcPr>
            <w:tcW w:w="2340" w:type="dxa"/>
            <w:vAlign w:val="center"/>
          </w:tcPr>
          <w:p w14:paraId="2C0634D7">
            <w:pPr>
              <w:adjustRightInd w:val="0"/>
              <w:snapToGrid w:val="0"/>
              <w:spacing w:line="440" w:lineRule="exact"/>
              <w:jc w:val="distribute"/>
              <w:rPr>
                <w:rFonts w:ascii="宋体" w:hAnsi="宋体"/>
                <w:sz w:val="30"/>
                <w:szCs w:val="30"/>
                <w:highlight w:val="none"/>
              </w:rPr>
            </w:pPr>
            <w:r>
              <w:rPr>
                <w:rFonts w:hint="eastAsia" w:ascii="宋体" w:hAnsi="宋体"/>
                <w:sz w:val="30"/>
                <w:szCs w:val="30"/>
                <w:highlight w:val="none"/>
              </w:rPr>
              <w:t>项目名称</w:t>
            </w:r>
          </w:p>
        </w:tc>
        <w:tc>
          <w:tcPr>
            <w:tcW w:w="360" w:type="dxa"/>
            <w:vAlign w:val="center"/>
          </w:tcPr>
          <w:p w14:paraId="0525E790">
            <w:pPr>
              <w:adjustRightInd w:val="0"/>
              <w:snapToGrid w:val="0"/>
              <w:spacing w:line="440" w:lineRule="exact"/>
              <w:jc w:val="distribute"/>
              <w:rPr>
                <w:rFonts w:ascii="宋体" w:hAnsi="宋体"/>
                <w:sz w:val="30"/>
                <w:szCs w:val="30"/>
                <w:highlight w:val="none"/>
              </w:rPr>
            </w:pPr>
            <w:r>
              <w:rPr>
                <w:rFonts w:ascii="宋体" w:hAnsi="宋体"/>
                <w:sz w:val="30"/>
                <w:szCs w:val="30"/>
                <w:highlight w:val="none"/>
              </w:rPr>
              <w:t>：</w:t>
            </w:r>
          </w:p>
        </w:tc>
        <w:tc>
          <w:tcPr>
            <w:tcW w:w="5855" w:type="dxa"/>
            <w:vAlign w:val="center"/>
          </w:tcPr>
          <w:p w14:paraId="1A312F6B">
            <w:pPr>
              <w:adjustRightInd w:val="0"/>
              <w:snapToGrid w:val="0"/>
              <w:spacing w:line="440" w:lineRule="exact"/>
              <w:rPr>
                <w:rFonts w:hint="eastAsia" w:ascii="宋体" w:hAnsi="宋体" w:eastAsia="宋体"/>
                <w:sz w:val="30"/>
                <w:szCs w:val="30"/>
                <w:highlight w:val="none"/>
                <w:lang w:eastAsia="zh-CN"/>
              </w:rPr>
            </w:pPr>
            <w:r>
              <w:rPr>
                <w:rFonts w:hint="eastAsia" w:ascii="宋体" w:hAnsi="宋体"/>
                <w:sz w:val="30"/>
                <w:szCs w:val="30"/>
                <w:highlight w:val="none"/>
                <w:lang w:eastAsia="zh-CN"/>
              </w:rPr>
              <w:t>2025年-2026年瓯海区农产品定量检测服务</w:t>
            </w:r>
          </w:p>
        </w:tc>
      </w:tr>
      <w:tr w14:paraId="53868F39">
        <w:tblPrEx>
          <w:tblCellMar>
            <w:top w:w="0" w:type="dxa"/>
            <w:left w:w="108" w:type="dxa"/>
            <w:bottom w:w="0" w:type="dxa"/>
            <w:right w:w="108" w:type="dxa"/>
          </w:tblCellMar>
        </w:tblPrEx>
        <w:trPr>
          <w:trHeight w:val="614" w:hRule="atLeast"/>
          <w:jc w:val="center"/>
        </w:trPr>
        <w:tc>
          <w:tcPr>
            <w:tcW w:w="2340" w:type="dxa"/>
            <w:vAlign w:val="center"/>
          </w:tcPr>
          <w:p w14:paraId="2D49F266">
            <w:pPr>
              <w:adjustRightInd w:val="0"/>
              <w:snapToGrid w:val="0"/>
              <w:spacing w:line="440" w:lineRule="exact"/>
              <w:jc w:val="distribute"/>
              <w:rPr>
                <w:rFonts w:ascii="宋体" w:hAnsi="宋体"/>
                <w:sz w:val="30"/>
                <w:szCs w:val="30"/>
                <w:highlight w:val="none"/>
              </w:rPr>
            </w:pPr>
            <w:r>
              <w:rPr>
                <w:rFonts w:hint="eastAsia" w:ascii="宋体" w:hAnsi="宋体"/>
                <w:spacing w:val="40"/>
                <w:sz w:val="30"/>
                <w:szCs w:val="30"/>
                <w:highlight w:val="none"/>
              </w:rPr>
              <w:t>采购</w:t>
            </w:r>
            <w:r>
              <w:rPr>
                <w:rFonts w:ascii="宋体" w:hAnsi="宋体"/>
                <w:spacing w:val="40"/>
                <w:sz w:val="30"/>
                <w:szCs w:val="30"/>
                <w:highlight w:val="none"/>
              </w:rPr>
              <w:t>方式</w:t>
            </w:r>
          </w:p>
        </w:tc>
        <w:tc>
          <w:tcPr>
            <w:tcW w:w="360" w:type="dxa"/>
            <w:vAlign w:val="center"/>
          </w:tcPr>
          <w:p w14:paraId="08E4F06D">
            <w:pPr>
              <w:adjustRightInd w:val="0"/>
              <w:snapToGrid w:val="0"/>
              <w:spacing w:line="440" w:lineRule="exact"/>
              <w:jc w:val="distribute"/>
              <w:rPr>
                <w:rFonts w:ascii="宋体" w:hAnsi="宋体"/>
                <w:sz w:val="30"/>
                <w:szCs w:val="30"/>
                <w:highlight w:val="none"/>
              </w:rPr>
            </w:pPr>
            <w:r>
              <w:rPr>
                <w:rFonts w:ascii="宋体" w:hAnsi="宋体"/>
                <w:sz w:val="30"/>
                <w:szCs w:val="30"/>
                <w:highlight w:val="none"/>
              </w:rPr>
              <w:t>：</w:t>
            </w:r>
          </w:p>
        </w:tc>
        <w:tc>
          <w:tcPr>
            <w:tcW w:w="5855" w:type="dxa"/>
            <w:vAlign w:val="center"/>
          </w:tcPr>
          <w:p w14:paraId="51E83002">
            <w:pPr>
              <w:adjustRightInd w:val="0"/>
              <w:snapToGrid w:val="0"/>
              <w:spacing w:line="440" w:lineRule="exact"/>
              <w:rPr>
                <w:rFonts w:ascii="宋体" w:hAnsi="宋体"/>
                <w:sz w:val="30"/>
                <w:szCs w:val="30"/>
                <w:highlight w:val="none"/>
              </w:rPr>
            </w:pPr>
            <w:r>
              <w:rPr>
                <w:rFonts w:hint="eastAsia" w:ascii="宋体" w:hAnsi="宋体"/>
                <w:sz w:val="30"/>
                <w:szCs w:val="30"/>
                <w:highlight w:val="none"/>
              </w:rPr>
              <w:t>公开招标</w:t>
            </w:r>
          </w:p>
        </w:tc>
      </w:tr>
    </w:tbl>
    <w:p w14:paraId="6C315705">
      <w:pPr>
        <w:jc w:val="center"/>
        <w:rPr>
          <w:rFonts w:ascii="宋体" w:hAnsi="宋体"/>
          <w:b/>
          <w:sz w:val="24"/>
          <w:highlight w:val="none"/>
        </w:rPr>
      </w:pPr>
    </w:p>
    <w:p w14:paraId="3BE44870">
      <w:pPr>
        <w:rPr>
          <w:rFonts w:ascii="宋体" w:hAnsi="宋体"/>
          <w:b/>
          <w:sz w:val="24"/>
          <w:highlight w:val="none"/>
        </w:rPr>
      </w:pPr>
    </w:p>
    <w:p w14:paraId="3FBBC0A3">
      <w:pPr>
        <w:rPr>
          <w:rFonts w:ascii="宋体" w:hAnsi="宋体"/>
          <w:b/>
          <w:sz w:val="24"/>
          <w:highlight w:val="none"/>
        </w:rPr>
      </w:pPr>
    </w:p>
    <w:p w14:paraId="20D9FFCA">
      <w:pPr>
        <w:jc w:val="center"/>
        <w:rPr>
          <w:rFonts w:ascii="宋体" w:hAnsi="宋体"/>
          <w:b/>
          <w:sz w:val="24"/>
          <w:highlight w:val="none"/>
        </w:rPr>
      </w:pPr>
    </w:p>
    <w:p w14:paraId="6636A24D">
      <w:pPr>
        <w:jc w:val="center"/>
        <w:rPr>
          <w:rFonts w:ascii="宋体" w:hAnsi="宋体"/>
          <w:b/>
          <w:sz w:val="24"/>
          <w:highlight w:val="none"/>
        </w:rPr>
      </w:pPr>
    </w:p>
    <w:p w14:paraId="58FD4D78">
      <w:pPr>
        <w:jc w:val="center"/>
        <w:rPr>
          <w:rFonts w:ascii="宋体" w:hAnsi="宋体"/>
          <w:b/>
          <w:sz w:val="24"/>
          <w:highlight w:val="none"/>
        </w:rPr>
      </w:pPr>
    </w:p>
    <w:p w14:paraId="0891EB35">
      <w:pPr>
        <w:jc w:val="center"/>
        <w:rPr>
          <w:rFonts w:ascii="宋体" w:hAnsi="宋体"/>
          <w:b/>
          <w:sz w:val="24"/>
          <w:highlight w:val="none"/>
        </w:rPr>
      </w:pPr>
    </w:p>
    <w:tbl>
      <w:tblPr>
        <w:tblStyle w:val="40"/>
        <w:tblW w:w="8688" w:type="dxa"/>
        <w:jc w:val="center"/>
        <w:tblLayout w:type="fixed"/>
        <w:tblCellMar>
          <w:top w:w="0" w:type="dxa"/>
          <w:left w:w="108" w:type="dxa"/>
          <w:bottom w:w="0" w:type="dxa"/>
          <w:right w:w="108" w:type="dxa"/>
        </w:tblCellMar>
      </w:tblPr>
      <w:tblGrid>
        <w:gridCol w:w="2340"/>
        <w:gridCol w:w="360"/>
        <w:gridCol w:w="5988"/>
      </w:tblGrid>
      <w:tr w14:paraId="280F8E04">
        <w:tblPrEx>
          <w:tblCellMar>
            <w:top w:w="0" w:type="dxa"/>
            <w:left w:w="108" w:type="dxa"/>
            <w:bottom w:w="0" w:type="dxa"/>
            <w:right w:w="108" w:type="dxa"/>
          </w:tblCellMar>
        </w:tblPrEx>
        <w:trPr>
          <w:trHeight w:val="614" w:hRule="atLeast"/>
          <w:jc w:val="center"/>
        </w:trPr>
        <w:tc>
          <w:tcPr>
            <w:tcW w:w="2340" w:type="dxa"/>
            <w:vAlign w:val="center"/>
          </w:tcPr>
          <w:p w14:paraId="60F91855">
            <w:pPr>
              <w:adjustRightInd w:val="0"/>
              <w:snapToGrid w:val="0"/>
              <w:spacing w:line="440" w:lineRule="exact"/>
              <w:jc w:val="distribute"/>
              <w:rPr>
                <w:rFonts w:ascii="宋体" w:hAnsi="宋体"/>
                <w:sz w:val="30"/>
                <w:szCs w:val="30"/>
                <w:highlight w:val="none"/>
              </w:rPr>
            </w:pPr>
            <w:r>
              <w:rPr>
                <w:rFonts w:hint="eastAsia" w:ascii="宋体" w:hAnsi="宋体"/>
                <w:sz w:val="30"/>
                <w:szCs w:val="30"/>
                <w:highlight w:val="none"/>
              </w:rPr>
              <w:t>采购人</w:t>
            </w:r>
          </w:p>
        </w:tc>
        <w:tc>
          <w:tcPr>
            <w:tcW w:w="360" w:type="dxa"/>
            <w:tcBorders>
              <w:left w:val="nil"/>
            </w:tcBorders>
            <w:vAlign w:val="center"/>
          </w:tcPr>
          <w:p w14:paraId="4F276B0A">
            <w:pPr>
              <w:adjustRightInd w:val="0"/>
              <w:snapToGrid w:val="0"/>
              <w:spacing w:line="440" w:lineRule="exact"/>
              <w:jc w:val="distribute"/>
              <w:rPr>
                <w:rFonts w:ascii="宋体" w:hAnsi="宋体"/>
                <w:sz w:val="30"/>
                <w:szCs w:val="30"/>
                <w:highlight w:val="none"/>
              </w:rPr>
            </w:pPr>
            <w:r>
              <w:rPr>
                <w:rFonts w:hint="eastAsia" w:ascii="宋体" w:hAnsi="宋体"/>
                <w:sz w:val="30"/>
                <w:szCs w:val="30"/>
                <w:highlight w:val="none"/>
              </w:rPr>
              <w:t>：</w:t>
            </w:r>
          </w:p>
        </w:tc>
        <w:tc>
          <w:tcPr>
            <w:tcW w:w="5988" w:type="dxa"/>
            <w:vAlign w:val="center"/>
          </w:tcPr>
          <w:p w14:paraId="364249A2">
            <w:pPr>
              <w:adjustRightInd w:val="0"/>
              <w:snapToGrid w:val="0"/>
              <w:spacing w:line="440" w:lineRule="exact"/>
              <w:jc w:val="distribute"/>
              <w:rPr>
                <w:rFonts w:hint="eastAsia" w:ascii="宋体" w:hAnsi="宋体" w:eastAsia="宋体"/>
                <w:sz w:val="30"/>
                <w:szCs w:val="30"/>
                <w:highlight w:val="none"/>
                <w:lang w:eastAsia="zh-CN"/>
              </w:rPr>
            </w:pPr>
            <w:r>
              <w:rPr>
                <w:rFonts w:hint="eastAsia" w:ascii="宋体" w:hAnsi="宋体"/>
                <w:sz w:val="30"/>
                <w:szCs w:val="30"/>
                <w:highlight w:val="none"/>
                <w:lang w:eastAsia="zh-CN"/>
              </w:rPr>
              <w:t>温州市瓯海区农业农村局</w:t>
            </w:r>
          </w:p>
        </w:tc>
      </w:tr>
      <w:tr w14:paraId="18DDD279">
        <w:tblPrEx>
          <w:tblCellMar>
            <w:top w:w="0" w:type="dxa"/>
            <w:left w:w="108" w:type="dxa"/>
            <w:bottom w:w="0" w:type="dxa"/>
            <w:right w:w="108" w:type="dxa"/>
          </w:tblCellMar>
        </w:tblPrEx>
        <w:trPr>
          <w:trHeight w:val="614" w:hRule="atLeast"/>
          <w:jc w:val="center"/>
        </w:trPr>
        <w:tc>
          <w:tcPr>
            <w:tcW w:w="2340" w:type="dxa"/>
            <w:vAlign w:val="center"/>
          </w:tcPr>
          <w:p w14:paraId="77C7F1D6">
            <w:pPr>
              <w:adjustRightInd w:val="0"/>
              <w:snapToGrid w:val="0"/>
              <w:spacing w:line="440" w:lineRule="exact"/>
              <w:jc w:val="distribute"/>
              <w:rPr>
                <w:rFonts w:ascii="宋体" w:hAnsi="宋体"/>
                <w:sz w:val="30"/>
                <w:szCs w:val="30"/>
                <w:highlight w:val="none"/>
              </w:rPr>
            </w:pPr>
            <w:r>
              <w:rPr>
                <w:rFonts w:hint="eastAsia" w:ascii="宋体" w:hAnsi="宋体"/>
                <w:sz w:val="30"/>
                <w:szCs w:val="30"/>
                <w:highlight w:val="none"/>
              </w:rPr>
              <w:t>采购代理机构</w:t>
            </w:r>
          </w:p>
        </w:tc>
        <w:tc>
          <w:tcPr>
            <w:tcW w:w="360" w:type="dxa"/>
            <w:tcBorders>
              <w:left w:val="nil"/>
            </w:tcBorders>
            <w:vAlign w:val="center"/>
          </w:tcPr>
          <w:p w14:paraId="4C959C66">
            <w:pPr>
              <w:adjustRightInd w:val="0"/>
              <w:snapToGrid w:val="0"/>
              <w:spacing w:line="440" w:lineRule="exact"/>
              <w:jc w:val="distribute"/>
              <w:rPr>
                <w:rFonts w:ascii="宋体" w:hAnsi="宋体"/>
                <w:sz w:val="30"/>
                <w:szCs w:val="30"/>
                <w:highlight w:val="none"/>
              </w:rPr>
            </w:pPr>
            <w:r>
              <w:rPr>
                <w:rFonts w:hint="eastAsia" w:ascii="宋体" w:hAnsi="宋体"/>
                <w:sz w:val="30"/>
                <w:szCs w:val="30"/>
                <w:highlight w:val="none"/>
              </w:rPr>
              <w:t>：</w:t>
            </w:r>
          </w:p>
        </w:tc>
        <w:tc>
          <w:tcPr>
            <w:tcW w:w="5988" w:type="dxa"/>
            <w:vAlign w:val="center"/>
          </w:tcPr>
          <w:p w14:paraId="229DC00F">
            <w:pPr>
              <w:adjustRightInd w:val="0"/>
              <w:snapToGrid w:val="0"/>
              <w:spacing w:line="440" w:lineRule="exact"/>
              <w:jc w:val="distribute"/>
              <w:rPr>
                <w:rFonts w:hint="eastAsia" w:ascii="宋体" w:hAnsi="宋体" w:eastAsia="宋体"/>
                <w:sz w:val="30"/>
                <w:szCs w:val="30"/>
                <w:highlight w:val="none"/>
                <w:lang w:eastAsia="zh-CN"/>
              </w:rPr>
            </w:pPr>
            <w:r>
              <w:rPr>
                <w:rFonts w:hint="eastAsia" w:ascii="宋体" w:hAnsi="宋体"/>
                <w:sz w:val="30"/>
                <w:szCs w:val="30"/>
                <w:highlight w:val="none"/>
                <w:lang w:eastAsia="zh-CN"/>
              </w:rPr>
              <w:t>浙江华浦工程管理有限公司</w:t>
            </w:r>
          </w:p>
        </w:tc>
      </w:tr>
    </w:tbl>
    <w:p w14:paraId="10E02954">
      <w:pPr>
        <w:spacing w:before="120" w:beforeLines="50" w:line="360" w:lineRule="auto"/>
        <w:jc w:val="center"/>
        <w:rPr>
          <w:rFonts w:ascii="宋体" w:hAnsi="宋体"/>
          <w:spacing w:val="40"/>
          <w:sz w:val="30"/>
          <w:szCs w:val="30"/>
          <w:highlight w:val="none"/>
        </w:rPr>
      </w:pPr>
      <w:r>
        <w:rPr>
          <w:rFonts w:ascii="宋体" w:hAnsi="宋体"/>
          <w:spacing w:val="40"/>
          <w:sz w:val="30"/>
          <w:szCs w:val="30"/>
          <w:highlight w:val="none"/>
        </w:rPr>
        <w:t>二〇二</w:t>
      </w:r>
      <w:r>
        <w:rPr>
          <w:rFonts w:hint="eastAsia" w:ascii="宋体" w:hAnsi="宋体"/>
          <w:spacing w:val="40"/>
          <w:sz w:val="30"/>
          <w:szCs w:val="30"/>
          <w:highlight w:val="none"/>
        </w:rPr>
        <w:t>四</w:t>
      </w:r>
      <w:r>
        <w:rPr>
          <w:rFonts w:ascii="宋体" w:hAnsi="宋体"/>
          <w:spacing w:val="40"/>
          <w:sz w:val="30"/>
          <w:szCs w:val="30"/>
          <w:highlight w:val="none"/>
        </w:rPr>
        <w:t>年</w:t>
      </w:r>
    </w:p>
    <w:p w14:paraId="444D5D95">
      <w:pPr>
        <w:jc w:val="center"/>
        <w:rPr>
          <w:rFonts w:ascii="宋体" w:hAnsi="宋体"/>
          <w:b/>
          <w:bCs/>
          <w:sz w:val="32"/>
          <w:szCs w:val="32"/>
          <w:highlight w:val="none"/>
        </w:rPr>
        <w:sectPr>
          <w:headerReference r:id="rId3" w:type="default"/>
          <w:footerReference r:id="rId5" w:type="default"/>
          <w:headerReference r:id="rId4" w:type="even"/>
          <w:pgSz w:w="11906" w:h="16838"/>
          <w:pgMar w:top="1134" w:right="1134" w:bottom="1134" w:left="1134" w:header="851" w:footer="851" w:gutter="0"/>
          <w:pgNumType w:start="0"/>
          <w:cols w:space="720" w:num="1"/>
          <w:titlePg/>
          <w:docGrid w:linePitch="312" w:charSpace="0"/>
        </w:sectPr>
      </w:pPr>
    </w:p>
    <w:p w14:paraId="0821C799">
      <w:pPr>
        <w:jc w:val="center"/>
        <w:rPr>
          <w:rFonts w:ascii="宋体" w:hAnsi="宋体"/>
          <w:b/>
          <w:bCs/>
          <w:sz w:val="32"/>
          <w:szCs w:val="32"/>
          <w:highlight w:val="none"/>
        </w:rPr>
      </w:pPr>
      <w:r>
        <w:rPr>
          <w:rFonts w:hint="eastAsia" w:ascii="宋体" w:hAnsi="宋体"/>
          <w:b/>
          <w:bCs/>
          <w:sz w:val="32"/>
          <w:szCs w:val="32"/>
          <w:highlight w:val="none"/>
        </w:rPr>
        <w:t xml:space="preserve"> </w:t>
      </w:r>
    </w:p>
    <w:p w14:paraId="12F2EB8A">
      <w:pPr>
        <w:jc w:val="center"/>
        <w:rPr>
          <w:rFonts w:ascii="宋体" w:hAnsi="宋体" w:cs="Courier New"/>
          <w:b/>
          <w:bCs/>
          <w:sz w:val="42"/>
          <w:szCs w:val="32"/>
          <w:highlight w:val="none"/>
        </w:rPr>
      </w:pPr>
      <w:r>
        <w:rPr>
          <w:rFonts w:hint="eastAsia" w:ascii="宋体" w:hAnsi="宋体" w:cs="Courier New"/>
          <w:b/>
          <w:bCs/>
          <w:sz w:val="42"/>
          <w:szCs w:val="32"/>
          <w:highlight w:val="none"/>
        </w:rPr>
        <w:t>目    录</w:t>
      </w:r>
    </w:p>
    <w:p w14:paraId="0C42C506">
      <w:pPr>
        <w:pStyle w:val="27"/>
        <w:spacing w:line="360" w:lineRule="auto"/>
        <w:rPr>
          <w:rFonts w:ascii="宋体" w:hAnsi="宋体" w:cstheme="minorBidi"/>
          <w:sz w:val="24"/>
          <w:highlight w:val="none"/>
          <w14:ligatures w14:val="standardContextual"/>
        </w:rPr>
      </w:pPr>
      <w:r>
        <w:rPr>
          <w:rFonts w:hint="eastAsia" w:ascii="宋体" w:hAnsi="宋体"/>
          <w:sz w:val="24"/>
          <w:highlight w:val="none"/>
        </w:rPr>
        <w:fldChar w:fldCharType="begin"/>
      </w:r>
      <w:r>
        <w:rPr>
          <w:rStyle w:val="48"/>
          <w:rFonts w:hint="eastAsia" w:ascii="宋体" w:hAnsi="宋体"/>
          <w:color w:val="auto"/>
          <w:sz w:val="24"/>
          <w:highlight w:val="none"/>
        </w:rPr>
        <w:instrText xml:space="preserve"> TOC \o "1-3" \h \z \u </w:instrText>
      </w:r>
      <w:r>
        <w:rPr>
          <w:rFonts w:hint="eastAsia" w:ascii="宋体" w:hAnsi="宋体"/>
          <w:sz w:val="24"/>
          <w:highlight w:val="none"/>
        </w:rPr>
        <w:fldChar w:fldCharType="separate"/>
      </w:r>
      <w:r>
        <w:rPr>
          <w:highlight w:val="none"/>
        </w:rPr>
        <w:fldChar w:fldCharType="begin"/>
      </w:r>
      <w:r>
        <w:rPr>
          <w:highlight w:val="none"/>
        </w:rPr>
        <w:instrText xml:space="preserve"> HYPERLINK \l "_Toc146181138" </w:instrText>
      </w:r>
      <w:r>
        <w:rPr>
          <w:highlight w:val="none"/>
        </w:rPr>
        <w:fldChar w:fldCharType="separate"/>
      </w:r>
      <w:r>
        <w:rPr>
          <w:rStyle w:val="48"/>
          <w:rFonts w:ascii="宋体" w:hAnsi="宋体" w:cs="Courier New"/>
          <w:color w:val="auto"/>
          <w:sz w:val="24"/>
          <w:highlight w:val="none"/>
        </w:rPr>
        <w:t>投标邀请函</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_Toc146181138 \h </w:instrText>
      </w:r>
      <w:r>
        <w:rPr>
          <w:rFonts w:ascii="宋体" w:hAnsi="宋体"/>
          <w:sz w:val="24"/>
          <w:highlight w:val="none"/>
        </w:rPr>
        <w:fldChar w:fldCharType="separate"/>
      </w:r>
      <w:r>
        <w:rPr>
          <w:rFonts w:ascii="宋体" w:hAnsi="宋体"/>
          <w:sz w:val="24"/>
          <w:highlight w:val="none"/>
        </w:rPr>
        <w:t>2</w:t>
      </w:r>
      <w:r>
        <w:rPr>
          <w:rFonts w:ascii="宋体" w:hAnsi="宋体"/>
          <w:sz w:val="24"/>
          <w:highlight w:val="none"/>
        </w:rPr>
        <w:fldChar w:fldCharType="end"/>
      </w:r>
      <w:r>
        <w:rPr>
          <w:rFonts w:ascii="宋体" w:hAnsi="宋体"/>
          <w:sz w:val="24"/>
          <w:highlight w:val="none"/>
        </w:rPr>
        <w:fldChar w:fldCharType="end"/>
      </w:r>
    </w:p>
    <w:p w14:paraId="788D2EBC">
      <w:pPr>
        <w:pStyle w:val="27"/>
        <w:spacing w:line="360" w:lineRule="auto"/>
        <w:rPr>
          <w:rFonts w:ascii="宋体" w:hAnsi="宋体" w:cstheme="minorBidi"/>
          <w:sz w:val="24"/>
          <w:highlight w:val="none"/>
          <w14:ligatures w14:val="standardContextual"/>
        </w:rPr>
      </w:pPr>
      <w:r>
        <w:rPr>
          <w:highlight w:val="none"/>
        </w:rPr>
        <w:fldChar w:fldCharType="begin"/>
      </w:r>
      <w:r>
        <w:rPr>
          <w:highlight w:val="none"/>
        </w:rPr>
        <w:instrText xml:space="preserve"> HYPERLINK \l "_Toc146181139" </w:instrText>
      </w:r>
      <w:r>
        <w:rPr>
          <w:highlight w:val="none"/>
        </w:rPr>
        <w:fldChar w:fldCharType="separate"/>
      </w:r>
      <w:r>
        <w:rPr>
          <w:rStyle w:val="48"/>
          <w:rFonts w:ascii="宋体" w:hAnsi="宋体" w:cs="Courier New"/>
          <w:color w:val="auto"/>
          <w:sz w:val="24"/>
          <w:highlight w:val="none"/>
        </w:rPr>
        <w:t>第一部分  投标人须知</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_Toc146181139 \h </w:instrText>
      </w:r>
      <w:r>
        <w:rPr>
          <w:rFonts w:ascii="宋体" w:hAnsi="宋体"/>
          <w:sz w:val="24"/>
          <w:highlight w:val="none"/>
        </w:rPr>
        <w:fldChar w:fldCharType="separate"/>
      </w:r>
      <w:r>
        <w:rPr>
          <w:rFonts w:ascii="宋体" w:hAnsi="宋体"/>
          <w:sz w:val="24"/>
          <w:highlight w:val="none"/>
        </w:rPr>
        <w:t>5</w:t>
      </w:r>
      <w:r>
        <w:rPr>
          <w:rFonts w:ascii="宋体" w:hAnsi="宋体"/>
          <w:sz w:val="24"/>
          <w:highlight w:val="none"/>
        </w:rPr>
        <w:fldChar w:fldCharType="end"/>
      </w:r>
      <w:r>
        <w:rPr>
          <w:rFonts w:ascii="宋体" w:hAnsi="宋体"/>
          <w:sz w:val="24"/>
          <w:highlight w:val="none"/>
        </w:rPr>
        <w:fldChar w:fldCharType="end"/>
      </w:r>
    </w:p>
    <w:p w14:paraId="5B46E9A7">
      <w:pPr>
        <w:pStyle w:val="31"/>
        <w:tabs>
          <w:tab w:val="right" w:leader="dot" w:pos="9628"/>
        </w:tabs>
        <w:spacing w:line="360" w:lineRule="auto"/>
        <w:rPr>
          <w:rFonts w:ascii="宋体" w:hAnsi="宋体" w:cstheme="minorBidi"/>
          <w:sz w:val="24"/>
          <w:highlight w:val="none"/>
          <w14:ligatures w14:val="standardContextual"/>
        </w:rPr>
      </w:pPr>
      <w:r>
        <w:rPr>
          <w:highlight w:val="none"/>
        </w:rPr>
        <w:fldChar w:fldCharType="begin"/>
      </w:r>
      <w:r>
        <w:rPr>
          <w:highlight w:val="none"/>
        </w:rPr>
        <w:instrText xml:space="preserve"> HYPERLINK \l "_Toc146181140" </w:instrText>
      </w:r>
      <w:r>
        <w:rPr>
          <w:highlight w:val="none"/>
        </w:rPr>
        <w:fldChar w:fldCharType="separate"/>
      </w:r>
      <w:r>
        <w:rPr>
          <w:rStyle w:val="48"/>
          <w:rFonts w:ascii="宋体" w:hAnsi="宋体" w:cs="Courier New"/>
          <w:color w:val="auto"/>
          <w:sz w:val="24"/>
          <w:highlight w:val="none"/>
        </w:rPr>
        <w:t>投标人须知前附表</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_Toc146181140 \h </w:instrText>
      </w:r>
      <w:r>
        <w:rPr>
          <w:rFonts w:ascii="宋体" w:hAnsi="宋体"/>
          <w:sz w:val="24"/>
          <w:highlight w:val="none"/>
        </w:rPr>
        <w:fldChar w:fldCharType="separate"/>
      </w:r>
      <w:r>
        <w:rPr>
          <w:rFonts w:ascii="宋体" w:hAnsi="宋体"/>
          <w:sz w:val="24"/>
          <w:highlight w:val="none"/>
        </w:rPr>
        <w:t>5</w:t>
      </w:r>
      <w:r>
        <w:rPr>
          <w:rFonts w:ascii="宋体" w:hAnsi="宋体"/>
          <w:sz w:val="24"/>
          <w:highlight w:val="none"/>
        </w:rPr>
        <w:fldChar w:fldCharType="end"/>
      </w:r>
      <w:r>
        <w:rPr>
          <w:rFonts w:ascii="宋体" w:hAnsi="宋体"/>
          <w:sz w:val="24"/>
          <w:highlight w:val="none"/>
        </w:rPr>
        <w:fldChar w:fldCharType="end"/>
      </w:r>
    </w:p>
    <w:p w14:paraId="4A7E9DEF">
      <w:pPr>
        <w:pStyle w:val="31"/>
        <w:tabs>
          <w:tab w:val="right" w:leader="dot" w:pos="9628"/>
        </w:tabs>
        <w:spacing w:line="360" w:lineRule="auto"/>
        <w:rPr>
          <w:rFonts w:ascii="宋体" w:hAnsi="宋体" w:cstheme="minorBidi"/>
          <w:sz w:val="24"/>
          <w:highlight w:val="none"/>
          <w14:ligatures w14:val="standardContextual"/>
        </w:rPr>
      </w:pPr>
      <w:r>
        <w:rPr>
          <w:highlight w:val="none"/>
        </w:rPr>
        <w:fldChar w:fldCharType="begin"/>
      </w:r>
      <w:r>
        <w:rPr>
          <w:highlight w:val="none"/>
        </w:rPr>
        <w:instrText xml:space="preserve"> HYPERLINK \l "_Toc146181141" </w:instrText>
      </w:r>
      <w:r>
        <w:rPr>
          <w:highlight w:val="none"/>
        </w:rPr>
        <w:fldChar w:fldCharType="separate"/>
      </w:r>
      <w:r>
        <w:rPr>
          <w:rStyle w:val="48"/>
          <w:rFonts w:ascii="宋体" w:hAnsi="宋体" w:cs="Courier New"/>
          <w:color w:val="auto"/>
          <w:sz w:val="24"/>
          <w:highlight w:val="none"/>
        </w:rPr>
        <w:t>一、 说明</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_Toc146181141 \h </w:instrText>
      </w:r>
      <w:r>
        <w:rPr>
          <w:rFonts w:ascii="宋体" w:hAnsi="宋体"/>
          <w:sz w:val="24"/>
          <w:highlight w:val="none"/>
        </w:rPr>
        <w:fldChar w:fldCharType="separate"/>
      </w:r>
      <w:r>
        <w:rPr>
          <w:rFonts w:ascii="宋体" w:hAnsi="宋体"/>
          <w:sz w:val="24"/>
          <w:highlight w:val="none"/>
        </w:rPr>
        <w:t>9</w:t>
      </w:r>
      <w:r>
        <w:rPr>
          <w:rFonts w:ascii="宋体" w:hAnsi="宋体"/>
          <w:sz w:val="24"/>
          <w:highlight w:val="none"/>
        </w:rPr>
        <w:fldChar w:fldCharType="end"/>
      </w:r>
      <w:r>
        <w:rPr>
          <w:rFonts w:ascii="宋体" w:hAnsi="宋体"/>
          <w:sz w:val="24"/>
          <w:highlight w:val="none"/>
        </w:rPr>
        <w:fldChar w:fldCharType="end"/>
      </w:r>
    </w:p>
    <w:p w14:paraId="767DB3BC">
      <w:pPr>
        <w:pStyle w:val="31"/>
        <w:tabs>
          <w:tab w:val="right" w:leader="dot" w:pos="9628"/>
        </w:tabs>
        <w:spacing w:line="360" w:lineRule="auto"/>
        <w:rPr>
          <w:rFonts w:ascii="宋体" w:hAnsi="宋体" w:cstheme="minorBidi"/>
          <w:sz w:val="24"/>
          <w:highlight w:val="none"/>
          <w14:ligatures w14:val="standardContextual"/>
        </w:rPr>
      </w:pPr>
      <w:r>
        <w:rPr>
          <w:highlight w:val="none"/>
        </w:rPr>
        <w:fldChar w:fldCharType="begin"/>
      </w:r>
      <w:r>
        <w:rPr>
          <w:highlight w:val="none"/>
        </w:rPr>
        <w:instrText xml:space="preserve"> HYPERLINK \l "_Toc146181142" </w:instrText>
      </w:r>
      <w:r>
        <w:rPr>
          <w:highlight w:val="none"/>
        </w:rPr>
        <w:fldChar w:fldCharType="separate"/>
      </w:r>
      <w:r>
        <w:rPr>
          <w:rStyle w:val="48"/>
          <w:rFonts w:ascii="宋体" w:hAnsi="宋体" w:cs="Courier New"/>
          <w:color w:val="auto"/>
          <w:sz w:val="24"/>
          <w:highlight w:val="none"/>
        </w:rPr>
        <w:t>二、 政府采购政策</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_Toc146181142 \h </w:instrText>
      </w:r>
      <w:r>
        <w:rPr>
          <w:rFonts w:ascii="宋体" w:hAnsi="宋体"/>
          <w:sz w:val="24"/>
          <w:highlight w:val="none"/>
        </w:rPr>
        <w:fldChar w:fldCharType="separate"/>
      </w:r>
      <w:r>
        <w:rPr>
          <w:rFonts w:ascii="宋体" w:hAnsi="宋体"/>
          <w:sz w:val="24"/>
          <w:highlight w:val="none"/>
        </w:rPr>
        <w:t>9</w:t>
      </w:r>
      <w:r>
        <w:rPr>
          <w:rFonts w:ascii="宋体" w:hAnsi="宋体"/>
          <w:sz w:val="24"/>
          <w:highlight w:val="none"/>
        </w:rPr>
        <w:fldChar w:fldCharType="end"/>
      </w:r>
      <w:r>
        <w:rPr>
          <w:rFonts w:ascii="宋体" w:hAnsi="宋体"/>
          <w:sz w:val="24"/>
          <w:highlight w:val="none"/>
        </w:rPr>
        <w:fldChar w:fldCharType="end"/>
      </w:r>
    </w:p>
    <w:p w14:paraId="4F65324D">
      <w:pPr>
        <w:pStyle w:val="31"/>
        <w:tabs>
          <w:tab w:val="right" w:leader="dot" w:pos="9628"/>
        </w:tabs>
        <w:spacing w:line="360" w:lineRule="auto"/>
        <w:rPr>
          <w:rFonts w:ascii="宋体" w:hAnsi="宋体" w:cstheme="minorBidi"/>
          <w:sz w:val="24"/>
          <w:highlight w:val="none"/>
          <w14:ligatures w14:val="standardContextual"/>
        </w:rPr>
      </w:pPr>
      <w:r>
        <w:rPr>
          <w:highlight w:val="none"/>
        </w:rPr>
        <w:fldChar w:fldCharType="begin"/>
      </w:r>
      <w:r>
        <w:rPr>
          <w:highlight w:val="none"/>
        </w:rPr>
        <w:instrText xml:space="preserve"> HYPERLINK \l "_Toc146181143" </w:instrText>
      </w:r>
      <w:r>
        <w:rPr>
          <w:highlight w:val="none"/>
        </w:rPr>
        <w:fldChar w:fldCharType="separate"/>
      </w:r>
      <w:r>
        <w:rPr>
          <w:rStyle w:val="48"/>
          <w:rFonts w:ascii="宋体" w:hAnsi="宋体" w:cs="Courier New"/>
          <w:color w:val="auto"/>
          <w:sz w:val="24"/>
          <w:highlight w:val="none"/>
        </w:rPr>
        <w:t>三、 询问、质疑、投诉</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_Toc146181143 \h </w:instrText>
      </w:r>
      <w:r>
        <w:rPr>
          <w:rFonts w:ascii="宋体" w:hAnsi="宋体"/>
          <w:sz w:val="24"/>
          <w:highlight w:val="none"/>
        </w:rPr>
        <w:fldChar w:fldCharType="separate"/>
      </w:r>
      <w:r>
        <w:rPr>
          <w:rFonts w:ascii="宋体" w:hAnsi="宋体"/>
          <w:sz w:val="24"/>
          <w:highlight w:val="none"/>
        </w:rPr>
        <w:t>11</w:t>
      </w:r>
      <w:r>
        <w:rPr>
          <w:rFonts w:ascii="宋体" w:hAnsi="宋体"/>
          <w:sz w:val="24"/>
          <w:highlight w:val="none"/>
        </w:rPr>
        <w:fldChar w:fldCharType="end"/>
      </w:r>
      <w:r>
        <w:rPr>
          <w:rFonts w:ascii="宋体" w:hAnsi="宋体"/>
          <w:sz w:val="24"/>
          <w:highlight w:val="none"/>
        </w:rPr>
        <w:fldChar w:fldCharType="end"/>
      </w:r>
    </w:p>
    <w:p w14:paraId="78478950">
      <w:pPr>
        <w:pStyle w:val="31"/>
        <w:tabs>
          <w:tab w:val="right" w:leader="dot" w:pos="9628"/>
        </w:tabs>
        <w:spacing w:line="360" w:lineRule="auto"/>
        <w:rPr>
          <w:rFonts w:ascii="宋体" w:hAnsi="宋体" w:cstheme="minorBidi"/>
          <w:sz w:val="24"/>
          <w:highlight w:val="none"/>
          <w14:ligatures w14:val="standardContextual"/>
        </w:rPr>
      </w:pPr>
      <w:r>
        <w:rPr>
          <w:highlight w:val="none"/>
        </w:rPr>
        <w:fldChar w:fldCharType="begin"/>
      </w:r>
      <w:r>
        <w:rPr>
          <w:highlight w:val="none"/>
        </w:rPr>
        <w:instrText xml:space="preserve"> HYPERLINK \l "_Toc146181144" </w:instrText>
      </w:r>
      <w:r>
        <w:rPr>
          <w:highlight w:val="none"/>
        </w:rPr>
        <w:fldChar w:fldCharType="separate"/>
      </w:r>
      <w:r>
        <w:rPr>
          <w:rStyle w:val="48"/>
          <w:rFonts w:ascii="宋体" w:hAnsi="宋体" w:cs="Courier New"/>
          <w:color w:val="auto"/>
          <w:sz w:val="24"/>
          <w:highlight w:val="none"/>
        </w:rPr>
        <w:t>四、 招标文件的组成、澄清、修改</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_Toc146181144 \h </w:instrText>
      </w:r>
      <w:r>
        <w:rPr>
          <w:rFonts w:ascii="宋体" w:hAnsi="宋体"/>
          <w:sz w:val="24"/>
          <w:highlight w:val="none"/>
        </w:rPr>
        <w:fldChar w:fldCharType="separate"/>
      </w:r>
      <w:r>
        <w:rPr>
          <w:rFonts w:ascii="宋体" w:hAnsi="宋体"/>
          <w:sz w:val="24"/>
          <w:highlight w:val="none"/>
        </w:rPr>
        <w:t>13</w:t>
      </w:r>
      <w:r>
        <w:rPr>
          <w:rFonts w:ascii="宋体" w:hAnsi="宋体"/>
          <w:sz w:val="24"/>
          <w:highlight w:val="none"/>
        </w:rPr>
        <w:fldChar w:fldCharType="end"/>
      </w:r>
      <w:r>
        <w:rPr>
          <w:rFonts w:ascii="宋体" w:hAnsi="宋体"/>
          <w:sz w:val="24"/>
          <w:highlight w:val="none"/>
        </w:rPr>
        <w:fldChar w:fldCharType="end"/>
      </w:r>
    </w:p>
    <w:p w14:paraId="6B6BBDFE">
      <w:pPr>
        <w:pStyle w:val="31"/>
        <w:tabs>
          <w:tab w:val="right" w:leader="dot" w:pos="9628"/>
        </w:tabs>
        <w:spacing w:line="360" w:lineRule="auto"/>
        <w:rPr>
          <w:rFonts w:ascii="宋体" w:hAnsi="宋体" w:cstheme="minorBidi"/>
          <w:sz w:val="24"/>
          <w:highlight w:val="none"/>
          <w14:ligatures w14:val="standardContextual"/>
        </w:rPr>
      </w:pPr>
      <w:r>
        <w:rPr>
          <w:highlight w:val="none"/>
        </w:rPr>
        <w:fldChar w:fldCharType="begin"/>
      </w:r>
      <w:r>
        <w:rPr>
          <w:highlight w:val="none"/>
        </w:rPr>
        <w:instrText xml:space="preserve"> HYPERLINK \l "_Toc146181145" </w:instrText>
      </w:r>
      <w:r>
        <w:rPr>
          <w:highlight w:val="none"/>
        </w:rPr>
        <w:fldChar w:fldCharType="separate"/>
      </w:r>
      <w:r>
        <w:rPr>
          <w:rStyle w:val="48"/>
          <w:rFonts w:ascii="宋体" w:hAnsi="宋体" w:cs="Courier New"/>
          <w:color w:val="auto"/>
          <w:sz w:val="24"/>
          <w:highlight w:val="none"/>
        </w:rPr>
        <w:t>五、 投标文件</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_Toc146181145 \h </w:instrText>
      </w:r>
      <w:r>
        <w:rPr>
          <w:rFonts w:ascii="宋体" w:hAnsi="宋体"/>
          <w:sz w:val="24"/>
          <w:highlight w:val="none"/>
        </w:rPr>
        <w:fldChar w:fldCharType="separate"/>
      </w:r>
      <w:r>
        <w:rPr>
          <w:rFonts w:ascii="宋体" w:hAnsi="宋体"/>
          <w:sz w:val="24"/>
          <w:highlight w:val="none"/>
        </w:rPr>
        <w:t>13</w:t>
      </w:r>
      <w:r>
        <w:rPr>
          <w:rFonts w:ascii="宋体" w:hAnsi="宋体"/>
          <w:sz w:val="24"/>
          <w:highlight w:val="none"/>
        </w:rPr>
        <w:fldChar w:fldCharType="end"/>
      </w:r>
      <w:r>
        <w:rPr>
          <w:rFonts w:ascii="宋体" w:hAnsi="宋体"/>
          <w:sz w:val="24"/>
          <w:highlight w:val="none"/>
        </w:rPr>
        <w:fldChar w:fldCharType="end"/>
      </w:r>
    </w:p>
    <w:p w14:paraId="1F64A3E6">
      <w:pPr>
        <w:pStyle w:val="31"/>
        <w:tabs>
          <w:tab w:val="right" w:leader="dot" w:pos="9628"/>
        </w:tabs>
        <w:spacing w:line="360" w:lineRule="auto"/>
        <w:rPr>
          <w:rFonts w:ascii="宋体" w:hAnsi="宋体" w:cstheme="minorBidi"/>
          <w:sz w:val="24"/>
          <w:highlight w:val="none"/>
          <w14:ligatures w14:val="standardContextual"/>
        </w:rPr>
      </w:pPr>
      <w:r>
        <w:rPr>
          <w:highlight w:val="none"/>
        </w:rPr>
        <w:fldChar w:fldCharType="begin"/>
      </w:r>
      <w:r>
        <w:rPr>
          <w:highlight w:val="none"/>
        </w:rPr>
        <w:instrText xml:space="preserve"> HYPERLINK \l "_Toc146181146" </w:instrText>
      </w:r>
      <w:r>
        <w:rPr>
          <w:highlight w:val="none"/>
        </w:rPr>
        <w:fldChar w:fldCharType="separate"/>
      </w:r>
      <w:r>
        <w:rPr>
          <w:rStyle w:val="48"/>
          <w:rFonts w:ascii="宋体" w:hAnsi="宋体" w:cs="Courier New"/>
          <w:color w:val="auto"/>
          <w:sz w:val="24"/>
          <w:highlight w:val="none"/>
        </w:rPr>
        <w:t>六、 投标</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_Toc146181146 \h </w:instrText>
      </w:r>
      <w:r>
        <w:rPr>
          <w:rFonts w:ascii="宋体" w:hAnsi="宋体"/>
          <w:sz w:val="24"/>
          <w:highlight w:val="none"/>
        </w:rPr>
        <w:fldChar w:fldCharType="separate"/>
      </w:r>
      <w:r>
        <w:rPr>
          <w:rFonts w:ascii="宋体" w:hAnsi="宋体"/>
          <w:sz w:val="24"/>
          <w:highlight w:val="none"/>
        </w:rPr>
        <w:t>15</w:t>
      </w:r>
      <w:r>
        <w:rPr>
          <w:rFonts w:ascii="宋体" w:hAnsi="宋体"/>
          <w:sz w:val="24"/>
          <w:highlight w:val="none"/>
        </w:rPr>
        <w:fldChar w:fldCharType="end"/>
      </w:r>
      <w:r>
        <w:rPr>
          <w:rFonts w:ascii="宋体" w:hAnsi="宋体"/>
          <w:sz w:val="24"/>
          <w:highlight w:val="none"/>
        </w:rPr>
        <w:fldChar w:fldCharType="end"/>
      </w:r>
    </w:p>
    <w:p w14:paraId="72F0744F">
      <w:pPr>
        <w:pStyle w:val="31"/>
        <w:tabs>
          <w:tab w:val="right" w:leader="dot" w:pos="9628"/>
        </w:tabs>
        <w:spacing w:line="360" w:lineRule="auto"/>
        <w:rPr>
          <w:rFonts w:ascii="宋体" w:hAnsi="宋体" w:cstheme="minorBidi"/>
          <w:sz w:val="24"/>
          <w:highlight w:val="none"/>
          <w14:ligatures w14:val="standardContextual"/>
        </w:rPr>
      </w:pPr>
      <w:r>
        <w:rPr>
          <w:highlight w:val="none"/>
        </w:rPr>
        <w:fldChar w:fldCharType="begin"/>
      </w:r>
      <w:r>
        <w:rPr>
          <w:highlight w:val="none"/>
        </w:rPr>
        <w:instrText xml:space="preserve"> HYPERLINK \l "_Toc146181147" </w:instrText>
      </w:r>
      <w:r>
        <w:rPr>
          <w:highlight w:val="none"/>
        </w:rPr>
        <w:fldChar w:fldCharType="separate"/>
      </w:r>
      <w:r>
        <w:rPr>
          <w:rStyle w:val="48"/>
          <w:rFonts w:ascii="宋体" w:hAnsi="宋体" w:cs="Courier New"/>
          <w:color w:val="auto"/>
          <w:sz w:val="24"/>
          <w:highlight w:val="none"/>
        </w:rPr>
        <w:t>七、 电子化开标</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_Toc146181147 \h </w:instrText>
      </w:r>
      <w:r>
        <w:rPr>
          <w:rFonts w:ascii="宋体" w:hAnsi="宋体"/>
          <w:sz w:val="24"/>
          <w:highlight w:val="none"/>
        </w:rPr>
        <w:fldChar w:fldCharType="separate"/>
      </w:r>
      <w:r>
        <w:rPr>
          <w:rFonts w:ascii="宋体" w:hAnsi="宋体"/>
          <w:sz w:val="24"/>
          <w:highlight w:val="none"/>
        </w:rPr>
        <w:t>16</w:t>
      </w:r>
      <w:r>
        <w:rPr>
          <w:rFonts w:ascii="宋体" w:hAnsi="宋体"/>
          <w:sz w:val="24"/>
          <w:highlight w:val="none"/>
        </w:rPr>
        <w:fldChar w:fldCharType="end"/>
      </w:r>
      <w:r>
        <w:rPr>
          <w:rFonts w:ascii="宋体" w:hAnsi="宋体"/>
          <w:sz w:val="24"/>
          <w:highlight w:val="none"/>
        </w:rPr>
        <w:fldChar w:fldCharType="end"/>
      </w:r>
    </w:p>
    <w:p w14:paraId="0DAAFF07">
      <w:pPr>
        <w:pStyle w:val="31"/>
        <w:tabs>
          <w:tab w:val="right" w:leader="dot" w:pos="9628"/>
        </w:tabs>
        <w:spacing w:line="360" w:lineRule="auto"/>
        <w:rPr>
          <w:rFonts w:ascii="宋体" w:hAnsi="宋体" w:cstheme="minorBidi"/>
          <w:sz w:val="24"/>
          <w:highlight w:val="none"/>
          <w14:ligatures w14:val="standardContextual"/>
        </w:rPr>
      </w:pPr>
      <w:r>
        <w:rPr>
          <w:highlight w:val="none"/>
        </w:rPr>
        <w:fldChar w:fldCharType="begin"/>
      </w:r>
      <w:r>
        <w:rPr>
          <w:highlight w:val="none"/>
        </w:rPr>
        <w:instrText xml:space="preserve"> HYPERLINK \l "_Toc146181148" </w:instrText>
      </w:r>
      <w:r>
        <w:rPr>
          <w:highlight w:val="none"/>
        </w:rPr>
        <w:fldChar w:fldCharType="separate"/>
      </w:r>
      <w:r>
        <w:rPr>
          <w:rStyle w:val="48"/>
          <w:rFonts w:ascii="宋体" w:hAnsi="宋体"/>
          <w:color w:val="auto"/>
          <w:sz w:val="24"/>
          <w:highlight w:val="none"/>
        </w:rPr>
        <w:t>八、 资格审查及评标</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_Toc146181148 \h </w:instrText>
      </w:r>
      <w:r>
        <w:rPr>
          <w:rFonts w:ascii="宋体" w:hAnsi="宋体"/>
          <w:sz w:val="24"/>
          <w:highlight w:val="none"/>
        </w:rPr>
        <w:fldChar w:fldCharType="separate"/>
      </w:r>
      <w:r>
        <w:rPr>
          <w:rFonts w:ascii="宋体" w:hAnsi="宋体"/>
          <w:sz w:val="24"/>
          <w:highlight w:val="none"/>
        </w:rPr>
        <w:t>16</w:t>
      </w:r>
      <w:r>
        <w:rPr>
          <w:rFonts w:ascii="宋体" w:hAnsi="宋体"/>
          <w:sz w:val="24"/>
          <w:highlight w:val="none"/>
        </w:rPr>
        <w:fldChar w:fldCharType="end"/>
      </w:r>
      <w:r>
        <w:rPr>
          <w:rFonts w:ascii="宋体" w:hAnsi="宋体"/>
          <w:sz w:val="24"/>
          <w:highlight w:val="none"/>
        </w:rPr>
        <w:fldChar w:fldCharType="end"/>
      </w:r>
    </w:p>
    <w:p w14:paraId="74065AA0">
      <w:pPr>
        <w:pStyle w:val="31"/>
        <w:tabs>
          <w:tab w:val="right" w:leader="dot" w:pos="9628"/>
        </w:tabs>
        <w:spacing w:line="360" w:lineRule="auto"/>
        <w:rPr>
          <w:rFonts w:ascii="宋体" w:hAnsi="宋体" w:cstheme="minorBidi"/>
          <w:sz w:val="24"/>
          <w:highlight w:val="none"/>
          <w14:ligatures w14:val="standardContextual"/>
        </w:rPr>
      </w:pPr>
      <w:r>
        <w:rPr>
          <w:highlight w:val="none"/>
        </w:rPr>
        <w:fldChar w:fldCharType="begin"/>
      </w:r>
      <w:r>
        <w:rPr>
          <w:highlight w:val="none"/>
        </w:rPr>
        <w:instrText xml:space="preserve"> HYPERLINK \l "_Toc146181149" </w:instrText>
      </w:r>
      <w:r>
        <w:rPr>
          <w:highlight w:val="none"/>
        </w:rPr>
        <w:fldChar w:fldCharType="separate"/>
      </w:r>
      <w:r>
        <w:rPr>
          <w:rStyle w:val="48"/>
          <w:rFonts w:ascii="宋体" w:hAnsi="宋体" w:cs="Courier New"/>
          <w:color w:val="auto"/>
          <w:sz w:val="24"/>
          <w:highlight w:val="none"/>
        </w:rPr>
        <w:t>九、 定标及合同授予</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_Toc146181149 \h </w:instrText>
      </w:r>
      <w:r>
        <w:rPr>
          <w:rFonts w:ascii="宋体" w:hAnsi="宋体"/>
          <w:sz w:val="24"/>
          <w:highlight w:val="none"/>
        </w:rPr>
        <w:fldChar w:fldCharType="separate"/>
      </w:r>
      <w:r>
        <w:rPr>
          <w:rFonts w:ascii="宋体" w:hAnsi="宋体"/>
          <w:sz w:val="24"/>
          <w:highlight w:val="none"/>
        </w:rPr>
        <w:t>20</w:t>
      </w:r>
      <w:r>
        <w:rPr>
          <w:rFonts w:ascii="宋体" w:hAnsi="宋体"/>
          <w:sz w:val="24"/>
          <w:highlight w:val="none"/>
        </w:rPr>
        <w:fldChar w:fldCharType="end"/>
      </w:r>
      <w:r>
        <w:rPr>
          <w:rFonts w:ascii="宋体" w:hAnsi="宋体"/>
          <w:sz w:val="24"/>
          <w:highlight w:val="none"/>
        </w:rPr>
        <w:fldChar w:fldCharType="end"/>
      </w:r>
    </w:p>
    <w:p w14:paraId="32CF96F9">
      <w:pPr>
        <w:pStyle w:val="31"/>
        <w:tabs>
          <w:tab w:val="right" w:leader="dot" w:pos="9628"/>
        </w:tabs>
        <w:spacing w:line="360" w:lineRule="auto"/>
        <w:rPr>
          <w:rFonts w:ascii="宋体" w:hAnsi="宋体" w:cstheme="minorBidi"/>
          <w:sz w:val="24"/>
          <w:highlight w:val="none"/>
          <w14:ligatures w14:val="standardContextual"/>
        </w:rPr>
      </w:pPr>
      <w:r>
        <w:rPr>
          <w:highlight w:val="none"/>
        </w:rPr>
        <w:fldChar w:fldCharType="begin"/>
      </w:r>
      <w:r>
        <w:rPr>
          <w:highlight w:val="none"/>
        </w:rPr>
        <w:instrText xml:space="preserve"> HYPERLINK \l "_Toc146181150" </w:instrText>
      </w:r>
      <w:r>
        <w:rPr>
          <w:highlight w:val="none"/>
        </w:rPr>
        <w:fldChar w:fldCharType="separate"/>
      </w:r>
      <w:r>
        <w:rPr>
          <w:rStyle w:val="48"/>
          <w:rFonts w:ascii="宋体" w:hAnsi="宋体" w:cs="Courier New"/>
          <w:color w:val="auto"/>
          <w:sz w:val="24"/>
          <w:highlight w:val="none"/>
        </w:rPr>
        <w:t>十、 验收</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_Toc146181150 \h </w:instrText>
      </w:r>
      <w:r>
        <w:rPr>
          <w:rFonts w:ascii="宋体" w:hAnsi="宋体"/>
          <w:sz w:val="24"/>
          <w:highlight w:val="none"/>
        </w:rPr>
        <w:fldChar w:fldCharType="separate"/>
      </w:r>
      <w:r>
        <w:rPr>
          <w:rFonts w:ascii="宋体" w:hAnsi="宋体"/>
          <w:sz w:val="24"/>
          <w:highlight w:val="none"/>
        </w:rPr>
        <w:t>21</w:t>
      </w:r>
      <w:r>
        <w:rPr>
          <w:rFonts w:ascii="宋体" w:hAnsi="宋体"/>
          <w:sz w:val="24"/>
          <w:highlight w:val="none"/>
        </w:rPr>
        <w:fldChar w:fldCharType="end"/>
      </w:r>
      <w:r>
        <w:rPr>
          <w:rFonts w:ascii="宋体" w:hAnsi="宋体"/>
          <w:sz w:val="24"/>
          <w:highlight w:val="none"/>
        </w:rPr>
        <w:fldChar w:fldCharType="end"/>
      </w:r>
    </w:p>
    <w:p w14:paraId="60DFA932">
      <w:pPr>
        <w:pStyle w:val="31"/>
        <w:tabs>
          <w:tab w:val="right" w:leader="dot" w:pos="9628"/>
        </w:tabs>
        <w:spacing w:line="360" w:lineRule="auto"/>
        <w:rPr>
          <w:rFonts w:ascii="宋体" w:hAnsi="宋体" w:cstheme="minorBidi"/>
          <w:sz w:val="24"/>
          <w:highlight w:val="none"/>
          <w14:ligatures w14:val="standardContextual"/>
        </w:rPr>
      </w:pPr>
      <w:r>
        <w:rPr>
          <w:highlight w:val="none"/>
        </w:rPr>
        <w:fldChar w:fldCharType="begin"/>
      </w:r>
      <w:r>
        <w:rPr>
          <w:highlight w:val="none"/>
        </w:rPr>
        <w:instrText xml:space="preserve"> HYPERLINK \l "_Toc146181151" </w:instrText>
      </w:r>
      <w:r>
        <w:rPr>
          <w:highlight w:val="none"/>
        </w:rPr>
        <w:fldChar w:fldCharType="separate"/>
      </w:r>
      <w:r>
        <w:rPr>
          <w:rStyle w:val="48"/>
          <w:rFonts w:ascii="宋体" w:hAnsi="宋体" w:cs="Courier New"/>
          <w:color w:val="auto"/>
          <w:sz w:val="24"/>
          <w:highlight w:val="none"/>
        </w:rPr>
        <w:t>十一、 其他</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_Toc146181151 \h </w:instrText>
      </w:r>
      <w:r>
        <w:rPr>
          <w:rFonts w:ascii="宋体" w:hAnsi="宋体"/>
          <w:sz w:val="24"/>
          <w:highlight w:val="none"/>
        </w:rPr>
        <w:fldChar w:fldCharType="separate"/>
      </w:r>
      <w:r>
        <w:rPr>
          <w:rFonts w:ascii="宋体" w:hAnsi="宋体"/>
          <w:sz w:val="24"/>
          <w:highlight w:val="none"/>
        </w:rPr>
        <w:t>21</w:t>
      </w:r>
      <w:r>
        <w:rPr>
          <w:rFonts w:ascii="宋体" w:hAnsi="宋体"/>
          <w:sz w:val="24"/>
          <w:highlight w:val="none"/>
        </w:rPr>
        <w:fldChar w:fldCharType="end"/>
      </w:r>
      <w:r>
        <w:rPr>
          <w:rFonts w:ascii="宋体" w:hAnsi="宋体"/>
          <w:sz w:val="24"/>
          <w:highlight w:val="none"/>
        </w:rPr>
        <w:fldChar w:fldCharType="end"/>
      </w:r>
    </w:p>
    <w:p w14:paraId="7F6ABBBA">
      <w:pPr>
        <w:pStyle w:val="27"/>
        <w:spacing w:line="360" w:lineRule="auto"/>
        <w:rPr>
          <w:rFonts w:ascii="宋体" w:hAnsi="宋体" w:cstheme="minorBidi"/>
          <w:sz w:val="24"/>
          <w:highlight w:val="none"/>
          <w14:ligatures w14:val="standardContextual"/>
        </w:rPr>
      </w:pPr>
      <w:r>
        <w:rPr>
          <w:highlight w:val="none"/>
        </w:rPr>
        <w:fldChar w:fldCharType="begin"/>
      </w:r>
      <w:r>
        <w:rPr>
          <w:highlight w:val="none"/>
        </w:rPr>
        <w:instrText xml:space="preserve"> HYPERLINK \l "_Toc146181152" </w:instrText>
      </w:r>
      <w:r>
        <w:rPr>
          <w:highlight w:val="none"/>
        </w:rPr>
        <w:fldChar w:fldCharType="separate"/>
      </w:r>
      <w:r>
        <w:rPr>
          <w:rStyle w:val="48"/>
          <w:rFonts w:ascii="宋体" w:hAnsi="宋体" w:cs="Courier New"/>
          <w:color w:val="auto"/>
          <w:sz w:val="24"/>
          <w:highlight w:val="none"/>
        </w:rPr>
        <w:t>第二部分   应提交的有关格式范例</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_Toc146181152 \h </w:instrText>
      </w:r>
      <w:r>
        <w:rPr>
          <w:rFonts w:ascii="宋体" w:hAnsi="宋体"/>
          <w:sz w:val="24"/>
          <w:highlight w:val="none"/>
        </w:rPr>
        <w:fldChar w:fldCharType="separate"/>
      </w:r>
      <w:r>
        <w:rPr>
          <w:rFonts w:ascii="宋体" w:hAnsi="宋体"/>
          <w:sz w:val="24"/>
          <w:highlight w:val="none"/>
        </w:rPr>
        <w:t>22</w:t>
      </w:r>
      <w:r>
        <w:rPr>
          <w:rFonts w:ascii="宋体" w:hAnsi="宋体"/>
          <w:sz w:val="24"/>
          <w:highlight w:val="none"/>
        </w:rPr>
        <w:fldChar w:fldCharType="end"/>
      </w:r>
      <w:r>
        <w:rPr>
          <w:rFonts w:ascii="宋体" w:hAnsi="宋体"/>
          <w:sz w:val="24"/>
          <w:highlight w:val="none"/>
        </w:rPr>
        <w:fldChar w:fldCharType="end"/>
      </w:r>
    </w:p>
    <w:p w14:paraId="3CB0C33C">
      <w:pPr>
        <w:pStyle w:val="20"/>
        <w:tabs>
          <w:tab w:val="right" w:leader="dot" w:pos="9628"/>
        </w:tabs>
        <w:spacing w:line="360" w:lineRule="auto"/>
        <w:rPr>
          <w:rFonts w:ascii="宋体" w:hAnsi="宋体" w:cstheme="minorBidi"/>
          <w:sz w:val="24"/>
          <w:highlight w:val="none"/>
          <w14:ligatures w14:val="standardContextual"/>
        </w:rPr>
      </w:pPr>
      <w:r>
        <w:rPr>
          <w:highlight w:val="none"/>
        </w:rPr>
        <w:fldChar w:fldCharType="begin"/>
      </w:r>
      <w:r>
        <w:rPr>
          <w:highlight w:val="none"/>
        </w:rPr>
        <w:instrText xml:space="preserve"> HYPERLINK \l "_Toc146181153" </w:instrText>
      </w:r>
      <w:r>
        <w:rPr>
          <w:highlight w:val="none"/>
        </w:rPr>
        <w:fldChar w:fldCharType="separate"/>
      </w:r>
      <w:r>
        <w:rPr>
          <w:rStyle w:val="48"/>
          <w:rFonts w:ascii="宋体" w:hAnsi="宋体"/>
          <w:color w:val="auto"/>
          <w:sz w:val="24"/>
          <w:highlight w:val="none"/>
        </w:rPr>
        <w:t>资格文件</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_Toc146181153 \h </w:instrText>
      </w:r>
      <w:r>
        <w:rPr>
          <w:rFonts w:ascii="宋体" w:hAnsi="宋体"/>
          <w:sz w:val="24"/>
          <w:highlight w:val="none"/>
        </w:rPr>
        <w:fldChar w:fldCharType="separate"/>
      </w:r>
      <w:r>
        <w:rPr>
          <w:rFonts w:ascii="宋体" w:hAnsi="宋体"/>
          <w:sz w:val="24"/>
          <w:highlight w:val="none"/>
        </w:rPr>
        <w:t>23</w:t>
      </w:r>
      <w:r>
        <w:rPr>
          <w:rFonts w:ascii="宋体" w:hAnsi="宋体"/>
          <w:sz w:val="24"/>
          <w:highlight w:val="none"/>
        </w:rPr>
        <w:fldChar w:fldCharType="end"/>
      </w:r>
      <w:r>
        <w:rPr>
          <w:rFonts w:ascii="宋体" w:hAnsi="宋体"/>
          <w:sz w:val="24"/>
          <w:highlight w:val="none"/>
        </w:rPr>
        <w:fldChar w:fldCharType="end"/>
      </w:r>
    </w:p>
    <w:p w14:paraId="643EA797">
      <w:pPr>
        <w:pStyle w:val="20"/>
        <w:tabs>
          <w:tab w:val="right" w:leader="dot" w:pos="9628"/>
        </w:tabs>
        <w:spacing w:line="360" w:lineRule="auto"/>
        <w:rPr>
          <w:rFonts w:ascii="宋体" w:hAnsi="宋体" w:cstheme="minorBidi"/>
          <w:sz w:val="24"/>
          <w:highlight w:val="none"/>
          <w14:ligatures w14:val="standardContextual"/>
        </w:rPr>
      </w:pPr>
      <w:r>
        <w:rPr>
          <w:highlight w:val="none"/>
        </w:rPr>
        <w:fldChar w:fldCharType="begin"/>
      </w:r>
      <w:r>
        <w:rPr>
          <w:highlight w:val="none"/>
        </w:rPr>
        <w:instrText xml:space="preserve"> HYPERLINK \l "_Toc146181154" </w:instrText>
      </w:r>
      <w:r>
        <w:rPr>
          <w:highlight w:val="none"/>
        </w:rPr>
        <w:fldChar w:fldCharType="separate"/>
      </w:r>
      <w:r>
        <w:rPr>
          <w:rStyle w:val="48"/>
          <w:rFonts w:ascii="宋体" w:hAnsi="宋体"/>
          <w:color w:val="auto"/>
          <w:sz w:val="24"/>
          <w:highlight w:val="none"/>
        </w:rPr>
        <w:t>商务技术文件</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_Toc146181154 \h </w:instrText>
      </w:r>
      <w:r>
        <w:rPr>
          <w:rFonts w:ascii="宋体" w:hAnsi="宋体"/>
          <w:sz w:val="24"/>
          <w:highlight w:val="none"/>
        </w:rPr>
        <w:fldChar w:fldCharType="separate"/>
      </w:r>
      <w:r>
        <w:rPr>
          <w:rFonts w:ascii="宋体" w:hAnsi="宋体"/>
          <w:sz w:val="24"/>
          <w:highlight w:val="none"/>
        </w:rPr>
        <w:t>26</w:t>
      </w:r>
      <w:r>
        <w:rPr>
          <w:rFonts w:ascii="宋体" w:hAnsi="宋体"/>
          <w:sz w:val="24"/>
          <w:highlight w:val="none"/>
        </w:rPr>
        <w:fldChar w:fldCharType="end"/>
      </w:r>
      <w:r>
        <w:rPr>
          <w:rFonts w:ascii="宋体" w:hAnsi="宋体"/>
          <w:sz w:val="24"/>
          <w:highlight w:val="none"/>
        </w:rPr>
        <w:fldChar w:fldCharType="end"/>
      </w:r>
    </w:p>
    <w:p w14:paraId="52B0410B">
      <w:pPr>
        <w:pStyle w:val="20"/>
        <w:tabs>
          <w:tab w:val="right" w:leader="dot" w:pos="9628"/>
        </w:tabs>
        <w:spacing w:line="360" w:lineRule="auto"/>
        <w:rPr>
          <w:rFonts w:ascii="宋体" w:hAnsi="宋体" w:cstheme="minorBidi"/>
          <w:sz w:val="24"/>
          <w:highlight w:val="none"/>
          <w14:ligatures w14:val="standardContextual"/>
        </w:rPr>
      </w:pPr>
      <w:r>
        <w:rPr>
          <w:highlight w:val="none"/>
        </w:rPr>
        <w:fldChar w:fldCharType="begin"/>
      </w:r>
      <w:r>
        <w:rPr>
          <w:highlight w:val="none"/>
        </w:rPr>
        <w:instrText xml:space="preserve"> HYPERLINK \l "_Toc146181155" </w:instrText>
      </w:r>
      <w:r>
        <w:rPr>
          <w:highlight w:val="none"/>
        </w:rPr>
        <w:fldChar w:fldCharType="separate"/>
      </w:r>
      <w:r>
        <w:rPr>
          <w:rStyle w:val="48"/>
          <w:rFonts w:ascii="宋体" w:hAnsi="宋体"/>
          <w:color w:val="auto"/>
          <w:sz w:val="24"/>
          <w:highlight w:val="none"/>
        </w:rPr>
        <w:t>报价文件</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_Toc146181155 \h </w:instrText>
      </w:r>
      <w:r>
        <w:rPr>
          <w:rFonts w:ascii="宋体" w:hAnsi="宋体"/>
          <w:sz w:val="24"/>
          <w:highlight w:val="none"/>
        </w:rPr>
        <w:fldChar w:fldCharType="separate"/>
      </w:r>
      <w:r>
        <w:rPr>
          <w:rFonts w:ascii="宋体" w:hAnsi="宋体"/>
          <w:sz w:val="24"/>
          <w:highlight w:val="none"/>
        </w:rPr>
        <w:t>31</w:t>
      </w:r>
      <w:r>
        <w:rPr>
          <w:rFonts w:ascii="宋体" w:hAnsi="宋体"/>
          <w:sz w:val="24"/>
          <w:highlight w:val="none"/>
        </w:rPr>
        <w:fldChar w:fldCharType="end"/>
      </w:r>
      <w:r>
        <w:rPr>
          <w:rFonts w:ascii="宋体" w:hAnsi="宋体"/>
          <w:sz w:val="24"/>
          <w:highlight w:val="none"/>
        </w:rPr>
        <w:fldChar w:fldCharType="end"/>
      </w:r>
    </w:p>
    <w:p w14:paraId="4EBC2022">
      <w:pPr>
        <w:pStyle w:val="20"/>
        <w:tabs>
          <w:tab w:val="right" w:leader="dot" w:pos="9628"/>
        </w:tabs>
        <w:spacing w:line="360" w:lineRule="auto"/>
        <w:rPr>
          <w:rFonts w:ascii="宋体" w:hAnsi="宋体" w:cstheme="minorBidi"/>
          <w:sz w:val="24"/>
          <w:highlight w:val="none"/>
          <w14:ligatures w14:val="standardContextual"/>
        </w:rPr>
      </w:pPr>
      <w:r>
        <w:rPr>
          <w:highlight w:val="none"/>
        </w:rPr>
        <w:fldChar w:fldCharType="begin"/>
      </w:r>
      <w:r>
        <w:rPr>
          <w:highlight w:val="none"/>
        </w:rPr>
        <w:instrText xml:space="preserve"> HYPERLINK \l "_Toc146181156" </w:instrText>
      </w:r>
      <w:r>
        <w:rPr>
          <w:highlight w:val="none"/>
        </w:rPr>
        <w:fldChar w:fldCharType="separate"/>
      </w:r>
      <w:r>
        <w:rPr>
          <w:rStyle w:val="48"/>
          <w:rFonts w:ascii="宋体" w:hAnsi="宋体"/>
          <w:color w:val="auto"/>
          <w:sz w:val="24"/>
          <w:highlight w:val="none"/>
        </w:rPr>
        <w:t>附件</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_Toc146181156 \h </w:instrText>
      </w:r>
      <w:r>
        <w:rPr>
          <w:rFonts w:ascii="宋体" w:hAnsi="宋体"/>
          <w:sz w:val="24"/>
          <w:highlight w:val="none"/>
        </w:rPr>
        <w:fldChar w:fldCharType="separate"/>
      </w:r>
      <w:r>
        <w:rPr>
          <w:rFonts w:ascii="宋体" w:hAnsi="宋体"/>
          <w:sz w:val="24"/>
          <w:highlight w:val="none"/>
        </w:rPr>
        <w:t>31</w:t>
      </w:r>
      <w:r>
        <w:rPr>
          <w:rFonts w:ascii="宋体" w:hAnsi="宋体"/>
          <w:sz w:val="24"/>
          <w:highlight w:val="none"/>
        </w:rPr>
        <w:fldChar w:fldCharType="end"/>
      </w:r>
      <w:r>
        <w:rPr>
          <w:rFonts w:ascii="宋体" w:hAnsi="宋体"/>
          <w:sz w:val="24"/>
          <w:highlight w:val="none"/>
        </w:rPr>
        <w:fldChar w:fldCharType="end"/>
      </w:r>
    </w:p>
    <w:p w14:paraId="222989BA">
      <w:pPr>
        <w:pStyle w:val="27"/>
        <w:spacing w:line="360" w:lineRule="auto"/>
        <w:rPr>
          <w:rFonts w:ascii="宋体" w:hAnsi="宋体" w:cstheme="minorBidi"/>
          <w:sz w:val="24"/>
          <w:highlight w:val="none"/>
          <w14:ligatures w14:val="standardContextual"/>
        </w:rPr>
      </w:pPr>
      <w:r>
        <w:rPr>
          <w:highlight w:val="none"/>
        </w:rPr>
        <w:fldChar w:fldCharType="begin"/>
      </w:r>
      <w:r>
        <w:rPr>
          <w:highlight w:val="none"/>
        </w:rPr>
        <w:instrText xml:space="preserve"> HYPERLINK \l "_Toc146181157" </w:instrText>
      </w:r>
      <w:r>
        <w:rPr>
          <w:highlight w:val="none"/>
        </w:rPr>
        <w:fldChar w:fldCharType="separate"/>
      </w:r>
      <w:r>
        <w:rPr>
          <w:rStyle w:val="48"/>
          <w:rFonts w:ascii="宋体" w:hAnsi="宋体" w:cs="Courier New"/>
          <w:color w:val="auto"/>
          <w:sz w:val="24"/>
          <w:highlight w:val="none"/>
        </w:rPr>
        <w:t>第三部分   拟签订的合同文本</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_Toc146181157 \h </w:instrText>
      </w:r>
      <w:r>
        <w:rPr>
          <w:rFonts w:ascii="宋体" w:hAnsi="宋体"/>
          <w:sz w:val="24"/>
          <w:highlight w:val="none"/>
        </w:rPr>
        <w:fldChar w:fldCharType="separate"/>
      </w:r>
      <w:r>
        <w:rPr>
          <w:rFonts w:ascii="宋体" w:hAnsi="宋体"/>
          <w:sz w:val="24"/>
          <w:highlight w:val="none"/>
        </w:rPr>
        <w:t>35</w:t>
      </w:r>
      <w:r>
        <w:rPr>
          <w:rFonts w:ascii="宋体" w:hAnsi="宋体"/>
          <w:sz w:val="24"/>
          <w:highlight w:val="none"/>
        </w:rPr>
        <w:fldChar w:fldCharType="end"/>
      </w:r>
      <w:r>
        <w:rPr>
          <w:rFonts w:ascii="宋体" w:hAnsi="宋体"/>
          <w:sz w:val="24"/>
          <w:highlight w:val="none"/>
        </w:rPr>
        <w:fldChar w:fldCharType="end"/>
      </w:r>
    </w:p>
    <w:p w14:paraId="2E956216">
      <w:pPr>
        <w:pStyle w:val="27"/>
        <w:spacing w:line="360" w:lineRule="auto"/>
        <w:rPr>
          <w:rFonts w:ascii="宋体" w:hAnsi="宋体" w:cstheme="minorBidi"/>
          <w:sz w:val="24"/>
          <w:highlight w:val="none"/>
          <w14:ligatures w14:val="standardContextual"/>
        </w:rPr>
      </w:pPr>
      <w:r>
        <w:rPr>
          <w:highlight w:val="none"/>
        </w:rPr>
        <w:fldChar w:fldCharType="begin"/>
      </w:r>
      <w:r>
        <w:rPr>
          <w:highlight w:val="none"/>
        </w:rPr>
        <w:instrText xml:space="preserve"> HYPERLINK \l "_Toc146181158" </w:instrText>
      </w:r>
      <w:r>
        <w:rPr>
          <w:highlight w:val="none"/>
        </w:rPr>
        <w:fldChar w:fldCharType="separate"/>
      </w:r>
      <w:r>
        <w:rPr>
          <w:rStyle w:val="48"/>
          <w:rFonts w:ascii="宋体" w:hAnsi="宋体"/>
          <w:color w:val="auto"/>
          <w:sz w:val="24"/>
          <w:highlight w:val="none"/>
        </w:rPr>
        <w:t>第四部分   采购内容及要求</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_Toc146181158 \h </w:instrText>
      </w:r>
      <w:r>
        <w:rPr>
          <w:rFonts w:ascii="宋体" w:hAnsi="宋体"/>
          <w:sz w:val="24"/>
          <w:highlight w:val="none"/>
        </w:rPr>
        <w:fldChar w:fldCharType="separate"/>
      </w:r>
      <w:r>
        <w:rPr>
          <w:rFonts w:ascii="宋体" w:hAnsi="宋体"/>
          <w:sz w:val="24"/>
          <w:highlight w:val="none"/>
        </w:rPr>
        <w:t>38</w:t>
      </w:r>
      <w:r>
        <w:rPr>
          <w:rFonts w:ascii="宋体" w:hAnsi="宋体"/>
          <w:sz w:val="24"/>
          <w:highlight w:val="none"/>
        </w:rPr>
        <w:fldChar w:fldCharType="end"/>
      </w:r>
      <w:r>
        <w:rPr>
          <w:rFonts w:ascii="宋体" w:hAnsi="宋体"/>
          <w:sz w:val="24"/>
          <w:highlight w:val="none"/>
        </w:rPr>
        <w:fldChar w:fldCharType="end"/>
      </w:r>
    </w:p>
    <w:p w14:paraId="33E0C4B4">
      <w:pPr>
        <w:pStyle w:val="27"/>
        <w:spacing w:line="360" w:lineRule="auto"/>
        <w:rPr>
          <w:rFonts w:ascii="宋体" w:hAnsi="宋体" w:cstheme="minorBidi"/>
          <w:sz w:val="24"/>
          <w:highlight w:val="none"/>
          <w14:ligatures w14:val="standardContextual"/>
        </w:rPr>
      </w:pPr>
      <w:r>
        <w:rPr>
          <w:highlight w:val="none"/>
        </w:rPr>
        <w:fldChar w:fldCharType="begin"/>
      </w:r>
      <w:r>
        <w:rPr>
          <w:highlight w:val="none"/>
        </w:rPr>
        <w:instrText xml:space="preserve"> HYPERLINK \l "_Toc146181159" </w:instrText>
      </w:r>
      <w:r>
        <w:rPr>
          <w:highlight w:val="none"/>
        </w:rPr>
        <w:fldChar w:fldCharType="separate"/>
      </w:r>
      <w:r>
        <w:rPr>
          <w:rStyle w:val="48"/>
          <w:rFonts w:ascii="宋体" w:hAnsi="宋体" w:cs="Arial Unicode MS"/>
          <w:color w:val="auto"/>
          <w:sz w:val="24"/>
          <w:highlight w:val="none"/>
        </w:rPr>
        <w:t xml:space="preserve">第五部分   </w:t>
      </w:r>
      <w:r>
        <w:rPr>
          <w:rStyle w:val="48"/>
          <w:rFonts w:ascii="宋体" w:hAnsi="宋体"/>
          <w:color w:val="auto"/>
          <w:sz w:val="24"/>
          <w:highlight w:val="none"/>
        </w:rPr>
        <w:t>评标原则及办法</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_Toc146181159 \h </w:instrText>
      </w:r>
      <w:r>
        <w:rPr>
          <w:rFonts w:ascii="宋体" w:hAnsi="宋体"/>
          <w:sz w:val="24"/>
          <w:highlight w:val="none"/>
        </w:rPr>
        <w:fldChar w:fldCharType="separate"/>
      </w:r>
      <w:r>
        <w:rPr>
          <w:rFonts w:ascii="宋体" w:hAnsi="宋体"/>
          <w:sz w:val="24"/>
          <w:highlight w:val="none"/>
        </w:rPr>
        <w:t>38</w:t>
      </w:r>
      <w:r>
        <w:rPr>
          <w:rFonts w:ascii="宋体" w:hAnsi="宋体"/>
          <w:sz w:val="24"/>
          <w:highlight w:val="none"/>
        </w:rPr>
        <w:fldChar w:fldCharType="end"/>
      </w:r>
      <w:r>
        <w:rPr>
          <w:rFonts w:ascii="宋体" w:hAnsi="宋体"/>
          <w:sz w:val="24"/>
          <w:highlight w:val="none"/>
        </w:rPr>
        <w:fldChar w:fldCharType="end"/>
      </w:r>
    </w:p>
    <w:p w14:paraId="50E6F7A5">
      <w:pPr>
        <w:pStyle w:val="27"/>
        <w:spacing w:line="360" w:lineRule="auto"/>
        <w:jc w:val="left"/>
        <w:rPr>
          <w:rFonts w:ascii="宋体" w:hAnsi="宋体" w:cs="Courier New"/>
          <w:b/>
          <w:bCs/>
          <w:sz w:val="28"/>
          <w:szCs w:val="30"/>
          <w:highlight w:val="none"/>
        </w:rPr>
      </w:pPr>
      <w:r>
        <w:rPr>
          <w:rFonts w:hint="eastAsia" w:ascii="宋体" w:hAnsi="宋体"/>
          <w:sz w:val="24"/>
          <w:highlight w:val="none"/>
        </w:rPr>
        <w:fldChar w:fldCharType="end"/>
      </w:r>
      <w:r>
        <w:rPr>
          <w:rFonts w:ascii="宋体" w:hAnsi="宋体" w:cs="Courier New"/>
          <w:b/>
          <w:bCs/>
          <w:sz w:val="28"/>
          <w:szCs w:val="30"/>
          <w:highlight w:val="none"/>
        </w:rPr>
        <w:t>注：</w:t>
      </w:r>
      <w:r>
        <w:rPr>
          <w:rFonts w:hint="eastAsia" w:ascii="宋体" w:hAnsi="宋体" w:cs="Courier New"/>
          <w:b/>
          <w:bCs/>
          <w:sz w:val="28"/>
          <w:szCs w:val="30"/>
          <w:highlight w:val="none"/>
        </w:rPr>
        <w:t>请投标人</w:t>
      </w:r>
      <w:r>
        <w:rPr>
          <w:rFonts w:ascii="宋体" w:hAnsi="宋体" w:cs="Courier New"/>
          <w:b/>
          <w:bCs/>
          <w:sz w:val="28"/>
          <w:szCs w:val="30"/>
          <w:highlight w:val="none"/>
        </w:rPr>
        <w:t>认真查看招标文件中的每一个条款及要求，因误读招标文件而造成的后果，采购人概不负责。</w:t>
      </w:r>
      <w:bookmarkStart w:id="0" w:name="_Toc218041724"/>
      <w:bookmarkStart w:id="1" w:name="_Toc216667818"/>
      <w:bookmarkStart w:id="2" w:name="_Toc227056844"/>
      <w:bookmarkStart w:id="3" w:name="_Toc223717602"/>
      <w:bookmarkStart w:id="4" w:name="_Toc223933219"/>
      <w:bookmarkStart w:id="5" w:name="_Toc219538611"/>
      <w:bookmarkStart w:id="6" w:name="_Toc227057031"/>
      <w:bookmarkStart w:id="7" w:name="_Toc215415528"/>
      <w:bookmarkStart w:id="8" w:name="_Toc217460683"/>
      <w:bookmarkStart w:id="9" w:name="_Toc227489885"/>
    </w:p>
    <w:p w14:paraId="47B74F01">
      <w:pPr>
        <w:widowControl/>
        <w:jc w:val="left"/>
        <w:rPr>
          <w:rFonts w:ascii="宋体" w:hAnsi="宋体" w:cs="Courier New"/>
          <w:b/>
          <w:bCs/>
          <w:sz w:val="36"/>
          <w:szCs w:val="36"/>
          <w:highlight w:val="none"/>
          <w:lang w:val="zh-CN"/>
        </w:rPr>
      </w:pPr>
      <w:bookmarkStart w:id="10" w:name="_Toc146181138"/>
      <w:r>
        <w:rPr>
          <w:rFonts w:ascii="宋体" w:hAnsi="宋体" w:cs="Courier New"/>
          <w:sz w:val="36"/>
          <w:szCs w:val="36"/>
          <w:highlight w:val="none"/>
        </w:rPr>
        <w:br w:type="page"/>
      </w:r>
    </w:p>
    <w:p w14:paraId="5E5EBFF0">
      <w:pPr>
        <w:pStyle w:val="3"/>
        <w:spacing w:before="120" w:beforeLines="50"/>
        <w:rPr>
          <w:rFonts w:ascii="宋体" w:hAnsi="宋体" w:eastAsia="宋体" w:cs="Courier New"/>
          <w:sz w:val="36"/>
          <w:szCs w:val="36"/>
          <w:highlight w:val="none"/>
        </w:rPr>
      </w:pPr>
      <w:r>
        <w:rPr>
          <w:rFonts w:hint="eastAsia" w:ascii="宋体" w:hAnsi="宋体" w:eastAsia="宋体" w:cs="Courier New"/>
          <w:sz w:val="36"/>
          <w:szCs w:val="36"/>
          <w:highlight w:val="none"/>
        </w:rPr>
        <w:t>投标邀请</w:t>
      </w:r>
      <w:bookmarkEnd w:id="0"/>
      <w:bookmarkEnd w:id="1"/>
      <w:bookmarkEnd w:id="2"/>
      <w:bookmarkEnd w:id="3"/>
      <w:bookmarkEnd w:id="4"/>
      <w:bookmarkEnd w:id="5"/>
      <w:bookmarkEnd w:id="6"/>
      <w:bookmarkEnd w:id="7"/>
      <w:bookmarkEnd w:id="8"/>
      <w:bookmarkEnd w:id="9"/>
      <w:r>
        <w:rPr>
          <w:rFonts w:hint="eastAsia" w:ascii="宋体" w:hAnsi="宋体" w:eastAsia="宋体" w:cs="Courier New"/>
          <w:sz w:val="36"/>
          <w:szCs w:val="36"/>
          <w:highlight w:val="none"/>
        </w:rPr>
        <w:t>函</w:t>
      </w:r>
      <w:bookmarkEnd w:id="10"/>
    </w:p>
    <w:p w14:paraId="73F64D93">
      <w:pPr>
        <w:widowControl/>
        <w:spacing w:line="440" w:lineRule="exact"/>
        <w:ind w:firstLine="550" w:firstLineChars="250"/>
        <w:jc w:val="left"/>
        <w:rPr>
          <w:rFonts w:ascii="宋体" w:hAnsi="宋体" w:cs="宋体"/>
          <w:kern w:val="0"/>
          <w:sz w:val="22"/>
          <w:szCs w:val="22"/>
          <w:highlight w:val="none"/>
        </w:rPr>
      </w:pPr>
      <w:bookmarkStart w:id="11" w:name="_Hlk536622209"/>
      <w:r>
        <w:rPr>
          <w:rFonts w:ascii="宋体" w:hAnsi="宋体" w:cs="宋体"/>
          <w:kern w:val="0"/>
          <w:sz w:val="22"/>
          <w:szCs w:val="22"/>
          <w:highlight w:val="none"/>
        </w:rPr>
        <w:t>根据《中华人民共和国政府采购法》等有关规定，</w:t>
      </w:r>
      <w:r>
        <w:rPr>
          <w:rFonts w:hint="eastAsia" w:ascii="宋体" w:hAnsi="宋体" w:cs="宋体"/>
          <w:kern w:val="0"/>
          <w:sz w:val="22"/>
          <w:szCs w:val="22"/>
          <w:highlight w:val="none"/>
          <w:lang w:eastAsia="zh-CN"/>
        </w:rPr>
        <w:t>浙江华浦工程管理有限公司</w:t>
      </w:r>
      <w:r>
        <w:rPr>
          <w:rFonts w:ascii="宋体" w:hAnsi="宋体" w:cs="宋体"/>
          <w:kern w:val="0"/>
          <w:sz w:val="22"/>
          <w:szCs w:val="22"/>
          <w:highlight w:val="none"/>
        </w:rPr>
        <w:t>受</w:t>
      </w:r>
      <w:r>
        <w:rPr>
          <w:rFonts w:hint="eastAsia" w:ascii="宋体" w:hAnsi="宋体" w:cs="宋体"/>
          <w:kern w:val="0"/>
          <w:sz w:val="22"/>
          <w:szCs w:val="22"/>
          <w:highlight w:val="none"/>
          <w:lang w:eastAsia="zh-CN"/>
        </w:rPr>
        <w:t>温州市瓯海区农业农村局</w:t>
      </w:r>
      <w:r>
        <w:rPr>
          <w:rFonts w:ascii="宋体" w:hAnsi="宋体" w:cs="宋体"/>
          <w:kern w:val="0"/>
          <w:sz w:val="22"/>
          <w:szCs w:val="22"/>
          <w:highlight w:val="none"/>
        </w:rPr>
        <w:t>的委托，就</w:t>
      </w:r>
      <w:r>
        <w:rPr>
          <w:rFonts w:hint="eastAsia" w:ascii="宋体" w:hAnsi="宋体" w:cs="宋体"/>
          <w:kern w:val="0"/>
          <w:sz w:val="22"/>
          <w:szCs w:val="22"/>
          <w:highlight w:val="none"/>
          <w:lang w:eastAsia="zh-CN"/>
        </w:rPr>
        <w:t>2025年-2026年瓯海区农产品定量检测服务</w:t>
      </w:r>
      <w:r>
        <w:rPr>
          <w:rFonts w:ascii="宋体" w:hAnsi="宋体" w:cs="宋体"/>
          <w:kern w:val="0"/>
          <w:sz w:val="22"/>
          <w:szCs w:val="22"/>
          <w:highlight w:val="none"/>
        </w:rPr>
        <w:t>以公开招标方式进行采购，欢迎国内合格的投标人前来投标。</w:t>
      </w:r>
    </w:p>
    <w:p w14:paraId="4B0AF61D">
      <w:pPr>
        <w:pStyle w:val="230"/>
        <w:widowControl/>
        <w:numPr>
          <w:ilvl w:val="0"/>
          <w:numId w:val="3"/>
        </w:numPr>
        <w:spacing w:line="440" w:lineRule="exact"/>
        <w:ind w:firstLineChars="0"/>
        <w:jc w:val="left"/>
        <w:rPr>
          <w:rFonts w:ascii="宋体" w:hAnsi="宋体" w:cs="宋体"/>
          <w:kern w:val="0"/>
          <w:sz w:val="22"/>
          <w:szCs w:val="22"/>
          <w:highlight w:val="none"/>
        </w:rPr>
      </w:pPr>
      <w:r>
        <w:rPr>
          <w:rFonts w:hint="eastAsia" w:ascii="宋体" w:hAnsi="宋体" w:cs="宋体"/>
          <w:kern w:val="0"/>
          <w:sz w:val="22"/>
          <w:szCs w:val="22"/>
          <w:highlight w:val="none"/>
        </w:rPr>
        <w:t>项目概况（具体采购内容及要求详见招标文件）</w:t>
      </w:r>
    </w:p>
    <w:p w14:paraId="7E909E28">
      <w:pPr>
        <w:widowControl/>
        <w:wordWrap w:val="0"/>
        <w:spacing w:line="440" w:lineRule="exact"/>
        <w:ind w:firstLine="440" w:firstLineChars="200"/>
        <w:jc w:val="left"/>
        <w:rPr>
          <w:rFonts w:ascii="宋体" w:hAnsi="宋体" w:cs="宋体"/>
          <w:sz w:val="22"/>
          <w:highlight w:val="none"/>
        </w:rPr>
      </w:pPr>
      <w:r>
        <w:rPr>
          <w:rFonts w:hint="eastAsia" w:ascii="宋体" w:hAnsi="宋体" w:cs="宋体"/>
          <w:sz w:val="22"/>
          <w:highlight w:val="none"/>
          <w:lang w:eastAsia="zh-CN"/>
        </w:rPr>
        <w:t>2025年-2026年瓯海区农产品定量检测服务</w:t>
      </w:r>
      <w:r>
        <w:rPr>
          <w:rFonts w:hint="eastAsia" w:ascii="宋体" w:hAnsi="宋体" w:cs="宋体"/>
          <w:sz w:val="22"/>
          <w:highlight w:val="none"/>
        </w:rPr>
        <w:t>，</w:t>
      </w:r>
      <w:r>
        <w:rPr>
          <w:rFonts w:hint="eastAsia" w:ascii="宋体" w:hAnsi="宋体" w:cs="宋体"/>
          <w:sz w:val="22"/>
          <w:highlight w:val="none"/>
          <w:lang w:val="en-US" w:eastAsia="zh-CN"/>
        </w:rPr>
        <w:t>服务期限：1年，采用1+1方式，首年</w:t>
      </w:r>
      <w:r>
        <w:rPr>
          <w:rFonts w:hint="eastAsia" w:ascii="宋体" w:hAnsi="宋体" w:cs="宋体"/>
          <w:sz w:val="22"/>
          <w:highlight w:val="none"/>
        </w:rPr>
        <w:t>采购预算为</w:t>
      </w:r>
      <w:r>
        <w:rPr>
          <w:rFonts w:hint="eastAsia" w:ascii="宋体" w:hAnsi="宋体" w:cs="宋体"/>
          <w:sz w:val="22"/>
          <w:highlight w:val="none"/>
          <w:lang w:val="en-US" w:eastAsia="zh-CN"/>
        </w:rPr>
        <w:t>70</w:t>
      </w:r>
      <w:r>
        <w:rPr>
          <w:rFonts w:hint="eastAsia" w:ascii="宋体" w:hAnsi="宋体" w:cs="宋体"/>
          <w:sz w:val="22"/>
          <w:highlight w:val="none"/>
        </w:rPr>
        <w:t>万元。</w:t>
      </w:r>
    </w:p>
    <w:p w14:paraId="0D106CC1">
      <w:pPr>
        <w:pStyle w:val="230"/>
        <w:widowControl/>
        <w:numPr>
          <w:ilvl w:val="0"/>
          <w:numId w:val="3"/>
        </w:numPr>
        <w:spacing w:line="440" w:lineRule="exact"/>
        <w:ind w:firstLineChars="0"/>
        <w:jc w:val="left"/>
        <w:rPr>
          <w:rFonts w:ascii="宋体" w:hAnsi="宋体" w:cs="宋体"/>
          <w:kern w:val="0"/>
          <w:sz w:val="22"/>
          <w:szCs w:val="22"/>
          <w:highlight w:val="none"/>
        </w:rPr>
      </w:pPr>
      <w:bookmarkStart w:id="12" w:name="_Hlk46155055"/>
      <w:r>
        <w:rPr>
          <w:rFonts w:ascii="宋体" w:hAnsi="宋体" w:cs="宋体"/>
          <w:kern w:val="0"/>
          <w:sz w:val="22"/>
          <w:szCs w:val="22"/>
          <w:highlight w:val="none"/>
        </w:rPr>
        <w:t>投标人资格要求</w:t>
      </w:r>
    </w:p>
    <w:p w14:paraId="4A28E448">
      <w:pPr>
        <w:widowControl/>
        <w:wordWrap w:val="0"/>
        <w:spacing w:line="440" w:lineRule="exact"/>
        <w:ind w:firstLine="440" w:firstLineChars="200"/>
        <w:jc w:val="left"/>
        <w:rPr>
          <w:rFonts w:ascii="宋体" w:hAnsi="宋体" w:cs="宋体"/>
          <w:sz w:val="22"/>
          <w:highlight w:val="none"/>
        </w:rPr>
      </w:pPr>
      <w:bookmarkStart w:id="13" w:name="_Hlk533617654"/>
      <w:r>
        <w:rPr>
          <w:rFonts w:hint="eastAsia" w:ascii="宋体" w:hAnsi="宋体" w:cs="宋体"/>
          <w:sz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DCA7287">
      <w:pPr>
        <w:widowControl/>
        <w:wordWrap w:val="0"/>
        <w:spacing w:line="440" w:lineRule="exact"/>
        <w:ind w:firstLine="440" w:firstLineChars="200"/>
        <w:jc w:val="left"/>
        <w:rPr>
          <w:rFonts w:ascii="宋体" w:hAnsi="宋体" w:cs="宋体"/>
          <w:sz w:val="22"/>
          <w:highlight w:val="none"/>
        </w:rPr>
      </w:pPr>
      <w:r>
        <w:rPr>
          <w:rFonts w:hint="eastAsia" w:ascii="宋体" w:hAnsi="宋体" w:cs="宋体"/>
          <w:sz w:val="22"/>
          <w:highlight w:val="none"/>
        </w:rPr>
        <w:t>2、落实政府采购政策需满足的资格要求：</w:t>
      </w:r>
      <w:r>
        <w:rPr>
          <w:rFonts w:hint="eastAsia" w:ascii="宋体" w:hAnsi="宋体" w:cs="宋体"/>
          <w:sz w:val="22"/>
          <w:highlight w:val="none"/>
          <w:lang w:eastAsia="zh-CN"/>
        </w:rPr>
        <w:t>无</w:t>
      </w:r>
      <w:r>
        <w:rPr>
          <w:rFonts w:hint="eastAsia" w:ascii="宋体" w:hAnsi="宋体" w:cs="宋体"/>
          <w:sz w:val="22"/>
          <w:highlight w:val="none"/>
        </w:rPr>
        <w:t>。</w:t>
      </w:r>
    </w:p>
    <w:p w14:paraId="7A986CBF">
      <w:pPr>
        <w:widowControl/>
        <w:wordWrap w:val="0"/>
        <w:spacing w:line="440" w:lineRule="exact"/>
        <w:ind w:firstLine="440" w:firstLineChars="200"/>
        <w:jc w:val="left"/>
        <w:rPr>
          <w:rFonts w:ascii="宋体" w:hAnsi="宋体" w:cs="宋体"/>
          <w:sz w:val="22"/>
          <w:highlight w:val="none"/>
        </w:rPr>
      </w:pPr>
      <w:r>
        <w:rPr>
          <w:rFonts w:hint="eastAsia" w:ascii="宋体" w:hAnsi="宋体" w:cs="宋体"/>
          <w:sz w:val="22"/>
          <w:highlight w:val="none"/>
        </w:rPr>
        <w:t>3、本项目的特定资格要求：无。</w:t>
      </w:r>
    </w:p>
    <w:p w14:paraId="4490D512">
      <w:pPr>
        <w:pStyle w:val="230"/>
        <w:widowControl/>
        <w:numPr>
          <w:ilvl w:val="0"/>
          <w:numId w:val="3"/>
        </w:numPr>
        <w:spacing w:line="440" w:lineRule="exact"/>
        <w:ind w:firstLineChars="0"/>
        <w:jc w:val="left"/>
        <w:rPr>
          <w:rFonts w:ascii="宋体" w:hAnsi="宋体" w:cs="宋体"/>
          <w:kern w:val="0"/>
          <w:sz w:val="22"/>
          <w:szCs w:val="22"/>
          <w:highlight w:val="none"/>
        </w:rPr>
      </w:pPr>
      <w:r>
        <w:rPr>
          <w:rFonts w:hint="eastAsia" w:ascii="宋体" w:hAnsi="宋体" w:cs="宋体"/>
          <w:kern w:val="0"/>
          <w:sz w:val="22"/>
          <w:szCs w:val="22"/>
          <w:highlight w:val="none"/>
        </w:rPr>
        <w:t>招标文件的获取</w:t>
      </w:r>
    </w:p>
    <w:bookmarkEnd w:id="13"/>
    <w:p w14:paraId="034AECC8">
      <w:pPr>
        <w:widowControl/>
        <w:spacing w:line="440" w:lineRule="exact"/>
        <w:ind w:firstLine="440" w:firstLineChars="200"/>
        <w:jc w:val="left"/>
        <w:rPr>
          <w:rFonts w:ascii="宋体" w:hAnsi="宋体" w:cs="宋体"/>
          <w:kern w:val="0"/>
          <w:sz w:val="22"/>
          <w:szCs w:val="22"/>
          <w:highlight w:val="none"/>
        </w:rPr>
      </w:pPr>
      <w:bookmarkStart w:id="14" w:name="_Hlk38294291"/>
      <w:r>
        <w:rPr>
          <w:rFonts w:hint="eastAsia" w:ascii="宋体" w:hAnsi="宋体" w:cs="宋体"/>
          <w:kern w:val="0"/>
          <w:sz w:val="22"/>
          <w:szCs w:val="22"/>
          <w:highlight w:val="none"/>
        </w:rPr>
        <w:t>1、获取时间期限：招标公告发布之日起至</w:t>
      </w:r>
      <w:r>
        <w:rPr>
          <w:rFonts w:hint="eastAsia" w:ascii="宋体" w:hAnsi="宋体" w:cs="Courier New"/>
          <w:sz w:val="22"/>
          <w:szCs w:val="22"/>
          <w:highlight w:val="none"/>
        </w:rPr>
        <w:t>投标截止时间</w:t>
      </w:r>
      <w:r>
        <w:rPr>
          <w:rFonts w:hint="eastAsia" w:ascii="宋体" w:hAnsi="宋体" w:cs="宋体"/>
          <w:kern w:val="0"/>
          <w:sz w:val="22"/>
          <w:szCs w:val="22"/>
          <w:highlight w:val="none"/>
        </w:rPr>
        <w:t>前；</w:t>
      </w:r>
    </w:p>
    <w:p w14:paraId="6C6A74F1">
      <w:pPr>
        <w:widowControl/>
        <w:spacing w:line="440" w:lineRule="exact"/>
        <w:ind w:firstLine="440" w:firstLineChars="200"/>
        <w:jc w:val="left"/>
        <w:rPr>
          <w:rFonts w:ascii="宋体" w:hAnsi="宋体" w:cs="宋体"/>
          <w:kern w:val="0"/>
          <w:sz w:val="22"/>
          <w:szCs w:val="22"/>
          <w:highlight w:val="none"/>
        </w:rPr>
      </w:pPr>
      <w:r>
        <w:rPr>
          <w:rFonts w:ascii="宋体" w:hAnsi="宋体" w:cs="宋体"/>
          <w:kern w:val="0"/>
          <w:sz w:val="22"/>
          <w:szCs w:val="22"/>
          <w:highlight w:val="none"/>
        </w:rPr>
        <w:t>2、</w:t>
      </w:r>
      <w:r>
        <w:rPr>
          <w:rFonts w:hint="eastAsia" w:ascii="宋体" w:hAnsi="宋体" w:cs="宋体"/>
          <w:kern w:val="0"/>
          <w:sz w:val="22"/>
          <w:szCs w:val="22"/>
          <w:highlight w:val="none"/>
        </w:rPr>
        <w:t>获取地址：</w:t>
      </w:r>
      <w:r>
        <w:rPr>
          <w:rFonts w:hint="eastAsia" w:ascii="宋体" w:hAnsi="宋体"/>
          <w:sz w:val="22"/>
          <w:szCs w:val="22"/>
          <w:highlight w:val="none"/>
        </w:rPr>
        <w:t>政府采购云平台（www.zcygov.cn）；</w:t>
      </w:r>
    </w:p>
    <w:p w14:paraId="4B153BE9">
      <w:pPr>
        <w:widowControl/>
        <w:spacing w:line="440" w:lineRule="exact"/>
        <w:ind w:firstLine="440" w:firstLineChars="200"/>
        <w:jc w:val="left"/>
        <w:rPr>
          <w:rFonts w:ascii="宋体" w:hAnsi="宋体" w:cs="宋体"/>
          <w:kern w:val="0"/>
          <w:sz w:val="22"/>
          <w:szCs w:val="22"/>
          <w:highlight w:val="none"/>
        </w:rPr>
      </w:pPr>
      <w:r>
        <w:rPr>
          <w:rFonts w:ascii="宋体" w:hAnsi="宋体" w:cs="宋体"/>
          <w:kern w:val="0"/>
          <w:sz w:val="22"/>
          <w:szCs w:val="22"/>
          <w:highlight w:val="none"/>
        </w:rPr>
        <w:t>3、</w:t>
      </w:r>
      <w:r>
        <w:rPr>
          <w:rFonts w:hint="eastAsia" w:ascii="宋体" w:hAnsi="宋体" w:cs="宋体"/>
          <w:kern w:val="0"/>
          <w:sz w:val="22"/>
          <w:szCs w:val="22"/>
          <w:highlight w:val="none"/>
        </w:rPr>
        <w:t>招标文件</w:t>
      </w:r>
      <w:r>
        <w:rPr>
          <w:rFonts w:ascii="宋体" w:hAnsi="宋体" w:cs="宋体"/>
          <w:kern w:val="0"/>
          <w:sz w:val="22"/>
          <w:szCs w:val="22"/>
          <w:highlight w:val="none"/>
        </w:rPr>
        <w:t>售价：</w:t>
      </w:r>
      <w:r>
        <w:rPr>
          <w:rFonts w:hint="eastAsia" w:ascii="宋体" w:hAnsi="宋体" w:cs="宋体"/>
          <w:kern w:val="0"/>
          <w:sz w:val="22"/>
          <w:szCs w:val="22"/>
          <w:highlight w:val="none"/>
        </w:rPr>
        <w:t>免费提供（不提供纸质版招标文件，不收取工本费）；</w:t>
      </w:r>
    </w:p>
    <w:p w14:paraId="08A83BE1">
      <w:pPr>
        <w:widowControl/>
        <w:spacing w:line="440" w:lineRule="exact"/>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4、获取方式：登录“政府采购云平台”在线登记后获取</w:t>
      </w:r>
    </w:p>
    <w:p w14:paraId="390DDF3C">
      <w:pPr>
        <w:widowControl/>
        <w:wordWrap w:val="0"/>
        <w:spacing w:line="440" w:lineRule="exact"/>
        <w:ind w:firstLine="440" w:firstLineChars="200"/>
        <w:jc w:val="left"/>
        <w:rPr>
          <w:rFonts w:ascii="宋体" w:hAnsi="宋体" w:cs="宋体"/>
          <w:kern w:val="0"/>
          <w:sz w:val="22"/>
          <w:szCs w:val="22"/>
          <w:highlight w:val="none"/>
        </w:rPr>
      </w:pPr>
      <w:bookmarkStart w:id="15" w:name="_Hlk38447723"/>
      <w:r>
        <w:rPr>
          <w:rFonts w:hint="eastAsia" w:ascii="宋体" w:hAnsi="宋体" w:cs="宋体"/>
          <w:kern w:val="0"/>
          <w:sz w:val="22"/>
          <w:szCs w:val="22"/>
          <w:highlight w:val="none"/>
        </w:rPr>
        <w:t>（1）潜在供应商完成“政府采购云平台”账号注册后，通过浙江政府采购网公告下方“潜在供应商获取采购文件”跳转登录或直接登录“政府采购云平台”，在线申请获取招标文件（进入“项目采购”应用，在获取采购文件菜单中选择项目，申请获取采购文件）；仅需</w:t>
      </w:r>
      <w:r>
        <w:rPr>
          <w:rFonts w:ascii="宋体" w:hAnsi="宋体" w:cs="宋体"/>
          <w:kern w:val="0"/>
          <w:sz w:val="22"/>
          <w:szCs w:val="22"/>
          <w:highlight w:val="none"/>
        </w:rPr>
        <w:t>浏览</w:t>
      </w:r>
      <w:r>
        <w:rPr>
          <w:rFonts w:hint="eastAsia" w:ascii="宋体" w:hAnsi="宋体" w:cs="宋体"/>
          <w:kern w:val="0"/>
          <w:sz w:val="22"/>
          <w:szCs w:val="22"/>
          <w:highlight w:val="none"/>
        </w:rPr>
        <w:t>招标文件的供应商可在浙江政府采购网点击“游客，</w:t>
      </w:r>
      <w:r>
        <w:rPr>
          <w:rFonts w:ascii="宋体" w:hAnsi="宋体" w:cs="宋体"/>
          <w:kern w:val="0"/>
          <w:sz w:val="22"/>
          <w:szCs w:val="22"/>
          <w:highlight w:val="none"/>
        </w:rPr>
        <w:t>浏览</w:t>
      </w:r>
      <w:r>
        <w:rPr>
          <w:rFonts w:hint="eastAsia" w:ascii="宋体" w:hAnsi="宋体" w:cs="宋体"/>
          <w:kern w:val="0"/>
          <w:sz w:val="22"/>
          <w:szCs w:val="22"/>
          <w:highlight w:val="none"/>
        </w:rPr>
        <w:t>采购文件”直接下载招标文件</w:t>
      </w:r>
      <w:r>
        <w:rPr>
          <w:rFonts w:ascii="宋体" w:hAnsi="宋体" w:cs="宋体"/>
          <w:kern w:val="0"/>
          <w:sz w:val="22"/>
          <w:szCs w:val="22"/>
          <w:highlight w:val="none"/>
        </w:rPr>
        <w:t>浏览</w:t>
      </w:r>
      <w:r>
        <w:rPr>
          <w:rFonts w:hint="eastAsia" w:ascii="宋体" w:hAnsi="宋体" w:cs="宋体"/>
          <w:kern w:val="0"/>
          <w:sz w:val="22"/>
          <w:szCs w:val="22"/>
          <w:highlight w:val="none"/>
        </w:rPr>
        <w:t>。</w:t>
      </w:r>
    </w:p>
    <w:bookmarkEnd w:id="15"/>
    <w:p w14:paraId="6439D8FC">
      <w:pPr>
        <w:widowControl/>
        <w:spacing w:line="440" w:lineRule="exact"/>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2）招标公告附件内的招标文件（或采购需求）仅供社会公众查阅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1A4633BC">
      <w:pPr>
        <w:pStyle w:val="230"/>
        <w:widowControl/>
        <w:spacing w:line="440" w:lineRule="exact"/>
        <w:ind w:firstLine="440"/>
        <w:jc w:val="left"/>
        <w:rPr>
          <w:rFonts w:ascii="宋体" w:hAnsi="宋体" w:cs="宋体"/>
          <w:bCs/>
          <w:kern w:val="0"/>
          <w:sz w:val="22"/>
          <w:szCs w:val="22"/>
          <w:highlight w:val="none"/>
        </w:rPr>
      </w:pPr>
      <w:r>
        <w:rPr>
          <w:rFonts w:hint="eastAsia" w:ascii="宋体" w:hAnsi="宋体" w:cs="宋体"/>
          <w:kern w:val="0"/>
          <w:sz w:val="22"/>
          <w:szCs w:val="22"/>
          <w:highlight w:val="none"/>
        </w:rPr>
        <w:t>注：请供应商按上述要求获取招标文件，如未在“政府采购云平台”系统内完成相关流程，导致的</w:t>
      </w:r>
      <w:r>
        <w:rPr>
          <w:rFonts w:hint="eastAsia" w:ascii="宋体" w:hAnsi="宋体" w:cs="宋体"/>
          <w:b/>
          <w:bCs/>
          <w:kern w:val="0"/>
          <w:sz w:val="22"/>
          <w:szCs w:val="22"/>
          <w:highlight w:val="none"/>
        </w:rPr>
        <w:t>投标无效</w:t>
      </w:r>
      <w:r>
        <w:rPr>
          <w:rFonts w:hint="eastAsia" w:ascii="宋体" w:hAnsi="宋体" w:cs="宋体"/>
          <w:kern w:val="0"/>
          <w:sz w:val="22"/>
          <w:szCs w:val="22"/>
          <w:highlight w:val="none"/>
        </w:rPr>
        <w:t>责任自负。</w:t>
      </w:r>
    </w:p>
    <w:bookmarkEnd w:id="14"/>
    <w:p w14:paraId="123B7443">
      <w:pPr>
        <w:pStyle w:val="230"/>
        <w:widowControl/>
        <w:numPr>
          <w:ilvl w:val="0"/>
          <w:numId w:val="3"/>
        </w:numPr>
        <w:spacing w:line="440" w:lineRule="exact"/>
        <w:ind w:firstLineChars="0"/>
        <w:jc w:val="left"/>
        <w:rPr>
          <w:rFonts w:ascii="宋体" w:hAnsi="宋体" w:cs="宋体"/>
          <w:bCs/>
          <w:kern w:val="0"/>
          <w:sz w:val="22"/>
          <w:szCs w:val="22"/>
          <w:highlight w:val="none"/>
        </w:rPr>
      </w:pPr>
      <w:r>
        <w:rPr>
          <w:rFonts w:hint="eastAsia" w:ascii="宋体" w:hAnsi="宋体" w:cs="宋体"/>
          <w:kern w:val="0"/>
          <w:sz w:val="22"/>
          <w:szCs w:val="22"/>
          <w:highlight w:val="none"/>
        </w:rPr>
        <w:t>投标截止时间</w:t>
      </w:r>
      <w:r>
        <w:rPr>
          <w:rFonts w:ascii="宋体" w:hAnsi="宋体" w:cs="宋体"/>
          <w:bCs/>
          <w:kern w:val="0"/>
          <w:sz w:val="22"/>
          <w:szCs w:val="22"/>
          <w:highlight w:val="none"/>
        </w:rPr>
        <w:t>、开标时间及地点</w:t>
      </w:r>
    </w:p>
    <w:p w14:paraId="0DE7F454">
      <w:pPr>
        <w:spacing w:line="440" w:lineRule="exact"/>
        <w:ind w:firstLine="495" w:firstLineChars="225"/>
        <w:rPr>
          <w:rFonts w:hint="eastAsia" w:ascii="宋体" w:hAnsi="宋体" w:eastAsia="宋体"/>
          <w:sz w:val="22"/>
          <w:szCs w:val="22"/>
          <w:highlight w:val="none"/>
          <w:lang w:eastAsia="zh-CN"/>
        </w:rPr>
      </w:pPr>
      <w:r>
        <w:rPr>
          <w:rFonts w:hint="eastAsia" w:ascii="宋体" w:hAnsi="宋体" w:cs="宋体"/>
          <w:kern w:val="0"/>
          <w:sz w:val="22"/>
          <w:szCs w:val="22"/>
          <w:highlight w:val="none"/>
        </w:rPr>
        <w:t>1</w:t>
      </w:r>
      <w:r>
        <w:rPr>
          <w:rFonts w:ascii="宋体" w:hAnsi="宋体" w:cs="宋体"/>
          <w:kern w:val="0"/>
          <w:sz w:val="22"/>
          <w:szCs w:val="22"/>
          <w:highlight w:val="none"/>
        </w:rPr>
        <w:t>、</w:t>
      </w:r>
      <w:r>
        <w:rPr>
          <w:rFonts w:hint="eastAsia" w:ascii="宋体" w:hAnsi="宋体" w:cs="宋体"/>
          <w:kern w:val="0"/>
          <w:sz w:val="22"/>
          <w:szCs w:val="22"/>
          <w:highlight w:val="none"/>
        </w:rPr>
        <w:t>投标截止时间</w:t>
      </w:r>
      <w:r>
        <w:rPr>
          <w:rFonts w:ascii="宋体" w:hAnsi="宋体" w:cs="宋体"/>
          <w:kern w:val="0"/>
          <w:sz w:val="22"/>
          <w:szCs w:val="22"/>
          <w:highlight w:val="none"/>
        </w:rPr>
        <w:t>：</w:t>
      </w:r>
      <w:r>
        <w:rPr>
          <w:rFonts w:hint="eastAsia" w:ascii="宋体" w:hAnsi="宋体"/>
          <w:sz w:val="22"/>
          <w:szCs w:val="22"/>
          <w:highlight w:val="none"/>
          <w:lang w:eastAsia="zh-CN"/>
        </w:rPr>
        <w:t>2024年10月21日 14:30</w:t>
      </w:r>
    </w:p>
    <w:p w14:paraId="1694E0A8">
      <w:pPr>
        <w:widowControl/>
        <w:spacing w:line="440" w:lineRule="exact"/>
        <w:ind w:firstLine="770" w:firstLineChars="350"/>
        <w:jc w:val="left"/>
        <w:rPr>
          <w:rFonts w:ascii="宋体" w:hAnsi="宋体" w:cs="宋体"/>
          <w:kern w:val="0"/>
          <w:sz w:val="22"/>
          <w:szCs w:val="22"/>
          <w:highlight w:val="none"/>
        </w:rPr>
      </w:pPr>
      <w:r>
        <w:rPr>
          <w:rFonts w:hint="eastAsia" w:ascii="宋体" w:hAnsi="宋体" w:cs="宋体"/>
          <w:kern w:val="0"/>
          <w:sz w:val="22"/>
          <w:szCs w:val="22"/>
          <w:highlight w:val="none"/>
        </w:rPr>
        <w:t>递交地点：</w:t>
      </w:r>
      <w:r>
        <w:rPr>
          <w:rFonts w:hint="eastAsia" w:ascii="宋体" w:hAnsi="宋体"/>
          <w:sz w:val="22"/>
          <w:szCs w:val="22"/>
          <w:highlight w:val="none"/>
        </w:rPr>
        <w:t>通过“政府采购云平台（www.zcygov.cn）”在线递交。</w:t>
      </w:r>
    </w:p>
    <w:p w14:paraId="687B51F7">
      <w:pPr>
        <w:widowControl/>
        <w:spacing w:line="440" w:lineRule="exact"/>
        <w:ind w:firstLine="440" w:firstLineChars="200"/>
        <w:jc w:val="left"/>
        <w:rPr>
          <w:rFonts w:hint="eastAsia" w:ascii="宋体" w:hAnsi="宋体" w:eastAsia="宋体" w:cs="宋体"/>
          <w:kern w:val="0"/>
          <w:sz w:val="22"/>
          <w:szCs w:val="22"/>
          <w:highlight w:val="none"/>
          <w:lang w:eastAsia="zh-CN"/>
        </w:rPr>
      </w:pPr>
      <w:r>
        <w:rPr>
          <w:rFonts w:hint="eastAsia" w:ascii="宋体" w:hAnsi="宋体" w:cs="宋体"/>
          <w:kern w:val="0"/>
          <w:sz w:val="22"/>
          <w:szCs w:val="22"/>
          <w:highlight w:val="none"/>
        </w:rPr>
        <w:t>2</w:t>
      </w:r>
      <w:r>
        <w:rPr>
          <w:rFonts w:ascii="宋体" w:hAnsi="宋体" w:cs="宋体"/>
          <w:kern w:val="0"/>
          <w:sz w:val="22"/>
          <w:szCs w:val="22"/>
          <w:highlight w:val="none"/>
        </w:rPr>
        <w:t>、开标时间：</w:t>
      </w:r>
      <w:r>
        <w:rPr>
          <w:rFonts w:hint="eastAsia" w:ascii="宋体" w:hAnsi="宋体" w:cs="宋体"/>
          <w:kern w:val="0"/>
          <w:sz w:val="22"/>
          <w:szCs w:val="22"/>
          <w:highlight w:val="none"/>
          <w:lang w:eastAsia="zh-CN"/>
        </w:rPr>
        <w:t>2024年10月21日 14:30</w:t>
      </w:r>
    </w:p>
    <w:p w14:paraId="5E044EC4">
      <w:pPr>
        <w:widowControl/>
        <w:spacing w:line="440" w:lineRule="exact"/>
        <w:ind w:firstLine="770" w:firstLineChars="350"/>
        <w:jc w:val="left"/>
        <w:rPr>
          <w:rFonts w:ascii="宋体" w:hAnsi="宋体" w:cs="宋体"/>
          <w:kern w:val="0"/>
          <w:sz w:val="22"/>
          <w:szCs w:val="22"/>
          <w:highlight w:val="none"/>
        </w:rPr>
      </w:pPr>
      <w:r>
        <w:rPr>
          <w:rFonts w:ascii="宋体" w:hAnsi="宋体" w:cs="宋体"/>
          <w:kern w:val="0"/>
          <w:sz w:val="22"/>
          <w:szCs w:val="22"/>
          <w:highlight w:val="none"/>
        </w:rPr>
        <w:t>开标地点：</w:t>
      </w:r>
      <w:r>
        <w:rPr>
          <w:rFonts w:hint="eastAsia" w:ascii="宋体" w:hAnsi="宋体" w:cs="宋体"/>
          <w:kern w:val="0"/>
          <w:sz w:val="22"/>
          <w:szCs w:val="22"/>
          <w:highlight w:val="none"/>
          <w:lang w:eastAsia="zh-CN"/>
        </w:rPr>
        <w:t>浙江华浦工程管理有限公司</w:t>
      </w:r>
      <w:r>
        <w:rPr>
          <w:rFonts w:hint="eastAsia" w:ascii="宋体" w:hAnsi="宋体" w:cs="宋体"/>
          <w:kern w:val="0"/>
          <w:sz w:val="22"/>
          <w:szCs w:val="22"/>
          <w:highlight w:val="none"/>
        </w:rPr>
        <w:t>开标室（</w:t>
      </w:r>
      <w:r>
        <w:rPr>
          <w:rFonts w:hint="eastAsia" w:ascii="宋体" w:hAnsi="宋体" w:cs="宋体"/>
          <w:kern w:val="0"/>
          <w:sz w:val="22"/>
          <w:szCs w:val="22"/>
          <w:highlight w:val="none"/>
          <w:lang w:eastAsia="zh-CN"/>
        </w:rPr>
        <w:t>温州市高昂路1号牛山广场2号楼502室</w:t>
      </w:r>
      <w:r>
        <w:rPr>
          <w:rFonts w:hint="eastAsia" w:ascii="宋体" w:hAnsi="宋体" w:cs="宋体"/>
          <w:kern w:val="0"/>
          <w:sz w:val="22"/>
          <w:szCs w:val="22"/>
          <w:highlight w:val="none"/>
        </w:rPr>
        <w:t>），通过“政府采购云平台（www.zcygov.cn）”线上开启</w:t>
      </w:r>
      <w:r>
        <w:rPr>
          <w:rFonts w:hint="eastAsia" w:ascii="宋体" w:hAnsi="宋体" w:cs="楷体"/>
          <w:kern w:val="0"/>
          <w:sz w:val="22"/>
          <w:szCs w:val="22"/>
          <w:highlight w:val="none"/>
        </w:rPr>
        <w:t>。</w:t>
      </w:r>
    </w:p>
    <w:p w14:paraId="664E8D77">
      <w:pPr>
        <w:pStyle w:val="230"/>
        <w:widowControl/>
        <w:numPr>
          <w:ilvl w:val="0"/>
          <w:numId w:val="3"/>
        </w:numPr>
        <w:spacing w:line="440" w:lineRule="exact"/>
        <w:ind w:firstLineChars="0"/>
        <w:jc w:val="left"/>
        <w:rPr>
          <w:rFonts w:ascii="宋体" w:hAnsi="宋体" w:cs="宋体"/>
          <w:kern w:val="0"/>
          <w:sz w:val="22"/>
          <w:szCs w:val="22"/>
          <w:highlight w:val="none"/>
        </w:rPr>
      </w:pPr>
      <w:r>
        <w:rPr>
          <w:rFonts w:hint="eastAsia" w:ascii="宋体" w:hAnsi="宋体" w:cs="宋体"/>
          <w:kern w:val="0"/>
          <w:sz w:val="22"/>
          <w:szCs w:val="22"/>
          <w:highlight w:val="none"/>
        </w:rPr>
        <w:t>其他补充事宜</w:t>
      </w:r>
    </w:p>
    <w:p w14:paraId="6E960D62">
      <w:pPr>
        <w:widowControl/>
        <w:spacing w:line="440" w:lineRule="exact"/>
        <w:ind w:firstLine="440" w:firstLineChars="200"/>
        <w:jc w:val="left"/>
        <w:rPr>
          <w:rFonts w:ascii="宋体" w:hAnsi="宋体" w:cs="宋体"/>
          <w:kern w:val="0"/>
          <w:sz w:val="22"/>
          <w:szCs w:val="22"/>
          <w:highlight w:val="none"/>
        </w:rPr>
      </w:pPr>
      <w:bookmarkStart w:id="16" w:name="_Hlk38294261"/>
      <w:r>
        <w:rPr>
          <w:rFonts w:ascii="宋体" w:hAnsi="宋体" w:cs="宋体"/>
          <w:kern w:val="0"/>
          <w:sz w:val="22"/>
          <w:szCs w:val="22"/>
          <w:highlight w:val="none"/>
        </w:rPr>
        <w:t>1</w:t>
      </w:r>
      <w:r>
        <w:rPr>
          <w:rFonts w:hint="eastAsia" w:ascii="宋体" w:hAnsi="宋体" w:cs="宋体"/>
          <w:kern w:val="0"/>
          <w:sz w:val="22"/>
          <w:szCs w:val="22"/>
          <w:highlight w:val="none"/>
        </w:rPr>
        <w:t>、</w:t>
      </w:r>
      <w:r>
        <w:rPr>
          <w:rFonts w:ascii="宋体" w:hAnsi="宋体" w:cs="宋体"/>
          <w:kern w:val="0"/>
          <w:sz w:val="22"/>
          <w:szCs w:val="22"/>
          <w:highlight w:val="none"/>
        </w:rPr>
        <w:t>需要落实的政府采购政策：包括节约资源、保护环境、</w:t>
      </w:r>
      <w:bookmarkStart w:id="17" w:name="_Hlk106877787"/>
      <w:r>
        <w:rPr>
          <w:rFonts w:hint="eastAsia" w:ascii="宋体" w:hAnsi="宋体" w:cs="宋体"/>
          <w:kern w:val="0"/>
          <w:sz w:val="22"/>
          <w:szCs w:val="22"/>
          <w:highlight w:val="none"/>
        </w:rPr>
        <w:t>支持科技创新、</w:t>
      </w:r>
      <w:bookmarkEnd w:id="17"/>
      <w:r>
        <w:rPr>
          <w:rFonts w:ascii="宋体" w:hAnsi="宋体" w:cs="宋体"/>
          <w:kern w:val="0"/>
          <w:sz w:val="22"/>
          <w:szCs w:val="22"/>
          <w:highlight w:val="none"/>
        </w:rPr>
        <w:t>促进中小企业发展等</w:t>
      </w:r>
      <w:r>
        <w:rPr>
          <w:rFonts w:hint="eastAsia" w:ascii="宋体" w:hAnsi="宋体" w:cs="宋体"/>
          <w:kern w:val="0"/>
          <w:sz w:val="22"/>
          <w:szCs w:val="22"/>
          <w:highlight w:val="none"/>
        </w:rPr>
        <w:t>，具体</w:t>
      </w:r>
      <w:r>
        <w:rPr>
          <w:rFonts w:ascii="宋体" w:hAnsi="宋体" w:cs="宋体"/>
          <w:kern w:val="0"/>
          <w:sz w:val="22"/>
          <w:szCs w:val="22"/>
          <w:highlight w:val="none"/>
        </w:rPr>
        <w:t>详见招标文件的第</w:t>
      </w:r>
      <w:r>
        <w:rPr>
          <w:rFonts w:hint="eastAsia" w:ascii="宋体" w:hAnsi="宋体" w:cs="宋体"/>
          <w:kern w:val="0"/>
          <w:sz w:val="22"/>
          <w:szCs w:val="22"/>
          <w:highlight w:val="none"/>
        </w:rPr>
        <w:t>一部分-政府采购政策</w:t>
      </w:r>
      <w:r>
        <w:rPr>
          <w:rFonts w:ascii="宋体" w:hAnsi="宋体" w:cs="宋体"/>
          <w:kern w:val="0"/>
          <w:sz w:val="22"/>
          <w:szCs w:val="22"/>
          <w:highlight w:val="none"/>
        </w:rPr>
        <w:t>。</w:t>
      </w:r>
    </w:p>
    <w:p w14:paraId="0D8C4BCF">
      <w:pPr>
        <w:widowControl/>
        <w:spacing w:line="440" w:lineRule="exact"/>
        <w:ind w:firstLine="440" w:firstLineChars="200"/>
        <w:jc w:val="left"/>
        <w:rPr>
          <w:rFonts w:ascii="宋体" w:hAnsi="宋体" w:cs="宋体"/>
          <w:kern w:val="0"/>
          <w:sz w:val="22"/>
          <w:szCs w:val="22"/>
          <w:highlight w:val="none"/>
        </w:rPr>
      </w:pPr>
      <w:r>
        <w:rPr>
          <w:rFonts w:ascii="宋体" w:hAnsi="宋体" w:cs="宋体"/>
          <w:kern w:val="0"/>
          <w:sz w:val="22"/>
          <w:szCs w:val="22"/>
          <w:highlight w:val="none"/>
        </w:rPr>
        <w:t>2</w:t>
      </w:r>
      <w:r>
        <w:rPr>
          <w:rFonts w:hint="eastAsia" w:ascii="宋体" w:hAnsi="宋体" w:cs="宋体"/>
          <w:kern w:val="0"/>
          <w:sz w:val="22"/>
          <w:szCs w:val="22"/>
          <w:highlight w:val="none"/>
        </w:rPr>
        <w:t>、在线投标响应（电子投标）说明：</w:t>
      </w:r>
    </w:p>
    <w:p w14:paraId="5A450A8E">
      <w:pPr>
        <w:widowControl/>
        <w:spacing w:line="440" w:lineRule="exact"/>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本项目通过“政府采购云平台（www.zcygov.cn）”实行在线投标响应（电子投标）。潜在供应商在参与本项目投标前应当完成“政府采购云平台”的账号注册、身份认证（CA数字证书申领）、“政采云电子交易客户端”下载安装，相关操作流程提示如下：</w:t>
      </w:r>
    </w:p>
    <w:p w14:paraId="25B2D8EE">
      <w:pPr>
        <w:widowControl/>
        <w:spacing w:line="440" w:lineRule="exact"/>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（1）供应商注册（入驻）：https://middle.zcygov.cn/v-settle-front/registry；</w:t>
      </w:r>
    </w:p>
    <w:p w14:paraId="5938F927">
      <w:pPr>
        <w:widowControl/>
        <w:spacing w:line="440" w:lineRule="exact"/>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（2）电子交易客户端下载：前往“浙江政府采购网-下载专区-电子交易客户端”进行下载；</w:t>
      </w:r>
    </w:p>
    <w:p w14:paraId="79BB2D13">
      <w:pPr>
        <w:widowControl/>
        <w:spacing w:line="440" w:lineRule="exact"/>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（3）CA数字证书申领流程：前往“浙江政府采购网-下载专区-电子交易客户端-CA驱动和申领流程”进行查阅；</w:t>
      </w:r>
    </w:p>
    <w:p w14:paraId="1CBD1EED">
      <w:pPr>
        <w:widowControl/>
        <w:spacing w:line="440" w:lineRule="exact"/>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（4）电子交易具体流程详见操作指南：登录政府采购云平台，从首页-服务中心-帮助文档-项目采购-电子招投标，查看文档和视频；</w:t>
      </w:r>
    </w:p>
    <w:p w14:paraId="1E5828AA">
      <w:pPr>
        <w:widowControl/>
        <w:spacing w:line="440" w:lineRule="exact"/>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（5）浙江省“电子交易/不见面开评标”学习专题（https://edu.zcygov.cn/luban/e-biding）；</w:t>
      </w:r>
    </w:p>
    <w:p w14:paraId="371CCEEF">
      <w:pPr>
        <w:widowControl/>
        <w:spacing w:line="440" w:lineRule="exact"/>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（6）如有疑问，可登录政采云（www.zcygov.cn），点击右侧咨询小采，获取采小蜜智能服务管家帮助，或拨打政采云服务热线95763获取热线服务帮助。CA问题联系电话（人工）：汇信CA 400-888-4636；天谷CA 400-087-8198。</w:t>
      </w:r>
    </w:p>
    <w:bookmarkEnd w:id="16"/>
    <w:p w14:paraId="673B841C">
      <w:pPr>
        <w:pStyle w:val="230"/>
        <w:widowControl/>
        <w:numPr>
          <w:ilvl w:val="0"/>
          <w:numId w:val="3"/>
        </w:numPr>
        <w:spacing w:line="440" w:lineRule="exact"/>
        <w:ind w:firstLineChars="0"/>
        <w:jc w:val="left"/>
        <w:rPr>
          <w:rFonts w:ascii="宋体" w:hAnsi="宋体" w:cs="宋体"/>
          <w:kern w:val="0"/>
          <w:sz w:val="22"/>
          <w:szCs w:val="22"/>
          <w:highlight w:val="none"/>
        </w:rPr>
      </w:pPr>
      <w:r>
        <w:rPr>
          <w:rFonts w:ascii="宋体" w:hAnsi="宋体" w:cs="宋体"/>
          <w:bCs/>
          <w:kern w:val="0"/>
          <w:sz w:val="22"/>
          <w:szCs w:val="22"/>
          <w:highlight w:val="none"/>
        </w:rPr>
        <w:t>联系人及联系</w:t>
      </w:r>
      <w:r>
        <w:rPr>
          <w:rFonts w:hint="eastAsia" w:ascii="宋体" w:hAnsi="宋体" w:cs="宋体"/>
          <w:bCs/>
          <w:kern w:val="0"/>
          <w:sz w:val="22"/>
          <w:szCs w:val="22"/>
          <w:highlight w:val="none"/>
        </w:rPr>
        <w:t>方式</w:t>
      </w:r>
    </w:p>
    <w:p w14:paraId="7148057A">
      <w:pPr>
        <w:widowControl/>
        <w:spacing w:line="440" w:lineRule="exact"/>
        <w:ind w:firstLine="440" w:firstLineChars="200"/>
        <w:jc w:val="left"/>
        <w:rPr>
          <w:rFonts w:hint="eastAsia" w:ascii="宋体" w:hAnsi="宋体" w:eastAsia="宋体" w:cs="宋体"/>
          <w:kern w:val="0"/>
          <w:sz w:val="22"/>
          <w:szCs w:val="22"/>
          <w:highlight w:val="none"/>
          <w:lang w:eastAsia="zh-CN"/>
        </w:rPr>
      </w:pPr>
      <w:r>
        <w:rPr>
          <w:rFonts w:ascii="宋体" w:hAnsi="宋体" w:cs="宋体"/>
          <w:kern w:val="0"/>
          <w:sz w:val="22"/>
          <w:szCs w:val="22"/>
          <w:highlight w:val="none"/>
        </w:rPr>
        <w:t>1</w:t>
      </w:r>
      <w:r>
        <w:rPr>
          <w:rFonts w:hint="eastAsia" w:ascii="宋体" w:hAnsi="宋体" w:cs="宋体"/>
          <w:kern w:val="0"/>
          <w:sz w:val="22"/>
          <w:szCs w:val="22"/>
          <w:highlight w:val="none"/>
        </w:rPr>
        <w:t>、采购人</w:t>
      </w:r>
      <w:r>
        <w:rPr>
          <w:rFonts w:ascii="宋体" w:hAnsi="宋体" w:cs="宋体"/>
          <w:kern w:val="0"/>
          <w:sz w:val="22"/>
          <w:szCs w:val="22"/>
          <w:highlight w:val="none"/>
        </w:rPr>
        <w:t>：</w:t>
      </w:r>
      <w:r>
        <w:rPr>
          <w:rFonts w:hint="eastAsia" w:ascii="宋体" w:hAnsi="宋体" w:cs="宋体"/>
          <w:kern w:val="0"/>
          <w:sz w:val="22"/>
          <w:szCs w:val="22"/>
          <w:highlight w:val="none"/>
          <w:lang w:eastAsia="zh-CN"/>
        </w:rPr>
        <w:t>温州市瓯海区农业农村局</w:t>
      </w:r>
    </w:p>
    <w:p w14:paraId="73071B51">
      <w:pPr>
        <w:widowControl/>
        <w:spacing w:line="440" w:lineRule="exact"/>
        <w:ind w:firstLine="440" w:firstLineChars="200"/>
        <w:jc w:val="left"/>
        <w:rPr>
          <w:rFonts w:hint="eastAsia" w:ascii="宋体" w:hAnsi="宋体" w:eastAsia="宋体" w:cs="宋体"/>
          <w:kern w:val="0"/>
          <w:sz w:val="22"/>
          <w:szCs w:val="22"/>
          <w:highlight w:val="none"/>
          <w:lang w:eastAsia="zh-CN"/>
        </w:rPr>
      </w:pPr>
      <w:r>
        <w:rPr>
          <w:rFonts w:hint="eastAsia" w:ascii="宋体" w:hAnsi="宋体" w:cs="宋体"/>
          <w:kern w:val="0"/>
          <w:sz w:val="22"/>
          <w:szCs w:val="22"/>
          <w:highlight w:val="none"/>
        </w:rPr>
        <w:t>采购人地址：</w:t>
      </w:r>
      <w:r>
        <w:rPr>
          <w:rFonts w:hint="eastAsia" w:ascii="宋体" w:hAnsi="宋体" w:cs="宋体"/>
          <w:kern w:val="0"/>
          <w:sz w:val="22"/>
          <w:szCs w:val="22"/>
          <w:highlight w:val="none"/>
          <w:lang w:eastAsia="zh-CN"/>
        </w:rPr>
        <w:t>温州市瓯海区行政管理中心2号楼10楼</w:t>
      </w:r>
    </w:p>
    <w:p w14:paraId="72AFF852">
      <w:pPr>
        <w:widowControl/>
        <w:spacing w:line="440" w:lineRule="exact"/>
        <w:ind w:firstLine="440" w:firstLineChars="200"/>
        <w:jc w:val="left"/>
        <w:rPr>
          <w:rFonts w:hint="eastAsia" w:ascii="宋体" w:hAnsi="宋体" w:eastAsia="宋体" w:cs="宋体"/>
          <w:kern w:val="0"/>
          <w:sz w:val="22"/>
          <w:szCs w:val="22"/>
          <w:highlight w:val="none"/>
          <w:lang w:eastAsia="zh-CN"/>
        </w:rPr>
      </w:pPr>
      <w:r>
        <w:rPr>
          <w:rFonts w:hint="eastAsia" w:ascii="宋体" w:hAnsi="宋体" w:cs="宋体"/>
          <w:kern w:val="0"/>
          <w:sz w:val="22"/>
          <w:szCs w:val="22"/>
          <w:highlight w:val="none"/>
        </w:rPr>
        <w:t>项目联系人（询问）：</w:t>
      </w:r>
      <w:r>
        <w:rPr>
          <w:rFonts w:hint="eastAsia" w:ascii="宋体" w:hAnsi="宋体" w:cs="宋体"/>
          <w:kern w:val="0"/>
          <w:sz w:val="22"/>
          <w:szCs w:val="22"/>
          <w:highlight w:val="none"/>
          <w:lang w:eastAsia="zh-CN"/>
        </w:rPr>
        <w:t>俞先生</w:t>
      </w:r>
    </w:p>
    <w:p w14:paraId="63D65268">
      <w:pPr>
        <w:widowControl/>
        <w:spacing w:line="440" w:lineRule="exact"/>
        <w:ind w:firstLine="440" w:firstLineChars="200"/>
        <w:jc w:val="left"/>
        <w:rPr>
          <w:rFonts w:hint="eastAsia" w:ascii="宋体" w:hAnsi="宋体" w:eastAsia="宋体" w:cs="宋体"/>
          <w:kern w:val="0"/>
          <w:sz w:val="22"/>
          <w:szCs w:val="22"/>
          <w:highlight w:val="none"/>
          <w:lang w:eastAsia="zh-CN"/>
        </w:rPr>
      </w:pPr>
      <w:r>
        <w:rPr>
          <w:rFonts w:hint="eastAsia" w:ascii="宋体" w:hAnsi="宋体" w:cs="宋体"/>
          <w:kern w:val="0"/>
          <w:sz w:val="22"/>
          <w:szCs w:val="22"/>
          <w:highlight w:val="none"/>
        </w:rPr>
        <w:t>项目联系方式（询问）：</w:t>
      </w:r>
      <w:r>
        <w:rPr>
          <w:rFonts w:hint="eastAsia" w:ascii="宋体" w:hAnsi="宋体" w:cs="宋体"/>
          <w:kern w:val="0"/>
          <w:sz w:val="22"/>
          <w:szCs w:val="22"/>
          <w:highlight w:val="none"/>
          <w:lang w:eastAsia="zh-CN"/>
        </w:rPr>
        <w:t>0577-88529730</w:t>
      </w:r>
    </w:p>
    <w:p w14:paraId="302439EC">
      <w:pPr>
        <w:widowControl/>
        <w:spacing w:line="440" w:lineRule="exact"/>
        <w:ind w:firstLine="440" w:firstLineChars="200"/>
        <w:jc w:val="left"/>
        <w:rPr>
          <w:rFonts w:hint="eastAsia" w:ascii="宋体" w:hAnsi="宋体" w:eastAsia="宋体" w:cs="宋体"/>
          <w:kern w:val="0"/>
          <w:sz w:val="22"/>
          <w:szCs w:val="22"/>
          <w:highlight w:val="none"/>
          <w:lang w:eastAsia="zh-CN"/>
        </w:rPr>
      </w:pPr>
      <w:r>
        <w:rPr>
          <w:rFonts w:hint="eastAsia" w:ascii="宋体" w:hAnsi="宋体" w:cs="宋体"/>
          <w:kern w:val="0"/>
          <w:sz w:val="22"/>
          <w:szCs w:val="22"/>
          <w:highlight w:val="none"/>
        </w:rPr>
        <w:t>质疑联系人：</w:t>
      </w:r>
      <w:r>
        <w:rPr>
          <w:rFonts w:hint="eastAsia" w:ascii="宋体" w:hAnsi="宋体" w:cs="宋体"/>
          <w:kern w:val="0"/>
          <w:sz w:val="22"/>
          <w:szCs w:val="22"/>
          <w:highlight w:val="none"/>
          <w:lang w:eastAsia="zh-CN"/>
        </w:rPr>
        <w:t>俞先生</w:t>
      </w:r>
    </w:p>
    <w:p w14:paraId="78CED9EA">
      <w:pPr>
        <w:widowControl/>
        <w:spacing w:line="440" w:lineRule="exact"/>
        <w:ind w:firstLine="440" w:firstLineChars="200"/>
        <w:jc w:val="left"/>
        <w:rPr>
          <w:rFonts w:hint="eastAsia" w:ascii="宋体" w:hAnsi="宋体" w:eastAsia="宋体" w:cs="宋体"/>
          <w:kern w:val="0"/>
          <w:sz w:val="22"/>
          <w:szCs w:val="22"/>
          <w:highlight w:val="none"/>
          <w:lang w:eastAsia="zh-CN"/>
        </w:rPr>
      </w:pPr>
      <w:r>
        <w:rPr>
          <w:rFonts w:hint="eastAsia" w:ascii="宋体" w:hAnsi="宋体" w:cs="宋体"/>
          <w:kern w:val="0"/>
          <w:sz w:val="22"/>
          <w:szCs w:val="22"/>
          <w:highlight w:val="none"/>
        </w:rPr>
        <w:t>质疑联系方式：</w:t>
      </w:r>
      <w:r>
        <w:rPr>
          <w:rFonts w:hint="eastAsia" w:ascii="宋体" w:hAnsi="宋体" w:cs="宋体"/>
          <w:kern w:val="0"/>
          <w:sz w:val="22"/>
          <w:szCs w:val="22"/>
          <w:highlight w:val="none"/>
          <w:lang w:eastAsia="zh-CN"/>
        </w:rPr>
        <w:t>0577-88529730</w:t>
      </w:r>
    </w:p>
    <w:p w14:paraId="7A942FA1">
      <w:pPr>
        <w:widowControl/>
        <w:spacing w:line="440" w:lineRule="exact"/>
        <w:ind w:firstLine="440" w:firstLineChars="200"/>
        <w:jc w:val="left"/>
        <w:rPr>
          <w:rFonts w:hint="eastAsia" w:ascii="宋体" w:hAnsi="宋体" w:cs="宋体"/>
          <w:kern w:val="0"/>
          <w:sz w:val="22"/>
          <w:szCs w:val="22"/>
          <w:highlight w:val="none"/>
          <w:lang w:eastAsia="zh-CN"/>
        </w:rPr>
      </w:pPr>
      <w:r>
        <w:rPr>
          <w:rFonts w:hint="eastAsia" w:ascii="宋体" w:hAnsi="宋体" w:cs="宋体"/>
          <w:kern w:val="0"/>
          <w:sz w:val="22"/>
          <w:szCs w:val="22"/>
          <w:highlight w:val="none"/>
        </w:rPr>
        <w:t>2、采购代理机构</w:t>
      </w:r>
      <w:r>
        <w:rPr>
          <w:rFonts w:ascii="宋体" w:hAnsi="宋体" w:cs="宋体"/>
          <w:kern w:val="0"/>
          <w:sz w:val="22"/>
          <w:szCs w:val="22"/>
          <w:highlight w:val="none"/>
        </w:rPr>
        <w:t>：</w:t>
      </w:r>
      <w:r>
        <w:rPr>
          <w:rFonts w:hint="eastAsia" w:ascii="宋体" w:hAnsi="宋体" w:cs="宋体"/>
          <w:kern w:val="0"/>
          <w:sz w:val="22"/>
          <w:szCs w:val="22"/>
          <w:highlight w:val="none"/>
          <w:lang w:eastAsia="zh-CN"/>
        </w:rPr>
        <w:t>浙江华浦工程管理有限公司</w:t>
      </w:r>
    </w:p>
    <w:p w14:paraId="3BD2B84D">
      <w:pPr>
        <w:widowControl/>
        <w:spacing w:line="440" w:lineRule="exact"/>
        <w:ind w:firstLine="440" w:firstLineChars="200"/>
        <w:jc w:val="left"/>
        <w:rPr>
          <w:rFonts w:hint="eastAsia" w:ascii="宋体" w:hAnsi="宋体" w:cs="宋体"/>
          <w:kern w:val="0"/>
          <w:sz w:val="22"/>
          <w:szCs w:val="22"/>
          <w:highlight w:val="none"/>
          <w:lang w:eastAsia="zh-CN"/>
        </w:rPr>
      </w:pPr>
      <w:r>
        <w:rPr>
          <w:rFonts w:hint="eastAsia" w:ascii="宋体" w:hAnsi="宋体" w:cs="宋体"/>
          <w:kern w:val="0"/>
          <w:sz w:val="22"/>
          <w:szCs w:val="22"/>
          <w:highlight w:val="none"/>
        </w:rPr>
        <w:t>采购代理机构地址：</w:t>
      </w:r>
      <w:r>
        <w:rPr>
          <w:rFonts w:hint="eastAsia" w:ascii="宋体" w:hAnsi="宋体" w:cs="宋体"/>
          <w:kern w:val="0"/>
          <w:sz w:val="22"/>
          <w:szCs w:val="22"/>
          <w:highlight w:val="none"/>
          <w:lang w:eastAsia="zh-CN"/>
        </w:rPr>
        <w:t>温州市高昂路1号牛山广场2号楼502室</w:t>
      </w:r>
    </w:p>
    <w:p w14:paraId="71EE17C7">
      <w:pPr>
        <w:widowControl/>
        <w:spacing w:line="440" w:lineRule="exact"/>
        <w:ind w:firstLine="440" w:firstLineChars="200"/>
        <w:jc w:val="left"/>
        <w:rPr>
          <w:rFonts w:hint="eastAsia" w:ascii="宋体" w:hAnsi="宋体" w:cs="宋体"/>
          <w:kern w:val="0"/>
          <w:sz w:val="22"/>
          <w:szCs w:val="22"/>
          <w:highlight w:val="none"/>
        </w:rPr>
      </w:pPr>
      <w:r>
        <w:rPr>
          <w:rFonts w:hint="eastAsia" w:ascii="宋体" w:hAnsi="宋体" w:cs="宋体"/>
          <w:kern w:val="0"/>
          <w:sz w:val="22"/>
          <w:szCs w:val="22"/>
          <w:highlight w:val="none"/>
        </w:rPr>
        <w:t>项目联系人（询问）：洪先生</w:t>
      </w:r>
    </w:p>
    <w:p w14:paraId="080BEA2B">
      <w:pPr>
        <w:widowControl/>
        <w:spacing w:line="440" w:lineRule="exact"/>
        <w:ind w:firstLine="440" w:firstLineChars="200"/>
        <w:jc w:val="left"/>
        <w:rPr>
          <w:rFonts w:hint="eastAsia" w:ascii="宋体" w:hAnsi="宋体" w:eastAsia="宋体" w:cs="宋体"/>
          <w:kern w:val="0"/>
          <w:sz w:val="22"/>
          <w:szCs w:val="22"/>
          <w:highlight w:val="none"/>
          <w:lang w:eastAsia="zh-CN"/>
        </w:rPr>
      </w:pPr>
      <w:r>
        <w:rPr>
          <w:rFonts w:hint="eastAsia" w:ascii="宋体" w:hAnsi="宋体" w:cs="宋体"/>
          <w:kern w:val="0"/>
          <w:sz w:val="22"/>
          <w:szCs w:val="22"/>
          <w:highlight w:val="none"/>
        </w:rPr>
        <w:t>项目联系方式（询问）：</w:t>
      </w:r>
      <w:r>
        <w:rPr>
          <w:rFonts w:hint="eastAsia" w:ascii="宋体" w:hAnsi="宋体" w:cs="宋体"/>
          <w:kern w:val="0"/>
          <w:sz w:val="22"/>
          <w:szCs w:val="22"/>
          <w:highlight w:val="none"/>
          <w:lang w:eastAsia="zh-CN"/>
        </w:rPr>
        <w:t>13353307923</w:t>
      </w:r>
    </w:p>
    <w:p w14:paraId="2069A59D">
      <w:pPr>
        <w:widowControl/>
        <w:spacing w:line="440" w:lineRule="exact"/>
        <w:ind w:firstLine="440" w:firstLineChars="200"/>
        <w:jc w:val="left"/>
        <w:rPr>
          <w:rFonts w:hint="eastAsia" w:ascii="宋体" w:hAnsi="宋体" w:cs="宋体"/>
          <w:kern w:val="0"/>
          <w:sz w:val="22"/>
          <w:szCs w:val="22"/>
          <w:highlight w:val="none"/>
        </w:rPr>
      </w:pPr>
      <w:r>
        <w:rPr>
          <w:rFonts w:hint="eastAsia" w:ascii="宋体" w:hAnsi="宋体" w:cs="宋体"/>
          <w:kern w:val="0"/>
          <w:sz w:val="22"/>
          <w:szCs w:val="22"/>
          <w:highlight w:val="none"/>
        </w:rPr>
        <w:t>质疑联系人：</w:t>
      </w:r>
      <w:r>
        <w:rPr>
          <w:rFonts w:hint="eastAsia" w:ascii="宋体" w:hAnsi="宋体" w:cs="宋体"/>
          <w:kern w:val="0"/>
          <w:sz w:val="22"/>
          <w:szCs w:val="22"/>
          <w:highlight w:val="none"/>
          <w:lang w:val="en-US" w:eastAsia="zh-CN"/>
        </w:rPr>
        <w:t>潘女士</w:t>
      </w:r>
    </w:p>
    <w:p w14:paraId="44DC27F0">
      <w:pPr>
        <w:widowControl/>
        <w:spacing w:line="440" w:lineRule="exact"/>
        <w:ind w:firstLine="440" w:firstLineChars="200"/>
        <w:jc w:val="left"/>
        <w:rPr>
          <w:rFonts w:hint="default" w:ascii="宋体" w:hAnsi="宋体" w:cs="宋体"/>
          <w:kern w:val="0"/>
          <w:sz w:val="22"/>
          <w:szCs w:val="22"/>
          <w:highlight w:val="none"/>
          <w:lang w:val="en-US"/>
        </w:rPr>
      </w:pPr>
      <w:r>
        <w:rPr>
          <w:rFonts w:hint="eastAsia" w:ascii="宋体" w:hAnsi="宋体" w:cs="宋体"/>
          <w:kern w:val="0"/>
          <w:sz w:val="22"/>
          <w:szCs w:val="22"/>
          <w:highlight w:val="none"/>
        </w:rPr>
        <w:t>质疑联系方式：</w:t>
      </w:r>
      <w:r>
        <w:rPr>
          <w:rFonts w:hint="eastAsia" w:ascii="宋体" w:hAnsi="宋体" w:cs="宋体"/>
          <w:kern w:val="0"/>
          <w:sz w:val="22"/>
          <w:szCs w:val="22"/>
          <w:highlight w:val="none"/>
          <w:lang w:val="en-US" w:eastAsia="zh-CN"/>
        </w:rPr>
        <w:t>18357792392</w:t>
      </w:r>
    </w:p>
    <w:bookmarkEnd w:id="11"/>
    <w:p w14:paraId="6AB8D08E">
      <w:pPr>
        <w:widowControl/>
        <w:spacing w:line="440" w:lineRule="exact"/>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3、同级政府采购监管管理部门：</w:t>
      </w:r>
      <w:r>
        <w:rPr>
          <w:rFonts w:hint="eastAsia" w:ascii="新宋体" w:hAnsi="新宋体" w:eastAsia="新宋体" w:cs="新宋体"/>
          <w:color w:val="auto"/>
          <w:sz w:val="22"/>
          <w:szCs w:val="22"/>
          <w:highlight w:val="none"/>
        </w:rPr>
        <w:t>温州市瓯海区财政局</w:t>
      </w:r>
    </w:p>
    <w:p w14:paraId="4F25CB33">
      <w:pPr>
        <w:widowControl/>
        <w:spacing w:line="440" w:lineRule="exact"/>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联系人：</w:t>
      </w:r>
      <w:r>
        <w:rPr>
          <w:rFonts w:hint="eastAsia" w:ascii="新宋体" w:hAnsi="新宋体" w:eastAsia="新宋体" w:cs="新宋体"/>
          <w:color w:val="auto"/>
          <w:sz w:val="22"/>
          <w:szCs w:val="22"/>
          <w:highlight w:val="none"/>
        </w:rPr>
        <w:t>徐先生</w:t>
      </w:r>
    </w:p>
    <w:p w14:paraId="77F147C7">
      <w:pPr>
        <w:widowControl/>
        <w:spacing w:line="440" w:lineRule="exact"/>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联系方式：0577-88522238</w:t>
      </w:r>
    </w:p>
    <w:p w14:paraId="57C52F66">
      <w:pPr>
        <w:widowControl/>
        <w:spacing w:line="440" w:lineRule="exact"/>
        <w:ind w:firstLine="440" w:firstLineChars="200"/>
        <w:jc w:val="left"/>
        <w:rPr>
          <w:rFonts w:ascii="宋体" w:hAnsi="宋体" w:cs="宋体"/>
          <w:kern w:val="0"/>
          <w:sz w:val="22"/>
          <w:szCs w:val="22"/>
          <w:highlight w:val="none"/>
        </w:rPr>
      </w:pPr>
    </w:p>
    <w:p w14:paraId="6F14D640">
      <w:pPr>
        <w:widowControl/>
        <w:spacing w:line="360" w:lineRule="auto"/>
        <w:ind w:firstLine="440" w:firstLineChars="200"/>
        <w:jc w:val="right"/>
        <w:rPr>
          <w:rFonts w:hint="eastAsia" w:ascii="宋体" w:hAnsi="宋体" w:eastAsia="宋体"/>
          <w:kern w:val="0"/>
          <w:sz w:val="22"/>
          <w:szCs w:val="22"/>
          <w:highlight w:val="none"/>
          <w:lang w:eastAsia="zh-CN"/>
        </w:rPr>
      </w:pPr>
      <w:r>
        <w:rPr>
          <w:rFonts w:hint="eastAsia" w:ascii="宋体" w:hAnsi="宋体"/>
          <w:kern w:val="0"/>
          <w:sz w:val="22"/>
          <w:szCs w:val="22"/>
          <w:highlight w:val="none"/>
          <w:lang w:eastAsia="zh-CN"/>
        </w:rPr>
        <w:t>温州市瓯海区农业农村局</w:t>
      </w:r>
    </w:p>
    <w:p w14:paraId="0D6C36BC">
      <w:pPr>
        <w:widowControl/>
        <w:spacing w:line="360" w:lineRule="auto"/>
        <w:ind w:firstLine="440" w:firstLineChars="200"/>
        <w:jc w:val="right"/>
        <w:rPr>
          <w:rFonts w:hint="eastAsia" w:ascii="宋体" w:hAnsi="宋体" w:eastAsia="宋体"/>
          <w:kern w:val="0"/>
          <w:sz w:val="22"/>
          <w:szCs w:val="22"/>
          <w:highlight w:val="none"/>
          <w:lang w:eastAsia="zh-CN"/>
        </w:rPr>
      </w:pPr>
      <w:r>
        <w:rPr>
          <w:rFonts w:hint="eastAsia" w:ascii="宋体" w:hAnsi="宋体"/>
          <w:kern w:val="0"/>
          <w:sz w:val="22"/>
          <w:szCs w:val="22"/>
          <w:highlight w:val="none"/>
          <w:lang w:eastAsia="zh-CN"/>
        </w:rPr>
        <w:t>浙江华浦工程管理有限公司</w:t>
      </w:r>
    </w:p>
    <w:bookmarkEnd w:id="12"/>
    <w:p w14:paraId="0B7C89EA">
      <w:pPr>
        <w:widowControl/>
        <w:spacing w:line="360" w:lineRule="auto"/>
        <w:ind w:firstLine="440" w:firstLineChars="200"/>
        <w:jc w:val="right"/>
        <w:rPr>
          <w:rFonts w:ascii="宋体" w:hAnsi="宋体"/>
          <w:kern w:val="0"/>
          <w:sz w:val="22"/>
          <w:szCs w:val="22"/>
          <w:highlight w:val="none"/>
        </w:rPr>
      </w:pPr>
      <w:r>
        <w:rPr>
          <w:rFonts w:hint="eastAsia" w:ascii="宋体" w:hAnsi="宋体"/>
          <w:kern w:val="0"/>
          <w:sz w:val="22"/>
          <w:szCs w:val="22"/>
          <w:highlight w:val="none"/>
        </w:rPr>
        <w:t>202</w:t>
      </w:r>
      <w:r>
        <w:rPr>
          <w:rFonts w:ascii="宋体" w:hAnsi="宋体"/>
          <w:kern w:val="0"/>
          <w:sz w:val="22"/>
          <w:szCs w:val="22"/>
          <w:highlight w:val="none"/>
        </w:rPr>
        <w:t>4</w:t>
      </w:r>
      <w:r>
        <w:rPr>
          <w:rFonts w:hint="eastAsia" w:ascii="宋体" w:hAnsi="宋体"/>
          <w:kern w:val="0"/>
          <w:sz w:val="22"/>
          <w:szCs w:val="22"/>
          <w:highlight w:val="none"/>
        </w:rPr>
        <w:t>年</w:t>
      </w:r>
      <w:r>
        <w:rPr>
          <w:rFonts w:hint="eastAsia" w:ascii="宋体" w:hAnsi="宋体"/>
          <w:kern w:val="0"/>
          <w:sz w:val="22"/>
          <w:szCs w:val="22"/>
          <w:highlight w:val="none"/>
          <w:lang w:val="en-US" w:eastAsia="zh-CN"/>
        </w:rPr>
        <w:t>09</w:t>
      </w:r>
      <w:r>
        <w:rPr>
          <w:rFonts w:hint="eastAsia" w:ascii="宋体" w:hAnsi="宋体"/>
          <w:kern w:val="0"/>
          <w:sz w:val="22"/>
          <w:szCs w:val="22"/>
          <w:highlight w:val="none"/>
        </w:rPr>
        <w:t>月</w:t>
      </w:r>
      <w:r>
        <w:rPr>
          <w:rFonts w:hint="eastAsia" w:ascii="宋体" w:hAnsi="宋体"/>
          <w:kern w:val="0"/>
          <w:sz w:val="22"/>
          <w:szCs w:val="22"/>
          <w:highlight w:val="none"/>
          <w:lang w:val="en-US" w:eastAsia="zh-CN"/>
        </w:rPr>
        <w:t>30</w:t>
      </w:r>
      <w:r>
        <w:rPr>
          <w:rFonts w:hint="eastAsia" w:ascii="宋体" w:hAnsi="宋体"/>
          <w:kern w:val="0"/>
          <w:sz w:val="22"/>
          <w:szCs w:val="22"/>
          <w:highlight w:val="none"/>
        </w:rPr>
        <w:t>日</w:t>
      </w:r>
    </w:p>
    <w:p w14:paraId="43C391A7">
      <w:pPr>
        <w:pStyle w:val="3"/>
        <w:spacing w:before="120" w:beforeLines="50"/>
        <w:rPr>
          <w:rFonts w:ascii="宋体" w:hAnsi="宋体" w:eastAsia="宋体" w:cs="Courier New"/>
          <w:sz w:val="36"/>
          <w:szCs w:val="36"/>
          <w:highlight w:val="none"/>
        </w:rPr>
      </w:pPr>
      <w:r>
        <w:rPr>
          <w:rFonts w:hint="eastAsia" w:ascii="宋体" w:hAnsi="宋体" w:eastAsia="宋体"/>
          <w:sz w:val="22"/>
          <w:szCs w:val="22"/>
          <w:highlight w:val="none"/>
        </w:rPr>
        <w:br w:type="page"/>
      </w:r>
      <w:bookmarkStart w:id="18" w:name="_Toc223933220"/>
      <w:bookmarkStart w:id="19" w:name="_Toc227056845"/>
      <w:bookmarkStart w:id="20" w:name="_Toc227057032"/>
      <w:bookmarkStart w:id="21" w:name="_Toc216667819"/>
      <w:bookmarkStart w:id="22" w:name="_Toc223717603"/>
      <w:bookmarkStart w:id="23" w:name="_Toc227489886"/>
      <w:bookmarkStart w:id="24" w:name="_Toc217460684"/>
      <w:bookmarkStart w:id="25" w:name="_Toc215415529"/>
      <w:bookmarkStart w:id="26" w:name="_Toc219538612"/>
      <w:bookmarkStart w:id="27" w:name="_Toc146181139"/>
      <w:bookmarkStart w:id="28" w:name="_Toc218041725"/>
      <w:r>
        <w:rPr>
          <w:rFonts w:hint="eastAsia" w:ascii="宋体" w:hAnsi="宋体" w:eastAsia="宋体" w:cs="Courier New"/>
          <w:sz w:val="36"/>
          <w:szCs w:val="36"/>
          <w:highlight w:val="none"/>
        </w:rPr>
        <w:t>第一部分  投标人须知</w:t>
      </w:r>
      <w:bookmarkEnd w:id="18"/>
      <w:bookmarkEnd w:id="19"/>
      <w:bookmarkEnd w:id="20"/>
      <w:bookmarkEnd w:id="21"/>
      <w:bookmarkEnd w:id="22"/>
      <w:bookmarkEnd w:id="23"/>
      <w:bookmarkEnd w:id="24"/>
      <w:bookmarkEnd w:id="25"/>
      <w:bookmarkEnd w:id="26"/>
      <w:bookmarkEnd w:id="27"/>
      <w:bookmarkEnd w:id="28"/>
    </w:p>
    <w:p w14:paraId="40B77D9F">
      <w:pPr>
        <w:pStyle w:val="4"/>
        <w:spacing w:line="400" w:lineRule="exact"/>
        <w:jc w:val="center"/>
        <w:rPr>
          <w:rFonts w:ascii="宋体" w:hAnsi="宋体" w:eastAsia="宋体" w:cs="Courier New"/>
          <w:highlight w:val="none"/>
        </w:rPr>
      </w:pPr>
      <w:bookmarkStart w:id="29" w:name="_Toc146181140"/>
      <w:bookmarkStart w:id="30" w:name="_Toc401243876"/>
      <w:bookmarkStart w:id="31" w:name="_Toc433729304"/>
      <w:bookmarkStart w:id="32" w:name="_Toc217460685"/>
      <w:bookmarkStart w:id="33" w:name="_Toc223933221"/>
      <w:bookmarkStart w:id="34" w:name="_Toc227489887"/>
      <w:bookmarkStart w:id="35" w:name="_Toc215415530"/>
      <w:bookmarkStart w:id="36" w:name="_Toc216667820"/>
      <w:bookmarkStart w:id="37" w:name="_Toc227056846"/>
      <w:bookmarkStart w:id="38" w:name="_Toc219538613"/>
      <w:bookmarkStart w:id="39" w:name="_Toc223717604"/>
      <w:bookmarkStart w:id="40" w:name="_Toc218041726"/>
      <w:bookmarkStart w:id="41" w:name="_Toc227057033"/>
      <w:r>
        <w:rPr>
          <w:rFonts w:hint="eastAsia" w:ascii="宋体" w:hAnsi="宋体" w:eastAsia="宋体" w:cs="Courier New"/>
          <w:highlight w:val="none"/>
        </w:rPr>
        <w:t>投标人须知前附表</w:t>
      </w:r>
      <w:bookmarkEnd w:id="29"/>
      <w:bookmarkEnd w:id="30"/>
      <w:bookmarkEnd w:id="31"/>
    </w:p>
    <w:tbl>
      <w:tblPr>
        <w:tblStyle w:val="40"/>
        <w:tblW w:w="10201" w:type="dxa"/>
        <w:jc w:val="center"/>
        <w:tblLayout w:type="fixed"/>
        <w:tblCellMar>
          <w:top w:w="0" w:type="dxa"/>
          <w:left w:w="108" w:type="dxa"/>
          <w:bottom w:w="0" w:type="dxa"/>
          <w:right w:w="108" w:type="dxa"/>
        </w:tblCellMar>
      </w:tblPr>
      <w:tblGrid>
        <w:gridCol w:w="562"/>
        <w:gridCol w:w="1843"/>
        <w:gridCol w:w="7796"/>
      </w:tblGrid>
      <w:tr w14:paraId="742BC99A">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5A5B2150">
            <w:pPr>
              <w:spacing w:line="360" w:lineRule="exact"/>
              <w:jc w:val="center"/>
              <w:rPr>
                <w:rFonts w:ascii="宋体" w:hAnsi="宋体" w:cs="楷体"/>
                <w:kern w:val="0"/>
                <w:sz w:val="22"/>
                <w:szCs w:val="22"/>
                <w:highlight w:val="none"/>
              </w:rPr>
            </w:pPr>
            <w:r>
              <w:rPr>
                <w:rFonts w:hint="eastAsia" w:ascii="宋体" w:hAnsi="宋体" w:cs="楷体"/>
                <w:kern w:val="0"/>
                <w:sz w:val="22"/>
                <w:szCs w:val="22"/>
                <w:highlight w:val="none"/>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7519F11F">
            <w:pPr>
              <w:spacing w:line="360" w:lineRule="exact"/>
              <w:jc w:val="center"/>
              <w:rPr>
                <w:rFonts w:ascii="宋体" w:hAnsi="宋体" w:cs="楷体"/>
                <w:kern w:val="0"/>
                <w:sz w:val="22"/>
                <w:szCs w:val="22"/>
                <w:highlight w:val="none"/>
              </w:rPr>
            </w:pPr>
            <w:r>
              <w:rPr>
                <w:rFonts w:hint="eastAsia" w:ascii="宋体" w:hAnsi="宋体" w:cs="楷体"/>
                <w:kern w:val="0"/>
                <w:sz w:val="22"/>
                <w:szCs w:val="22"/>
                <w:highlight w:val="none"/>
              </w:rPr>
              <w:t>条款名称</w:t>
            </w:r>
          </w:p>
        </w:tc>
        <w:tc>
          <w:tcPr>
            <w:tcW w:w="7796" w:type="dxa"/>
            <w:tcBorders>
              <w:top w:val="single" w:color="auto" w:sz="4" w:space="0"/>
              <w:left w:val="single" w:color="auto" w:sz="4" w:space="0"/>
              <w:bottom w:val="single" w:color="auto" w:sz="4" w:space="0"/>
              <w:right w:val="single" w:color="auto" w:sz="4" w:space="0"/>
            </w:tcBorders>
            <w:vAlign w:val="center"/>
          </w:tcPr>
          <w:p w14:paraId="7F442426">
            <w:pPr>
              <w:spacing w:line="360" w:lineRule="exact"/>
              <w:jc w:val="center"/>
              <w:rPr>
                <w:rFonts w:ascii="宋体" w:hAnsi="宋体" w:cs="楷体"/>
                <w:kern w:val="0"/>
                <w:sz w:val="22"/>
                <w:szCs w:val="22"/>
                <w:highlight w:val="none"/>
              </w:rPr>
            </w:pPr>
            <w:r>
              <w:rPr>
                <w:rFonts w:hint="eastAsia" w:ascii="宋体" w:hAnsi="宋体" w:cs="楷体"/>
                <w:kern w:val="0"/>
                <w:sz w:val="22"/>
                <w:szCs w:val="22"/>
                <w:highlight w:val="none"/>
              </w:rPr>
              <w:t>编列内容</w:t>
            </w:r>
          </w:p>
        </w:tc>
      </w:tr>
      <w:tr w14:paraId="35B6E023">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4EE20644">
            <w:pPr>
              <w:numPr>
                <w:ilvl w:val="0"/>
                <w:numId w:val="4"/>
              </w:numPr>
              <w:spacing w:line="360" w:lineRule="exact"/>
              <w:jc w:val="center"/>
              <w:rPr>
                <w:rFonts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50173924">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项目名称</w:t>
            </w:r>
          </w:p>
        </w:tc>
        <w:tc>
          <w:tcPr>
            <w:tcW w:w="7796" w:type="dxa"/>
            <w:tcBorders>
              <w:top w:val="single" w:color="auto" w:sz="4" w:space="0"/>
              <w:left w:val="single" w:color="auto" w:sz="4" w:space="0"/>
              <w:bottom w:val="single" w:color="auto" w:sz="4" w:space="0"/>
              <w:right w:val="single" w:color="auto" w:sz="4" w:space="0"/>
            </w:tcBorders>
            <w:vAlign w:val="center"/>
          </w:tcPr>
          <w:p w14:paraId="25F7FD23">
            <w:pPr>
              <w:spacing w:line="360" w:lineRule="exact"/>
              <w:rPr>
                <w:rFonts w:hint="eastAsia" w:ascii="宋体" w:hAnsi="宋体" w:eastAsia="宋体" w:cs="楷体"/>
                <w:kern w:val="0"/>
                <w:sz w:val="22"/>
                <w:szCs w:val="22"/>
                <w:highlight w:val="none"/>
                <w:lang w:eastAsia="zh-CN"/>
              </w:rPr>
            </w:pPr>
            <w:r>
              <w:rPr>
                <w:rFonts w:hint="eastAsia" w:ascii="宋体" w:hAnsi="宋体" w:cs="楷体"/>
                <w:kern w:val="0"/>
                <w:sz w:val="22"/>
                <w:szCs w:val="22"/>
                <w:highlight w:val="none"/>
                <w:lang w:eastAsia="zh-CN"/>
              </w:rPr>
              <w:t>2025年-2026年瓯海区农产品定量检测服务</w:t>
            </w:r>
          </w:p>
        </w:tc>
      </w:tr>
      <w:tr w14:paraId="58E57F34">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43C16FF0">
            <w:pPr>
              <w:numPr>
                <w:ilvl w:val="0"/>
                <w:numId w:val="4"/>
              </w:numPr>
              <w:spacing w:line="360" w:lineRule="exact"/>
              <w:jc w:val="center"/>
              <w:rPr>
                <w:rFonts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6EF02021">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项目编号</w:t>
            </w:r>
          </w:p>
        </w:tc>
        <w:tc>
          <w:tcPr>
            <w:tcW w:w="7796" w:type="dxa"/>
            <w:tcBorders>
              <w:top w:val="single" w:color="auto" w:sz="4" w:space="0"/>
              <w:left w:val="single" w:color="auto" w:sz="4" w:space="0"/>
              <w:bottom w:val="single" w:color="auto" w:sz="4" w:space="0"/>
              <w:right w:val="single" w:color="auto" w:sz="4" w:space="0"/>
            </w:tcBorders>
            <w:vAlign w:val="center"/>
          </w:tcPr>
          <w:p w14:paraId="0D0D78F1">
            <w:pPr>
              <w:spacing w:line="360" w:lineRule="exact"/>
              <w:rPr>
                <w:rFonts w:hint="eastAsia" w:ascii="宋体" w:hAnsi="宋体" w:eastAsia="宋体" w:cs="楷体"/>
                <w:kern w:val="0"/>
                <w:sz w:val="22"/>
                <w:szCs w:val="22"/>
                <w:highlight w:val="none"/>
                <w:lang w:eastAsia="zh-CN"/>
              </w:rPr>
            </w:pPr>
            <w:r>
              <w:rPr>
                <w:rFonts w:hint="eastAsia" w:ascii="宋体" w:hAnsi="宋体" w:cs="楷体"/>
                <w:sz w:val="22"/>
                <w:szCs w:val="22"/>
                <w:highlight w:val="none"/>
                <w:lang w:eastAsia="zh-CN"/>
              </w:rPr>
              <w:t>HP-DL-2024082716</w:t>
            </w:r>
          </w:p>
        </w:tc>
      </w:tr>
      <w:tr w14:paraId="773CC381">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774DDCEE">
            <w:pPr>
              <w:numPr>
                <w:ilvl w:val="0"/>
                <w:numId w:val="4"/>
              </w:numPr>
              <w:spacing w:line="360" w:lineRule="exact"/>
              <w:jc w:val="center"/>
              <w:rPr>
                <w:rFonts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01219E03">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项目性质</w:t>
            </w:r>
          </w:p>
        </w:tc>
        <w:tc>
          <w:tcPr>
            <w:tcW w:w="7796" w:type="dxa"/>
            <w:tcBorders>
              <w:top w:val="single" w:color="auto" w:sz="4" w:space="0"/>
              <w:left w:val="single" w:color="auto" w:sz="4" w:space="0"/>
              <w:bottom w:val="single" w:color="auto" w:sz="4" w:space="0"/>
              <w:right w:val="single" w:color="auto" w:sz="4" w:space="0"/>
            </w:tcBorders>
            <w:vAlign w:val="center"/>
          </w:tcPr>
          <w:p w14:paraId="01B77CD6">
            <w:pPr>
              <w:spacing w:line="360" w:lineRule="exact"/>
              <w:rPr>
                <w:rFonts w:ascii="宋体" w:hAnsi="宋体" w:cs="楷体"/>
                <w:sz w:val="22"/>
                <w:szCs w:val="22"/>
                <w:highlight w:val="none"/>
              </w:rPr>
            </w:pPr>
            <w:r>
              <w:rPr>
                <w:rFonts w:hint="eastAsia" w:ascii="宋体" w:hAnsi="宋体" w:cs="楷体"/>
                <w:sz w:val="22"/>
                <w:szCs w:val="22"/>
                <w:highlight w:val="none"/>
              </w:rPr>
              <w:t>政府采购（服务类）</w:t>
            </w:r>
          </w:p>
        </w:tc>
      </w:tr>
      <w:tr w14:paraId="6A25E065">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7125262E">
            <w:pPr>
              <w:numPr>
                <w:ilvl w:val="0"/>
                <w:numId w:val="4"/>
              </w:numPr>
              <w:spacing w:line="360" w:lineRule="exact"/>
              <w:jc w:val="center"/>
              <w:rPr>
                <w:rFonts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39369D09">
            <w:pPr>
              <w:spacing w:line="360" w:lineRule="exact"/>
              <w:rPr>
                <w:rFonts w:ascii="宋体" w:hAnsi="宋体" w:cs="楷体"/>
                <w:kern w:val="0"/>
                <w:sz w:val="22"/>
                <w:szCs w:val="22"/>
                <w:highlight w:val="none"/>
              </w:rPr>
            </w:pPr>
            <w:r>
              <w:rPr>
                <w:rFonts w:hint="eastAsia" w:ascii="宋体" w:hAnsi="宋体" w:cs="宋体"/>
                <w:kern w:val="0"/>
                <w:sz w:val="22"/>
                <w:szCs w:val="22"/>
                <w:highlight w:val="none"/>
              </w:rPr>
              <w:t>采购组织类型</w:t>
            </w:r>
          </w:p>
        </w:tc>
        <w:tc>
          <w:tcPr>
            <w:tcW w:w="7796" w:type="dxa"/>
            <w:tcBorders>
              <w:top w:val="single" w:color="auto" w:sz="4" w:space="0"/>
              <w:left w:val="single" w:color="auto" w:sz="4" w:space="0"/>
              <w:bottom w:val="single" w:color="auto" w:sz="4" w:space="0"/>
              <w:right w:val="single" w:color="auto" w:sz="4" w:space="0"/>
            </w:tcBorders>
            <w:vAlign w:val="center"/>
          </w:tcPr>
          <w:p w14:paraId="7F333284">
            <w:pPr>
              <w:spacing w:line="360" w:lineRule="exact"/>
              <w:rPr>
                <w:rFonts w:ascii="宋体" w:hAnsi="宋体"/>
                <w:sz w:val="22"/>
                <w:szCs w:val="22"/>
                <w:highlight w:val="none"/>
                <w:lang w:val="zh-CN"/>
              </w:rPr>
            </w:pPr>
            <w:r>
              <w:rPr>
                <w:rFonts w:hint="eastAsia" w:ascii="宋体" w:hAnsi="宋体" w:cs="宋体"/>
                <w:kern w:val="0"/>
                <w:sz w:val="22"/>
                <w:szCs w:val="22"/>
                <w:highlight w:val="none"/>
              </w:rPr>
              <w:t>分散采购-委托中介</w:t>
            </w:r>
          </w:p>
        </w:tc>
      </w:tr>
      <w:tr w14:paraId="0A6E5750">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4A1E7901">
            <w:pPr>
              <w:numPr>
                <w:ilvl w:val="0"/>
                <w:numId w:val="4"/>
              </w:numPr>
              <w:spacing w:line="360" w:lineRule="exact"/>
              <w:jc w:val="center"/>
              <w:rPr>
                <w:rFonts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0E14EDF0">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采购方式</w:t>
            </w:r>
          </w:p>
        </w:tc>
        <w:tc>
          <w:tcPr>
            <w:tcW w:w="7796" w:type="dxa"/>
            <w:tcBorders>
              <w:top w:val="single" w:color="auto" w:sz="4" w:space="0"/>
              <w:left w:val="single" w:color="auto" w:sz="4" w:space="0"/>
              <w:bottom w:val="single" w:color="auto" w:sz="4" w:space="0"/>
              <w:right w:val="single" w:color="auto" w:sz="4" w:space="0"/>
            </w:tcBorders>
            <w:vAlign w:val="center"/>
          </w:tcPr>
          <w:p w14:paraId="53F8CA1B">
            <w:pPr>
              <w:spacing w:line="360" w:lineRule="exact"/>
              <w:rPr>
                <w:rFonts w:ascii="宋体" w:hAnsi="宋体" w:cs="楷体"/>
                <w:sz w:val="22"/>
                <w:szCs w:val="22"/>
                <w:highlight w:val="none"/>
              </w:rPr>
            </w:pPr>
            <w:r>
              <w:rPr>
                <w:rFonts w:hint="eastAsia" w:ascii="宋体" w:hAnsi="宋体" w:cs="楷体"/>
                <w:sz w:val="22"/>
                <w:szCs w:val="22"/>
                <w:highlight w:val="none"/>
              </w:rPr>
              <w:t>公开招标（以招标公告的方式邀请非特定的供应商参加投标的采购方式）</w:t>
            </w:r>
          </w:p>
        </w:tc>
      </w:tr>
      <w:tr w14:paraId="2A22A406">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461841F3">
            <w:pPr>
              <w:numPr>
                <w:ilvl w:val="0"/>
                <w:numId w:val="4"/>
              </w:numPr>
              <w:spacing w:line="360" w:lineRule="exact"/>
              <w:jc w:val="center"/>
              <w:rPr>
                <w:rFonts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2BA6CF5C">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采购人</w:t>
            </w:r>
          </w:p>
        </w:tc>
        <w:tc>
          <w:tcPr>
            <w:tcW w:w="7796" w:type="dxa"/>
            <w:tcBorders>
              <w:top w:val="single" w:color="auto" w:sz="4" w:space="0"/>
              <w:left w:val="single" w:color="auto" w:sz="4" w:space="0"/>
              <w:bottom w:val="single" w:color="auto" w:sz="4" w:space="0"/>
              <w:right w:val="single" w:color="auto" w:sz="4" w:space="0"/>
            </w:tcBorders>
            <w:vAlign w:val="center"/>
          </w:tcPr>
          <w:p w14:paraId="396DCC39">
            <w:pPr>
              <w:spacing w:line="360" w:lineRule="exact"/>
              <w:rPr>
                <w:rFonts w:hint="eastAsia" w:ascii="宋体" w:hAnsi="宋体" w:eastAsia="宋体" w:cs="楷体"/>
                <w:sz w:val="22"/>
                <w:szCs w:val="22"/>
                <w:highlight w:val="none"/>
                <w:lang w:eastAsia="zh-CN"/>
              </w:rPr>
            </w:pPr>
            <w:r>
              <w:rPr>
                <w:rFonts w:hint="eastAsia" w:ascii="宋体" w:hAnsi="宋体" w:cs="楷体"/>
                <w:sz w:val="22"/>
                <w:szCs w:val="22"/>
                <w:highlight w:val="none"/>
              </w:rPr>
              <w:t>采购人名称：</w:t>
            </w:r>
            <w:r>
              <w:rPr>
                <w:rFonts w:hint="eastAsia" w:ascii="宋体" w:hAnsi="宋体" w:cs="楷体"/>
                <w:sz w:val="22"/>
                <w:szCs w:val="22"/>
                <w:highlight w:val="none"/>
                <w:lang w:eastAsia="zh-CN"/>
              </w:rPr>
              <w:t>温州市瓯海区农业农村局</w:t>
            </w:r>
          </w:p>
          <w:p w14:paraId="44406B57">
            <w:pPr>
              <w:spacing w:line="360" w:lineRule="exact"/>
              <w:rPr>
                <w:rFonts w:hint="eastAsia" w:ascii="宋体" w:hAnsi="宋体" w:eastAsia="宋体" w:cs="楷体"/>
                <w:sz w:val="22"/>
                <w:szCs w:val="22"/>
                <w:highlight w:val="none"/>
                <w:lang w:eastAsia="zh-CN"/>
              </w:rPr>
            </w:pPr>
            <w:r>
              <w:rPr>
                <w:rFonts w:hint="eastAsia" w:ascii="宋体" w:hAnsi="宋体" w:cs="楷体"/>
                <w:sz w:val="22"/>
                <w:szCs w:val="22"/>
                <w:highlight w:val="none"/>
              </w:rPr>
              <w:t>采购人地址：</w:t>
            </w:r>
            <w:r>
              <w:rPr>
                <w:rFonts w:hint="eastAsia" w:ascii="宋体" w:hAnsi="宋体" w:cs="楷体"/>
                <w:sz w:val="22"/>
                <w:szCs w:val="22"/>
                <w:highlight w:val="none"/>
                <w:lang w:eastAsia="zh-CN"/>
              </w:rPr>
              <w:t>温州市瓯海区行政管理中心2号楼10楼</w:t>
            </w:r>
          </w:p>
          <w:p w14:paraId="7662D121">
            <w:pPr>
              <w:spacing w:line="360" w:lineRule="exact"/>
              <w:rPr>
                <w:rFonts w:hint="eastAsia" w:ascii="宋体" w:hAnsi="宋体" w:eastAsia="宋体" w:cs="楷体"/>
                <w:sz w:val="22"/>
                <w:szCs w:val="22"/>
                <w:highlight w:val="none"/>
                <w:lang w:eastAsia="zh-CN"/>
              </w:rPr>
            </w:pPr>
            <w:r>
              <w:rPr>
                <w:rFonts w:hint="eastAsia" w:ascii="宋体" w:hAnsi="宋体" w:cs="楷体"/>
                <w:sz w:val="22"/>
                <w:szCs w:val="22"/>
                <w:highlight w:val="none"/>
              </w:rPr>
              <w:t>项目联系人（询问）：</w:t>
            </w:r>
            <w:r>
              <w:rPr>
                <w:rFonts w:hint="eastAsia" w:ascii="宋体" w:hAnsi="宋体" w:cs="楷体"/>
                <w:sz w:val="22"/>
                <w:szCs w:val="22"/>
                <w:highlight w:val="none"/>
                <w:lang w:eastAsia="zh-CN"/>
              </w:rPr>
              <w:t>俞先生</w:t>
            </w:r>
          </w:p>
          <w:p w14:paraId="47FDC7BD">
            <w:pPr>
              <w:spacing w:line="360" w:lineRule="exact"/>
              <w:rPr>
                <w:rFonts w:hint="eastAsia" w:ascii="宋体" w:hAnsi="宋体" w:eastAsia="宋体" w:cs="楷体"/>
                <w:sz w:val="22"/>
                <w:szCs w:val="22"/>
                <w:highlight w:val="none"/>
                <w:lang w:eastAsia="zh-CN"/>
              </w:rPr>
            </w:pPr>
            <w:r>
              <w:rPr>
                <w:rFonts w:hint="eastAsia" w:ascii="宋体" w:hAnsi="宋体" w:cs="楷体"/>
                <w:sz w:val="22"/>
                <w:szCs w:val="22"/>
                <w:highlight w:val="none"/>
              </w:rPr>
              <w:t>项目联系方式（询问）：</w:t>
            </w:r>
            <w:r>
              <w:rPr>
                <w:rFonts w:hint="eastAsia" w:ascii="宋体" w:hAnsi="宋体" w:cs="楷体"/>
                <w:sz w:val="22"/>
                <w:szCs w:val="22"/>
                <w:highlight w:val="none"/>
                <w:lang w:eastAsia="zh-CN"/>
              </w:rPr>
              <w:t>0577-88529730</w:t>
            </w:r>
          </w:p>
          <w:p w14:paraId="6DE47519">
            <w:pPr>
              <w:spacing w:line="360" w:lineRule="exact"/>
              <w:rPr>
                <w:rFonts w:hint="eastAsia" w:ascii="宋体" w:hAnsi="宋体" w:eastAsia="宋体" w:cs="楷体"/>
                <w:sz w:val="22"/>
                <w:szCs w:val="22"/>
                <w:highlight w:val="none"/>
                <w:lang w:eastAsia="zh-CN"/>
              </w:rPr>
            </w:pPr>
            <w:r>
              <w:rPr>
                <w:rFonts w:hint="eastAsia" w:ascii="宋体" w:hAnsi="宋体" w:cs="楷体"/>
                <w:sz w:val="22"/>
                <w:szCs w:val="22"/>
                <w:highlight w:val="none"/>
              </w:rPr>
              <w:t>质疑联系人：</w:t>
            </w:r>
            <w:r>
              <w:rPr>
                <w:rFonts w:hint="eastAsia" w:ascii="宋体" w:hAnsi="宋体" w:cs="楷体"/>
                <w:sz w:val="22"/>
                <w:szCs w:val="22"/>
                <w:highlight w:val="none"/>
                <w:lang w:eastAsia="zh-CN"/>
              </w:rPr>
              <w:t>俞先生</w:t>
            </w:r>
          </w:p>
          <w:p w14:paraId="706D3F4F">
            <w:pPr>
              <w:spacing w:line="360" w:lineRule="exact"/>
              <w:rPr>
                <w:rFonts w:hint="eastAsia" w:ascii="宋体" w:hAnsi="宋体" w:eastAsia="宋体" w:cs="楷体"/>
                <w:sz w:val="22"/>
                <w:szCs w:val="22"/>
                <w:highlight w:val="none"/>
                <w:lang w:eastAsia="zh-CN"/>
              </w:rPr>
            </w:pPr>
            <w:r>
              <w:rPr>
                <w:rFonts w:hint="eastAsia" w:ascii="宋体" w:hAnsi="宋体" w:cs="楷体"/>
                <w:sz w:val="22"/>
                <w:szCs w:val="22"/>
                <w:highlight w:val="none"/>
              </w:rPr>
              <w:t>质疑联系方式：</w:t>
            </w:r>
            <w:r>
              <w:rPr>
                <w:rFonts w:hint="eastAsia" w:ascii="宋体" w:hAnsi="宋体" w:cs="楷体"/>
                <w:sz w:val="22"/>
                <w:szCs w:val="22"/>
                <w:highlight w:val="none"/>
                <w:lang w:eastAsia="zh-CN"/>
              </w:rPr>
              <w:t>0577-88529730</w:t>
            </w:r>
          </w:p>
        </w:tc>
      </w:tr>
      <w:tr w14:paraId="27363E7A">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0DFB4A6E">
            <w:pPr>
              <w:numPr>
                <w:ilvl w:val="0"/>
                <w:numId w:val="4"/>
              </w:numPr>
              <w:spacing w:line="360" w:lineRule="exact"/>
              <w:jc w:val="center"/>
              <w:rPr>
                <w:rFonts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7C63260A">
            <w:pPr>
              <w:autoSpaceDE w:val="0"/>
              <w:autoSpaceDN w:val="0"/>
              <w:spacing w:line="360" w:lineRule="exact"/>
              <w:jc w:val="left"/>
              <w:rPr>
                <w:rFonts w:ascii="宋体" w:hAnsi="宋体" w:cs="楷体"/>
                <w:kern w:val="0"/>
                <w:sz w:val="22"/>
                <w:szCs w:val="22"/>
                <w:highlight w:val="none"/>
              </w:rPr>
            </w:pPr>
            <w:r>
              <w:rPr>
                <w:rFonts w:hint="eastAsia" w:ascii="宋体" w:hAnsi="宋体" w:eastAsia="宋体" w:cs="Times New Roman"/>
                <w:sz w:val="22"/>
                <w:szCs w:val="22"/>
                <w:highlight w:val="none"/>
                <w:lang w:val="zh-CN"/>
              </w:rPr>
              <w:t>采购代理机构</w:t>
            </w:r>
          </w:p>
        </w:tc>
        <w:tc>
          <w:tcPr>
            <w:tcW w:w="7796" w:type="dxa"/>
            <w:tcBorders>
              <w:top w:val="single" w:color="auto" w:sz="4" w:space="0"/>
              <w:left w:val="single" w:color="auto" w:sz="4" w:space="0"/>
              <w:bottom w:val="single" w:color="auto" w:sz="4" w:space="0"/>
              <w:right w:val="single" w:color="auto" w:sz="4" w:space="0"/>
            </w:tcBorders>
            <w:vAlign w:val="center"/>
          </w:tcPr>
          <w:p w14:paraId="5A41D829">
            <w:pPr>
              <w:spacing w:line="360" w:lineRule="exact"/>
              <w:rPr>
                <w:rFonts w:hint="eastAsia" w:ascii="宋体" w:hAnsi="宋体" w:cs="楷体"/>
                <w:kern w:val="0"/>
                <w:sz w:val="22"/>
                <w:szCs w:val="22"/>
                <w:highlight w:val="none"/>
                <w:lang w:eastAsia="zh-CN"/>
              </w:rPr>
            </w:pPr>
            <w:r>
              <w:rPr>
                <w:rFonts w:hint="eastAsia" w:ascii="宋体" w:hAnsi="宋体" w:cs="楷体"/>
                <w:kern w:val="0"/>
                <w:sz w:val="22"/>
                <w:szCs w:val="22"/>
                <w:highlight w:val="none"/>
              </w:rPr>
              <w:t>代理机构名称：</w:t>
            </w:r>
            <w:r>
              <w:rPr>
                <w:rFonts w:hint="eastAsia" w:ascii="宋体" w:hAnsi="宋体" w:cs="楷体"/>
                <w:kern w:val="0"/>
                <w:sz w:val="22"/>
                <w:szCs w:val="22"/>
                <w:highlight w:val="none"/>
                <w:lang w:eastAsia="zh-CN"/>
              </w:rPr>
              <w:t>浙江华浦工程管理有限公司</w:t>
            </w:r>
          </w:p>
          <w:p w14:paraId="73A4FF9F">
            <w:pPr>
              <w:spacing w:line="360" w:lineRule="exact"/>
              <w:rPr>
                <w:rFonts w:hint="eastAsia" w:ascii="宋体" w:hAnsi="宋体" w:cs="楷体"/>
                <w:kern w:val="0"/>
                <w:sz w:val="22"/>
                <w:szCs w:val="22"/>
                <w:highlight w:val="none"/>
                <w:lang w:eastAsia="zh-CN"/>
              </w:rPr>
            </w:pPr>
            <w:r>
              <w:rPr>
                <w:rFonts w:hint="eastAsia" w:ascii="宋体" w:hAnsi="宋体" w:cs="楷体"/>
                <w:kern w:val="0"/>
                <w:sz w:val="22"/>
                <w:szCs w:val="22"/>
                <w:highlight w:val="none"/>
              </w:rPr>
              <w:t>代理机构地址：</w:t>
            </w:r>
            <w:r>
              <w:rPr>
                <w:rFonts w:hint="eastAsia" w:ascii="宋体" w:hAnsi="宋体" w:cs="楷体"/>
                <w:kern w:val="0"/>
                <w:sz w:val="22"/>
                <w:szCs w:val="22"/>
                <w:highlight w:val="none"/>
                <w:lang w:eastAsia="zh-CN"/>
              </w:rPr>
              <w:t>温州市高昂路1号牛山广场2号楼502室</w:t>
            </w:r>
          </w:p>
          <w:p w14:paraId="72E2F3FA">
            <w:pPr>
              <w:spacing w:line="360" w:lineRule="exact"/>
              <w:rPr>
                <w:rFonts w:hint="eastAsia" w:ascii="宋体" w:hAnsi="宋体" w:cs="楷体"/>
                <w:kern w:val="0"/>
                <w:sz w:val="22"/>
                <w:szCs w:val="22"/>
                <w:highlight w:val="none"/>
              </w:rPr>
            </w:pPr>
            <w:r>
              <w:rPr>
                <w:rFonts w:hint="eastAsia" w:ascii="宋体" w:hAnsi="宋体" w:cs="楷体"/>
                <w:kern w:val="0"/>
                <w:sz w:val="22"/>
                <w:szCs w:val="22"/>
                <w:highlight w:val="none"/>
              </w:rPr>
              <w:t>项目联系人（询问）：洪先生</w:t>
            </w:r>
          </w:p>
          <w:p w14:paraId="68A2357F">
            <w:pPr>
              <w:spacing w:line="360" w:lineRule="exact"/>
              <w:rPr>
                <w:rFonts w:hint="eastAsia" w:ascii="宋体" w:hAnsi="宋体" w:eastAsia="宋体" w:cs="楷体"/>
                <w:kern w:val="0"/>
                <w:sz w:val="22"/>
                <w:szCs w:val="22"/>
                <w:highlight w:val="none"/>
                <w:lang w:eastAsia="zh-CN"/>
              </w:rPr>
            </w:pPr>
            <w:r>
              <w:rPr>
                <w:rFonts w:hint="eastAsia" w:ascii="宋体" w:hAnsi="宋体" w:cs="楷体"/>
                <w:kern w:val="0"/>
                <w:sz w:val="22"/>
                <w:szCs w:val="22"/>
                <w:highlight w:val="none"/>
              </w:rPr>
              <w:t>项目联系方式（询问）：</w:t>
            </w:r>
            <w:r>
              <w:rPr>
                <w:rFonts w:hint="eastAsia" w:ascii="宋体" w:hAnsi="宋体" w:cs="楷体"/>
                <w:kern w:val="0"/>
                <w:sz w:val="22"/>
                <w:szCs w:val="22"/>
                <w:highlight w:val="none"/>
                <w:lang w:eastAsia="zh-CN"/>
              </w:rPr>
              <w:t>13353307923</w:t>
            </w:r>
          </w:p>
          <w:p w14:paraId="5E7040AF">
            <w:pPr>
              <w:spacing w:line="360" w:lineRule="exact"/>
              <w:rPr>
                <w:rFonts w:hint="default" w:ascii="宋体" w:hAnsi="宋体" w:cs="楷体"/>
                <w:kern w:val="0"/>
                <w:sz w:val="22"/>
                <w:szCs w:val="22"/>
                <w:highlight w:val="none"/>
                <w:lang w:val="en-US" w:eastAsia="zh-CN"/>
              </w:rPr>
            </w:pPr>
            <w:r>
              <w:rPr>
                <w:rFonts w:hint="eastAsia" w:ascii="宋体" w:hAnsi="宋体" w:cs="楷体"/>
                <w:kern w:val="0"/>
                <w:sz w:val="22"/>
                <w:szCs w:val="22"/>
                <w:highlight w:val="none"/>
              </w:rPr>
              <w:t>质疑联系人：</w:t>
            </w:r>
            <w:r>
              <w:rPr>
                <w:rFonts w:hint="eastAsia" w:ascii="宋体" w:hAnsi="宋体" w:cs="楷体"/>
                <w:kern w:val="0"/>
                <w:sz w:val="22"/>
                <w:szCs w:val="22"/>
                <w:highlight w:val="none"/>
                <w:lang w:val="en-US" w:eastAsia="zh-CN"/>
              </w:rPr>
              <w:t>潘女士</w:t>
            </w:r>
          </w:p>
          <w:p w14:paraId="55CB66F8">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质疑联系方式：</w:t>
            </w:r>
            <w:r>
              <w:rPr>
                <w:rFonts w:hint="eastAsia" w:ascii="宋体" w:hAnsi="宋体" w:cs="楷体"/>
                <w:kern w:val="0"/>
                <w:sz w:val="22"/>
                <w:szCs w:val="22"/>
                <w:highlight w:val="none"/>
                <w:lang w:val="en-US" w:eastAsia="zh-CN"/>
              </w:rPr>
              <w:t>18357792392</w:t>
            </w:r>
          </w:p>
        </w:tc>
      </w:tr>
      <w:tr w14:paraId="60D9A8E0">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67078697">
            <w:pPr>
              <w:numPr>
                <w:ilvl w:val="0"/>
                <w:numId w:val="4"/>
              </w:numPr>
              <w:spacing w:line="360" w:lineRule="exact"/>
              <w:jc w:val="center"/>
              <w:rPr>
                <w:rFonts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26C33882">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投标人资格要求</w:t>
            </w:r>
          </w:p>
        </w:tc>
        <w:tc>
          <w:tcPr>
            <w:tcW w:w="7796" w:type="dxa"/>
            <w:tcBorders>
              <w:top w:val="single" w:color="auto" w:sz="4" w:space="0"/>
              <w:left w:val="single" w:color="auto" w:sz="4" w:space="0"/>
              <w:bottom w:val="single" w:color="auto" w:sz="4" w:space="0"/>
              <w:right w:val="single" w:color="auto" w:sz="4" w:space="0"/>
            </w:tcBorders>
            <w:vAlign w:val="center"/>
          </w:tcPr>
          <w:p w14:paraId="2A5B8B0D">
            <w:pPr>
              <w:spacing w:line="360" w:lineRule="exact"/>
              <w:rPr>
                <w:rFonts w:ascii="宋体" w:hAnsi="宋体" w:cs="楷体"/>
                <w:kern w:val="0"/>
                <w:sz w:val="22"/>
                <w:szCs w:val="22"/>
                <w:highlight w:val="none"/>
              </w:rPr>
            </w:pPr>
            <w:r>
              <w:rPr>
                <w:rFonts w:ascii="宋体" w:hAnsi="宋体" w:cs="楷体"/>
                <w:kern w:val="0"/>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4F23191">
            <w:pPr>
              <w:spacing w:line="360" w:lineRule="exact"/>
              <w:rPr>
                <w:rFonts w:ascii="宋体" w:hAnsi="宋体" w:cs="楷体"/>
                <w:kern w:val="0"/>
                <w:sz w:val="22"/>
                <w:szCs w:val="22"/>
                <w:highlight w:val="none"/>
              </w:rPr>
            </w:pPr>
            <w:r>
              <w:rPr>
                <w:rFonts w:ascii="宋体" w:hAnsi="宋体" w:cs="楷体"/>
                <w:kern w:val="0"/>
                <w:sz w:val="22"/>
                <w:szCs w:val="22"/>
                <w:highlight w:val="none"/>
              </w:rPr>
              <w:t>2、落实政府采购政策需满足的资格要求：</w:t>
            </w:r>
            <w:r>
              <w:rPr>
                <w:rFonts w:hint="eastAsia" w:ascii="宋体" w:hAnsi="宋体" w:cs="楷体"/>
                <w:kern w:val="0"/>
                <w:sz w:val="22"/>
                <w:szCs w:val="22"/>
                <w:highlight w:val="none"/>
                <w:lang w:eastAsia="zh-CN"/>
              </w:rPr>
              <w:t>无</w:t>
            </w:r>
            <w:r>
              <w:rPr>
                <w:rFonts w:hint="eastAsia" w:ascii="宋体" w:hAnsi="宋体" w:cs="宋体"/>
                <w:sz w:val="22"/>
                <w:highlight w:val="none"/>
              </w:rPr>
              <w:t>。</w:t>
            </w:r>
          </w:p>
          <w:p w14:paraId="2A6431DD">
            <w:pPr>
              <w:spacing w:line="360" w:lineRule="exact"/>
              <w:rPr>
                <w:rFonts w:ascii="宋体" w:hAnsi="宋体" w:cs="宋体"/>
                <w:kern w:val="0"/>
                <w:sz w:val="22"/>
                <w:szCs w:val="22"/>
                <w:highlight w:val="none"/>
              </w:rPr>
            </w:pPr>
            <w:r>
              <w:rPr>
                <w:rFonts w:ascii="宋体" w:hAnsi="宋体" w:cs="楷体"/>
                <w:kern w:val="0"/>
                <w:sz w:val="22"/>
                <w:szCs w:val="22"/>
                <w:highlight w:val="none"/>
              </w:rPr>
              <w:t>3、本项目的特定资格要求：无</w:t>
            </w:r>
            <w:r>
              <w:rPr>
                <w:rFonts w:hint="eastAsia" w:ascii="宋体" w:hAnsi="宋体" w:cs="楷体"/>
                <w:kern w:val="0"/>
                <w:sz w:val="22"/>
                <w:szCs w:val="22"/>
                <w:highlight w:val="none"/>
              </w:rPr>
              <w:t xml:space="preserve">。 </w:t>
            </w:r>
          </w:p>
        </w:tc>
      </w:tr>
      <w:tr w14:paraId="70E54BD8">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19307F0E">
            <w:pPr>
              <w:numPr>
                <w:ilvl w:val="0"/>
                <w:numId w:val="4"/>
              </w:numPr>
              <w:spacing w:line="360" w:lineRule="exact"/>
              <w:jc w:val="center"/>
              <w:rPr>
                <w:rFonts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74870237">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是否接受联合体投标</w:t>
            </w:r>
          </w:p>
        </w:tc>
        <w:tc>
          <w:tcPr>
            <w:tcW w:w="7796" w:type="dxa"/>
            <w:tcBorders>
              <w:top w:val="single" w:color="auto" w:sz="4" w:space="0"/>
              <w:left w:val="single" w:color="auto" w:sz="4" w:space="0"/>
              <w:bottom w:val="single" w:color="auto" w:sz="4" w:space="0"/>
              <w:right w:val="single" w:color="auto" w:sz="4" w:space="0"/>
            </w:tcBorders>
            <w:vAlign w:val="center"/>
          </w:tcPr>
          <w:p w14:paraId="7A6CF8C7">
            <w:pPr>
              <w:spacing w:line="360" w:lineRule="exact"/>
              <w:rPr>
                <w:rFonts w:ascii="宋体" w:hAnsi="宋体" w:cs="楷体"/>
                <w:kern w:val="0"/>
                <w:sz w:val="22"/>
                <w:szCs w:val="22"/>
                <w:highlight w:val="none"/>
              </w:rPr>
            </w:pPr>
            <w:r>
              <w:rPr>
                <w:rFonts w:hint="eastAsia" w:ascii="宋体" w:hAnsi="宋体" w:cs="楷体"/>
                <w:b/>
                <w:kern w:val="0"/>
                <w:sz w:val="22"/>
                <w:szCs w:val="22"/>
                <w:highlight w:val="none"/>
              </w:rPr>
              <w:sym w:font="Wingdings" w:char="F0FE"/>
            </w:r>
            <w:r>
              <w:rPr>
                <w:rFonts w:hint="eastAsia" w:ascii="宋体" w:hAnsi="宋体" w:cs="楷体"/>
                <w:b/>
                <w:kern w:val="0"/>
                <w:sz w:val="22"/>
                <w:szCs w:val="22"/>
                <w:highlight w:val="none"/>
              </w:rPr>
              <w:t>不接受。</w:t>
            </w:r>
          </w:p>
          <w:p w14:paraId="4190F3C9">
            <w:pPr>
              <w:spacing w:line="360" w:lineRule="exact"/>
              <w:rPr>
                <w:rFonts w:ascii="宋体" w:hAnsi="宋体"/>
                <w:highlight w:val="none"/>
              </w:rPr>
            </w:pPr>
            <w:r>
              <w:rPr>
                <w:rFonts w:hint="eastAsia" w:ascii="宋体" w:hAnsi="宋体" w:cs="楷体"/>
                <w:kern w:val="0"/>
                <w:sz w:val="22"/>
                <w:szCs w:val="22"/>
                <w:highlight w:val="none"/>
              </w:rPr>
              <w:t>理由：</w:t>
            </w:r>
            <w:r>
              <w:rPr>
                <w:rFonts w:ascii="宋体" w:hAnsi="宋体" w:cs="楷体"/>
                <w:kern w:val="0"/>
                <w:sz w:val="22"/>
                <w:szCs w:val="22"/>
                <w:highlight w:val="none"/>
              </w:rPr>
              <w:t>联合体涉及多个供应商，需要协调各方的资源、人员、质量和责任，这会增加项目的复杂性和不确定性，可能导致效率低下、沟通不畅、责任不清等问题</w:t>
            </w:r>
            <w:r>
              <w:rPr>
                <w:rFonts w:hint="eastAsia" w:ascii="宋体" w:hAnsi="宋体" w:cs="楷体"/>
                <w:kern w:val="0"/>
                <w:sz w:val="22"/>
                <w:szCs w:val="22"/>
                <w:highlight w:val="none"/>
              </w:rPr>
              <w:t>，</w:t>
            </w:r>
            <w:r>
              <w:rPr>
                <w:rFonts w:ascii="宋体" w:hAnsi="宋体" w:cs="楷体"/>
                <w:kern w:val="0"/>
                <w:sz w:val="22"/>
                <w:szCs w:val="22"/>
                <w:highlight w:val="none"/>
              </w:rPr>
              <w:t>影响项目的质量、效率和发展</w:t>
            </w:r>
            <w:r>
              <w:rPr>
                <w:rFonts w:hint="eastAsia" w:ascii="宋体" w:hAnsi="宋体" w:cs="楷体"/>
                <w:kern w:val="0"/>
                <w:sz w:val="22"/>
                <w:szCs w:val="22"/>
                <w:highlight w:val="none"/>
              </w:rPr>
              <w:t>。</w:t>
            </w:r>
          </w:p>
        </w:tc>
      </w:tr>
      <w:tr w14:paraId="6D9ECC2E">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279B97E7">
            <w:pPr>
              <w:numPr>
                <w:ilvl w:val="0"/>
                <w:numId w:val="4"/>
              </w:numPr>
              <w:spacing w:line="360" w:lineRule="exact"/>
              <w:jc w:val="center"/>
              <w:rPr>
                <w:rFonts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171F4B44">
            <w:pPr>
              <w:spacing w:line="360" w:lineRule="exact"/>
              <w:rPr>
                <w:rFonts w:ascii="宋体" w:hAnsi="宋体" w:cs="楷体"/>
                <w:kern w:val="0"/>
                <w:sz w:val="22"/>
                <w:szCs w:val="22"/>
                <w:highlight w:val="none"/>
              </w:rPr>
            </w:pPr>
            <w:r>
              <w:rPr>
                <w:rFonts w:hint="eastAsia" w:ascii="宋体" w:hAnsi="宋体" w:cs="Times New Roman"/>
                <w:sz w:val="22"/>
                <w:szCs w:val="22"/>
                <w:highlight w:val="none"/>
                <w:lang w:val="zh-CN"/>
              </w:rPr>
              <w:t>限制</w:t>
            </w:r>
            <w:r>
              <w:rPr>
                <w:rFonts w:hint="eastAsia" w:ascii="宋体" w:hAnsi="宋体"/>
                <w:sz w:val="22"/>
                <w:szCs w:val="22"/>
                <w:highlight w:val="none"/>
                <w:lang w:val="zh-CN"/>
              </w:rPr>
              <w:t>参加</w:t>
            </w:r>
            <w:r>
              <w:rPr>
                <w:rFonts w:hint="eastAsia" w:ascii="宋体" w:hAnsi="宋体" w:cs="Times New Roman"/>
                <w:sz w:val="22"/>
                <w:szCs w:val="22"/>
                <w:highlight w:val="none"/>
                <w:lang w:val="zh-CN"/>
              </w:rPr>
              <w:t>说明</w:t>
            </w:r>
          </w:p>
        </w:tc>
        <w:tc>
          <w:tcPr>
            <w:tcW w:w="7796" w:type="dxa"/>
            <w:tcBorders>
              <w:top w:val="single" w:color="auto" w:sz="4" w:space="0"/>
              <w:left w:val="single" w:color="auto" w:sz="4" w:space="0"/>
              <w:bottom w:val="single" w:color="auto" w:sz="4" w:space="0"/>
              <w:right w:val="single" w:color="auto" w:sz="4" w:space="0"/>
            </w:tcBorders>
            <w:vAlign w:val="center"/>
          </w:tcPr>
          <w:p w14:paraId="26973B15">
            <w:pPr>
              <w:spacing w:line="360" w:lineRule="exact"/>
              <w:rPr>
                <w:rFonts w:ascii="宋体" w:hAnsi="宋体" w:cs="楷体"/>
                <w:kern w:val="0"/>
                <w:sz w:val="22"/>
                <w:szCs w:val="22"/>
                <w:highlight w:val="none"/>
              </w:rPr>
            </w:pPr>
            <w:r>
              <w:rPr>
                <w:rFonts w:ascii="宋体" w:hAnsi="宋体" w:cs="楷体"/>
                <w:kern w:val="0"/>
                <w:sz w:val="22"/>
                <w:szCs w:val="22"/>
                <w:highlight w:val="none"/>
              </w:rPr>
              <w:t>1</w:t>
            </w:r>
            <w:r>
              <w:rPr>
                <w:rFonts w:hint="eastAsia" w:ascii="宋体" w:hAnsi="宋体" w:cs="楷体"/>
                <w:kern w:val="0"/>
                <w:sz w:val="22"/>
                <w:szCs w:val="22"/>
                <w:highlight w:val="none"/>
              </w:rPr>
              <w:t>、为采购项目提供整体设计、规范编制或者项目管理、监理、检测等服务的供应商，不得再参加该采购项目的其他采购活动。</w:t>
            </w:r>
          </w:p>
          <w:p w14:paraId="12C26422">
            <w:pPr>
              <w:spacing w:line="360" w:lineRule="exact"/>
              <w:rPr>
                <w:rFonts w:ascii="宋体" w:hAnsi="宋体" w:cs="楷体"/>
                <w:kern w:val="0"/>
                <w:sz w:val="22"/>
                <w:szCs w:val="22"/>
                <w:highlight w:val="none"/>
              </w:rPr>
            </w:pPr>
            <w:r>
              <w:rPr>
                <w:rFonts w:ascii="宋体" w:hAnsi="宋体" w:cs="楷体"/>
                <w:kern w:val="0"/>
                <w:sz w:val="22"/>
                <w:szCs w:val="22"/>
                <w:highlight w:val="none"/>
              </w:rPr>
              <w:t>2</w:t>
            </w:r>
            <w:r>
              <w:rPr>
                <w:rFonts w:hint="eastAsia" w:ascii="宋体" w:hAnsi="宋体" w:cs="楷体"/>
                <w:kern w:val="0"/>
                <w:sz w:val="22"/>
                <w:szCs w:val="22"/>
                <w:highlight w:val="none"/>
              </w:rPr>
              <w:t>、单位负责人为同一人或者存在直接控股、管理关系的不同供应商，不得参加同一合同项下的政府采购活动。</w:t>
            </w:r>
          </w:p>
          <w:p w14:paraId="4688151D">
            <w:pPr>
              <w:spacing w:line="360" w:lineRule="exact"/>
              <w:rPr>
                <w:rFonts w:ascii="宋体" w:hAnsi="宋体"/>
                <w:highlight w:val="none"/>
              </w:rPr>
            </w:pPr>
            <w:r>
              <w:rPr>
                <w:rFonts w:hint="eastAsia" w:ascii="宋体" w:hAnsi="宋体" w:cs="楷体"/>
                <w:kern w:val="0"/>
                <w:sz w:val="22"/>
                <w:szCs w:val="22"/>
                <w:highlight w:val="none"/>
              </w:rPr>
              <w:t>3、</w:t>
            </w:r>
            <w:r>
              <w:rPr>
                <w:rFonts w:ascii="宋体" w:hAnsi="宋体" w:cs="楷体"/>
                <w:kern w:val="0"/>
                <w:sz w:val="22"/>
                <w:szCs w:val="22"/>
                <w:highlight w:val="none"/>
              </w:rPr>
              <w:t>公益一类事业单位、使用事业编制且由财政拨款保障的群团组织，不作为政府购买服务的购买主体和承接主体（仅适用于政府购买服务项目）</w:t>
            </w:r>
            <w:r>
              <w:rPr>
                <w:rFonts w:hint="eastAsia" w:ascii="宋体" w:hAnsi="宋体" w:cs="楷体"/>
                <w:kern w:val="0"/>
                <w:sz w:val="22"/>
                <w:szCs w:val="22"/>
                <w:highlight w:val="none"/>
              </w:rPr>
              <w:t>。</w:t>
            </w:r>
          </w:p>
        </w:tc>
      </w:tr>
      <w:tr w14:paraId="02469E12">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000BE7F7">
            <w:pPr>
              <w:numPr>
                <w:ilvl w:val="0"/>
                <w:numId w:val="4"/>
              </w:numPr>
              <w:spacing w:line="360" w:lineRule="exact"/>
              <w:jc w:val="center"/>
              <w:rPr>
                <w:rFonts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63CEADE5">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现场考察</w:t>
            </w:r>
          </w:p>
        </w:tc>
        <w:tc>
          <w:tcPr>
            <w:tcW w:w="7796" w:type="dxa"/>
            <w:tcBorders>
              <w:top w:val="single" w:color="auto" w:sz="4" w:space="0"/>
              <w:left w:val="single" w:color="auto" w:sz="4" w:space="0"/>
              <w:bottom w:val="single" w:color="auto" w:sz="4" w:space="0"/>
              <w:right w:val="single" w:color="auto" w:sz="4" w:space="0"/>
            </w:tcBorders>
            <w:vAlign w:val="center"/>
          </w:tcPr>
          <w:p w14:paraId="0AF208C2">
            <w:pPr>
              <w:spacing w:line="360" w:lineRule="exact"/>
              <w:rPr>
                <w:rFonts w:ascii="宋体" w:hAnsi="宋体" w:cs="楷体"/>
                <w:kern w:val="0"/>
                <w:sz w:val="22"/>
                <w:szCs w:val="22"/>
                <w:highlight w:val="none"/>
              </w:rPr>
            </w:pPr>
            <w:r>
              <w:rPr>
                <w:rFonts w:hint="eastAsia" w:ascii="宋体" w:hAnsi="宋体" w:cs="楷体"/>
                <w:b/>
                <w:bCs/>
                <w:kern w:val="0"/>
                <w:sz w:val="22"/>
                <w:szCs w:val="22"/>
                <w:highlight w:val="none"/>
              </w:rPr>
              <w:sym w:font="Wingdings" w:char="F0FE"/>
            </w:r>
            <w:r>
              <w:rPr>
                <w:rFonts w:hint="eastAsia" w:ascii="宋体" w:hAnsi="宋体" w:cs="楷体"/>
                <w:kern w:val="0"/>
                <w:sz w:val="22"/>
                <w:szCs w:val="22"/>
                <w:highlight w:val="none"/>
              </w:rPr>
              <w:t>不组织，投标前，供应商可自行到项目所在地予以踏勘，对项目实施现场及周边环境等进行勘察，以获取编制投标文件和签署合同所需的所有资料，否则，由此所造成的一切后果由投标人自行承担。</w:t>
            </w:r>
          </w:p>
        </w:tc>
      </w:tr>
      <w:tr w14:paraId="0AC59CF9">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6A2AD6BA">
            <w:pPr>
              <w:numPr>
                <w:ilvl w:val="0"/>
                <w:numId w:val="4"/>
              </w:numPr>
              <w:spacing w:line="360" w:lineRule="exact"/>
              <w:jc w:val="center"/>
              <w:rPr>
                <w:rFonts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087C94A3">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开标前答疑会</w:t>
            </w:r>
          </w:p>
        </w:tc>
        <w:tc>
          <w:tcPr>
            <w:tcW w:w="7796" w:type="dxa"/>
            <w:tcBorders>
              <w:top w:val="single" w:color="auto" w:sz="4" w:space="0"/>
              <w:left w:val="single" w:color="auto" w:sz="4" w:space="0"/>
              <w:bottom w:val="single" w:color="auto" w:sz="4" w:space="0"/>
              <w:right w:val="single" w:color="auto" w:sz="4" w:space="0"/>
            </w:tcBorders>
            <w:vAlign w:val="center"/>
          </w:tcPr>
          <w:p w14:paraId="2E5EED62">
            <w:pPr>
              <w:spacing w:line="360" w:lineRule="exact"/>
              <w:rPr>
                <w:rFonts w:ascii="宋体" w:hAnsi="宋体" w:cs="楷体"/>
                <w:kern w:val="0"/>
                <w:sz w:val="22"/>
                <w:szCs w:val="22"/>
                <w:highlight w:val="none"/>
              </w:rPr>
            </w:pPr>
            <w:r>
              <w:rPr>
                <w:rFonts w:hint="eastAsia" w:ascii="宋体" w:hAnsi="宋体" w:cs="楷体"/>
                <w:b/>
                <w:snapToGrid w:val="0"/>
                <w:sz w:val="22"/>
                <w:szCs w:val="22"/>
                <w:highlight w:val="none"/>
              </w:rPr>
              <w:sym w:font="Wingdings" w:char="F0FE"/>
            </w:r>
            <w:r>
              <w:rPr>
                <w:rFonts w:hint="eastAsia" w:ascii="宋体" w:hAnsi="宋体" w:cs="楷体"/>
                <w:kern w:val="0"/>
                <w:sz w:val="22"/>
                <w:szCs w:val="22"/>
                <w:highlight w:val="none"/>
              </w:rPr>
              <w:t>不召开</w:t>
            </w:r>
          </w:p>
        </w:tc>
      </w:tr>
      <w:tr w14:paraId="2ACBFA04">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5A23C42A">
            <w:pPr>
              <w:numPr>
                <w:ilvl w:val="0"/>
                <w:numId w:val="4"/>
              </w:numPr>
              <w:spacing w:line="360" w:lineRule="exact"/>
              <w:jc w:val="center"/>
              <w:rPr>
                <w:rFonts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29295294">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投标保证金</w:t>
            </w:r>
          </w:p>
        </w:tc>
        <w:tc>
          <w:tcPr>
            <w:tcW w:w="7796" w:type="dxa"/>
            <w:tcBorders>
              <w:top w:val="single" w:color="auto" w:sz="4" w:space="0"/>
              <w:left w:val="single" w:color="auto" w:sz="4" w:space="0"/>
              <w:bottom w:val="single" w:color="auto" w:sz="4" w:space="0"/>
              <w:right w:val="single" w:color="auto" w:sz="4" w:space="0"/>
            </w:tcBorders>
            <w:vAlign w:val="center"/>
          </w:tcPr>
          <w:p w14:paraId="3151D102">
            <w:pPr>
              <w:widowControl/>
              <w:spacing w:line="360" w:lineRule="exact"/>
              <w:jc w:val="left"/>
              <w:rPr>
                <w:rFonts w:ascii="宋体" w:hAnsi="宋体" w:cs="宋体"/>
                <w:kern w:val="0"/>
                <w:sz w:val="22"/>
                <w:szCs w:val="22"/>
                <w:highlight w:val="none"/>
              </w:rPr>
            </w:pPr>
            <w:r>
              <w:rPr>
                <w:rFonts w:hint="eastAsia" w:ascii="宋体" w:hAnsi="宋体" w:cs="楷体"/>
                <w:b/>
                <w:kern w:val="0"/>
                <w:sz w:val="22"/>
                <w:szCs w:val="22"/>
                <w:highlight w:val="none"/>
              </w:rPr>
              <w:sym w:font="Wingdings" w:char="F0FE"/>
            </w:r>
            <w:r>
              <w:rPr>
                <w:rFonts w:hint="eastAsia" w:ascii="宋体" w:hAnsi="宋体" w:cs="楷体"/>
                <w:kern w:val="0"/>
                <w:sz w:val="22"/>
                <w:szCs w:val="22"/>
                <w:highlight w:val="none"/>
              </w:rPr>
              <w:t>不收取</w:t>
            </w:r>
          </w:p>
        </w:tc>
      </w:tr>
      <w:tr w14:paraId="07FF6F26">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6E433F72">
            <w:pPr>
              <w:numPr>
                <w:ilvl w:val="0"/>
                <w:numId w:val="4"/>
              </w:numPr>
              <w:spacing w:line="360" w:lineRule="exact"/>
              <w:jc w:val="center"/>
              <w:rPr>
                <w:rFonts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24E5EA02">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分包与转包</w:t>
            </w:r>
          </w:p>
        </w:tc>
        <w:tc>
          <w:tcPr>
            <w:tcW w:w="7796" w:type="dxa"/>
            <w:tcBorders>
              <w:top w:val="single" w:color="auto" w:sz="4" w:space="0"/>
              <w:left w:val="single" w:color="auto" w:sz="4" w:space="0"/>
              <w:bottom w:val="single" w:color="auto" w:sz="4" w:space="0"/>
              <w:right w:val="single" w:color="auto" w:sz="4" w:space="0"/>
            </w:tcBorders>
            <w:vAlign w:val="center"/>
          </w:tcPr>
          <w:p w14:paraId="234F104A">
            <w:pPr>
              <w:widowControl/>
              <w:spacing w:line="360" w:lineRule="exact"/>
              <w:jc w:val="left"/>
              <w:rPr>
                <w:rFonts w:ascii="宋体" w:hAnsi="宋体" w:cs="楷体"/>
                <w:kern w:val="0"/>
                <w:sz w:val="22"/>
                <w:szCs w:val="22"/>
                <w:highlight w:val="none"/>
              </w:rPr>
            </w:pPr>
            <w:r>
              <w:rPr>
                <w:rFonts w:hint="eastAsia" w:ascii="宋体" w:hAnsi="宋体" w:cs="楷体"/>
                <w:kern w:val="0"/>
                <w:sz w:val="22"/>
                <w:szCs w:val="22"/>
                <w:highlight w:val="none"/>
              </w:rPr>
              <w:t>1、分包：</w:t>
            </w:r>
            <w:r>
              <w:rPr>
                <w:rFonts w:hint="eastAsia" w:ascii="宋体" w:hAnsi="宋体" w:cs="楷体"/>
                <w:kern w:val="0"/>
                <w:sz w:val="22"/>
                <w:szCs w:val="22"/>
                <w:highlight w:val="none"/>
              </w:rPr>
              <w:sym w:font="Wingdings" w:char="00FE"/>
            </w:r>
            <w:r>
              <w:rPr>
                <w:rFonts w:hint="eastAsia" w:ascii="宋体" w:hAnsi="宋体" w:cs="楷体"/>
                <w:kern w:val="0"/>
                <w:sz w:val="22"/>
                <w:szCs w:val="22"/>
                <w:highlight w:val="none"/>
              </w:rPr>
              <w:t>不同意分包。</w:t>
            </w:r>
          </w:p>
          <w:p w14:paraId="2B30BE40">
            <w:pPr>
              <w:widowControl/>
              <w:spacing w:line="360" w:lineRule="exact"/>
              <w:jc w:val="left"/>
              <w:rPr>
                <w:rFonts w:ascii="宋体" w:hAnsi="宋体" w:cs="楷体"/>
                <w:b/>
                <w:kern w:val="0"/>
                <w:sz w:val="22"/>
                <w:szCs w:val="22"/>
                <w:highlight w:val="none"/>
              </w:rPr>
            </w:pPr>
            <w:r>
              <w:rPr>
                <w:rFonts w:hint="eastAsia" w:ascii="宋体" w:hAnsi="宋体" w:cs="楷体"/>
                <w:kern w:val="0"/>
                <w:sz w:val="22"/>
                <w:szCs w:val="22"/>
                <w:highlight w:val="none"/>
              </w:rPr>
              <w:t>2、转包：本项目不允许转包。</w:t>
            </w:r>
          </w:p>
        </w:tc>
      </w:tr>
      <w:tr w14:paraId="2A76A529">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0F112C45">
            <w:pPr>
              <w:numPr>
                <w:ilvl w:val="0"/>
                <w:numId w:val="4"/>
              </w:numPr>
              <w:spacing w:line="360" w:lineRule="exact"/>
              <w:jc w:val="center"/>
              <w:rPr>
                <w:rFonts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20DBFA1B">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核心产品</w:t>
            </w:r>
          </w:p>
        </w:tc>
        <w:tc>
          <w:tcPr>
            <w:tcW w:w="7796" w:type="dxa"/>
            <w:tcBorders>
              <w:top w:val="single" w:color="auto" w:sz="4" w:space="0"/>
              <w:left w:val="single" w:color="auto" w:sz="4" w:space="0"/>
              <w:bottom w:val="single" w:color="auto" w:sz="4" w:space="0"/>
              <w:right w:val="single" w:color="auto" w:sz="4" w:space="0"/>
            </w:tcBorders>
            <w:vAlign w:val="center"/>
          </w:tcPr>
          <w:p w14:paraId="3216A9A3">
            <w:pPr>
              <w:widowControl/>
              <w:spacing w:line="360" w:lineRule="exact"/>
              <w:jc w:val="left"/>
              <w:rPr>
                <w:rFonts w:ascii="宋体" w:hAnsi="宋体" w:cs="楷体"/>
                <w:kern w:val="0"/>
                <w:sz w:val="22"/>
                <w:szCs w:val="22"/>
                <w:highlight w:val="none"/>
              </w:rPr>
            </w:pPr>
            <w:r>
              <w:rPr>
                <w:rFonts w:hint="eastAsia" w:ascii="宋体" w:hAnsi="宋体" w:cs="仿宋"/>
                <w:kern w:val="0"/>
                <w:sz w:val="22"/>
                <w:szCs w:val="22"/>
                <w:highlight w:val="none"/>
              </w:rPr>
              <w:sym w:font="Wingdings" w:char="F0FE"/>
            </w:r>
            <w:r>
              <w:rPr>
                <w:rFonts w:hint="eastAsia" w:ascii="宋体" w:hAnsi="宋体" w:cs="楷体"/>
                <w:kern w:val="0"/>
                <w:sz w:val="22"/>
                <w:szCs w:val="22"/>
                <w:highlight w:val="none"/>
              </w:rPr>
              <w:t>不适用</w:t>
            </w:r>
          </w:p>
        </w:tc>
      </w:tr>
      <w:tr w14:paraId="48987C3B">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6D57CCBC">
            <w:pPr>
              <w:numPr>
                <w:ilvl w:val="0"/>
                <w:numId w:val="4"/>
              </w:numPr>
              <w:spacing w:line="360" w:lineRule="exact"/>
              <w:jc w:val="center"/>
              <w:rPr>
                <w:rFonts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5C563085">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样品提供</w:t>
            </w:r>
          </w:p>
        </w:tc>
        <w:tc>
          <w:tcPr>
            <w:tcW w:w="7796" w:type="dxa"/>
            <w:tcBorders>
              <w:top w:val="single" w:color="auto" w:sz="4" w:space="0"/>
              <w:left w:val="single" w:color="auto" w:sz="4" w:space="0"/>
              <w:bottom w:val="single" w:color="auto" w:sz="4" w:space="0"/>
              <w:right w:val="single" w:color="auto" w:sz="4" w:space="0"/>
            </w:tcBorders>
            <w:vAlign w:val="center"/>
          </w:tcPr>
          <w:p w14:paraId="719051A1">
            <w:pPr>
              <w:spacing w:line="360" w:lineRule="exact"/>
              <w:rPr>
                <w:rFonts w:ascii="宋体" w:hAnsi="宋体" w:cs="仿宋"/>
                <w:kern w:val="0"/>
                <w:sz w:val="22"/>
                <w:szCs w:val="22"/>
                <w:highlight w:val="none"/>
              </w:rPr>
            </w:pPr>
            <w:r>
              <w:rPr>
                <w:rFonts w:hint="eastAsia" w:ascii="宋体" w:hAnsi="宋体" w:cs="仿宋"/>
                <w:kern w:val="0"/>
                <w:sz w:val="22"/>
                <w:szCs w:val="22"/>
                <w:highlight w:val="none"/>
              </w:rPr>
              <w:sym w:font="Wingdings" w:char="F0FE"/>
            </w:r>
            <w:r>
              <w:rPr>
                <w:rFonts w:hint="eastAsia" w:ascii="宋体" w:hAnsi="宋体" w:cs="仿宋"/>
                <w:kern w:val="0"/>
                <w:sz w:val="22"/>
                <w:szCs w:val="22"/>
                <w:highlight w:val="none"/>
              </w:rPr>
              <w:t>不要求</w:t>
            </w:r>
          </w:p>
        </w:tc>
      </w:tr>
      <w:tr w14:paraId="6AB6CEA1">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1CE2CF42">
            <w:pPr>
              <w:numPr>
                <w:ilvl w:val="0"/>
                <w:numId w:val="4"/>
              </w:numPr>
              <w:spacing w:line="360" w:lineRule="exact"/>
              <w:jc w:val="center"/>
              <w:rPr>
                <w:rFonts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4435D910">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方案讲解演示</w:t>
            </w:r>
          </w:p>
        </w:tc>
        <w:tc>
          <w:tcPr>
            <w:tcW w:w="7796" w:type="dxa"/>
            <w:tcBorders>
              <w:top w:val="single" w:color="auto" w:sz="4" w:space="0"/>
              <w:left w:val="single" w:color="auto" w:sz="4" w:space="0"/>
              <w:bottom w:val="single" w:color="auto" w:sz="4" w:space="0"/>
              <w:right w:val="single" w:color="auto" w:sz="4" w:space="0"/>
            </w:tcBorders>
            <w:vAlign w:val="center"/>
          </w:tcPr>
          <w:p w14:paraId="60D51C98">
            <w:pPr>
              <w:spacing w:line="360" w:lineRule="exact"/>
              <w:rPr>
                <w:rFonts w:ascii="宋体" w:hAnsi="宋体" w:cs="仿宋"/>
                <w:kern w:val="0"/>
                <w:sz w:val="22"/>
                <w:szCs w:val="22"/>
                <w:highlight w:val="none"/>
              </w:rPr>
            </w:pPr>
            <w:r>
              <w:rPr>
                <w:rFonts w:hint="eastAsia" w:ascii="宋体" w:hAnsi="宋体" w:cs="楷体"/>
                <w:b/>
                <w:snapToGrid w:val="0"/>
                <w:sz w:val="22"/>
                <w:szCs w:val="22"/>
                <w:highlight w:val="none"/>
              </w:rPr>
              <w:sym w:font="Wingdings" w:char="F0FE"/>
            </w:r>
            <w:r>
              <w:rPr>
                <w:rFonts w:hint="eastAsia" w:ascii="宋体" w:hAnsi="宋体" w:cs="仿宋"/>
                <w:kern w:val="0"/>
                <w:sz w:val="22"/>
                <w:szCs w:val="22"/>
                <w:highlight w:val="none"/>
              </w:rPr>
              <w:t>不要求</w:t>
            </w:r>
          </w:p>
        </w:tc>
      </w:tr>
      <w:tr w14:paraId="68A482B2">
        <w:tblPrEx>
          <w:tblCellMar>
            <w:top w:w="0" w:type="dxa"/>
            <w:left w:w="108" w:type="dxa"/>
            <w:bottom w:w="0" w:type="dxa"/>
            <w:right w:w="108" w:type="dxa"/>
          </w:tblCellMar>
        </w:tblPrEx>
        <w:trPr>
          <w:trHeight w:val="416"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0221E769">
            <w:pPr>
              <w:numPr>
                <w:ilvl w:val="0"/>
                <w:numId w:val="4"/>
              </w:numPr>
              <w:spacing w:line="360" w:lineRule="exact"/>
              <w:jc w:val="center"/>
              <w:rPr>
                <w:rFonts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69B7505A">
            <w:pPr>
              <w:spacing w:line="360" w:lineRule="exact"/>
              <w:rPr>
                <w:rFonts w:ascii="宋体" w:hAnsi="宋体" w:cs="楷体"/>
                <w:kern w:val="0"/>
                <w:sz w:val="22"/>
                <w:szCs w:val="22"/>
                <w:highlight w:val="none"/>
              </w:rPr>
            </w:pPr>
            <w:r>
              <w:rPr>
                <w:rFonts w:ascii="宋体" w:hAnsi="宋体" w:cs="楷体"/>
                <w:kern w:val="0"/>
                <w:sz w:val="22"/>
                <w:szCs w:val="22"/>
                <w:highlight w:val="none"/>
              </w:rPr>
              <w:t>是否退还投标文件</w:t>
            </w:r>
          </w:p>
        </w:tc>
        <w:tc>
          <w:tcPr>
            <w:tcW w:w="7796" w:type="dxa"/>
            <w:tcBorders>
              <w:top w:val="single" w:color="auto" w:sz="4" w:space="0"/>
              <w:left w:val="single" w:color="auto" w:sz="4" w:space="0"/>
              <w:bottom w:val="single" w:color="auto" w:sz="4" w:space="0"/>
              <w:right w:val="single" w:color="auto" w:sz="4" w:space="0"/>
            </w:tcBorders>
            <w:vAlign w:val="center"/>
          </w:tcPr>
          <w:p w14:paraId="38928928">
            <w:pPr>
              <w:widowControl/>
              <w:adjustRightInd w:val="0"/>
              <w:spacing w:line="360" w:lineRule="exact"/>
              <w:jc w:val="left"/>
              <w:textAlignment w:val="baseline"/>
              <w:rPr>
                <w:rFonts w:ascii="宋体" w:hAnsi="宋体"/>
                <w:kern w:val="0"/>
                <w:szCs w:val="21"/>
                <w:highlight w:val="none"/>
              </w:rPr>
            </w:pPr>
            <w:r>
              <w:rPr>
                <w:rFonts w:hint="eastAsia" w:ascii="宋体" w:hAnsi="宋体" w:cs="楷体"/>
                <w:b/>
                <w:snapToGrid w:val="0"/>
                <w:sz w:val="22"/>
                <w:szCs w:val="22"/>
                <w:highlight w:val="none"/>
              </w:rPr>
              <w:sym w:font="Wingdings" w:char="F0FE"/>
            </w:r>
            <w:r>
              <w:rPr>
                <w:rFonts w:hint="eastAsia" w:ascii="宋体" w:hAnsi="宋体" w:cs="楷体"/>
                <w:kern w:val="0"/>
                <w:sz w:val="22"/>
                <w:szCs w:val="22"/>
                <w:highlight w:val="none"/>
              </w:rPr>
              <w:t>否，证书原件除外</w:t>
            </w:r>
          </w:p>
        </w:tc>
      </w:tr>
      <w:tr w14:paraId="55BE82E5">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0A36C53A">
            <w:pPr>
              <w:numPr>
                <w:ilvl w:val="0"/>
                <w:numId w:val="4"/>
              </w:numPr>
              <w:spacing w:line="360" w:lineRule="exact"/>
              <w:jc w:val="center"/>
              <w:rPr>
                <w:rFonts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7238FE63">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投标有效期</w:t>
            </w:r>
          </w:p>
        </w:tc>
        <w:tc>
          <w:tcPr>
            <w:tcW w:w="7796" w:type="dxa"/>
            <w:tcBorders>
              <w:top w:val="single" w:color="auto" w:sz="4" w:space="0"/>
              <w:left w:val="single" w:color="auto" w:sz="4" w:space="0"/>
              <w:bottom w:val="single" w:color="auto" w:sz="4" w:space="0"/>
              <w:right w:val="single" w:color="auto" w:sz="4" w:space="0"/>
            </w:tcBorders>
            <w:vAlign w:val="center"/>
          </w:tcPr>
          <w:p w14:paraId="0F83FE46">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投标文件自</w:t>
            </w:r>
            <w:r>
              <w:rPr>
                <w:rFonts w:ascii="宋体" w:hAnsi="宋体" w:cs="楷体"/>
                <w:kern w:val="0"/>
                <w:sz w:val="22"/>
                <w:szCs w:val="22"/>
                <w:highlight w:val="none"/>
              </w:rPr>
              <w:t>投标截止时间</w:t>
            </w:r>
            <w:r>
              <w:rPr>
                <w:rFonts w:hint="eastAsia" w:ascii="宋体" w:hAnsi="宋体" w:cs="楷体"/>
                <w:kern w:val="0"/>
                <w:sz w:val="22"/>
                <w:szCs w:val="22"/>
                <w:highlight w:val="none"/>
              </w:rPr>
              <w:t>起生效，有效期</w:t>
            </w:r>
            <w:r>
              <w:rPr>
                <w:rFonts w:ascii="宋体" w:hAnsi="宋体" w:cs="楷体"/>
                <w:kern w:val="0"/>
                <w:sz w:val="22"/>
                <w:szCs w:val="22"/>
                <w:highlight w:val="none"/>
              </w:rPr>
              <w:t>90天。</w:t>
            </w:r>
          </w:p>
        </w:tc>
      </w:tr>
      <w:tr w14:paraId="5F893DC3">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08B05F44">
            <w:pPr>
              <w:numPr>
                <w:ilvl w:val="0"/>
                <w:numId w:val="4"/>
              </w:numPr>
              <w:spacing w:line="360" w:lineRule="exact"/>
              <w:jc w:val="center"/>
              <w:rPr>
                <w:rFonts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71435F89">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投标文件签章</w:t>
            </w:r>
          </w:p>
        </w:tc>
        <w:tc>
          <w:tcPr>
            <w:tcW w:w="7796" w:type="dxa"/>
            <w:tcBorders>
              <w:top w:val="single" w:color="auto" w:sz="4" w:space="0"/>
              <w:left w:val="single" w:color="auto" w:sz="4" w:space="0"/>
              <w:bottom w:val="single" w:color="auto" w:sz="4" w:space="0"/>
              <w:right w:val="single" w:color="auto" w:sz="4" w:space="0"/>
            </w:tcBorders>
            <w:vAlign w:val="center"/>
          </w:tcPr>
          <w:p w14:paraId="40B4EE93">
            <w:pPr>
              <w:spacing w:line="360" w:lineRule="exact"/>
              <w:rPr>
                <w:rFonts w:ascii="宋体" w:hAnsi="宋体" w:cs="楷体"/>
                <w:kern w:val="0"/>
                <w:sz w:val="22"/>
                <w:szCs w:val="22"/>
                <w:highlight w:val="none"/>
              </w:rPr>
            </w:pPr>
            <w:r>
              <w:rPr>
                <w:rFonts w:hint="eastAsia" w:ascii="宋体" w:hAnsi="宋体" w:cs="楷体"/>
                <w:b/>
                <w:snapToGrid w:val="0"/>
                <w:sz w:val="22"/>
                <w:szCs w:val="22"/>
                <w:highlight w:val="none"/>
              </w:rPr>
              <w:sym w:font="Wingdings" w:char="F0FE"/>
            </w:r>
            <w:r>
              <w:rPr>
                <w:rFonts w:hint="eastAsia" w:ascii="宋体" w:hAnsi="宋体" w:cs="楷体"/>
                <w:kern w:val="0"/>
                <w:sz w:val="22"/>
                <w:szCs w:val="22"/>
                <w:highlight w:val="none"/>
              </w:rPr>
              <w:t>以下方式均可，下同。</w:t>
            </w:r>
          </w:p>
          <w:p w14:paraId="78315524">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（1）电子签章</w:t>
            </w:r>
          </w:p>
          <w:p w14:paraId="179C3AD2">
            <w:pPr>
              <w:spacing w:line="360" w:lineRule="exact"/>
              <w:rPr>
                <w:rFonts w:ascii="宋体" w:hAnsi="宋体" w:cs="楷体"/>
                <w:b/>
                <w:kern w:val="0"/>
                <w:sz w:val="22"/>
                <w:szCs w:val="22"/>
                <w:highlight w:val="none"/>
              </w:rPr>
            </w:pPr>
            <w:r>
              <w:rPr>
                <w:rFonts w:hint="eastAsia" w:ascii="宋体" w:hAnsi="宋体" w:cs="楷体"/>
                <w:kern w:val="0"/>
                <w:sz w:val="22"/>
                <w:szCs w:val="22"/>
                <w:highlight w:val="none"/>
              </w:rPr>
              <w:t>（2）实体签章，书面签署/盖章后扫描至电子投标文件中上传。</w:t>
            </w:r>
          </w:p>
        </w:tc>
      </w:tr>
      <w:tr w14:paraId="493D5063">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2F1359E0">
            <w:pPr>
              <w:numPr>
                <w:ilvl w:val="0"/>
                <w:numId w:val="4"/>
              </w:numPr>
              <w:spacing w:line="360" w:lineRule="exact"/>
              <w:jc w:val="center"/>
              <w:rPr>
                <w:rFonts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146BBFC4">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投标文件的形式</w:t>
            </w:r>
          </w:p>
        </w:tc>
        <w:tc>
          <w:tcPr>
            <w:tcW w:w="7796" w:type="dxa"/>
            <w:tcBorders>
              <w:top w:val="single" w:color="auto" w:sz="4" w:space="0"/>
              <w:left w:val="single" w:color="auto" w:sz="4" w:space="0"/>
              <w:bottom w:val="single" w:color="auto" w:sz="4" w:space="0"/>
              <w:right w:val="single" w:color="auto" w:sz="4" w:space="0"/>
            </w:tcBorders>
            <w:vAlign w:val="center"/>
          </w:tcPr>
          <w:p w14:paraId="04A8906F">
            <w:pPr>
              <w:spacing w:line="360" w:lineRule="exact"/>
              <w:rPr>
                <w:rFonts w:ascii="宋体" w:hAnsi="宋体" w:cs="楷体"/>
                <w:kern w:val="0"/>
                <w:sz w:val="22"/>
                <w:szCs w:val="22"/>
                <w:highlight w:val="none"/>
              </w:rPr>
            </w:pPr>
            <w:r>
              <w:rPr>
                <w:rFonts w:hint="eastAsia" w:ascii="宋体" w:hAnsi="宋体" w:cs="楷体"/>
                <w:b/>
                <w:snapToGrid w:val="0"/>
                <w:sz w:val="22"/>
                <w:szCs w:val="22"/>
                <w:highlight w:val="none"/>
              </w:rPr>
              <w:sym w:font="Wingdings" w:char="F0FE"/>
            </w:r>
            <w:r>
              <w:rPr>
                <w:rFonts w:hint="eastAsia" w:ascii="宋体" w:hAnsi="宋体" w:cs="楷体"/>
                <w:kern w:val="0"/>
                <w:sz w:val="22"/>
                <w:szCs w:val="22"/>
                <w:highlight w:val="none"/>
              </w:rPr>
              <w:t>电子投标文件（包括“电子加密投标文件”和“备份投标文件”，在投标文件编制完成后同时生成）；</w:t>
            </w:r>
          </w:p>
          <w:p w14:paraId="51B997B6">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（1）“电子加密投标文件”是指通过“政采云电子交易客户端”完成投标文件编制后生成并加密的数据电文形式的投标文件。</w:t>
            </w:r>
          </w:p>
          <w:p w14:paraId="57FE1375">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（2）“备份投标文件”是指与“电子加密投标文件”同时生成的数据电文形式的电子文件（备份标书），其他方式编制的备份投标文件视为无效备份投标文件。</w:t>
            </w:r>
          </w:p>
        </w:tc>
      </w:tr>
      <w:tr w14:paraId="0AC0203C">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5041BA7C">
            <w:pPr>
              <w:numPr>
                <w:ilvl w:val="0"/>
                <w:numId w:val="4"/>
              </w:numPr>
              <w:spacing w:line="360" w:lineRule="exact"/>
              <w:jc w:val="center"/>
              <w:rPr>
                <w:rFonts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049BFCB2">
            <w:pPr>
              <w:spacing w:line="360" w:lineRule="exact"/>
              <w:rPr>
                <w:rFonts w:ascii="宋体" w:hAnsi="宋体" w:cs="楷体"/>
                <w:kern w:val="0"/>
                <w:sz w:val="22"/>
                <w:szCs w:val="22"/>
                <w:highlight w:val="none"/>
              </w:rPr>
            </w:pPr>
            <w:r>
              <w:rPr>
                <w:rFonts w:ascii="宋体" w:hAnsi="宋体" w:cs="楷体"/>
                <w:kern w:val="0"/>
                <w:sz w:val="22"/>
                <w:szCs w:val="22"/>
                <w:highlight w:val="none"/>
              </w:rPr>
              <w:t>投标文件的份数</w:t>
            </w:r>
          </w:p>
        </w:tc>
        <w:tc>
          <w:tcPr>
            <w:tcW w:w="7796" w:type="dxa"/>
            <w:tcBorders>
              <w:top w:val="single" w:color="auto" w:sz="4" w:space="0"/>
              <w:left w:val="single" w:color="auto" w:sz="4" w:space="0"/>
              <w:bottom w:val="single" w:color="auto" w:sz="4" w:space="0"/>
              <w:right w:val="single" w:color="auto" w:sz="4" w:space="0"/>
            </w:tcBorders>
            <w:vAlign w:val="center"/>
          </w:tcPr>
          <w:p w14:paraId="6F39DD60">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（1）“电子加密投标文件”：在线上传递交、一份。</w:t>
            </w:r>
          </w:p>
          <w:p w14:paraId="19EEAC3B">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（2）“备份投标文件”：自愿提交、一份。</w:t>
            </w:r>
          </w:p>
          <w:p w14:paraId="74520CC0">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（3）</w:t>
            </w:r>
            <w:r>
              <w:rPr>
                <w:rFonts w:hint="eastAsia" w:ascii="宋体" w:hAnsi="宋体" w:cs="楷体"/>
                <w:b/>
                <w:kern w:val="0"/>
                <w:sz w:val="22"/>
                <w:szCs w:val="22"/>
                <w:highlight w:val="none"/>
              </w:rPr>
              <w:t>投标人中标后提供以下资料给采购代理机构留底以作项目存档使用：</w:t>
            </w:r>
            <w:r>
              <w:rPr>
                <w:rFonts w:ascii="宋体" w:hAnsi="宋体" w:cs="楷体"/>
                <w:b/>
                <w:kern w:val="0"/>
                <w:sz w:val="22"/>
                <w:szCs w:val="22"/>
                <w:highlight w:val="none"/>
              </w:rPr>
              <w:fldChar w:fldCharType="begin"/>
            </w:r>
            <w:r>
              <w:rPr>
                <w:rFonts w:ascii="宋体" w:hAnsi="宋体" w:cs="楷体"/>
                <w:b/>
                <w:kern w:val="0"/>
                <w:sz w:val="22"/>
                <w:szCs w:val="22"/>
                <w:highlight w:val="none"/>
              </w:rPr>
              <w:instrText xml:space="preserve"> </w:instrText>
            </w:r>
            <w:r>
              <w:rPr>
                <w:rFonts w:hint="eastAsia" w:ascii="宋体" w:hAnsi="宋体" w:cs="楷体"/>
                <w:b/>
                <w:kern w:val="0"/>
                <w:sz w:val="22"/>
                <w:szCs w:val="22"/>
                <w:highlight w:val="none"/>
              </w:rPr>
              <w:instrText xml:space="preserve">= 1 \* GB3</w:instrText>
            </w:r>
            <w:r>
              <w:rPr>
                <w:rFonts w:ascii="宋体" w:hAnsi="宋体" w:cs="楷体"/>
                <w:b/>
                <w:kern w:val="0"/>
                <w:sz w:val="22"/>
                <w:szCs w:val="22"/>
                <w:highlight w:val="none"/>
              </w:rPr>
              <w:instrText xml:space="preserve"> </w:instrText>
            </w:r>
            <w:r>
              <w:rPr>
                <w:rFonts w:ascii="宋体" w:hAnsi="宋体" w:cs="楷体"/>
                <w:b/>
                <w:kern w:val="0"/>
                <w:sz w:val="22"/>
                <w:szCs w:val="22"/>
                <w:highlight w:val="none"/>
              </w:rPr>
              <w:fldChar w:fldCharType="separate"/>
            </w:r>
            <w:r>
              <w:rPr>
                <w:rFonts w:hint="eastAsia" w:ascii="宋体" w:hAnsi="宋体" w:cs="楷体"/>
                <w:b/>
                <w:kern w:val="0"/>
                <w:sz w:val="22"/>
                <w:szCs w:val="22"/>
                <w:highlight w:val="none"/>
              </w:rPr>
              <w:t>①</w:t>
            </w:r>
            <w:r>
              <w:rPr>
                <w:rFonts w:ascii="宋体" w:hAnsi="宋体" w:cs="楷体"/>
                <w:b/>
                <w:kern w:val="0"/>
                <w:sz w:val="22"/>
                <w:szCs w:val="22"/>
                <w:highlight w:val="none"/>
              </w:rPr>
              <w:fldChar w:fldCharType="end"/>
            </w:r>
            <w:r>
              <w:rPr>
                <w:rFonts w:hint="eastAsia" w:ascii="宋体" w:hAnsi="宋体" w:cs="楷体"/>
                <w:b/>
                <w:kern w:val="0"/>
                <w:sz w:val="22"/>
                <w:szCs w:val="22"/>
                <w:highlight w:val="none"/>
              </w:rPr>
              <w:t>三套完整的纸质投标文件；</w:t>
            </w:r>
            <w:r>
              <w:rPr>
                <w:rFonts w:ascii="宋体" w:hAnsi="宋体" w:cs="楷体"/>
                <w:b/>
                <w:kern w:val="0"/>
                <w:sz w:val="22"/>
                <w:szCs w:val="22"/>
                <w:highlight w:val="none"/>
              </w:rPr>
              <w:fldChar w:fldCharType="begin"/>
            </w:r>
            <w:r>
              <w:rPr>
                <w:rFonts w:ascii="宋体" w:hAnsi="宋体" w:cs="楷体"/>
                <w:b/>
                <w:kern w:val="0"/>
                <w:sz w:val="22"/>
                <w:szCs w:val="22"/>
                <w:highlight w:val="none"/>
              </w:rPr>
              <w:instrText xml:space="preserve"> </w:instrText>
            </w:r>
            <w:r>
              <w:rPr>
                <w:rFonts w:hint="eastAsia" w:ascii="宋体" w:hAnsi="宋体" w:cs="楷体"/>
                <w:b/>
                <w:kern w:val="0"/>
                <w:sz w:val="22"/>
                <w:szCs w:val="22"/>
                <w:highlight w:val="none"/>
              </w:rPr>
              <w:instrText xml:space="preserve">= 2 \* GB3</w:instrText>
            </w:r>
            <w:r>
              <w:rPr>
                <w:rFonts w:ascii="宋体" w:hAnsi="宋体" w:cs="楷体"/>
                <w:b/>
                <w:kern w:val="0"/>
                <w:sz w:val="22"/>
                <w:szCs w:val="22"/>
                <w:highlight w:val="none"/>
              </w:rPr>
              <w:instrText xml:space="preserve"> </w:instrText>
            </w:r>
            <w:r>
              <w:rPr>
                <w:rFonts w:ascii="宋体" w:hAnsi="宋体" w:cs="楷体"/>
                <w:b/>
                <w:kern w:val="0"/>
                <w:sz w:val="22"/>
                <w:szCs w:val="22"/>
                <w:highlight w:val="none"/>
              </w:rPr>
              <w:fldChar w:fldCharType="separate"/>
            </w:r>
            <w:r>
              <w:rPr>
                <w:rFonts w:hint="eastAsia" w:ascii="宋体" w:hAnsi="宋体" w:cs="楷体"/>
                <w:b/>
                <w:kern w:val="0"/>
                <w:sz w:val="22"/>
                <w:szCs w:val="22"/>
                <w:highlight w:val="none"/>
              </w:rPr>
              <w:t>②</w:t>
            </w:r>
            <w:r>
              <w:rPr>
                <w:rFonts w:ascii="宋体" w:hAnsi="宋体" w:cs="楷体"/>
                <w:b/>
                <w:kern w:val="0"/>
                <w:sz w:val="22"/>
                <w:szCs w:val="22"/>
                <w:highlight w:val="none"/>
              </w:rPr>
              <w:fldChar w:fldCharType="end"/>
            </w:r>
            <w:r>
              <w:rPr>
                <w:rFonts w:hint="eastAsia" w:ascii="宋体" w:hAnsi="宋体" w:cs="楷体"/>
                <w:b/>
                <w:kern w:val="0"/>
                <w:sz w:val="22"/>
                <w:szCs w:val="22"/>
                <w:highlight w:val="none"/>
              </w:rPr>
              <w:t>电子投标文件与纸质投标文件内容一致的承诺书。</w:t>
            </w:r>
          </w:p>
        </w:tc>
      </w:tr>
      <w:tr w14:paraId="3B877541">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07A1424A">
            <w:pPr>
              <w:numPr>
                <w:ilvl w:val="0"/>
                <w:numId w:val="4"/>
              </w:numPr>
              <w:spacing w:line="360" w:lineRule="exact"/>
              <w:jc w:val="center"/>
              <w:rPr>
                <w:rFonts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5078D5F7">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投标文件的上传、递交</w:t>
            </w:r>
          </w:p>
        </w:tc>
        <w:tc>
          <w:tcPr>
            <w:tcW w:w="7796" w:type="dxa"/>
            <w:tcBorders>
              <w:top w:val="single" w:color="auto" w:sz="4" w:space="0"/>
              <w:left w:val="single" w:color="auto" w:sz="4" w:space="0"/>
              <w:bottom w:val="single" w:color="auto" w:sz="4" w:space="0"/>
              <w:right w:val="single" w:color="auto" w:sz="4" w:space="0"/>
            </w:tcBorders>
            <w:vAlign w:val="center"/>
          </w:tcPr>
          <w:p w14:paraId="46B550B4">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（1）“电子加密投标文件”的上传、递交：</w:t>
            </w:r>
          </w:p>
          <w:p w14:paraId="34E5D96A">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a.投标人应在投标截止时间前将“电子加密投标文件”成功上传递交至“政府采购云平台”，否则</w:t>
            </w:r>
            <w:r>
              <w:rPr>
                <w:rFonts w:hint="eastAsia" w:ascii="宋体" w:hAnsi="宋体" w:cs="楷体"/>
                <w:b/>
                <w:kern w:val="0"/>
                <w:sz w:val="22"/>
                <w:szCs w:val="22"/>
                <w:highlight w:val="none"/>
              </w:rPr>
              <w:t>视为撤回投标文件。</w:t>
            </w:r>
          </w:p>
          <w:p w14:paraId="70D2910B">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b.“电子加密投标文件”成功上传递交后，投标人可自行打印投标文件接收回执。</w:t>
            </w:r>
          </w:p>
          <w:p w14:paraId="59135585">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（2）“备份投标文件”的密封包装、递交：</w:t>
            </w:r>
          </w:p>
          <w:p w14:paraId="55C4B957">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a.投标人在“政府采购云平台”完成“电子加密投标文件”的上传递交后，还可以（建议EMS或顺丰邮寄形式）在投标截止时间前递交以介质（U盘）存储的 “备份投标文件”（一份），递交至采购代理机构地址（地址详见招标文件，不建议投标人现场递交）；</w:t>
            </w:r>
            <w:r>
              <w:rPr>
                <w:rFonts w:hint="eastAsia" w:ascii="宋体" w:hAnsi="宋体" w:cs="楷体"/>
                <w:b/>
                <w:bCs/>
                <w:kern w:val="0"/>
                <w:sz w:val="22"/>
                <w:szCs w:val="22"/>
                <w:highlight w:val="none"/>
              </w:rPr>
              <w:t>“备份投标文件”由投标人自愿提交，招标文件不作强制性要求，但投标人仅递交了“备份投标文件”的，投标无效。</w:t>
            </w:r>
          </w:p>
          <w:p w14:paraId="77071944">
            <w:pPr>
              <w:spacing w:line="360" w:lineRule="exact"/>
              <w:rPr>
                <w:rFonts w:ascii="宋体" w:hAnsi="宋体" w:cs="楷体"/>
                <w:b/>
                <w:bCs/>
                <w:kern w:val="0"/>
                <w:sz w:val="22"/>
                <w:szCs w:val="22"/>
                <w:highlight w:val="none"/>
              </w:rPr>
            </w:pPr>
            <w:r>
              <w:rPr>
                <w:rFonts w:hint="eastAsia" w:ascii="宋体" w:hAnsi="宋体" w:cs="楷体"/>
                <w:kern w:val="0"/>
                <w:sz w:val="22"/>
                <w:szCs w:val="22"/>
                <w:highlight w:val="none"/>
              </w:rPr>
              <w:t>b.“备份投标文件”应当密封包装，并在包装上标注投标项目名称、投标单位名称并加盖公章。</w:t>
            </w:r>
            <w:r>
              <w:rPr>
                <w:rFonts w:hint="eastAsia" w:ascii="宋体" w:hAnsi="宋体" w:cs="楷体"/>
                <w:b/>
                <w:bCs/>
                <w:kern w:val="0"/>
                <w:sz w:val="22"/>
                <w:szCs w:val="22"/>
                <w:highlight w:val="none"/>
              </w:rPr>
              <w:t>没有密封包装或者逾期递交的“备份投标文件”将不予接收，邮寄的以收到时间为准；</w:t>
            </w:r>
          </w:p>
          <w:p w14:paraId="66613DA9">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c.通过“政府采购云平台”成功上传递交的“电子加密投标文件”已按时解密的，“备份投标文件”自动失效。</w:t>
            </w:r>
          </w:p>
        </w:tc>
      </w:tr>
      <w:tr w14:paraId="0B49B442">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56AA17ED">
            <w:pPr>
              <w:numPr>
                <w:ilvl w:val="0"/>
                <w:numId w:val="4"/>
              </w:numPr>
              <w:spacing w:line="360" w:lineRule="exact"/>
              <w:jc w:val="center"/>
              <w:rPr>
                <w:rFonts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5664CCB7">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电子加密投标文件的解密和异常情况处理</w:t>
            </w:r>
          </w:p>
        </w:tc>
        <w:tc>
          <w:tcPr>
            <w:tcW w:w="7796" w:type="dxa"/>
            <w:tcBorders>
              <w:top w:val="single" w:color="auto" w:sz="4" w:space="0"/>
              <w:left w:val="single" w:color="auto" w:sz="4" w:space="0"/>
              <w:bottom w:val="single" w:color="auto" w:sz="4" w:space="0"/>
              <w:right w:val="single" w:color="auto" w:sz="4" w:space="0"/>
            </w:tcBorders>
            <w:vAlign w:val="center"/>
          </w:tcPr>
          <w:p w14:paraId="740E7EB7">
            <w:pPr>
              <w:spacing w:line="360" w:lineRule="exact"/>
              <w:rPr>
                <w:rFonts w:ascii="宋体" w:hAnsi="宋体" w:cs="楷体"/>
                <w:b/>
                <w:kern w:val="0"/>
                <w:sz w:val="22"/>
                <w:szCs w:val="22"/>
                <w:highlight w:val="none"/>
              </w:rPr>
            </w:pPr>
            <w:r>
              <w:rPr>
                <w:rFonts w:hint="eastAsia" w:ascii="宋体" w:hAnsi="宋体" w:cs="楷体"/>
                <w:kern w:val="0"/>
                <w:sz w:val="22"/>
                <w:szCs w:val="22"/>
                <w:highlight w:val="none"/>
              </w:rPr>
              <w:t>（1）投标截止时间后，采购代理机构将向各投标人发出“电子加密投标文件”的解密通知，</w:t>
            </w:r>
            <w:r>
              <w:rPr>
                <w:rFonts w:hint="eastAsia" w:ascii="宋体" w:hAnsi="宋体" w:cs="楷体"/>
                <w:b/>
                <w:kern w:val="0"/>
                <w:sz w:val="22"/>
                <w:szCs w:val="22"/>
                <w:highlight w:val="none"/>
              </w:rPr>
              <w:t>各投标人代表应当在接到解密通知后30分钟内自行完成“电子加密投标文件”的在线解密（解密电子投标文件必须插入CA，</w:t>
            </w:r>
            <w:r>
              <w:rPr>
                <w:rFonts w:hint="eastAsia" w:ascii="宋体" w:hAnsi="宋体" w:cs="楷体"/>
                <w:b/>
                <w:bCs/>
                <w:kern w:val="0"/>
                <w:sz w:val="22"/>
                <w:szCs w:val="22"/>
                <w:highlight w:val="none"/>
              </w:rPr>
              <w:t>解密CA必须是上传并制作电子投标文件CA锁</w:t>
            </w:r>
            <w:r>
              <w:rPr>
                <w:rFonts w:hint="eastAsia" w:ascii="宋体" w:hAnsi="宋体" w:cs="楷体"/>
                <w:b/>
                <w:kern w:val="0"/>
                <w:sz w:val="22"/>
                <w:szCs w:val="22"/>
                <w:highlight w:val="none"/>
              </w:rPr>
              <w:t>），如“政府采购云平台”中调整解密时间，按调整后的解密时间。</w:t>
            </w:r>
          </w:p>
          <w:p w14:paraId="6B202472">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2）通过“政府采购云平台”成功上传递交的“电子加密投标文件”无法按时解密，投标人如按规定递交了“备份投标文件”的，以“备份投标文件”为依据（由采购代理机构按“政府采购云平台”操作规范将“备份投标文件”上传至“政府采购云平台”，上传成功后，“电子加密投标文件”自动失效），否则视为投标文件撤回。</w:t>
            </w:r>
          </w:p>
          <w:p w14:paraId="4B230DE4">
            <w:pPr>
              <w:spacing w:line="360" w:lineRule="exact"/>
              <w:rPr>
                <w:rFonts w:ascii="宋体" w:hAnsi="宋体" w:cs="楷体"/>
                <w:b/>
                <w:kern w:val="0"/>
                <w:sz w:val="22"/>
                <w:szCs w:val="22"/>
                <w:highlight w:val="none"/>
              </w:rPr>
            </w:pPr>
            <w:r>
              <w:rPr>
                <w:rFonts w:hint="eastAsia" w:ascii="宋体" w:hAnsi="宋体" w:cs="楷体"/>
                <w:b/>
                <w:kern w:val="0"/>
                <w:sz w:val="22"/>
                <w:szCs w:val="22"/>
                <w:highlight w:val="none"/>
              </w:rPr>
              <w:t>（3）未按规定递交合格“备份投标文件”的或递交的“备份投标文件”无法成功上传的，视为投标文件撤回。</w:t>
            </w:r>
          </w:p>
          <w:p w14:paraId="1AD8D400">
            <w:pPr>
              <w:spacing w:line="360" w:lineRule="exact"/>
              <w:rPr>
                <w:rFonts w:ascii="宋体" w:hAnsi="宋体" w:cs="楷体"/>
                <w:kern w:val="0"/>
                <w:sz w:val="22"/>
                <w:szCs w:val="22"/>
                <w:highlight w:val="none"/>
              </w:rPr>
            </w:pPr>
            <w:r>
              <w:rPr>
                <w:rFonts w:hint="eastAsia" w:ascii="宋体" w:hAnsi="宋体" w:cs="楷体"/>
                <w:b/>
                <w:kern w:val="0"/>
                <w:sz w:val="22"/>
                <w:szCs w:val="22"/>
                <w:highlight w:val="none"/>
              </w:rPr>
              <w:t>（4）在解密期限内投标人电子投标文件解密失败，且经异常处理后政采云电子交易系统仍未能解决的，政采云系统会默认投标人自动放弃，视为撤回投标文件。</w:t>
            </w:r>
          </w:p>
        </w:tc>
      </w:tr>
      <w:tr w14:paraId="79172BF8">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2594FA8E">
            <w:pPr>
              <w:numPr>
                <w:ilvl w:val="0"/>
                <w:numId w:val="4"/>
              </w:numPr>
              <w:spacing w:line="360" w:lineRule="exact"/>
              <w:jc w:val="center"/>
              <w:rPr>
                <w:rFonts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5F5CE45D">
            <w:pPr>
              <w:spacing w:line="360" w:lineRule="exact"/>
              <w:rPr>
                <w:rFonts w:ascii="宋体" w:hAnsi="宋体" w:cs="楷体"/>
                <w:kern w:val="0"/>
                <w:sz w:val="22"/>
                <w:szCs w:val="22"/>
                <w:highlight w:val="none"/>
              </w:rPr>
            </w:pPr>
            <w:r>
              <w:rPr>
                <w:rFonts w:ascii="宋体" w:hAnsi="宋体" w:cs="楷体"/>
                <w:kern w:val="0"/>
                <w:sz w:val="22"/>
                <w:szCs w:val="22"/>
                <w:highlight w:val="none"/>
              </w:rPr>
              <w:t>投标截止时间及地点</w:t>
            </w:r>
          </w:p>
        </w:tc>
        <w:tc>
          <w:tcPr>
            <w:tcW w:w="7796" w:type="dxa"/>
            <w:tcBorders>
              <w:top w:val="single" w:color="auto" w:sz="4" w:space="0"/>
              <w:left w:val="single" w:color="auto" w:sz="4" w:space="0"/>
              <w:bottom w:val="single" w:color="auto" w:sz="4" w:space="0"/>
              <w:right w:val="single" w:color="auto" w:sz="4" w:space="0"/>
            </w:tcBorders>
            <w:vAlign w:val="center"/>
          </w:tcPr>
          <w:p w14:paraId="09B1A845">
            <w:pPr>
              <w:spacing w:line="360" w:lineRule="exact"/>
              <w:rPr>
                <w:rFonts w:hint="eastAsia" w:ascii="宋体" w:hAnsi="宋体" w:eastAsia="宋体" w:cs="楷体"/>
                <w:kern w:val="0"/>
                <w:sz w:val="22"/>
                <w:szCs w:val="22"/>
                <w:highlight w:val="none"/>
                <w:lang w:eastAsia="zh-CN"/>
              </w:rPr>
            </w:pPr>
            <w:r>
              <w:rPr>
                <w:rFonts w:hint="eastAsia" w:ascii="宋体" w:hAnsi="宋体" w:cs="楷体"/>
                <w:kern w:val="0"/>
                <w:sz w:val="22"/>
                <w:szCs w:val="22"/>
                <w:highlight w:val="none"/>
              </w:rPr>
              <w:t>投标截止时间</w:t>
            </w:r>
            <w:r>
              <w:rPr>
                <w:rFonts w:ascii="宋体" w:hAnsi="宋体" w:cs="楷体"/>
                <w:kern w:val="0"/>
                <w:sz w:val="22"/>
                <w:szCs w:val="22"/>
                <w:highlight w:val="none"/>
              </w:rPr>
              <w:t>：</w:t>
            </w:r>
            <w:r>
              <w:rPr>
                <w:rFonts w:hint="eastAsia" w:ascii="宋体" w:hAnsi="宋体"/>
                <w:sz w:val="22"/>
                <w:szCs w:val="22"/>
                <w:highlight w:val="none"/>
                <w:lang w:eastAsia="zh-CN"/>
              </w:rPr>
              <w:t>2024年10月21日 14:30</w:t>
            </w:r>
          </w:p>
          <w:p w14:paraId="7F91026E">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递交地点：</w:t>
            </w:r>
            <w:bookmarkStart w:id="42" w:name="_Hlk35002636"/>
            <w:r>
              <w:rPr>
                <w:rFonts w:hint="eastAsia" w:ascii="宋体" w:hAnsi="宋体"/>
                <w:sz w:val="22"/>
                <w:szCs w:val="22"/>
                <w:highlight w:val="none"/>
              </w:rPr>
              <w:t>通过“政府采购云平台（www.zcygov.cn）”在线递交。</w:t>
            </w:r>
            <w:bookmarkEnd w:id="42"/>
          </w:p>
        </w:tc>
      </w:tr>
      <w:tr w14:paraId="11C58E30">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08FECC99">
            <w:pPr>
              <w:numPr>
                <w:ilvl w:val="0"/>
                <w:numId w:val="4"/>
              </w:numPr>
              <w:spacing w:line="360" w:lineRule="exact"/>
              <w:jc w:val="center"/>
              <w:rPr>
                <w:rFonts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31FBB4AB">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开标时间和地点</w:t>
            </w:r>
          </w:p>
        </w:tc>
        <w:tc>
          <w:tcPr>
            <w:tcW w:w="7796" w:type="dxa"/>
            <w:tcBorders>
              <w:top w:val="single" w:color="auto" w:sz="4" w:space="0"/>
              <w:left w:val="single" w:color="auto" w:sz="4" w:space="0"/>
              <w:bottom w:val="single" w:color="auto" w:sz="4" w:space="0"/>
              <w:right w:val="single" w:color="auto" w:sz="4" w:space="0"/>
            </w:tcBorders>
            <w:vAlign w:val="center"/>
          </w:tcPr>
          <w:p w14:paraId="204EC89C">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开标时间：同投标截止时间</w:t>
            </w:r>
          </w:p>
          <w:p w14:paraId="0972BCE7">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开标地点：</w:t>
            </w:r>
            <w:r>
              <w:rPr>
                <w:rFonts w:hint="eastAsia" w:ascii="宋体" w:hAnsi="宋体" w:cs="宋体"/>
                <w:kern w:val="0"/>
                <w:sz w:val="22"/>
                <w:szCs w:val="22"/>
                <w:highlight w:val="none"/>
                <w:lang w:eastAsia="zh-CN"/>
              </w:rPr>
              <w:t>浙江华浦工程管理有限公司</w:t>
            </w:r>
            <w:r>
              <w:rPr>
                <w:rFonts w:hint="eastAsia" w:ascii="宋体" w:hAnsi="宋体" w:cs="宋体"/>
                <w:kern w:val="0"/>
                <w:sz w:val="22"/>
                <w:szCs w:val="22"/>
                <w:highlight w:val="none"/>
              </w:rPr>
              <w:t>开标室（</w:t>
            </w:r>
            <w:r>
              <w:rPr>
                <w:rFonts w:hint="eastAsia" w:ascii="宋体" w:hAnsi="宋体" w:cs="宋体"/>
                <w:kern w:val="0"/>
                <w:sz w:val="22"/>
                <w:szCs w:val="22"/>
                <w:highlight w:val="none"/>
                <w:lang w:eastAsia="zh-CN"/>
              </w:rPr>
              <w:t>温州市高昂路1号牛山广场2号楼502室</w:t>
            </w:r>
            <w:r>
              <w:rPr>
                <w:rFonts w:hint="eastAsia" w:ascii="宋体" w:hAnsi="宋体" w:cs="宋体"/>
                <w:kern w:val="0"/>
                <w:sz w:val="22"/>
                <w:szCs w:val="22"/>
                <w:highlight w:val="none"/>
              </w:rPr>
              <w:t>），通过“政府采购云平台（www.zcygov.cn）”线上开启</w:t>
            </w:r>
            <w:r>
              <w:rPr>
                <w:rFonts w:hint="eastAsia" w:ascii="宋体" w:hAnsi="宋体" w:cs="楷体"/>
                <w:kern w:val="0"/>
                <w:sz w:val="22"/>
                <w:szCs w:val="22"/>
                <w:highlight w:val="none"/>
              </w:rPr>
              <w:t>。</w:t>
            </w:r>
          </w:p>
        </w:tc>
      </w:tr>
      <w:tr w14:paraId="200617C2">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62EC779D">
            <w:pPr>
              <w:numPr>
                <w:ilvl w:val="0"/>
                <w:numId w:val="4"/>
              </w:numPr>
              <w:spacing w:line="360" w:lineRule="exact"/>
              <w:jc w:val="center"/>
              <w:rPr>
                <w:rFonts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24B5BA5F">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评标委员会</w:t>
            </w:r>
          </w:p>
          <w:p w14:paraId="6ABB9D69">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的组建</w:t>
            </w:r>
          </w:p>
        </w:tc>
        <w:tc>
          <w:tcPr>
            <w:tcW w:w="7796" w:type="dxa"/>
            <w:tcBorders>
              <w:top w:val="single" w:color="auto" w:sz="4" w:space="0"/>
              <w:left w:val="single" w:color="auto" w:sz="4" w:space="0"/>
              <w:bottom w:val="single" w:color="auto" w:sz="4" w:space="0"/>
              <w:right w:val="single" w:color="auto" w:sz="4" w:space="0"/>
            </w:tcBorders>
            <w:vAlign w:val="center"/>
          </w:tcPr>
          <w:p w14:paraId="3A92A940">
            <w:pPr>
              <w:spacing w:line="360" w:lineRule="exact"/>
              <w:rPr>
                <w:rFonts w:ascii="宋体" w:hAnsi="宋体" w:cs="楷体"/>
                <w:kern w:val="0"/>
                <w:sz w:val="22"/>
                <w:szCs w:val="22"/>
                <w:highlight w:val="none"/>
              </w:rPr>
            </w:pPr>
            <w:r>
              <w:rPr>
                <w:rFonts w:ascii="宋体" w:hAnsi="宋体" w:cs="楷体"/>
                <w:kern w:val="0"/>
                <w:sz w:val="22"/>
                <w:szCs w:val="22"/>
                <w:highlight w:val="none"/>
              </w:rPr>
              <w:t>评标委员会</w:t>
            </w:r>
            <w:r>
              <w:rPr>
                <w:rFonts w:hint="eastAsia" w:ascii="宋体" w:hAnsi="宋体" w:cs="楷体"/>
                <w:kern w:val="0"/>
                <w:sz w:val="22"/>
                <w:szCs w:val="22"/>
                <w:highlight w:val="none"/>
              </w:rPr>
              <w:t>构成：</w:t>
            </w:r>
            <w:r>
              <w:rPr>
                <w:rFonts w:ascii="宋体" w:hAnsi="宋体" w:cs="楷体"/>
                <w:kern w:val="0"/>
                <w:sz w:val="22"/>
                <w:szCs w:val="22"/>
                <w:highlight w:val="none"/>
              </w:rPr>
              <w:t>5</w:t>
            </w:r>
            <w:r>
              <w:rPr>
                <w:rFonts w:hint="eastAsia" w:ascii="宋体" w:hAnsi="宋体" w:cs="楷体"/>
                <w:kern w:val="0"/>
                <w:sz w:val="22"/>
                <w:szCs w:val="22"/>
                <w:highlight w:val="none"/>
              </w:rPr>
              <w:t>人及</w:t>
            </w:r>
            <w:r>
              <w:rPr>
                <w:rFonts w:ascii="宋体" w:hAnsi="宋体" w:cs="楷体"/>
                <w:kern w:val="0"/>
                <w:sz w:val="22"/>
                <w:szCs w:val="22"/>
                <w:highlight w:val="none"/>
              </w:rPr>
              <w:t>5</w:t>
            </w:r>
            <w:r>
              <w:rPr>
                <w:rFonts w:hint="eastAsia" w:ascii="宋体" w:hAnsi="宋体" w:cs="楷体"/>
                <w:kern w:val="0"/>
                <w:sz w:val="22"/>
                <w:szCs w:val="22"/>
                <w:highlight w:val="none"/>
              </w:rPr>
              <w:t>人以上单数。</w:t>
            </w:r>
          </w:p>
          <w:p w14:paraId="2773C981">
            <w:pPr>
              <w:spacing w:line="360" w:lineRule="exact"/>
              <w:rPr>
                <w:rFonts w:ascii="宋体" w:hAnsi="宋体" w:cs="楷体"/>
                <w:kern w:val="0"/>
                <w:sz w:val="22"/>
                <w:szCs w:val="22"/>
                <w:highlight w:val="none"/>
              </w:rPr>
            </w:pPr>
            <w:r>
              <w:rPr>
                <w:rFonts w:ascii="宋体" w:hAnsi="宋体" w:cs="楷体"/>
                <w:kern w:val="0"/>
                <w:sz w:val="22"/>
                <w:szCs w:val="22"/>
                <w:highlight w:val="none"/>
              </w:rPr>
              <w:t>评标专家确定方式</w:t>
            </w:r>
            <w:r>
              <w:rPr>
                <w:rFonts w:hint="eastAsia" w:ascii="宋体" w:hAnsi="宋体" w:cs="楷体"/>
                <w:kern w:val="0"/>
                <w:sz w:val="22"/>
                <w:szCs w:val="22"/>
                <w:highlight w:val="none"/>
              </w:rPr>
              <w:t>：按规定组建。</w:t>
            </w:r>
          </w:p>
        </w:tc>
      </w:tr>
      <w:tr w14:paraId="6C6D6669">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24CA224E">
            <w:pPr>
              <w:numPr>
                <w:ilvl w:val="0"/>
                <w:numId w:val="4"/>
              </w:numPr>
              <w:spacing w:line="360" w:lineRule="exact"/>
              <w:jc w:val="center"/>
              <w:rPr>
                <w:rFonts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7992BFFB">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政府采购信息发布媒体（以下简称为：“指定媒体”）</w:t>
            </w:r>
          </w:p>
        </w:tc>
        <w:tc>
          <w:tcPr>
            <w:tcW w:w="7796" w:type="dxa"/>
            <w:tcBorders>
              <w:top w:val="single" w:color="auto" w:sz="4" w:space="0"/>
              <w:left w:val="single" w:color="auto" w:sz="4" w:space="0"/>
              <w:bottom w:val="single" w:color="auto" w:sz="4" w:space="0"/>
              <w:right w:val="single" w:color="auto" w:sz="4" w:space="0"/>
            </w:tcBorders>
            <w:vAlign w:val="center"/>
          </w:tcPr>
          <w:p w14:paraId="0DDC027D">
            <w:pPr>
              <w:spacing w:line="360" w:lineRule="exact"/>
              <w:rPr>
                <w:rFonts w:ascii="宋体" w:hAnsi="宋体" w:cs="楷体"/>
                <w:kern w:val="0"/>
                <w:sz w:val="22"/>
                <w:szCs w:val="22"/>
                <w:highlight w:val="none"/>
              </w:rPr>
            </w:pPr>
            <w:r>
              <w:rPr>
                <w:rFonts w:ascii="宋体" w:hAnsi="宋体" w:cs="楷体"/>
                <w:kern w:val="0"/>
                <w:sz w:val="22"/>
                <w:szCs w:val="22"/>
                <w:highlight w:val="none"/>
              </w:rPr>
              <w:t>1</w:t>
            </w:r>
            <w:r>
              <w:rPr>
                <w:rFonts w:hint="eastAsia" w:ascii="宋体" w:hAnsi="宋体" w:cs="楷体"/>
                <w:kern w:val="0"/>
                <w:sz w:val="22"/>
                <w:szCs w:val="22"/>
                <w:highlight w:val="none"/>
              </w:rPr>
              <w:t>、本项目的有关信息，包括但不限于：招标公告、澄清（更正）公告（若有）、招标文件、招标文件的澄清（修改）（若有）、中标公告、终止公告（若有）、废标公告（若有）等都将在招标文件载明的指定媒体发布。</w:t>
            </w:r>
          </w:p>
          <w:p w14:paraId="4C582417">
            <w:pPr>
              <w:spacing w:line="360" w:lineRule="exact"/>
              <w:rPr>
                <w:rFonts w:ascii="宋体" w:hAnsi="宋体" w:cs="楷体"/>
                <w:kern w:val="0"/>
                <w:sz w:val="22"/>
                <w:szCs w:val="22"/>
                <w:highlight w:val="none"/>
              </w:rPr>
            </w:pPr>
            <w:r>
              <w:rPr>
                <w:rFonts w:ascii="宋体" w:hAnsi="宋体" w:cs="楷体"/>
                <w:kern w:val="0"/>
                <w:sz w:val="22"/>
                <w:szCs w:val="22"/>
                <w:highlight w:val="none"/>
              </w:rPr>
              <w:t>2</w:t>
            </w:r>
            <w:r>
              <w:rPr>
                <w:rFonts w:hint="eastAsia" w:ascii="宋体" w:hAnsi="宋体" w:cs="楷体"/>
                <w:kern w:val="0"/>
                <w:sz w:val="22"/>
                <w:szCs w:val="22"/>
                <w:highlight w:val="none"/>
              </w:rPr>
              <w:t>、指定媒体：浙江政府采购网，网址</w:t>
            </w:r>
            <w:r>
              <w:rPr>
                <w:rFonts w:ascii="宋体" w:hAnsi="宋体" w:cs="楷体"/>
                <w:kern w:val="0"/>
                <w:sz w:val="22"/>
                <w:szCs w:val="22"/>
                <w:highlight w:val="none"/>
              </w:rPr>
              <w:t>zfcg.czt.zj.gov.cn</w:t>
            </w:r>
            <w:r>
              <w:rPr>
                <w:rFonts w:hint="eastAsia" w:ascii="宋体" w:hAnsi="宋体" w:cs="楷体"/>
                <w:kern w:val="0"/>
                <w:sz w:val="22"/>
                <w:szCs w:val="22"/>
                <w:highlight w:val="none"/>
              </w:rPr>
              <w:t>。</w:t>
            </w:r>
          </w:p>
        </w:tc>
      </w:tr>
      <w:tr w14:paraId="5181F6A7">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3BFEC51A">
            <w:pPr>
              <w:numPr>
                <w:ilvl w:val="0"/>
                <w:numId w:val="4"/>
              </w:numPr>
              <w:spacing w:line="360" w:lineRule="exact"/>
              <w:jc w:val="center"/>
              <w:rPr>
                <w:rFonts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37DC5322">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其他说明</w:t>
            </w:r>
          </w:p>
        </w:tc>
        <w:tc>
          <w:tcPr>
            <w:tcW w:w="7796" w:type="dxa"/>
            <w:tcBorders>
              <w:top w:val="single" w:color="auto" w:sz="4" w:space="0"/>
              <w:left w:val="single" w:color="auto" w:sz="4" w:space="0"/>
              <w:bottom w:val="single" w:color="auto" w:sz="4" w:space="0"/>
              <w:right w:val="single" w:color="auto" w:sz="4" w:space="0"/>
            </w:tcBorders>
            <w:vAlign w:val="center"/>
          </w:tcPr>
          <w:p w14:paraId="1A6E0D48">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1、招标文件、招标公告、政采云系统中如有前后不一致的，一律以本“投标人须知前附表”为准。</w:t>
            </w:r>
          </w:p>
          <w:p w14:paraId="0B00330A">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2、本招标文件涉及的时间均为“北京时间”。</w:t>
            </w:r>
          </w:p>
          <w:p w14:paraId="21B2BCBC">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3、本招标文件涉及的货币为“人民币”。</w:t>
            </w:r>
          </w:p>
          <w:p w14:paraId="60FF3151">
            <w:pPr>
              <w:spacing w:line="360" w:lineRule="exact"/>
              <w:rPr>
                <w:rFonts w:ascii="宋体" w:hAnsi="宋体" w:cs="楷体"/>
                <w:kern w:val="0"/>
                <w:sz w:val="22"/>
                <w:szCs w:val="22"/>
                <w:highlight w:val="none"/>
              </w:rPr>
            </w:pPr>
            <w:r>
              <w:rPr>
                <w:rFonts w:hint="eastAsia" w:ascii="宋体" w:hAnsi="宋体" w:cs="楷体"/>
                <w:kern w:val="0"/>
                <w:sz w:val="22"/>
                <w:szCs w:val="22"/>
                <w:highlight w:val="none"/>
              </w:rPr>
              <w:t>4、本招标文件的解释权属于采购人及采购代理机构。</w:t>
            </w:r>
          </w:p>
          <w:p w14:paraId="3913D308">
            <w:pPr>
              <w:adjustRightInd w:val="0"/>
              <w:snapToGrid w:val="0"/>
              <w:spacing w:line="360" w:lineRule="exact"/>
              <w:rPr>
                <w:rFonts w:ascii="宋体" w:hAnsi="宋体"/>
                <w:b/>
                <w:sz w:val="22"/>
                <w:szCs w:val="22"/>
                <w:highlight w:val="none"/>
              </w:rPr>
            </w:pPr>
            <w:r>
              <w:rPr>
                <w:rFonts w:hint="eastAsia" w:ascii="宋体" w:hAnsi="宋体" w:cs="楷体"/>
                <w:kern w:val="0"/>
                <w:sz w:val="22"/>
                <w:szCs w:val="22"/>
                <w:highlight w:val="none"/>
              </w:rPr>
              <w:t>5、</w:t>
            </w:r>
            <w:r>
              <w:rPr>
                <w:rFonts w:ascii="宋体" w:hAnsi="宋体"/>
                <w:b/>
                <w:sz w:val="22"/>
                <w:szCs w:val="22"/>
                <w:highlight w:val="none"/>
              </w:rPr>
              <w:t>中标</w:t>
            </w:r>
            <w:r>
              <w:rPr>
                <w:rFonts w:hint="eastAsia" w:ascii="宋体" w:hAnsi="宋体"/>
                <w:b/>
                <w:sz w:val="22"/>
                <w:szCs w:val="22"/>
                <w:highlight w:val="none"/>
              </w:rPr>
              <w:t>人须在合同签订后两个工作日内将合同扫描件电子版上传给采购代理机构备案（邮箱：</w:t>
            </w:r>
            <w:r>
              <w:rPr>
                <w:rFonts w:hint="eastAsia" w:ascii="宋体" w:hAnsi="宋体"/>
                <w:b/>
                <w:sz w:val="22"/>
                <w:szCs w:val="22"/>
                <w:highlight w:val="none"/>
                <w:lang w:val="en-US" w:eastAsia="zh-CN"/>
              </w:rPr>
              <w:t>244353463</w:t>
            </w:r>
            <w:r>
              <w:rPr>
                <w:rFonts w:ascii="宋体" w:hAnsi="宋体"/>
                <w:b/>
                <w:sz w:val="22"/>
                <w:szCs w:val="22"/>
                <w:highlight w:val="none"/>
              </w:rPr>
              <w:t>@</w:t>
            </w:r>
            <w:r>
              <w:rPr>
                <w:rFonts w:hint="eastAsia" w:ascii="宋体" w:hAnsi="宋体"/>
                <w:b/>
                <w:sz w:val="22"/>
                <w:szCs w:val="22"/>
                <w:highlight w:val="none"/>
              </w:rPr>
              <w:t>q</w:t>
            </w:r>
            <w:r>
              <w:rPr>
                <w:rFonts w:ascii="宋体" w:hAnsi="宋体"/>
                <w:b/>
                <w:sz w:val="22"/>
                <w:szCs w:val="22"/>
                <w:highlight w:val="none"/>
              </w:rPr>
              <w:t>q.com）</w:t>
            </w:r>
            <w:r>
              <w:rPr>
                <w:rFonts w:hint="eastAsia" w:ascii="宋体" w:hAnsi="宋体"/>
                <w:b/>
                <w:sz w:val="22"/>
                <w:szCs w:val="22"/>
                <w:highlight w:val="none"/>
              </w:rPr>
              <w:t>，否则会影响合同款的支付。</w:t>
            </w:r>
          </w:p>
          <w:p w14:paraId="4893B53E">
            <w:pPr>
              <w:wordWrap w:val="0"/>
              <w:adjustRightInd w:val="0"/>
              <w:snapToGrid w:val="0"/>
              <w:spacing w:line="360" w:lineRule="exact"/>
              <w:rPr>
                <w:rFonts w:ascii="宋体" w:hAnsi="宋体"/>
                <w:b/>
                <w:sz w:val="22"/>
                <w:szCs w:val="22"/>
                <w:highlight w:val="none"/>
              </w:rPr>
            </w:pPr>
            <w:r>
              <w:rPr>
                <w:rFonts w:hint="eastAsia" w:ascii="宋体" w:hAnsi="宋体"/>
                <w:sz w:val="22"/>
                <w:szCs w:val="22"/>
                <w:highlight w:val="none"/>
              </w:rPr>
              <w:t>6、</w:t>
            </w:r>
            <w:r>
              <w:rPr>
                <w:rFonts w:hint="eastAsia" w:ascii="宋体" w:hAnsi="宋体"/>
                <w:b/>
                <w:sz w:val="22"/>
                <w:szCs w:val="22"/>
                <w:highlight w:val="none"/>
              </w:rPr>
              <w:t>政采云公司如对“政府采购项目电子交易管理操作”有调整的，按调整后的说明操作。</w:t>
            </w:r>
          </w:p>
          <w:p w14:paraId="659CF578">
            <w:pPr>
              <w:wordWrap w:val="0"/>
              <w:adjustRightInd w:val="0"/>
              <w:snapToGrid w:val="0"/>
              <w:spacing w:line="360" w:lineRule="exact"/>
              <w:rPr>
                <w:rFonts w:ascii="宋体" w:hAnsi="宋体"/>
                <w:b/>
                <w:sz w:val="22"/>
                <w:szCs w:val="22"/>
                <w:highlight w:val="none"/>
              </w:rPr>
            </w:pPr>
            <w:r>
              <w:rPr>
                <w:rFonts w:hint="eastAsia" w:ascii="宋体" w:hAnsi="宋体"/>
                <w:b/>
                <w:sz w:val="22"/>
                <w:szCs w:val="22"/>
                <w:highlight w:val="none"/>
              </w:rPr>
              <w:t>7、本项目仅提供电子版招标文件，电子版招标</w:t>
            </w:r>
            <w:r>
              <w:rPr>
                <w:rFonts w:ascii="宋体" w:hAnsi="宋体"/>
                <w:b/>
                <w:sz w:val="22"/>
                <w:szCs w:val="22"/>
                <w:highlight w:val="none"/>
              </w:rPr>
              <w:t>文件与纸质版</w:t>
            </w:r>
            <w:r>
              <w:rPr>
                <w:rFonts w:hint="eastAsia" w:ascii="宋体" w:hAnsi="宋体"/>
                <w:b/>
                <w:sz w:val="22"/>
                <w:szCs w:val="22"/>
                <w:highlight w:val="none"/>
              </w:rPr>
              <w:t>招标文件</w:t>
            </w:r>
            <w:r>
              <w:rPr>
                <w:rFonts w:ascii="宋体" w:hAnsi="宋体"/>
                <w:b/>
                <w:sz w:val="22"/>
                <w:szCs w:val="22"/>
                <w:highlight w:val="none"/>
              </w:rPr>
              <w:t>具有同等效力</w:t>
            </w:r>
            <w:r>
              <w:rPr>
                <w:rFonts w:hint="eastAsia" w:ascii="宋体" w:hAnsi="宋体"/>
                <w:b/>
                <w:sz w:val="22"/>
                <w:szCs w:val="22"/>
                <w:highlight w:val="none"/>
              </w:rPr>
              <w:t>。</w:t>
            </w:r>
          </w:p>
        </w:tc>
      </w:tr>
    </w:tbl>
    <w:p w14:paraId="01E03A64">
      <w:pPr>
        <w:pStyle w:val="4"/>
        <w:spacing w:line="400" w:lineRule="exact"/>
        <w:jc w:val="center"/>
        <w:rPr>
          <w:rFonts w:ascii="宋体" w:hAnsi="宋体" w:eastAsia="宋体" w:cs="Courier New"/>
          <w:highlight w:val="none"/>
        </w:rPr>
      </w:pPr>
      <w:r>
        <w:rPr>
          <w:rFonts w:ascii="宋体" w:hAnsi="宋体" w:eastAsia="宋体" w:cs="Courier New"/>
          <w:highlight w:val="none"/>
          <w:lang w:val="en-US"/>
        </w:rPr>
        <w:br w:type="page"/>
      </w:r>
      <w:bookmarkStart w:id="43" w:name="_Toc146181141"/>
      <w:r>
        <w:rPr>
          <w:rFonts w:hint="eastAsia" w:ascii="宋体" w:hAnsi="宋体" w:eastAsia="宋体" w:cs="Courier New"/>
          <w:highlight w:val="none"/>
        </w:rPr>
        <w:t>一、 说明</w:t>
      </w:r>
      <w:bookmarkEnd w:id="32"/>
      <w:bookmarkEnd w:id="33"/>
      <w:bookmarkEnd w:id="34"/>
      <w:bookmarkEnd w:id="35"/>
      <w:bookmarkEnd w:id="36"/>
      <w:bookmarkEnd w:id="37"/>
      <w:bookmarkEnd w:id="38"/>
      <w:bookmarkEnd w:id="39"/>
      <w:bookmarkEnd w:id="40"/>
      <w:bookmarkEnd w:id="41"/>
      <w:bookmarkEnd w:id="43"/>
    </w:p>
    <w:p w14:paraId="122CBA04">
      <w:pPr>
        <w:numPr>
          <w:ilvl w:val="0"/>
          <w:numId w:val="1"/>
        </w:numPr>
        <w:tabs>
          <w:tab w:val="left" w:pos="525"/>
          <w:tab w:val="left" w:pos="900"/>
        </w:tabs>
        <w:spacing w:line="360" w:lineRule="auto"/>
        <w:rPr>
          <w:rFonts w:ascii="宋体" w:hAnsi="宋体" w:cs="Courier New"/>
          <w:sz w:val="22"/>
          <w:szCs w:val="22"/>
          <w:highlight w:val="none"/>
        </w:rPr>
      </w:pPr>
      <w:r>
        <w:rPr>
          <w:rFonts w:hint="eastAsia" w:ascii="宋体" w:hAnsi="宋体"/>
          <w:sz w:val="22"/>
          <w:szCs w:val="22"/>
          <w:highlight w:val="none"/>
        </w:rPr>
        <w:t>适用范围：适用于招标文件载明项目的政府采购活动（以下简称：“本次采购活动”）。</w:t>
      </w:r>
    </w:p>
    <w:p w14:paraId="58E8DAF5">
      <w:pPr>
        <w:numPr>
          <w:ilvl w:val="0"/>
          <w:numId w:val="1"/>
        </w:numPr>
        <w:tabs>
          <w:tab w:val="left" w:pos="540"/>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采购人、采购代理机构：见投标人须知前附表。</w:t>
      </w:r>
    </w:p>
    <w:p w14:paraId="7824DFFD">
      <w:pPr>
        <w:numPr>
          <w:ilvl w:val="0"/>
          <w:numId w:val="1"/>
        </w:numPr>
        <w:tabs>
          <w:tab w:val="left" w:pos="52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投标人：</w:t>
      </w:r>
      <w:r>
        <w:rPr>
          <w:rFonts w:ascii="宋体" w:hAnsi="宋体" w:cs="Courier New"/>
          <w:sz w:val="22"/>
          <w:szCs w:val="22"/>
          <w:highlight w:val="none"/>
        </w:rPr>
        <w:t>是响应招标、参加投标竞争的</w:t>
      </w:r>
      <w:r>
        <w:rPr>
          <w:rFonts w:hint="eastAsia" w:ascii="宋体" w:hAnsi="宋体" w:cs="Courier New"/>
          <w:sz w:val="22"/>
          <w:szCs w:val="22"/>
          <w:highlight w:val="none"/>
        </w:rPr>
        <w:t>供应商。</w:t>
      </w:r>
    </w:p>
    <w:p w14:paraId="39B1D7D5">
      <w:pPr>
        <w:numPr>
          <w:ilvl w:val="0"/>
          <w:numId w:val="1"/>
        </w:numPr>
        <w:tabs>
          <w:tab w:val="left" w:pos="525"/>
        </w:tabs>
        <w:spacing w:line="360" w:lineRule="auto"/>
        <w:rPr>
          <w:rFonts w:ascii="宋体" w:hAnsi="宋体" w:cs="Courier New"/>
          <w:sz w:val="22"/>
          <w:szCs w:val="22"/>
          <w:highlight w:val="none"/>
        </w:rPr>
      </w:pPr>
      <w:r>
        <w:rPr>
          <w:rFonts w:hint="eastAsia" w:ascii="宋体" w:hAnsi="宋体" w:cs="Courier New"/>
          <w:sz w:val="22"/>
          <w:szCs w:val="22"/>
          <w:highlight w:val="none"/>
        </w:rPr>
        <w:t>潜在供应商：有意向参加本项目投标的供应商。</w:t>
      </w:r>
    </w:p>
    <w:p w14:paraId="76B1E802">
      <w:pPr>
        <w:numPr>
          <w:ilvl w:val="0"/>
          <w:numId w:val="1"/>
        </w:numPr>
        <w:tabs>
          <w:tab w:val="left" w:pos="52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投标人代表</w:t>
      </w:r>
    </w:p>
    <w:p w14:paraId="221E8891">
      <w:pPr>
        <w:numPr>
          <w:ilvl w:val="1"/>
          <w:numId w:val="1"/>
        </w:numPr>
        <w:spacing w:line="360" w:lineRule="auto"/>
        <w:rPr>
          <w:rFonts w:ascii="宋体" w:hAnsi="宋体"/>
          <w:sz w:val="22"/>
          <w:szCs w:val="22"/>
          <w:highlight w:val="none"/>
        </w:rPr>
      </w:pPr>
      <w:r>
        <w:rPr>
          <w:rFonts w:hint="eastAsia" w:ascii="宋体" w:hAnsi="宋体"/>
          <w:sz w:val="22"/>
          <w:szCs w:val="22"/>
          <w:highlight w:val="none"/>
        </w:rPr>
        <w:t>指全权代表投标人参加投标活动并签署投标文件的人。如果投标人代表不是单位负责人，须持有《单位负责人授权书》。</w:t>
      </w:r>
    </w:p>
    <w:p w14:paraId="0869F5A0">
      <w:pPr>
        <w:numPr>
          <w:ilvl w:val="1"/>
          <w:numId w:val="1"/>
        </w:numPr>
        <w:tabs>
          <w:tab w:val="left" w:pos="525"/>
          <w:tab w:val="left" w:pos="635"/>
          <w:tab w:val="left" w:pos="900"/>
        </w:tabs>
        <w:spacing w:line="360" w:lineRule="auto"/>
        <w:rPr>
          <w:rFonts w:ascii="宋体" w:hAnsi="宋体" w:cs="Courier New"/>
          <w:sz w:val="22"/>
          <w:szCs w:val="22"/>
          <w:highlight w:val="none"/>
        </w:rPr>
      </w:pPr>
      <w:r>
        <w:rPr>
          <w:rFonts w:ascii="宋体" w:hAnsi="宋体" w:cs="Courier New"/>
          <w:sz w:val="22"/>
          <w:szCs w:val="22"/>
          <w:highlight w:val="none"/>
        </w:rPr>
        <w:t>“单位负责人”指单位</w:t>
      </w:r>
      <w:r>
        <w:rPr>
          <w:rFonts w:hint="eastAsia" w:ascii="宋体" w:hAnsi="宋体"/>
          <w:sz w:val="22"/>
          <w:szCs w:val="22"/>
          <w:highlight w:val="none"/>
        </w:rPr>
        <w:t>法定代表人</w:t>
      </w:r>
      <w:r>
        <w:rPr>
          <w:rFonts w:ascii="宋体" w:hAnsi="宋体" w:cs="Courier New"/>
          <w:sz w:val="22"/>
          <w:szCs w:val="22"/>
          <w:highlight w:val="none"/>
        </w:rPr>
        <w:t>或法律、法规规定代表单位行使职权的主要负责人。</w:t>
      </w:r>
    </w:p>
    <w:p w14:paraId="6EE57785">
      <w:pPr>
        <w:numPr>
          <w:ilvl w:val="0"/>
          <w:numId w:val="1"/>
        </w:numPr>
        <w:tabs>
          <w:tab w:val="left" w:pos="52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“电子签名”系指数据电文中以电子形式所含、所附用于识别签名人身份并表明签名人认可其中内容的数据；“公章”系指单位法定名称章。</w:t>
      </w:r>
    </w:p>
    <w:p w14:paraId="74272C83">
      <w:pPr>
        <w:numPr>
          <w:ilvl w:val="0"/>
          <w:numId w:val="1"/>
        </w:numPr>
        <w:tabs>
          <w:tab w:val="left" w:pos="52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“电子交易平台”系指本项目政府采购活动所依托的“政府采购云平台”（www.zcygov.cn）。</w:t>
      </w:r>
    </w:p>
    <w:p w14:paraId="1DE39FE4">
      <w:pPr>
        <w:numPr>
          <w:ilvl w:val="0"/>
          <w:numId w:val="1"/>
        </w:numPr>
        <w:tabs>
          <w:tab w:val="left" w:pos="525"/>
          <w:tab w:val="left" w:pos="900"/>
        </w:tabs>
        <w:spacing w:line="360" w:lineRule="auto"/>
        <w:rPr>
          <w:rFonts w:ascii="宋体" w:hAnsi="宋体" w:cs="Courier New"/>
          <w:b/>
          <w:bCs/>
          <w:sz w:val="22"/>
          <w:szCs w:val="22"/>
          <w:highlight w:val="none"/>
          <w:u w:val="single"/>
        </w:rPr>
      </w:pPr>
      <w:r>
        <w:rPr>
          <w:rFonts w:hint="eastAsia" w:ascii="宋体" w:hAnsi="宋体" w:cs="Courier New"/>
          <w:b/>
          <w:bCs/>
          <w:sz w:val="22"/>
          <w:szCs w:val="22"/>
          <w:highlight w:val="none"/>
          <w:u w:val="single"/>
        </w:rPr>
        <w:t>“▲”且加下划线的条款系指实质性要求条款，“★”系采购项目中重要参数要求，“</w:t>
      </w:r>
      <w:r>
        <w:rPr>
          <w:rFonts w:hint="eastAsia" w:ascii="宋体" w:hAnsi="宋体" w:cs="Courier New"/>
          <w:b/>
          <w:bCs/>
          <w:sz w:val="22"/>
          <w:szCs w:val="22"/>
          <w:highlight w:val="none"/>
          <w:u w:val="single"/>
        </w:rPr>
        <w:sym w:font="Wingdings" w:char="00FE"/>
      </w:r>
      <w:r>
        <w:rPr>
          <w:rFonts w:hint="eastAsia" w:ascii="宋体" w:hAnsi="宋体" w:cs="Courier New"/>
          <w:b/>
          <w:bCs/>
          <w:sz w:val="22"/>
          <w:szCs w:val="22"/>
          <w:highlight w:val="none"/>
          <w:u w:val="single"/>
        </w:rPr>
        <w:t>” 系指适用本项目的要求。</w:t>
      </w:r>
    </w:p>
    <w:p w14:paraId="4079C2DF">
      <w:pPr>
        <w:numPr>
          <w:ilvl w:val="0"/>
          <w:numId w:val="1"/>
        </w:numPr>
        <w:tabs>
          <w:tab w:val="left" w:pos="525"/>
          <w:tab w:val="left" w:pos="900"/>
        </w:tabs>
        <w:spacing w:line="360" w:lineRule="auto"/>
        <w:rPr>
          <w:rFonts w:ascii="宋体" w:hAnsi="宋体"/>
          <w:sz w:val="22"/>
          <w:szCs w:val="22"/>
          <w:highlight w:val="none"/>
        </w:rPr>
      </w:pPr>
      <w:r>
        <w:rPr>
          <w:rFonts w:hint="eastAsia" w:ascii="宋体" w:hAnsi="宋体"/>
          <w:sz w:val="22"/>
          <w:szCs w:val="22"/>
          <w:highlight w:val="none"/>
        </w:rPr>
        <w:t>特别说明</w:t>
      </w:r>
    </w:p>
    <w:p w14:paraId="1A35C513">
      <w:pPr>
        <w:numPr>
          <w:ilvl w:val="1"/>
          <w:numId w:val="1"/>
        </w:numPr>
        <w:tabs>
          <w:tab w:val="left" w:pos="525"/>
          <w:tab w:val="left" w:pos="635"/>
          <w:tab w:val="left" w:pos="900"/>
        </w:tabs>
        <w:spacing w:line="360" w:lineRule="auto"/>
        <w:rPr>
          <w:rFonts w:ascii="宋体" w:hAnsi="宋体" w:cs="仿宋"/>
          <w:sz w:val="22"/>
          <w:szCs w:val="22"/>
          <w:highlight w:val="none"/>
        </w:rPr>
      </w:pPr>
      <w:r>
        <w:rPr>
          <w:rFonts w:hint="eastAsia" w:ascii="宋体" w:hAnsi="宋体" w:cs="仿宋"/>
          <w:sz w:val="22"/>
          <w:szCs w:val="22"/>
          <w:highlight w:val="none"/>
        </w:rPr>
        <w:t>关于知识产权</w:t>
      </w:r>
    </w:p>
    <w:p w14:paraId="1BD61823">
      <w:pPr>
        <w:numPr>
          <w:ilvl w:val="2"/>
          <w:numId w:val="1"/>
        </w:numPr>
        <w:tabs>
          <w:tab w:val="left" w:pos="525"/>
          <w:tab w:val="left" w:pos="635"/>
          <w:tab w:val="left" w:pos="900"/>
        </w:tabs>
        <w:spacing w:line="360" w:lineRule="auto"/>
        <w:rPr>
          <w:rFonts w:ascii="宋体" w:hAnsi="宋体" w:cs="仿宋"/>
          <w:sz w:val="22"/>
          <w:szCs w:val="22"/>
          <w:highlight w:val="none"/>
        </w:rPr>
      </w:pPr>
      <w:r>
        <w:rPr>
          <w:rFonts w:hint="eastAsia" w:ascii="宋体" w:hAnsi="宋体" w:cs="仿宋"/>
          <w:sz w:val="22"/>
          <w:szCs w:val="22"/>
          <w:highlight w:val="none"/>
        </w:rPr>
        <w:t>供应商必须保证，采购人在中华人民共和国境内使用投标货物、资料、技术、服务或其任何一部分时，如有第三方向采购人提出侵犯其专利权、商标权或其它知识产权的主张，该责任应由供应商承担。</w:t>
      </w:r>
    </w:p>
    <w:p w14:paraId="7F68ACF6">
      <w:pPr>
        <w:numPr>
          <w:ilvl w:val="2"/>
          <w:numId w:val="1"/>
        </w:numPr>
        <w:tabs>
          <w:tab w:val="left" w:pos="525"/>
          <w:tab w:val="left" w:pos="635"/>
          <w:tab w:val="left" w:pos="900"/>
        </w:tabs>
        <w:spacing w:line="360" w:lineRule="auto"/>
        <w:rPr>
          <w:rFonts w:ascii="宋体" w:hAnsi="宋体" w:cs="仿宋"/>
          <w:sz w:val="22"/>
          <w:szCs w:val="22"/>
          <w:highlight w:val="none"/>
        </w:rPr>
      </w:pPr>
      <w:r>
        <w:rPr>
          <w:rFonts w:hint="eastAsia" w:ascii="宋体" w:hAnsi="宋体" w:cs="仿宋"/>
          <w:sz w:val="22"/>
          <w:szCs w:val="22"/>
          <w:highlight w:val="none"/>
        </w:rPr>
        <w:t>投标报价应包含所有应向所有权人支付的专利权、商标权或其它知识产权的一切相关费用。</w:t>
      </w:r>
    </w:p>
    <w:p w14:paraId="6DC046AF">
      <w:pPr>
        <w:numPr>
          <w:ilvl w:val="2"/>
          <w:numId w:val="1"/>
        </w:numPr>
        <w:tabs>
          <w:tab w:val="left" w:pos="525"/>
          <w:tab w:val="left" w:pos="635"/>
          <w:tab w:val="left" w:pos="900"/>
        </w:tabs>
        <w:spacing w:line="360" w:lineRule="auto"/>
        <w:rPr>
          <w:rFonts w:ascii="宋体" w:hAnsi="宋体" w:cs="仿宋"/>
          <w:sz w:val="22"/>
          <w:szCs w:val="22"/>
          <w:highlight w:val="none"/>
        </w:rPr>
      </w:pPr>
      <w:r>
        <w:rPr>
          <w:rFonts w:hint="eastAsia" w:ascii="宋体" w:hAnsi="宋体" w:cs="仿宋"/>
          <w:sz w:val="22"/>
          <w:szCs w:val="22"/>
          <w:highlight w:val="none"/>
        </w:rPr>
        <w:t>系统软件、通用软件必须是具有在中国境内的合法使用权或版权的正版软件，涉及到第三方提出侵权或知识产权的起诉及支付版税等费用由供应商承担所有责任及费用。</w:t>
      </w:r>
    </w:p>
    <w:p w14:paraId="0464A861">
      <w:pPr>
        <w:numPr>
          <w:ilvl w:val="1"/>
          <w:numId w:val="1"/>
        </w:numPr>
        <w:tabs>
          <w:tab w:val="left" w:pos="525"/>
          <w:tab w:val="left" w:pos="635"/>
          <w:tab w:val="left" w:pos="900"/>
        </w:tabs>
        <w:spacing w:line="360" w:lineRule="auto"/>
        <w:rPr>
          <w:rFonts w:ascii="宋体" w:hAnsi="宋体" w:cs="仿宋"/>
          <w:sz w:val="22"/>
          <w:szCs w:val="22"/>
          <w:highlight w:val="none"/>
        </w:rPr>
      </w:pPr>
      <w:r>
        <w:rPr>
          <w:rFonts w:hint="eastAsia" w:ascii="宋体" w:hAnsi="宋体" w:cs="仿宋"/>
          <w:sz w:val="22"/>
          <w:szCs w:val="22"/>
          <w:highlight w:val="none"/>
        </w:rPr>
        <w:t>投标费用</w:t>
      </w:r>
    </w:p>
    <w:p w14:paraId="249C4E02">
      <w:pPr>
        <w:numPr>
          <w:ilvl w:val="2"/>
          <w:numId w:val="1"/>
        </w:numPr>
        <w:tabs>
          <w:tab w:val="left" w:pos="525"/>
          <w:tab w:val="left" w:pos="635"/>
          <w:tab w:val="left" w:pos="900"/>
        </w:tabs>
        <w:spacing w:line="360" w:lineRule="auto"/>
        <w:rPr>
          <w:rFonts w:ascii="宋体" w:hAnsi="宋体"/>
          <w:sz w:val="22"/>
          <w:szCs w:val="22"/>
          <w:highlight w:val="none"/>
        </w:rPr>
      </w:pPr>
      <w:bookmarkStart w:id="44" w:name="_Hlk100432752"/>
      <w:r>
        <w:rPr>
          <w:rFonts w:hint="eastAsia" w:ascii="宋体" w:hAnsi="宋体"/>
          <w:sz w:val="22"/>
          <w:szCs w:val="22"/>
          <w:highlight w:val="none"/>
        </w:rPr>
        <w:t>投标人应自行承担所有与准备和参加本次采购活动有关费用</w:t>
      </w:r>
      <w:bookmarkEnd w:id="44"/>
      <w:r>
        <w:rPr>
          <w:rFonts w:hint="eastAsia" w:ascii="宋体" w:hAnsi="宋体"/>
          <w:sz w:val="22"/>
          <w:szCs w:val="22"/>
          <w:highlight w:val="none"/>
        </w:rPr>
        <w:t>，不论投标的结果如何，采购人和采购代理机构（以下统称“招标采购单位”）均无义务和责任承担这些费用。</w:t>
      </w:r>
    </w:p>
    <w:p w14:paraId="1B69621E">
      <w:pPr>
        <w:numPr>
          <w:ilvl w:val="2"/>
          <w:numId w:val="1"/>
        </w:numPr>
        <w:tabs>
          <w:tab w:val="left" w:pos="525"/>
          <w:tab w:val="left" w:pos="635"/>
          <w:tab w:val="left" w:pos="900"/>
        </w:tabs>
        <w:spacing w:line="360" w:lineRule="auto"/>
        <w:rPr>
          <w:rFonts w:ascii="宋体" w:hAnsi="宋体" w:cs="仿宋"/>
          <w:sz w:val="22"/>
          <w:szCs w:val="22"/>
          <w:highlight w:val="none"/>
        </w:rPr>
      </w:pPr>
      <w:r>
        <w:rPr>
          <w:rFonts w:hint="eastAsia" w:ascii="宋体" w:hAnsi="宋体"/>
          <w:sz w:val="22"/>
          <w:szCs w:val="22"/>
          <w:highlight w:val="none"/>
        </w:rPr>
        <w:t>无论</w:t>
      </w:r>
      <w:r>
        <w:rPr>
          <w:rFonts w:hint="eastAsia" w:ascii="宋体" w:hAnsi="宋体" w:cs="仿宋"/>
          <w:sz w:val="22"/>
          <w:szCs w:val="22"/>
          <w:highlight w:val="none"/>
        </w:rPr>
        <w:t>因何种原因导致本次采购活动终止致供应商损失的，相关责任人均不承担任何责任。</w:t>
      </w:r>
    </w:p>
    <w:p w14:paraId="34E5E600">
      <w:pPr>
        <w:pStyle w:val="2"/>
        <w:rPr>
          <w:rFonts w:ascii="宋体" w:hAnsi="宋体" w:eastAsia="宋体"/>
          <w:highlight w:val="none"/>
        </w:rPr>
      </w:pPr>
    </w:p>
    <w:p w14:paraId="72B56451">
      <w:pPr>
        <w:pStyle w:val="4"/>
        <w:tabs>
          <w:tab w:val="left" w:pos="22"/>
          <w:tab w:val="center" w:pos="4819"/>
        </w:tabs>
        <w:spacing w:line="400" w:lineRule="exact"/>
        <w:jc w:val="center"/>
        <w:rPr>
          <w:rFonts w:ascii="宋体" w:hAnsi="宋体" w:eastAsia="宋体" w:cs="Courier New"/>
          <w:highlight w:val="none"/>
        </w:rPr>
      </w:pPr>
      <w:bookmarkStart w:id="45" w:name="_Toc146181142"/>
      <w:bookmarkStart w:id="46" w:name="_Toc215415531"/>
      <w:bookmarkStart w:id="47" w:name="_Toc205877558"/>
      <w:bookmarkStart w:id="48" w:name="_Toc210879709"/>
      <w:bookmarkStart w:id="49" w:name="_Toc205877453"/>
      <w:bookmarkStart w:id="50" w:name="_Toc204491318"/>
      <w:bookmarkStart w:id="51" w:name="_Toc205004969"/>
      <w:bookmarkStart w:id="52" w:name="_Toc209250720"/>
      <w:bookmarkStart w:id="53" w:name="_Toc207609182"/>
      <w:bookmarkStart w:id="54" w:name="_Toc223717605"/>
      <w:bookmarkStart w:id="55" w:name="_Toc219538614"/>
      <w:bookmarkStart w:id="56" w:name="_Toc209332634"/>
      <w:bookmarkStart w:id="57" w:name="_Toc205703103"/>
      <w:bookmarkStart w:id="58" w:name="_Toc216667821"/>
      <w:bookmarkStart w:id="59" w:name="_Toc209261366"/>
      <w:bookmarkStart w:id="60" w:name="_Toc223933222"/>
      <w:bookmarkStart w:id="61" w:name="_Toc217460686"/>
      <w:bookmarkStart w:id="62" w:name="_Toc205005287"/>
      <w:bookmarkStart w:id="63" w:name="_Toc214365791"/>
      <w:bookmarkStart w:id="64" w:name="_Toc227057034"/>
      <w:bookmarkStart w:id="65" w:name="_Toc209261433"/>
      <w:bookmarkStart w:id="66" w:name="_Toc204578576"/>
      <w:bookmarkStart w:id="67" w:name="_Toc218041727"/>
      <w:bookmarkStart w:id="68" w:name="_Toc227056847"/>
      <w:bookmarkStart w:id="69" w:name="_Toc209251128"/>
      <w:bookmarkStart w:id="70" w:name="_Toc227489888"/>
      <w:r>
        <w:rPr>
          <w:rFonts w:hint="eastAsia" w:ascii="宋体" w:hAnsi="宋体" w:eastAsia="宋体" w:cs="Courier New"/>
          <w:highlight w:val="none"/>
        </w:rPr>
        <w:t xml:space="preserve">二、 </w:t>
      </w:r>
      <w:r>
        <w:rPr>
          <w:rFonts w:ascii="宋体" w:hAnsi="宋体" w:eastAsia="宋体" w:cs="Courier New"/>
          <w:highlight w:val="none"/>
        </w:rPr>
        <w:t>政府采购政策</w:t>
      </w:r>
      <w:bookmarkEnd w:id="45"/>
    </w:p>
    <w:p w14:paraId="33D65ADB">
      <w:pPr>
        <w:numPr>
          <w:ilvl w:val="0"/>
          <w:numId w:val="1"/>
        </w:numPr>
        <w:tabs>
          <w:tab w:val="left" w:pos="540"/>
          <w:tab w:val="left" w:pos="900"/>
        </w:tabs>
        <w:spacing w:line="360" w:lineRule="auto"/>
        <w:rPr>
          <w:rFonts w:ascii="宋体" w:hAnsi="宋体" w:cs="Courier New"/>
          <w:sz w:val="22"/>
          <w:szCs w:val="22"/>
          <w:highlight w:val="none"/>
        </w:rPr>
      </w:pPr>
      <w:r>
        <w:rPr>
          <w:rFonts w:ascii="宋体" w:hAnsi="宋体" w:cs="Courier New"/>
          <w:sz w:val="22"/>
          <w:szCs w:val="22"/>
          <w:highlight w:val="none"/>
        </w:rPr>
        <w:t>政府采购政策，包括但不限于下列具体政策要求：</w:t>
      </w:r>
    </w:p>
    <w:p w14:paraId="41685EE5">
      <w:pPr>
        <w:numPr>
          <w:ilvl w:val="1"/>
          <w:numId w:val="1"/>
        </w:numPr>
        <w:tabs>
          <w:tab w:val="left" w:pos="540"/>
          <w:tab w:val="left" w:pos="635"/>
          <w:tab w:val="left" w:pos="900"/>
        </w:tabs>
        <w:spacing w:line="360" w:lineRule="auto"/>
        <w:rPr>
          <w:rFonts w:ascii="宋体" w:hAnsi="宋体"/>
          <w:b/>
          <w:sz w:val="22"/>
          <w:szCs w:val="22"/>
          <w:highlight w:val="none"/>
          <w:u w:val="single"/>
        </w:rPr>
      </w:pPr>
      <w:bookmarkStart w:id="71" w:name="_Hlk100427804"/>
      <w:r>
        <w:rPr>
          <w:rFonts w:hint="eastAsia" w:ascii="宋体" w:hAnsi="宋体" w:cs="仿宋"/>
          <w:b/>
          <w:sz w:val="22"/>
          <w:szCs w:val="22"/>
          <w:highlight w:val="none"/>
          <w:u w:val="single"/>
        </w:rPr>
        <w:t>▲</w:t>
      </w:r>
      <w:r>
        <w:rPr>
          <w:rFonts w:hint="eastAsia" w:ascii="宋体" w:hAnsi="宋体"/>
          <w:b/>
          <w:sz w:val="22"/>
          <w:szCs w:val="22"/>
          <w:highlight w:val="none"/>
          <w:u w:val="single"/>
        </w:rPr>
        <w:t>本项目原则上采购本国生产的货物、工程和服务，不允许采购进口产品。</w:t>
      </w:r>
    </w:p>
    <w:p w14:paraId="5C0D6123">
      <w:pPr>
        <w:numPr>
          <w:ilvl w:val="1"/>
          <w:numId w:val="1"/>
        </w:numPr>
        <w:tabs>
          <w:tab w:val="left" w:pos="525"/>
          <w:tab w:val="left" w:pos="635"/>
          <w:tab w:val="left" w:pos="900"/>
        </w:tabs>
        <w:spacing w:line="360" w:lineRule="auto"/>
        <w:rPr>
          <w:rFonts w:ascii="宋体" w:hAnsi="宋体" w:cs="仿宋"/>
          <w:sz w:val="22"/>
          <w:szCs w:val="22"/>
          <w:highlight w:val="none"/>
        </w:rPr>
      </w:pPr>
      <w:r>
        <w:rPr>
          <w:rFonts w:hint="eastAsia" w:ascii="宋体" w:hAnsi="宋体" w:cs="仿宋"/>
          <w:sz w:val="22"/>
          <w:szCs w:val="22"/>
          <w:highlight w:val="none"/>
        </w:rPr>
        <w:t>支持绿色发展</w:t>
      </w:r>
    </w:p>
    <w:p w14:paraId="085475C7">
      <w:pPr>
        <w:numPr>
          <w:ilvl w:val="2"/>
          <w:numId w:val="1"/>
        </w:numPr>
        <w:tabs>
          <w:tab w:val="clear" w:pos="709"/>
        </w:tabs>
        <w:spacing w:line="360" w:lineRule="auto"/>
        <w:rPr>
          <w:rFonts w:ascii="宋体" w:hAnsi="宋体" w:cs="仿宋"/>
          <w:b/>
          <w:sz w:val="22"/>
          <w:szCs w:val="22"/>
          <w:highlight w:val="none"/>
          <w:u w:val="single"/>
        </w:rPr>
      </w:pPr>
      <w:r>
        <w:rPr>
          <w:rFonts w:hint="eastAsia" w:ascii="宋体" w:hAnsi="宋体" w:cs="仿宋"/>
          <w:sz w:val="22"/>
          <w:szCs w:val="22"/>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cs="仿宋"/>
          <w:b/>
          <w:sz w:val="22"/>
          <w:szCs w:val="22"/>
          <w:highlight w:val="none"/>
          <w:u w:val="single"/>
        </w:rPr>
        <w:t>▲</w:t>
      </w:r>
      <w:r>
        <w:rPr>
          <w:rFonts w:hint="eastAsia" w:ascii="宋体" w:hAnsi="宋体"/>
          <w:b/>
          <w:bCs/>
          <w:sz w:val="22"/>
          <w:szCs w:val="22"/>
          <w:highlight w:val="none"/>
          <w:u w:val="single"/>
        </w:rPr>
        <w:t>如本项目采购产品属于实施政府强制采购品目清单范围的节能产品，则投标人</w:t>
      </w:r>
      <w:r>
        <w:rPr>
          <w:rFonts w:hint="eastAsia" w:ascii="宋体" w:hAnsi="宋体" w:cs="仿宋"/>
          <w:b/>
          <w:sz w:val="22"/>
          <w:szCs w:val="22"/>
          <w:highlight w:val="none"/>
          <w:u w:val="single"/>
        </w:rPr>
        <w:t>相应的投标产品</w:t>
      </w:r>
      <w:r>
        <w:rPr>
          <w:rFonts w:hint="eastAsia" w:ascii="宋体" w:hAnsi="宋体"/>
          <w:b/>
          <w:bCs/>
          <w:sz w:val="22"/>
          <w:szCs w:val="22"/>
          <w:highlight w:val="none"/>
          <w:u w:val="single"/>
        </w:rPr>
        <w:t>必须获得国家确定的认证机构出具的、处于有效期之内的节能产品认证证书，否则投标无效。</w:t>
      </w:r>
    </w:p>
    <w:p w14:paraId="2B3702A6">
      <w:pPr>
        <w:numPr>
          <w:ilvl w:val="2"/>
          <w:numId w:val="1"/>
        </w:numPr>
        <w:tabs>
          <w:tab w:val="clear" w:pos="709"/>
        </w:tabs>
        <w:spacing w:line="360" w:lineRule="auto"/>
        <w:rPr>
          <w:rFonts w:ascii="宋体" w:hAnsi="宋体" w:cs="仿宋"/>
          <w:sz w:val="22"/>
          <w:szCs w:val="22"/>
          <w:highlight w:val="none"/>
        </w:rPr>
      </w:pPr>
      <w:r>
        <w:rPr>
          <w:rFonts w:hint="eastAsia" w:ascii="宋体" w:hAnsi="宋体" w:cs="仿宋"/>
          <w:sz w:val="22"/>
          <w:szCs w:val="22"/>
          <w:highlight w:val="none"/>
        </w:rPr>
        <w:t>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72" w:name="_Hlk107568539"/>
      <w:r>
        <w:rPr>
          <w:rFonts w:hint="eastAsia" w:ascii="宋体" w:hAnsi="宋体" w:cs="仿宋"/>
          <w:sz w:val="22"/>
          <w:szCs w:val="22"/>
          <w:highlight w:val="none"/>
        </w:rPr>
        <w:t>鼓励采购单位优先采购秸秆环保板材等资源综合利用产品。鼓励采购单位优先采购绿色物流配送服务、提供新能源交通工具的租赁服务。</w:t>
      </w:r>
    </w:p>
    <w:p w14:paraId="786D6C59">
      <w:pPr>
        <w:numPr>
          <w:ilvl w:val="2"/>
          <w:numId w:val="1"/>
        </w:numPr>
        <w:tabs>
          <w:tab w:val="clear" w:pos="709"/>
        </w:tabs>
        <w:spacing w:line="360" w:lineRule="auto"/>
        <w:rPr>
          <w:rFonts w:ascii="宋体" w:hAnsi="宋体" w:cs="仿宋"/>
          <w:sz w:val="22"/>
          <w:szCs w:val="22"/>
          <w:highlight w:val="none"/>
        </w:rPr>
      </w:pPr>
      <w:r>
        <w:rPr>
          <w:rFonts w:hint="eastAsia" w:ascii="宋体" w:hAnsi="宋体" w:cs="仿宋"/>
          <w:sz w:val="22"/>
          <w:szCs w:val="22"/>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bookmarkEnd w:id="72"/>
    </w:p>
    <w:bookmarkEnd w:id="71"/>
    <w:p w14:paraId="18E28E91">
      <w:pPr>
        <w:numPr>
          <w:ilvl w:val="1"/>
          <w:numId w:val="1"/>
        </w:numPr>
        <w:tabs>
          <w:tab w:val="left" w:pos="540"/>
          <w:tab w:val="left" w:pos="635"/>
          <w:tab w:val="left" w:pos="900"/>
        </w:tabs>
        <w:spacing w:line="360" w:lineRule="auto"/>
        <w:rPr>
          <w:rFonts w:ascii="宋体" w:hAnsi="宋体"/>
          <w:sz w:val="22"/>
          <w:szCs w:val="22"/>
          <w:highlight w:val="none"/>
        </w:rPr>
      </w:pPr>
      <w:r>
        <w:rPr>
          <w:rFonts w:hint="eastAsia" w:ascii="宋体" w:hAnsi="宋体"/>
          <w:sz w:val="22"/>
          <w:szCs w:val="22"/>
          <w:highlight w:val="none"/>
        </w:rPr>
        <w:t>支持中小企业发展</w:t>
      </w:r>
    </w:p>
    <w:p w14:paraId="46840A72">
      <w:pPr>
        <w:spacing w:line="360" w:lineRule="auto"/>
        <w:ind w:left="538" w:leftChars="256"/>
        <w:rPr>
          <w:rFonts w:ascii="宋体" w:hAnsi="宋体"/>
          <w:bCs/>
          <w:sz w:val="22"/>
          <w:szCs w:val="22"/>
          <w:highlight w:val="none"/>
        </w:rPr>
      </w:pPr>
      <w:r>
        <w:rPr>
          <w:rFonts w:hint="eastAsia" w:ascii="宋体" w:hAnsi="宋体"/>
          <w:bCs/>
          <w:sz w:val="22"/>
          <w:szCs w:val="22"/>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29192FA">
      <w:pPr>
        <w:spacing w:line="360" w:lineRule="auto"/>
        <w:ind w:left="538" w:leftChars="256"/>
        <w:rPr>
          <w:rFonts w:ascii="宋体" w:hAnsi="宋体"/>
          <w:bCs/>
          <w:sz w:val="22"/>
          <w:szCs w:val="22"/>
          <w:highlight w:val="none"/>
        </w:rPr>
      </w:pPr>
      <w:r>
        <w:rPr>
          <w:rFonts w:hint="eastAsia" w:ascii="宋体" w:hAnsi="宋体"/>
          <w:bCs/>
          <w:sz w:val="22"/>
          <w:szCs w:val="22"/>
          <w:highlight w:val="none"/>
        </w:rPr>
        <w:t>（2）</w:t>
      </w:r>
      <w:r>
        <w:rPr>
          <w:rFonts w:hint="eastAsia" w:ascii="宋体" w:hAnsi="宋体" w:cs="宋体"/>
          <w:kern w:val="0"/>
          <w:sz w:val="22"/>
          <w:szCs w:val="22"/>
          <w:highlight w:val="none"/>
        </w:rPr>
        <w:t>根据《政府采购促进中小企业发展管理办法》（财库﹝2020﹞46号）的规定，</w:t>
      </w:r>
      <w:r>
        <w:rPr>
          <w:rFonts w:hint="eastAsia" w:ascii="宋体" w:hAnsi="宋体"/>
          <w:bCs/>
          <w:sz w:val="22"/>
          <w:szCs w:val="22"/>
          <w:highlight w:val="none"/>
        </w:rPr>
        <w:t>在政府采购活动中，投标人提供的货物、工程或者服务符合下列情形的，享受中小企业扶持政策：</w:t>
      </w:r>
    </w:p>
    <w:p w14:paraId="35C05950">
      <w:pPr>
        <w:spacing w:line="360" w:lineRule="auto"/>
        <w:ind w:left="538" w:leftChars="256" w:firstLine="220" w:firstLineChars="100"/>
        <w:rPr>
          <w:rFonts w:ascii="宋体" w:hAnsi="宋体"/>
          <w:bCs/>
          <w:sz w:val="22"/>
          <w:szCs w:val="22"/>
          <w:highlight w:val="none"/>
        </w:rPr>
      </w:pPr>
      <w:r>
        <w:rPr>
          <w:rFonts w:hint="eastAsia" w:ascii="宋体" w:hAnsi="宋体"/>
          <w:bCs/>
          <w:sz w:val="22"/>
          <w:szCs w:val="22"/>
          <w:highlight w:val="none"/>
        </w:rPr>
        <w:t>①在货物采购项目中，货物由中小企业制造，即货物由中小企业生产且使用该中小企业商号或者注册商标；</w:t>
      </w:r>
    </w:p>
    <w:p w14:paraId="2F2F1965">
      <w:pPr>
        <w:spacing w:line="360" w:lineRule="auto"/>
        <w:ind w:left="538" w:leftChars="256" w:firstLine="220" w:firstLineChars="100"/>
        <w:rPr>
          <w:rFonts w:ascii="宋体" w:hAnsi="宋体"/>
          <w:bCs/>
          <w:sz w:val="22"/>
          <w:szCs w:val="22"/>
          <w:highlight w:val="none"/>
        </w:rPr>
      </w:pPr>
      <w:r>
        <w:rPr>
          <w:rFonts w:hint="eastAsia" w:ascii="宋体" w:hAnsi="宋体"/>
          <w:bCs/>
          <w:sz w:val="22"/>
          <w:szCs w:val="22"/>
          <w:highlight w:val="none"/>
        </w:rPr>
        <w:t>②在工程采购项目中，工程由中小企业承建，即工程施工单位为中小企业；</w:t>
      </w:r>
    </w:p>
    <w:p w14:paraId="3CEE0E89">
      <w:pPr>
        <w:spacing w:line="360" w:lineRule="auto"/>
        <w:ind w:left="538" w:leftChars="256" w:firstLine="220" w:firstLineChars="100"/>
        <w:rPr>
          <w:rFonts w:ascii="宋体" w:hAnsi="宋体"/>
          <w:bCs/>
          <w:sz w:val="22"/>
          <w:szCs w:val="22"/>
          <w:highlight w:val="none"/>
        </w:rPr>
      </w:pPr>
      <w:bookmarkStart w:id="73" w:name="_Hlk100434150"/>
      <w:r>
        <w:rPr>
          <w:rFonts w:hint="eastAsia" w:ascii="宋体" w:hAnsi="宋体"/>
          <w:bCs/>
          <w:sz w:val="22"/>
          <w:szCs w:val="22"/>
          <w:highlight w:val="none"/>
        </w:rPr>
        <w:t>③</w:t>
      </w:r>
      <w:bookmarkEnd w:id="73"/>
      <w:r>
        <w:rPr>
          <w:rFonts w:hint="eastAsia" w:ascii="宋体" w:hAnsi="宋体"/>
          <w:bCs/>
          <w:sz w:val="22"/>
          <w:szCs w:val="22"/>
          <w:highlight w:val="none"/>
        </w:rPr>
        <w:t>在服务采购项目中，服务由中小企业承接，即提供服务的人员为中小企业依照《中华人民共和国劳动合同法》 订立劳动合同的从业人员。</w:t>
      </w:r>
    </w:p>
    <w:p w14:paraId="13B06541">
      <w:pPr>
        <w:spacing w:line="360" w:lineRule="auto"/>
        <w:ind w:left="538" w:leftChars="256"/>
        <w:rPr>
          <w:rFonts w:ascii="宋体" w:hAnsi="宋体"/>
          <w:bCs/>
          <w:sz w:val="22"/>
          <w:szCs w:val="22"/>
          <w:highlight w:val="none"/>
        </w:rPr>
      </w:pPr>
      <w:r>
        <w:rPr>
          <w:rFonts w:ascii="宋体" w:hAnsi="宋体"/>
          <w:bCs/>
          <w:sz w:val="22"/>
          <w:szCs w:val="22"/>
          <w:highlight w:val="none"/>
        </w:rPr>
        <w:t>（3）符合《关于政府采购支持监狱企业发展有关问题的通知》（财库[2014]68号）规定的监狱企业并提供由省级以上监狱管理局、戒毒管理局（含新疆生产建设兵团）出具的属于监狱企业证明文件的，视同为小型、微型企业。</w:t>
      </w:r>
    </w:p>
    <w:p w14:paraId="71292D07">
      <w:pPr>
        <w:spacing w:line="360" w:lineRule="auto"/>
        <w:ind w:left="538" w:leftChars="256"/>
        <w:rPr>
          <w:rFonts w:ascii="宋体" w:hAnsi="宋体"/>
          <w:bCs/>
          <w:sz w:val="22"/>
          <w:szCs w:val="22"/>
          <w:highlight w:val="none"/>
        </w:rPr>
      </w:pPr>
      <w:r>
        <w:rPr>
          <w:rFonts w:ascii="宋体" w:hAnsi="宋体"/>
          <w:bCs/>
          <w:sz w:val="22"/>
          <w:szCs w:val="22"/>
          <w:highlight w:val="none"/>
        </w:rPr>
        <w:t>（4）符合《关于促进残疾人就业政府采购政策的通知》（财库〔2017〕141号）规定的条件并提供《残疾人福利性单位声明函》</w:t>
      </w:r>
      <w:r>
        <w:rPr>
          <w:rFonts w:hint="eastAsia" w:ascii="宋体" w:hAnsi="宋体" w:cs="仿宋"/>
          <w:sz w:val="22"/>
          <w:szCs w:val="22"/>
          <w:highlight w:val="none"/>
        </w:rPr>
        <w:t>（附件1）</w:t>
      </w:r>
      <w:r>
        <w:rPr>
          <w:rFonts w:ascii="宋体" w:hAnsi="宋体"/>
          <w:bCs/>
          <w:sz w:val="22"/>
          <w:szCs w:val="22"/>
          <w:highlight w:val="none"/>
        </w:rPr>
        <w:t>的残疾人福利性单位视同小型、微型企业；残疾人福利性单位属于小型、微型企业的，不重复享受政策。</w:t>
      </w:r>
    </w:p>
    <w:p w14:paraId="53B14B25">
      <w:pPr>
        <w:spacing w:line="360" w:lineRule="auto"/>
        <w:ind w:left="538" w:leftChars="256"/>
        <w:rPr>
          <w:rFonts w:ascii="宋体" w:hAnsi="宋体"/>
          <w:bCs/>
          <w:sz w:val="22"/>
          <w:szCs w:val="22"/>
          <w:highlight w:val="none"/>
        </w:rPr>
      </w:pPr>
      <w:r>
        <w:rPr>
          <w:rFonts w:hint="eastAsia" w:ascii="宋体" w:hAnsi="宋体"/>
          <w:bCs/>
          <w:sz w:val="22"/>
          <w:szCs w:val="22"/>
          <w:highlight w:val="none"/>
        </w:rPr>
        <w:t>（</w:t>
      </w:r>
      <w:r>
        <w:rPr>
          <w:rFonts w:ascii="宋体" w:hAnsi="宋体"/>
          <w:bCs/>
          <w:sz w:val="22"/>
          <w:szCs w:val="22"/>
          <w:highlight w:val="none"/>
        </w:rPr>
        <w:t>5</w:t>
      </w:r>
      <w:r>
        <w:rPr>
          <w:rFonts w:hint="eastAsia" w:ascii="宋体" w:hAnsi="宋体"/>
          <w:bCs/>
          <w:sz w:val="22"/>
          <w:szCs w:val="22"/>
          <w:highlight w:val="none"/>
        </w:rPr>
        <w:t>）享受中小企业扶持政策获得政府采购合同的，小微企业不得将合同分包给大中型企业，中型企业不得将合同分包给大型企业。</w:t>
      </w:r>
    </w:p>
    <w:p w14:paraId="539CAFF8">
      <w:pPr>
        <w:spacing w:line="360" w:lineRule="auto"/>
        <w:ind w:left="538" w:leftChars="256"/>
        <w:rPr>
          <w:rFonts w:ascii="宋体" w:hAnsi="宋体"/>
          <w:b/>
          <w:sz w:val="22"/>
          <w:szCs w:val="22"/>
          <w:highlight w:val="none"/>
          <w:u w:val="single"/>
        </w:rPr>
      </w:pPr>
      <w:bookmarkStart w:id="74" w:name="_Hlk107997584"/>
      <w:r>
        <w:rPr>
          <w:rFonts w:hint="eastAsia" w:ascii="宋体" w:hAnsi="宋体"/>
          <w:bCs/>
          <w:sz w:val="22"/>
          <w:szCs w:val="22"/>
          <w:highlight w:val="none"/>
        </w:rPr>
        <w:t>（</w:t>
      </w:r>
      <w:r>
        <w:rPr>
          <w:rFonts w:ascii="宋体" w:hAnsi="宋体"/>
          <w:bCs/>
          <w:sz w:val="22"/>
          <w:szCs w:val="22"/>
          <w:highlight w:val="none"/>
        </w:rPr>
        <w:t>6</w:t>
      </w:r>
      <w:r>
        <w:rPr>
          <w:rFonts w:hint="eastAsia" w:ascii="宋体" w:hAnsi="宋体"/>
          <w:bCs/>
          <w:sz w:val="22"/>
          <w:szCs w:val="22"/>
          <w:highlight w:val="none"/>
        </w:rPr>
        <w:t>）</w:t>
      </w:r>
      <w:r>
        <w:rPr>
          <w:rFonts w:ascii="宋体" w:hAnsi="宋体"/>
          <w:b/>
          <w:sz w:val="22"/>
          <w:szCs w:val="22"/>
          <w:highlight w:val="none"/>
          <w:u w:val="single"/>
        </w:rPr>
        <w:t>本项目是否专门面向中小企业预留采购份额</w:t>
      </w:r>
      <w:r>
        <w:rPr>
          <w:rFonts w:hint="eastAsia" w:ascii="宋体" w:hAnsi="宋体"/>
          <w:b/>
          <w:sz w:val="22"/>
          <w:szCs w:val="22"/>
          <w:highlight w:val="none"/>
          <w:u w:val="single"/>
        </w:rPr>
        <w:t>：否，对小微企业报价给予价格扣除。本项目对小微企业（含监狱企业、残疾人福利性单位）的报价给予10%的扣除，用扣除后的价格参与评审。</w:t>
      </w:r>
    </w:p>
    <w:p w14:paraId="3D179BA7">
      <w:pPr>
        <w:spacing w:line="360" w:lineRule="auto"/>
        <w:ind w:left="538" w:leftChars="256"/>
        <w:rPr>
          <w:rFonts w:ascii="宋体" w:hAnsi="宋体"/>
          <w:b/>
          <w:sz w:val="22"/>
          <w:szCs w:val="22"/>
          <w:highlight w:val="none"/>
          <w:u w:val="single"/>
        </w:rPr>
      </w:pPr>
      <w:r>
        <w:rPr>
          <w:rFonts w:hint="eastAsia" w:ascii="宋体" w:hAnsi="宋体"/>
          <w:b/>
          <w:sz w:val="22"/>
          <w:szCs w:val="22"/>
          <w:highlight w:val="none"/>
        </w:rPr>
        <w:t>（</w:t>
      </w:r>
      <w:r>
        <w:rPr>
          <w:rFonts w:ascii="宋体" w:hAnsi="宋体"/>
          <w:b/>
          <w:sz w:val="22"/>
          <w:szCs w:val="22"/>
          <w:highlight w:val="none"/>
        </w:rPr>
        <w:t>7</w:t>
      </w:r>
      <w:r>
        <w:rPr>
          <w:rFonts w:hint="eastAsia" w:ascii="宋体" w:hAnsi="宋体"/>
          <w:b/>
          <w:sz w:val="22"/>
          <w:szCs w:val="22"/>
          <w:highlight w:val="none"/>
        </w:rPr>
        <w:t>）</w:t>
      </w:r>
      <w:r>
        <w:rPr>
          <w:rFonts w:hint="eastAsia" w:ascii="宋体" w:hAnsi="宋体"/>
          <w:b/>
          <w:sz w:val="22"/>
          <w:szCs w:val="22"/>
          <w:highlight w:val="none"/>
          <w:u w:val="single"/>
        </w:rPr>
        <w:t>采购标的所属行业：根据《工业和信息化部、国家统计局、国家发展和改革委员会、财政部关于印发中小企业划型标准规定的通知》（工信部联企业[2011]300号）规定，本项目采购标的对应的中小企业划分标准所属行业为：租赁和商务服务业。</w:t>
      </w:r>
    </w:p>
    <w:p w14:paraId="4DBB3859">
      <w:pPr>
        <w:spacing w:line="360" w:lineRule="auto"/>
        <w:ind w:left="538" w:leftChars="256"/>
        <w:rPr>
          <w:rFonts w:ascii="宋体" w:hAnsi="宋体"/>
          <w:bCs/>
          <w:sz w:val="22"/>
          <w:szCs w:val="22"/>
          <w:highlight w:val="none"/>
        </w:rPr>
      </w:pPr>
      <w:r>
        <w:rPr>
          <w:rFonts w:hint="eastAsia" w:ascii="宋体" w:hAnsi="宋体"/>
          <w:bCs/>
          <w:sz w:val="22"/>
          <w:szCs w:val="22"/>
          <w:highlight w:val="none"/>
        </w:rPr>
        <w:t>（</w:t>
      </w:r>
      <w:r>
        <w:rPr>
          <w:rFonts w:ascii="宋体" w:hAnsi="宋体"/>
          <w:bCs/>
          <w:sz w:val="22"/>
          <w:szCs w:val="22"/>
          <w:highlight w:val="none"/>
        </w:rPr>
        <w:t>8</w:t>
      </w:r>
      <w:r>
        <w:rPr>
          <w:rFonts w:hint="eastAsia" w:ascii="宋体" w:hAnsi="宋体"/>
          <w:bCs/>
          <w:sz w:val="22"/>
          <w:szCs w:val="22"/>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304C925">
      <w:pPr>
        <w:wordWrap w:val="0"/>
        <w:spacing w:line="360" w:lineRule="auto"/>
        <w:ind w:left="538" w:leftChars="256"/>
        <w:rPr>
          <w:rFonts w:ascii="宋体" w:hAnsi="宋体"/>
          <w:b/>
          <w:sz w:val="22"/>
          <w:szCs w:val="22"/>
          <w:highlight w:val="none"/>
          <w:u w:val="single"/>
        </w:rPr>
      </w:pPr>
      <w:r>
        <w:rPr>
          <w:rFonts w:hint="eastAsia" w:ascii="宋体" w:hAnsi="宋体"/>
          <w:b/>
          <w:sz w:val="22"/>
          <w:szCs w:val="22"/>
          <w:highlight w:val="none"/>
          <w:u w:val="single"/>
        </w:rPr>
        <w:t>（9）关于社会组织享受促进中小企业发展政府采购政策问题，财政部正会同有关部门研究制订相关规定（</w:t>
      </w:r>
      <w:r>
        <w:rPr>
          <w:highlight w:val="none"/>
        </w:rPr>
        <w:fldChar w:fldCharType="begin"/>
      </w:r>
      <w:r>
        <w:rPr>
          <w:highlight w:val="none"/>
        </w:rPr>
        <w:instrText xml:space="preserve"> HYPERLINK "https://www.gov.cn/zhengce/2021-02/20/content_5587944.htm?eqid=98e815310027ff2f0000000264706341" </w:instrText>
      </w:r>
      <w:r>
        <w:rPr>
          <w:highlight w:val="none"/>
        </w:rPr>
        <w:fldChar w:fldCharType="separate"/>
      </w:r>
      <w:r>
        <w:rPr>
          <w:rFonts w:ascii="宋体" w:hAnsi="宋体"/>
          <w:b/>
          <w:sz w:val="22"/>
          <w:szCs w:val="22"/>
          <w:highlight w:val="none"/>
          <w:u w:val="single"/>
        </w:rPr>
        <w:t>https://www.gov.cn/zhengce/2021-02/20/content_5587944.htm?eqid=98e815310027ff2f0000000264706341</w:t>
      </w:r>
      <w:r>
        <w:rPr>
          <w:rFonts w:ascii="宋体" w:hAnsi="宋体"/>
          <w:b/>
          <w:sz w:val="22"/>
          <w:szCs w:val="22"/>
          <w:highlight w:val="none"/>
          <w:u w:val="single"/>
        </w:rPr>
        <w:fldChar w:fldCharType="end"/>
      </w:r>
      <w:r>
        <w:rPr>
          <w:rFonts w:hint="eastAsia" w:ascii="宋体" w:hAnsi="宋体"/>
          <w:b/>
          <w:sz w:val="22"/>
          <w:szCs w:val="22"/>
          <w:highlight w:val="none"/>
          <w:u w:val="single"/>
        </w:rPr>
        <w:t>）。目前，民办非企业等社会组织不享受中小企业扶持政策，不能参与专门面向中小企业采购的项目投标。</w:t>
      </w:r>
    </w:p>
    <w:p w14:paraId="226D90A4">
      <w:pPr>
        <w:numPr>
          <w:ilvl w:val="1"/>
          <w:numId w:val="1"/>
        </w:numPr>
        <w:tabs>
          <w:tab w:val="left" w:pos="525"/>
          <w:tab w:val="left" w:pos="635"/>
          <w:tab w:val="left" w:pos="900"/>
        </w:tabs>
        <w:spacing w:line="360" w:lineRule="auto"/>
        <w:rPr>
          <w:rFonts w:ascii="宋体" w:hAnsi="宋体" w:cs="仿宋"/>
          <w:sz w:val="22"/>
          <w:szCs w:val="22"/>
          <w:highlight w:val="none"/>
        </w:rPr>
      </w:pPr>
      <w:bookmarkStart w:id="75" w:name="_Hlk134992595"/>
      <w:r>
        <w:rPr>
          <w:rFonts w:hint="eastAsia" w:ascii="宋体" w:hAnsi="宋体" w:cs="仿宋"/>
          <w:sz w:val="22"/>
          <w:szCs w:val="22"/>
          <w:highlight w:val="none"/>
        </w:rPr>
        <w:t>平等对待内外资企业和符合条件的破产重整企业，切实保障企业公平竞争，平等维护企业的合法利益。</w:t>
      </w:r>
      <w:bookmarkEnd w:id="75"/>
    </w:p>
    <w:p w14:paraId="6052A30A">
      <w:pPr>
        <w:numPr>
          <w:ilvl w:val="1"/>
          <w:numId w:val="1"/>
        </w:numPr>
        <w:tabs>
          <w:tab w:val="left" w:pos="525"/>
          <w:tab w:val="left" w:pos="635"/>
          <w:tab w:val="left" w:pos="900"/>
        </w:tabs>
        <w:spacing w:line="360" w:lineRule="auto"/>
        <w:rPr>
          <w:rFonts w:ascii="宋体" w:hAnsi="宋体" w:cs="楷体"/>
          <w:kern w:val="0"/>
          <w:sz w:val="22"/>
          <w:szCs w:val="22"/>
          <w:highlight w:val="none"/>
        </w:rPr>
      </w:pPr>
      <w:r>
        <w:rPr>
          <w:rFonts w:hint="eastAsia" w:ascii="宋体" w:hAnsi="宋体"/>
          <w:sz w:val="22"/>
          <w:szCs w:val="22"/>
          <w:highlight w:val="none"/>
        </w:rPr>
        <w:t>根据</w:t>
      </w:r>
      <w:r>
        <w:rPr>
          <w:rFonts w:hint="eastAsia" w:ascii="宋体" w:hAnsi="宋体" w:cs="楷体"/>
          <w:kern w:val="0"/>
          <w:sz w:val="22"/>
          <w:szCs w:val="22"/>
          <w:highlight w:val="none"/>
        </w:rPr>
        <w:t>《浙江省财政厅关于进步加大政府采购持中小企业力度助力扎实稳住经济的通知》（浙财采监[2</w:t>
      </w:r>
      <w:r>
        <w:rPr>
          <w:rFonts w:ascii="宋体" w:hAnsi="宋体" w:cs="楷体"/>
          <w:kern w:val="0"/>
          <w:sz w:val="22"/>
          <w:szCs w:val="22"/>
          <w:highlight w:val="none"/>
        </w:rPr>
        <w:t>022</w:t>
      </w:r>
      <w:r>
        <w:rPr>
          <w:rFonts w:hint="eastAsia" w:ascii="宋体" w:hAnsi="宋体" w:cs="楷体"/>
          <w:kern w:val="0"/>
          <w:sz w:val="22"/>
          <w:szCs w:val="22"/>
          <w:highlight w:val="none"/>
        </w:rPr>
        <w:t>]8号）文件关于“进一步加大支持科技创新力度”要求。优先推荐专精特新中小企业、创新产品参加政府采购活动。对省级以上主管部门认定的首台套产品，自纳入《省推广应用指导目录》起三年内参加政府采购活动，视同已具备相应销售业绩，业绩分为满分。满足条件的投标产品须提供相应的证明资料，否则不享受该政策。</w:t>
      </w:r>
    </w:p>
    <w:p w14:paraId="5D45B110">
      <w:pPr>
        <w:numPr>
          <w:ilvl w:val="1"/>
          <w:numId w:val="1"/>
        </w:numPr>
        <w:tabs>
          <w:tab w:val="left" w:pos="525"/>
          <w:tab w:val="left" w:pos="635"/>
          <w:tab w:val="left" w:pos="900"/>
        </w:tabs>
        <w:spacing w:line="360" w:lineRule="auto"/>
        <w:rPr>
          <w:rFonts w:ascii="宋体" w:hAnsi="宋体" w:cs="楷体"/>
          <w:kern w:val="0"/>
          <w:sz w:val="22"/>
          <w:szCs w:val="22"/>
          <w:highlight w:val="none"/>
        </w:rPr>
      </w:pPr>
      <w:r>
        <w:rPr>
          <w:rFonts w:hint="eastAsia" w:ascii="宋体" w:hAnsi="宋体" w:cs="楷体"/>
          <w:kern w:val="0"/>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bookmarkEnd w:id="74"/>
    <w:p w14:paraId="55A6AB5F">
      <w:pPr>
        <w:pStyle w:val="4"/>
        <w:spacing w:line="400" w:lineRule="exact"/>
        <w:jc w:val="center"/>
        <w:rPr>
          <w:rFonts w:ascii="宋体" w:hAnsi="宋体" w:eastAsia="宋体" w:cs="Courier New"/>
          <w:highlight w:val="none"/>
        </w:rPr>
      </w:pPr>
      <w:bookmarkStart w:id="76" w:name="_Toc146181143"/>
      <w:r>
        <w:rPr>
          <w:rFonts w:hint="eastAsia" w:ascii="宋体" w:hAnsi="宋体" w:eastAsia="宋体" w:cs="Courier New"/>
          <w:highlight w:val="none"/>
        </w:rPr>
        <w:t xml:space="preserve">三、 </w:t>
      </w:r>
      <w:bookmarkStart w:id="77" w:name="_Hlk100427598"/>
      <w:r>
        <w:rPr>
          <w:rFonts w:hint="eastAsia" w:ascii="宋体" w:hAnsi="宋体" w:eastAsia="宋体" w:cs="Courier New"/>
          <w:highlight w:val="none"/>
        </w:rPr>
        <w:t>询问、质疑、投诉</w:t>
      </w:r>
      <w:bookmarkEnd w:id="76"/>
      <w:bookmarkEnd w:id="77"/>
    </w:p>
    <w:p w14:paraId="76093F50">
      <w:pPr>
        <w:numPr>
          <w:ilvl w:val="0"/>
          <w:numId w:val="1"/>
        </w:numPr>
        <w:tabs>
          <w:tab w:val="left" w:pos="525"/>
          <w:tab w:val="left" w:pos="900"/>
        </w:tabs>
        <w:spacing w:line="360" w:lineRule="auto"/>
        <w:rPr>
          <w:rFonts w:ascii="宋体" w:hAnsi="宋体" w:cs="仿宋"/>
          <w:sz w:val="22"/>
          <w:szCs w:val="22"/>
          <w:highlight w:val="none"/>
        </w:rPr>
      </w:pPr>
      <w:r>
        <w:rPr>
          <w:rFonts w:hint="eastAsia" w:ascii="宋体" w:hAnsi="宋体" w:cs="仿宋"/>
          <w:sz w:val="22"/>
          <w:szCs w:val="22"/>
          <w:highlight w:val="none"/>
        </w:rPr>
        <w:t>在线询问、质疑、投诉</w:t>
      </w:r>
    </w:p>
    <w:p w14:paraId="5BCEDE2A">
      <w:pPr>
        <w:wordWrap w:val="0"/>
        <w:snapToGrid w:val="0"/>
        <w:spacing w:line="360" w:lineRule="auto"/>
        <w:ind w:left="420" w:leftChars="200"/>
        <w:jc w:val="left"/>
        <w:rPr>
          <w:rFonts w:ascii="宋体" w:hAnsi="宋体" w:cs="仿宋"/>
          <w:sz w:val="22"/>
          <w:szCs w:val="22"/>
          <w:highlight w:val="none"/>
        </w:rPr>
      </w:pPr>
      <w:r>
        <w:rPr>
          <w:rFonts w:hint="eastAsia" w:ascii="宋体" w:hAnsi="宋体" w:cs="仿宋"/>
          <w:sz w:val="22"/>
          <w:szCs w:val="22"/>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A2DE613">
      <w:pPr>
        <w:numPr>
          <w:ilvl w:val="0"/>
          <w:numId w:val="1"/>
        </w:numPr>
        <w:tabs>
          <w:tab w:val="left" w:pos="525"/>
          <w:tab w:val="left" w:pos="900"/>
        </w:tabs>
        <w:spacing w:line="360" w:lineRule="auto"/>
        <w:rPr>
          <w:rFonts w:ascii="宋体" w:hAnsi="宋体" w:cs="楷体"/>
          <w:kern w:val="0"/>
          <w:sz w:val="22"/>
          <w:szCs w:val="22"/>
          <w:highlight w:val="none"/>
        </w:rPr>
      </w:pPr>
      <w:r>
        <w:rPr>
          <w:rFonts w:ascii="宋体" w:hAnsi="宋体" w:cs="楷体"/>
          <w:kern w:val="0"/>
          <w:sz w:val="22"/>
          <w:szCs w:val="22"/>
          <w:highlight w:val="none"/>
        </w:rPr>
        <w:t>询问</w:t>
      </w:r>
    </w:p>
    <w:p w14:paraId="3DE02132">
      <w:pPr>
        <w:numPr>
          <w:ilvl w:val="1"/>
          <w:numId w:val="1"/>
        </w:numPr>
        <w:tabs>
          <w:tab w:val="left" w:pos="525"/>
          <w:tab w:val="left" w:pos="635"/>
          <w:tab w:val="left" w:pos="900"/>
        </w:tabs>
        <w:spacing w:line="360" w:lineRule="auto"/>
        <w:rPr>
          <w:rFonts w:ascii="宋体" w:hAnsi="宋体" w:cs="楷体"/>
          <w:kern w:val="0"/>
          <w:sz w:val="22"/>
          <w:szCs w:val="22"/>
          <w:highlight w:val="none"/>
        </w:rPr>
      </w:pPr>
      <w:r>
        <w:rPr>
          <w:rFonts w:hint="eastAsia" w:ascii="宋体" w:hAnsi="宋体" w:cs="楷体"/>
          <w:kern w:val="0"/>
          <w:sz w:val="22"/>
          <w:szCs w:val="22"/>
          <w:highlight w:val="none"/>
        </w:rPr>
        <w:t>潜在供应商或投标人对本次采购活动的有关事项若有疑问，可以书面方式向采购代理机构提出询问，采购代理机构将按照政府采购法及实施条例的有关规定进行答复。</w:t>
      </w:r>
    </w:p>
    <w:p w14:paraId="5A666124">
      <w:pPr>
        <w:numPr>
          <w:ilvl w:val="1"/>
          <w:numId w:val="1"/>
        </w:numPr>
        <w:tabs>
          <w:tab w:val="left" w:pos="540"/>
          <w:tab w:val="left" w:pos="635"/>
          <w:tab w:val="left" w:pos="900"/>
        </w:tabs>
        <w:spacing w:line="360" w:lineRule="auto"/>
        <w:rPr>
          <w:rFonts w:ascii="宋体" w:hAnsi="宋体" w:cs="楷体"/>
          <w:kern w:val="0"/>
          <w:sz w:val="22"/>
          <w:szCs w:val="22"/>
          <w:highlight w:val="none"/>
        </w:rPr>
      </w:pPr>
      <w:r>
        <w:rPr>
          <w:rFonts w:hint="eastAsia" w:ascii="宋体" w:hAnsi="宋体" w:cs="楷体"/>
          <w:kern w:val="0"/>
          <w:sz w:val="22"/>
          <w:szCs w:val="22"/>
          <w:highlight w:val="none"/>
        </w:rPr>
        <w:t>供应商一旦参与本次采购活动，即被视为接受了本招标文件的所有内容，如有任何异议，均已在</w:t>
      </w:r>
      <w:r>
        <w:rPr>
          <w:rFonts w:hint="eastAsia" w:ascii="宋体" w:hAnsi="宋体"/>
          <w:sz w:val="22"/>
          <w:szCs w:val="22"/>
          <w:highlight w:val="none"/>
        </w:rPr>
        <w:t>投标截止时间</w:t>
      </w:r>
      <w:r>
        <w:rPr>
          <w:rFonts w:hint="eastAsia" w:ascii="宋体" w:hAnsi="宋体" w:cs="楷体"/>
          <w:kern w:val="0"/>
          <w:sz w:val="22"/>
          <w:szCs w:val="22"/>
          <w:highlight w:val="none"/>
        </w:rPr>
        <w:t>前提出。</w:t>
      </w:r>
    </w:p>
    <w:p w14:paraId="24A98416">
      <w:pPr>
        <w:numPr>
          <w:ilvl w:val="0"/>
          <w:numId w:val="1"/>
        </w:numPr>
        <w:tabs>
          <w:tab w:val="left" w:pos="525"/>
          <w:tab w:val="left" w:pos="900"/>
        </w:tabs>
        <w:spacing w:line="360" w:lineRule="auto"/>
        <w:rPr>
          <w:rFonts w:ascii="宋体" w:hAnsi="宋体" w:cs="楷体"/>
          <w:kern w:val="0"/>
          <w:sz w:val="22"/>
          <w:szCs w:val="22"/>
          <w:highlight w:val="none"/>
        </w:rPr>
      </w:pPr>
      <w:r>
        <w:rPr>
          <w:rFonts w:hint="eastAsia" w:ascii="宋体" w:hAnsi="宋体" w:cs="楷体"/>
          <w:kern w:val="0"/>
          <w:sz w:val="22"/>
          <w:szCs w:val="22"/>
          <w:highlight w:val="none"/>
        </w:rPr>
        <w:t>供应商质疑</w:t>
      </w:r>
    </w:p>
    <w:p w14:paraId="163D09F3">
      <w:pPr>
        <w:numPr>
          <w:ilvl w:val="1"/>
          <w:numId w:val="1"/>
        </w:numPr>
        <w:tabs>
          <w:tab w:val="left" w:pos="525"/>
          <w:tab w:val="left" w:pos="635"/>
          <w:tab w:val="left" w:pos="900"/>
        </w:tabs>
        <w:spacing w:line="360" w:lineRule="auto"/>
        <w:rPr>
          <w:rFonts w:ascii="宋体" w:hAnsi="宋体" w:cs="楷体"/>
          <w:kern w:val="0"/>
          <w:sz w:val="22"/>
          <w:szCs w:val="22"/>
          <w:highlight w:val="none"/>
        </w:rPr>
      </w:pPr>
      <w:r>
        <w:rPr>
          <w:rFonts w:hint="eastAsia" w:ascii="宋体" w:hAnsi="宋体" w:cs="楷体"/>
          <w:kern w:val="0"/>
          <w:sz w:val="22"/>
          <w:szCs w:val="22"/>
          <w:highlight w:val="none"/>
        </w:rPr>
        <w:t>提出质疑的供应商应当是参与所质疑项目采购活动的供应商。潜在供应商已依法获取其可质疑的招标文件的，可以对该文件提出质疑。</w:t>
      </w:r>
    </w:p>
    <w:p w14:paraId="3EB36D78">
      <w:pPr>
        <w:numPr>
          <w:ilvl w:val="1"/>
          <w:numId w:val="1"/>
        </w:numPr>
        <w:tabs>
          <w:tab w:val="left" w:pos="525"/>
          <w:tab w:val="left" w:pos="635"/>
          <w:tab w:val="left" w:pos="900"/>
        </w:tabs>
        <w:spacing w:line="360" w:lineRule="auto"/>
        <w:rPr>
          <w:rFonts w:ascii="宋体" w:hAnsi="宋体" w:cs="楷体"/>
          <w:kern w:val="0"/>
          <w:sz w:val="22"/>
          <w:szCs w:val="22"/>
          <w:highlight w:val="none"/>
        </w:rPr>
      </w:pPr>
      <w:r>
        <w:rPr>
          <w:rFonts w:hint="eastAsia" w:ascii="宋体" w:hAnsi="宋体" w:cs="楷体"/>
          <w:kern w:val="0"/>
          <w:sz w:val="22"/>
          <w:szCs w:val="22"/>
          <w:highlight w:val="none"/>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47B654C">
      <w:pPr>
        <w:tabs>
          <w:tab w:val="left" w:pos="540"/>
          <w:tab w:val="left" w:pos="635"/>
          <w:tab w:val="left" w:pos="900"/>
        </w:tabs>
        <w:spacing w:line="360" w:lineRule="auto"/>
        <w:ind w:left="567"/>
        <w:rPr>
          <w:rFonts w:ascii="宋体" w:hAnsi="宋体" w:cs="楷体"/>
          <w:kern w:val="0"/>
          <w:sz w:val="22"/>
          <w:szCs w:val="22"/>
          <w:highlight w:val="none"/>
        </w:rPr>
      </w:pPr>
      <w:r>
        <w:rPr>
          <w:rFonts w:hint="eastAsia" w:ascii="宋体" w:hAnsi="宋体"/>
          <w:bCs/>
          <w:sz w:val="22"/>
          <w:szCs w:val="22"/>
          <w:highlight w:val="none"/>
        </w:rPr>
        <w:t>（1）</w:t>
      </w:r>
      <w:r>
        <w:rPr>
          <w:rFonts w:hint="eastAsia" w:ascii="宋体" w:hAnsi="宋体" w:cs="楷体"/>
          <w:kern w:val="0"/>
          <w:sz w:val="22"/>
          <w:szCs w:val="22"/>
          <w:highlight w:val="none"/>
        </w:rPr>
        <w:t>对招标文件提出质疑的，质疑期限为供应商获得招标文件之日或者招标文件公告期限届满之日起计算。</w:t>
      </w:r>
    </w:p>
    <w:p w14:paraId="0CE9B9C7">
      <w:pPr>
        <w:tabs>
          <w:tab w:val="left" w:pos="540"/>
          <w:tab w:val="left" w:pos="635"/>
          <w:tab w:val="left" w:pos="900"/>
        </w:tabs>
        <w:spacing w:line="360" w:lineRule="auto"/>
        <w:ind w:left="567"/>
        <w:rPr>
          <w:rFonts w:ascii="宋体" w:hAnsi="宋体" w:cs="楷体"/>
          <w:kern w:val="0"/>
          <w:sz w:val="22"/>
          <w:szCs w:val="22"/>
          <w:highlight w:val="none"/>
        </w:rPr>
      </w:pPr>
      <w:r>
        <w:rPr>
          <w:rFonts w:hint="eastAsia" w:ascii="宋体" w:hAnsi="宋体"/>
          <w:bCs/>
          <w:sz w:val="22"/>
          <w:szCs w:val="22"/>
          <w:highlight w:val="none"/>
        </w:rPr>
        <w:t>（</w:t>
      </w:r>
      <w:r>
        <w:rPr>
          <w:rFonts w:ascii="宋体" w:hAnsi="宋体"/>
          <w:bCs/>
          <w:sz w:val="22"/>
          <w:szCs w:val="22"/>
          <w:highlight w:val="none"/>
        </w:rPr>
        <w:t>2</w:t>
      </w:r>
      <w:r>
        <w:rPr>
          <w:rFonts w:hint="eastAsia" w:ascii="宋体" w:hAnsi="宋体"/>
          <w:bCs/>
          <w:sz w:val="22"/>
          <w:szCs w:val="22"/>
          <w:highlight w:val="none"/>
        </w:rPr>
        <w:t>）</w:t>
      </w:r>
      <w:r>
        <w:rPr>
          <w:rFonts w:hint="eastAsia" w:ascii="宋体" w:hAnsi="宋体" w:cs="楷体"/>
          <w:kern w:val="0"/>
          <w:sz w:val="22"/>
          <w:szCs w:val="22"/>
          <w:highlight w:val="none"/>
        </w:rPr>
        <w:t>对采购过程提出质疑的，质疑期限为各采购程序环节结束之日起计算。</w:t>
      </w:r>
    </w:p>
    <w:p w14:paraId="7D88BE5D">
      <w:pPr>
        <w:tabs>
          <w:tab w:val="left" w:pos="540"/>
          <w:tab w:val="left" w:pos="635"/>
          <w:tab w:val="left" w:pos="900"/>
        </w:tabs>
        <w:spacing w:line="360" w:lineRule="auto"/>
        <w:ind w:left="567"/>
        <w:rPr>
          <w:rFonts w:ascii="宋体" w:hAnsi="宋体" w:cs="楷体"/>
          <w:kern w:val="0"/>
          <w:sz w:val="22"/>
          <w:szCs w:val="22"/>
          <w:highlight w:val="none"/>
        </w:rPr>
      </w:pPr>
      <w:r>
        <w:rPr>
          <w:rFonts w:hint="eastAsia" w:ascii="宋体" w:hAnsi="宋体"/>
          <w:bCs/>
          <w:sz w:val="22"/>
          <w:szCs w:val="22"/>
          <w:highlight w:val="none"/>
        </w:rPr>
        <w:t>（</w:t>
      </w:r>
      <w:r>
        <w:rPr>
          <w:rFonts w:ascii="宋体" w:hAnsi="宋体"/>
          <w:bCs/>
          <w:sz w:val="22"/>
          <w:szCs w:val="22"/>
          <w:highlight w:val="none"/>
        </w:rPr>
        <w:t>3</w:t>
      </w:r>
      <w:r>
        <w:rPr>
          <w:rFonts w:hint="eastAsia" w:ascii="宋体" w:hAnsi="宋体"/>
          <w:bCs/>
          <w:sz w:val="22"/>
          <w:szCs w:val="22"/>
          <w:highlight w:val="none"/>
        </w:rPr>
        <w:t>）</w:t>
      </w:r>
      <w:r>
        <w:rPr>
          <w:rFonts w:hint="eastAsia" w:ascii="宋体" w:hAnsi="宋体" w:cs="楷体"/>
          <w:kern w:val="0"/>
          <w:sz w:val="22"/>
          <w:szCs w:val="22"/>
          <w:highlight w:val="none"/>
        </w:rPr>
        <w:t>对采购结果提出质疑的，质疑期限自采购结果公告期限届满之日起计算。</w:t>
      </w:r>
    </w:p>
    <w:p w14:paraId="01FBE309">
      <w:pPr>
        <w:numPr>
          <w:ilvl w:val="1"/>
          <w:numId w:val="1"/>
        </w:numPr>
        <w:tabs>
          <w:tab w:val="left" w:pos="525"/>
          <w:tab w:val="left" w:pos="635"/>
          <w:tab w:val="left" w:pos="900"/>
        </w:tabs>
        <w:spacing w:line="360" w:lineRule="auto"/>
        <w:rPr>
          <w:rFonts w:ascii="宋体" w:hAnsi="宋体" w:cs="楷体"/>
          <w:kern w:val="0"/>
          <w:sz w:val="22"/>
          <w:szCs w:val="22"/>
          <w:highlight w:val="none"/>
        </w:rPr>
      </w:pPr>
      <w:r>
        <w:rPr>
          <w:rFonts w:hint="eastAsia" w:ascii="宋体" w:hAnsi="宋体" w:cs="楷体"/>
          <w:kern w:val="0"/>
          <w:sz w:val="22"/>
          <w:szCs w:val="22"/>
          <w:highlight w:val="none"/>
        </w:rPr>
        <w:t>供应商提出质疑应当提交质疑函和必要的证明材料。质疑函应当包括下列内容：</w:t>
      </w:r>
    </w:p>
    <w:p w14:paraId="37417D74">
      <w:pPr>
        <w:pStyle w:val="242"/>
        <w:numPr>
          <w:ilvl w:val="0"/>
          <w:numId w:val="5"/>
        </w:numPr>
        <w:tabs>
          <w:tab w:val="left" w:pos="635"/>
        </w:tabs>
        <w:spacing w:line="360" w:lineRule="auto"/>
        <w:ind w:firstLineChars="0"/>
        <w:rPr>
          <w:rFonts w:ascii="宋体" w:hAnsi="宋体" w:cs="仿宋"/>
          <w:kern w:val="0"/>
          <w:sz w:val="22"/>
          <w:szCs w:val="22"/>
          <w:highlight w:val="none"/>
          <w:lang w:val="zh-CN"/>
        </w:rPr>
      </w:pPr>
      <w:r>
        <w:rPr>
          <w:rFonts w:hint="eastAsia" w:ascii="宋体" w:hAnsi="宋体" w:cs="仿宋"/>
          <w:kern w:val="0"/>
          <w:sz w:val="22"/>
          <w:szCs w:val="22"/>
          <w:highlight w:val="none"/>
          <w:lang w:val="zh-CN"/>
        </w:rPr>
        <w:t>供应商的姓名或者名称、地址、邮编、联系人及联系电话；</w:t>
      </w:r>
    </w:p>
    <w:p w14:paraId="667692EC">
      <w:pPr>
        <w:pStyle w:val="242"/>
        <w:numPr>
          <w:ilvl w:val="0"/>
          <w:numId w:val="5"/>
        </w:numPr>
        <w:tabs>
          <w:tab w:val="left" w:pos="635"/>
        </w:tabs>
        <w:spacing w:line="360" w:lineRule="auto"/>
        <w:ind w:firstLineChars="0"/>
        <w:rPr>
          <w:rFonts w:ascii="宋体" w:hAnsi="宋体" w:cs="仿宋"/>
          <w:kern w:val="0"/>
          <w:sz w:val="22"/>
          <w:szCs w:val="22"/>
          <w:highlight w:val="none"/>
          <w:lang w:val="zh-CN"/>
        </w:rPr>
      </w:pPr>
      <w:r>
        <w:rPr>
          <w:rFonts w:hint="eastAsia" w:ascii="宋体" w:hAnsi="宋体" w:cs="仿宋"/>
          <w:kern w:val="0"/>
          <w:sz w:val="22"/>
          <w:szCs w:val="22"/>
          <w:highlight w:val="none"/>
          <w:lang w:val="zh-CN"/>
        </w:rPr>
        <w:t>质疑项目的名称、编号；</w:t>
      </w:r>
    </w:p>
    <w:p w14:paraId="6DEF5906">
      <w:pPr>
        <w:pStyle w:val="242"/>
        <w:numPr>
          <w:ilvl w:val="0"/>
          <w:numId w:val="5"/>
        </w:numPr>
        <w:tabs>
          <w:tab w:val="left" w:pos="635"/>
        </w:tabs>
        <w:spacing w:line="360" w:lineRule="auto"/>
        <w:ind w:firstLineChars="0"/>
        <w:rPr>
          <w:rFonts w:ascii="宋体" w:hAnsi="宋体" w:cs="仿宋"/>
          <w:kern w:val="0"/>
          <w:sz w:val="22"/>
          <w:szCs w:val="22"/>
          <w:highlight w:val="none"/>
          <w:lang w:val="zh-CN"/>
        </w:rPr>
      </w:pPr>
      <w:r>
        <w:rPr>
          <w:rFonts w:hint="eastAsia" w:ascii="宋体" w:hAnsi="宋体" w:cs="仿宋"/>
          <w:kern w:val="0"/>
          <w:sz w:val="22"/>
          <w:szCs w:val="22"/>
          <w:highlight w:val="none"/>
          <w:lang w:val="zh-CN"/>
        </w:rPr>
        <w:t>具体、明确的质疑事项和与质疑事项相关的请求；</w:t>
      </w:r>
    </w:p>
    <w:p w14:paraId="12372D99">
      <w:pPr>
        <w:pStyle w:val="242"/>
        <w:numPr>
          <w:ilvl w:val="0"/>
          <w:numId w:val="5"/>
        </w:numPr>
        <w:tabs>
          <w:tab w:val="left" w:pos="635"/>
        </w:tabs>
        <w:spacing w:line="360" w:lineRule="auto"/>
        <w:ind w:firstLineChars="0"/>
        <w:rPr>
          <w:rFonts w:ascii="宋体" w:hAnsi="宋体" w:cs="仿宋"/>
          <w:kern w:val="0"/>
          <w:sz w:val="22"/>
          <w:szCs w:val="22"/>
          <w:highlight w:val="none"/>
          <w:lang w:val="zh-CN"/>
        </w:rPr>
      </w:pPr>
      <w:r>
        <w:rPr>
          <w:rFonts w:hint="eastAsia" w:ascii="宋体" w:hAnsi="宋体" w:cs="仿宋"/>
          <w:kern w:val="0"/>
          <w:sz w:val="22"/>
          <w:szCs w:val="22"/>
          <w:highlight w:val="none"/>
          <w:lang w:val="zh-CN"/>
        </w:rPr>
        <w:t>事实依据；</w:t>
      </w:r>
    </w:p>
    <w:p w14:paraId="69DD0824">
      <w:pPr>
        <w:pStyle w:val="242"/>
        <w:numPr>
          <w:ilvl w:val="0"/>
          <w:numId w:val="5"/>
        </w:numPr>
        <w:tabs>
          <w:tab w:val="left" w:pos="635"/>
        </w:tabs>
        <w:spacing w:line="360" w:lineRule="auto"/>
        <w:ind w:firstLineChars="0"/>
        <w:rPr>
          <w:rFonts w:ascii="宋体" w:hAnsi="宋体" w:cs="仿宋"/>
          <w:kern w:val="0"/>
          <w:sz w:val="22"/>
          <w:szCs w:val="22"/>
          <w:highlight w:val="none"/>
          <w:lang w:val="zh-CN"/>
        </w:rPr>
      </w:pPr>
      <w:r>
        <w:rPr>
          <w:rFonts w:hint="eastAsia" w:ascii="宋体" w:hAnsi="宋体" w:cs="仿宋"/>
          <w:kern w:val="0"/>
          <w:sz w:val="22"/>
          <w:szCs w:val="22"/>
          <w:highlight w:val="none"/>
          <w:lang w:val="zh-CN"/>
        </w:rPr>
        <w:t>必要的法律依据；</w:t>
      </w:r>
    </w:p>
    <w:p w14:paraId="5F8E4ACE">
      <w:pPr>
        <w:pStyle w:val="242"/>
        <w:numPr>
          <w:ilvl w:val="0"/>
          <w:numId w:val="5"/>
        </w:numPr>
        <w:tabs>
          <w:tab w:val="left" w:pos="635"/>
        </w:tabs>
        <w:spacing w:line="360" w:lineRule="auto"/>
        <w:ind w:firstLineChars="0"/>
        <w:rPr>
          <w:rFonts w:ascii="宋体" w:hAnsi="宋体" w:cs="仿宋"/>
          <w:kern w:val="0"/>
          <w:sz w:val="22"/>
          <w:szCs w:val="22"/>
          <w:highlight w:val="none"/>
          <w:lang w:val="zh-CN"/>
        </w:rPr>
      </w:pPr>
      <w:r>
        <w:rPr>
          <w:rFonts w:hint="eastAsia" w:ascii="宋体" w:hAnsi="宋体" w:cs="仿宋"/>
          <w:kern w:val="0"/>
          <w:sz w:val="22"/>
          <w:szCs w:val="22"/>
          <w:highlight w:val="none"/>
          <w:lang w:val="zh-CN"/>
        </w:rPr>
        <w:t>提出质疑的日期。</w:t>
      </w:r>
    </w:p>
    <w:p w14:paraId="70D8B918">
      <w:pPr>
        <w:tabs>
          <w:tab w:val="left" w:pos="540"/>
          <w:tab w:val="left" w:pos="567"/>
          <w:tab w:val="left" w:pos="635"/>
        </w:tabs>
        <w:spacing w:line="360" w:lineRule="auto"/>
        <w:ind w:left="567"/>
        <w:rPr>
          <w:rFonts w:ascii="宋体" w:hAnsi="宋体" w:cs="仿宋"/>
          <w:sz w:val="22"/>
          <w:szCs w:val="22"/>
          <w:highlight w:val="none"/>
        </w:rPr>
      </w:pPr>
      <w:r>
        <w:rPr>
          <w:rFonts w:hint="eastAsia" w:ascii="宋体" w:hAnsi="宋体" w:cs="仿宋"/>
          <w:sz w:val="22"/>
          <w:szCs w:val="22"/>
          <w:highlight w:val="none"/>
        </w:rPr>
        <w:t>供应商提交的</w:t>
      </w:r>
      <w:r>
        <w:rPr>
          <w:rFonts w:hint="eastAsia" w:ascii="宋体" w:hAnsi="宋体"/>
          <w:sz w:val="22"/>
          <w:highlight w:val="none"/>
        </w:rPr>
        <w:t>质疑</w:t>
      </w:r>
      <w:r>
        <w:rPr>
          <w:rFonts w:hint="eastAsia" w:ascii="宋体" w:hAnsi="宋体" w:cs="仿宋"/>
          <w:sz w:val="22"/>
          <w:szCs w:val="22"/>
          <w:highlight w:val="none"/>
        </w:rPr>
        <w:t>函需一式三份。供应商为自然人的，应当由本人签字；供应商为法人或者其他组织的，应当由法定代表人、主要负责人，或者其</w:t>
      </w:r>
      <w:r>
        <w:rPr>
          <w:rFonts w:hint="eastAsia" w:ascii="宋体" w:hAnsi="宋体" w:cs="仿宋"/>
          <w:kern w:val="0"/>
          <w:sz w:val="22"/>
          <w:szCs w:val="22"/>
          <w:highlight w:val="none"/>
          <w:lang w:val="zh-CN"/>
        </w:rPr>
        <w:t>授权</w:t>
      </w:r>
      <w:r>
        <w:rPr>
          <w:rFonts w:hint="eastAsia" w:ascii="宋体" w:hAnsi="宋体" w:cs="仿宋"/>
          <w:sz w:val="22"/>
          <w:szCs w:val="22"/>
          <w:highlight w:val="none"/>
        </w:rPr>
        <w:t>代表签字或者盖章，并加盖公章。</w:t>
      </w:r>
    </w:p>
    <w:p w14:paraId="4541BC03">
      <w:pPr>
        <w:numPr>
          <w:ilvl w:val="1"/>
          <w:numId w:val="1"/>
        </w:numPr>
        <w:tabs>
          <w:tab w:val="left" w:pos="525"/>
          <w:tab w:val="left" w:pos="635"/>
          <w:tab w:val="left" w:pos="900"/>
        </w:tabs>
        <w:spacing w:line="360" w:lineRule="auto"/>
        <w:rPr>
          <w:rFonts w:ascii="宋体" w:hAnsi="宋体" w:cs="楷体"/>
          <w:b/>
          <w:bCs/>
          <w:kern w:val="0"/>
          <w:sz w:val="22"/>
          <w:szCs w:val="22"/>
          <w:highlight w:val="none"/>
        </w:rPr>
      </w:pPr>
      <w:r>
        <w:rPr>
          <w:rFonts w:hint="eastAsia" w:ascii="宋体" w:hAnsi="宋体" w:cs="楷体"/>
          <w:b/>
          <w:bCs/>
          <w:kern w:val="0"/>
          <w:sz w:val="22"/>
          <w:szCs w:val="22"/>
          <w:highlight w:val="none"/>
        </w:rPr>
        <w:t>对同一采购程序环节的质疑，供应商须在法定质疑期内一次性提出。</w:t>
      </w:r>
      <w:r>
        <w:rPr>
          <w:rFonts w:hint="eastAsia" w:ascii="宋体" w:hAnsi="宋体"/>
          <w:b/>
          <w:bCs/>
          <w:sz w:val="22"/>
          <w:szCs w:val="22"/>
          <w:highlight w:val="none"/>
        </w:rPr>
        <w:t>法定质疑期内针对同一采购程序环节再次提出的质疑，采购人、采购代理机构有权不予答复。</w:t>
      </w:r>
    </w:p>
    <w:p w14:paraId="05D6A752">
      <w:pPr>
        <w:numPr>
          <w:ilvl w:val="1"/>
          <w:numId w:val="1"/>
        </w:numPr>
        <w:tabs>
          <w:tab w:val="left" w:pos="525"/>
          <w:tab w:val="left" w:pos="635"/>
          <w:tab w:val="left" w:pos="900"/>
        </w:tabs>
        <w:spacing w:line="360" w:lineRule="auto"/>
        <w:rPr>
          <w:rFonts w:ascii="宋体" w:hAnsi="宋体" w:cs="楷体"/>
          <w:kern w:val="0"/>
          <w:sz w:val="22"/>
          <w:szCs w:val="22"/>
          <w:highlight w:val="none"/>
        </w:rPr>
      </w:pPr>
      <w:r>
        <w:rPr>
          <w:rFonts w:hint="eastAsia" w:ascii="宋体" w:hAnsi="宋体" w:cs="楷体"/>
          <w:kern w:val="0"/>
          <w:sz w:val="22"/>
          <w:szCs w:val="22"/>
          <w:highlight w:val="none"/>
        </w:rPr>
        <w:t>采购人或者采购代理机构应当在收到供应商的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5个工作日内，在浙江政府采购网的“其他公告”栏目公开质疑答复，答复内容应当完整。质疑函作为附件上传。</w:t>
      </w:r>
    </w:p>
    <w:p w14:paraId="16DD9B4E">
      <w:pPr>
        <w:numPr>
          <w:ilvl w:val="1"/>
          <w:numId w:val="1"/>
        </w:numPr>
        <w:tabs>
          <w:tab w:val="left" w:pos="525"/>
          <w:tab w:val="left" w:pos="635"/>
          <w:tab w:val="left" w:pos="900"/>
        </w:tabs>
        <w:spacing w:line="360" w:lineRule="auto"/>
        <w:rPr>
          <w:rFonts w:ascii="宋体" w:hAnsi="宋体" w:cs="楷体"/>
          <w:kern w:val="0"/>
          <w:sz w:val="22"/>
          <w:szCs w:val="22"/>
          <w:highlight w:val="none"/>
        </w:rPr>
      </w:pPr>
      <w:r>
        <w:rPr>
          <w:rFonts w:hint="eastAsia" w:ascii="宋体" w:hAnsi="宋体" w:cs="楷体"/>
          <w:kern w:val="0"/>
          <w:sz w:val="22"/>
          <w:szCs w:val="22"/>
          <w:highlight w:val="none"/>
        </w:rPr>
        <w:t>询问或者质疑事项可能影响采购结果的，采购人应当暂停签订合同，已经签订合同的，应当中止履行合同。</w:t>
      </w:r>
    </w:p>
    <w:p w14:paraId="4E9BC0BF">
      <w:pPr>
        <w:numPr>
          <w:ilvl w:val="0"/>
          <w:numId w:val="1"/>
        </w:numPr>
        <w:tabs>
          <w:tab w:val="left" w:pos="525"/>
          <w:tab w:val="left" w:pos="900"/>
        </w:tabs>
        <w:spacing w:line="360" w:lineRule="auto"/>
        <w:rPr>
          <w:rFonts w:ascii="宋体" w:hAnsi="宋体" w:cs="仿宋"/>
          <w:sz w:val="22"/>
          <w:szCs w:val="22"/>
          <w:highlight w:val="none"/>
        </w:rPr>
      </w:pPr>
      <w:r>
        <w:rPr>
          <w:rFonts w:hint="eastAsia" w:ascii="宋体" w:hAnsi="宋体" w:cs="仿宋"/>
          <w:sz w:val="22"/>
          <w:szCs w:val="22"/>
          <w:highlight w:val="none"/>
        </w:rPr>
        <w:t>供应商投诉</w:t>
      </w:r>
    </w:p>
    <w:p w14:paraId="483E4F2E">
      <w:pPr>
        <w:numPr>
          <w:ilvl w:val="1"/>
          <w:numId w:val="1"/>
        </w:numPr>
        <w:tabs>
          <w:tab w:val="left" w:pos="525"/>
          <w:tab w:val="left" w:pos="635"/>
          <w:tab w:val="left" w:pos="900"/>
        </w:tabs>
        <w:spacing w:line="360" w:lineRule="auto"/>
        <w:rPr>
          <w:rFonts w:ascii="宋体" w:hAnsi="宋体" w:cs="仿宋"/>
          <w:sz w:val="22"/>
          <w:szCs w:val="22"/>
          <w:highlight w:val="none"/>
          <w:lang w:val="zh-CN"/>
        </w:rPr>
      </w:pPr>
      <w:r>
        <w:rPr>
          <w:rFonts w:hint="eastAsia" w:ascii="宋体" w:hAnsi="宋体" w:cs="仿宋"/>
          <w:sz w:val="22"/>
          <w:szCs w:val="22"/>
          <w:highlight w:val="none"/>
          <w:lang w:val="zh-CN"/>
        </w:rPr>
        <w:t>质疑供应商对采购人、采购代理机构的答复不满意或者采购人、采购代理机构未在规定的时间内作出答复的，可以在答复期满后十五个工作日内向同级政府采购监督管理部门提出投诉。</w:t>
      </w:r>
    </w:p>
    <w:p w14:paraId="197071DA">
      <w:pPr>
        <w:numPr>
          <w:ilvl w:val="1"/>
          <w:numId w:val="1"/>
        </w:numPr>
        <w:tabs>
          <w:tab w:val="left" w:pos="525"/>
          <w:tab w:val="left" w:pos="635"/>
          <w:tab w:val="left" w:pos="900"/>
        </w:tabs>
        <w:spacing w:line="360" w:lineRule="auto"/>
        <w:rPr>
          <w:rFonts w:ascii="宋体" w:hAnsi="宋体" w:cs="仿宋"/>
          <w:sz w:val="22"/>
          <w:szCs w:val="22"/>
          <w:highlight w:val="none"/>
          <w:lang w:val="zh-CN"/>
        </w:rPr>
      </w:pPr>
      <w:r>
        <w:rPr>
          <w:rFonts w:hint="eastAsia" w:ascii="宋体" w:hAnsi="宋体" w:cs="仿宋"/>
          <w:sz w:val="22"/>
          <w:szCs w:val="22"/>
          <w:highlight w:val="none"/>
          <w:lang w:val="zh-CN"/>
        </w:rPr>
        <w:t>供应商投诉的事项不得超出已质疑事项的范围，基于质疑答复内容提出的投诉事项除外。</w:t>
      </w:r>
    </w:p>
    <w:p w14:paraId="09CC7F61">
      <w:pPr>
        <w:numPr>
          <w:ilvl w:val="1"/>
          <w:numId w:val="1"/>
        </w:numPr>
        <w:tabs>
          <w:tab w:val="left" w:pos="525"/>
          <w:tab w:val="left" w:pos="635"/>
          <w:tab w:val="left" w:pos="900"/>
        </w:tabs>
        <w:spacing w:line="360" w:lineRule="auto"/>
        <w:rPr>
          <w:rFonts w:ascii="宋体" w:hAnsi="宋体" w:cs="仿宋"/>
          <w:sz w:val="22"/>
          <w:szCs w:val="22"/>
          <w:highlight w:val="none"/>
          <w:lang w:val="zh-CN"/>
        </w:rPr>
      </w:pPr>
      <w:r>
        <w:rPr>
          <w:rFonts w:hint="eastAsia" w:ascii="宋体" w:hAnsi="宋体" w:cs="仿宋"/>
          <w:sz w:val="22"/>
          <w:szCs w:val="22"/>
          <w:highlight w:val="none"/>
          <w:lang w:val="zh-CN"/>
        </w:rPr>
        <w:t>供应商</w:t>
      </w:r>
      <w:r>
        <w:rPr>
          <w:rFonts w:hint="eastAsia" w:ascii="宋体" w:hAnsi="宋体" w:cs="楷体"/>
          <w:kern w:val="0"/>
          <w:sz w:val="22"/>
          <w:szCs w:val="22"/>
          <w:highlight w:val="none"/>
        </w:rPr>
        <w:t>投诉</w:t>
      </w:r>
      <w:r>
        <w:rPr>
          <w:rFonts w:hint="eastAsia" w:ascii="宋体" w:hAnsi="宋体" w:cs="仿宋"/>
          <w:sz w:val="22"/>
          <w:szCs w:val="22"/>
          <w:highlight w:val="none"/>
          <w:lang w:val="zh-CN"/>
        </w:rPr>
        <w:t>应当有明确的请求和必要的证明材料。</w:t>
      </w:r>
    </w:p>
    <w:p w14:paraId="053F7526">
      <w:pPr>
        <w:numPr>
          <w:ilvl w:val="1"/>
          <w:numId w:val="1"/>
        </w:numPr>
        <w:tabs>
          <w:tab w:val="left" w:pos="525"/>
          <w:tab w:val="left" w:pos="635"/>
          <w:tab w:val="left" w:pos="900"/>
        </w:tabs>
        <w:spacing w:line="360" w:lineRule="auto"/>
        <w:rPr>
          <w:rFonts w:ascii="宋体" w:hAnsi="宋体" w:cs="仿宋"/>
          <w:sz w:val="22"/>
          <w:szCs w:val="22"/>
          <w:highlight w:val="none"/>
          <w:lang w:val="zh-CN"/>
        </w:rPr>
      </w:pPr>
      <w:r>
        <w:rPr>
          <w:rFonts w:hint="eastAsia" w:ascii="宋体" w:hAnsi="宋体" w:cs="仿宋"/>
          <w:sz w:val="22"/>
          <w:szCs w:val="22"/>
          <w:highlight w:val="none"/>
          <w:lang w:val="zh-CN"/>
        </w:rPr>
        <w:t>以联合体形式参加政府采购活动的，其投诉应当由组成联合体的所有供应商共同提出。</w:t>
      </w:r>
    </w:p>
    <w:p w14:paraId="6E7DDC2A">
      <w:pPr>
        <w:numPr>
          <w:ilvl w:val="0"/>
          <w:numId w:val="1"/>
        </w:numPr>
        <w:tabs>
          <w:tab w:val="left" w:pos="540"/>
          <w:tab w:val="left" w:pos="900"/>
        </w:tabs>
        <w:spacing w:line="360" w:lineRule="auto"/>
        <w:rPr>
          <w:rFonts w:ascii="宋体" w:hAnsi="宋体"/>
          <w:b/>
          <w:bCs/>
          <w:spacing w:val="6"/>
          <w:sz w:val="22"/>
          <w:szCs w:val="22"/>
          <w:highlight w:val="none"/>
        </w:rPr>
      </w:pPr>
      <w:r>
        <w:rPr>
          <w:rFonts w:hint="eastAsia" w:ascii="宋体" w:hAnsi="宋体"/>
          <w:b/>
          <w:bCs/>
          <w:spacing w:val="6"/>
          <w:sz w:val="22"/>
          <w:szCs w:val="22"/>
          <w:highlight w:val="none"/>
        </w:rPr>
        <w:t>质疑函</w:t>
      </w:r>
      <w:r>
        <w:rPr>
          <w:rFonts w:hint="eastAsia" w:ascii="宋体" w:hAnsi="宋体"/>
          <w:b/>
          <w:bCs/>
          <w:sz w:val="22"/>
          <w:szCs w:val="22"/>
          <w:highlight w:val="none"/>
        </w:rPr>
        <w:t>范本</w:t>
      </w:r>
      <w:r>
        <w:rPr>
          <w:rFonts w:hint="eastAsia" w:ascii="宋体" w:hAnsi="宋体"/>
          <w:b/>
          <w:bCs/>
          <w:spacing w:val="6"/>
          <w:sz w:val="22"/>
          <w:szCs w:val="22"/>
          <w:highlight w:val="none"/>
        </w:rPr>
        <w:t>、投诉书范本请到浙江政府采购网下载专区下载。</w:t>
      </w:r>
    </w:p>
    <w:p w14:paraId="6D741B49">
      <w:pPr>
        <w:pStyle w:val="4"/>
        <w:spacing w:line="400" w:lineRule="exact"/>
        <w:jc w:val="center"/>
        <w:rPr>
          <w:rFonts w:ascii="宋体" w:hAnsi="宋体" w:eastAsia="宋体" w:cs="Courier New"/>
          <w:highlight w:val="none"/>
        </w:rPr>
      </w:pPr>
      <w:bookmarkStart w:id="78" w:name="_Toc146181144"/>
      <w:r>
        <w:rPr>
          <w:rFonts w:hint="eastAsia" w:ascii="宋体" w:hAnsi="宋体" w:eastAsia="宋体" w:cs="Courier New"/>
          <w:highlight w:val="none"/>
        </w:rPr>
        <w:t xml:space="preserve">四、 </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Pr>
          <w:rFonts w:hint="eastAsia" w:ascii="宋体" w:hAnsi="宋体" w:eastAsia="宋体" w:cs="Courier New"/>
          <w:highlight w:val="none"/>
        </w:rPr>
        <w:t>招标文件的组成、澄清、修改</w:t>
      </w:r>
      <w:bookmarkEnd w:id="78"/>
    </w:p>
    <w:p w14:paraId="1A47AC3E">
      <w:pPr>
        <w:numPr>
          <w:ilvl w:val="0"/>
          <w:numId w:val="1"/>
        </w:numPr>
        <w:tabs>
          <w:tab w:val="left" w:pos="525"/>
          <w:tab w:val="left" w:pos="900"/>
        </w:tabs>
        <w:spacing w:line="360" w:lineRule="auto"/>
        <w:rPr>
          <w:rFonts w:ascii="宋体" w:hAnsi="宋体" w:cs="楷体"/>
          <w:kern w:val="0"/>
          <w:sz w:val="22"/>
          <w:szCs w:val="22"/>
          <w:highlight w:val="none"/>
        </w:rPr>
      </w:pPr>
      <w:r>
        <w:rPr>
          <w:rFonts w:hint="eastAsia" w:ascii="宋体" w:hAnsi="宋体" w:cs="楷体"/>
          <w:kern w:val="0"/>
          <w:sz w:val="22"/>
          <w:szCs w:val="22"/>
          <w:highlight w:val="none"/>
        </w:rPr>
        <w:t>招标文件由招标文件目录所列内容及相关资料组成。</w:t>
      </w:r>
    </w:p>
    <w:p w14:paraId="4AA78F94">
      <w:pPr>
        <w:numPr>
          <w:ilvl w:val="0"/>
          <w:numId w:val="1"/>
        </w:numPr>
        <w:tabs>
          <w:tab w:val="left" w:pos="525"/>
          <w:tab w:val="left" w:pos="900"/>
        </w:tabs>
        <w:spacing w:line="360" w:lineRule="auto"/>
        <w:rPr>
          <w:rFonts w:ascii="宋体" w:hAnsi="宋体" w:cs="楷体"/>
          <w:kern w:val="0"/>
          <w:sz w:val="22"/>
          <w:szCs w:val="22"/>
          <w:highlight w:val="none"/>
        </w:rPr>
      </w:pPr>
      <w:r>
        <w:rPr>
          <w:rFonts w:hint="eastAsia" w:ascii="宋体" w:hAnsi="宋体" w:cs="楷体"/>
          <w:kern w:val="0"/>
          <w:sz w:val="22"/>
          <w:szCs w:val="22"/>
          <w:highlight w:val="none"/>
        </w:rPr>
        <w:t>招标文件的澄清、修改</w:t>
      </w:r>
    </w:p>
    <w:p w14:paraId="193BFE6E">
      <w:pPr>
        <w:numPr>
          <w:ilvl w:val="1"/>
          <w:numId w:val="1"/>
        </w:numPr>
        <w:tabs>
          <w:tab w:val="left" w:pos="525"/>
          <w:tab w:val="left" w:pos="635"/>
          <w:tab w:val="left" w:pos="900"/>
        </w:tabs>
        <w:spacing w:line="360" w:lineRule="auto"/>
        <w:rPr>
          <w:rFonts w:ascii="宋体" w:hAnsi="宋体"/>
          <w:sz w:val="22"/>
          <w:szCs w:val="22"/>
          <w:highlight w:val="none"/>
        </w:rPr>
      </w:pPr>
      <w:r>
        <w:rPr>
          <w:rFonts w:hint="eastAsia" w:ascii="宋体" w:hAnsi="宋体"/>
          <w:sz w:val="22"/>
          <w:szCs w:val="22"/>
          <w:highlight w:val="none"/>
        </w:rPr>
        <w:t>已获取招标文件的潜在供应商，若有问题需要澄清，应于投标截止时间前，以书面形式向采购代理机构提出。供应商在规定的时间内未对招标文件提出疑问、质疑或要求澄清的，将视其为无异议。</w:t>
      </w:r>
      <w:r>
        <w:rPr>
          <w:rFonts w:hint="eastAsia" w:ascii="宋体" w:hAnsi="宋体"/>
          <w:b/>
          <w:bCs/>
          <w:sz w:val="22"/>
          <w:szCs w:val="22"/>
          <w:highlight w:val="none"/>
        </w:rPr>
        <w:t>对招标文件中描述有歧义或前后不一致的地方，评标委员会有权进行评判，但对同一条款的评判应适用于每个投标人。</w:t>
      </w:r>
    </w:p>
    <w:p w14:paraId="2D9C7763">
      <w:pPr>
        <w:numPr>
          <w:ilvl w:val="1"/>
          <w:numId w:val="1"/>
        </w:numPr>
        <w:tabs>
          <w:tab w:val="left" w:pos="525"/>
          <w:tab w:val="left" w:pos="635"/>
          <w:tab w:val="left" w:pos="900"/>
        </w:tabs>
        <w:spacing w:line="360" w:lineRule="auto"/>
        <w:rPr>
          <w:rFonts w:ascii="宋体" w:hAnsi="宋体"/>
          <w:sz w:val="22"/>
          <w:szCs w:val="22"/>
          <w:highlight w:val="none"/>
        </w:rPr>
      </w:pPr>
      <w:r>
        <w:rPr>
          <w:rFonts w:hint="eastAsia" w:ascii="宋体" w:hAnsi="宋体"/>
          <w:sz w:val="22"/>
          <w:szCs w:val="22"/>
          <w:highlight w:val="none"/>
        </w:rPr>
        <w:t>在投标截止前的任何时候，招标采购单位需要对招标文件进行澄清或修改的，将会</w:t>
      </w:r>
      <w:r>
        <w:rPr>
          <w:rFonts w:ascii="宋体" w:hAnsi="宋体"/>
          <w:sz w:val="22"/>
          <w:szCs w:val="22"/>
          <w:highlight w:val="none"/>
        </w:rPr>
        <w:t>在招标文件载明的指定媒体</w:t>
      </w:r>
      <w:r>
        <w:rPr>
          <w:rFonts w:hint="eastAsia" w:ascii="宋体" w:hAnsi="宋体"/>
          <w:sz w:val="22"/>
          <w:szCs w:val="22"/>
          <w:highlight w:val="none"/>
        </w:rPr>
        <w:t>上发布澄清（更正）公告。如果澄清或修改的内容可能影响投标文件编制的，且澄清或更正公告发布时间距投标截止时间不足15天的，则相应延长投标截止时间。延长后的具体投标截止时间以最后发布的澄清或更正公告中的规定为准。</w:t>
      </w:r>
    </w:p>
    <w:p w14:paraId="669CD7FF">
      <w:pPr>
        <w:numPr>
          <w:ilvl w:val="1"/>
          <w:numId w:val="1"/>
        </w:numPr>
        <w:tabs>
          <w:tab w:val="left" w:pos="525"/>
          <w:tab w:val="left" w:pos="635"/>
          <w:tab w:val="left" w:pos="900"/>
        </w:tabs>
        <w:spacing w:line="360" w:lineRule="auto"/>
        <w:rPr>
          <w:rFonts w:ascii="宋体" w:hAnsi="宋体"/>
          <w:sz w:val="22"/>
          <w:szCs w:val="22"/>
          <w:highlight w:val="none"/>
        </w:rPr>
      </w:pPr>
      <w:r>
        <w:rPr>
          <w:rFonts w:hint="eastAsia" w:ascii="宋体" w:hAnsi="宋体"/>
          <w:sz w:val="22"/>
          <w:szCs w:val="22"/>
          <w:highlight w:val="none"/>
        </w:rPr>
        <w:t>澄清或修改的内容作为招标文件的组成部分。当招标文件与澄清或更正公告就同一内容的表述不一致时，以最后发出的文件内容为准。任何口头答复均不属于招标文件的组成部分。</w:t>
      </w:r>
    </w:p>
    <w:p w14:paraId="2A1732F8">
      <w:pPr>
        <w:numPr>
          <w:ilvl w:val="1"/>
          <w:numId w:val="1"/>
        </w:numPr>
        <w:tabs>
          <w:tab w:val="left" w:pos="525"/>
          <w:tab w:val="left" w:pos="635"/>
          <w:tab w:val="left" w:pos="900"/>
        </w:tabs>
        <w:spacing w:line="360" w:lineRule="auto"/>
        <w:rPr>
          <w:rFonts w:ascii="宋体" w:hAnsi="宋体"/>
          <w:sz w:val="22"/>
          <w:szCs w:val="22"/>
          <w:highlight w:val="none"/>
        </w:rPr>
      </w:pPr>
      <w:r>
        <w:rPr>
          <w:rFonts w:hint="eastAsia" w:ascii="宋体" w:hAnsi="宋体"/>
          <w:sz w:val="22"/>
          <w:szCs w:val="22"/>
          <w:highlight w:val="none"/>
        </w:rPr>
        <w:t>澄清（更正）公告作为招标采购单位通知所有潜在供应商的书面形式，一经在网站发布，视同已通知所有招标文件的收受人，不再采用其它方式传达相关信息。潜在供应商或投标人在参与本项目</w:t>
      </w:r>
      <w:r>
        <w:rPr>
          <w:rFonts w:hint="eastAsia" w:ascii="宋体" w:hAnsi="宋体" w:cs="Courier New"/>
          <w:sz w:val="22"/>
          <w:szCs w:val="22"/>
          <w:highlight w:val="none"/>
        </w:rPr>
        <w:t>招标采购活动过程中</w:t>
      </w:r>
      <w:r>
        <w:rPr>
          <w:rFonts w:hint="eastAsia" w:ascii="宋体" w:hAnsi="宋体"/>
          <w:sz w:val="22"/>
          <w:szCs w:val="22"/>
          <w:highlight w:val="none"/>
        </w:rPr>
        <w:t>，应及时关注招标文件载明的指定媒体上的相关信息，否则产生不利由其自行承担。</w:t>
      </w:r>
    </w:p>
    <w:p w14:paraId="570B2C0F">
      <w:pPr>
        <w:pStyle w:val="4"/>
        <w:spacing w:line="400" w:lineRule="exact"/>
        <w:jc w:val="center"/>
        <w:rPr>
          <w:rFonts w:ascii="宋体" w:hAnsi="宋体" w:eastAsia="宋体" w:cs="Courier New"/>
          <w:highlight w:val="none"/>
        </w:rPr>
      </w:pPr>
      <w:bookmarkStart w:id="79" w:name="_Toc216667822"/>
      <w:bookmarkStart w:id="80" w:name="_Toc214365792"/>
      <w:bookmarkStart w:id="81" w:name="_Toc218041728"/>
      <w:bookmarkStart w:id="82" w:name="_Toc205703104"/>
      <w:bookmarkStart w:id="83" w:name="_Toc146181145"/>
      <w:bookmarkStart w:id="84" w:name="_Toc223933223"/>
      <w:bookmarkStart w:id="85" w:name="_Toc223717606"/>
      <w:bookmarkStart w:id="86" w:name="_Toc227057035"/>
      <w:bookmarkStart w:id="87" w:name="_Toc204491319"/>
      <w:bookmarkStart w:id="88" w:name="_Toc207609183"/>
      <w:bookmarkStart w:id="89" w:name="_Toc227056848"/>
      <w:bookmarkStart w:id="90" w:name="_Toc204578577"/>
      <w:bookmarkStart w:id="91" w:name="_Toc205005288"/>
      <w:bookmarkStart w:id="92" w:name="_Toc227489889"/>
      <w:bookmarkStart w:id="93" w:name="_Toc209251129"/>
      <w:bookmarkStart w:id="94" w:name="_Toc215415532"/>
      <w:bookmarkStart w:id="95" w:name="_Toc209261434"/>
      <w:bookmarkStart w:id="96" w:name="_Toc209250721"/>
      <w:bookmarkStart w:id="97" w:name="_Toc205877559"/>
      <w:bookmarkStart w:id="98" w:name="_Toc217460687"/>
      <w:bookmarkStart w:id="99" w:name="_Toc205877454"/>
      <w:bookmarkStart w:id="100" w:name="_Toc209332635"/>
      <w:bookmarkStart w:id="101" w:name="_Toc210879710"/>
      <w:bookmarkStart w:id="102" w:name="_Toc219538615"/>
      <w:bookmarkStart w:id="103" w:name="_Toc209261367"/>
      <w:bookmarkStart w:id="104" w:name="_Toc205004970"/>
      <w:r>
        <w:rPr>
          <w:rFonts w:hint="eastAsia" w:ascii="宋体" w:hAnsi="宋体" w:eastAsia="宋体" w:cs="Courier New"/>
          <w:highlight w:val="none"/>
        </w:rPr>
        <w:t>五、 投标文件</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62A61EBA">
      <w:pPr>
        <w:numPr>
          <w:ilvl w:val="0"/>
          <w:numId w:val="1"/>
        </w:numPr>
        <w:tabs>
          <w:tab w:val="left" w:pos="525"/>
          <w:tab w:val="left" w:pos="900"/>
        </w:tabs>
        <w:spacing w:line="360" w:lineRule="auto"/>
        <w:rPr>
          <w:rFonts w:ascii="宋体" w:hAnsi="宋体" w:cs="楷体"/>
          <w:kern w:val="0"/>
          <w:sz w:val="22"/>
          <w:szCs w:val="22"/>
          <w:highlight w:val="none"/>
        </w:rPr>
      </w:pPr>
      <w:r>
        <w:rPr>
          <w:rFonts w:hint="eastAsia" w:ascii="宋体" w:hAnsi="宋体" w:cs="楷体"/>
          <w:kern w:val="0"/>
          <w:sz w:val="22"/>
          <w:szCs w:val="22"/>
          <w:highlight w:val="none"/>
        </w:rPr>
        <w:t>投标人应认真阅读招标文件的全部内容。投标人应按照招标文件要求提交投标文件并保证所提供的全部资料的真实性，并对招标文件作出实质性响应，否则投标无效。</w:t>
      </w:r>
    </w:p>
    <w:p w14:paraId="19F5B943">
      <w:pPr>
        <w:numPr>
          <w:ilvl w:val="0"/>
          <w:numId w:val="1"/>
        </w:numPr>
        <w:tabs>
          <w:tab w:val="left" w:pos="525"/>
          <w:tab w:val="left" w:pos="900"/>
        </w:tabs>
        <w:spacing w:line="360" w:lineRule="auto"/>
        <w:rPr>
          <w:rFonts w:ascii="宋体" w:hAnsi="宋体" w:cs="楷体"/>
          <w:kern w:val="0"/>
          <w:sz w:val="22"/>
          <w:szCs w:val="22"/>
          <w:highlight w:val="none"/>
        </w:rPr>
      </w:pPr>
      <w:r>
        <w:rPr>
          <w:rFonts w:hint="eastAsia" w:ascii="宋体" w:hAnsi="宋体" w:cs="楷体"/>
          <w:kern w:val="0"/>
          <w:sz w:val="22"/>
          <w:szCs w:val="22"/>
          <w:highlight w:val="none"/>
        </w:rPr>
        <w:t>投标文件</w:t>
      </w:r>
      <w:bookmarkStart w:id="105" w:name="_Hlk38295237"/>
      <w:r>
        <w:rPr>
          <w:rFonts w:hint="eastAsia" w:ascii="宋体" w:hAnsi="宋体" w:cs="楷体"/>
          <w:kern w:val="0"/>
          <w:sz w:val="22"/>
          <w:szCs w:val="22"/>
          <w:highlight w:val="none"/>
        </w:rPr>
        <w:t>的组成</w:t>
      </w:r>
      <w:bookmarkEnd w:id="105"/>
      <w:r>
        <w:rPr>
          <w:rFonts w:hint="eastAsia" w:ascii="宋体" w:hAnsi="宋体" w:cs="楷体"/>
          <w:kern w:val="0"/>
          <w:sz w:val="22"/>
          <w:szCs w:val="22"/>
          <w:highlight w:val="none"/>
        </w:rPr>
        <w:t>：</w:t>
      </w:r>
    </w:p>
    <w:p w14:paraId="02D10434">
      <w:pPr>
        <w:numPr>
          <w:ilvl w:val="1"/>
          <w:numId w:val="1"/>
        </w:numPr>
        <w:tabs>
          <w:tab w:val="left" w:pos="525"/>
        </w:tabs>
        <w:spacing w:line="360" w:lineRule="auto"/>
        <w:rPr>
          <w:rFonts w:ascii="宋体" w:hAnsi="宋体" w:cs="Courier New"/>
          <w:sz w:val="22"/>
          <w:szCs w:val="22"/>
          <w:highlight w:val="none"/>
        </w:rPr>
      </w:pPr>
      <w:r>
        <w:rPr>
          <w:rFonts w:hint="eastAsia" w:ascii="宋体" w:hAnsi="宋体" w:cs="Courier New"/>
          <w:sz w:val="22"/>
          <w:szCs w:val="22"/>
          <w:highlight w:val="none"/>
        </w:rPr>
        <w:t>上传的</w:t>
      </w:r>
      <w:r>
        <w:rPr>
          <w:rFonts w:hint="eastAsia" w:ascii="宋体" w:hAnsi="宋体"/>
          <w:sz w:val="22"/>
          <w:highlight w:val="none"/>
        </w:rPr>
        <w:t>投标</w:t>
      </w:r>
      <w:r>
        <w:rPr>
          <w:rFonts w:hint="eastAsia" w:ascii="宋体" w:hAnsi="宋体" w:cs="Courier New"/>
          <w:sz w:val="22"/>
          <w:szCs w:val="22"/>
          <w:highlight w:val="none"/>
        </w:rPr>
        <w:t>文件</w:t>
      </w:r>
      <w:r>
        <w:rPr>
          <w:rFonts w:hint="eastAsia" w:ascii="宋体" w:hAnsi="宋体"/>
          <w:sz w:val="22"/>
          <w:highlight w:val="none"/>
        </w:rPr>
        <w:t>应当</w:t>
      </w:r>
      <w:r>
        <w:rPr>
          <w:rFonts w:hint="eastAsia" w:ascii="宋体" w:hAnsi="宋体" w:cs="Courier New"/>
          <w:sz w:val="22"/>
          <w:szCs w:val="22"/>
          <w:highlight w:val="none"/>
        </w:rPr>
        <w:t>包括以下主要内容：资格文件、商务技术文件、报价文件。部分格式详见“第二部分 应提交的有关格式范例”。</w:t>
      </w:r>
    </w:p>
    <w:p w14:paraId="279AEF99">
      <w:pPr>
        <w:spacing w:line="360" w:lineRule="auto"/>
        <w:ind w:left="187" w:leftChars="85" w:hanging="9" w:hangingChars="4"/>
        <w:jc w:val="left"/>
        <w:rPr>
          <w:rFonts w:ascii="宋体" w:hAnsi="宋体"/>
          <w:b/>
          <w:sz w:val="22"/>
          <w:szCs w:val="22"/>
          <w:highlight w:val="none"/>
        </w:rPr>
      </w:pPr>
      <w:r>
        <w:rPr>
          <w:rFonts w:hint="eastAsia" w:ascii="宋体" w:hAnsi="宋体"/>
          <w:b/>
          <w:sz w:val="22"/>
          <w:szCs w:val="22"/>
          <w:highlight w:val="none"/>
        </w:rPr>
        <w:t xml:space="preserve">（1）投标人的资格文件包括以下内容： </w:t>
      </w:r>
    </w:p>
    <w:tbl>
      <w:tblPr>
        <w:tblStyle w:val="40"/>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796"/>
        <w:gridCol w:w="1354"/>
      </w:tblGrid>
      <w:tr w14:paraId="614CB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DE6769B">
            <w:pPr>
              <w:jc w:val="center"/>
              <w:rPr>
                <w:rFonts w:ascii="宋体" w:hAnsi="宋体"/>
                <w:sz w:val="22"/>
                <w:szCs w:val="22"/>
                <w:highlight w:val="none"/>
              </w:rPr>
            </w:pPr>
            <w:bookmarkStart w:id="106" w:name="_Toc500208478"/>
            <w:r>
              <w:rPr>
                <w:rFonts w:hint="eastAsia" w:ascii="宋体" w:hAnsi="宋体"/>
                <w:sz w:val="22"/>
                <w:szCs w:val="22"/>
                <w:highlight w:val="none"/>
              </w:rPr>
              <w:t>序号</w:t>
            </w:r>
          </w:p>
        </w:tc>
        <w:tc>
          <w:tcPr>
            <w:tcW w:w="7796" w:type="dxa"/>
            <w:vAlign w:val="center"/>
          </w:tcPr>
          <w:p w14:paraId="0D6107BB">
            <w:pPr>
              <w:jc w:val="center"/>
              <w:rPr>
                <w:rFonts w:ascii="宋体" w:hAnsi="宋体"/>
                <w:sz w:val="22"/>
                <w:szCs w:val="22"/>
                <w:highlight w:val="none"/>
              </w:rPr>
            </w:pPr>
            <w:r>
              <w:rPr>
                <w:rFonts w:hint="eastAsia" w:ascii="宋体" w:hAnsi="宋体"/>
                <w:sz w:val="22"/>
                <w:szCs w:val="22"/>
                <w:highlight w:val="none"/>
              </w:rPr>
              <w:t>内容</w:t>
            </w:r>
          </w:p>
        </w:tc>
        <w:tc>
          <w:tcPr>
            <w:tcW w:w="1354" w:type="dxa"/>
            <w:vAlign w:val="center"/>
          </w:tcPr>
          <w:p w14:paraId="5E72484E">
            <w:pPr>
              <w:spacing w:line="430" w:lineRule="exact"/>
              <w:jc w:val="center"/>
              <w:rPr>
                <w:rFonts w:ascii="宋体" w:hAnsi="宋体"/>
                <w:sz w:val="22"/>
                <w:szCs w:val="22"/>
                <w:highlight w:val="none"/>
              </w:rPr>
            </w:pPr>
            <w:r>
              <w:rPr>
                <w:rFonts w:hint="eastAsia" w:ascii="宋体" w:hAnsi="宋体"/>
                <w:sz w:val="22"/>
                <w:szCs w:val="22"/>
                <w:highlight w:val="none"/>
              </w:rPr>
              <w:t>备注</w:t>
            </w:r>
          </w:p>
        </w:tc>
      </w:tr>
      <w:tr w14:paraId="1485F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7B24AA1">
            <w:pPr>
              <w:jc w:val="center"/>
              <w:rPr>
                <w:rFonts w:ascii="宋体" w:hAnsi="宋体"/>
                <w:sz w:val="22"/>
                <w:szCs w:val="22"/>
                <w:highlight w:val="none"/>
              </w:rPr>
            </w:pPr>
            <w:r>
              <w:rPr>
                <w:rFonts w:ascii="宋体" w:hAnsi="宋体"/>
                <w:sz w:val="22"/>
                <w:szCs w:val="22"/>
                <w:highlight w:val="none"/>
              </w:rPr>
              <w:t>1</w:t>
            </w:r>
          </w:p>
        </w:tc>
        <w:tc>
          <w:tcPr>
            <w:tcW w:w="7796" w:type="dxa"/>
            <w:vAlign w:val="center"/>
          </w:tcPr>
          <w:p w14:paraId="6DE5E431">
            <w:pPr>
              <w:rPr>
                <w:rFonts w:ascii="宋体" w:hAnsi="宋体" w:cs="楷体"/>
                <w:kern w:val="0"/>
                <w:sz w:val="22"/>
                <w:szCs w:val="22"/>
                <w:highlight w:val="none"/>
              </w:rPr>
            </w:pPr>
            <w:r>
              <w:rPr>
                <w:rFonts w:hint="eastAsia" w:ascii="宋体" w:hAnsi="宋体" w:cs="楷体"/>
                <w:kern w:val="0"/>
                <w:sz w:val="22"/>
                <w:szCs w:val="22"/>
                <w:highlight w:val="none"/>
              </w:rPr>
              <w:t>资格声明书</w:t>
            </w:r>
          </w:p>
        </w:tc>
        <w:tc>
          <w:tcPr>
            <w:tcW w:w="1354" w:type="dxa"/>
            <w:vAlign w:val="center"/>
          </w:tcPr>
          <w:p w14:paraId="2770269C">
            <w:pPr>
              <w:spacing w:line="276" w:lineRule="auto"/>
              <w:jc w:val="center"/>
              <w:rPr>
                <w:rFonts w:ascii="宋体" w:hAnsi="宋体"/>
                <w:b/>
                <w:sz w:val="22"/>
                <w:szCs w:val="22"/>
                <w:highlight w:val="none"/>
              </w:rPr>
            </w:pPr>
          </w:p>
        </w:tc>
      </w:tr>
      <w:tr w14:paraId="14145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357EE66">
            <w:pPr>
              <w:jc w:val="center"/>
              <w:rPr>
                <w:rFonts w:ascii="宋体" w:hAnsi="宋体"/>
                <w:sz w:val="22"/>
                <w:szCs w:val="22"/>
                <w:highlight w:val="none"/>
              </w:rPr>
            </w:pPr>
            <w:r>
              <w:rPr>
                <w:rFonts w:ascii="宋体" w:hAnsi="宋体"/>
                <w:sz w:val="22"/>
                <w:szCs w:val="22"/>
                <w:highlight w:val="none"/>
              </w:rPr>
              <w:t>2</w:t>
            </w:r>
          </w:p>
        </w:tc>
        <w:tc>
          <w:tcPr>
            <w:tcW w:w="7796" w:type="dxa"/>
            <w:vAlign w:val="center"/>
          </w:tcPr>
          <w:p w14:paraId="0F61BAEA">
            <w:pPr>
              <w:rPr>
                <w:rFonts w:ascii="宋体" w:hAnsi="宋体" w:cs="楷体"/>
                <w:kern w:val="0"/>
                <w:sz w:val="22"/>
                <w:szCs w:val="22"/>
                <w:highlight w:val="none"/>
              </w:rPr>
            </w:pPr>
            <w:r>
              <w:rPr>
                <w:rFonts w:hint="eastAsia" w:ascii="宋体" w:hAnsi="宋体" w:cs="楷体"/>
                <w:kern w:val="0"/>
                <w:sz w:val="22"/>
                <w:szCs w:val="22"/>
                <w:highlight w:val="none"/>
              </w:rPr>
              <w:t>投标人有效的</w:t>
            </w:r>
            <w:r>
              <w:rPr>
                <w:rFonts w:ascii="宋体" w:hAnsi="宋体" w:cs="楷体"/>
                <w:kern w:val="0"/>
                <w:sz w:val="22"/>
                <w:szCs w:val="22"/>
                <w:highlight w:val="none"/>
              </w:rPr>
              <w:t>营业执照等证明文件</w:t>
            </w:r>
          </w:p>
        </w:tc>
        <w:tc>
          <w:tcPr>
            <w:tcW w:w="1354" w:type="dxa"/>
            <w:vAlign w:val="center"/>
          </w:tcPr>
          <w:p w14:paraId="334C603A">
            <w:pPr>
              <w:spacing w:line="276" w:lineRule="auto"/>
              <w:jc w:val="center"/>
              <w:rPr>
                <w:rFonts w:ascii="宋体" w:hAnsi="宋体"/>
                <w:b/>
                <w:sz w:val="22"/>
                <w:szCs w:val="22"/>
                <w:highlight w:val="none"/>
              </w:rPr>
            </w:pPr>
          </w:p>
        </w:tc>
      </w:tr>
      <w:tr w14:paraId="72C6C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AE3C604">
            <w:pPr>
              <w:jc w:val="center"/>
              <w:rPr>
                <w:rFonts w:ascii="宋体" w:hAnsi="宋体"/>
                <w:sz w:val="22"/>
                <w:szCs w:val="22"/>
                <w:highlight w:val="none"/>
              </w:rPr>
            </w:pPr>
            <w:r>
              <w:rPr>
                <w:rFonts w:ascii="宋体" w:hAnsi="宋体"/>
                <w:sz w:val="22"/>
                <w:szCs w:val="22"/>
                <w:highlight w:val="none"/>
              </w:rPr>
              <w:t>3</w:t>
            </w:r>
          </w:p>
        </w:tc>
        <w:tc>
          <w:tcPr>
            <w:tcW w:w="7796" w:type="dxa"/>
            <w:vAlign w:val="center"/>
          </w:tcPr>
          <w:p w14:paraId="3F308662">
            <w:pPr>
              <w:rPr>
                <w:rFonts w:ascii="宋体" w:hAnsi="宋体" w:cs="楷体"/>
                <w:kern w:val="0"/>
                <w:sz w:val="22"/>
                <w:szCs w:val="22"/>
                <w:highlight w:val="none"/>
              </w:rPr>
            </w:pPr>
            <w:r>
              <w:rPr>
                <w:rFonts w:hint="eastAsia" w:ascii="宋体" w:hAnsi="宋体" w:cs="楷体"/>
                <w:kern w:val="0"/>
                <w:sz w:val="22"/>
                <w:szCs w:val="22"/>
                <w:highlight w:val="none"/>
              </w:rPr>
              <w:t>落实政府采购政策需满足的资格要求</w:t>
            </w:r>
          </w:p>
        </w:tc>
        <w:tc>
          <w:tcPr>
            <w:tcW w:w="1354" w:type="dxa"/>
            <w:vAlign w:val="center"/>
          </w:tcPr>
          <w:p w14:paraId="43A02C0D">
            <w:pPr>
              <w:jc w:val="center"/>
              <w:rPr>
                <w:rFonts w:ascii="宋体" w:hAnsi="宋体" w:cs="楷体"/>
                <w:b/>
                <w:bCs/>
                <w:kern w:val="0"/>
                <w:sz w:val="22"/>
                <w:szCs w:val="22"/>
                <w:highlight w:val="none"/>
              </w:rPr>
            </w:pPr>
            <w:r>
              <w:rPr>
                <w:rFonts w:hint="eastAsia" w:ascii="宋体" w:hAnsi="宋体" w:cs="楷体"/>
                <w:b/>
                <w:kern w:val="0"/>
                <w:sz w:val="22"/>
                <w:szCs w:val="22"/>
                <w:highlight w:val="none"/>
              </w:rPr>
              <w:sym w:font="Wingdings" w:char="F0FE"/>
            </w:r>
            <w:r>
              <w:rPr>
                <w:rFonts w:hint="eastAsia" w:ascii="宋体" w:hAnsi="宋体" w:cs="楷体"/>
                <w:b/>
                <w:bCs/>
                <w:kern w:val="0"/>
                <w:sz w:val="22"/>
                <w:szCs w:val="22"/>
                <w:highlight w:val="none"/>
              </w:rPr>
              <w:t>未要求</w:t>
            </w:r>
          </w:p>
        </w:tc>
      </w:tr>
      <w:tr w14:paraId="72C2F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00EA237">
            <w:pPr>
              <w:jc w:val="center"/>
              <w:rPr>
                <w:rFonts w:ascii="宋体" w:hAnsi="宋体"/>
                <w:sz w:val="22"/>
                <w:szCs w:val="22"/>
                <w:highlight w:val="none"/>
              </w:rPr>
            </w:pPr>
            <w:r>
              <w:rPr>
                <w:rFonts w:ascii="宋体" w:hAnsi="宋体"/>
                <w:sz w:val="22"/>
                <w:szCs w:val="22"/>
                <w:highlight w:val="none"/>
              </w:rPr>
              <w:t>4</w:t>
            </w:r>
          </w:p>
        </w:tc>
        <w:tc>
          <w:tcPr>
            <w:tcW w:w="7796" w:type="dxa"/>
            <w:vAlign w:val="center"/>
          </w:tcPr>
          <w:p w14:paraId="5C71FA0F">
            <w:pPr>
              <w:rPr>
                <w:rFonts w:ascii="宋体" w:hAnsi="宋体" w:cs="楷体"/>
                <w:kern w:val="0"/>
                <w:sz w:val="22"/>
                <w:szCs w:val="22"/>
                <w:highlight w:val="none"/>
              </w:rPr>
            </w:pPr>
            <w:r>
              <w:rPr>
                <w:rFonts w:hint="eastAsia" w:ascii="宋体" w:hAnsi="宋体" w:cs="楷体"/>
                <w:kern w:val="0"/>
                <w:sz w:val="22"/>
                <w:szCs w:val="22"/>
                <w:highlight w:val="none"/>
              </w:rPr>
              <w:t>本项目的特定资格要求</w:t>
            </w:r>
          </w:p>
        </w:tc>
        <w:tc>
          <w:tcPr>
            <w:tcW w:w="1354" w:type="dxa"/>
            <w:vAlign w:val="center"/>
          </w:tcPr>
          <w:p w14:paraId="1B9308BD">
            <w:pPr>
              <w:jc w:val="center"/>
              <w:rPr>
                <w:rFonts w:ascii="宋体" w:hAnsi="宋体" w:cs="楷体"/>
                <w:b/>
                <w:bCs/>
                <w:kern w:val="0"/>
                <w:sz w:val="22"/>
                <w:szCs w:val="22"/>
                <w:highlight w:val="none"/>
              </w:rPr>
            </w:pPr>
            <w:r>
              <w:rPr>
                <w:rFonts w:hint="eastAsia" w:ascii="宋体" w:hAnsi="宋体" w:cs="楷体"/>
                <w:b/>
                <w:kern w:val="0"/>
                <w:sz w:val="22"/>
                <w:szCs w:val="22"/>
                <w:highlight w:val="none"/>
              </w:rPr>
              <w:sym w:font="Wingdings" w:char="F0FE"/>
            </w:r>
            <w:r>
              <w:rPr>
                <w:rFonts w:hint="eastAsia" w:ascii="宋体" w:hAnsi="宋体" w:cs="楷体"/>
                <w:b/>
                <w:bCs/>
                <w:kern w:val="0"/>
                <w:sz w:val="22"/>
                <w:szCs w:val="22"/>
                <w:highlight w:val="none"/>
              </w:rPr>
              <w:t>未要求</w:t>
            </w:r>
          </w:p>
        </w:tc>
      </w:tr>
    </w:tbl>
    <w:p w14:paraId="3C337B02">
      <w:pPr>
        <w:spacing w:line="360" w:lineRule="auto"/>
        <w:ind w:left="187" w:leftChars="85" w:hanging="9" w:hangingChars="4"/>
        <w:jc w:val="left"/>
        <w:rPr>
          <w:rFonts w:ascii="宋体" w:hAnsi="宋体"/>
          <w:b/>
          <w:sz w:val="22"/>
          <w:szCs w:val="22"/>
          <w:highlight w:val="none"/>
        </w:rPr>
      </w:pPr>
      <w:r>
        <w:rPr>
          <w:rFonts w:hint="eastAsia" w:ascii="宋体" w:hAnsi="宋体"/>
          <w:b/>
          <w:sz w:val="22"/>
          <w:szCs w:val="22"/>
          <w:highlight w:val="none"/>
        </w:rPr>
        <w:t>（</w:t>
      </w:r>
      <w:r>
        <w:rPr>
          <w:rFonts w:ascii="宋体" w:hAnsi="宋体"/>
          <w:b/>
          <w:sz w:val="22"/>
          <w:szCs w:val="22"/>
          <w:highlight w:val="none"/>
        </w:rPr>
        <w:t>2</w:t>
      </w:r>
      <w:r>
        <w:rPr>
          <w:rFonts w:hint="eastAsia" w:ascii="宋体" w:hAnsi="宋体"/>
          <w:b/>
          <w:sz w:val="22"/>
          <w:szCs w:val="22"/>
          <w:highlight w:val="none"/>
        </w:rPr>
        <w:t xml:space="preserve">）投标人的商务技术文件包括以下内容： </w:t>
      </w:r>
    </w:p>
    <w:bookmarkEnd w:id="106"/>
    <w:tbl>
      <w:tblPr>
        <w:tblStyle w:val="40"/>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796"/>
        <w:gridCol w:w="1418"/>
      </w:tblGrid>
      <w:tr w14:paraId="6B3DB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E02C3E3">
            <w:pPr>
              <w:jc w:val="center"/>
              <w:rPr>
                <w:rFonts w:ascii="宋体" w:hAnsi="宋体"/>
                <w:b/>
                <w:sz w:val="22"/>
                <w:szCs w:val="22"/>
                <w:highlight w:val="none"/>
              </w:rPr>
            </w:pPr>
            <w:r>
              <w:rPr>
                <w:rFonts w:hint="eastAsia" w:ascii="宋体" w:hAnsi="宋体"/>
                <w:b/>
                <w:sz w:val="22"/>
                <w:szCs w:val="22"/>
                <w:highlight w:val="none"/>
              </w:rPr>
              <w:t>序号</w:t>
            </w:r>
          </w:p>
        </w:tc>
        <w:tc>
          <w:tcPr>
            <w:tcW w:w="7796" w:type="dxa"/>
            <w:vAlign w:val="center"/>
          </w:tcPr>
          <w:p w14:paraId="6B218BDE">
            <w:pPr>
              <w:jc w:val="center"/>
              <w:rPr>
                <w:rFonts w:ascii="宋体" w:hAnsi="宋体"/>
                <w:b/>
                <w:sz w:val="22"/>
                <w:szCs w:val="22"/>
                <w:highlight w:val="none"/>
              </w:rPr>
            </w:pPr>
            <w:r>
              <w:rPr>
                <w:rFonts w:hint="eastAsia" w:ascii="宋体" w:hAnsi="宋体"/>
                <w:b/>
                <w:sz w:val="22"/>
                <w:szCs w:val="22"/>
                <w:highlight w:val="none"/>
              </w:rPr>
              <w:t>内容</w:t>
            </w:r>
          </w:p>
        </w:tc>
        <w:tc>
          <w:tcPr>
            <w:tcW w:w="1418" w:type="dxa"/>
            <w:vAlign w:val="center"/>
          </w:tcPr>
          <w:p w14:paraId="00FFAA87">
            <w:pPr>
              <w:jc w:val="center"/>
              <w:rPr>
                <w:rFonts w:ascii="宋体" w:hAnsi="宋体"/>
                <w:sz w:val="22"/>
                <w:szCs w:val="22"/>
                <w:highlight w:val="none"/>
              </w:rPr>
            </w:pPr>
            <w:r>
              <w:rPr>
                <w:rFonts w:hint="eastAsia" w:ascii="宋体" w:hAnsi="宋体"/>
                <w:sz w:val="22"/>
                <w:szCs w:val="22"/>
                <w:highlight w:val="none"/>
              </w:rPr>
              <w:t>备注</w:t>
            </w:r>
          </w:p>
        </w:tc>
      </w:tr>
      <w:tr w14:paraId="5C1C9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04" w:type="dxa"/>
            <w:vAlign w:val="center"/>
          </w:tcPr>
          <w:p w14:paraId="3AEE55DE">
            <w:pPr>
              <w:jc w:val="center"/>
              <w:rPr>
                <w:rFonts w:ascii="宋体" w:hAnsi="宋体"/>
                <w:sz w:val="22"/>
                <w:szCs w:val="22"/>
                <w:highlight w:val="none"/>
              </w:rPr>
            </w:pPr>
            <w:r>
              <w:rPr>
                <w:rFonts w:hint="eastAsia" w:ascii="宋体" w:hAnsi="宋体"/>
                <w:sz w:val="22"/>
                <w:szCs w:val="22"/>
                <w:highlight w:val="none"/>
              </w:rPr>
              <w:t>1</w:t>
            </w:r>
          </w:p>
        </w:tc>
        <w:tc>
          <w:tcPr>
            <w:tcW w:w="7796" w:type="dxa"/>
            <w:vAlign w:val="center"/>
          </w:tcPr>
          <w:p w14:paraId="6460EFC0">
            <w:pPr>
              <w:rPr>
                <w:rFonts w:ascii="宋体" w:hAnsi="宋体" w:cs="楷体"/>
                <w:kern w:val="0"/>
                <w:sz w:val="22"/>
                <w:szCs w:val="22"/>
                <w:highlight w:val="none"/>
              </w:rPr>
            </w:pPr>
            <w:r>
              <w:rPr>
                <w:rFonts w:hint="eastAsia" w:ascii="宋体" w:hAnsi="宋体" w:cs="楷体"/>
                <w:kern w:val="0"/>
                <w:sz w:val="22"/>
                <w:szCs w:val="22"/>
                <w:highlight w:val="none"/>
              </w:rPr>
              <w:t>投标函</w:t>
            </w:r>
          </w:p>
        </w:tc>
        <w:tc>
          <w:tcPr>
            <w:tcW w:w="1418" w:type="dxa"/>
            <w:vAlign w:val="center"/>
          </w:tcPr>
          <w:p w14:paraId="75DA8B3D">
            <w:pPr>
              <w:spacing w:line="430" w:lineRule="exact"/>
              <w:jc w:val="center"/>
              <w:rPr>
                <w:rFonts w:ascii="宋体" w:hAnsi="宋体"/>
                <w:sz w:val="22"/>
                <w:szCs w:val="22"/>
                <w:highlight w:val="none"/>
              </w:rPr>
            </w:pPr>
          </w:p>
        </w:tc>
      </w:tr>
      <w:tr w14:paraId="2D193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F191689">
            <w:pPr>
              <w:jc w:val="center"/>
              <w:rPr>
                <w:rFonts w:ascii="宋体" w:hAnsi="宋体"/>
                <w:sz w:val="22"/>
                <w:szCs w:val="22"/>
                <w:highlight w:val="none"/>
              </w:rPr>
            </w:pPr>
            <w:r>
              <w:rPr>
                <w:rFonts w:ascii="宋体" w:hAnsi="宋体"/>
                <w:sz w:val="22"/>
                <w:szCs w:val="22"/>
                <w:highlight w:val="none"/>
              </w:rPr>
              <w:t>2</w:t>
            </w:r>
          </w:p>
        </w:tc>
        <w:tc>
          <w:tcPr>
            <w:tcW w:w="7796" w:type="dxa"/>
            <w:vAlign w:val="center"/>
          </w:tcPr>
          <w:p w14:paraId="10826322">
            <w:pPr>
              <w:rPr>
                <w:rFonts w:ascii="宋体" w:hAnsi="宋体" w:cs="楷体"/>
                <w:kern w:val="0"/>
                <w:sz w:val="22"/>
                <w:szCs w:val="22"/>
                <w:highlight w:val="none"/>
              </w:rPr>
            </w:pPr>
            <w:r>
              <w:rPr>
                <w:rFonts w:hint="eastAsia" w:ascii="宋体" w:hAnsi="宋体" w:cs="楷体"/>
                <w:kern w:val="0"/>
                <w:sz w:val="22"/>
                <w:szCs w:val="22"/>
                <w:highlight w:val="none"/>
              </w:rPr>
              <w:t>单位负责人授权书</w:t>
            </w:r>
          </w:p>
        </w:tc>
        <w:tc>
          <w:tcPr>
            <w:tcW w:w="1418" w:type="dxa"/>
            <w:vAlign w:val="center"/>
          </w:tcPr>
          <w:p w14:paraId="7521CF43">
            <w:pPr>
              <w:pStyle w:val="13"/>
              <w:keepNext/>
              <w:jc w:val="center"/>
              <w:rPr>
                <w:rFonts w:ascii="宋体" w:hAnsi="宋体" w:eastAsia="宋体"/>
                <w:sz w:val="22"/>
                <w:szCs w:val="22"/>
                <w:highlight w:val="none"/>
              </w:rPr>
            </w:pPr>
          </w:p>
        </w:tc>
      </w:tr>
      <w:tr w14:paraId="4B186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C01B32D">
            <w:pPr>
              <w:jc w:val="center"/>
              <w:rPr>
                <w:rFonts w:ascii="宋体" w:hAnsi="宋体"/>
                <w:sz w:val="22"/>
                <w:szCs w:val="22"/>
                <w:highlight w:val="none"/>
              </w:rPr>
            </w:pPr>
            <w:r>
              <w:rPr>
                <w:rFonts w:hint="eastAsia" w:ascii="宋体" w:hAnsi="宋体"/>
                <w:sz w:val="22"/>
                <w:szCs w:val="22"/>
                <w:highlight w:val="none"/>
              </w:rPr>
              <w:t>3</w:t>
            </w:r>
          </w:p>
        </w:tc>
        <w:tc>
          <w:tcPr>
            <w:tcW w:w="7796" w:type="dxa"/>
            <w:vAlign w:val="center"/>
          </w:tcPr>
          <w:p w14:paraId="2843AB67">
            <w:pPr>
              <w:rPr>
                <w:rFonts w:ascii="宋体" w:hAnsi="宋体" w:cs="楷体"/>
                <w:kern w:val="0"/>
                <w:sz w:val="22"/>
                <w:szCs w:val="22"/>
                <w:highlight w:val="none"/>
              </w:rPr>
            </w:pPr>
            <w:r>
              <w:rPr>
                <w:rFonts w:hint="eastAsia" w:ascii="宋体" w:hAnsi="宋体" w:cs="楷体"/>
                <w:kern w:val="0"/>
                <w:sz w:val="22"/>
                <w:szCs w:val="22"/>
                <w:highlight w:val="none"/>
              </w:rPr>
              <w:t>投标人联系表</w:t>
            </w:r>
          </w:p>
        </w:tc>
        <w:tc>
          <w:tcPr>
            <w:tcW w:w="1418" w:type="dxa"/>
            <w:vAlign w:val="center"/>
          </w:tcPr>
          <w:p w14:paraId="47135107">
            <w:pPr>
              <w:pStyle w:val="13"/>
              <w:keepNext/>
              <w:jc w:val="center"/>
              <w:rPr>
                <w:rFonts w:ascii="宋体" w:hAnsi="宋体" w:eastAsia="宋体"/>
                <w:sz w:val="22"/>
                <w:szCs w:val="22"/>
                <w:highlight w:val="none"/>
              </w:rPr>
            </w:pPr>
          </w:p>
        </w:tc>
      </w:tr>
      <w:tr w14:paraId="5DEB0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0203E898">
            <w:pPr>
              <w:jc w:val="center"/>
              <w:rPr>
                <w:rFonts w:ascii="宋体" w:hAnsi="宋体"/>
                <w:sz w:val="22"/>
                <w:szCs w:val="22"/>
                <w:highlight w:val="none"/>
              </w:rPr>
            </w:pPr>
            <w:r>
              <w:rPr>
                <w:rFonts w:ascii="宋体" w:hAnsi="宋体"/>
                <w:sz w:val="22"/>
                <w:szCs w:val="22"/>
                <w:highlight w:val="none"/>
              </w:rPr>
              <w:t>4</w:t>
            </w:r>
          </w:p>
        </w:tc>
        <w:tc>
          <w:tcPr>
            <w:tcW w:w="7796" w:type="dxa"/>
            <w:vAlign w:val="center"/>
          </w:tcPr>
          <w:p w14:paraId="6AFEB608">
            <w:pPr>
              <w:rPr>
                <w:rFonts w:ascii="宋体" w:hAnsi="宋体" w:cs="楷体"/>
                <w:kern w:val="0"/>
                <w:sz w:val="22"/>
                <w:szCs w:val="22"/>
                <w:highlight w:val="none"/>
              </w:rPr>
            </w:pPr>
            <w:r>
              <w:rPr>
                <w:rFonts w:hint="eastAsia" w:ascii="宋体" w:hAnsi="宋体" w:cs="楷体"/>
                <w:kern w:val="0"/>
                <w:sz w:val="22"/>
                <w:szCs w:val="22"/>
                <w:highlight w:val="none"/>
              </w:rPr>
              <w:t>采购需求偏离表</w:t>
            </w:r>
          </w:p>
        </w:tc>
        <w:tc>
          <w:tcPr>
            <w:tcW w:w="1418" w:type="dxa"/>
            <w:vAlign w:val="center"/>
          </w:tcPr>
          <w:p w14:paraId="489A2E32">
            <w:pPr>
              <w:spacing w:line="430" w:lineRule="exact"/>
              <w:jc w:val="center"/>
              <w:rPr>
                <w:rFonts w:ascii="宋体" w:hAnsi="宋体"/>
                <w:sz w:val="22"/>
                <w:szCs w:val="22"/>
                <w:highlight w:val="none"/>
              </w:rPr>
            </w:pPr>
          </w:p>
        </w:tc>
      </w:tr>
      <w:tr w14:paraId="4D8E1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C099F1C">
            <w:pPr>
              <w:jc w:val="center"/>
              <w:rPr>
                <w:rFonts w:ascii="宋体" w:hAnsi="宋体"/>
                <w:sz w:val="22"/>
                <w:szCs w:val="22"/>
                <w:highlight w:val="none"/>
              </w:rPr>
            </w:pPr>
            <w:r>
              <w:rPr>
                <w:rFonts w:hint="eastAsia" w:ascii="宋体" w:hAnsi="宋体"/>
                <w:sz w:val="22"/>
                <w:szCs w:val="22"/>
                <w:highlight w:val="none"/>
              </w:rPr>
              <w:t>5</w:t>
            </w:r>
          </w:p>
        </w:tc>
        <w:tc>
          <w:tcPr>
            <w:tcW w:w="7796" w:type="dxa"/>
            <w:vAlign w:val="center"/>
          </w:tcPr>
          <w:p w14:paraId="3829AF18">
            <w:pPr>
              <w:rPr>
                <w:rFonts w:ascii="宋体" w:hAnsi="宋体" w:cs="楷体"/>
                <w:kern w:val="0"/>
                <w:sz w:val="22"/>
                <w:szCs w:val="22"/>
                <w:highlight w:val="none"/>
              </w:rPr>
            </w:pPr>
            <w:r>
              <w:rPr>
                <w:rFonts w:hint="eastAsia" w:ascii="宋体" w:hAnsi="宋体" w:cs="楷体"/>
                <w:kern w:val="0"/>
                <w:sz w:val="22"/>
                <w:szCs w:val="22"/>
                <w:highlight w:val="none"/>
              </w:rPr>
              <w:t>根据本项目采购内容及要求以及商务技术评分项目，需要提供的文件和资料</w:t>
            </w:r>
          </w:p>
        </w:tc>
        <w:tc>
          <w:tcPr>
            <w:tcW w:w="1418" w:type="dxa"/>
            <w:vAlign w:val="center"/>
          </w:tcPr>
          <w:p w14:paraId="322EEEDB">
            <w:pPr>
              <w:spacing w:line="430" w:lineRule="exact"/>
              <w:jc w:val="center"/>
              <w:rPr>
                <w:rFonts w:ascii="宋体" w:hAnsi="宋体"/>
                <w:sz w:val="22"/>
                <w:szCs w:val="22"/>
                <w:highlight w:val="none"/>
              </w:rPr>
            </w:pPr>
          </w:p>
        </w:tc>
      </w:tr>
      <w:tr w14:paraId="4021E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F342847">
            <w:pPr>
              <w:jc w:val="center"/>
              <w:rPr>
                <w:rFonts w:ascii="宋体" w:hAnsi="宋体"/>
                <w:sz w:val="22"/>
                <w:szCs w:val="22"/>
                <w:highlight w:val="none"/>
              </w:rPr>
            </w:pPr>
            <w:r>
              <w:rPr>
                <w:rFonts w:hint="eastAsia" w:ascii="宋体" w:hAnsi="宋体"/>
                <w:sz w:val="22"/>
                <w:szCs w:val="22"/>
                <w:highlight w:val="none"/>
              </w:rPr>
              <w:t>6</w:t>
            </w:r>
          </w:p>
        </w:tc>
        <w:tc>
          <w:tcPr>
            <w:tcW w:w="7796" w:type="dxa"/>
            <w:vAlign w:val="center"/>
          </w:tcPr>
          <w:p w14:paraId="6EFA21F4">
            <w:pPr>
              <w:rPr>
                <w:rFonts w:ascii="宋体" w:hAnsi="宋体" w:cs="楷体"/>
                <w:kern w:val="0"/>
                <w:sz w:val="22"/>
                <w:szCs w:val="22"/>
                <w:highlight w:val="none"/>
              </w:rPr>
            </w:pPr>
            <w:r>
              <w:rPr>
                <w:rFonts w:hint="eastAsia" w:ascii="宋体" w:hAnsi="宋体" w:cs="楷体"/>
                <w:kern w:val="0"/>
                <w:sz w:val="22"/>
                <w:szCs w:val="22"/>
                <w:highlight w:val="none"/>
              </w:rPr>
              <w:t>投标人需要说明的其他文件和说明</w:t>
            </w:r>
          </w:p>
        </w:tc>
        <w:tc>
          <w:tcPr>
            <w:tcW w:w="1418" w:type="dxa"/>
            <w:vAlign w:val="center"/>
          </w:tcPr>
          <w:p w14:paraId="0CF578A4">
            <w:pPr>
              <w:spacing w:line="430" w:lineRule="exact"/>
              <w:jc w:val="center"/>
              <w:rPr>
                <w:rFonts w:ascii="宋体" w:hAnsi="宋体"/>
                <w:sz w:val="22"/>
                <w:szCs w:val="22"/>
                <w:highlight w:val="none"/>
              </w:rPr>
            </w:pPr>
          </w:p>
        </w:tc>
      </w:tr>
    </w:tbl>
    <w:p w14:paraId="70AA5468">
      <w:pPr>
        <w:spacing w:line="360" w:lineRule="auto"/>
        <w:ind w:left="187" w:leftChars="85" w:hanging="9" w:hangingChars="4"/>
        <w:jc w:val="left"/>
        <w:rPr>
          <w:rFonts w:ascii="宋体" w:hAnsi="宋体"/>
          <w:b/>
          <w:sz w:val="22"/>
          <w:szCs w:val="22"/>
          <w:highlight w:val="none"/>
        </w:rPr>
      </w:pPr>
      <w:r>
        <w:rPr>
          <w:rFonts w:hint="eastAsia" w:ascii="宋体" w:hAnsi="宋体"/>
          <w:b/>
          <w:sz w:val="22"/>
          <w:szCs w:val="22"/>
          <w:highlight w:val="none"/>
        </w:rPr>
        <w:t>（</w:t>
      </w:r>
      <w:r>
        <w:rPr>
          <w:rFonts w:ascii="宋体" w:hAnsi="宋体"/>
          <w:b/>
          <w:sz w:val="22"/>
          <w:szCs w:val="22"/>
          <w:highlight w:val="none"/>
        </w:rPr>
        <w:t>3</w:t>
      </w:r>
      <w:r>
        <w:rPr>
          <w:rFonts w:hint="eastAsia" w:ascii="宋体" w:hAnsi="宋体"/>
          <w:b/>
          <w:sz w:val="22"/>
          <w:szCs w:val="22"/>
          <w:highlight w:val="none"/>
        </w:rPr>
        <w:t xml:space="preserve">）投标人的报价文件包括以下内容： </w:t>
      </w:r>
    </w:p>
    <w:tbl>
      <w:tblPr>
        <w:tblStyle w:val="40"/>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796"/>
        <w:gridCol w:w="1354"/>
      </w:tblGrid>
      <w:tr w14:paraId="229B6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175176F">
            <w:pPr>
              <w:spacing w:line="430" w:lineRule="exact"/>
              <w:jc w:val="center"/>
              <w:rPr>
                <w:rFonts w:ascii="宋体" w:hAnsi="宋体"/>
                <w:sz w:val="22"/>
                <w:szCs w:val="22"/>
                <w:highlight w:val="none"/>
              </w:rPr>
            </w:pPr>
            <w:r>
              <w:rPr>
                <w:rFonts w:hint="eastAsia" w:ascii="宋体" w:hAnsi="宋体"/>
                <w:sz w:val="22"/>
                <w:szCs w:val="22"/>
                <w:highlight w:val="none"/>
              </w:rPr>
              <w:t>序号</w:t>
            </w:r>
          </w:p>
        </w:tc>
        <w:tc>
          <w:tcPr>
            <w:tcW w:w="7796" w:type="dxa"/>
            <w:vAlign w:val="center"/>
          </w:tcPr>
          <w:p w14:paraId="1410EEB2">
            <w:pPr>
              <w:spacing w:line="430" w:lineRule="exact"/>
              <w:jc w:val="center"/>
              <w:rPr>
                <w:rFonts w:ascii="宋体" w:hAnsi="宋体"/>
                <w:sz w:val="22"/>
                <w:szCs w:val="22"/>
                <w:highlight w:val="none"/>
              </w:rPr>
            </w:pPr>
            <w:r>
              <w:rPr>
                <w:rFonts w:hint="eastAsia" w:ascii="宋体" w:hAnsi="宋体"/>
                <w:sz w:val="22"/>
                <w:szCs w:val="22"/>
                <w:highlight w:val="none"/>
              </w:rPr>
              <w:t>内容</w:t>
            </w:r>
          </w:p>
        </w:tc>
        <w:tc>
          <w:tcPr>
            <w:tcW w:w="1354" w:type="dxa"/>
            <w:vAlign w:val="center"/>
          </w:tcPr>
          <w:p w14:paraId="68A1CF52">
            <w:pPr>
              <w:spacing w:line="430" w:lineRule="exact"/>
              <w:jc w:val="center"/>
              <w:rPr>
                <w:rFonts w:ascii="宋体" w:hAnsi="宋体"/>
                <w:sz w:val="22"/>
                <w:szCs w:val="22"/>
                <w:highlight w:val="none"/>
              </w:rPr>
            </w:pPr>
            <w:r>
              <w:rPr>
                <w:rFonts w:hint="eastAsia" w:ascii="宋体" w:hAnsi="宋体"/>
                <w:sz w:val="22"/>
                <w:szCs w:val="22"/>
                <w:highlight w:val="none"/>
              </w:rPr>
              <w:t>备注</w:t>
            </w:r>
          </w:p>
        </w:tc>
      </w:tr>
      <w:tr w14:paraId="088FD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DD29F17">
            <w:pPr>
              <w:jc w:val="center"/>
              <w:rPr>
                <w:rFonts w:ascii="宋体" w:hAnsi="宋体"/>
                <w:sz w:val="22"/>
                <w:szCs w:val="22"/>
                <w:highlight w:val="none"/>
              </w:rPr>
            </w:pPr>
            <w:r>
              <w:rPr>
                <w:rFonts w:hint="eastAsia" w:ascii="宋体" w:hAnsi="宋体"/>
                <w:sz w:val="22"/>
                <w:szCs w:val="22"/>
                <w:highlight w:val="none"/>
              </w:rPr>
              <w:t>1</w:t>
            </w:r>
          </w:p>
        </w:tc>
        <w:tc>
          <w:tcPr>
            <w:tcW w:w="7796" w:type="dxa"/>
            <w:vAlign w:val="center"/>
          </w:tcPr>
          <w:p w14:paraId="542E07DA">
            <w:pPr>
              <w:rPr>
                <w:rFonts w:ascii="宋体" w:hAnsi="宋体" w:cs="楷体"/>
                <w:kern w:val="0"/>
                <w:sz w:val="22"/>
                <w:szCs w:val="22"/>
                <w:highlight w:val="none"/>
              </w:rPr>
            </w:pPr>
            <w:r>
              <w:rPr>
                <w:rFonts w:hint="eastAsia" w:ascii="宋体" w:hAnsi="宋体" w:cs="楷体"/>
                <w:kern w:val="0"/>
                <w:sz w:val="22"/>
                <w:szCs w:val="22"/>
                <w:highlight w:val="none"/>
              </w:rPr>
              <w:t>开标一览表</w:t>
            </w:r>
          </w:p>
        </w:tc>
        <w:tc>
          <w:tcPr>
            <w:tcW w:w="1354" w:type="dxa"/>
            <w:vAlign w:val="center"/>
          </w:tcPr>
          <w:p w14:paraId="04F00F84">
            <w:pPr>
              <w:spacing w:line="430" w:lineRule="exact"/>
              <w:jc w:val="center"/>
              <w:rPr>
                <w:rFonts w:ascii="宋体" w:hAnsi="宋体"/>
                <w:sz w:val="22"/>
                <w:szCs w:val="22"/>
                <w:highlight w:val="none"/>
              </w:rPr>
            </w:pPr>
          </w:p>
        </w:tc>
      </w:tr>
      <w:tr w14:paraId="7CD5D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D86C3A6">
            <w:pPr>
              <w:jc w:val="center"/>
              <w:rPr>
                <w:rFonts w:hint="eastAsia" w:ascii="宋体" w:hAnsi="宋体" w:eastAsia="宋体"/>
                <w:sz w:val="22"/>
                <w:szCs w:val="22"/>
                <w:highlight w:val="none"/>
                <w:lang w:val="en-US" w:eastAsia="zh-CN"/>
              </w:rPr>
            </w:pPr>
            <w:r>
              <w:rPr>
                <w:rFonts w:hint="eastAsia" w:ascii="宋体" w:hAnsi="宋体"/>
                <w:sz w:val="22"/>
                <w:szCs w:val="22"/>
                <w:highlight w:val="none"/>
                <w:lang w:val="en-US" w:eastAsia="zh-CN"/>
              </w:rPr>
              <w:t>2</w:t>
            </w:r>
          </w:p>
        </w:tc>
        <w:tc>
          <w:tcPr>
            <w:tcW w:w="7796" w:type="dxa"/>
            <w:vAlign w:val="center"/>
          </w:tcPr>
          <w:p w14:paraId="3B4B0C7B">
            <w:pPr>
              <w:rPr>
                <w:rFonts w:hint="eastAsia" w:ascii="宋体" w:hAnsi="宋体" w:cs="楷体"/>
                <w:kern w:val="0"/>
                <w:sz w:val="22"/>
                <w:szCs w:val="22"/>
                <w:highlight w:val="none"/>
              </w:rPr>
            </w:pPr>
            <w:r>
              <w:rPr>
                <w:rFonts w:ascii="宋体" w:hAnsi="宋体" w:cs="楷体"/>
                <w:kern w:val="0"/>
                <w:sz w:val="22"/>
                <w:szCs w:val="22"/>
                <w:highlight w:val="none"/>
              </w:rPr>
              <w:t>小型、微型企业等享受价格扣除证明材料（若有）</w:t>
            </w:r>
          </w:p>
        </w:tc>
        <w:tc>
          <w:tcPr>
            <w:tcW w:w="1354" w:type="dxa"/>
            <w:vAlign w:val="center"/>
          </w:tcPr>
          <w:p w14:paraId="311F87C7">
            <w:pPr>
              <w:spacing w:line="430" w:lineRule="exact"/>
              <w:jc w:val="center"/>
              <w:rPr>
                <w:rFonts w:ascii="宋体" w:hAnsi="宋体"/>
                <w:sz w:val="22"/>
                <w:szCs w:val="22"/>
                <w:highlight w:val="none"/>
              </w:rPr>
            </w:pPr>
          </w:p>
        </w:tc>
      </w:tr>
    </w:tbl>
    <w:p w14:paraId="5767A81E">
      <w:pPr>
        <w:numPr>
          <w:ilvl w:val="0"/>
          <w:numId w:val="1"/>
        </w:numPr>
        <w:tabs>
          <w:tab w:val="left" w:pos="525"/>
          <w:tab w:val="left" w:pos="900"/>
        </w:tabs>
        <w:spacing w:line="360" w:lineRule="auto"/>
        <w:rPr>
          <w:rFonts w:ascii="宋体" w:hAnsi="宋体" w:cs="楷体"/>
          <w:kern w:val="0"/>
          <w:sz w:val="22"/>
          <w:szCs w:val="22"/>
          <w:highlight w:val="none"/>
        </w:rPr>
      </w:pPr>
      <w:r>
        <w:rPr>
          <w:rFonts w:hint="eastAsia" w:ascii="宋体" w:hAnsi="宋体" w:cs="楷体"/>
          <w:kern w:val="0"/>
          <w:sz w:val="22"/>
          <w:szCs w:val="22"/>
          <w:highlight w:val="none"/>
        </w:rPr>
        <w:t>投标文件的语言及度量衡单位</w:t>
      </w:r>
    </w:p>
    <w:p w14:paraId="3EA96AA1">
      <w:pPr>
        <w:numPr>
          <w:ilvl w:val="0"/>
          <w:numId w:val="6"/>
        </w:numPr>
        <w:tabs>
          <w:tab w:val="left" w:pos="530"/>
        </w:tabs>
        <w:autoSpaceDE w:val="0"/>
        <w:autoSpaceDN w:val="0"/>
        <w:spacing w:line="360" w:lineRule="auto"/>
        <w:textAlignment w:val="bottom"/>
        <w:rPr>
          <w:rFonts w:ascii="宋体" w:hAnsi="宋体" w:cs="Courier New"/>
          <w:sz w:val="22"/>
          <w:szCs w:val="22"/>
          <w:highlight w:val="none"/>
        </w:rPr>
      </w:pPr>
      <w:r>
        <w:rPr>
          <w:rFonts w:ascii="宋体" w:hAnsi="宋体" w:cs="Courier New"/>
          <w:sz w:val="22"/>
          <w:szCs w:val="22"/>
          <w:highlight w:val="none"/>
        </w:rPr>
        <w:t>除招标文件另有规定外，投标文件应使用中文文本，若有不同文本，以中文文本为准。</w:t>
      </w:r>
    </w:p>
    <w:p w14:paraId="046C7344">
      <w:pPr>
        <w:numPr>
          <w:ilvl w:val="0"/>
          <w:numId w:val="6"/>
        </w:numPr>
        <w:tabs>
          <w:tab w:val="left" w:pos="530"/>
        </w:tabs>
        <w:autoSpaceDE w:val="0"/>
        <w:autoSpaceDN w:val="0"/>
        <w:spacing w:line="360" w:lineRule="auto"/>
        <w:textAlignment w:val="bottom"/>
        <w:rPr>
          <w:rFonts w:ascii="宋体" w:hAnsi="宋体" w:cs="Courier New"/>
          <w:sz w:val="22"/>
          <w:szCs w:val="22"/>
          <w:highlight w:val="none"/>
        </w:rPr>
      </w:pPr>
      <w:r>
        <w:rPr>
          <w:rFonts w:ascii="宋体" w:hAnsi="宋体" w:cs="Courier New"/>
          <w:sz w:val="22"/>
          <w:szCs w:val="22"/>
          <w:highlight w:val="none"/>
        </w:rPr>
        <w:t>除招标文件另有规定外，投标文件</w:t>
      </w:r>
      <w:r>
        <w:rPr>
          <w:rFonts w:hint="eastAsia" w:ascii="宋体" w:hAnsi="宋体" w:cs="Courier New"/>
          <w:sz w:val="22"/>
          <w:szCs w:val="22"/>
          <w:highlight w:val="none"/>
        </w:rPr>
        <w:t>使用的度量衡单位，均采用中华人民共和国法定计量单位。</w:t>
      </w:r>
    </w:p>
    <w:p w14:paraId="4F8EA3D6">
      <w:pPr>
        <w:numPr>
          <w:ilvl w:val="0"/>
          <w:numId w:val="1"/>
        </w:numPr>
        <w:tabs>
          <w:tab w:val="left" w:pos="525"/>
          <w:tab w:val="left" w:pos="900"/>
        </w:tabs>
        <w:spacing w:line="360" w:lineRule="auto"/>
        <w:rPr>
          <w:rFonts w:ascii="宋体" w:hAnsi="宋体" w:cs="楷体"/>
          <w:kern w:val="0"/>
          <w:sz w:val="22"/>
          <w:szCs w:val="22"/>
          <w:highlight w:val="none"/>
        </w:rPr>
      </w:pPr>
      <w:r>
        <w:rPr>
          <w:rFonts w:hint="eastAsia" w:ascii="宋体" w:hAnsi="宋体" w:cs="楷体"/>
          <w:kern w:val="0"/>
          <w:sz w:val="22"/>
          <w:szCs w:val="22"/>
          <w:highlight w:val="none"/>
        </w:rPr>
        <w:t>投标报价</w:t>
      </w:r>
    </w:p>
    <w:p w14:paraId="2E30220F">
      <w:pPr>
        <w:numPr>
          <w:ilvl w:val="1"/>
          <w:numId w:val="1"/>
        </w:numPr>
        <w:tabs>
          <w:tab w:val="left" w:pos="540"/>
        </w:tabs>
        <w:spacing w:line="360" w:lineRule="auto"/>
        <w:rPr>
          <w:rFonts w:ascii="宋体" w:hAnsi="宋体"/>
          <w:sz w:val="22"/>
          <w:highlight w:val="none"/>
        </w:rPr>
      </w:pPr>
      <w:bookmarkStart w:id="107" w:name="_Hlk58529002"/>
      <w:r>
        <w:rPr>
          <w:rFonts w:hint="eastAsia" w:ascii="宋体" w:hAnsi="宋体"/>
          <w:sz w:val="22"/>
          <w:highlight w:val="none"/>
        </w:rPr>
        <w:t>投标人须按照开标一览表要求进行报价。</w:t>
      </w:r>
    </w:p>
    <w:bookmarkEnd w:id="107"/>
    <w:p w14:paraId="5565CFA0">
      <w:pPr>
        <w:numPr>
          <w:ilvl w:val="1"/>
          <w:numId w:val="1"/>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所有报价均以人民币报价。</w:t>
      </w:r>
    </w:p>
    <w:p w14:paraId="3DDB1F17">
      <w:pPr>
        <w:numPr>
          <w:ilvl w:val="1"/>
          <w:numId w:val="1"/>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采购人要求分类报价是为了方便评审，但在任何情况下不限制采购人以其认为最合适的条款、条件签订合同的权利。</w:t>
      </w:r>
    </w:p>
    <w:p w14:paraId="1A4499C3">
      <w:pPr>
        <w:numPr>
          <w:ilvl w:val="1"/>
          <w:numId w:val="1"/>
        </w:numPr>
        <w:tabs>
          <w:tab w:val="left" w:pos="525"/>
          <w:tab w:val="left" w:pos="635"/>
          <w:tab w:val="left" w:pos="900"/>
        </w:tabs>
        <w:spacing w:line="360" w:lineRule="auto"/>
        <w:rPr>
          <w:rFonts w:ascii="宋体" w:hAnsi="宋体" w:cs="Courier New"/>
          <w:b/>
          <w:sz w:val="22"/>
          <w:szCs w:val="22"/>
          <w:highlight w:val="none"/>
        </w:rPr>
      </w:pPr>
      <w:r>
        <w:rPr>
          <w:rFonts w:hint="eastAsia" w:ascii="宋体" w:hAnsi="宋体" w:cs="Courier New"/>
          <w:sz w:val="22"/>
          <w:szCs w:val="22"/>
          <w:highlight w:val="none"/>
        </w:rPr>
        <w:t>除招标文件另有规定外，投标文件不能出现任何选择性的投标报价，即每一个合同包和品目号的采购标的都只能有一个投标报价，否则</w:t>
      </w:r>
      <w:r>
        <w:rPr>
          <w:rFonts w:hint="eastAsia" w:ascii="宋体" w:hAnsi="宋体" w:cs="Courier New"/>
          <w:b/>
          <w:bCs/>
          <w:sz w:val="22"/>
          <w:szCs w:val="22"/>
          <w:highlight w:val="none"/>
        </w:rPr>
        <w:t>投标无效</w:t>
      </w:r>
      <w:r>
        <w:rPr>
          <w:rFonts w:hint="eastAsia" w:ascii="宋体" w:hAnsi="宋体" w:cs="Courier New"/>
          <w:bCs/>
          <w:sz w:val="22"/>
          <w:szCs w:val="22"/>
          <w:highlight w:val="none"/>
        </w:rPr>
        <w:t>。</w:t>
      </w:r>
    </w:p>
    <w:p w14:paraId="54CB909A">
      <w:pPr>
        <w:numPr>
          <w:ilvl w:val="1"/>
          <w:numId w:val="1"/>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投标人对在合同执行中，除上述费用及招标文件规定的由中标人负责的工作范围以外需要采购人协调或提供便利的工作应当在投标文件中说明。</w:t>
      </w:r>
    </w:p>
    <w:p w14:paraId="207737B8">
      <w:pPr>
        <w:numPr>
          <w:ilvl w:val="0"/>
          <w:numId w:val="1"/>
        </w:numPr>
        <w:tabs>
          <w:tab w:val="left" w:pos="525"/>
          <w:tab w:val="left" w:pos="900"/>
        </w:tabs>
        <w:spacing w:line="360" w:lineRule="auto"/>
        <w:rPr>
          <w:rFonts w:ascii="宋体" w:hAnsi="宋体" w:cs="Courier New"/>
          <w:sz w:val="22"/>
          <w:szCs w:val="22"/>
          <w:highlight w:val="none"/>
        </w:rPr>
      </w:pPr>
      <w:r>
        <w:rPr>
          <w:rFonts w:hint="eastAsia" w:ascii="宋体" w:hAnsi="宋体" w:cs="楷体"/>
          <w:kern w:val="0"/>
          <w:sz w:val="22"/>
          <w:szCs w:val="22"/>
          <w:highlight w:val="none"/>
        </w:rPr>
        <w:t>投标保证金及赔偿损失金</w:t>
      </w:r>
    </w:p>
    <w:p w14:paraId="18A1442B">
      <w:pPr>
        <w:numPr>
          <w:ilvl w:val="1"/>
          <w:numId w:val="1"/>
        </w:numPr>
        <w:tabs>
          <w:tab w:val="left" w:pos="525"/>
          <w:tab w:val="left" w:pos="635"/>
          <w:tab w:val="left" w:pos="900"/>
        </w:tabs>
        <w:spacing w:line="360" w:lineRule="auto"/>
        <w:rPr>
          <w:rFonts w:ascii="宋体" w:hAnsi="宋体" w:cs="楷体"/>
          <w:kern w:val="0"/>
          <w:sz w:val="22"/>
          <w:szCs w:val="22"/>
          <w:highlight w:val="none"/>
        </w:rPr>
      </w:pPr>
      <w:bookmarkStart w:id="108" w:name="_Hlk9965658"/>
      <w:r>
        <w:rPr>
          <w:rFonts w:hint="eastAsia" w:ascii="宋体" w:hAnsi="宋体" w:cs="楷体"/>
          <w:kern w:val="0"/>
          <w:sz w:val="22"/>
          <w:szCs w:val="22"/>
          <w:highlight w:val="none"/>
        </w:rPr>
        <w:t>本项目不收取投标保证金，但不免除投标人相应的赔偿责任</w:t>
      </w:r>
      <w:bookmarkEnd w:id="108"/>
      <w:r>
        <w:rPr>
          <w:rFonts w:hint="eastAsia" w:ascii="宋体" w:hAnsi="宋体" w:cs="楷体"/>
          <w:kern w:val="0"/>
          <w:sz w:val="22"/>
          <w:szCs w:val="22"/>
          <w:highlight w:val="none"/>
        </w:rPr>
        <w:t>，赔偿损失金为人民币伍万元整</w:t>
      </w:r>
      <w:r>
        <w:rPr>
          <w:rFonts w:hint="eastAsia" w:ascii="宋体" w:hAnsi="宋体" w:cs="Courier New"/>
          <w:sz w:val="22"/>
          <w:szCs w:val="22"/>
          <w:highlight w:val="none"/>
        </w:rPr>
        <w:t>。</w:t>
      </w:r>
    </w:p>
    <w:p w14:paraId="7DC0F38B">
      <w:pPr>
        <w:numPr>
          <w:ilvl w:val="1"/>
          <w:numId w:val="1"/>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如发生下列情况之一，将有权向其收取赔偿损失金：</w:t>
      </w:r>
    </w:p>
    <w:p w14:paraId="6E4C1819">
      <w:pPr>
        <w:numPr>
          <w:ilvl w:val="0"/>
          <w:numId w:val="7"/>
        </w:numPr>
        <w:tabs>
          <w:tab w:val="left" w:pos="525"/>
          <w:tab w:val="clear" w:pos="780"/>
        </w:tabs>
        <w:spacing w:line="360" w:lineRule="auto"/>
        <w:ind w:left="525" w:firstLine="0"/>
        <w:rPr>
          <w:rFonts w:ascii="宋体" w:hAnsi="宋体" w:cs="Courier New"/>
          <w:sz w:val="22"/>
          <w:szCs w:val="22"/>
          <w:highlight w:val="none"/>
        </w:rPr>
      </w:pPr>
      <w:r>
        <w:rPr>
          <w:rFonts w:hint="eastAsia" w:ascii="宋体" w:hAnsi="宋体" w:cs="Courier New"/>
          <w:sz w:val="22"/>
          <w:szCs w:val="22"/>
          <w:highlight w:val="none"/>
        </w:rPr>
        <w:t>投标人在招标文件规定的投标有效期内撤回投标；</w:t>
      </w:r>
    </w:p>
    <w:p w14:paraId="784579FB">
      <w:pPr>
        <w:numPr>
          <w:ilvl w:val="0"/>
          <w:numId w:val="7"/>
        </w:numPr>
        <w:tabs>
          <w:tab w:val="left" w:pos="525"/>
          <w:tab w:val="clear" w:pos="780"/>
        </w:tabs>
        <w:spacing w:line="360" w:lineRule="auto"/>
        <w:ind w:left="525" w:firstLine="0"/>
        <w:rPr>
          <w:rFonts w:ascii="宋体" w:hAnsi="宋体" w:cs="Courier New"/>
          <w:sz w:val="22"/>
          <w:szCs w:val="22"/>
          <w:highlight w:val="none"/>
        </w:rPr>
      </w:pPr>
      <w:r>
        <w:rPr>
          <w:rFonts w:hint="eastAsia" w:ascii="宋体" w:hAnsi="宋体" w:cs="Courier New"/>
          <w:sz w:val="22"/>
          <w:szCs w:val="22"/>
          <w:highlight w:val="none"/>
        </w:rPr>
        <w:t>中标人未按中标（成交）通知书中规定的时间与</w:t>
      </w:r>
      <w:r>
        <w:rPr>
          <w:rFonts w:hint="eastAsia" w:ascii="宋体" w:hAnsi="宋体"/>
          <w:bCs/>
          <w:sz w:val="22"/>
          <w:szCs w:val="22"/>
          <w:highlight w:val="none"/>
        </w:rPr>
        <w:t>采购人</w:t>
      </w:r>
      <w:r>
        <w:rPr>
          <w:rFonts w:hint="eastAsia" w:ascii="宋体" w:hAnsi="宋体" w:cs="Courier New"/>
          <w:sz w:val="22"/>
          <w:szCs w:val="22"/>
          <w:highlight w:val="none"/>
        </w:rPr>
        <w:t>签订合同；</w:t>
      </w:r>
    </w:p>
    <w:p w14:paraId="1C65789D">
      <w:pPr>
        <w:numPr>
          <w:ilvl w:val="0"/>
          <w:numId w:val="7"/>
        </w:numPr>
        <w:tabs>
          <w:tab w:val="left" w:pos="525"/>
          <w:tab w:val="clear" w:pos="780"/>
        </w:tabs>
        <w:spacing w:line="360" w:lineRule="auto"/>
        <w:ind w:left="525" w:firstLine="0"/>
        <w:rPr>
          <w:rFonts w:ascii="宋体" w:hAnsi="宋体" w:cs="Courier New"/>
          <w:sz w:val="22"/>
          <w:szCs w:val="22"/>
          <w:highlight w:val="none"/>
        </w:rPr>
      </w:pPr>
      <w:r>
        <w:rPr>
          <w:rFonts w:hint="eastAsia" w:ascii="宋体" w:hAnsi="宋体" w:cs="Courier New"/>
          <w:sz w:val="22"/>
          <w:szCs w:val="22"/>
          <w:highlight w:val="none"/>
        </w:rPr>
        <w:t>中标人在规定期限内未能根据招标文件要求提供履约保证金；</w:t>
      </w:r>
    </w:p>
    <w:p w14:paraId="7BD0DE32">
      <w:pPr>
        <w:numPr>
          <w:ilvl w:val="0"/>
          <w:numId w:val="7"/>
        </w:numPr>
        <w:tabs>
          <w:tab w:val="left" w:pos="525"/>
          <w:tab w:val="clear" w:pos="780"/>
        </w:tabs>
        <w:spacing w:line="360" w:lineRule="auto"/>
        <w:ind w:left="525" w:firstLine="0"/>
        <w:rPr>
          <w:rFonts w:ascii="宋体" w:hAnsi="宋体" w:cs="Courier New"/>
          <w:sz w:val="22"/>
          <w:szCs w:val="22"/>
          <w:highlight w:val="none"/>
        </w:rPr>
      </w:pPr>
      <w:bookmarkStart w:id="109" w:name="_Hlk97734131"/>
      <w:r>
        <w:rPr>
          <w:rFonts w:hint="eastAsia" w:ascii="宋体" w:hAnsi="宋体" w:cs="Courier New"/>
          <w:sz w:val="22"/>
          <w:szCs w:val="22"/>
          <w:highlight w:val="none"/>
        </w:rPr>
        <w:t>投标人提供虚假材料</w:t>
      </w:r>
      <w:r>
        <w:rPr>
          <w:rFonts w:ascii="宋体" w:hAnsi="宋体" w:cs="Courier New"/>
          <w:sz w:val="22"/>
          <w:szCs w:val="22"/>
          <w:highlight w:val="none"/>
        </w:rPr>
        <w:t>或通过虚假响应、虚假陈述、虚假承诺谋取中标（成交）资格</w:t>
      </w:r>
      <w:r>
        <w:rPr>
          <w:rFonts w:hint="eastAsia" w:ascii="宋体" w:hAnsi="宋体" w:cs="Courier New"/>
          <w:sz w:val="22"/>
          <w:szCs w:val="22"/>
          <w:highlight w:val="none"/>
        </w:rPr>
        <w:t>的</w:t>
      </w:r>
      <w:bookmarkEnd w:id="109"/>
      <w:r>
        <w:rPr>
          <w:rFonts w:hint="eastAsia" w:ascii="宋体" w:hAnsi="宋体" w:cs="Courier New"/>
          <w:sz w:val="22"/>
          <w:szCs w:val="22"/>
          <w:highlight w:val="none"/>
        </w:rPr>
        <w:t>；</w:t>
      </w:r>
    </w:p>
    <w:p w14:paraId="16E92917">
      <w:pPr>
        <w:numPr>
          <w:ilvl w:val="0"/>
          <w:numId w:val="7"/>
        </w:numPr>
        <w:tabs>
          <w:tab w:val="left" w:pos="525"/>
          <w:tab w:val="clear" w:pos="780"/>
        </w:tabs>
        <w:spacing w:line="360" w:lineRule="auto"/>
        <w:ind w:left="525" w:firstLine="0"/>
        <w:rPr>
          <w:rFonts w:ascii="宋体" w:hAnsi="宋体" w:cs="Courier New"/>
          <w:sz w:val="22"/>
          <w:szCs w:val="22"/>
          <w:highlight w:val="none"/>
        </w:rPr>
      </w:pPr>
      <w:r>
        <w:rPr>
          <w:rFonts w:hint="eastAsia" w:ascii="宋体" w:hAnsi="宋体" w:cs="Courier New"/>
          <w:sz w:val="22"/>
          <w:szCs w:val="22"/>
          <w:highlight w:val="none"/>
        </w:rPr>
        <w:t>经监督部门审查认定投标人有违反</w:t>
      </w:r>
      <w:r>
        <w:rPr>
          <w:rFonts w:ascii="宋体" w:hAnsi="宋体"/>
          <w:sz w:val="22"/>
          <w:szCs w:val="22"/>
          <w:highlight w:val="none"/>
        </w:rPr>
        <w:t>《中华人民共和国政府采购法》等有关</w:t>
      </w:r>
      <w:r>
        <w:rPr>
          <w:rFonts w:hint="eastAsia" w:ascii="宋体" w:hAnsi="宋体" w:cs="Courier New"/>
          <w:sz w:val="22"/>
          <w:szCs w:val="22"/>
          <w:highlight w:val="none"/>
        </w:rPr>
        <w:t>法律、法规的行为。</w:t>
      </w:r>
    </w:p>
    <w:p w14:paraId="09DA13D4">
      <w:pPr>
        <w:tabs>
          <w:tab w:val="left" w:pos="525"/>
        </w:tabs>
        <w:spacing w:line="360" w:lineRule="auto"/>
        <w:ind w:firstLine="442" w:firstLineChars="200"/>
        <w:rPr>
          <w:rFonts w:ascii="宋体" w:hAnsi="宋体"/>
          <w:b/>
          <w:sz w:val="22"/>
          <w:szCs w:val="22"/>
          <w:highlight w:val="none"/>
        </w:rPr>
      </w:pPr>
      <w:r>
        <w:rPr>
          <w:rFonts w:ascii="宋体" w:hAnsi="宋体"/>
          <w:b/>
          <w:sz w:val="22"/>
          <w:szCs w:val="22"/>
          <w:highlight w:val="none"/>
        </w:rPr>
        <w:t>上述</w:t>
      </w:r>
      <w:r>
        <w:rPr>
          <w:rFonts w:hint="eastAsia" w:ascii="宋体" w:hAnsi="宋体"/>
          <w:b/>
          <w:sz w:val="22"/>
          <w:szCs w:val="22"/>
          <w:highlight w:val="none"/>
        </w:rPr>
        <w:t>赔偿损失金</w:t>
      </w:r>
      <w:r>
        <w:rPr>
          <w:rFonts w:ascii="宋体" w:hAnsi="宋体"/>
          <w:b/>
          <w:sz w:val="22"/>
          <w:szCs w:val="22"/>
          <w:highlight w:val="none"/>
        </w:rPr>
        <w:t>不能抵偿给采购人或采购代理机构造成损失的，</w:t>
      </w:r>
      <w:r>
        <w:rPr>
          <w:rFonts w:hint="eastAsia" w:ascii="宋体" w:hAnsi="宋体"/>
          <w:b/>
          <w:sz w:val="22"/>
          <w:szCs w:val="22"/>
          <w:highlight w:val="none"/>
        </w:rPr>
        <w:t>投标人</w:t>
      </w:r>
      <w:r>
        <w:rPr>
          <w:rFonts w:ascii="宋体" w:hAnsi="宋体"/>
          <w:b/>
          <w:sz w:val="22"/>
          <w:szCs w:val="22"/>
          <w:highlight w:val="none"/>
        </w:rPr>
        <w:t>还要承担赔偿责任。</w:t>
      </w:r>
    </w:p>
    <w:p w14:paraId="0E374F89">
      <w:pPr>
        <w:numPr>
          <w:ilvl w:val="0"/>
          <w:numId w:val="1"/>
        </w:numPr>
        <w:tabs>
          <w:tab w:val="left" w:pos="52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投标</w:t>
      </w:r>
      <w:r>
        <w:rPr>
          <w:rFonts w:hint="eastAsia" w:ascii="宋体" w:hAnsi="宋体" w:cs="楷体"/>
          <w:kern w:val="0"/>
          <w:sz w:val="22"/>
          <w:szCs w:val="22"/>
          <w:highlight w:val="none"/>
        </w:rPr>
        <w:t>有效期</w:t>
      </w:r>
    </w:p>
    <w:p w14:paraId="7AF2F1FD">
      <w:pPr>
        <w:numPr>
          <w:ilvl w:val="1"/>
          <w:numId w:val="1"/>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投标有效期见投标人</w:t>
      </w:r>
      <w:r>
        <w:rPr>
          <w:rFonts w:ascii="宋体" w:hAnsi="宋体" w:cs="Courier New"/>
          <w:sz w:val="22"/>
          <w:szCs w:val="22"/>
          <w:highlight w:val="none"/>
        </w:rPr>
        <w:t>须知前附表</w:t>
      </w:r>
      <w:r>
        <w:rPr>
          <w:rFonts w:hint="eastAsia" w:ascii="宋体" w:hAnsi="宋体" w:cs="Courier New"/>
          <w:sz w:val="22"/>
          <w:szCs w:val="22"/>
          <w:highlight w:val="none"/>
        </w:rPr>
        <w:t>，投标文件有效期短于这个规定期限的将被拒绝，其</w:t>
      </w:r>
      <w:r>
        <w:rPr>
          <w:rFonts w:hint="eastAsia" w:ascii="宋体" w:hAnsi="宋体" w:cs="Courier New"/>
          <w:b/>
          <w:bCs/>
          <w:sz w:val="22"/>
          <w:szCs w:val="22"/>
          <w:highlight w:val="none"/>
        </w:rPr>
        <w:t>投标无效</w:t>
      </w:r>
      <w:r>
        <w:rPr>
          <w:rFonts w:hint="eastAsia" w:ascii="宋体" w:hAnsi="宋体" w:cs="Courier New"/>
          <w:sz w:val="22"/>
          <w:szCs w:val="22"/>
          <w:highlight w:val="none"/>
        </w:rPr>
        <w:t>。</w:t>
      </w:r>
    </w:p>
    <w:p w14:paraId="553A7217">
      <w:pPr>
        <w:numPr>
          <w:ilvl w:val="1"/>
          <w:numId w:val="1"/>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在投标人须知前附表规定的投标有效期内，投标人不得要求撤销或修改其投标文件。</w:t>
      </w:r>
    </w:p>
    <w:p w14:paraId="3E37CDDF">
      <w:pPr>
        <w:numPr>
          <w:ilvl w:val="1"/>
          <w:numId w:val="1"/>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特殊情况下，在原投标有效期截止前，采购人可与投标人协商延长投标有效期，这种要求和答复均以书面形式进行。同意延长投标有效期的投标人不得修改投标文件。</w:t>
      </w:r>
    </w:p>
    <w:p w14:paraId="7DE1C4F7">
      <w:pPr>
        <w:numPr>
          <w:ilvl w:val="0"/>
          <w:numId w:val="1"/>
        </w:numPr>
        <w:tabs>
          <w:tab w:val="left" w:pos="525"/>
          <w:tab w:val="left" w:pos="900"/>
        </w:tabs>
        <w:spacing w:line="360" w:lineRule="auto"/>
        <w:rPr>
          <w:rFonts w:ascii="宋体" w:hAnsi="宋体" w:cs="楷体"/>
          <w:kern w:val="0"/>
          <w:sz w:val="22"/>
          <w:szCs w:val="22"/>
          <w:highlight w:val="none"/>
        </w:rPr>
      </w:pPr>
      <w:r>
        <w:rPr>
          <w:rFonts w:hint="eastAsia" w:ascii="宋体" w:hAnsi="宋体" w:cs="楷体"/>
          <w:kern w:val="0"/>
          <w:sz w:val="22"/>
          <w:szCs w:val="22"/>
          <w:highlight w:val="none"/>
        </w:rPr>
        <w:t>投标文件的编制</w:t>
      </w:r>
    </w:p>
    <w:p w14:paraId="594E3994">
      <w:pPr>
        <w:numPr>
          <w:ilvl w:val="1"/>
          <w:numId w:val="1"/>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本项目通过“政府采购云平台（www.zcygov.cn）”实行在线投标响应（电子投标）。</w:t>
      </w:r>
    </w:p>
    <w:p w14:paraId="2903DABA">
      <w:pPr>
        <w:numPr>
          <w:ilvl w:val="1"/>
          <w:numId w:val="1"/>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投标人应先安装“政采云电子交易客户端”，并按照本招标文件和“政府采购云平台”的要求，通过“政采云电子交易客户端”编制并加密投标文件。</w:t>
      </w:r>
      <w:r>
        <w:rPr>
          <w:rFonts w:hint="eastAsia" w:ascii="宋体" w:hAnsi="宋体" w:cs="Courier New"/>
          <w:b/>
          <w:bCs/>
          <w:sz w:val="22"/>
          <w:szCs w:val="22"/>
          <w:highlight w:val="none"/>
        </w:rPr>
        <w:t>投标人未按规定加密的投标文件，“政府采购云平台”将予以拒收。</w:t>
      </w:r>
    </w:p>
    <w:p w14:paraId="13EAE3FF">
      <w:pPr>
        <w:numPr>
          <w:ilvl w:val="1"/>
          <w:numId w:val="1"/>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本文件《第二部分 应提交的有关格式范例》中有提供格式的，投标人须按照格式进行编制（格式中要求提供相关证明材料的还需后附相关证明材料），</w:t>
      </w:r>
      <w:r>
        <w:rPr>
          <w:rFonts w:hint="eastAsia" w:ascii="宋体" w:hAnsi="宋体" w:cs="Courier New"/>
          <w:b/>
          <w:sz w:val="22"/>
          <w:szCs w:val="22"/>
          <w:highlight w:val="none"/>
        </w:rPr>
        <w:t>并按格式要求在指定位置根据要求进行签署、盖章，否则视为未提供；</w:t>
      </w:r>
      <w:r>
        <w:rPr>
          <w:rFonts w:hint="eastAsia" w:ascii="宋体" w:hAnsi="宋体" w:cs="Courier New"/>
          <w:sz w:val="22"/>
          <w:szCs w:val="22"/>
          <w:highlight w:val="none"/>
        </w:rPr>
        <w:t>招标文件未提供格式的，请各投标人自行编写。</w:t>
      </w:r>
    </w:p>
    <w:p w14:paraId="3539599F">
      <w:pPr>
        <w:numPr>
          <w:ilvl w:val="0"/>
          <w:numId w:val="1"/>
        </w:numPr>
        <w:tabs>
          <w:tab w:val="left" w:pos="525"/>
          <w:tab w:val="left" w:pos="900"/>
        </w:tabs>
        <w:spacing w:line="360" w:lineRule="auto"/>
        <w:rPr>
          <w:rFonts w:ascii="宋体" w:hAnsi="宋体" w:cs="楷体"/>
          <w:kern w:val="0"/>
          <w:sz w:val="22"/>
          <w:szCs w:val="22"/>
          <w:highlight w:val="none"/>
        </w:rPr>
      </w:pPr>
      <w:r>
        <w:rPr>
          <w:rFonts w:hint="eastAsia" w:ascii="宋体" w:hAnsi="宋体" w:cs="楷体"/>
          <w:kern w:val="0"/>
          <w:sz w:val="22"/>
          <w:szCs w:val="22"/>
          <w:highlight w:val="none"/>
        </w:rPr>
        <w:t>投标文件的签章</w:t>
      </w:r>
    </w:p>
    <w:p w14:paraId="742FF423">
      <w:pPr>
        <w:numPr>
          <w:ilvl w:val="1"/>
          <w:numId w:val="1"/>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投标文件签章：见投标人须知前附表。</w:t>
      </w:r>
    </w:p>
    <w:p w14:paraId="6EB5D893">
      <w:pPr>
        <w:numPr>
          <w:ilvl w:val="1"/>
          <w:numId w:val="1"/>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电子签章操作指南详见</w:t>
      </w:r>
      <w:r>
        <w:rPr>
          <w:rFonts w:hint="eastAsia" w:ascii="宋体" w:hAnsi="宋体"/>
          <w:sz w:val="22"/>
          <w:szCs w:val="22"/>
          <w:highlight w:val="none"/>
        </w:rPr>
        <w:t>“政府采购云平台（www.zcygov.cn）”中供应商项目采购-电子招投标操作指南。</w:t>
      </w:r>
    </w:p>
    <w:p w14:paraId="514274F7">
      <w:pPr>
        <w:numPr>
          <w:ilvl w:val="1"/>
          <w:numId w:val="1"/>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投标文件如有修改和增删必须由投标人代表在修改和增删处旁签署或加盖投标人的单位公章，方才有效。</w:t>
      </w:r>
    </w:p>
    <w:p w14:paraId="7D8E016B">
      <w:pPr>
        <w:numPr>
          <w:ilvl w:val="0"/>
          <w:numId w:val="1"/>
        </w:numPr>
        <w:tabs>
          <w:tab w:val="left" w:pos="525"/>
          <w:tab w:val="left" w:pos="900"/>
        </w:tabs>
        <w:spacing w:line="360" w:lineRule="auto"/>
        <w:rPr>
          <w:rFonts w:ascii="宋体" w:hAnsi="宋体" w:cs="楷体"/>
          <w:kern w:val="0"/>
          <w:sz w:val="22"/>
          <w:szCs w:val="22"/>
          <w:highlight w:val="none"/>
        </w:rPr>
      </w:pPr>
      <w:r>
        <w:rPr>
          <w:rFonts w:hint="eastAsia" w:ascii="宋体" w:hAnsi="宋体" w:cs="楷体"/>
          <w:kern w:val="0"/>
          <w:sz w:val="22"/>
          <w:szCs w:val="22"/>
          <w:highlight w:val="none"/>
        </w:rPr>
        <w:t>投标文件的形式</w:t>
      </w:r>
      <w:r>
        <w:rPr>
          <w:rFonts w:hint="eastAsia" w:ascii="宋体" w:hAnsi="宋体" w:cs="Courier New"/>
          <w:sz w:val="22"/>
          <w:szCs w:val="22"/>
          <w:highlight w:val="none"/>
        </w:rPr>
        <w:t>：见投标人须知前附表。</w:t>
      </w:r>
    </w:p>
    <w:p w14:paraId="4BD94FF8">
      <w:pPr>
        <w:numPr>
          <w:ilvl w:val="0"/>
          <w:numId w:val="1"/>
        </w:numPr>
        <w:tabs>
          <w:tab w:val="left" w:pos="525"/>
          <w:tab w:val="left" w:pos="900"/>
        </w:tabs>
        <w:spacing w:line="360" w:lineRule="auto"/>
        <w:rPr>
          <w:rFonts w:ascii="宋体" w:hAnsi="宋体" w:cs="楷体"/>
          <w:kern w:val="0"/>
          <w:sz w:val="22"/>
          <w:szCs w:val="22"/>
          <w:highlight w:val="none"/>
        </w:rPr>
      </w:pPr>
      <w:r>
        <w:rPr>
          <w:rFonts w:hint="eastAsia" w:ascii="宋体" w:hAnsi="宋体" w:cs="楷体"/>
          <w:kern w:val="0"/>
          <w:sz w:val="22"/>
          <w:szCs w:val="22"/>
          <w:highlight w:val="none"/>
        </w:rPr>
        <w:t>投标文件的份数</w:t>
      </w:r>
      <w:r>
        <w:rPr>
          <w:rFonts w:hint="eastAsia" w:ascii="宋体" w:hAnsi="宋体" w:cs="Courier New"/>
          <w:sz w:val="22"/>
          <w:szCs w:val="22"/>
          <w:highlight w:val="none"/>
        </w:rPr>
        <w:t>：见投标人须知前附表。</w:t>
      </w:r>
    </w:p>
    <w:p w14:paraId="6ADDBEB9">
      <w:pPr>
        <w:pStyle w:val="4"/>
        <w:spacing w:line="400" w:lineRule="exact"/>
        <w:jc w:val="center"/>
        <w:rPr>
          <w:rFonts w:ascii="宋体" w:hAnsi="宋体" w:eastAsia="宋体" w:cs="Courier New"/>
          <w:highlight w:val="none"/>
        </w:rPr>
      </w:pPr>
      <w:bookmarkStart w:id="110" w:name="_Toc215415533"/>
      <w:bookmarkStart w:id="111" w:name="_Toc218041729"/>
      <w:bookmarkStart w:id="112" w:name="_Toc205005289"/>
      <w:bookmarkStart w:id="113" w:name="_Toc217460688"/>
      <w:bookmarkStart w:id="114" w:name="_Toc219538616"/>
      <w:bookmarkStart w:id="115" w:name="_Toc207609184"/>
      <w:bookmarkStart w:id="116" w:name="_Toc227056849"/>
      <w:bookmarkStart w:id="117" w:name="_Toc227489890"/>
      <w:bookmarkStart w:id="118" w:name="_Toc216667823"/>
      <w:bookmarkStart w:id="119" w:name="_Toc223933224"/>
      <w:bookmarkStart w:id="120" w:name="_Toc209250722"/>
      <w:bookmarkStart w:id="121" w:name="_Toc205877560"/>
      <w:bookmarkStart w:id="122" w:name="_Toc146181146"/>
      <w:bookmarkStart w:id="123" w:name="_Toc227057036"/>
      <w:bookmarkStart w:id="124" w:name="_Toc209261368"/>
      <w:bookmarkStart w:id="125" w:name="_Toc210879711"/>
      <w:bookmarkStart w:id="126" w:name="_Toc205004971"/>
      <w:bookmarkStart w:id="127" w:name="_Toc204578578"/>
      <w:bookmarkStart w:id="128" w:name="_Toc204491320"/>
      <w:bookmarkStart w:id="129" w:name="_Toc209251130"/>
      <w:bookmarkStart w:id="130" w:name="_Toc205703105"/>
      <w:bookmarkStart w:id="131" w:name="_Toc209332636"/>
      <w:bookmarkStart w:id="132" w:name="_Toc205877455"/>
      <w:bookmarkStart w:id="133" w:name="_Toc209261435"/>
      <w:bookmarkStart w:id="134" w:name="_Toc214365793"/>
      <w:bookmarkStart w:id="135" w:name="_Toc223717607"/>
      <w:r>
        <w:rPr>
          <w:rFonts w:hint="eastAsia" w:ascii="宋体" w:hAnsi="宋体" w:eastAsia="宋体" w:cs="Courier New"/>
          <w:highlight w:val="none"/>
        </w:rPr>
        <w:t>六、 投标</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57EAB30C">
      <w:pPr>
        <w:numPr>
          <w:ilvl w:val="0"/>
          <w:numId w:val="1"/>
        </w:numPr>
        <w:tabs>
          <w:tab w:val="left" w:pos="52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投标文件的上传、递交：见投标人须知前附表。</w:t>
      </w:r>
    </w:p>
    <w:p w14:paraId="61E3A64E">
      <w:pPr>
        <w:numPr>
          <w:ilvl w:val="0"/>
          <w:numId w:val="1"/>
        </w:numPr>
        <w:tabs>
          <w:tab w:val="left" w:pos="52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电子加密投标文件解密</w:t>
      </w:r>
      <w:bookmarkStart w:id="136" w:name="_Hlk100433652"/>
      <w:r>
        <w:rPr>
          <w:rFonts w:hint="eastAsia" w:ascii="宋体" w:hAnsi="宋体" w:cs="Courier New"/>
          <w:sz w:val="22"/>
          <w:szCs w:val="22"/>
          <w:highlight w:val="none"/>
        </w:rPr>
        <w:t>和异常情况处理</w:t>
      </w:r>
      <w:bookmarkEnd w:id="136"/>
      <w:r>
        <w:rPr>
          <w:rFonts w:hint="eastAsia" w:ascii="宋体" w:hAnsi="宋体" w:cs="Courier New"/>
          <w:sz w:val="22"/>
          <w:szCs w:val="22"/>
          <w:highlight w:val="none"/>
        </w:rPr>
        <w:t>：见投标人须知前附表。</w:t>
      </w:r>
    </w:p>
    <w:p w14:paraId="756FDB18">
      <w:pPr>
        <w:numPr>
          <w:ilvl w:val="0"/>
          <w:numId w:val="1"/>
        </w:numPr>
        <w:tabs>
          <w:tab w:val="left" w:pos="52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投标文件的补充、修改或撤回</w:t>
      </w:r>
    </w:p>
    <w:p w14:paraId="5F3522F9">
      <w:pPr>
        <w:numPr>
          <w:ilvl w:val="1"/>
          <w:numId w:val="1"/>
        </w:numPr>
        <w:tabs>
          <w:tab w:val="left" w:pos="525"/>
          <w:tab w:val="left" w:pos="635"/>
          <w:tab w:val="left" w:pos="900"/>
        </w:tabs>
        <w:spacing w:line="360" w:lineRule="auto"/>
        <w:rPr>
          <w:rFonts w:ascii="宋体" w:hAnsi="宋体" w:cs="Courier New"/>
          <w:b/>
          <w:bCs/>
          <w:sz w:val="22"/>
          <w:szCs w:val="22"/>
          <w:highlight w:val="none"/>
        </w:rPr>
      </w:pPr>
      <w:r>
        <w:rPr>
          <w:rFonts w:hint="eastAsia" w:ascii="宋体" w:hAnsi="宋体" w:cs="Courier New"/>
          <w:sz w:val="22"/>
          <w:szCs w:val="22"/>
          <w:highlight w:val="none"/>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w:t>
      </w:r>
    </w:p>
    <w:p w14:paraId="148BA305">
      <w:pPr>
        <w:numPr>
          <w:ilvl w:val="1"/>
          <w:numId w:val="1"/>
        </w:numPr>
        <w:tabs>
          <w:tab w:val="left" w:pos="525"/>
          <w:tab w:val="left" w:pos="635"/>
          <w:tab w:val="left" w:pos="900"/>
        </w:tabs>
        <w:spacing w:line="360" w:lineRule="auto"/>
        <w:rPr>
          <w:rFonts w:ascii="宋体" w:hAnsi="宋体" w:cs="Courier New"/>
          <w:b/>
          <w:bCs/>
          <w:sz w:val="22"/>
          <w:szCs w:val="22"/>
          <w:highlight w:val="none"/>
        </w:rPr>
      </w:pPr>
      <w:r>
        <w:rPr>
          <w:rFonts w:hint="eastAsia" w:ascii="宋体" w:hAnsi="宋体" w:cs="Courier New"/>
          <w:b/>
          <w:bCs/>
          <w:sz w:val="22"/>
          <w:szCs w:val="22"/>
          <w:highlight w:val="none"/>
        </w:rPr>
        <w:t>投标截止时间后递交的投标文件，“政府采购云平台”将予以拒收。</w:t>
      </w:r>
    </w:p>
    <w:p w14:paraId="4BF9B442">
      <w:pPr>
        <w:numPr>
          <w:ilvl w:val="1"/>
          <w:numId w:val="1"/>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投标截止时间后，投标人不得撤回、修改投标文件。</w:t>
      </w:r>
    </w:p>
    <w:p w14:paraId="45851FB8">
      <w:pPr>
        <w:numPr>
          <w:ilvl w:val="0"/>
          <w:numId w:val="1"/>
        </w:numPr>
        <w:tabs>
          <w:tab w:val="left" w:pos="52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投标文件的备选方案</w:t>
      </w:r>
    </w:p>
    <w:p w14:paraId="1F1EA439">
      <w:pPr>
        <w:numPr>
          <w:ilvl w:val="1"/>
          <w:numId w:val="1"/>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投标人不得递交任何的投标备选（替代）方案，否则其投标文件将作无效标处理。与“电子加密投标文件”同时生成的“备份投标文件”不是投标备选（替代）方案。</w:t>
      </w:r>
    </w:p>
    <w:p w14:paraId="758ED208">
      <w:pPr>
        <w:pStyle w:val="4"/>
        <w:spacing w:line="400" w:lineRule="exact"/>
        <w:jc w:val="center"/>
        <w:rPr>
          <w:rFonts w:ascii="宋体" w:hAnsi="宋体" w:eastAsia="宋体" w:cs="Courier New"/>
          <w:highlight w:val="none"/>
        </w:rPr>
      </w:pPr>
      <w:bookmarkStart w:id="137" w:name="_Toc209250723"/>
      <w:bookmarkStart w:id="138" w:name="_Toc219538617"/>
      <w:bookmarkStart w:id="139" w:name="_Toc217460689"/>
      <w:bookmarkStart w:id="140" w:name="_Toc218041730"/>
      <w:bookmarkStart w:id="141" w:name="_Toc207609185"/>
      <w:bookmarkStart w:id="142" w:name="_Toc205005290"/>
      <w:bookmarkStart w:id="143" w:name="_Toc227057037"/>
      <w:bookmarkStart w:id="144" w:name="_Toc223933225"/>
      <w:bookmarkStart w:id="145" w:name="_Toc223717608"/>
      <w:bookmarkStart w:id="146" w:name="_Toc205703106"/>
      <w:bookmarkStart w:id="147" w:name="_Toc205877561"/>
      <w:bookmarkStart w:id="148" w:name="_Toc227056850"/>
      <w:bookmarkStart w:id="149" w:name="_Toc215415534"/>
      <w:bookmarkStart w:id="150" w:name="_Toc205004972"/>
      <w:bookmarkStart w:id="151" w:name="_Toc204491321"/>
      <w:bookmarkStart w:id="152" w:name="_Toc209261436"/>
      <w:bookmarkStart w:id="153" w:name="_Toc205877456"/>
      <w:bookmarkStart w:id="154" w:name="_Toc214365794"/>
      <w:bookmarkStart w:id="155" w:name="_Toc209261369"/>
      <w:bookmarkStart w:id="156" w:name="_Toc210879712"/>
      <w:bookmarkStart w:id="157" w:name="_Toc216667824"/>
      <w:bookmarkStart w:id="158" w:name="_Toc227489891"/>
      <w:bookmarkStart w:id="159" w:name="_Toc209251131"/>
      <w:bookmarkStart w:id="160" w:name="_Toc209332637"/>
      <w:bookmarkStart w:id="161" w:name="_Toc204578579"/>
      <w:bookmarkStart w:id="162" w:name="_Toc146181147"/>
      <w:r>
        <w:rPr>
          <w:rFonts w:hint="eastAsia" w:ascii="宋体" w:hAnsi="宋体" w:eastAsia="宋体" w:cs="Courier New"/>
          <w:highlight w:val="none"/>
        </w:rPr>
        <w:t xml:space="preserve">七、 </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Pr>
          <w:rFonts w:hint="eastAsia" w:ascii="宋体" w:hAnsi="宋体" w:eastAsia="宋体" w:cs="Courier New"/>
          <w:highlight w:val="none"/>
        </w:rPr>
        <w:t>电子化开标</w:t>
      </w:r>
      <w:bookmarkEnd w:id="162"/>
    </w:p>
    <w:p w14:paraId="031C6702">
      <w:pPr>
        <w:numPr>
          <w:ilvl w:val="0"/>
          <w:numId w:val="1"/>
        </w:numPr>
        <w:tabs>
          <w:tab w:val="left" w:pos="52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开标</w:t>
      </w:r>
    </w:p>
    <w:p w14:paraId="73A872FE">
      <w:pPr>
        <w:numPr>
          <w:ilvl w:val="1"/>
          <w:numId w:val="1"/>
        </w:numPr>
        <w:tabs>
          <w:tab w:val="left" w:pos="525"/>
          <w:tab w:val="left" w:pos="635"/>
          <w:tab w:val="left" w:pos="900"/>
        </w:tabs>
        <w:spacing w:line="360" w:lineRule="auto"/>
        <w:rPr>
          <w:rFonts w:ascii="宋体" w:hAnsi="宋体" w:cs="Courier New"/>
          <w:sz w:val="22"/>
          <w:szCs w:val="22"/>
          <w:highlight w:val="none"/>
        </w:rPr>
      </w:pPr>
      <w:r>
        <w:rPr>
          <w:rFonts w:ascii="宋体" w:hAnsi="宋体" w:cs="Courier New"/>
          <w:sz w:val="22"/>
          <w:szCs w:val="22"/>
          <w:highlight w:val="none"/>
        </w:rPr>
        <w:t>投标人不足3家的，不</w:t>
      </w:r>
      <w:r>
        <w:rPr>
          <w:rFonts w:hint="eastAsia" w:ascii="宋体" w:hAnsi="宋体" w:cs="Courier New"/>
          <w:sz w:val="22"/>
          <w:szCs w:val="22"/>
          <w:highlight w:val="none"/>
        </w:rPr>
        <w:t>进行</w:t>
      </w:r>
      <w:r>
        <w:rPr>
          <w:rFonts w:ascii="宋体" w:hAnsi="宋体" w:cs="Courier New"/>
          <w:sz w:val="22"/>
          <w:szCs w:val="22"/>
          <w:highlight w:val="none"/>
        </w:rPr>
        <w:t>开标。</w:t>
      </w:r>
    </w:p>
    <w:p w14:paraId="20506E1E">
      <w:pPr>
        <w:numPr>
          <w:ilvl w:val="1"/>
          <w:numId w:val="1"/>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电子招投标开标及评审程序</w:t>
      </w:r>
    </w:p>
    <w:p w14:paraId="489D3869">
      <w:pPr>
        <w:numPr>
          <w:ilvl w:val="0"/>
          <w:numId w:val="8"/>
        </w:numPr>
        <w:tabs>
          <w:tab w:val="left" w:pos="735"/>
          <w:tab w:val="clear" w:pos="420"/>
        </w:tabs>
        <w:spacing w:line="360" w:lineRule="auto"/>
        <w:ind w:left="734" w:leftChars="200" w:hanging="314" w:hangingChars="143"/>
        <w:rPr>
          <w:rFonts w:ascii="宋体" w:hAnsi="宋体"/>
          <w:sz w:val="22"/>
          <w:szCs w:val="22"/>
          <w:highlight w:val="none"/>
        </w:rPr>
      </w:pPr>
      <w:r>
        <w:rPr>
          <w:rFonts w:hint="eastAsia" w:ascii="宋体" w:hAnsi="宋体"/>
          <w:sz w:val="22"/>
          <w:szCs w:val="22"/>
          <w:highlight w:val="none"/>
        </w:rPr>
        <w:t>招标采购单位将按照招标文件规定的时间通过“政府采购云平台”组织开标、开启投标文件，投标人应准时在线参加。投标人如不参加开标的，视同认可开标结果，事后不得对采购相关人员、开标过程和开标结果提出异议，同时投标人因未在线参加开标而导致投标文件无法按时解密等一切后果由投标人自己承担。</w:t>
      </w:r>
    </w:p>
    <w:p w14:paraId="5289E0DF">
      <w:pPr>
        <w:numPr>
          <w:ilvl w:val="0"/>
          <w:numId w:val="8"/>
        </w:numPr>
        <w:tabs>
          <w:tab w:val="left" w:pos="735"/>
          <w:tab w:val="clear" w:pos="420"/>
        </w:tabs>
        <w:spacing w:line="360" w:lineRule="auto"/>
        <w:ind w:left="734" w:leftChars="200" w:hanging="314" w:hangingChars="143"/>
        <w:rPr>
          <w:rFonts w:ascii="宋体" w:hAnsi="宋体"/>
          <w:sz w:val="22"/>
          <w:szCs w:val="22"/>
          <w:highlight w:val="none"/>
        </w:rPr>
      </w:pPr>
      <w:r>
        <w:rPr>
          <w:rFonts w:hint="eastAsia" w:ascii="宋体" w:hAnsi="宋体"/>
          <w:sz w:val="22"/>
          <w:szCs w:val="22"/>
          <w:highlight w:val="none"/>
        </w:rPr>
        <w:t>投标截止时间后，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代理机构按“政府采购云平台”操作规范将备份投标文件上传至“政府采购云平台”，上传成功后，“电子加密投标文件”自动失效。</w:t>
      </w:r>
      <w:r>
        <w:rPr>
          <w:rFonts w:ascii="宋体" w:hAnsi="宋体"/>
          <w:sz w:val="22"/>
          <w:szCs w:val="22"/>
          <w:highlight w:val="none"/>
        </w:rPr>
        <w:t xml:space="preserve"> </w:t>
      </w:r>
    </w:p>
    <w:p w14:paraId="0E84A4DB">
      <w:pPr>
        <w:numPr>
          <w:ilvl w:val="0"/>
          <w:numId w:val="8"/>
        </w:numPr>
        <w:tabs>
          <w:tab w:val="left" w:pos="735"/>
          <w:tab w:val="clear" w:pos="420"/>
        </w:tabs>
        <w:spacing w:line="360" w:lineRule="auto"/>
        <w:ind w:left="734" w:leftChars="200" w:hanging="314" w:hangingChars="143"/>
        <w:rPr>
          <w:rFonts w:ascii="宋体" w:hAnsi="宋体"/>
          <w:sz w:val="22"/>
          <w:szCs w:val="22"/>
          <w:highlight w:val="none"/>
        </w:rPr>
      </w:pPr>
      <w:r>
        <w:rPr>
          <w:rFonts w:hint="eastAsia" w:ascii="宋体" w:hAnsi="宋体" w:cs="Courier New"/>
          <w:sz w:val="22"/>
          <w:szCs w:val="22"/>
          <w:highlight w:val="none"/>
        </w:rPr>
        <w:t>对投标人的资格进行审查</w:t>
      </w:r>
      <w:r>
        <w:rPr>
          <w:rFonts w:hint="eastAsia" w:ascii="宋体" w:hAnsi="宋体"/>
          <w:sz w:val="22"/>
          <w:szCs w:val="22"/>
          <w:highlight w:val="none"/>
        </w:rPr>
        <w:t>。</w:t>
      </w:r>
    </w:p>
    <w:p w14:paraId="11B510DF">
      <w:pPr>
        <w:numPr>
          <w:ilvl w:val="0"/>
          <w:numId w:val="8"/>
        </w:numPr>
        <w:tabs>
          <w:tab w:val="left" w:pos="735"/>
          <w:tab w:val="clear" w:pos="420"/>
        </w:tabs>
        <w:spacing w:line="360" w:lineRule="auto"/>
        <w:ind w:left="734" w:leftChars="200" w:hanging="314" w:hangingChars="143"/>
        <w:rPr>
          <w:rFonts w:ascii="宋体" w:hAnsi="宋体"/>
          <w:sz w:val="22"/>
          <w:szCs w:val="22"/>
          <w:highlight w:val="none"/>
        </w:rPr>
      </w:pPr>
      <w:r>
        <w:rPr>
          <w:rFonts w:hint="eastAsia" w:ascii="宋体" w:hAnsi="宋体"/>
          <w:sz w:val="22"/>
          <w:szCs w:val="22"/>
          <w:highlight w:val="none"/>
        </w:rPr>
        <w:t>评标委员会对商务技术文件进行评审。</w:t>
      </w:r>
    </w:p>
    <w:p w14:paraId="6A54EE09">
      <w:pPr>
        <w:numPr>
          <w:ilvl w:val="0"/>
          <w:numId w:val="8"/>
        </w:numPr>
        <w:tabs>
          <w:tab w:val="left" w:pos="735"/>
          <w:tab w:val="clear" w:pos="420"/>
        </w:tabs>
        <w:spacing w:line="360" w:lineRule="auto"/>
        <w:ind w:left="734" w:leftChars="200" w:hanging="314" w:hangingChars="143"/>
        <w:rPr>
          <w:rFonts w:ascii="宋体" w:hAnsi="宋体"/>
          <w:sz w:val="22"/>
          <w:szCs w:val="22"/>
          <w:highlight w:val="none"/>
        </w:rPr>
      </w:pPr>
      <w:r>
        <w:rPr>
          <w:rFonts w:hint="eastAsia" w:ascii="宋体" w:hAnsi="宋体"/>
          <w:sz w:val="22"/>
          <w:szCs w:val="22"/>
          <w:highlight w:val="none"/>
        </w:rPr>
        <w:t>评标委员会对报价情况进行评审。</w:t>
      </w:r>
    </w:p>
    <w:p w14:paraId="573CC3DB">
      <w:pPr>
        <w:numPr>
          <w:ilvl w:val="0"/>
          <w:numId w:val="8"/>
        </w:numPr>
        <w:tabs>
          <w:tab w:val="left" w:pos="735"/>
          <w:tab w:val="clear" w:pos="420"/>
        </w:tabs>
        <w:spacing w:line="360" w:lineRule="auto"/>
        <w:ind w:left="734" w:leftChars="200" w:hanging="314" w:hangingChars="143"/>
        <w:rPr>
          <w:rFonts w:ascii="宋体" w:hAnsi="宋体"/>
          <w:sz w:val="22"/>
          <w:szCs w:val="22"/>
          <w:highlight w:val="none"/>
        </w:rPr>
      </w:pPr>
      <w:r>
        <w:rPr>
          <w:rFonts w:hint="eastAsia" w:ascii="宋体" w:hAnsi="宋体"/>
          <w:sz w:val="22"/>
          <w:szCs w:val="22"/>
          <w:highlight w:val="none"/>
        </w:rPr>
        <w:t>在系统上公布评标结果。</w:t>
      </w:r>
    </w:p>
    <w:p w14:paraId="51329AAC">
      <w:pPr>
        <w:tabs>
          <w:tab w:val="left" w:pos="525"/>
        </w:tabs>
        <w:spacing w:line="360" w:lineRule="auto"/>
        <w:ind w:firstLine="221" w:firstLineChars="100"/>
        <w:rPr>
          <w:rFonts w:ascii="宋体" w:hAnsi="宋体"/>
          <w:b/>
          <w:sz w:val="22"/>
          <w:szCs w:val="22"/>
          <w:highlight w:val="none"/>
        </w:rPr>
      </w:pPr>
      <w:r>
        <w:rPr>
          <w:rFonts w:hint="eastAsia" w:ascii="宋体" w:hAnsi="宋体"/>
          <w:b/>
          <w:sz w:val="22"/>
          <w:szCs w:val="22"/>
          <w:highlight w:val="none"/>
        </w:rPr>
        <w:t>政采云公司如对电子化开标或评审程序有调整的，按调整后的程序操作。</w:t>
      </w:r>
    </w:p>
    <w:p w14:paraId="1D64AAD4">
      <w:pPr>
        <w:pStyle w:val="4"/>
        <w:spacing w:line="400" w:lineRule="exact"/>
        <w:jc w:val="center"/>
        <w:rPr>
          <w:rFonts w:ascii="宋体" w:hAnsi="宋体" w:eastAsia="宋体"/>
          <w:highlight w:val="none"/>
        </w:rPr>
      </w:pPr>
      <w:bookmarkStart w:id="163" w:name="_Toc146181148"/>
      <w:r>
        <w:rPr>
          <w:rFonts w:hint="eastAsia" w:ascii="宋体" w:hAnsi="宋体" w:eastAsia="宋体"/>
          <w:highlight w:val="none"/>
        </w:rPr>
        <w:t>八、 资格审查及评标</w:t>
      </w:r>
      <w:bookmarkEnd w:id="163"/>
    </w:p>
    <w:p w14:paraId="39FA4189">
      <w:pPr>
        <w:numPr>
          <w:ilvl w:val="0"/>
          <w:numId w:val="1"/>
        </w:numPr>
        <w:tabs>
          <w:tab w:val="left" w:pos="525"/>
          <w:tab w:val="left" w:pos="900"/>
        </w:tabs>
        <w:spacing w:line="360" w:lineRule="auto"/>
        <w:rPr>
          <w:rFonts w:ascii="宋体" w:hAnsi="宋体" w:cs="Courier New"/>
          <w:b/>
          <w:bCs/>
          <w:sz w:val="22"/>
          <w:szCs w:val="22"/>
          <w:highlight w:val="none"/>
        </w:rPr>
      </w:pPr>
      <w:r>
        <w:rPr>
          <w:rFonts w:hint="eastAsia" w:ascii="宋体" w:hAnsi="宋体" w:cs="Courier New"/>
          <w:b/>
          <w:bCs/>
          <w:sz w:val="22"/>
          <w:szCs w:val="22"/>
          <w:highlight w:val="none"/>
        </w:rPr>
        <w:t>资格审查</w:t>
      </w:r>
    </w:p>
    <w:p w14:paraId="50B0F94A">
      <w:pPr>
        <w:numPr>
          <w:ilvl w:val="1"/>
          <w:numId w:val="1"/>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采购人或者采购代理机构依法对投标人的资格进行审查。</w:t>
      </w:r>
    </w:p>
    <w:p w14:paraId="30586187">
      <w:pPr>
        <w:numPr>
          <w:ilvl w:val="1"/>
          <w:numId w:val="1"/>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资格审查的依据是招标文件和投标文件。</w:t>
      </w:r>
    </w:p>
    <w:p w14:paraId="49A2431F">
      <w:pPr>
        <w:numPr>
          <w:ilvl w:val="1"/>
          <w:numId w:val="1"/>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资格审查内容：</w:t>
      </w:r>
    </w:p>
    <w:tbl>
      <w:tblPr>
        <w:tblStyle w:val="40"/>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3638"/>
        <w:gridCol w:w="5670"/>
      </w:tblGrid>
      <w:tr w14:paraId="50455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0" w:type="dxa"/>
            <w:shd w:val="clear" w:color="auto" w:fill="auto"/>
            <w:vAlign w:val="center"/>
          </w:tcPr>
          <w:p w14:paraId="70F5D63F">
            <w:pPr>
              <w:jc w:val="center"/>
              <w:rPr>
                <w:rFonts w:ascii="宋体" w:hAnsi="宋体"/>
                <w:sz w:val="22"/>
                <w:szCs w:val="22"/>
                <w:highlight w:val="none"/>
              </w:rPr>
            </w:pPr>
            <w:r>
              <w:rPr>
                <w:rFonts w:ascii="宋体" w:hAnsi="宋体"/>
                <w:sz w:val="22"/>
                <w:szCs w:val="22"/>
                <w:highlight w:val="none"/>
              </w:rPr>
              <w:t>序号</w:t>
            </w:r>
          </w:p>
        </w:tc>
        <w:tc>
          <w:tcPr>
            <w:tcW w:w="3638" w:type="dxa"/>
            <w:shd w:val="clear" w:color="auto" w:fill="auto"/>
            <w:vAlign w:val="center"/>
          </w:tcPr>
          <w:p w14:paraId="222934DC">
            <w:pPr>
              <w:jc w:val="center"/>
              <w:rPr>
                <w:rFonts w:ascii="宋体" w:hAnsi="宋体"/>
                <w:sz w:val="22"/>
                <w:szCs w:val="22"/>
                <w:highlight w:val="none"/>
              </w:rPr>
            </w:pPr>
            <w:r>
              <w:rPr>
                <w:rFonts w:hint="eastAsia" w:ascii="宋体" w:hAnsi="宋体"/>
                <w:sz w:val="22"/>
                <w:szCs w:val="22"/>
                <w:highlight w:val="none"/>
              </w:rPr>
              <w:t>明细</w:t>
            </w:r>
          </w:p>
        </w:tc>
        <w:tc>
          <w:tcPr>
            <w:tcW w:w="5670" w:type="dxa"/>
            <w:shd w:val="clear" w:color="auto" w:fill="auto"/>
            <w:vAlign w:val="center"/>
          </w:tcPr>
          <w:p w14:paraId="21DDAD12">
            <w:pPr>
              <w:jc w:val="center"/>
              <w:rPr>
                <w:rFonts w:ascii="宋体" w:hAnsi="宋体"/>
                <w:sz w:val="22"/>
                <w:szCs w:val="22"/>
                <w:highlight w:val="none"/>
              </w:rPr>
            </w:pPr>
            <w:r>
              <w:rPr>
                <w:rFonts w:hint="eastAsia" w:ascii="宋体" w:hAnsi="宋体"/>
                <w:sz w:val="22"/>
                <w:szCs w:val="22"/>
                <w:highlight w:val="none"/>
              </w:rPr>
              <w:t>说明</w:t>
            </w:r>
          </w:p>
        </w:tc>
      </w:tr>
      <w:tr w14:paraId="484C1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0" w:type="dxa"/>
            <w:shd w:val="clear" w:color="auto" w:fill="auto"/>
            <w:vAlign w:val="center"/>
          </w:tcPr>
          <w:p w14:paraId="0FAE3EAA">
            <w:pPr>
              <w:numPr>
                <w:ilvl w:val="0"/>
                <w:numId w:val="9"/>
              </w:numPr>
              <w:rPr>
                <w:rFonts w:ascii="宋体" w:hAnsi="宋体"/>
                <w:sz w:val="22"/>
                <w:szCs w:val="22"/>
                <w:highlight w:val="none"/>
              </w:rPr>
            </w:pPr>
          </w:p>
        </w:tc>
        <w:tc>
          <w:tcPr>
            <w:tcW w:w="3638" w:type="dxa"/>
            <w:shd w:val="clear" w:color="auto" w:fill="auto"/>
            <w:vAlign w:val="center"/>
          </w:tcPr>
          <w:p w14:paraId="2AA6C8E4">
            <w:pPr>
              <w:rPr>
                <w:rFonts w:ascii="宋体" w:hAnsi="宋体"/>
                <w:sz w:val="22"/>
                <w:szCs w:val="22"/>
                <w:highlight w:val="none"/>
              </w:rPr>
            </w:pPr>
            <w:r>
              <w:rPr>
                <w:rFonts w:hint="eastAsia" w:ascii="宋体" w:hAnsi="宋体" w:cs="楷体"/>
                <w:kern w:val="0"/>
                <w:sz w:val="22"/>
                <w:szCs w:val="22"/>
                <w:highlight w:val="none"/>
              </w:rPr>
              <w:t>资格声明书</w:t>
            </w:r>
          </w:p>
        </w:tc>
        <w:tc>
          <w:tcPr>
            <w:tcW w:w="5670" w:type="dxa"/>
            <w:shd w:val="clear" w:color="auto" w:fill="auto"/>
            <w:vAlign w:val="center"/>
          </w:tcPr>
          <w:p w14:paraId="5B759118">
            <w:pPr>
              <w:rPr>
                <w:rFonts w:ascii="宋体" w:hAnsi="宋体"/>
                <w:highlight w:val="none"/>
              </w:rPr>
            </w:pPr>
            <w:r>
              <w:rPr>
                <w:rFonts w:ascii="宋体" w:hAnsi="宋体"/>
                <w:sz w:val="22"/>
                <w:szCs w:val="22"/>
                <w:highlight w:val="none"/>
              </w:rPr>
              <w:t>投标人应按照招标文件规定格式及内容提供。</w:t>
            </w:r>
          </w:p>
        </w:tc>
      </w:tr>
      <w:tr w14:paraId="28543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0" w:type="dxa"/>
            <w:shd w:val="clear" w:color="auto" w:fill="auto"/>
            <w:vAlign w:val="center"/>
          </w:tcPr>
          <w:p w14:paraId="2B102660">
            <w:pPr>
              <w:numPr>
                <w:ilvl w:val="0"/>
                <w:numId w:val="9"/>
              </w:numPr>
              <w:rPr>
                <w:rFonts w:ascii="宋体" w:hAnsi="宋体"/>
                <w:sz w:val="22"/>
                <w:szCs w:val="22"/>
                <w:highlight w:val="none"/>
              </w:rPr>
            </w:pPr>
          </w:p>
        </w:tc>
        <w:tc>
          <w:tcPr>
            <w:tcW w:w="3638" w:type="dxa"/>
            <w:shd w:val="clear" w:color="auto" w:fill="auto"/>
            <w:vAlign w:val="center"/>
          </w:tcPr>
          <w:p w14:paraId="259CE853">
            <w:pPr>
              <w:rPr>
                <w:rFonts w:ascii="宋体" w:hAnsi="宋体" w:cs="楷体"/>
                <w:kern w:val="0"/>
                <w:sz w:val="22"/>
                <w:szCs w:val="22"/>
                <w:highlight w:val="none"/>
              </w:rPr>
            </w:pPr>
            <w:r>
              <w:rPr>
                <w:rFonts w:hint="eastAsia" w:ascii="宋体" w:hAnsi="宋体" w:cs="楷体"/>
                <w:kern w:val="0"/>
                <w:sz w:val="22"/>
                <w:szCs w:val="22"/>
                <w:highlight w:val="none"/>
              </w:rPr>
              <w:t>投标人有效的</w:t>
            </w:r>
            <w:r>
              <w:rPr>
                <w:rFonts w:ascii="宋体" w:hAnsi="宋体" w:cs="楷体"/>
                <w:kern w:val="0"/>
                <w:sz w:val="22"/>
                <w:szCs w:val="22"/>
                <w:highlight w:val="none"/>
              </w:rPr>
              <w:t>营业执照等证明文件</w:t>
            </w:r>
          </w:p>
        </w:tc>
        <w:tc>
          <w:tcPr>
            <w:tcW w:w="5670" w:type="dxa"/>
            <w:shd w:val="clear" w:color="auto" w:fill="auto"/>
            <w:vAlign w:val="center"/>
          </w:tcPr>
          <w:p w14:paraId="0F897B84">
            <w:pPr>
              <w:rPr>
                <w:rFonts w:ascii="宋体" w:hAnsi="宋体"/>
                <w:sz w:val="22"/>
                <w:szCs w:val="22"/>
                <w:highlight w:val="none"/>
              </w:rPr>
            </w:pPr>
            <w:r>
              <w:rPr>
                <w:rFonts w:ascii="宋体" w:hAnsi="宋体"/>
                <w:sz w:val="22"/>
                <w:szCs w:val="22"/>
                <w:highlight w:val="none"/>
              </w:rPr>
              <w:t>投标人应按照招标文件规定及</w:t>
            </w:r>
            <w:r>
              <w:rPr>
                <w:rFonts w:hint="eastAsia" w:ascii="宋体" w:hAnsi="宋体"/>
                <w:sz w:val="22"/>
                <w:szCs w:val="22"/>
                <w:highlight w:val="none"/>
              </w:rPr>
              <w:t>要求</w:t>
            </w:r>
            <w:r>
              <w:rPr>
                <w:rFonts w:ascii="宋体" w:hAnsi="宋体"/>
                <w:sz w:val="22"/>
                <w:szCs w:val="22"/>
                <w:highlight w:val="none"/>
              </w:rPr>
              <w:t>提供。</w:t>
            </w:r>
          </w:p>
        </w:tc>
      </w:tr>
      <w:tr w14:paraId="2EC15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0" w:type="dxa"/>
            <w:shd w:val="clear" w:color="auto" w:fill="auto"/>
            <w:vAlign w:val="center"/>
          </w:tcPr>
          <w:p w14:paraId="419E9C1B">
            <w:pPr>
              <w:numPr>
                <w:ilvl w:val="0"/>
                <w:numId w:val="9"/>
              </w:numPr>
              <w:rPr>
                <w:rFonts w:ascii="宋体" w:hAnsi="宋体"/>
                <w:sz w:val="22"/>
                <w:szCs w:val="22"/>
                <w:highlight w:val="none"/>
              </w:rPr>
            </w:pPr>
          </w:p>
        </w:tc>
        <w:tc>
          <w:tcPr>
            <w:tcW w:w="3638" w:type="dxa"/>
            <w:shd w:val="clear" w:color="auto" w:fill="auto"/>
            <w:vAlign w:val="center"/>
          </w:tcPr>
          <w:p w14:paraId="7CD788BA">
            <w:pPr>
              <w:rPr>
                <w:rFonts w:ascii="宋体" w:hAnsi="宋体" w:cs="楷体"/>
                <w:kern w:val="0"/>
                <w:sz w:val="22"/>
                <w:szCs w:val="22"/>
                <w:highlight w:val="none"/>
              </w:rPr>
            </w:pPr>
            <w:r>
              <w:rPr>
                <w:rFonts w:hint="eastAsia" w:ascii="宋体" w:hAnsi="宋体" w:cs="楷体"/>
                <w:kern w:val="0"/>
                <w:sz w:val="22"/>
                <w:szCs w:val="22"/>
                <w:highlight w:val="none"/>
              </w:rPr>
              <w:t>落实政府采购政策需满足的资格要求</w:t>
            </w:r>
          </w:p>
        </w:tc>
        <w:tc>
          <w:tcPr>
            <w:tcW w:w="5670" w:type="dxa"/>
            <w:shd w:val="clear" w:color="auto" w:fill="auto"/>
            <w:vAlign w:val="center"/>
          </w:tcPr>
          <w:p w14:paraId="39312E13">
            <w:pPr>
              <w:widowControl/>
              <w:wordWrap w:val="0"/>
              <w:rPr>
                <w:rFonts w:ascii="宋体" w:hAnsi="宋体" w:cs="宋体"/>
                <w:spacing w:val="6"/>
                <w:sz w:val="22"/>
                <w:szCs w:val="22"/>
                <w:highlight w:val="none"/>
              </w:rPr>
            </w:pPr>
            <w:r>
              <w:rPr>
                <w:rFonts w:hint="eastAsia" w:ascii="宋体" w:hAnsi="宋体" w:cs="楷体"/>
                <w:b/>
                <w:kern w:val="0"/>
                <w:sz w:val="22"/>
                <w:szCs w:val="22"/>
                <w:highlight w:val="none"/>
              </w:rPr>
              <w:sym w:font="Wingdings" w:char="F0FE"/>
            </w:r>
            <w:r>
              <w:rPr>
                <w:rFonts w:hint="eastAsia" w:ascii="宋体" w:hAnsi="宋体" w:cs="楷体"/>
                <w:b/>
                <w:bCs/>
                <w:kern w:val="0"/>
                <w:sz w:val="22"/>
                <w:szCs w:val="22"/>
                <w:highlight w:val="none"/>
              </w:rPr>
              <w:t>未要求</w:t>
            </w:r>
          </w:p>
        </w:tc>
      </w:tr>
      <w:tr w14:paraId="3EB71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0" w:type="dxa"/>
            <w:shd w:val="clear" w:color="auto" w:fill="auto"/>
            <w:vAlign w:val="center"/>
          </w:tcPr>
          <w:p w14:paraId="49C2B664">
            <w:pPr>
              <w:numPr>
                <w:ilvl w:val="0"/>
                <w:numId w:val="9"/>
              </w:numPr>
              <w:rPr>
                <w:rFonts w:ascii="宋体" w:hAnsi="宋体"/>
                <w:sz w:val="22"/>
                <w:szCs w:val="22"/>
                <w:highlight w:val="none"/>
              </w:rPr>
            </w:pPr>
          </w:p>
        </w:tc>
        <w:tc>
          <w:tcPr>
            <w:tcW w:w="3638" w:type="dxa"/>
            <w:shd w:val="clear" w:color="auto" w:fill="auto"/>
            <w:vAlign w:val="center"/>
          </w:tcPr>
          <w:p w14:paraId="4DDBE63B">
            <w:pPr>
              <w:rPr>
                <w:rFonts w:ascii="宋体" w:hAnsi="宋体" w:cs="楷体"/>
                <w:kern w:val="0"/>
                <w:sz w:val="22"/>
                <w:szCs w:val="22"/>
                <w:highlight w:val="none"/>
              </w:rPr>
            </w:pPr>
            <w:r>
              <w:rPr>
                <w:rFonts w:hint="eastAsia" w:ascii="宋体" w:hAnsi="宋体" w:cs="楷体"/>
                <w:kern w:val="0"/>
                <w:sz w:val="22"/>
                <w:szCs w:val="22"/>
                <w:highlight w:val="none"/>
              </w:rPr>
              <w:t>本项目的特定资格要求</w:t>
            </w:r>
          </w:p>
        </w:tc>
        <w:tc>
          <w:tcPr>
            <w:tcW w:w="5670" w:type="dxa"/>
            <w:shd w:val="clear" w:color="auto" w:fill="auto"/>
            <w:vAlign w:val="center"/>
          </w:tcPr>
          <w:p w14:paraId="081C3F5A">
            <w:pPr>
              <w:rPr>
                <w:rFonts w:ascii="宋体" w:hAnsi="宋体"/>
                <w:sz w:val="22"/>
                <w:szCs w:val="22"/>
                <w:highlight w:val="none"/>
              </w:rPr>
            </w:pPr>
            <w:r>
              <w:rPr>
                <w:rFonts w:hint="eastAsia" w:ascii="宋体" w:hAnsi="宋体" w:cs="楷体"/>
                <w:b/>
                <w:kern w:val="0"/>
                <w:sz w:val="22"/>
                <w:szCs w:val="22"/>
                <w:highlight w:val="none"/>
              </w:rPr>
              <w:sym w:font="Wingdings" w:char="F0FE"/>
            </w:r>
            <w:r>
              <w:rPr>
                <w:rFonts w:hint="eastAsia" w:ascii="宋体" w:hAnsi="宋体" w:cs="楷体"/>
                <w:b/>
                <w:bCs/>
                <w:kern w:val="0"/>
                <w:sz w:val="22"/>
                <w:szCs w:val="22"/>
                <w:highlight w:val="none"/>
              </w:rPr>
              <w:t>未要求</w:t>
            </w:r>
          </w:p>
        </w:tc>
      </w:tr>
      <w:tr w14:paraId="445CC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0" w:type="dxa"/>
            <w:shd w:val="clear" w:color="auto" w:fill="auto"/>
            <w:vAlign w:val="center"/>
          </w:tcPr>
          <w:p w14:paraId="103952BB">
            <w:pPr>
              <w:numPr>
                <w:ilvl w:val="0"/>
                <w:numId w:val="9"/>
              </w:numPr>
              <w:rPr>
                <w:rFonts w:ascii="宋体" w:hAnsi="宋体"/>
                <w:sz w:val="22"/>
                <w:szCs w:val="22"/>
                <w:highlight w:val="none"/>
              </w:rPr>
            </w:pPr>
          </w:p>
        </w:tc>
        <w:tc>
          <w:tcPr>
            <w:tcW w:w="3638" w:type="dxa"/>
            <w:shd w:val="clear" w:color="auto" w:fill="auto"/>
            <w:vAlign w:val="center"/>
          </w:tcPr>
          <w:p w14:paraId="0227782D">
            <w:pPr>
              <w:rPr>
                <w:rFonts w:ascii="宋体" w:hAnsi="宋体" w:cs="楷体"/>
                <w:kern w:val="0"/>
                <w:sz w:val="22"/>
                <w:szCs w:val="22"/>
                <w:highlight w:val="none"/>
              </w:rPr>
            </w:pPr>
            <w:r>
              <w:rPr>
                <w:rFonts w:hint="eastAsia" w:ascii="宋体" w:hAnsi="宋体" w:cs="楷体"/>
                <w:kern w:val="0"/>
                <w:sz w:val="22"/>
                <w:szCs w:val="22"/>
                <w:highlight w:val="none"/>
              </w:rPr>
              <w:t>投标人信用记录</w:t>
            </w:r>
          </w:p>
        </w:tc>
        <w:tc>
          <w:tcPr>
            <w:tcW w:w="5670" w:type="dxa"/>
            <w:shd w:val="clear" w:color="auto" w:fill="auto"/>
            <w:vAlign w:val="center"/>
          </w:tcPr>
          <w:p w14:paraId="3F39F837">
            <w:pPr>
              <w:rPr>
                <w:rFonts w:ascii="宋体" w:hAnsi="宋体"/>
                <w:szCs w:val="21"/>
                <w:highlight w:val="none"/>
              </w:rPr>
            </w:pPr>
            <w:r>
              <w:rPr>
                <w:rFonts w:hint="eastAsia" w:ascii="宋体" w:hAnsi="宋体" w:cs="宋体"/>
                <w:b/>
                <w:bCs/>
                <w:spacing w:val="6"/>
                <w:sz w:val="22"/>
                <w:szCs w:val="22"/>
                <w:highlight w:val="none"/>
              </w:rPr>
              <w:t>根据财库[2016]125号《</w:t>
            </w:r>
            <w:r>
              <w:rPr>
                <w:rFonts w:hint="eastAsia" w:ascii="宋体" w:hAnsi="宋体" w:cs="宋体"/>
                <w:b/>
                <w:bCs/>
                <w:spacing w:val="6"/>
                <w:sz w:val="22"/>
                <w:highlight w:val="none"/>
              </w:rPr>
              <w:t>关于在政府采购活动中查询及使用信用记录有关问题的通知》要求，在资格审查时对投标人信用记录进行查询并甄别。</w:t>
            </w:r>
          </w:p>
          <w:p w14:paraId="2DF433B8">
            <w:pPr>
              <w:widowControl/>
              <w:wordWrap w:val="0"/>
              <w:rPr>
                <w:rFonts w:ascii="宋体" w:hAnsi="宋体"/>
                <w:sz w:val="22"/>
                <w:szCs w:val="22"/>
                <w:highlight w:val="none"/>
              </w:rPr>
            </w:pPr>
            <w:r>
              <w:rPr>
                <w:rFonts w:hint="eastAsia" w:ascii="宋体" w:hAnsi="宋体"/>
                <w:sz w:val="22"/>
                <w:szCs w:val="22"/>
                <w:highlight w:val="none"/>
              </w:rPr>
              <w:t>1、投标人信用信息查询的查询渠道：“信用中国”(www.creditchina.gov.cn)；“中国政府采购网”（www.ccgp.gov.cn）。</w:t>
            </w:r>
          </w:p>
          <w:p w14:paraId="0C70ED3E">
            <w:pPr>
              <w:widowControl/>
              <w:wordWrap w:val="0"/>
              <w:rPr>
                <w:rFonts w:ascii="宋体" w:hAnsi="宋体" w:cs="宋体"/>
                <w:kern w:val="0"/>
                <w:sz w:val="22"/>
                <w:szCs w:val="22"/>
                <w:highlight w:val="none"/>
              </w:rPr>
            </w:pPr>
            <w:r>
              <w:rPr>
                <w:rFonts w:hint="eastAsia" w:ascii="宋体" w:hAnsi="宋体"/>
                <w:sz w:val="22"/>
                <w:szCs w:val="22"/>
                <w:highlight w:val="none"/>
              </w:rPr>
              <w:t>2、投标人信用信息查询</w:t>
            </w:r>
            <w:r>
              <w:rPr>
                <w:rFonts w:ascii="宋体" w:hAnsi="宋体"/>
                <w:sz w:val="22"/>
                <w:szCs w:val="22"/>
                <w:highlight w:val="none"/>
              </w:rPr>
              <w:t>截止时点</w:t>
            </w:r>
            <w:r>
              <w:rPr>
                <w:rFonts w:hint="eastAsia" w:ascii="宋体" w:hAnsi="宋体"/>
                <w:sz w:val="22"/>
                <w:szCs w:val="22"/>
                <w:highlight w:val="none"/>
              </w:rPr>
              <w:t>：投标截止时间。</w:t>
            </w:r>
          </w:p>
          <w:p w14:paraId="634A1D5E">
            <w:pPr>
              <w:widowControl/>
              <w:wordWrap w:val="0"/>
              <w:rPr>
                <w:rFonts w:ascii="宋体" w:hAnsi="宋体"/>
                <w:sz w:val="22"/>
                <w:szCs w:val="22"/>
                <w:highlight w:val="none"/>
              </w:rPr>
            </w:pPr>
            <w:r>
              <w:rPr>
                <w:rFonts w:hint="eastAsia" w:ascii="宋体" w:hAnsi="宋体"/>
                <w:sz w:val="22"/>
                <w:szCs w:val="22"/>
                <w:highlight w:val="none"/>
              </w:rPr>
              <w:t>3、投标人信用信息查询记录和证据留存的具体方式：</w:t>
            </w:r>
            <w:r>
              <w:rPr>
                <w:rFonts w:hint="eastAsia" w:ascii="宋体" w:hAnsi="宋体"/>
                <w:b/>
                <w:sz w:val="22"/>
                <w:szCs w:val="22"/>
                <w:highlight w:val="none"/>
              </w:rPr>
              <w:t>网页截图打印</w:t>
            </w:r>
            <w:r>
              <w:rPr>
                <w:rFonts w:hint="eastAsia" w:ascii="宋体" w:hAnsi="宋体"/>
                <w:sz w:val="22"/>
                <w:szCs w:val="22"/>
                <w:highlight w:val="none"/>
              </w:rPr>
              <w:t>；</w:t>
            </w:r>
          </w:p>
          <w:p w14:paraId="2D5581AE">
            <w:pPr>
              <w:widowControl/>
              <w:wordWrap w:val="0"/>
              <w:rPr>
                <w:rFonts w:ascii="宋体" w:hAnsi="宋体" w:cs="楷体"/>
                <w:b/>
                <w:kern w:val="0"/>
                <w:sz w:val="22"/>
                <w:szCs w:val="22"/>
                <w:highlight w:val="none"/>
              </w:rPr>
            </w:pPr>
            <w:r>
              <w:rPr>
                <w:rFonts w:hint="eastAsia" w:ascii="宋体" w:hAnsi="宋体"/>
                <w:sz w:val="22"/>
                <w:szCs w:val="22"/>
                <w:highlight w:val="none"/>
              </w:rPr>
              <w:t>4、信用信息的使用规则：</w:t>
            </w:r>
            <w:r>
              <w:rPr>
                <w:rFonts w:hint="eastAsia" w:ascii="宋体" w:hAnsi="宋体" w:cs="Courier New"/>
                <w:sz w:val="22"/>
                <w:szCs w:val="22"/>
                <w:highlight w:val="none"/>
              </w:rPr>
              <w:t>被“信用中国”网站列入失信被执行人、重大税收违法案件当事人名单，或被“中国政府采购网”列入政府采购严重违法失信行为记录名单中</w:t>
            </w:r>
            <w:r>
              <w:rPr>
                <w:rFonts w:hint="eastAsia" w:ascii="宋体" w:hAnsi="宋体" w:cs="宋体"/>
                <w:kern w:val="0"/>
                <w:sz w:val="22"/>
                <w:szCs w:val="22"/>
                <w:highlight w:val="none"/>
              </w:rPr>
              <w:t>禁止参加政府采购活动期间的</w:t>
            </w:r>
            <w:r>
              <w:rPr>
                <w:rFonts w:hint="eastAsia" w:ascii="宋体" w:hAnsi="宋体" w:cs="Courier New"/>
                <w:sz w:val="22"/>
                <w:szCs w:val="22"/>
                <w:highlight w:val="none"/>
              </w:rPr>
              <w:t>，</w:t>
            </w:r>
            <w:r>
              <w:rPr>
                <w:rFonts w:hint="eastAsia" w:ascii="宋体" w:hAnsi="宋体" w:cs="Courier New"/>
                <w:b/>
                <w:sz w:val="22"/>
                <w:szCs w:val="22"/>
                <w:highlight w:val="none"/>
              </w:rPr>
              <w:t>其资格审查不合格。</w:t>
            </w:r>
            <w:r>
              <w:rPr>
                <w:rFonts w:hint="eastAsia" w:ascii="宋体" w:hAnsi="宋体" w:cs="楷体"/>
                <w:b/>
                <w:kern w:val="0"/>
                <w:sz w:val="22"/>
                <w:szCs w:val="22"/>
                <w:highlight w:val="none"/>
              </w:rPr>
              <w:t>如相关失信记录已失效，投标人须提供相关证明资料。</w:t>
            </w:r>
          </w:p>
        </w:tc>
      </w:tr>
    </w:tbl>
    <w:p w14:paraId="35EE4FD6">
      <w:pPr>
        <w:numPr>
          <w:ilvl w:val="1"/>
          <w:numId w:val="1"/>
        </w:numPr>
        <w:tabs>
          <w:tab w:val="left" w:pos="525"/>
          <w:tab w:val="left" w:pos="635"/>
          <w:tab w:val="left" w:pos="900"/>
        </w:tabs>
        <w:spacing w:line="360" w:lineRule="auto"/>
        <w:rPr>
          <w:rFonts w:ascii="宋体" w:hAnsi="宋体" w:cs="Courier New"/>
          <w:b/>
          <w:bCs/>
          <w:sz w:val="22"/>
          <w:szCs w:val="22"/>
          <w:highlight w:val="none"/>
        </w:rPr>
      </w:pPr>
      <w:r>
        <w:rPr>
          <w:rFonts w:ascii="宋体" w:hAnsi="宋体" w:cs="Courier New"/>
          <w:b/>
          <w:bCs/>
          <w:sz w:val="22"/>
          <w:szCs w:val="22"/>
          <w:highlight w:val="none"/>
        </w:rPr>
        <w:t>有下列情形之一的，资格审查不合格</w:t>
      </w:r>
      <w:r>
        <w:rPr>
          <w:rFonts w:hint="eastAsia" w:ascii="宋体" w:hAnsi="宋体" w:cs="Courier New"/>
          <w:b/>
          <w:bCs/>
          <w:sz w:val="22"/>
          <w:szCs w:val="22"/>
          <w:highlight w:val="none"/>
        </w:rPr>
        <w:t>，其投标无效不再进入评审</w:t>
      </w:r>
      <w:r>
        <w:rPr>
          <w:rFonts w:ascii="宋体" w:hAnsi="宋体" w:cs="Courier New"/>
          <w:b/>
          <w:bCs/>
          <w:sz w:val="22"/>
          <w:szCs w:val="22"/>
          <w:highlight w:val="none"/>
        </w:rPr>
        <w:t>：</w:t>
      </w:r>
    </w:p>
    <w:p w14:paraId="12799811">
      <w:pPr>
        <w:numPr>
          <w:ilvl w:val="0"/>
          <w:numId w:val="10"/>
        </w:numPr>
        <w:tabs>
          <w:tab w:val="left" w:pos="735"/>
          <w:tab w:val="clear" w:pos="420"/>
        </w:tabs>
        <w:spacing w:line="360" w:lineRule="auto"/>
        <w:ind w:left="734" w:leftChars="200" w:hanging="314" w:hangingChars="143"/>
        <w:rPr>
          <w:rFonts w:ascii="宋体" w:hAnsi="宋体"/>
          <w:sz w:val="22"/>
          <w:szCs w:val="22"/>
          <w:highlight w:val="none"/>
        </w:rPr>
      </w:pPr>
      <w:r>
        <w:rPr>
          <w:rFonts w:ascii="宋体" w:hAnsi="宋体"/>
          <w:sz w:val="22"/>
          <w:szCs w:val="22"/>
          <w:highlight w:val="none"/>
        </w:rPr>
        <w:t>不具备招标文件中规定的资格要求；</w:t>
      </w:r>
    </w:p>
    <w:p w14:paraId="5DCB770D">
      <w:pPr>
        <w:numPr>
          <w:ilvl w:val="0"/>
          <w:numId w:val="10"/>
        </w:numPr>
        <w:tabs>
          <w:tab w:val="left" w:pos="735"/>
          <w:tab w:val="clear" w:pos="420"/>
        </w:tabs>
        <w:spacing w:line="360" w:lineRule="auto"/>
        <w:ind w:left="734" w:leftChars="200" w:hanging="314" w:hangingChars="143"/>
        <w:rPr>
          <w:rFonts w:ascii="宋体" w:hAnsi="宋体"/>
          <w:sz w:val="22"/>
          <w:szCs w:val="22"/>
          <w:highlight w:val="none"/>
        </w:rPr>
      </w:pPr>
      <w:r>
        <w:rPr>
          <w:rFonts w:hint="eastAsia" w:ascii="宋体" w:hAnsi="宋体"/>
          <w:sz w:val="22"/>
          <w:szCs w:val="22"/>
          <w:highlight w:val="none"/>
        </w:rPr>
        <w:t>未按照招标文件规定提交投标人的资格文件或提供的资格文件不全的。</w:t>
      </w:r>
    </w:p>
    <w:p w14:paraId="61A3145F">
      <w:pPr>
        <w:numPr>
          <w:ilvl w:val="1"/>
          <w:numId w:val="1"/>
        </w:numPr>
        <w:tabs>
          <w:tab w:val="left" w:pos="525"/>
          <w:tab w:val="left" w:pos="900"/>
        </w:tabs>
        <w:spacing w:line="360" w:lineRule="auto"/>
        <w:rPr>
          <w:rFonts w:ascii="宋体" w:hAnsi="宋体"/>
          <w:sz w:val="22"/>
          <w:highlight w:val="none"/>
        </w:rPr>
      </w:pPr>
      <w:r>
        <w:rPr>
          <w:rFonts w:hint="eastAsia" w:ascii="宋体" w:hAnsi="宋体"/>
          <w:sz w:val="22"/>
          <w:highlight w:val="none"/>
        </w:rPr>
        <w:t>资格审查合格的投标人不足三家的，不进行评标。</w:t>
      </w:r>
    </w:p>
    <w:p w14:paraId="48517ADF">
      <w:pPr>
        <w:numPr>
          <w:ilvl w:val="0"/>
          <w:numId w:val="1"/>
        </w:numPr>
        <w:tabs>
          <w:tab w:val="left" w:pos="525"/>
          <w:tab w:val="left" w:pos="900"/>
        </w:tabs>
        <w:spacing w:line="360" w:lineRule="auto"/>
        <w:rPr>
          <w:rFonts w:ascii="宋体" w:hAnsi="宋体" w:cs="Courier New"/>
          <w:sz w:val="22"/>
          <w:szCs w:val="22"/>
          <w:highlight w:val="none"/>
        </w:rPr>
      </w:pPr>
      <w:bookmarkStart w:id="164" w:name="_Toc209250724"/>
      <w:bookmarkStart w:id="165" w:name="_Toc205005291"/>
      <w:bookmarkStart w:id="166" w:name="_Toc204491322"/>
      <w:bookmarkStart w:id="167" w:name="_Toc205877457"/>
      <w:bookmarkStart w:id="168" w:name="_Toc219538618"/>
      <w:bookmarkStart w:id="169" w:name="_Toc227057038"/>
      <w:bookmarkStart w:id="170" w:name="_Toc205703107"/>
      <w:bookmarkStart w:id="171" w:name="_Toc209261437"/>
      <w:bookmarkStart w:id="172" w:name="_Toc216667825"/>
      <w:bookmarkStart w:id="173" w:name="_Toc218041731"/>
      <w:bookmarkStart w:id="174" w:name="_Toc205004973"/>
      <w:bookmarkStart w:id="175" w:name="_Toc214365795"/>
      <w:bookmarkStart w:id="176" w:name="_Toc204578580"/>
      <w:bookmarkStart w:id="177" w:name="_Toc217460690"/>
      <w:bookmarkStart w:id="178" w:name="_Toc209332638"/>
      <w:bookmarkStart w:id="179" w:name="_Toc210879713"/>
      <w:bookmarkStart w:id="180" w:name="_Toc209251132"/>
      <w:bookmarkStart w:id="181" w:name="_Toc227489892"/>
      <w:bookmarkStart w:id="182" w:name="_Toc207609186"/>
      <w:bookmarkStart w:id="183" w:name="_Toc209261370"/>
      <w:bookmarkStart w:id="184" w:name="_Toc223933226"/>
      <w:bookmarkStart w:id="185" w:name="_Toc205877562"/>
      <w:bookmarkStart w:id="186" w:name="_Toc227056851"/>
      <w:bookmarkStart w:id="187" w:name="_Toc215415535"/>
      <w:bookmarkStart w:id="188" w:name="_Toc223717609"/>
      <w:r>
        <w:rPr>
          <w:rFonts w:ascii="宋体" w:hAnsi="宋体" w:cs="Courier New"/>
          <w:sz w:val="22"/>
          <w:szCs w:val="22"/>
          <w:highlight w:val="none"/>
        </w:rPr>
        <w:t>评标</w:t>
      </w:r>
    </w:p>
    <w:p w14:paraId="78E3883D">
      <w:pPr>
        <w:numPr>
          <w:ilvl w:val="1"/>
          <w:numId w:val="1"/>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评标委员会</w:t>
      </w:r>
    </w:p>
    <w:p w14:paraId="4BEE7416">
      <w:pPr>
        <w:pStyle w:val="230"/>
        <w:numPr>
          <w:ilvl w:val="0"/>
          <w:numId w:val="11"/>
        </w:numPr>
        <w:tabs>
          <w:tab w:val="left" w:pos="525"/>
        </w:tabs>
        <w:spacing w:line="360" w:lineRule="auto"/>
        <w:ind w:firstLineChars="0"/>
        <w:rPr>
          <w:rFonts w:ascii="宋体" w:hAnsi="宋体"/>
          <w:bCs/>
          <w:sz w:val="22"/>
          <w:szCs w:val="22"/>
          <w:highlight w:val="none"/>
        </w:rPr>
      </w:pPr>
      <w:r>
        <w:rPr>
          <w:rFonts w:hint="eastAsia" w:ascii="宋体" w:hAnsi="宋体"/>
          <w:bCs/>
          <w:sz w:val="22"/>
          <w:szCs w:val="22"/>
          <w:highlight w:val="none"/>
        </w:rPr>
        <w:t>采购人依法组建评标委员会，评标委员会的成员在评标过程中必须严格遵守</w:t>
      </w:r>
      <w:r>
        <w:rPr>
          <w:rFonts w:ascii="宋体" w:hAnsi="宋体"/>
          <w:bCs/>
          <w:sz w:val="22"/>
          <w:szCs w:val="22"/>
          <w:highlight w:val="none"/>
        </w:rPr>
        <w:t>《政府采购法》</w:t>
      </w:r>
      <w:r>
        <w:rPr>
          <w:rFonts w:hint="eastAsia" w:ascii="宋体" w:hAnsi="宋体"/>
          <w:bCs/>
          <w:sz w:val="22"/>
          <w:szCs w:val="22"/>
          <w:highlight w:val="none"/>
        </w:rPr>
        <w:t>等有关法律、法规的规定。</w:t>
      </w:r>
    </w:p>
    <w:p w14:paraId="15E84770">
      <w:pPr>
        <w:pStyle w:val="230"/>
        <w:numPr>
          <w:ilvl w:val="0"/>
          <w:numId w:val="11"/>
        </w:numPr>
        <w:tabs>
          <w:tab w:val="left" w:pos="525"/>
        </w:tabs>
        <w:spacing w:line="360" w:lineRule="auto"/>
        <w:ind w:firstLineChars="0"/>
        <w:rPr>
          <w:rFonts w:ascii="宋体" w:hAnsi="宋体"/>
          <w:bCs/>
          <w:sz w:val="22"/>
          <w:szCs w:val="22"/>
          <w:highlight w:val="none"/>
        </w:rPr>
      </w:pPr>
      <w:r>
        <w:rPr>
          <w:rFonts w:hint="eastAsia" w:ascii="宋体" w:hAnsi="宋体"/>
          <w:bCs/>
          <w:sz w:val="22"/>
          <w:szCs w:val="22"/>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14:paraId="0B094631">
      <w:pPr>
        <w:pStyle w:val="230"/>
        <w:numPr>
          <w:ilvl w:val="0"/>
          <w:numId w:val="11"/>
        </w:numPr>
        <w:tabs>
          <w:tab w:val="left" w:pos="525"/>
        </w:tabs>
        <w:spacing w:line="360" w:lineRule="auto"/>
        <w:ind w:firstLineChars="0"/>
        <w:rPr>
          <w:rFonts w:ascii="宋体" w:hAnsi="宋体" w:cs="Courier New"/>
          <w:bCs/>
          <w:sz w:val="22"/>
          <w:szCs w:val="22"/>
          <w:highlight w:val="none"/>
        </w:rPr>
      </w:pPr>
      <w:r>
        <w:rPr>
          <w:rFonts w:hint="eastAsia" w:ascii="宋体" w:hAnsi="宋体" w:cs="Courier New"/>
          <w:bCs/>
          <w:sz w:val="22"/>
          <w:szCs w:val="22"/>
          <w:highlight w:val="none"/>
        </w:rPr>
        <w:t>评标委员会负责具体评标事务，评标应遵守下列评标纪律：</w:t>
      </w:r>
    </w:p>
    <w:p w14:paraId="7DD6899C">
      <w:pPr>
        <w:tabs>
          <w:tab w:val="left" w:pos="525"/>
        </w:tabs>
        <w:spacing w:line="360" w:lineRule="auto"/>
        <w:ind w:left="527"/>
        <w:rPr>
          <w:rFonts w:ascii="宋体" w:hAnsi="宋体" w:cs="Courier New"/>
          <w:bCs/>
          <w:sz w:val="22"/>
          <w:szCs w:val="22"/>
          <w:highlight w:val="none"/>
        </w:rPr>
      </w:pPr>
      <w:r>
        <w:rPr>
          <w:rFonts w:hint="eastAsia" w:ascii="宋体" w:hAnsi="宋体" w:cs="Courier New"/>
          <w:bCs/>
          <w:sz w:val="22"/>
          <w:szCs w:val="22"/>
          <w:highlight w:val="none"/>
        </w:rPr>
        <w:t>①评标情况不得私自外泄，有关信息由招标采购单位统一对外发布。</w:t>
      </w:r>
    </w:p>
    <w:p w14:paraId="2A6A0E46">
      <w:pPr>
        <w:tabs>
          <w:tab w:val="left" w:pos="525"/>
        </w:tabs>
        <w:spacing w:line="360" w:lineRule="auto"/>
        <w:ind w:left="527"/>
        <w:rPr>
          <w:rFonts w:ascii="宋体" w:hAnsi="宋体" w:cs="Courier New"/>
          <w:bCs/>
          <w:sz w:val="22"/>
          <w:szCs w:val="22"/>
          <w:highlight w:val="none"/>
        </w:rPr>
      </w:pPr>
      <w:r>
        <w:rPr>
          <w:rFonts w:hint="eastAsia" w:ascii="宋体" w:hAnsi="宋体" w:cs="Courier New"/>
          <w:bCs/>
          <w:sz w:val="22"/>
          <w:szCs w:val="22"/>
          <w:highlight w:val="none"/>
        </w:rPr>
        <w:t>②对招标采购单位或投标人提供的要求保密的资料，不得摘记翻印和外传。</w:t>
      </w:r>
    </w:p>
    <w:p w14:paraId="41B25CC9">
      <w:pPr>
        <w:tabs>
          <w:tab w:val="left" w:pos="525"/>
        </w:tabs>
        <w:spacing w:line="360" w:lineRule="auto"/>
        <w:ind w:left="527"/>
        <w:rPr>
          <w:rFonts w:ascii="宋体" w:hAnsi="宋体" w:cs="Courier New"/>
          <w:bCs/>
          <w:sz w:val="22"/>
          <w:szCs w:val="22"/>
          <w:highlight w:val="none"/>
        </w:rPr>
      </w:pPr>
      <w:r>
        <w:rPr>
          <w:rFonts w:hint="eastAsia" w:ascii="宋体" w:hAnsi="宋体" w:cs="Courier New"/>
          <w:bCs/>
          <w:sz w:val="22"/>
          <w:szCs w:val="22"/>
          <w:highlight w:val="none"/>
        </w:rPr>
        <w:t>③不得收受投标人或有关人员的任何礼物，不得串联鼓动其他人袒护某投标人。若与投标人存在利害关系，则应主动声明并回避。</w:t>
      </w:r>
    </w:p>
    <w:p w14:paraId="729E5E30">
      <w:pPr>
        <w:tabs>
          <w:tab w:val="left" w:pos="525"/>
        </w:tabs>
        <w:spacing w:line="360" w:lineRule="auto"/>
        <w:ind w:left="527"/>
        <w:rPr>
          <w:rFonts w:ascii="宋体" w:hAnsi="宋体" w:cs="Courier New"/>
          <w:bCs/>
          <w:sz w:val="22"/>
          <w:szCs w:val="22"/>
          <w:highlight w:val="none"/>
        </w:rPr>
      </w:pPr>
      <w:r>
        <w:rPr>
          <w:rFonts w:hint="eastAsia" w:ascii="宋体" w:hAnsi="宋体" w:cs="Courier New"/>
          <w:bCs/>
          <w:sz w:val="22"/>
          <w:szCs w:val="22"/>
          <w:highlight w:val="none"/>
        </w:rPr>
        <w:t>④全体评委应按照招标文件规定进行评标，一切认定事项应查有实据且不得弄虚作假。</w:t>
      </w:r>
    </w:p>
    <w:p w14:paraId="4090491B">
      <w:pPr>
        <w:tabs>
          <w:tab w:val="left" w:pos="525"/>
        </w:tabs>
        <w:spacing w:line="360" w:lineRule="auto"/>
        <w:ind w:left="527"/>
        <w:rPr>
          <w:rFonts w:ascii="宋体" w:hAnsi="宋体" w:cs="Courier New"/>
          <w:bCs/>
          <w:sz w:val="22"/>
          <w:szCs w:val="22"/>
          <w:highlight w:val="none"/>
        </w:rPr>
      </w:pPr>
      <w:r>
        <w:rPr>
          <w:rFonts w:hint="eastAsia" w:ascii="宋体" w:hAnsi="宋体" w:cs="Courier New"/>
          <w:bCs/>
          <w:sz w:val="22"/>
          <w:szCs w:val="22"/>
          <w:highlight w:val="none"/>
        </w:rPr>
        <w:t>⑤评标中应充分发扬民主，推荐中标候选人或确定中标人后要服从评标报告。</w:t>
      </w:r>
    </w:p>
    <w:p w14:paraId="7A515969">
      <w:pPr>
        <w:tabs>
          <w:tab w:val="left" w:pos="525"/>
        </w:tabs>
        <w:spacing w:line="360" w:lineRule="auto"/>
        <w:ind w:firstLine="211" w:firstLineChars="100"/>
        <w:rPr>
          <w:rFonts w:ascii="宋体" w:hAnsi="宋体"/>
          <w:b/>
          <w:sz w:val="22"/>
          <w:szCs w:val="22"/>
          <w:highlight w:val="none"/>
          <w:u w:val="single"/>
        </w:rPr>
      </w:pPr>
      <w:r>
        <w:rPr>
          <w:rFonts w:hint="eastAsia" w:ascii="宋体" w:hAnsi="宋体" w:cs="仿宋"/>
          <w:b/>
          <w:bCs/>
          <w:highlight w:val="none"/>
          <w:u w:val="single"/>
        </w:rPr>
        <w:t>▲</w:t>
      </w:r>
      <w:r>
        <w:rPr>
          <w:rFonts w:hint="eastAsia" w:ascii="宋体" w:hAnsi="宋体"/>
          <w:b/>
          <w:sz w:val="22"/>
          <w:szCs w:val="22"/>
          <w:highlight w:val="none"/>
          <w:u w:val="single"/>
        </w:rPr>
        <w:t>对违反评标纪律的评委，将上报监督部门，情节严重的将取消其评委资格，对评标工作造成严重损失者将予以通报批评乃至追究法律责任。</w:t>
      </w:r>
    </w:p>
    <w:p w14:paraId="1DE011B9">
      <w:pPr>
        <w:numPr>
          <w:ilvl w:val="1"/>
          <w:numId w:val="1"/>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评标过程的保密性</w:t>
      </w:r>
    </w:p>
    <w:p w14:paraId="3814B45C">
      <w:pPr>
        <w:tabs>
          <w:tab w:val="left" w:pos="525"/>
        </w:tabs>
        <w:spacing w:line="360" w:lineRule="auto"/>
        <w:ind w:left="527"/>
        <w:rPr>
          <w:rFonts w:ascii="宋体" w:hAnsi="宋体" w:cs="Courier New"/>
          <w:bCs/>
          <w:sz w:val="22"/>
          <w:szCs w:val="22"/>
          <w:highlight w:val="none"/>
        </w:rPr>
      </w:pPr>
      <w:r>
        <w:rPr>
          <w:rFonts w:hint="eastAsia" w:ascii="宋体" w:hAnsi="宋体"/>
          <w:bCs/>
          <w:sz w:val="22"/>
          <w:szCs w:val="22"/>
          <w:highlight w:val="none"/>
        </w:rPr>
        <w:t>开标后直至向中标人授予合同时止，凡与评审有关的资料均不得向投标人及与评标无关人员透露。如果投标人在评标过程中试图向</w:t>
      </w:r>
      <w:bookmarkStart w:id="189" w:name="_Hlk36488786"/>
      <w:r>
        <w:rPr>
          <w:rFonts w:hint="eastAsia" w:ascii="宋体" w:hAnsi="宋体"/>
          <w:bCs/>
          <w:sz w:val="22"/>
          <w:szCs w:val="22"/>
          <w:highlight w:val="none"/>
        </w:rPr>
        <w:t>采购人、采购代理机构或</w:t>
      </w:r>
      <w:bookmarkEnd w:id="189"/>
      <w:bookmarkStart w:id="190" w:name="_Hlk36488792"/>
      <w:r>
        <w:rPr>
          <w:rFonts w:hint="eastAsia" w:ascii="宋体" w:hAnsi="宋体"/>
          <w:sz w:val="22"/>
          <w:szCs w:val="22"/>
          <w:highlight w:val="none"/>
        </w:rPr>
        <w:t>评标委员会</w:t>
      </w:r>
      <w:bookmarkEnd w:id="190"/>
      <w:r>
        <w:rPr>
          <w:rFonts w:hint="eastAsia" w:ascii="宋体" w:hAnsi="宋体"/>
          <w:bCs/>
          <w:sz w:val="22"/>
          <w:szCs w:val="22"/>
          <w:highlight w:val="none"/>
        </w:rPr>
        <w:t>施加影响，其投标将被拒绝。</w:t>
      </w:r>
    </w:p>
    <w:p w14:paraId="0D57F236">
      <w:pPr>
        <w:numPr>
          <w:ilvl w:val="1"/>
          <w:numId w:val="1"/>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符合性审查</w:t>
      </w:r>
    </w:p>
    <w:p w14:paraId="01F3AB5B">
      <w:pPr>
        <w:numPr>
          <w:ilvl w:val="0"/>
          <w:numId w:val="12"/>
        </w:numPr>
        <w:spacing w:line="360" w:lineRule="auto"/>
        <w:ind w:firstLine="0"/>
        <w:rPr>
          <w:rFonts w:ascii="宋体" w:hAnsi="宋体"/>
          <w:sz w:val="22"/>
          <w:szCs w:val="22"/>
          <w:highlight w:val="none"/>
        </w:rPr>
      </w:pPr>
      <w:r>
        <w:rPr>
          <w:rFonts w:hint="eastAsia" w:ascii="宋体" w:hAnsi="宋体"/>
          <w:sz w:val="22"/>
          <w:szCs w:val="22"/>
          <w:highlight w:val="none"/>
        </w:rPr>
        <w:t>评标委员会依据招标文件的实质性要求，对通过资格审查的投标文件进行符合性审查，以确定其是否满足招标文件的实质性要求。</w:t>
      </w:r>
    </w:p>
    <w:p w14:paraId="7C017C33">
      <w:pPr>
        <w:numPr>
          <w:ilvl w:val="0"/>
          <w:numId w:val="12"/>
        </w:numPr>
        <w:spacing w:line="360" w:lineRule="auto"/>
        <w:ind w:firstLine="0"/>
        <w:rPr>
          <w:rFonts w:ascii="宋体" w:hAnsi="宋体"/>
          <w:sz w:val="22"/>
          <w:szCs w:val="22"/>
          <w:highlight w:val="none"/>
        </w:rPr>
      </w:pPr>
      <w:r>
        <w:rPr>
          <w:rFonts w:hint="eastAsia" w:ascii="宋体" w:hAnsi="宋体"/>
          <w:sz w:val="22"/>
          <w:szCs w:val="22"/>
          <w:highlight w:val="none"/>
        </w:rPr>
        <w:t>满足招标文件的实质性要求指投标文件对招标文件实质性要求的响应不存在重大偏差或保留。</w:t>
      </w:r>
      <w:r>
        <w:rPr>
          <w:rFonts w:ascii="宋体" w:hAnsi="宋体"/>
          <w:sz w:val="22"/>
          <w:szCs w:val="22"/>
          <w:highlight w:val="none"/>
        </w:rPr>
        <w:t>重大偏差或保留指影响到招标文件规定的合同范围、合同履行及影响关键质量和性能，或限制了</w:t>
      </w:r>
      <w:r>
        <w:rPr>
          <w:rFonts w:hint="eastAsia" w:ascii="宋体" w:hAnsi="宋体"/>
          <w:sz w:val="22"/>
          <w:szCs w:val="22"/>
          <w:highlight w:val="none"/>
        </w:rPr>
        <w:t>采购人</w:t>
      </w:r>
      <w:r>
        <w:rPr>
          <w:rFonts w:ascii="宋体" w:hAnsi="宋体"/>
          <w:sz w:val="22"/>
          <w:szCs w:val="22"/>
          <w:highlight w:val="none"/>
        </w:rPr>
        <w:t>的权利，或反对、减少投标人的义务，而纠正这些重大偏差或保留将影响到其他提交实质性响应投标的投标人的公平竞争地位。</w:t>
      </w:r>
    </w:p>
    <w:p w14:paraId="6006AEEF">
      <w:pPr>
        <w:numPr>
          <w:ilvl w:val="0"/>
          <w:numId w:val="12"/>
        </w:numPr>
        <w:spacing w:line="360" w:lineRule="auto"/>
        <w:ind w:firstLine="0"/>
        <w:rPr>
          <w:rFonts w:ascii="宋体" w:hAnsi="宋体"/>
          <w:sz w:val="22"/>
          <w:szCs w:val="22"/>
          <w:highlight w:val="none"/>
        </w:rPr>
      </w:pPr>
      <w:r>
        <w:rPr>
          <w:rFonts w:hint="eastAsia" w:ascii="宋体" w:hAnsi="宋体"/>
          <w:b/>
          <w:sz w:val="22"/>
          <w:szCs w:val="22"/>
          <w:highlight w:val="none"/>
        </w:rPr>
        <w:t>评标委员会审查判断投标文件是否满足招标文件的实质性要求仅基于投标文件本身（通过“政府采购云平台”下载的投标文件）而不寻求其他的外部证据。</w:t>
      </w:r>
      <w:r>
        <w:rPr>
          <w:rFonts w:hint="eastAsia" w:ascii="宋体" w:hAnsi="宋体"/>
          <w:sz w:val="22"/>
          <w:szCs w:val="22"/>
          <w:highlight w:val="none"/>
        </w:rPr>
        <w:t>未满足招标文件实质性要求的投标文件将被评标委员会否决（即符合性审查不合格），被否决的投标文件不能通过补充、修改（澄清、说明或补正）等方式重新成为满足招标文件实质性要求的投标文件。</w:t>
      </w:r>
    </w:p>
    <w:p w14:paraId="7B71E1B5">
      <w:pPr>
        <w:numPr>
          <w:ilvl w:val="0"/>
          <w:numId w:val="12"/>
        </w:numPr>
        <w:spacing w:line="360" w:lineRule="auto"/>
        <w:ind w:firstLine="0"/>
        <w:rPr>
          <w:rFonts w:ascii="宋体" w:hAnsi="宋体"/>
          <w:sz w:val="22"/>
          <w:szCs w:val="22"/>
          <w:highlight w:val="none"/>
        </w:rPr>
      </w:pPr>
      <w:r>
        <w:rPr>
          <w:rFonts w:hint="eastAsia" w:ascii="宋体" w:hAnsi="宋体"/>
          <w:sz w:val="22"/>
          <w:szCs w:val="22"/>
          <w:highlight w:val="none"/>
        </w:rPr>
        <w:t>评标委员会对所有投标人都执行相同的程序和标准。</w:t>
      </w:r>
    </w:p>
    <w:p w14:paraId="5AECE99E">
      <w:pPr>
        <w:numPr>
          <w:ilvl w:val="0"/>
          <w:numId w:val="12"/>
        </w:numPr>
        <w:spacing w:line="360" w:lineRule="auto"/>
        <w:ind w:firstLine="0"/>
        <w:rPr>
          <w:rFonts w:ascii="宋体" w:hAnsi="宋体"/>
          <w:b/>
          <w:sz w:val="22"/>
          <w:szCs w:val="22"/>
          <w:highlight w:val="none"/>
        </w:rPr>
      </w:pPr>
      <w:r>
        <w:rPr>
          <w:rFonts w:hint="eastAsia" w:ascii="宋体" w:hAnsi="宋体"/>
          <w:b/>
          <w:sz w:val="22"/>
          <w:szCs w:val="22"/>
          <w:highlight w:val="none"/>
        </w:rPr>
        <w:t>有下列情形之一的，符合性审查不合格，对其作无效标处理：</w:t>
      </w:r>
      <w:r>
        <w:rPr>
          <w:rFonts w:ascii="宋体" w:hAnsi="宋体"/>
          <w:b/>
          <w:sz w:val="22"/>
          <w:szCs w:val="22"/>
          <w:highlight w:val="none"/>
        </w:rPr>
        <w:t xml:space="preserve"> </w:t>
      </w:r>
    </w:p>
    <w:p w14:paraId="4DCB3ED2">
      <w:pPr>
        <w:numPr>
          <w:ilvl w:val="0"/>
          <w:numId w:val="13"/>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违反招标文件中载明“</w:t>
      </w:r>
      <w:r>
        <w:rPr>
          <w:rFonts w:hint="eastAsia" w:ascii="宋体" w:hAnsi="宋体"/>
          <w:b/>
          <w:bCs/>
          <w:sz w:val="22"/>
          <w:szCs w:val="22"/>
          <w:highlight w:val="none"/>
        </w:rPr>
        <w:t>投标无效</w:t>
      </w:r>
      <w:r>
        <w:rPr>
          <w:rFonts w:hint="eastAsia" w:ascii="宋体" w:hAnsi="宋体"/>
          <w:bCs/>
          <w:sz w:val="22"/>
          <w:szCs w:val="22"/>
          <w:highlight w:val="none"/>
        </w:rPr>
        <w:t>”条款的规定；</w:t>
      </w:r>
    </w:p>
    <w:p w14:paraId="0935D1C3">
      <w:pPr>
        <w:numPr>
          <w:ilvl w:val="0"/>
          <w:numId w:val="13"/>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投标文件</w:t>
      </w:r>
      <w:r>
        <w:rPr>
          <w:rFonts w:ascii="宋体" w:hAnsi="宋体"/>
          <w:sz w:val="22"/>
          <w:szCs w:val="22"/>
          <w:highlight w:val="none"/>
        </w:rPr>
        <w:t>未按招标文件要求签署、盖章的</w:t>
      </w:r>
      <w:r>
        <w:rPr>
          <w:rFonts w:hint="eastAsia" w:ascii="宋体" w:hAnsi="宋体"/>
          <w:sz w:val="22"/>
          <w:szCs w:val="22"/>
          <w:highlight w:val="none"/>
        </w:rPr>
        <w:t>；</w:t>
      </w:r>
    </w:p>
    <w:p w14:paraId="70BCE6A6">
      <w:pPr>
        <w:numPr>
          <w:ilvl w:val="0"/>
          <w:numId w:val="13"/>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明显不符合招标文件中主要采购内容、采购标准、采购要求的；</w:t>
      </w:r>
    </w:p>
    <w:p w14:paraId="19E97315">
      <w:pPr>
        <w:numPr>
          <w:ilvl w:val="0"/>
          <w:numId w:val="13"/>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投标文件内容不全或关键字迹模糊无法辨认的；</w:t>
      </w:r>
    </w:p>
    <w:p w14:paraId="2BF09B03">
      <w:pPr>
        <w:numPr>
          <w:ilvl w:val="0"/>
          <w:numId w:val="13"/>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在资格文件或商务技术文件中出现投标报价的；</w:t>
      </w:r>
    </w:p>
    <w:p w14:paraId="48778646">
      <w:pPr>
        <w:numPr>
          <w:ilvl w:val="0"/>
          <w:numId w:val="13"/>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报价超过</w:t>
      </w:r>
      <w:r>
        <w:rPr>
          <w:rFonts w:hint="eastAsia" w:ascii="宋体" w:hAnsi="宋体"/>
          <w:sz w:val="22"/>
          <w:szCs w:val="22"/>
          <w:highlight w:val="none"/>
        </w:rPr>
        <w:t>采购预算或最高限价</w:t>
      </w:r>
      <w:r>
        <w:rPr>
          <w:rFonts w:hint="eastAsia" w:ascii="宋体" w:hAnsi="宋体"/>
          <w:bCs/>
          <w:sz w:val="22"/>
          <w:szCs w:val="22"/>
          <w:highlight w:val="none"/>
        </w:rPr>
        <w:t>的；</w:t>
      </w:r>
    </w:p>
    <w:p w14:paraId="08F12658">
      <w:pPr>
        <w:numPr>
          <w:ilvl w:val="0"/>
          <w:numId w:val="13"/>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投标文件附有采购人不能接受的条件；</w:t>
      </w:r>
    </w:p>
    <w:p w14:paraId="2658ACA7">
      <w:pPr>
        <w:numPr>
          <w:ilvl w:val="0"/>
          <w:numId w:val="13"/>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授权代表没有单位负责人合法、有效委托的；</w:t>
      </w:r>
    </w:p>
    <w:p w14:paraId="32E43C5D">
      <w:pPr>
        <w:numPr>
          <w:ilvl w:val="0"/>
          <w:numId w:val="13"/>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电子投标文件解密失败或未按时解密的，且未在规定时间内提交备份投标文件的；</w:t>
      </w:r>
    </w:p>
    <w:p w14:paraId="78EC9060">
      <w:pPr>
        <w:numPr>
          <w:ilvl w:val="0"/>
          <w:numId w:val="13"/>
        </w:numPr>
        <w:tabs>
          <w:tab w:val="left" w:pos="525"/>
        </w:tabs>
        <w:spacing w:line="360" w:lineRule="auto"/>
        <w:rPr>
          <w:rFonts w:ascii="宋体" w:hAnsi="宋体"/>
          <w:bCs/>
          <w:sz w:val="22"/>
          <w:szCs w:val="22"/>
          <w:highlight w:val="none"/>
        </w:rPr>
      </w:pPr>
      <w:bookmarkStart w:id="191" w:name="_Hlk100427349"/>
      <w:r>
        <w:rPr>
          <w:rFonts w:hint="eastAsia" w:ascii="宋体" w:hAnsi="宋体"/>
          <w:bCs/>
          <w:sz w:val="22"/>
          <w:szCs w:val="22"/>
          <w:highlight w:val="none"/>
        </w:rPr>
        <w:t>投标人提供虚假材料投标的；</w:t>
      </w:r>
    </w:p>
    <w:p w14:paraId="266BB5DA">
      <w:pPr>
        <w:numPr>
          <w:ilvl w:val="0"/>
          <w:numId w:val="13"/>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投标人有恶意串通、妨碍其他投标人的竞争行为、损害采购人或者其他投标人的合法权益情形的；</w:t>
      </w:r>
    </w:p>
    <w:bookmarkEnd w:id="191"/>
    <w:p w14:paraId="0D2C3328">
      <w:pPr>
        <w:numPr>
          <w:ilvl w:val="0"/>
          <w:numId w:val="13"/>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评标委员会认定不符合法律、法规和招标文件中规定的其他实质性要求的。</w:t>
      </w:r>
    </w:p>
    <w:p w14:paraId="73B33987">
      <w:pPr>
        <w:numPr>
          <w:ilvl w:val="1"/>
          <w:numId w:val="1"/>
        </w:numPr>
        <w:tabs>
          <w:tab w:val="left" w:pos="525"/>
          <w:tab w:val="left" w:pos="635"/>
          <w:tab w:val="left" w:pos="900"/>
        </w:tabs>
        <w:spacing w:line="360" w:lineRule="auto"/>
        <w:rPr>
          <w:rFonts w:ascii="宋体" w:hAnsi="宋体" w:cs="Courier New"/>
          <w:b/>
          <w:sz w:val="22"/>
          <w:szCs w:val="22"/>
          <w:highlight w:val="none"/>
        </w:rPr>
      </w:pPr>
      <w:r>
        <w:rPr>
          <w:rFonts w:hint="eastAsia" w:ascii="宋体" w:hAnsi="宋体" w:cs="Courier New"/>
          <w:b/>
          <w:sz w:val="22"/>
          <w:szCs w:val="22"/>
          <w:highlight w:val="none"/>
        </w:rPr>
        <w:t>有下列情形之一的，视为投标人串通投标，其</w:t>
      </w:r>
      <w:r>
        <w:rPr>
          <w:rFonts w:hint="eastAsia" w:ascii="宋体" w:hAnsi="宋体" w:cs="Courier New"/>
          <w:b/>
          <w:bCs/>
          <w:sz w:val="22"/>
          <w:szCs w:val="22"/>
          <w:highlight w:val="none"/>
        </w:rPr>
        <w:t>投标无效</w:t>
      </w:r>
      <w:r>
        <w:rPr>
          <w:rFonts w:hint="eastAsia" w:ascii="宋体" w:hAnsi="宋体" w:cs="Courier New"/>
          <w:b/>
          <w:sz w:val="22"/>
          <w:szCs w:val="22"/>
          <w:highlight w:val="none"/>
        </w:rPr>
        <w:t>：</w:t>
      </w:r>
    </w:p>
    <w:p w14:paraId="3DB2F27E">
      <w:pPr>
        <w:numPr>
          <w:ilvl w:val="0"/>
          <w:numId w:val="14"/>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不同投标人的投标文件由同一单位或个人编制；</w:t>
      </w:r>
    </w:p>
    <w:p w14:paraId="150DAEC2">
      <w:pPr>
        <w:numPr>
          <w:ilvl w:val="0"/>
          <w:numId w:val="14"/>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不同投标人委托同一单位或个人办理投标事宜；</w:t>
      </w:r>
    </w:p>
    <w:p w14:paraId="48F5F9EE">
      <w:pPr>
        <w:numPr>
          <w:ilvl w:val="0"/>
          <w:numId w:val="14"/>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不同投标人的投标文件载明的项目管理成员或联系人员为同一人；</w:t>
      </w:r>
    </w:p>
    <w:p w14:paraId="1F81F4CE">
      <w:pPr>
        <w:numPr>
          <w:ilvl w:val="0"/>
          <w:numId w:val="14"/>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不同投标人的投标文件异常一致或投标报价呈规律性差异；</w:t>
      </w:r>
    </w:p>
    <w:p w14:paraId="57995867">
      <w:pPr>
        <w:numPr>
          <w:ilvl w:val="0"/>
          <w:numId w:val="14"/>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不同投标人的投标文件相互混装；</w:t>
      </w:r>
    </w:p>
    <w:p w14:paraId="30E151E4">
      <w:pPr>
        <w:numPr>
          <w:ilvl w:val="0"/>
          <w:numId w:val="14"/>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有关法律、法规和规章及招标文件规定的其他串通投标情形。</w:t>
      </w:r>
    </w:p>
    <w:p w14:paraId="4F0F75F0">
      <w:pPr>
        <w:numPr>
          <w:ilvl w:val="1"/>
          <w:numId w:val="1"/>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澄清有关问题</w:t>
      </w:r>
    </w:p>
    <w:p w14:paraId="1F2C576C">
      <w:pPr>
        <w:numPr>
          <w:ilvl w:val="0"/>
          <w:numId w:val="15"/>
        </w:numPr>
        <w:spacing w:line="360" w:lineRule="auto"/>
        <w:ind w:firstLine="0"/>
        <w:rPr>
          <w:rFonts w:ascii="宋体" w:hAnsi="宋体"/>
          <w:sz w:val="22"/>
          <w:szCs w:val="22"/>
          <w:highlight w:val="none"/>
        </w:rPr>
      </w:pPr>
      <w:r>
        <w:rPr>
          <w:rFonts w:hint="eastAsia" w:ascii="宋体" w:hAnsi="宋体"/>
          <w:sz w:val="22"/>
          <w:szCs w:val="22"/>
          <w:highlight w:val="none"/>
        </w:rPr>
        <w:t>投标文件中有含义不明确、同类问题表述不一致或有明显文字和计算错误的内容，评标委员会将以书面形式（或通过“政府采购云平台”在线询标）要求投标人作出必要的澄清、说明或补正。</w:t>
      </w:r>
    </w:p>
    <w:p w14:paraId="03229EE8">
      <w:pPr>
        <w:numPr>
          <w:ilvl w:val="0"/>
          <w:numId w:val="15"/>
        </w:numPr>
        <w:spacing w:line="360" w:lineRule="auto"/>
        <w:ind w:firstLine="0"/>
        <w:rPr>
          <w:rFonts w:ascii="宋体" w:hAnsi="宋体"/>
          <w:sz w:val="22"/>
          <w:szCs w:val="22"/>
          <w:highlight w:val="none"/>
        </w:rPr>
      </w:pPr>
      <w:r>
        <w:rPr>
          <w:rFonts w:hint="eastAsia" w:ascii="宋体" w:hAnsi="宋体"/>
          <w:sz w:val="22"/>
          <w:szCs w:val="22"/>
          <w:highlight w:val="none"/>
        </w:rPr>
        <w:t>投标人的澄清、说明或补正应由投标人代表在评标委员会规定的时间内（一般在半个小时左右，具体要求将根据实际情况约定）以书面形式（或通过“政府采购云平台”在线答复）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14:paraId="6236E77F">
      <w:pPr>
        <w:numPr>
          <w:ilvl w:val="0"/>
          <w:numId w:val="15"/>
        </w:numPr>
        <w:spacing w:line="360" w:lineRule="auto"/>
        <w:ind w:firstLine="0"/>
        <w:rPr>
          <w:rFonts w:ascii="宋体" w:hAnsi="宋体"/>
          <w:sz w:val="22"/>
          <w:szCs w:val="22"/>
          <w:highlight w:val="none"/>
        </w:rPr>
      </w:pPr>
      <w:r>
        <w:rPr>
          <w:rFonts w:hint="eastAsia" w:ascii="宋体" w:hAnsi="宋体"/>
          <w:sz w:val="22"/>
          <w:szCs w:val="22"/>
          <w:highlight w:val="none"/>
        </w:rPr>
        <w:t>投标文件报价出现前后不一致的，按照下列规定修正：</w:t>
      </w:r>
    </w:p>
    <w:p w14:paraId="6F5BDC56">
      <w:pPr>
        <w:numPr>
          <w:ilvl w:val="0"/>
          <w:numId w:val="16"/>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开标一览表内容与投标文件中相应内容不一致的，以开标一览表为准；</w:t>
      </w:r>
    </w:p>
    <w:p w14:paraId="3220C0FC">
      <w:pPr>
        <w:numPr>
          <w:ilvl w:val="0"/>
          <w:numId w:val="16"/>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大写金额和小写金额不一致的，以大写金额为准；</w:t>
      </w:r>
    </w:p>
    <w:p w14:paraId="2D985332">
      <w:pPr>
        <w:numPr>
          <w:ilvl w:val="0"/>
          <w:numId w:val="16"/>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单价金额小数点或百分比有明显错位的，以开标一览表的总价为准，并修改单价；</w:t>
      </w:r>
    </w:p>
    <w:p w14:paraId="47BC823A">
      <w:pPr>
        <w:numPr>
          <w:ilvl w:val="0"/>
          <w:numId w:val="16"/>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总价金额与按照单价汇总金额不一致的，以单价金额计算结果为准。</w:t>
      </w:r>
    </w:p>
    <w:p w14:paraId="25DCB57A">
      <w:pPr>
        <w:tabs>
          <w:tab w:val="left" w:pos="525"/>
        </w:tabs>
        <w:spacing w:line="360" w:lineRule="auto"/>
        <w:ind w:firstLine="442" w:firstLineChars="200"/>
        <w:rPr>
          <w:rFonts w:ascii="宋体" w:hAnsi="宋体"/>
          <w:b/>
          <w:bCs/>
          <w:sz w:val="22"/>
          <w:szCs w:val="22"/>
          <w:highlight w:val="none"/>
          <w:u w:val="single"/>
        </w:rPr>
      </w:pPr>
      <w:r>
        <w:rPr>
          <w:rFonts w:hint="eastAsia" w:ascii="宋体" w:hAnsi="宋体" w:cs="Courier New"/>
          <w:b/>
          <w:bCs/>
          <w:sz w:val="22"/>
          <w:szCs w:val="22"/>
          <w:highlight w:val="none"/>
          <w:u w:val="single"/>
        </w:rPr>
        <w:t>▲</w:t>
      </w:r>
      <w:r>
        <w:rPr>
          <w:rFonts w:hint="eastAsia" w:ascii="宋体" w:hAnsi="宋体"/>
          <w:b/>
          <w:bCs/>
          <w:sz w:val="22"/>
          <w:szCs w:val="22"/>
          <w:highlight w:val="none"/>
          <w:u w:val="single"/>
        </w:rPr>
        <w:t>同时出现两种以上不一致的，按照本款规定的顺序修正。修正后的报价应按照本条中第1）、2）款规定经投标人确认后产生约束力，投标人不确认的，其投标无效。</w:t>
      </w:r>
    </w:p>
    <w:p w14:paraId="1F2ACAF6">
      <w:pPr>
        <w:numPr>
          <w:ilvl w:val="0"/>
          <w:numId w:val="15"/>
        </w:numPr>
        <w:spacing w:line="360" w:lineRule="auto"/>
        <w:ind w:firstLine="0"/>
        <w:rPr>
          <w:rFonts w:ascii="宋体" w:hAnsi="宋体"/>
          <w:b/>
          <w:bCs/>
          <w:sz w:val="22"/>
          <w:szCs w:val="22"/>
          <w:highlight w:val="none"/>
        </w:rPr>
      </w:pPr>
      <w:r>
        <w:rPr>
          <w:rFonts w:hint="eastAsia" w:ascii="宋体" w:hAnsi="宋体"/>
          <w:b/>
          <w:bCs/>
          <w:sz w:val="22"/>
          <w:szCs w:val="22"/>
          <w:highlight w:val="none"/>
        </w:rPr>
        <w:t>投标人在“政府采购云平台”进行标书关联时单独填报的投标报价与加密的报价文件中所列的投标报价不一致时以加密的报价文件中的金额为准进行修正。</w:t>
      </w:r>
    </w:p>
    <w:p w14:paraId="47B8F757">
      <w:pPr>
        <w:numPr>
          <w:ilvl w:val="0"/>
          <w:numId w:val="15"/>
        </w:numPr>
        <w:spacing w:line="360" w:lineRule="auto"/>
        <w:ind w:firstLine="0"/>
        <w:rPr>
          <w:rFonts w:ascii="宋体" w:hAnsi="宋体"/>
          <w:bCs/>
          <w:sz w:val="22"/>
          <w:szCs w:val="22"/>
          <w:highlight w:val="none"/>
        </w:rPr>
      </w:pPr>
      <w:r>
        <w:rPr>
          <w:rFonts w:ascii="宋体" w:hAnsi="宋体"/>
          <w:bCs/>
          <w:sz w:val="22"/>
          <w:szCs w:val="22"/>
          <w:highlight w:val="none"/>
        </w:rPr>
        <w:t>若中标人的投标描述</w:t>
      </w:r>
      <w:r>
        <w:rPr>
          <w:rFonts w:ascii="宋体" w:hAnsi="宋体"/>
          <w:sz w:val="22"/>
          <w:szCs w:val="22"/>
          <w:highlight w:val="none"/>
        </w:rPr>
        <w:t>（即投标文件中描述的内容）</w:t>
      </w:r>
      <w:r>
        <w:rPr>
          <w:rFonts w:ascii="宋体" w:hAnsi="宋体"/>
          <w:bCs/>
          <w:sz w:val="22"/>
          <w:szCs w:val="22"/>
          <w:highlight w:val="none"/>
        </w:rPr>
        <w:t>存在前后不一致、与证明材料不一致或多份证明材料之间不一致情形之一</w:t>
      </w:r>
      <w:r>
        <w:rPr>
          <w:rFonts w:hint="eastAsia" w:ascii="宋体" w:hAnsi="宋体"/>
          <w:bCs/>
          <w:sz w:val="22"/>
          <w:szCs w:val="22"/>
          <w:highlight w:val="none"/>
        </w:rPr>
        <w:t>，</w:t>
      </w:r>
      <w:r>
        <w:rPr>
          <w:rFonts w:ascii="宋体" w:hAnsi="宋体"/>
          <w:bCs/>
          <w:sz w:val="22"/>
          <w:szCs w:val="22"/>
          <w:highlight w:val="none"/>
        </w:rPr>
        <w:t>但在评标中未能发现，则采购人将以投标描述或证明材料中有利于采购人的内容进行验收，中标人应自行承担由此产生的风险及费用。</w:t>
      </w:r>
    </w:p>
    <w:p w14:paraId="1DF59262">
      <w:pPr>
        <w:numPr>
          <w:ilvl w:val="1"/>
          <w:numId w:val="1"/>
        </w:numPr>
        <w:tabs>
          <w:tab w:val="left" w:pos="525"/>
          <w:tab w:val="left" w:pos="63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比较与评价</w:t>
      </w:r>
    </w:p>
    <w:p w14:paraId="70FD81E8">
      <w:pPr>
        <w:numPr>
          <w:ilvl w:val="0"/>
          <w:numId w:val="17"/>
        </w:numPr>
        <w:spacing w:line="360" w:lineRule="auto"/>
        <w:ind w:firstLine="0"/>
        <w:rPr>
          <w:rFonts w:ascii="宋体" w:hAnsi="宋体"/>
          <w:bCs/>
          <w:sz w:val="22"/>
          <w:szCs w:val="22"/>
          <w:highlight w:val="none"/>
        </w:rPr>
      </w:pPr>
      <w:r>
        <w:rPr>
          <w:rFonts w:hint="eastAsia" w:ascii="宋体" w:hAnsi="宋体"/>
          <w:bCs/>
          <w:sz w:val="22"/>
          <w:szCs w:val="22"/>
          <w:highlight w:val="none"/>
        </w:rPr>
        <w:t>评标委员会按照招标文件中规定的</w:t>
      </w:r>
      <w:r>
        <w:rPr>
          <w:rFonts w:hint="eastAsia" w:ascii="宋体" w:hAnsi="宋体"/>
          <w:sz w:val="22"/>
          <w:szCs w:val="22"/>
          <w:highlight w:val="none"/>
        </w:rPr>
        <w:t>评标原则及办法</w:t>
      </w:r>
      <w:r>
        <w:rPr>
          <w:rFonts w:hint="eastAsia" w:ascii="宋体" w:hAnsi="宋体"/>
          <w:bCs/>
          <w:sz w:val="22"/>
          <w:szCs w:val="22"/>
          <w:highlight w:val="none"/>
        </w:rPr>
        <w:t>进行综合评定打分。</w:t>
      </w:r>
    </w:p>
    <w:p w14:paraId="486D85FC">
      <w:pPr>
        <w:numPr>
          <w:ilvl w:val="0"/>
          <w:numId w:val="17"/>
        </w:numPr>
        <w:spacing w:line="360" w:lineRule="auto"/>
        <w:ind w:firstLine="0"/>
        <w:rPr>
          <w:rFonts w:ascii="宋体" w:hAnsi="宋体"/>
          <w:bCs/>
          <w:sz w:val="22"/>
          <w:szCs w:val="22"/>
          <w:highlight w:val="none"/>
        </w:rPr>
      </w:pPr>
      <w:r>
        <w:rPr>
          <w:rFonts w:hint="eastAsia" w:ascii="宋体" w:hAnsi="宋体"/>
          <w:bCs/>
          <w:sz w:val="22"/>
          <w:szCs w:val="22"/>
          <w:highlight w:val="none"/>
        </w:rPr>
        <w:t>漏（缺）项</w:t>
      </w:r>
    </w:p>
    <w:p w14:paraId="2CB9F32F">
      <w:pPr>
        <w:numPr>
          <w:ilvl w:val="0"/>
          <w:numId w:val="18"/>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招标文件中要求列入报价的费用，漏（缺）项的报价视为已经包括在投标报价中。</w:t>
      </w:r>
    </w:p>
    <w:p w14:paraId="74B3155B">
      <w:pPr>
        <w:numPr>
          <w:ilvl w:val="0"/>
          <w:numId w:val="18"/>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对多报项及赠送项的价格评标时不予核减，全部进入投标报价评议。</w:t>
      </w:r>
    </w:p>
    <w:p w14:paraId="1547489C">
      <w:pPr>
        <w:numPr>
          <w:ilvl w:val="1"/>
          <w:numId w:val="1"/>
        </w:numPr>
        <w:tabs>
          <w:tab w:val="left" w:pos="525"/>
          <w:tab w:val="left" w:pos="635"/>
          <w:tab w:val="left" w:pos="900"/>
        </w:tabs>
        <w:spacing w:line="360" w:lineRule="auto"/>
        <w:rPr>
          <w:rFonts w:ascii="宋体" w:hAnsi="宋体"/>
          <w:bCs/>
          <w:sz w:val="22"/>
          <w:szCs w:val="22"/>
          <w:highlight w:val="none"/>
        </w:rPr>
      </w:pPr>
      <w:bookmarkStart w:id="192" w:name="_Hlk36726155"/>
      <w:r>
        <w:rPr>
          <w:rFonts w:hint="eastAsia" w:ascii="宋体" w:hAnsi="宋体" w:cs="Courier New"/>
          <w:sz w:val="22"/>
          <w:szCs w:val="22"/>
          <w:highlight w:val="none"/>
        </w:rPr>
        <w:t>评标</w:t>
      </w:r>
      <w:r>
        <w:rPr>
          <w:rFonts w:hint="eastAsia" w:ascii="宋体" w:hAnsi="宋体"/>
          <w:bCs/>
          <w:sz w:val="22"/>
          <w:szCs w:val="22"/>
          <w:highlight w:val="none"/>
        </w:rPr>
        <w:t>委员会认为投标人的报价明显低于其他有效投标人的报价，有可能影响产品质量或不能诚信履约的，应要求其在评标现场合理的时间内提供书面说明</w:t>
      </w:r>
      <w:r>
        <w:rPr>
          <w:rFonts w:hint="eastAsia" w:ascii="宋体" w:hAnsi="宋体"/>
          <w:sz w:val="22"/>
          <w:szCs w:val="22"/>
          <w:highlight w:val="none"/>
        </w:rPr>
        <w:t>（或通过“政府采购云平台”提供线上说明）</w:t>
      </w:r>
      <w:r>
        <w:rPr>
          <w:rFonts w:hint="eastAsia" w:ascii="宋体" w:hAnsi="宋体"/>
          <w:bCs/>
          <w:sz w:val="22"/>
          <w:szCs w:val="22"/>
          <w:highlight w:val="none"/>
        </w:rPr>
        <w:t>，必要时还应要求其一并提交有关证明材料；投标人代表不能在规定的合理时间内证明其报价合理性的，评标委员会将其作为</w:t>
      </w:r>
      <w:r>
        <w:rPr>
          <w:rFonts w:hint="eastAsia" w:ascii="宋体" w:hAnsi="宋体"/>
          <w:b/>
          <w:bCs/>
          <w:sz w:val="22"/>
          <w:szCs w:val="22"/>
          <w:highlight w:val="none"/>
        </w:rPr>
        <w:t>投标无效</w:t>
      </w:r>
      <w:r>
        <w:rPr>
          <w:rFonts w:hint="eastAsia" w:ascii="宋体" w:hAnsi="宋体"/>
          <w:bCs/>
          <w:sz w:val="22"/>
          <w:szCs w:val="22"/>
          <w:highlight w:val="none"/>
        </w:rPr>
        <w:t>处理。</w:t>
      </w:r>
    </w:p>
    <w:bookmarkEnd w:id="192"/>
    <w:p w14:paraId="6AB94895">
      <w:pPr>
        <w:numPr>
          <w:ilvl w:val="1"/>
          <w:numId w:val="1"/>
        </w:numPr>
        <w:tabs>
          <w:tab w:val="left" w:pos="525"/>
          <w:tab w:val="left" w:pos="635"/>
          <w:tab w:val="left" w:pos="900"/>
        </w:tabs>
        <w:spacing w:line="360" w:lineRule="auto"/>
        <w:rPr>
          <w:rFonts w:ascii="宋体" w:hAnsi="宋体"/>
          <w:bCs/>
          <w:sz w:val="22"/>
          <w:szCs w:val="22"/>
          <w:highlight w:val="none"/>
        </w:rPr>
      </w:pPr>
      <w:r>
        <w:rPr>
          <w:rFonts w:hint="eastAsia" w:ascii="宋体" w:hAnsi="宋体"/>
          <w:bCs/>
          <w:sz w:val="22"/>
          <w:szCs w:val="22"/>
          <w:highlight w:val="none"/>
        </w:rPr>
        <w:t>评委对需要共同认定的事项存在争议的，应按照少数服从多数的原则进行认定。持不同意见的评委应在评标报告上签署不同意见及理由，否则视为同意评标报告。</w:t>
      </w:r>
    </w:p>
    <w:p w14:paraId="61227A02">
      <w:pPr>
        <w:numPr>
          <w:ilvl w:val="1"/>
          <w:numId w:val="1"/>
        </w:numPr>
        <w:tabs>
          <w:tab w:val="left" w:pos="525"/>
          <w:tab w:val="left" w:pos="635"/>
          <w:tab w:val="left" w:pos="900"/>
        </w:tabs>
        <w:spacing w:line="360" w:lineRule="auto"/>
        <w:rPr>
          <w:rFonts w:ascii="宋体" w:hAnsi="宋体"/>
          <w:bCs/>
          <w:sz w:val="22"/>
          <w:szCs w:val="22"/>
          <w:highlight w:val="none"/>
        </w:rPr>
      </w:pPr>
      <w:r>
        <w:rPr>
          <w:rFonts w:hint="eastAsia" w:ascii="宋体" w:hAnsi="宋体"/>
          <w:bCs/>
          <w:sz w:val="22"/>
          <w:szCs w:val="22"/>
          <w:highlight w:val="none"/>
        </w:rPr>
        <w:t>评标原则和评标办法详见本招标文件《评标原则及办法》。</w:t>
      </w:r>
    </w:p>
    <w:p w14:paraId="02AF7E90">
      <w:pPr>
        <w:numPr>
          <w:ilvl w:val="1"/>
          <w:numId w:val="1"/>
        </w:numPr>
        <w:tabs>
          <w:tab w:val="left" w:pos="525"/>
          <w:tab w:val="left" w:pos="635"/>
          <w:tab w:val="left" w:pos="900"/>
        </w:tabs>
        <w:spacing w:line="360" w:lineRule="auto"/>
        <w:rPr>
          <w:rFonts w:ascii="宋体" w:hAnsi="宋体"/>
          <w:bCs/>
          <w:sz w:val="22"/>
          <w:szCs w:val="22"/>
          <w:highlight w:val="none"/>
        </w:rPr>
      </w:pPr>
      <w:r>
        <w:rPr>
          <w:rFonts w:ascii="宋体" w:hAnsi="宋体"/>
          <w:bCs/>
          <w:sz w:val="22"/>
          <w:szCs w:val="22"/>
          <w:highlight w:val="none"/>
        </w:rPr>
        <w:t>评标</w:t>
      </w:r>
      <w:r>
        <w:rPr>
          <w:rFonts w:ascii="宋体" w:hAnsi="宋体" w:cs="Courier New"/>
          <w:sz w:val="22"/>
          <w:szCs w:val="22"/>
          <w:highlight w:val="none"/>
        </w:rPr>
        <w:t>过程</w:t>
      </w:r>
      <w:r>
        <w:rPr>
          <w:rFonts w:ascii="宋体" w:hAnsi="宋体"/>
          <w:bCs/>
          <w:sz w:val="22"/>
          <w:szCs w:val="22"/>
          <w:highlight w:val="none"/>
        </w:rPr>
        <w:t>中，有下列情形之一的，应予废标：</w:t>
      </w:r>
    </w:p>
    <w:p w14:paraId="21971A01">
      <w:pPr>
        <w:numPr>
          <w:ilvl w:val="0"/>
          <w:numId w:val="19"/>
        </w:numPr>
        <w:tabs>
          <w:tab w:val="left" w:pos="525"/>
        </w:tabs>
        <w:spacing w:line="360" w:lineRule="auto"/>
        <w:rPr>
          <w:rFonts w:ascii="宋体" w:hAnsi="宋体"/>
          <w:bCs/>
          <w:sz w:val="22"/>
          <w:szCs w:val="22"/>
          <w:highlight w:val="none"/>
        </w:rPr>
      </w:pPr>
      <w:r>
        <w:rPr>
          <w:rFonts w:ascii="宋体" w:hAnsi="宋体"/>
          <w:bCs/>
          <w:sz w:val="22"/>
          <w:szCs w:val="22"/>
          <w:highlight w:val="none"/>
        </w:rPr>
        <w:t>符合性审查合格的投标人不足三家的；</w:t>
      </w:r>
    </w:p>
    <w:p w14:paraId="3CCD5AFA">
      <w:pPr>
        <w:numPr>
          <w:ilvl w:val="0"/>
          <w:numId w:val="19"/>
        </w:numPr>
        <w:tabs>
          <w:tab w:val="left" w:pos="525"/>
        </w:tabs>
        <w:spacing w:line="360" w:lineRule="auto"/>
        <w:rPr>
          <w:rFonts w:ascii="宋体" w:hAnsi="宋体"/>
          <w:bCs/>
          <w:sz w:val="22"/>
          <w:szCs w:val="22"/>
          <w:highlight w:val="none"/>
        </w:rPr>
      </w:pPr>
      <w:r>
        <w:rPr>
          <w:rFonts w:ascii="宋体" w:hAnsi="宋体"/>
          <w:bCs/>
          <w:sz w:val="22"/>
          <w:szCs w:val="22"/>
          <w:highlight w:val="none"/>
        </w:rPr>
        <w:t>对招标文件作实质响应的</w:t>
      </w:r>
      <w:r>
        <w:rPr>
          <w:rFonts w:hint="eastAsia" w:ascii="宋体" w:hAnsi="宋体"/>
          <w:bCs/>
          <w:sz w:val="22"/>
          <w:szCs w:val="22"/>
          <w:highlight w:val="none"/>
        </w:rPr>
        <w:t>投标人</w:t>
      </w:r>
      <w:r>
        <w:rPr>
          <w:rFonts w:ascii="宋体" w:hAnsi="宋体"/>
          <w:bCs/>
          <w:sz w:val="22"/>
          <w:szCs w:val="22"/>
          <w:highlight w:val="none"/>
        </w:rPr>
        <w:t>不足三家的；</w:t>
      </w:r>
    </w:p>
    <w:p w14:paraId="2D2805A8">
      <w:pPr>
        <w:numPr>
          <w:ilvl w:val="0"/>
          <w:numId w:val="19"/>
        </w:numPr>
        <w:tabs>
          <w:tab w:val="left" w:pos="525"/>
        </w:tabs>
        <w:spacing w:line="360" w:lineRule="auto"/>
        <w:rPr>
          <w:rFonts w:ascii="宋体" w:hAnsi="宋体"/>
          <w:bCs/>
          <w:sz w:val="22"/>
          <w:szCs w:val="22"/>
          <w:highlight w:val="none"/>
        </w:rPr>
      </w:pPr>
      <w:r>
        <w:rPr>
          <w:rFonts w:ascii="宋体" w:hAnsi="宋体"/>
          <w:bCs/>
          <w:sz w:val="22"/>
          <w:szCs w:val="22"/>
          <w:highlight w:val="none"/>
        </w:rPr>
        <w:t>有关法律、法规和规章规定废标的情形。</w:t>
      </w:r>
    </w:p>
    <w:p w14:paraId="736DD9E4">
      <w:pPr>
        <w:numPr>
          <w:ilvl w:val="1"/>
          <w:numId w:val="1"/>
        </w:numPr>
        <w:tabs>
          <w:tab w:val="left" w:pos="525"/>
          <w:tab w:val="left" w:pos="635"/>
          <w:tab w:val="left" w:pos="900"/>
        </w:tabs>
        <w:spacing w:line="360" w:lineRule="auto"/>
        <w:rPr>
          <w:rFonts w:ascii="宋体" w:hAnsi="宋体"/>
          <w:bCs/>
          <w:sz w:val="22"/>
          <w:szCs w:val="22"/>
          <w:highlight w:val="none"/>
        </w:rPr>
      </w:pPr>
      <w:r>
        <w:rPr>
          <w:rFonts w:hint="eastAsia" w:ascii="宋体" w:hAnsi="宋体"/>
          <w:bCs/>
          <w:sz w:val="22"/>
          <w:szCs w:val="22"/>
          <w:highlight w:val="none"/>
        </w:rPr>
        <w:t>采购过程中出现以下情形，导致电子交易平台无法正常运行，或者无法保证电子交易的公平、公正和安全时，招标采购单位可中止电子交易活动：</w:t>
      </w:r>
    </w:p>
    <w:p w14:paraId="584CF431">
      <w:pPr>
        <w:numPr>
          <w:ilvl w:val="0"/>
          <w:numId w:val="20"/>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电子交易平台发生故障而无法登录访问的；</w:t>
      </w:r>
    </w:p>
    <w:p w14:paraId="1B40D917">
      <w:pPr>
        <w:numPr>
          <w:ilvl w:val="0"/>
          <w:numId w:val="20"/>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电子交易平台应用或数据库出现错误，不能进行正常操作的；</w:t>
      </w:r>
    </w:p>
    <w:p w14:paraId="21D5004E">
      <w:pPr>
        <w:numPr>
          <w:ilvl w:val="0"/>
          <w:numId w:val="20"/>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电子交易平台发现严重安全漏洞，有潜在泄密危险的；</w:t>
      </w:r>
    </w:p>
    <w:p w14:paraId="0379659D">
      <w:pPr>
        <w:numPr>
          <w:ilvl w:val="0"/>
          <w:numId w:val="20"/>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病毒发作导致不能进行正常操作的；</w:t>
      </w:r>
    </w:p>
    <w:p w14:paraId="633BF121">
      <w:pPr>
        <w:numPr>
          <w:ilvl w:val="0"/>
          <w:numId w:val="20"/>
        </w:numPr>
        <w:tabs>
          <w:tab w:val="left" w:pos="525"/>
        </w:tabs>
        <w:spacing w:line="360" w:lineRule="auto"/>
        <w:rPr>
          <w:rFonts w:ascii="宋体" w:hAnsi="宋体"/>
          <w:bCs/>
          <w:sz w:val="22"/>
          <w:szCs w:val="22"/>
          <w:highlight w:val="none"/>
        </w:rPr>
      </w:pPr>
      <w:r>
        <w:rPr>
          <w:rFonts w:hint="eastAsia" w:ascii="宋体" w:hAnsi="宋体"/>
          <w:bCs/>
          <w:sz w:val="22"/>
          <w:szCs w:val="22"/>
          <w:highlight w:val="none"/>
        </w:rPr>
        <w:t>其他无法保证电子交易的公平、公正和安全的情况。</w:t>
      </w:r>
    </w:p>
    <w:p w14:paraId="0D9E6891">
      <w:pPr>
        <w:tabs>
          <w:tab w:val="left" w:pos="525"/>
        </w:tabs>
        <w:spacing w:line="360" w:lineRule="auto"/>
        <w:ind w:firstLine="442" w:firstLineChars="200"/>
        <w:rPr>
          <w:rFonts w:ascii="宋体" w:hAnsi="宋体"/>
          <w:b/>
          <w:bCs/>
          <w:sz w:val="22"/>
          <w:szCs w:val="22"/>
          <w:highlight w:val="none"/>
          <w:u w:val="single"/>
        </w:rPr>
      </w:pPr>
      <w:r>
        <w:rPr>
          <w:rFonts w:hint="eastAsia" w:ascii="宋体" w:hAnsi="宋体" w:cs="Courier New"/>
          <w:b/>
          <w:bCs/>
          <w:sz w:val="22"/>
          <w:szCs w:val="22"/>
          <w:highlight w:val="none"/>
          <w:u w:val="single"/>
        </w:rPr>
        <w:t>▲</w:t>
      </w:r>
      <w:r>
        <w:rPr>
          <w:rFonts w:hint="eastAsia" w:ascii="宋体" w:hAnsi="宋体"/>
          <w:b/>
          <w:bCs/>
          <w:sz w:val="22"/>
          <w:szCs w:val="22"/>
          <w:highlight w:val="none"/>
          <w:u w:val="single"/>
        </w:rPr>
        <w:t>出现前款规定情形，不影响采购公平、公正性的，招标采购单位可以待上述情形消除后继续组织电子交易活动；影响或可能影响采购公平、公正性的，应当重新采购。</w:t>
      </w:r>
    </w:p>
    <w:p w14:paraId="111E3388">
      <w:pPr>
        <w:numPr>
          <w:ilvl w:val="0"/>
          <w:numId w:val="1"/>
        </w:numPr>
        <w:tabs>
          <w:tab w:val="left" w:pos="52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确定中标</w:t>
      </w:r>
      <w:r>
        <w:rPr>
          <w:rFonts w:hint="eastAsia" w:ascii="宋体" w:hAnsi="宋体"/>
          <w:sz w:val="22"/>
          <w:szCs w:val="22"/>
          <w:highlight w:val="none"/>
        </w:rPr>
        <w:t>候选</w:t>
      </w:r>
      <w:r>
        <w:rPr>
          <w:rFonts w:hint="eastAsia" w:ascii="宋体" w:hAnsi="宋体" w:cs="Courier New"/>
          <w:sz w:val="22"/>
          <w:szCs w:val="22"/>
          <w:highlight w:val="none"/>
        </w:rPr>
        <w:t>人</w:t>
      </w:r>
    </w:p>
    <w:p w14:paraId="4EABAC5E">
      <w:pPr>
        <w:numPr>
          <w:ilvl w:val="1"/>
          <w:numId w:val="1"/>
        </w:numPr>
        <w:tabs>
          <w:tab w:val="left" w:pos="540"/>
          <w:tab w:val="left" w:pos="635"/>
          <w:tab w:val="left" w:pos="900"/>
        </w:tabs>
        <w:spacing w:line="360" w:lineRule="auto"/>
        <w:rPr>
          <w:rFonts w:ascii="宋体" w:hAnsi="宋体"/>
          <w:sz w:val="22"/>
          <w:szCs w:val="22"/>
          <w:highlight w:val="none"/>
        </w:rPr>
      </w:pPr>
      <w:r>
        <w:rPr>
          <w:rFonts w:hint="eastAsia" w:ascii="宋体" w:hAnsi="宋体"/>
          <w:sz w:val="22"/>
          <w:szCs w:val="22"/>
          <w:highlight w:val="none"/>
        </w:rPr>
        <w:t>本次采购由评标委员会推荐中标候选人，采购人根据评标委员会的推荐结果进行最终确认。</w:t>
      </w:r>
    </w:p>
    <w:p w14:paraId="2B006253">
      <w:pPr>
        <w:numPr>
          <w:ilvl w:val="1"/>
          <w:numId w:val="1"/>
        </w:numPr>
        <w:tabs>
          <w:tab w:val="left" w:pos="540"/>
          <w:tab w:val="left" w:pos="635"/>
          <w:tab w:val="left" w:pos="900"/>
        </w:tabs>
        <w:spacing w:line="360" w:lineRule="auto"/>
        <w:rPr>
          <w:rFonts w:ascii="宋体" w:hAnsi="宋体"/>
          <w:sz w:val="22"/>
          <w:szCs w:val="22"/>
          <w:highlight w:val="none"/>
        </w:rPr>
      </w:pPr>
      <w:r>
        <w:rPr>
          <w:rFonts w:ascii="宋体" w:hAnsi="宋体"/>
          <w:bCs/>
          <w:sz w:val="22"/>
          <w:szCs w:val="22"/>
          <w:highlight w:val="none"/>
        </w:rPr>
        <w:t>中标公告同时作为</w:t>
      </w:r>
      <w:r>
        <w:rPr>
          <w:rFonts w:hint="eastAsia" w:ascii="宋体" w:hAnsi="宋体"/>
          <w:bCs/>
          <w:sz w:val="22"/>
          <w:szCs w:val="22"/>
          <w:highlight w:val="none"/>
        </w:rPr>
        <w:t>招标采购单位</w:t>
      </w:r>
      <w:r>
        <w:rPr>
          <w:rFonts w:ascii="宋体" w:hAnsi="宋体"/>
          <w:bCs/>
          <w:sz w:val="22"/>
          <w:szCs w:val="22"/>
          <w:highlight w:val="none"/>
        </w:rPr>
        <w:t>通知除中标人外的其他投标人没有中标的书面形式。</w:t>
      </w:r>
    </w:p>
    <w:p w14:paraId="48C8CB44">
      <w:pPr>
        <w:numPr>
          <w:ilvl w:val="0"/>
          <w:numId w:val="1"/>
        </w:numPr>
        <w:tabs>
          <w:tab w:val="left" w:pos="540"/>
          <w:tab w:val="left" w:pos="900"/>
        </w:tabs>
        <w:spacing w:line="360" w:lineRule="auto"/>
        <w:rPr>
          <w:rFonts w:ascii="宋体" w:hAnsi="宋体"/>
          <w:sz w:val="22"/>
          <w:szCs w:val="22"/>
          <w:highlight w:val="none"/>
        </w:rPr>
      </w:pPr>
      <w:r>
        <w:rPr>
          <w:rFonts w:hint="eastAsia" w:ascii="宋体" w:hAnsi="宋体"/>
          <w:sz w:val="22"/>
          <w:szCs w:val="22"/>
          <w:highlight w:val="none"/>
        </w:rPr>
        <w:t>采购人或采购代理机构对决标结果不做任何解释。</w:t>
      </w:r>
    </w:p>
    <w:p w14:paraId="5A2AC39F">
      <w:pPr>
        <w:numPr>
          <w:ilvl w:val="0"/>
          <w:numId w:val="1"/>
        </w:numPr>
        <w:tabs>
          <w:tab w:val="left" w:pos="525"/>
          <w:tab w:val="left" w:pos="900"/>
        </w:tabs>
        <w:spacing w:line="360" w:lineRule="auto"/>
        <w:rPr>
          <w:rFonts w:ascii="宋体" w:hAnsi="宋体"/>
          <w:sz w:val="22"/>
          <w:szCs w:val="22"/>
          <w:highlight w:val="none"/>
        </w:rPr>
      </w:pPr>
      <w:r>
        <w:rPr>
          <w:rFonts w:hint="eastAsia" w:ascii="宋体" w:hAnsi="宋体"/>
          <w:sz w:val="22"/>
          <w:szCs w:val="22"/>
          <w:highlight w:val="none"/>
        </w:rPr>
        <w:t>未尽事宜遵循相关法律法规及规范性文件执行。</w:t>
      </w:r>
    </w:p>
    <w:p w14:paraId="359F9563">
      <w:pPr>
        <w:pStyle w:val="4"/>
        <w:spacing w:line="400" w:lineRule="exact"/>
        <w:jc w:val="center"/>
        <w:rPr>
          <w:rFonts w:ascii="宋体" w:hAnsi="宋体" w:eastAsia="宋体" w:cs="Courier New"/>
          <w:highlight w:val="none"/>
        </w:rPr>
      </w:pPr>
      <w:bookmarkStart w:id="193" w:name="_Toc146181149"/>
      <w:r>
        <w:rPr>
          <w:rFonts w:hint="eastAsia" w:ascii="宋体" w:hAnsi="宋体" w:eastAsia="宋体" w:cs="Courier New"/>
          <w:highlight w:val="none"/>
        </w:rPr>
        <w:t xml:space="preserve">九、 </w:t>
      </w:r>
      <w:r>
        <w:rPr>
          <w:rFonts w:ascii="宋体" w:hAnsi="宋体" w:eastAsia="宋体" w:cs="Courier New"/>
          <w:highlight w:val="none"/>
        </w:rPr>
        <w:t>定标及</w:t>
      </w:r>
      <w:r>
        <w:rPr>
          <w:rFonts w:hint="eastAsia" w:ascii="宋体" w:hAnsi="宋体" w:eastAsia="宋体" w:cs="Courier New"/>
          <w:highlight w:val="none"/>
        </w:rPr>
        <w:t>合同</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Pr>
          <w:rFonts w:hint="eastAsia" w:ascii="宋体" w:hAnsi="宋体" w:eastAsia="宋体" w:cs="Courier New"/>
          <w:highlight w:val="none"/>
        </w:rPr>
        <w:t>授予</w:t>
      </w:r>
      <w:bookmarkEnd w:id="193"/>
    </w:p>
    <w:p w14:paraId="4632BCA6">
      <w:pPr>
        <w:numPr>
          <w:ilvl w:val="0"/>
          <w:numId w:val="1"/>
        </w:numPr>
        <w:tabs>
          <w:tab w:val="left" w:pos="540"/>
          <w:tab w:val="left" w:pos="900"/>
        </w:tabs>
        <w:spacing w:line="360" w:lineRule="auto"/>
        <w:rPr>
          <w:rFonts w:ascii="宋体" w:hAnsi="宋体"/>
          <w:bCs/>
          <w:sz w:val="22"/>
          <w:szCs w:val="22"/>
          <w:highlight w:val="none"/>
        </w:rPr>
      </w:pPr>
      <w:r>
        <w:rPr>
          <w:rFonts w:hint="eastAsia" w:ascii="宋体" w:hAnsi="宋体"/>
          <w:bCs/>
          <w:sz w:val="22"/>
          <w:szCs w:val="22"/>
          <w:highlight w:val="none"/>
        </w:rPr>
        <w:t>确认中标人</w:t>
      </w:r>
    </w:p>
    <w:p w14:paraId="237C034C">
      <w:pPr>
        <w:numPr>
          <w:ilvl w:val="1"/>
          <w:numId w:val="1"/>
        </w:numPr>
        <w:tabs>
          <w:tab w:val="left" w:pos="540"/>
          <w:tab w:val="left" w:pos="635"/>
          <w:tab w:val="left" w:pos="900"/>
        </w:tabs>
        <w:spacing w:line="360" w:lineRule="auto"/>
        <w:rPr>
          <w:rFonts w:ascii="宋体" w:hAnsi="宋体"/>
          <w:sz w:val="22"/>
          <w:szCs w:val="22"/>
          <w:highlight w:val="none"/>
        </w:rPr>
      </w:pPr>
      <w:r>
        <w:rPr>
          <w:rFonts w:hint="eastAsia" w:ascii="宋体" w:hAnsi="宋体"/>
          <w:sz w:val="22"/>
          <w:szCs w:val="22"/>
          <w:highlight w:val="none"/>
        </w:rPr>
        <w:t>采购人自收到评标报告之日起5个工作日内</w:t>
      </w:r>
      <w:bookmarkStart w:id="194" w:name="_Hlk97734346"/>
      <w:r>
        <w:rPr>
          <w:rFonts w:hint="eastAsia" w:ascii="宋体" w:hAnsi="宋体"/>
          <w:sz w:val="22"/>
          <w:szCs w:val="22"/>
          <w:highlight w:val="none"/>
        </w:rPr>
        <w:t>，从评标报告提出的中标候选人名单中，按照排序由高到低的原则确定中标人。</w:t>
      </w:r>
      <w:bookmarkStart w:id="195" w:name="_Hlk97734332"/>
      <w:r>
        <w:rPr>
          <w:rFonts w:hint="eastAsia" w:ascii="宋体" w:hAnsi="宋体"/>
          <w:sz w:val="22"/>
          <w:szCs w:val="22"/>
          <w:highlight w:val="none"/>
        </w:rPr>
        <w:t>采购人逾期未确定中标人且不提出异议的，视为确定评标报告提出的排序第一的投标人为中标人。</w:t>
      </w:r>
      <w:bookmarkEnd w:id="194"/>
      <w:bookmarkEnd w:id="195"/>
    </w:p>
    <w:p w14:paraId="67975007">
      <w:pPr>
        <w:numPr>
          <w:ilvl w:val="1"/>
          <w:numId w:val="1"/>
        </w:numPr>
        <w:tabs>
          <w:tab w:val="left" w:pos="540"/>
          <w:tab w:val="left" w:pos="635"/>
          <w:tab w:val="left" w:pos="900"/>
        </w:tabs>
        <w:spacing w:line="360" w:lineRule="auto"/>
        <w:rPr>
          <w:rFonts w:ascii="宋体" w:hAnsi="宋体"/>
          <w:sz w:val="22"/>
          <w:szCs w:val="22"/>
          <w:highlight w:val="none"/>
        </w:rPr>
      </w:pPr>
      <w:r>
        <w:rPr>
          <w:rFonts w:hint="eastAsia" w:ascii="宋体" w:hAnsi="宋体"/>
          <w:sz w:val="22"/>
          <w:szCs w:val="22"/>
          <w:highlight w:val="none"/>
        </w:rPr>
        <w:t>中标人确定之日起2个工作日内，在招标文件载明的指定媒体上公示中标结果，中标公告期限为1个工作日。</w:t>
      </w:r>
    </w:p>
    <w:p w14:paraId="32E5F915">
      <w:pPr>
        <w:numPr>
          <w:ilvl w:val="0"/>
          <w:numId w:val="1"/>
        </w:numPr>
        <w:tabs>
          <w:tab w:val="left" w:pos="525"/>
          <w:tab w:val="left" w:pos="900"/>
        </w:tabs>
        <w:spacing w:line="360" w:lineRule="auto"/>
        <w:rPr>
          <w:rFonts w:ascii="宋体" w:hAnsi="宋体"/>
          <w:sz w:val="22"/>
          <w:szCs w:val="22"/>
          <w:highlight w:val="none"/>
        </w:rPr>
      </w:pPr>
      <w:r>
        <w:rPr>
          <w:rFonts w:hint="eastAsia" w:ascii="宋体" w:hAnsi="宋体" w:cs="Courier New"/>
          <w:sz w:val="22"/>
          <w:szCs w:val="22"/>
          <w:highlight w:val="none"/>
        </w:rPr>
        <w:t xml:space="preserve"> </w:t>
      </w:r>
      <w:r>
        <w:rPr>
          <w:rFonts w:hint="eastAsia" w:ascii="宋体" w:hAnsi="宋体"/>
          <w:sz w:val="22"/>
          <w:szCs w:val="22"/>
          <w:highlight w:val="none"/>
        </w:rPr>
        <w:t>中标（成交）通知书</w:t>
      </w:r>
      <w:bookmarkStart w:id="196" w:name="_Hlk100427390"/>
      <w:r>
        <w:rPr>
          <w:rFonts w:hint="eastAsia" w:ascii="宋体" w:hAnsi="宋体"/>
          <w:sz w:val="22"/>
          <w:szCs w:val="22"/>
          <w:highlight w:val="none"/>
        </w:rPr>
        <w:t>（以纸质形式进行）</w:t>
      </w:r>
      <w:bookmarkEnd w:id="196"/>
    </w:p>
    <w:p w14:paraId="3B915A9E">
      <w:pPr>
        <w:numPr>
          <w:ilvl w:val="1"/>
          <w:numId w:val="1"/>
        </w:numPr>
        <w:tabs>
          <w:tab w:val="left" w:pos="540"/>
          <w:tab w:val="left" w:pos="635"/>
          <w:tab w:val="left" w:pos="900"/>
        </w:tabs>
        <w:spacing w:line="360" w:lineRule="auto"/>
        <w:rPr>
          <w:rFonts w:ascii="宋体" w:hAnsi="宋体"/>
          <w:sz w:val="22"/>
          <w:szCs w:val="22"/>
          <w:highlight w:val="none"/>
        </w:rPr>
      </w:pPr>
      <w:r>
        <w:rPr>
          <w:rFonts w:hint="eastAsia" w:ascii="宋体" w:hAnsi="宋体"/>
          <w:sz w:val="22"/>
          <w:szCs w:val="22"/>
          <w:highlight w:val="none"/>
        </w:rPr>
        <w:t xml:space="preserve">中标人确定后，采购人将向中标人发出中标（成交）通知书。 </w:t>
      </w:r>
    </w:p>
    <w:p w14:paraId="524E3DE2">
      <w:pPr>
        <w:numPr>
          <w:ilvl w:val="1"/>
          <w:numId w:val="1"/>
        </w:numPr>
        <w:tabs>
          <w:tab w:val="left" w:pos="540"/>
          <w:tab w:val="left" w:pos="635"/>
          <w:tab w:val="left" w:pos="900"/>
        </w:tabs>
        <w:spacing w:line="360" w:lineRule="auto"/>
        <w:rPr>
          <w:rFonts w:ascii="宋体" w:hAnsi="宋体"/>
          <w:sz w:val="22"/>
          <w:szCs w:val="22"/>
          <w:highlight w:val="none"/>
        </w:rPr>
      </w:pPr>
      <w:r>
        <w:rPr>
          <w:rFonts w:hint="eastAsia" w:ascii="宋体" w:hAnsi="宋体"/>
          <w:sz w:val="22"/>
          <w:szCs w:val="22"/>
          <w:highlight w:val="none"/>
        </w:rPr>
        <w:t>中标（成交）通知书是合同的一个组成部分,对采购人和中标人均具有同等法律效力。</w:t>
      </w:r>
    </w:p>
    <w:p w14:paraId="1EA8E2D1">
      <w:pPr>
        <w:numPr>
          <w:ilvl w:val="0"/>
          <w:numId w:val="1"/>
        </w:numPr>
        <w:tabs>
          <w:tab w:val="left" w:pos="525"/>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合同的签订</w:t>
      </w:r>
      <w:r>
        <w:rPr>
          <w:rFonts w:hint="eastAsia" w:ascii="宋体" w:hAnsi="宋体"/>
          <w:sz w:val="22"/>
          <w:szCs w:val="22"/>
          <w:highlight w:val="none"/>
        </w:rPr>
        <w:t>（以纸质形式进行）</w:t>
      </w:r>
    </w:p>
    <w:p w14:paraId="50122BFD">
      <w:pPr>
        <w:numPr>
          <w:ilvl w:val="1"/>
          <w:numId w:val="1"/>
        </w:numPr>
        <w:tabs>
          <w:tab w:val="left" w:pos="540"/>
          <w:tab w:val="left" w:pos="635"/>
          <w:tab w:val="left" w:pos="900"/>
          <w:tab w:val="clear" w:pos="567"/>
        </w:tabs>
        <w:wordWrap w:val="0"/>
        <w:spacing w:line="360" w:lineRule="auto"/>
        <w:rPr>
          <w:rFonts w:ascii="宋体" w:hAnsi="宋体"/>
          <w:bCs/>
          <w:sz w:val="22"/>
          <w:szCs w:val="22"/>
          <w:highlight w:val="none"/>
        </w:rPr>
      </w:pPr>
      <w:bookmarkStart w:id="197" w:name="_Hlk6999962"/>
      <w:r>
        <w:rPr>
          <w:rFonts w:hint="eastAsia" w:ascii="宋体" w:hAnsi="宋体"/>
          <w:bCs/>
          <w:sz w:val="22"/>
          <w:szCs w:val="22"/>
          <w:highlight w:val="none"/>
        </w:rPr>
        <w:t>合同条款详见第三部分拟签订的合同文本。</w:t>
      </w:r>
    </w:p>
    <w:p w14:paraId="642E6E5C">
      <w:pPr>
        <w:numPr>
          <w:ilvl w:val="1"/>
          <w:numId w:val="1"/>
        </w:numPr>
        <w:tabs>
          <w:tab w:val="left" w:pos="540"/>
          <w:tab w:val="left" w:pos="635"/>
          <w:tab w:val="left" w:pos="900"/>
        </w:tabs>
        <w:spacing w:line="360" w:lineRule="auto"/>
        <w:rPr>
          <w:rFonts w:ascii="宋体" w:hAnsi="宋体"/>
          <w:sz w:val="22"/>
          <w:szCs w:val="22"/>
          <w:highlight w:val="none"/>
        </w:rPr>
      </w:pPr>
      <w:r>
        <w:rPr>
          <w:rFonts w:ascii="宋体" w:hAnsi="宋体"/>
          <w:sz w:val="22"/>
          <w:szCs w:val="22"/>
          <w:highlight w:val="none"/>
        </w:rPr>
        <w:t>签订政府采购合同应遵守政府采购法及实施条例的规定，不得对招标文件确定的事项和中标人的投标文件作实质性修改。</w:t>
      </w:r>
    </w:p>
    <w:p w14:paraId="644CBD60">
      <w:pPr>
        <w:numPr>
          <w:ilvl w:val="1"/>
          <w:numId w:val="1"/>
        </w:numPr>
        <w:tabs>
          <w:tab w:val="left" w:pos="540"/>
          <w:tab w:val="left" w:pos="635"/>
          <w:tab w:val="left" w:pos="900"/>
        </w:tabs>
        <w:spacing w:line="360" w:lineRule="auto"/>
        <w:rPr>
          <w:rFonts w:ascii="宋体" w:hAnsi="宋体"/>
          <w:sz w:val="22"/>
          <w:szCs w:val="22"/>
          <w:highlight w:val="none"/>
        </w:rPr>
      </w:pPr>
      <w:r>
        <w:rPr>
          <w:rFonts w:hint="eastAsia" w:ascii="宋体" w:hAnsi="宋体"/>
          <w:sz w:val="22"/>
          <w:szCs w:val="22"/>
          <w:highlight w:val="none"/>
        </w:rPr>
        <w:t>签订时限：自中标（成交）通知书发出之日起30日内。</w:t>
      </w:r>
    </w:p>
    <w:bookmarkEnd w:id="197"/>
    <w:p w14:paraId="6F09F2AD">
      <w:pPr>
        <w:numPr>
          <w:ilvl w:val="1"/>
          <w:numId w:val="1"/>
        </w:numPr>
        <w:tabs>
          <w:tab w:val="left" w:pos="540"/>
          <w:tab w:val="left" w:pos="635"/>
          <w:tab w:val="left" w:pos="900"/>
        </w:tabs>
        <w:spacing w:line="360" w:lineRule="auto"/>
        <w:rPr>
          <w:rFonts w:ascii="宋体" w:hAnsi="宋体"/>
          <w:sz w:val="22"/>
          <w:szCs w:val="22"/>
          <w:highlight w:val="none"/>
        </w:rPr>
      </w:pPr>
      <w:bookmarkStart w:id="198" w:name="_Hlk100427442"/>
      <w:r>
        <w:rPr>
          <w:rFonts w:hint="eastAsia" w:ascii="宋体" w:hAnsi="宋体"/>
          <w:sz w:val="22"/>
          <w:szCs w:val="22"/>
          <w:highlight w:val="none"/>
        </w:rPr>
        <w:t>中标人拒绝与采购人签订合同的，</w:t>
      </w:r>
      <w:bookmarkStart w:id="199" w:name="_Hlk100427425"/>
      <w:r>
        <w:rPr>
          <w:rFonts w:hint="eastAsia" w:ascii="宋体" w:hAnsi="宋体"/>
          <w:sz w:val="22"/>
          <w:szCs w:val="22"/>
          <w:highlight w:val="none"/>
        </w:rPr>
        <w:t>采购人可以按照评标报告推荐的中标候选人名单排序，确定下一候选人为中标人，也可以重新开展政府采购活动。</w:t>
      </w:r>
      <w:bookmarkEnd w:id="199"/>
    </w:p>
    <w:bookmarkEnd w:id="198"/>
    <w:p w14:paraId="6BAFB8C7">
      <w:pPr>
        <w:numPr>
          <w:ilvl w:val="1"/>
          <w:numId w:val="1"/>
        </w:numPr>
        <w:tabs>
          <w:tab w:val="left" w:pos="540"/>
          <w:tab w:val="left" w:pos="635"/>
          <w:tab w:val="left" w:pos="900"/>
        </w:tabs>
        <w:spacing w:line="360" w:lineRule="auto"/>
        <w:rPr>
          <w:rFonts w:ascii="宋体" w:hAnsi="宋体"/>
          <w:sz w:val="22"/>
          <w:szCs w:val="22"/>
          <w:highlight w:val="none"/>
        </w:rPr>
      </w:pPr>
      <w:r>
        <w:rPr>
          <w:rFonts w:hint="eastAsia" w:ascii="宋体" w:hAnsi="宋体"/>
          <w:sz w:val="22"/>
          <w:szCs w:val="22"/>
          <w:highlight w:val="none"/>
        </w:rPr>
        <w:t>招标文件、中标人的投标文件、修改文件、评标过程中有关澄清文件及经投标人和评委双方签字的询标纪要和中标（成交）通知书均作为合同附件。</w:t>
      </w:r>
    </w:p>
    <w:p w14:paraId="4F5093B7">
      <w:pPr>
        <w:numPr>
          <w:ilvl w:val="0"/>
          <w:numId w:val="1"/>
        </w:numPr>
        <w:tabs>
          <w:tab w:val="left" w:pos="525"/>
          <w:tab w:val="left" w:pos="900"/>
        </w:tabs>
        <w:spacing w:line="360" w:lineRule="auto"/>
        <w:rPr>
          <w:rFonts w:ascii="宋体" w:hAnsi="宋体"/>
          <w:sz w:val="22"/>
          <w:szCs w:val="22"/>
          <w:highlight w:val="none"/>
        </w:rPr>
      </w:pPr>
      <w:r>
        <w:rPr>
          <w:rFonts w:hint="eastAsia" w:ascii="宋体" w:hAnsi="宋体"/>
          <w:sz w:val="22"/>
          <w:szCs w:val="22"/>
          <w:highlight w:val="none"/>
        </w:rPr>
        <w:t>履约保证金</w:t>
      </w:r>
    </w:p>
    <w:p w14:paraId="613FC332">
      <w:pPr>
        <w:tabs>
          <w:tab w:val="left" w:pos="540"/>
          <w:tab w:val="left" w:pos="567"/>
          <w:tab w:val="left" w:pos="635"/>
        </w:tabs>
        <w:wordWrap w:val="0"/>
        <w:spacing w:line="360" w:lineRule="auto"/>
        <w:ind w:left="567"/>
        <w:jc w:val="left"/>
        <w:rPr>
          <w:rFonts w:ascii="宋体" w:hAnsi="宋体" w:cs="仿宋"/>
          <w:sz w:val="22"/>
          <w:szCs w:val="22"/>
          <w:highlight w:val="none"/>
        </w:rPr>
      </w:pPr>
      <w:r>
        <w:rPr>
          <w:rFonts w:hint="eastAsia" w:ascii="宋体" w:hAnsi="宋体" w:cs="仿宋"/>
          <w:sz w:val="22"/>
          <w:szCs w:val="22"/>
          <w:highlight w:val="none"/>
        </w:rPr>
        <w:t>本项目不收取履约保证金。</w:t>
      </w:r>
    </w:p>
    <w:p w14:paraId="1B924A72">
      <w:pPr>
        <w:numPr>
          <w:ilvl w:val="0"/>
          <w:numId w:val="1"/>
        </w:numPr>
        <w:tabs>
          <w:tab w:val="left" w:pos="525"/>
          <w:tab w:val="left" w:pos="900"/>
        </w:tabs>
        <w:spacing w:line="360" w:lineRule="auto"/>
        <w:rPr>
          <w:rFonts w:ascii="宋体" w:hAnsi="宋体"/>
          <w:sz w:val="22"/>
          <w:szCs w:val="22"/>
          <w:highlight w:val="none"/>
        </w:rPr>
      </w:pPr>
      <w:r>
        <w:rPr>
          <w:rFonts w:ascii="宋体" w:hAnsi="宋体"/>
          <w:sz w:val="22"/>
          <w:szCs w:val="22"/>
          <w:highlight w:val="none"/>
        </w:rPr>
        <w:t>预付款</w:t>
      </w:r>
    </w:p>
    <w:p w14:paraId="5D803C33">
      <w:pPr>
        <w:tabs>
          <w:tab w:val="left" w:pos="525"/>
          <w:tab w:val="left" w:pos="567"/>
          <w:tab w:val="left" w:pos="635"/>
        </w:tabs>
        <w:wordWrap w:val="0"/>
        <w:spacing w:line="360" w:lineRule="auto"/>
        <w:ind w:left="567"/>
        <w:jc w:val="left"/>
        <w:rPr>
          <w:rFonts w:ascii="宋体" w:hAnsi="宋体" w:cs="仿宋"/>
          <w:sz w:val="22"/>
          <w:szCs w:val="22"/>
          <w:highlight w:val="none"/>
        </w:rPr>
      </w:pPr>
      <w:r>
        <w:rPr>
          <w:rFonts w:ascii="宋体" w:hAnsi="宋体" w:cs="仿宋"/>
          <w:sz w:val="22"/>
          <w:szCs w:val="22"/>
          <w:highlight w:val="none"/>
        </w:rPr>
        <w:t>在签订合同时，</w:t>
      </w:r>
      <w:r>
        <w:rPr>
          <w:rFonts w:hint="eastAsia" w:ascii="宋体" w:hAnsi="宋体" w:cs="仿宋"/>
          <w:sz w:val="22"/>
          <w:szCs w:val="22"/>
          <w:highlight w:val="none"/>
        </w:rPr>
        <w:t>中标人</w:t>
      </w:r>
      <w:r>
        <w:rPr>
          <w:rFonts w:ascii="宋体" w:hAnsi="宋体" w:cs="仿宋"/>
          <w:sz w:val="22"/>
          <w:szCs w:val="22"/>
          <w:highlight w:val="none"/>
        </w:rPr>
        <w:t>明确表示无需预付款或者主动要求降低预付款比例的，</w:t>
      </w:r>
      <w:r>
        <w:rPr>
          <w:rFonts w:hint="eastAsia" w:ascii="宋体" w:hAnsi="宋体" w:cs="仿宋"/>
          <w:sz w:val="22"/>
          <w:szCs w:val="22"/>
          <w:highlight w:val="none"/>
        </w:rPr>
        <w:t>合同中可另行约定</w:t>
      </w:r>
      <w:r>
        <w:rPr>
          <w:rFonts w:ascii="宋体" w:hAnsi="宋体" w:cs="仿宋"/>
          <w:sz w:val="22"/>
          <w:szCs w:val="22"/>
          <w:highlight w:val="none"/>
        </w:rPr>
        <w:t>。</w:t>
      </w:r>
      <w:r>
        <w:rPr>
          <w:rFonts w:hint="eastAsia" w:ascii="宋体" w:hAnsi="宋体" w:cs="仿宋"/>
          <w:sz w:val="22"/>
          <w:szCs w:val="22"/>
          <w:highlight w:val="none"/>
        </w:rPr>
        <w:t>采购单位</w:t>
      </w:r>
      <w:r>
        <w:rPr>
          <w:rFonts w:ascii="宋体" w:hAnsi="宋体" w:cs="仿宋"/>
          <w:sz w:val="22"/>
          <w:szCs w:val="22"/>
          <w:highlight w:val="none"/>
        </w:rPr>
        <w:t>根据项目特点、供应商诚信等因素，可以要求</w:t>
      </w:r>
      <w:r>
        <w:rPr>
          <w:rFonts w:hint="eastAsia" w:ascii="宋体" w:hAnsi="宋体" w:cs="仿宋"/>
          <w:sz w:val="22"/>
          <w:szCs w:val="22"/>
          <w:highlight w:val="none"/>
        </w:rPr>
        <w:t>供应商</w:t>
      </w:r>
      <w:r>
        <w:rPr>
          <w:rFonts w:ascii="宋体" w:hAnsi="宋体" w:cs="仿宋"/>
          <w:sz w:val="22"/>
          <w:szCs w:val="22"/>
          <w:highlight w:val="none"/>
        </w:rPr>
        <w:t>提交银行、保险公司等金融机构出具的预付款保函或其他担保措施。</w:t>
      </w:r>
    </w:p>
    <w:p w14:paraId="66304EB2">
      <w:pPr>
        <w:pStyle w:val="4"/>
        <w:spacing w:line="400" w:lineRule="exact"/>
        <w:jc w:val="center"/>
        <w:rPr>
          <w:rFonts w:ascii="宋体" w:hAnsi="宋体" w:eastAsia="宋体" w:cs="Courier New"/>
          <w:highlight w:val="none"/>
        </w:rPr>
      </w:pPr>
      <w:bookmarkStart w:id="200" w:name="_Toc146181150"/>
      <w:r>
        <w:rPr>
          <w:rFonts w:hint="eastAsia" w:ascii="宋体" w:hAnsi="宋体" w:eastAsia="宋体" w:cs="Courier New"/>
          <w:highlight w:val="none"/>
        </w:rPr>
        <w:t>十、 验收</w:t>
      </w:r>
      <w:bookmarkEnd w:id="200"/>
    </w:p>
    <w:p w14:paraId="6647F454">
      <w:pPr>
        <w:numPr>
          <w:ilvl w:val="0"/>
          <w:numId w:val="1"/>
        </w:numPr>
        <w:tabs>
          <w:tab w:val="left" w:pos="525"/>
          <w:tab w:val="left" w:pos="900"/>
        </w:tabs>
        <w:spacing w:line="360" w:lineRule="auto"/>
        <w:rPr>
          <w:rFonts w:ascii="宋体" w:hAnsi="宋体"/>
          <w:sz w:val="22"/>
          <w:szCs w:val="22"/>
          <w:highlight w:val="none"/>
        </w:rPr>
      </w:pPr>
      <w:r>
        <w:rPr>
          <w:rFonts w:hint="eastAsia" w:ascii="宋体" w:hAnsi="宋体"/>
          <w:sz w:val="22"/>
          <w:szCs w:val="22"/>
          <w:highlight w:val="none"/>
        </w:rPr>
        <w:t>验收</w:t>
      </w:r>
    </w:p>
    <w:p w14:paraId="71752968">
      <w:pPr>
        <w:numPr>
          <w:ilvl w:val="1"/>
          <w:numId w:val="1"/>
        </w:numPr>
        <w:tabs>
          <w:tab w:val="left" w:pos="540"/>
          <w:tab w:val="left" w:pos="635"/>
          <w:tab w:val="left" w:pos="900"/>
        </w:tabs>
        <w:wordWrap w:val="0"/>
        <w:spacing w:line="360" w:lineRule="auto"/>
        <w:rPr>
          <w:rFonts w:ascii="宋体" w:hAnsi="宋体"/>
          <w:bCs/>
          <w:sz w:val="22"/>
          <w:szCs w:val="22"/>
          <w:highlight w:val="none"/>
        </w:rPr>
      </w:pPr>
      <w:r>
        <w:rPr>
          <w:rFonts w:hint="eastAsia" w:ascii="宋体" w:hAnsi="宋体"/>
          <w:bCs/>
          <w:sz w:val="22"/>
          <w:szCs w:val="22"/>
          <w:highlight w:val="none"/>
        </w:rPr>
        <w:t>采购人组织对中标人履约的验收。如果发现与合同中要求不符，中标人须承担由此发生的一切损失和费用，并接受相应的处理。</w:t>
      </w:r>
    </w:p>
    <w:p w14:paraId="36C27464">
      <w:pPr>
        <w:numPr>
          <w:ilvl w:val="1"/>
          <w:numId w:val="1"/>
        </w:numPr>
        <w:tabs>
          <w:tab w:val="left" w:pos="540"/>
          <w:tab w:val="left" w:pos="635"/>
          <w:tab w:val="left" w:pos="900"/>
        </w:tabs>
        <w:wordWrap w:val="0"/>
        <w:spacing w:line="360" w:lineRule="auto"/>
        <w:rPr>
          <w:rFonts w:ascii="宋体" w:hAnsi="宋体"/>
          <w:bCs/>
          <w:sz w:val="22"/>
          <w:szCs w:val="22"/>
          <w:highlight w:val="none"/>
        </w:rPr>
      </w:pPr>
      <w:r>
        <w:rPr>
          <w:rFonts w:hint="eastAsia" w:ascii="宋体" w:hAnsi="宋体"/>
          <w:bCs/>
          <w:sz w:val="22"/>
          <w:szCs w:val="22"/>
          <w:highlight w:val="none"/>
        </w:rPr>
        <w:t>采购人可以邀请参加本项目的其他投标人或者第三方机构参与验收。参与验收的投标人或者第三方机构的意见作为验收书的参考资料一并存档。</w:t>
      </w:r>
    </w:p>
    <w:p w14:paraId="5CF7F2AC">
      <w:pPr>
        <w:numPr>
          <w:ilvl w:val="1"/>
          <w:numId w:val="1"/>
        </w:numPr>
        <w:tabs>
          <w:tab w:val="left" w:pos="540"/>
          <w:tab w:val="left" w:pos="635"/>
          <w:tab w:val="left" w:pos="900"/>
        </w:tabs>
        <w:wordWrap w:val="0"/>
        <w:spacing w:line="360" w:lineRule="auto"/>
        <w:rPr>
          <w:rFonts w:ascii="宋体" w:hAnsi="宋体"/>
          <w:bCs/>
          <w:sz w:val="22"/>
          <w:szCs w:val="22"/>
          <w:highlight w:val="none"/>
        </w:rPr>
      </w:pPr>
      <w:r>
        <w:rPr>
          <w:rFonts w:hint="eastAsia" w:ascii="宋体" w:hAnsi="宋体"/>
          <w:bCs/>
          <w:sz w:val="22"/>
          <w:szCs w:val="22"/>
          <w:highlight w:val="none"/>
        </w:rPr>
        <w:t>采购合同的履行、违约责任和解决争议的方式等适用《中华人民共和国民法典》。中标人在履约过程中有政府采购法律法规规定的违法违规情形的，采购人应当及时报告本级财政部门。</w:t>
      </w:r>
    </w:p>
    <w:p w14:paraId="2F25A23A">
      <w:pPr>
        <w:numPr>
          <w:ilvl w:val="1"/>
          <w:numId w:val="1"/>
        </w:numPr>
        <w:tabs>
          <w:tab w:val="left" w:pos="540"/>
          <w:tab w:val="left" w:pos="635"/>
          <w:tab w:val="left" w:pos="900"/>
        </w:tabs>
        <w:wordWrap w:val="0"/>
        <w:spacing w:line="360" w:lineRule="auto"/>
        <w:rPr>
          <w:rFonts w:ascii="宋体" w:hAnsi="宋体"/>
          <w:bCs/>
          <w:sz w:val="22"/>
          <w:szCs w:val="22"/>
          <w:highlight w:val="none"/>
        </w:rPr>
      </w:pPr>
      <w:bookmarkStart w:id="201" w:name="_Hlt74730295"/>
      <w:bookmarkEnd w:id="201"/>
      <w:bookmarkStart w:id="202" w:name="_Hlt68403820"/>
      <w:bookmarkEnd w:id="202"/>
      <w:bookmarkStart w:id="203" w:name="_Hlt74714665"/>
      <w:bookmarkEnd w:id="203"/>
      <w:bookmarkStart w:id="204" w:name="_Hlt75236101"/>
      <w:bookmarkEnd w:id="204"/>
      <w:bookmarkStart w:id="205" w:name="_Hlt74707468"/>
      <w:bookmarkEnd w:id="205"/>
      <w:bookmarkStart w:id="206" w:name="_Hlt75236290"/>
      <w:bookmarkEnd w:id="206"/>
      <w:bookmarkStart w:id="207" w:name="_Hlt74729768"/>
      <w:bookmarkEnd w:id="207"/>
      <w:bookmarkStart w:id="208" w:name="_Hlt68072990"/>
      <w:bookmarkEnd w:id="208"/>
      <w:bookmarkStart w:id="209" w:name="_Hlt68073093"/>
      <w:bookmarkEnd w:id="209"/>
      <w:bookmarkStart w:id="210" w:name="_Hlt68057669"/>
      <w:bookmarkEnd w:id="210"/>
      <w:bookmarkStart w:id="211" w:name="_Hlt68072998"/>
      <w:bookmarkEnd w:id="211"/>
      <w:bookmarkStart w:id="212" w:name="_Hlt75236011"/>
      <w:bookmarkEnd w:id="212"/>
      <w:r>
        <w:rPr>
          <w:rFonts w:hint="eastAsia" w:ascii="宋体" w:hAnsi="宋体"/>
          <w:bCs/>
          <w:sz w:val="22"/>
          <w:szCs w:val="22"/>
          <w:highlight w:val="none"/>
        </w:rPr>
        <w:t>履约验收费用由中标人承担，因中标人原因造成验收不通过的，再次验收的费用仍由中标人承担。</w:t>
      </w:r>
    </w:p>
    <w:p w14:paraId="7587DC55">
      <w:pPr>
        <w:numPr>
          <w:ilvl w:val="1"/>
          <w:numId w:val="1"/>
        </w:numPr>
        <w:tabs>
          <w:tab w:val="left" w:pos="540"/>
          <w:tab w:val="left" w:pos="635"/>
          <w:tab w:val="left" w:pos="900"/>
        </w:tabs>
        <w:wordWrap w:val="0"/>
        <w:spacing w:line="360" w:lineRule="auto"/>
        <w:rPr>
          <w:rFonts w:ascii="宋体" w:hAnsi="宋体"/>
          <w:bCs/>
          <w:sz w:val="22"/>
          <w:szCs w:val="22"/>
          <w:highlight w:val="none"/>
        </w:rPr>
      </w:pPr>
      <w:r>
        <w:rPr>
          <w:rFonts w:hint="eastAsia" w:ascii="宋体" w:hAnsi="宋体"/>
          <w:bCs/>
          <w:sz w:val="22"/>
          <w:szCs w:val="22"/>
          <w:highlight w:val="none"/>
        </w:rPr>
        <w:t>本项目履约验收参照《温州市政府采购履约验收办法》(温财采[2020]6号)相关规定。</w:t>
      </w:r>
      <w:r>
        <w:rPr>
          <w:rFonts w:ascii="宋体" w:hAnsi="宋体"/>
          <w:bCs/>
          <w:sz w:val="22"/>
          <w:szCs w:val="22"/>
          <w:highlight w:val="none"/>
        </w:rPr>
        <w:t>验收小组应包含相关专业人员，中标单位工作人员不得参加验收小组。验收结束后，验收小组应当出具验收报告。</w:t>
      </w:r>
    </w:p>
    <w:p w14:paraId="436E322E">
      <w:pPr>
        <w:numPr>
          <w:ilvl w:val="1"/>
          <w:numId w:val="1"/>
        </w:numPr>
        <w:tabs>
          <w:tab w:val="left" w:pos="540"/>
          <w:tab w:val="left" w:pos="635"/>
          <w:tab w:val="left" w:pos="900"/>
        </w:tabs>
        <w:wordWrap w:val="0"/>
        <w:spacing w:line="360" w:lineRule="auto"/>
        <w:rPr>
          <w:highlight w:val="none"/>
        </w:rPr>
      </w:pPr>
      <w:r>
        <w:rPr>
          <w:rFonts w:hint="eastAsia" w:ascii="宋体" w:hAnsi="宋体"/>
          <w:bCs/>
          <w:sz w:val="22"/>
          <w:szCs w:val="22"/>
          <w:highlight w:val="none"/>
        </w:rPr>
        <w:t>政府采购合同履约验收情况应在“政采云”平台履约验收管理系统留痕和记录。</w:t>
      </w:r>
    </w:p>
    <w:p w14:paraId="51CD5A92">
      <w:pPr>
        <w:pStyle w:val="4"/>
        <w:spacing w:line="400" w:lineRule="exact"/>
        <w:jc w:val="center"/>
        <w:rPr>
          <w:rFonts w:ascii="宋体" w:hAnsi="宋体" w:eastAsia="宋体" w:cs="Courier New"/>
          <w:highlight w:val="none"/>
        </w:rPr>
      </w:pPr>
      <w:bookmarkStart w:id="213" w:name="_Toc146181151"/>
      <w:r>
        <w:rPr>
          <w:rFonts w:hint="eastAsia" w:ascii="宋体" w:hAnsi="宋体" w:eastAsia="宋体" w:cs="Courier New"/>
          <w:highlight w:val="none"/>
        </w:rPr>
        <w:t>十一、 其他</w:t>
      </w:r>
      <w:bookmarkEnd w:id="213"/>
    </w:p>
    <w:p w14:paraId="4E18622A">
      <w:pPr>
        <w:numPr>
          <w:ilvl w:val="0"/>
          <w:numId w:val="1"/>
        </w:numPr>
        <w:tabs>
          <w:tab w:val="left" w:pos="540"/>
          <w:tab w:val="left" w:pos="900"/>
        </w:tabs>
        <w:spacing w:line="360" w:lineRule="auto"/>
        <w:rPr>
          <w:rFonts w:ascii="宋体" w:hAnsi="宋体" w:cs="Courier New"/>
          <w:sz w:val="22"/>
          <w:szCs w:val="22"/>
          <w:highlight w:val="none"/>
        </w:rPr>
      </w:pPr>
      <w:r>
        <w:rPr>
          <w:rFonts w:hint="eastAsia" w:ascii="宋体" w:hAnsi="宋体" w:cs="Courier New"/>
          <w:sz w:val="22"/>
          <w:szCs w:val="22"/>
          <w:highlight w:val="none"/>
        </w:rPr>
        <w:t>采购代理服务费</w:t>
      </w:r>
    </w:p>
    <w:p w14:paraId="187AB7E8">
      <w:pPr>
        <w:numPr>
          <w:ilvl w:val="1"/>
          <w:numId w:val="1"/>
        </w:numPr>
        <w:tabs>
          <w:tab w:val="left" w:pos="540"/>
          <w:tab w:val="left" w:pos="635"/>
          <w:tab w:val="left" w:pos="900"/>
        </w:tabs>
        <w:spacing w:line="360" w:lineRule="auto"/>
        <w:rPr>
          <w:rFonts w:ascii="宋体" w:hAnsi="宋体"/>
          <w:sz w:val="22"/>
          <w:szCs w:val="22"/>
          <w:highlight w:val="none"/>
        </w:rPr>
      </w:pPr>
      <w:bookmarkStart w:id="214" w:name="_Toc216667826"/>
      <w:bookmarkStart w:id="215" w:name="_Toc218041732"/>
      <w:bookmarkStart w:id="216" w:name="_Toc227489893"/>
      <w:bookmarkStart w:id="217" w:name="_Toc227056852"/>
      <w:bookmarkStart w:id="218" w:name="_Toc215415536"/>
      <w:bookmarkStart w:id="219" w:name="_Toc227057039"/>
      <w:bookmarkStart w:id="220" w:name="_Toc223717610"/>
      <w:bookmarkStart w:id="221" w:name="_Toc219538619"/>
      <w:bookmarkStart w:id="222" w:name="_Toc217460691"/>
      <w:bookmarkStart w:id="223" w:name="_Hlk36489029"/>
      <w:bookmarkStart w:id="224" w:name="_Toc223933227"/>
      <w:r>
        <w:rPr>
          <w:rFonts w:hint="eastAsia" w:ascii="宋体" w:hAnsi="宋体"/>
          <w:bCs/>
          <w:sz w:val="22"/>
          <w:szCs w:val="22"/>
          <w:highlight w:val="none"/>
        </w:rPr>
        <w:t>本次采购代理服务费</w:t>
      </w:r>
      <w:r>
        <w:rPr>
          <w:rFonts w:hint="eastAsia" w:ascii="宋体" w:hAnsi="宋体"/>
          <w:sz w:val="22"/>
          <w:szCs w:val="22"/>
          <w:highlight w:val="none"/>
        </w:rPr>
        <w:t>根据项目预算参考国家计委计价格</w:t>
      </w:r>
      <w:bookmarkStart w:id="225" w:name="_Hlk153219677"/>
      <w:r>
        <w:rPr>
          <w:rFonts w:ascii="宋体" w:hAnsi="宋体"/>
          <w:sz w:val="22"/>
          <w:szCs w:val="22"/>
          <w:highlight w:val="none"/>
        </w:rPr>
        <w:t>[</w:t>
      </w:r>
      <w:bookmarkEnd w:id="225"/>
      <w:r>
        <w:rPr>
          <w:rFonts w:hint="eastAsia" w:ascii="宋体" w:hAnsi="宋体"/>
          <w:sz w:val="22"/>
          <w:szCs w:val="22"/>
          <w:highlight w:val="none"/>
        </w:rPr>
        <w:t>2002]1980号规定的服务类标准</w:t>
      </w:r>
      <w:r>
        <w:rPr>
          <w:rFonts w:hint="eastAsia" w:ascii="宋体" w:hAnsi="宋体"/>
          <w:sz w:val="22"/>
          <w:szCs w:val="22"/>
          <w:highlight w:val="none"/>
          <w:lang w:val="en-US" w:eastAsia="zh-CN"/>
        </w:rPr>
        <w:t>90%</w:t>
      </w:r>
      <w:r>
        <w:rPr>
          <w:rFonts w:hint="eastAsia" w:ascii="宋体" w:hAnsi="宋体"/>
          <w:sz w:val="22"/>
          <w:szCs w:val="22"/>
          <w:highlight w:val="none"/>
        </w:rPr>
        <w:t>收取，由中标人在领取中标（成交）通知书之前将该代理服务费用支付给</w:t>
      </w:r>
      <w:r>
        <w:rPr>
          <w:rFonts w:hint="eastAsia" w:ascii="宋体" w:hAnsi="宋体"/>
          <w:sz w:val="22"/>
          <w:szCs w:val="22"/>
          <w:highlight w:val="none"/>
          <w:lang w:eastAsia="zh-CN"/>
        </w:rPr>
        <w:t>浙江华浦工程管理有限公司</w:t>
      </w:r>
      <w:r>
        <w:rPr>
          <w:rFonts w:hint="eastAsia" w:ascii="宋体" w:hAnsi="宋体"/>
          <w:sz w:val="22"/>
          <w:szCs w:val="22"/>
          <w:highlight w:val="none"/>
        </w:rPr>
        <w:t>。</w:t>
      </w:r>
      <w:bookmarkStart w:id="226" w:name="_Hlk101877369"/>
      <w:r>
        <w:rPr>
          <w:rFonts w:hint="eastAsia" w:ascii="宋体" w:hAnsi="宋体"/>
          <w:sz w:val="22"/>
          <w:szCs w:val="22"/>
          <w:highlight w:val="none"/>
        </w:rPr>
        <w:t>投标人在报价中综合考虑，今后采购人不再另行支付。</w:t>
      </w:r>
      <w:bookmarkEnd w:id="226"/>
    </w:p>
    <w:p w14:paraId="4510C9D6">
      <w:pPr>
        <w:numPr>
          <w:ilvl w:val="1"/>
          <w:numId w:val="1"/>
        </w:numPr>
        <w:tabs>
          <w:tab w:val="left" w:pos="540"/>
          <w:tab w:val="left" w:pos="635"/>
          <w:tab w:val="left" w:pos="900"/>
        </w:tabs>
        <w:spacing w:line="360" w:lineRule="auto"/>
        <w:rPr>
          <w:rFonts w:ascii="宋体" w:hAnsi="宋体"/>
          <w:sz w:val="22"/>
          <w:szCs w:val="22"/>
          <w:highlight w:val="none"/>
        </w:rPr>
      </w:pPr>
      <w:r>
        <w:rPr>
          <w:rFonts w:hint="eastAsia" w:ascii="宋体" w:hAnsi="宋体"/>
          <w:sz w:val="22"/>
          <w:szCs w:val="22"/>
          <w:highlight w:val="none"/>
        </w:rPr>
        <w:t>采购代理服务费可以是现金、转账。中标人逾期支付代理服务费，须承担代理服务费每日百分之三的违约金，逾期三十日未支付的，采购代理机构有权向温州仲裁委员会对中标人提起仲裁，仲裁费用（包括仲裁受理费和仲裁处理费）均由中标人承担。</w:t>
      </w:r>
    </w:p>
    <w:p w14:paraId="301BF4A1">
      <w:pPr>
        <w:numPr>
          <w:ilvl w:val="1"/>
          <w:numId w:val="1"/>
        </w:numPr>
        <w:tabs>
          <w:tab w:val="left" w:pos="540"/>
          <w:tab w:val="left" w:pos="635"/>
          <w:tab w:val="left" w:pos="900"/>
        </w:tabs>
        <w:spacing w:line="360" w:lineRule="auto"/>
        <w:rPr>
          <w:rFonts w:ascii="宋体" w:hAnsi="宋体"/>
          <w:sz w:val="22"/>
          <w:szCs w:val="22"/>
          <w:highlight w:val="none"/>
        </w:rPr>
      </w:pPr>
      <w:r>
        <w:rPr>
          <w:rFonts w:hint="eastAsia" w:ascii="宋体" w:hAnsi="宋体"/>
          <w:sz w:val="22"/>
          <w:szCs w:val="22"/>
          <w:highlight w:val="none"/>
        </w:rPr>
        <w:t>中标人确定后，中标人拒绝签订合同的，或因自身原因被取消中标资格或放弃中标的，已收取的采购代理服务费不予退还，未支付的采购代理服务费从中标人的赔偿款中扣缴。</w:t>
      </w:r>
    </w:p>
    <w:p w14:paraId="3B848ED1">
      <w:pPr>
        <w:numPr>
          <w:ilvl w:val="1"/>
          <w:numId w:val="1"/>
        </w:numPr>
        <w:tabs>
          <w:tab w:val="left" w:pos="540"/>
          <w:tab w:val="left" w:pos="635"/>
          <w:tab w:val="left" w:pos="900"/>
        </w:tabs>
        <w:spacing w:line="360" w:lineRule="auto"/>
        <w:rPr>
          <w:rFonts w:ascii="宋体" w:hAnsi="宋体"/>
          <w:sz w:val="22"/>
          <w:szCs w:val="22"/>
          <w:highlight w:val="none"/>
        </w:rPr>
      </w:pPr>
      <w:r>
        <w:rPr>
          <w:rFonts w:hint="eastAsia" w:ascii="宋体" w:hAnsi="宋体"/>
          <w:sz w:val="22"/>
          <w:szCs w:val="22"/>
          <w:highlight w:val="none"/>
        </w:rPr>
        <w:t>账号信息</w:t>
      </w:r>
    </w:p>
    <w:bookmarkEnd w:id="214"/>
    <w:bookmarkEnd w:id="215"/>
    <w:bookmarkEnd w:id="216"/>
    <w:bookmarkEnd w:id="217"/>
    <w:bookmarkEnd w:id="218"/>
    <w:bookmarkEnd w:id="219"/>
    <w:bookmarkEnd w:id="220"/>
    <w:bookmarkEnd w:id="221"/>
    <w:bookmarkEnd w:id="222"/>
    <w:bookmarkEnd w:id="223"/>
    <w:bookmarkEnd w:id="224"/>
    <w:p w14:paraId="4150AA4A">
      <w:pPr>
        <w:tabs>
          <w:tab w:val="left" w:pos="540"/>
          <w:tab w:val="left" w:pos="635"/>
          <w:tab w:val="left" w:pos="900"/>
        </w:tabs>
        <w:spacing w:line="360" w:lineRule="auto"/>
        <w:ind w:left="567"/>
        <w:rPr>
          <w:rFonts w:ascii="宋体" w:hAnsi="宋体"/>
          <w:sz w:val="22"/>
          <w:szCs w:val="22"/>
          <w:highlight w:val="none"/>
        </w:rPr>
      </w:pPr>
      <w:bookmarkStart w:id="227" w:name="_Toc134877128"/>
      <w:r>
        <w:rPr>
          <w:rFonts w:hint="eastAsia" w:ascii="宋体" w:hAnsi="宋体"/>
          <w:sz w:val="22"/>
          <w:szCs w:val="22"/>
          <w:highlight w:val="none"/>
        </w:rPr>
        <w:t>户名:浙江华浦工程管理有限公司</w:t>
      </w:r>
    </w:p>
    <w:p w14:paraId="5EEF6F4A">
      <w:pPr>
        <w:tabs>
          <w:tab w:val="left" w:pos="540"/>
          <w:tab w:val="left" w:pos="635"/>
          <w:tab w:val="left" w:pos="900"/>
        </w:tabs>
        <w:spacing w:line="360" w:lineRule="auto"/>
        <w:ind w:left="567"/>
        <w:rPr>
          <w:rFonts w:hint="eastAsia" w:ascii="宋体" w:hAnsi="宋体"/>
          <w:sz w:val="22"/>
          <w:szCs w:val="22"/>
          <w:highlight w:val="none"/>
          <w:lang w:val="en-US" w:eastAsia="zh-CN"/>
        </w:rPr>
      </w:pPr>
      <w:r>
        <w:rPr>
          <w:rFonts w:hint="eastAsia" w:ascii="宋体" w:hAnsi="宋体"/>
          <w:sz w:val="22"/>
          <w:szCs w:val="22"/>
          <w:highlight w:val="none"/>
          <w:lang w:val="en-US" w:eastAsia="zh-CN"/>
        </w:rPr>
        <w:t>开户行：中国建设银行股份有限公司温州小南支行</w:t>
      </w:r>
    </w:p>
    <w:p w14:paraId="292EEEC6">
      <w:pPr>
        <w:tabs>
          <w:tab w:val="left" w:pos="540"/>
          <w:tab w:val="left" w:pos="635"/>
          <w:tab w:val="left" w:pos="900"/>
        </w:tabs>
        <w:spacing w:line="360" w:lineRule="auto"/>
        <w:ind w:left="567"/>
        <w:rPr>
          <w:rFonts w:ascii="宋体" w:hAnsi="宋体"/>
          <w:sz w:val="22"/>
          <w:szCs w:val="22"/>
          <w:highlight w:val="none"/>
        </w:rPr>
      </w:pPr>
      <w:r>
        <w:rPr>
          <w:rFonts w:hint="eastAsia" w:ascii="宋体" w:hAnsi="宋体"/>
          <w:sz w:val="22"/>
          <w:szCs w:val="22"/>
          <w:highlight w:val="none"/>
          <w:lang w:val="en-US" w:eastAsia="zh-CN"/>
        </w:rPr>
        <w:t>账号：33001628785053000189</w:t>
      </w:r>
    </w:p>
    <w:p w14:paraId="15004338">
      <w:pPr>
        <w:pStyle w:val="3"/>
        <w:keepLines/>
        <w:pageBreakBefore/>
        <w:spacing w:before="240" w:beforeLines="100"/>
        <w:rPr>
          <w:rFonts w:ascii="宋体" w:hAnsi="宋体" w:eastAsia="宋体" w:cs="Courier New"/>
          <w:sz w:val="44"/>
          <w:szCs w:val="44"/>
          <w:highlight w:val="none"/>
        </w:rPr>
      </w:pPr>
      <w:bookmarkStart w:id="228" w:name="_Toc146181152"/>
      <w:r>
        <w:rPr>
          <w:rFonts w:hint="eastAsia" w:ascii="宋体" w:hAnsi="宋体" w:eastAsia="宋体" w:cs="Courier New"/>
          <w:sz w:val="44"/>
          <w:szCs w:val="44"/>
          <w:highlight w:val="none"/>
        </w:rPr>
        <w:t>第二部分   应提交的有关格式范例</w:t>
      </w:r>
      <w:bookmarkEnd w:id="227"/>
      <w:bookmarkEnd w:id="228"/>
    </w:p>
    <w:p w14:paraId="461F671A">
      <w:pPr>
        <w:rPr>
          <w:rFonts w:ascii="宋体" w:hAnsi="宋体"/>
          <w:highlight w:val="none"/>
        </w:rPr>
      </w:pPr>
    </w:p>
    <w:p w14:paraId="3DC32D48">
      <w:pPr>
        <w:snapToGrid w:val="0"/>
        <w:spacing w:line="360" w:lineRule="auto"/>
        <w:rPr>
          <w:rFonts w:ascii="宋体" w:hAnsi="宋体" w:cs="宋体"/>
          <w:b/>
          <w:sz w:val="24"/>
          <w:highlight w:val="none"/>
        </w:rPr>
      </w:pPr>
      <w:r>
        <w:rPr>
          <w:rFonts w:hint="eastAsia" w:ascii="宋体" w:hAnsi="宋体" w:cs="宋体"/>
          <w:b/>
          <w:sz w:val="24"/>
          <w:highlight w:val="none"/>
        </w:rPr>
        <w:t>投标人提交投标文件须知：</w:t>
      </w:r>
    </w:p>
    <w:p w14:paraId="03ACFF0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1、投标人应按照招标文件要求提交下述规定的全部格式文件以及其他有关资料，混乱的编排或未关联定位导致投标文件被误读或评标委员会查找不到有效文件是投标人的风险。</w:t>
      </w:r>
    </w:p>
    <w:p w14:paraId="1EC030D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2、所附表格中要求回答的全部问题和/或信息都必须正面回答。</w:t>
      </w:r>
    </w:p>
    <w:p w14:paraId="4E1D9F2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3、签字人应保证全部声明和问题的回答是真实的和准确的。</w:t>
      </w:r>
    </w:p>
    <w:p w14:paraId="616EDA0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4、评标委员会将应用投标人提交的资料作出自己的判断。</w:t>
      </w:r>
    </w:p>
    <w:p w14:paraId="74B02AD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5、投标人提交的材料将在一定期限内被保密保存，但不退还。</w:t>
      </w:r>
    </w:p>
    <w:p w14:paraId="25687F8E">
      <w:pPr>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6、全部文件应按投标人须知中规定的语言和份数提交。投标文件组成漏项或未按规定的格式编制，内容不全或内容字迹模糊辨认不清的情况，</w:t>
      </w:r>
      <w:r>
        <w:rPr>
          <w:rFonts w:hint="eastAsia" w:ascii="宋体" w:hAnsi="宋体" w:cs="宋体"/>
          <w:b/>
          <w:sz w:val="24"/>
          <w:highlight w:val="none"/>
        </w:rPr>
        <w:t>将有可能被评标委员会认定为</w:t>
      </w:r>
      <w:r>
        <w:rPr>
          <w:rFonts w:hint="eastAsia" w:ascii="宋体" w:hAnsi="宋体" w:cs="宋体"/>
          <w:b/>
          <w:bCs/>
          <w:sz w:val="24"/>
          <w:highlight w:val="none"/>
        </w:rPr>
        <w:t>投标无效</w:t>
      </w:r>
      <w:r>
        <w:rPr>
          <w:rFonts w:hint="eastAsia" w:ascii="宋体" w:hAnsi="宋体" w:cs="宋体"/>
          <w:b/>
          <w:sz w:val="24"/>
          <w:highlight w:val="none"/>
        </w:rPr>
        <w:t>。</w:t>
      </w:r>
    </w:p>
    <w:p w14:paraId="34F23165">
      <w:pPr>
        <w:snapToGrid w:val="0"/>
        <w:spacing w:line="360" w:lineRule="auto"/>
        <w:ind w:firstLine="482" w:firstLineChars="200"/>
        <w:rPr>
          <w:rFonts w:ascii="宋体" w:hAnsi="宋体" w:cs="宋体"/>
          <w:b/>
          <w:sz w:val="24"/>
          <w:highlight w:val="none"/>
          <w:u w:val="single"/>
        </w:rPr>
      </w:pPr>
      <w:r>
        <w:rPr>
          <w:rFonts w:hint="eastAsia" w:ascii="宋体" w:hAnsi="宋体" w:cs="宋体"/>
          <w:b/>
          <w:sz w:val="24"/>
          <w:highlight w:val="none"/>
          <w:u w:val="single"/>
        </w:rPr>
        <w:t>7、要求中涉及提供证明（或材料）复印件的，也可提供扫描件制作进投标文件内。</w:t>
      </w:r>
    </w:p>
    <w:p w14:paraId="4A5DBC1E">
      <w:pPr>
        <w:snapToGrid w:val="0"/>
        <w:spacing w:line="360" w:lineRule="auto"/>
        <w:ind w:firstLine="482" w:firstLineChars="200"/>
        <w:rPr>
          <w:rFonts w:ascii="宋体" w:hAnsi="宋体" w:cs="宋体"/>
          <w:b/>
          <w:sz w:val="24"/>
          <w:highlight w:val="none"/>
          <w:u w:val="single"/>
        </w:rPr>
      </w:pPr>
      <w:r>
        <w:rPr>
          <w:rFonts w:ascii="宋体" w:hAnsi="宋体" w:cs="宋体"/>
          <w:b/>
          <w:sz w:val="24"/>
          <w:highlight w:val="none"/>
          <w:u w:val="single"/>
        </w:rPr>
        <w:t>8</w:t>
      </w:r>
      <w:r>
        <w:rPr>
          <w:rFonts w:hint="eastAsia" w:ascii="宋体" w:hAnsi="宋体" w:cs="宋体"/>
          <w:b/>
          <w:sz w:val="24"/>
          <w:highlight w:val="none"/>
          <w:u w:val="single"/>
        </w:rPr>
        <w:t>、投标人可在投标文件中对“采购内容及要求”中涉及到的服务要求、标准选用替代，但这些替代的标准要优于或相当于项目采购需求中要求的标准，并满足采购人的需要，同时在偏离表中作出详细说明。</w:t>
      </w:r>
    </w:p>
    <w:p w14:paraId="0906AF3B">
      <w:pPr>
        <w:snapToGrid w:val="0"/>
        <w:spacing w:line="360" w:lineRule="auto"/>
        <w:ind w:firstLine="482" w:firstLineChars="200"/>
        <w:rPr>
          <w:rFonts w:ascii="宋体" w:hAnsi="宋体" w:cs="宋体"/>
          <w:b/>
          <w:sz w:val="24"/>
          <w:highlight w:val="none"/>
          <w:u w:val="single"/>
        </w:rPr>
      </w:pPr>
      <w:r>
        <w:rPr>
          <w:rFonts w:ascii="宋体" w:hAnsi="宋体" w:cs="宋体"/>
          <w:b/>
          <w:sz w:val="24"/>
          <w:highlight w:val="none"/>
          <w:u w:val="single"/>
        </w:rPr>
        <w:t>9</w:t>
      </w:r>
      <w:r>
        <w:rPr>
          <w:rFonts w:hint="eastAsia" w:ascii="宋体" w:hAnsi="宋体" w:cs="宋体"/>
          <w:b/>
          <w:sz w:val="24"/>
          <w:highlight w:val="none"/>
          <w:u w:val="single"/>
        </w:rPr>
        <w:t>、招标文件“采购内容及要求”中提供的可能涉及到的工艺、材料、设备、商标、样本、技术规范、参数规格、品牌等，仅作为说明并没有限制性，投标人在投标时可以选用替代，但这些替代的品牌、产品技术标准要优于或相当于项目采购需求中要求的标准，以满足采购人的需要。</w:t>
      </w:r>
    </w:p>
    <w:p w14:paraId="607D263A">
      <w:pPr>
        <w:snapToGrid w:val="0"/>
        <w:spacing w:line="360" w:lineRule="auto"/>
        <w:ind w:firstLine="480" w:firstLineChars="200"/>
        <w:rPr>
          <w:rFonts w:ascii="宋体" w:hAnsi="宋体"/>
          <w:highlight w:val="none"/>
        </w:rPr>
      </w:pPr>
      <w:r>
        <w:rPr>
          <w:rFonts w:ascii="宋体" w:hAnsi="宋体" w:cs="宋体"/>
          <w:sz w:val="24"/>
          <w:highlight w:val="none"/>
        </w:rPr>
        <w:t>10</w:t>
      </w:r>
      <w:r>
        <w:rPr>
          <w:rFonts w:hint="eastAsia" w:ascii="宋体" w:hAnsi="宋体" w:cs="宋体"/>
          <w:sz w:val="24"/>
          <w:highlight w:val="none"/>
        </w:rPr>
        <w:t>、商务技术文件目录格式自拟。</w:t>
      </w:r>
    </w:p>
    <w:p w14:paraId="3C3056F6">
      <w:pPr>
        <w:rPr>
          <w:rFonts w:ascii="宋体" w:hAnsi="宋体"/>
          <w:highlight w:val="none"/>
        </w:rPr>
      </w:pPr>
    </w:p>
    <w:p w14:paraId="2584F7AE">
      <w:pPr>
        <w:rPr>
          <w:rFonts w:ascii="宋体" w:hAnsi="宋体"/>
          <w:highlight w:val="none"/>
        </w:rPr>
      </w:pPr>
    </w:p>
    <w:p w14:paraId="791E9FA8">
      <w:pPr>
        <w:pStyle w:val="5"/>
        <w:keepNext/>
        <w:widowControl w:val="0"/>
        <w:autoSpaceDE/>
        <w:autoSpaceDN/>
        <w:adjustRightInd/>
        <w:spacing w:before="0" w:line="360" w:lineRule="auto"/>
        <w:jc w:val="center"/>
        <w:rPr>
          <w:rFonts w:ascii="宋体" w:hAnsi="宋体" w:eastAsia="宋体"/>
          <w:bCs/>
          <w:highlight w:val="none"/>
        </w:rPr>
      </w:pPr>
      <w:r>
        <w:rPr>
          <w:rFonts w:ascii="宋体" w:hAnsi="宋体" w:eastAsia="宋体"/>
          <w:bCs/>
          <w:highlight w:val="none"/>
        </w:rPr>
        <w:br w:type="page"/>
      </w:r>
    </w:p>
    <w:p w14:paraId="26DFDAE2">
      <w:pPr>
        <w:rPr>
          <w:rFonts w:ascii="宋体" w:hAnsi="宋体"/>
          <w:highlight w:val="none"/>
        </w:rPr>
      </w:pPr>
    </w:p>
    <w:p w14:paraId="74DCC479">
      <w:pPr>
        <w:pStyle w:val="5"/>
        <w:keepNext/>
        <w:widowControl w:val="0"/>
        <w:autoSpaceDE/>
        <w:autoSpaceDN/>
        <w:adjustRightInd/>
        <w:spacing w:before="0" w:line="360" w:lineRule="auto"/>
        <w:jc w:val="center"/>
        <w:rPr>
          <w:rFonts w:ascii="宋体" w:hAnsi="宋体" w:eastAsia="宋体"/>
          <w:b/>
          <w:bCs/>
          <w:sz w:val="44"/>
          <w:szCs w:val="26"/>
          <w:highlight w:val="none"/>
        </w:rPr>
      </w:pPr>
      <w:bookmarkStart w:id="229" w:name="_Toc134877129"/>
      <w:bookmarkStart w:id="230" w:name="_Toc146181153"/>
      <w:r>
        <w:rPr>
          <w:rFonts w:hint="eastAsia" w:ascii="宋体" w:hAnsi="宋体" w:eastAsia="宋体"/>
          <w:b/>
          <w:bCs/>
          <w:sz w:val="44"/>
          <w:szCs w:val="26"/>
          <w:highlight w:val="none"/>
        </w:rPr>
        <w:t>资格文件</w:t>
      </w:r>
      <w:bookmarkEnd w:id="229"/>
      <w:bookmarkEnd w:id="230"/>
    </w:p>
    <w:p w14:paraId="546A54E2">
      <w:pPr>
        <w:pStyle w:val="242"/>
        <w:numPr>
          <w:ilvl w:val="0"/>
          <w:numId w:val="21"/>
        </w:numPr>
        <w:tabs>
          <w:tab w:val="left" w:pos="0"/>
          <w:tab w:val="left" w:pos="600"/>
        </w:tabs>
        <w:spacing w:line="400" w:lineRule="exact"/>
        <w:ind w:firstLineChars="0"/>
        <w:jc w:val="center"/>
        <w:rPr>
          <w:rFonts w:ascii="宋体" w:hAnsi="宋体" w:cs="Times New Roman"/>
          <w:b/>
          <w:bCs/>
          <w:sz w:val="28"/>
          <w:szCs w:val="28"/>
          <w:highlight w:val="none"/>
        </w:rPr>
      </w:pPr>
      <w:r>
        <w:rPr>
          <w:rFonts w:hint="eastAsia" w:ascii="宋体" w:hAnsi="宋体" w:cs="Times New Roman"/>
          <w:b/>
          <w:bCs/>
          <w:sz w:val="28"/>
          <w:szCs w:val="28"/>
          <w:highlight w:val="none"/>
        </w:rPr>
        <w:t>资格声明书</w:t>
      </w:r>
    </w:p>
    <w:p w14:paraId="0E4756EB">
      <w:pPr>
        <w:pStyle w:val="21"/>
        <w:spacing w:line="360" w:lineRule="auto"/>
        <w:rPr>
          <w:rFonts w:ascii="宋体" w:hAnsi="宋体" w:eastAsia="宋体" w:cs="Courier New"/>
          <w:sz w:val="22"/>
          <w:szCs w:val="22"/>
          <w:highlight w:val="none"/>
        </w:rPr>
      </w:pPr>
      <w:r>
        <w:rPr>
          <w:rFonts w:hint="eastAsia" w:ascii="宋体" w:hAnsi="宋体" w:eastAsia="宋体" w:cs="Courier New"/>
          <w:sz w:val="22"/>
          <w:szCs w:val="22"/>
          <w:highlight w:val="none"/>
          <w:lang w:eastAsia="zh-CN"/>
        </w:rPr>
        <w:t>温州市瓯海区农业农村局</w:t>
      </w:r>
      <w:r>
        <w:rPr>
          <w:rFonts w:hint="eastAsia" w:ascii="宋体" w:hAnsi="宋体" w:eastAsia="宋体" w:cs="Courier New"/>
          <w:sz w:val="22"/>
          <w:szCs w:val="22"/>
          <w:highlight w:val="none"/>
        </w:rPr>
        <w:t>：</w:t>
      </w:r>
    </w:p>
    <w:p w14:paraId="61DE2FAA">
      <w:pPr>
        <w:pStyle w:val="21"/>
        <w:spacing w:line="360" w:lineRule="auto"/>
        <w:rPr>
          <w:rFonts w:ascii="宋体" w:hAnsi="宋体" w:eastAsia="宋体" w:cs="Courier New"/>
          <w:sz w:val="22"/>
          <w:szCs w:val="22"/>
          <w:highlight w:val="none"/>
        </w:rPr>
      </w:pPr>
      <w:r>
        <w:rPr>
          <w:rFonts w:hint="eastAsia" w:ascii="宋体" w:hAnsi="宋体" w:eastAsia="宋体" w:cs="Courier New"/>
          <w:sz w:val="22"/>
          <w:szCs w:val="22"/>
          <w:highlight w:val="none"/>
          <w:lang w:eastAsia="zh-CN"/>
        </w:rPr>
        <w:t>浙江华浦工程管理有限公司</w:t>
      </w:r>
      <w:r>
        <w:rPr>
          <w:rFonts w:hint="eastAsia" w:ascii="宋体" w:hAnsi="宋体" w:eastAsia="宋体" w:cs="Courier New"/>
          <w:sz w:val="22"/>
          <w:szCs w:val="22"/>
          <w:highlight w:val="none"/>
        </w:rPr>
        <w:t>：</w:t>
      </w:r>
    </w:p>
    <w:p w14:paraId="23D772BD">
      <w:pPr>
        <w:pStyle w:val="21"/>
        <w:spacing w:line="360" w:lineRule="auto"/>
        <w:ind w:firstLine="440" w:firstLineChars="200"/>
        <w:rPr>
          <w:rFonts w:ascii="宋体" w:hAnsi="宋体" w:eastAsia="宋体" w:cs="Courier New"/>
          <w:sz w:val="22"/>
          <w:szCs w:val="22"/>
          <w:highlight w:val="none"/>
        </w:rPr>
      </w:pPr>
      <w:r>
        <w:rPr>
          <w:rFonts w:hint="eastAsia" w:ascii="宋体" w:hAnsi="宋体" w:eastAsia="宋体" w:cs="Courier New"/>
          <w:sz w:val="22"/>
          <w:szCs w:val="22"/>
          <w:highlight w:val="none"/>
        </w:rPr>
        <w:t>我方此次参加本项目采购活动，郑重承诺：</w:t>
      </w:r>
    </w:p>
    <w:p w14:paraId="1B59784E">
      <w:pPr>
        <w:pStyle w:val="21"/>
        <w:spacing w:line="360" w:lineRule="auto"/>
        <w:ind w:firstLine="440" w:firstLineChars="200"/>
        <w:rPr>
          <w:rFonts w:ascii="宋体" w:hAnsi="宋体" w:eastAsia="宋体" w:cs="Courier New"/>
          <w:sz w:val="22"/>
          <w:szCs w:val="22"/>
          <w:highlight w:val="none"/>
        </w:rPr>
      </w:pPr>
      <w:r>
        <w:rPr>
          <w:rFonts w:hint="eastAsia" w:ascii="宋体" w:hAnsi="宋体" w:eastAsia="宋体" w:cs="Courier New"/>
          <w:sz w:val="22"/>
          <w:szCs w:val="22"/>
          <w:highlight w:val="none"/>
        </w:rPr>
        <w:t>（一）满足《中华人民共和国政府采购法》第二十二条第一款规定的条件：</w:t>
      </w:r>
    </w:p>
    <w:p w14:paraId="5269124A">
      <w:pPr>
        <w:pStyle w:val="21"/>
        <w:spacing w:line="360" w:lineRule="auto"/>
        <w:ind w:firstLine="440" w:firstLineChars="200"/>
        <w:rPr>
          <w:rFonts w:ascii="宋体" w:hAnsi="宋体" w:eastAsia="宋体" w:cs="Courier New"/>
          <w:sz w:val="22"/>
          <w:szCs w:val="22"/>
          <w:highlight w:val="none"/>
        </w:rPr>
      </w:pPr>
      <w:r>
        <w:rPr>
          <w:rFonts w:hint="eastAsia" w:ascii="宋体" w:hAnsi="宋体" w:eastAsia="宋体" w:cs="Courier New"/>
          <w:sz w:val="22"/>
          <w:szCs w:val="22"/>
          <w:highlight w:val="none"/>
        </w:rPr>
        <w:t>1、</w:t>
      </w:r>
      <w:r>
        <w:rPr>
          <w:rFonts w:ascii="宋体" w:hAnsi="宋体" w:eastAsia="宋体" w:cs="Courier New"/>
          <w:sz w:val="22"/>
          <w:szCs w:val="22"/>
          <w:highlight w:val="none"/>
        </w:rPr>
        <w:t>具有独立承担民事责任的能力；</w:t>
      </w:r>
    </w:p>
    <w:p w14:paraId="23EF8570">
      <w:pPr>
        <w:pStyle w:val="21"/>
        <w:spacing w:line="360" w:lineRule="auto"/>
        <w:ind w:firstLine="440" w:firstLineChars="200"/>
        <w:rPr>
          <w:rFonts w:ascii="宋体" w:hAnsi="宋体" w:eastAsia="宋体" w:cs="Courier New"/>
          <w:sz w:val="22"/>
          <w:szCs w:val="22"/>
          <w:highlight w:val="none"/>
        </w:rPr>
      </w:pPr>
      <w:r>
        <w:rPr>
          <w:rFonts w:hint="eastAsia" w:ascii="宋体" w:hAnsi="宋体" w:eastAsia="宋体" w:cs="Courier New"/>
          <w:sz w:val="22"/>
          <w:szCs w:val="22"/>
          <w:highlight w:val="none"/>
        </w:rPr>
        <w:t>2、</w:t>
      </w:r>
      <w:r>
        <w:rPr>
          <w:rFonts w:ascii="宋体" w:hAnsi="宋体" w:eastAsia="宋体" w:cs="Courier New"/>
          <w:sz w:val="22"/>
          <w:szCs w:val="22"/>
          <w:highlight w:val="none"/>
        </w:rPr>
        <w:t xml:space="preserve">具有良好的商业信誉和健全的财务会计制度； </w:t>
      </w:r>
    </w:p>
    <w:p w14:paraId="36DEEA63">
      <w:pPr>
        <w:pStyle w:val="21"/>
        <w:spacing w:line="360" w:lineRule="auto"/>
        <w:ind w:firstLine="440" w:firstLineChars="200"/>
        <w:rPr>
          <w:rFonts w:ascii="宋体" w:hAnsi="宋体" w:eastAsia="宋体" w:cs="Courier New"/>
          <w:sz w:val="22"/>
          <w:szCs w:val="22"/>
          <w:highlight w:val="none"/>
        </w:rPr>
      </w:pPr>
      <w:r>
        <w:rPr>
          <w:rFonts w:hint="eastAsia" w:ascii="宋体" w:hAnsi="宋体" w:eastAsia="宋体" w:cs="Courier New"/>
          <w:sz w:val="22"/>
          <w:szCs w:val="22"/>
          <w:highlight w:val="none"/>
        </w:rPr>
        <w:t>3、</w:t>
      </w:r>
      <w:r>
        <w:rPr>
          <w:rFonts w:ascii="宋体" w:hAnsi="宋体" w:eastAsia="宋体" w:cs="Courier New"/>
          <w:sz w:val="22"/>
          <w:szCs w:val="22"/>
          <w:highlight w:val="none"/>
        </w:rPr>
        <w:t>具有履行合同所必需的设备和专业技术能力；</w:t>
      </w:r>
    </w:p>
    <w:p w14:paraId="20D2A37F">
      <w:pPr>
        <w:pStyle w:val="21"/>
        <w:spacing w:line="360" w:lineRule="auto"/>
        <w:ind w:firstLine="440" w:firstLineChars="200"/>
        <w:rPr>
          <w:rFonts w:ascii="宋体" w:hAnsi="宋体" w:eastAsia="宋体" w:cs="Courier New"/>
          <w:sz w:val="22"/>
          <w:szCs w:val="22"/>
          <w:highlight w:val="none"/>
        </w:rPr>
      </w:pPr>
      <w:r>
        <w:rPr>
          <w:rFonts w:hint="eastAsia" w:ascii="宋体" w:hAnsi="宋体" w:eastAsia="宋体" w:cs="Courier New"/>
          <w:sz w:val="22"/>
          <w:szCs w:val="22"/>
          <w:highlight w:val="none"/>
        </w:rPr>
        <w:t>4、</w:t>
      </w:r>
      <w:r>
        <w:rPr>
          <w:rFonts w:ascii="宋体" w:hAnsi="宋体" w:eastAsia="宋体" w:cs="Courier New"/>
          <w:sz w:val="22"/>
          <w:szCs w:val="22"/>
          <w:highlight w:val="none"/>
        </w:rPr>
        <w:t>有依法缴纳税收和社会保障资金的良好记录；</w:t>
      </w:r>
    </w:p>
    <w:p w14:paraId="4BD6F635">
      <w:pPr>
        <w:pStyle w:val="21"/>
        <w:spacing w:line="360" w:lineRule="auto"/>
        <w:ind w:firstLine="440" w:firstLineChars="200"/>
        <w:rPr>
          <w:rFonts w:ascii="宋体" w:hAnsi="宋体" w:eastAsia="宋体" w:cs="Courier New"/>
          <w:sz w:val="22"/>
          <w:szCs w:val="22"/>
          <w:highlight w:val="none"/>
        </w:rPr>
      </w:pPr>
      <w:r>
        <w:rPr>
          <w:rFonts w:hint="eastAsia" w:ascii="宋体" w:hAnsi="宋体" w:eastAsia="宋体" w:cs="Courier New"/>
          <w:sz w:val="22"/>
          <w:szCs w:val="22"/>
          <w:highlight w:val="none"/>
        </w:rPr>
        <w:t>5、</w:t>
      </w:r>
      <w:r>
        <w:rPr>
          <w:rFonts w:ascii="宋体" w:hAnsi="宋体" w:eastAsia="宋体" w:cs="Courier New"/>
          <w:sz w:val="22"/>
          <w:szCs w:val="22"/>
          <w:highlight w:val="none"/>
        </w:rPr>
        <w:t>参加政府采购活动前三年内，在经营活动中没有重大违法记录；</w:t>
      </w:r>
    </w:p>
    <w:p w14:paraId="10B03C81">
      <w:pPr>
        <w:pStyle w:val="21"/>
        <w:spacing w:line="360" w:lineRule="auto"/>
        <w:ind w:firstLine="440" w:firstLineChars="200"/>
        <w:rPr>
          <w:rFonts w:ascii="宋体" w:hAnsi="宋体" w:eastAsia="宋体" w:cs="Courier New"/>
          <w:sz w:val="22"/>
          <w:szCs w:val="22"/>
          <w:highlight w:val="none"/>
        </w:rPr>
      </w:pPr>
      <w:r>
        <w:rPr>
          <w:rFonts w:hint="eastAsia" w:ascii="宋体" w:hAnsi="宋体" w:eastAsia="宋体" w:cs="Courier New"/>
          <w:sz w:val="22"/>
          <w:szCs w:val="22"/>
          <w:highlight w:val="none"/>
        </w:rPr>
        <w:t>6、</w:t>
      </w:r>
      <w:r>
        <w:rPr>
          <w:rFonts w:ascii="宋体" w:hAnsi="宋体" w:eastAsia="宋体" w:cs="Courier New"/>
          <w:sz w:val="22"/>
          <w:szCs w:val="22"/>
          <w:highlight w:val="none"/>
        </w:rPr>
        <w:t>具有法律、行政法规规定的其他条件。</w:t>
      </w:r>
    </w:p>
    <w:p w14:paraId="540DCDE5">
      <w:pPr>
        <w:pStyle w:val="21"/>
        <w:spacing w:line="360" w:lineRule="auto"/>
        <w:ind w:firstLine="440" w:firstLineChars="200"/>
        <w:rPr>
          <w:rFonts w:ascii="宋体" w:hAnsi="宋体" w:eastAsia="宋体" w:cs="Courier New"/>
          <w:sz w:val="22"/>
          <w:szCs w:val="22"/>
          <w:highlight w:val="none"/>
        </w:rPr>
      </w:pPr>
      <w:r>
        <w:rPr>
          <w:rFonts w:hint="eastAsia" w:ascii="宋体" w:hAnsi="宋体" w:eastAsia="宋体" w:cs="Courier New"/>
          <w:sz w:val="22"/>
          <w:szCs w:val="22"/>
          <w:highlight w:val="none"/>
        </w:rPr>
        <w:t>（二）未被信用中国（</w:t>
      </w:r>
      <w:r>
        <w:rPr>
          <w:rFonts w:ascii="宋体" w:hAnsi="宋体" w:eastAsia="宋体" w:cs="Courier New"/>
          <w:sz w:val="22"/>
          <w:szCs w:val="22"/>
          <w:highlight w:val="none"/>
        </w:rPr>
        <w:t>www.creditchina.gov.cn)、中国政府采购网（www.ccgp.gov.cn）列入失信被执行人、重大税收违法案件当事人名单、政府采购严重违法失信行为记录名单。</w:t>
      </w:r>
      <w:r>
        <w:rPr>
          <w:rFonts w:hint="eastAsia" w:ascii="宋体" w:hAnsi="宋体" w:eastAsia="宋体"/>
          <w:kern w:val="2"/>
          <w:sz w:val="22"/>
          <w:szCs w:val="24"/>
          <w:highlight w:val="none"/>
        </w:rPr>
        <w:t>如相关失信记录已失效，我方后附相关证明资料。</w:t>
      </w:r>
    </w:p>
    <w:p w14:paraId="30A0AA67">
      <w:pPr>
        <w:pStyle w:val="21"/>
        <w:spacing w:line="360" w:lineRule="auto"/>
        <w:ind w:firstLine="440" w:firstLineChars="200"/>
        <w:rPr>
          <w:rFonts w:ascii="宋体" w:hAnsi="宋体" w:eastAsia="宋体" w:cs="Courier New"/>
          <w:sz w:val="22"/>
          <w:szCs w:val="22"/>
          <w:highlight w:val="none"/>
        </w:rPr>
      </w:pPr>
      <w:r>
        <w:rPr>
          <w:rFonts w:hint="eastAsia" w:ascii="宋体" w:hAnsi="宋体" w:eastAsia="宋体" w:cs="Courier New"/>
          <w:sz w:val="22"/>
          <w:szCs w:val="22"/>
          <w:highlight w:val="none"/>
        </w:rPr>
        <w:t>（三）不存在以下情况：</w:t>
      </w:r>
    </w:p>
    <w:p w14:paraId="1EB5ED96">
      <w:pPr>
        <w:pStyle w:val="21"/>
        <w:spacing w:line="360" w:lineRule="auto"/>
        <w:ind w:firstLine="440" w:firstLineChars="200"/>
        <w:rPr>
          <w:rFonts w:ascii="宋体" w:hAnsi="宋体" w:eastAsia="宋体" w:cs="Courier New"/>
          <w:sz w:val="22"/>
          <w:szCs w:val="22"/>
          <w:highlight w:val="none"/>
        </w:rPr>
      </w:pPr>
      <w:r>
        <w:rPr>
          <w:rFonts w:hint="eastAsia" w:ascii="宋体" w:hAnsi="宋体" w:eastAsia="宋体" w:cs="Courier New"/>
          <w:sz w:val="22"/>
          <w:szCs w:val="22"/>
          <w:highlight w:val="none"/>
        </w:rPr>
        <w:t>1、</w:t>
      </w:r>
      <w:r>
        <w:rPr>
          <w:rFonts w:ascii="宋体" w:hAnsi="宋体" w:eastAsia="宋体" w:cs="Courier New"/>
          <w:sz w:val="22"/>
          <w:szCs w:val="22"/>
          <w:highlight w:val="none"/>
        </w:rPr>
        <w:t>单位负责人为同一人或者存在直接控股、管理关系的不同供应商参加同一合同项下的政府采购活动的；</w:t>
      </w:r>
    </w:p>
    <w:p w14:paraId="446867DD">
      <w:pPr>
        <w:pStyle w:val="21"/>
        <w:spacing w:line="360" w:lineRule="auto"/>
        <w:ind w:firstLine="440" w:firstLineChars="200"/>
        <w:rPr>
          <w:rFonts w:ascii="宋体" w:hAnsi="宋体" w:eastAsia="宋体" w:cs="Courier New"/>
          <w:sz w:val="22"/>
          <w:szCs w:val="22"/>
          <w:highlight w:val="none"/>
        </w:rPr>
      </w:pPr>
      <w:r>
        <w:rPr>
          <w:rFonts w:hint="eastAsia" w:ascii="宋体" w:hAnsi="宋体" w:eastAsia="宋体" w:cs="Courier New"/>
          <w:sz w:val="22"/>
          <w:szCs w:val="22"/>
          <w:highlight w:val="none"/>
        </w:rPr>
        <w:t>2、</w:t>
      </w:r>
      <w:r>
        <w:rPr>
          <w:rFonts w:ascii="宋体" w:hAnsi="宋体" w:eastAsia="宋体" w:cs="Courier New"/>
          <w:sz w:val="22"/>
          <w:szCs w:val="22"/>
          <w:highlight w:val="none"/>
        </w:rPr>
        <w:t>为采购项目提供整体设计、规范编制或者项目管理、监理、检测等服务后再参加该采购项目的其他采购活动的</w:t>
      </w:r>
      <w:r>
        <w:rPr>
          <w:rFonts w:hint="eastAsia" w:ascii="宋体" w:hAnsi="宋体" w:eastAsia="宋体" w:cs="Courier New"/>
          <w:sz w:val="22"/>
          <w:szCs w:val="22"/>
          <w:highlight w:val="none"/>
        </w:rPr>
        <w:t>；</w:t>
      </w:r>
    </w:p>
    <w:p w14:paraId="746550FD">
      <w:pPr>
        <w:pStyle w:val="21"/>
        <w:spacing w:line="360" w:lineRule="auto"/>
        <w:ind w:firstLine="440" w:firstLineChars="200"/>
        <w:rPr>
          <w:rFonts w:ascii="宋体" w:hAnsi="宋体" w:eastAsia="宋体" w:cs="Courier New"/>
          <w:sz w:val="22"/>
          <w:szCs w:val="22"/>
          <w:highlight w:val="none"/>
        </w:rPr>
      </w:pPr>
      <w:r>
        <w:rPr>
          <w:rFonts w:hint="eastAsia" w:ascii="宋体" w:hAnsi="宋体" w:eastAsia="宋体" w:cs="Courier New"/>
          <w:sz w:val="22"/>
          <w:szCs w:val="22"/>
          <w:highlight w:val="none"/>
        </w:rPr>
        <w:t>3、公益一类事业单位、使用事业编制且由财政拨款保障的群团组织，作为政府购买服务的购买主体和承接主体</w:t>
      </w:r>
      <w:r>
        <w:rPr>
          <w:rFonts w:ascii="宋体" w:hAnsi="宋体" w:eastAsia="宋体" w:cs="Courier New"/>
          <w:sz w:val="22"/>
          <w:szCs w:val="22"/>
          <w:highlight w:val="none"/>
        </w:rPr>
        <w:t>（仅适用于政府购买服务项目）</w:t>
      </w:r>
      <w:r>
        <w:rPr>
          <w:rFonts w:hint="eastAsia" w:ascii="宋体" w:hAnsi="宋体" w:eastAsia="宋体" w:cs="Courier New"/>
          <w:sz w:val="22"/>
          <w:szCs w:val="22"/>
          <w:highlight w:val="none"/>
        </w:rPr>
        <w:t>；</w:t>
      </w:r>
    </w:p>
    <w:p w14:paraId="6DE0F397">
      <w:pPr>
        <w:pStyle w:val="21"/>
        <w:spacing w:line="360" w:lineRule="auto"/>
        <w:ind w:firstLine="440" w:firstLineChars="200"/>
        <w:rPr>
          <w:rFonts w:ascii="宋体" w:hAnsi="宋体" w:eastAsia="宋体" w:cs="Courier New"/>
          <w:sz w:val="22"/>
          <w:szCs w:val="22"/>
          <w:highlight w:val="none"/>
        </w:rPr>
      </w:pPr>
      <w:r>
        <w:rPr>
          <w:rFonts w:ascii="宋体" w:hAnsi="宋体" w:eastAsia="宋体" w:cs="Courier New"/>
          <w:sz w:val="22"/>
          <w:szCs w:val="22"/>
          <w:highlight w:val="none"/>
        </w:rPr>
        <w:t>4</w:t>
      </w:r>
      <w:r>
        <w:rPr>
          <w:rFonts w:hint="eastAsia" w:ascii="宋体" w:hAnsi="宋体" w:eastAsia="宋体" w:cs="Courier New"/>
          <w:sz w:val="22"/>
          <w:szCs w:val="22"/>
          <w:highlight w:val="none"/>
        </w:rPr>
        <w:t>、恶意串通、妨碍其他投标人的竞争行为、损害采购人或者其他投标人的合法权益情形的；</w:t>
      </w:r>
    </w:p>
    <w:p w14:paraId="69EDE775">
      <w:pPr>
        <w:pStyle w:val="21"/>
        <w:spacing w:line="360" w:lineRule="auto"/>
        <w:ind w:firstLine="440" w:firstLineChars="200"/>
        <w:rPr>
          <w:rFonts w:ascii="宋体" w:hAnsi="宋体" w:eastAsia="宋体" w:cs="Courier New"/>
          <w:sz w:val="22"/>
          <w:szCs w:val="22"/>
          <w:highlight w:val="none"/>
        </w:rPr>
      </w:pPr>
      <w:r>
        <w:rPr>
          <w:rFonts w:ascii="宋体" w:hAnsi="宋体" w:eastAsia="宋体" w:cs="Courier New"/>
          <w:sz w:val="22"/>
          <w:szCs w:val="22"/>
          <w:highlight w:val="none"/>
        </w:rPr>
        <w:t>5</w:t>
      </w:r>
      <w:r>
        <w:rPr>
          <w:rFonts w:hint="eastAsia" w:ascii="宋体" w:hAnsi="宋体" w:eastAsia="宋体" w:cs="Courier New"/>
          <w:sz w:val="22"/>
          <w:szCs w:val="22"/>
          <w:highlight w:val="none"/>
        </w:rPr>
        <w:t>、招标文件第一部分投标人须知</w:t>
      </w:r>
      <w:r>
        <w:rPr>
          <w:rFonts w:ascii="宋体" w:hAnsi="宋体" w:eastAsia="宋体" w:cs="Courier New"/>
          <w:sz w:val="22"/>
          <w:szCs w:val="22"/>
          <w:highlight w:val="none"/>
        </w:rPr>
        <w:t>34.4</w:t>
      </w:r>
      <w:r>
        <w:rPr>
          <w:rFonts w:hint="eastAsia" w:ascii="宋体" w:hAnsi="宋体" w:eastAsia="宋体" w:cs="Courier New"/>
          <w:sz w:val="22"/>
          <w:szCs w:val="22"/>
          <w:highlight w:val="none"/>
        </w:rPr>
        <w:t>款 “投标人串通投标”中任意情形之一。</w:t>
      </w:r>
    </w:p>
    <w:p w14:paraId="66D55A3B">
      <w:pPr>
        <w:spacing w:line="360" w:lineRule="auto"/>
        <w:rPr>
          <w:rFonts w:ascii="宋体" w:hAnsi="宋体" w:cs="Courier New"/>
          <w:b/>
          <w:sz w:val="22"/>
          <w:szCs w:val="22"/>
          <w:highlight w:val="none"/>
        </w:rPr>
      </w:pPr>
      <w:r>
        <w:rPr>
          <w:rFonts w:hint="eastAsia" w:ascii="宋体" w:hAnsi="宋体" w:cs="Courier New"/>
          <w:b/>
          <w:sz w:val="22"/>
          <w:szCs w:val="22"/>
          <w:highlight w:val="none"/>
        </w:rPr>
        <w:t>说明：</w:t>
      </w:r>
    </w:p>
    <w:p w14:paraId="21F36466">
      <w:pPr>
        <w:spacing w:line="360" w:lineRule="auto"/>
        <w:rPr>
          <w:rFonts w:ascii="宋体" w:hAnsi="宋体" w:cs="Courier New"/>
          <w:b/>
          <w:sz w:val="22"/>
          <w:szCs w:val="22"/>
          <w:highlight w:val="none"/>
        </w:rPr>
      </w:pPr>
      <w:r>
        <w:rPr>
          <w:rFonts w:ascii="宋体" w:hAnsi="宋体" w:cs="Courier New"/>
          <w:b/>
          <w:sz w:val="22"/>
          <w:szCs w:val="22"/>
          <w:highlight w:val="none"/>
        </w:rPr>
        <w:t>1</w:t>
      </w:r>
      <w:r>
        <w:rPr>
          <w:rFonts w:hint="eastAsia" w:ascii="宋体" w:hAnsi="宋体" w:cs="Courier New"/>
          <w:b/>
          <w:sz w:val="22"/>
          <w:szCs w:val="22"/>
          <w:highlight w:val="none"/>
        </w:rPr>
        <w:t>、</w:t>
      </w:r>
      <w:r>
        <w:rPr>
          <w:rFonts w:ascii="宋体" w:hAnsi="宋体" w:cs="Courier New"/>
          <w:b/>
          <w:sz w:val="22"/>
          <w:szCs w:val="22"/>
          <w:highlight w:val="none"/>
        </w:rPr>
        <w:t>重大违法记录指因违法经营受到刑事处罚或者责令停产停业、吊销许可证或者执照、较大数额罚款等行政处罚，不包括因违法经营被禁止在一定期限内参加政府采购活动，但期限已经届满的情形</w:t>
      </w:r>
      <w:r>
        <w:rPr>
          <w:rFonts w:hint="eastAsia" w:ascii="宋体" w:hAnsi="宋体" w:cs="Courier New"/>
          <w:b/>
          <w:sz w:val="22"/>
          <w:szCs w:val="22"/>
          <w:highlight w:val="none"/>
        </w:rPr>
        <w:t>。</w:t>
      </w:r>
    </w:p>
    <w:p w14:paraId="115F642A">
      <w:pPr>
        <w:spacing w:line="360" w:lineRule="auto"/>
        <w:rPr>
          <w:rFonts w:ascii="宋体" w:hAnsi="宋体" w:cs="Courier New"/>
          <w:b/>
          <w:sz w:val="22"/>
          <w:szCs w:val="22"/>
          <w:highlight w:val="none"/>
        </w:rPr>
      </w:pPr>
      <w:r>
        <w:rPr>
          <w:rFonts w:hint="eastAsia" w:ascii="宋体" w:hAnsi="宋体" w:cs="Courier New"/>
          <w:b/>
          <w:sz w:val="22"/>
          <w:szCs w:val="22"/>
          <w:highlight w:val="none"/>
        </w:rPr>
        <w:t>2、投标人承诺不实的，依据《政府采购法》第七十七条“提供虚假材料谋取中标、成交的”有关规定予以处理</w:t>
      </w:r>
      <w:r>
        <w:rPr>
          <w:rFonts w:ascii="宋体" w:hAnsi="宋体" w:cs="Courier New"/>
          <w:b/>
          <w:sz w:val="22"/>
          <w:szCs w:val="22"/>
          <w:highlight w:val="none"/>
        </w:rPr>
        <w:t>。</w:t>
      </w:r>
    </w:p>
    <w:p w14:paraId="13926133">
      <w:pPr>
        <w:tabs>
          <w:tab w:val="left" w:pos="840"/>
        </w:tabs>
        <w:adjustRightInd w:val="0"/>
        <w:snapToGrid w:val="0"/>
        <w:spacing w:line="360" w:lineRule="auto"/>
        <w:ind w:left="420" w:leftChars="200" w:firstLine="330" w:firstLineChars="150"/>
        <w:rPr>
          <w:rFonts w:ascii="宋体" w:hAnsi="宋体" w:cs="Courier New"/>
          <w:bCs/>
          <w:sz w:val="22"/>
          <w:szCs w:val="22"/>
          <w:highlight w:val="none"/>
        </w:rPr>
      </w:pPr>
      <w:r>
        <w:rPr>
          <w:rFonts w:hint="eastAsia" w:ascii="宋体" w:hAnsi="宋体" w:cs="Courier New"/>
          <w:bCs/>
          <w:sz w:val="22"/>
          <w:szCs w:val="22"/>
          <w:highlight w:val="none"/>
        </w:rPr>
        <w:t>投标人全称（盖公章）：</w:t>
      </w:r>
    </w:p>
    <w:p w14:paraId="71A78F02">
      <w:pPr>
        <w:tabs>
          <w:tab w:val="left" w:pos="840"/>
        </w:tabs>
        <w:adjustRightInd w:val="0"/>
        <w:snapToGrid w:val="0"/>
        <w:spacing w:line="360" w:lineRule="auto"/>
        <w:ind w:left="420" w:leftChars="200" w:firstLine="330" w:firstLineChars="150"/>
        <w:rPr>
          <w:rFonts w:ascii="宋体" w:hAnsi="宋体"/>
          <w:sz w:val="22"/>
          <w:szCs w:val="22"/>
          <w:highlight w:val="none"/>
        </w:rPr>
      </w:pPr>
      <w:r>
        <w:rPr>
          <w:rFonts w:hint="eastAsia" w:ascii="宋体" w:hAnsi="宋体"/>
          <w:sz w:val="22"/>
          <w:szCs w:val="22"/>
          <w:highlight w:val="none"/>
        </w:rPr>
        <w:t>日          期：  年  月  日</w:t>
      </w:r>
    </w:p>
    <w:p w14:paraId="44262362">
      <w:pPr>
        <w:widowControl/>
        <w:jc w:val="left"/>
        <w:rPr>
          <w:rFonts w:ascii="宋体" w:hAnsi="宋体"/>
          <w:highlight w:val="none"/>
        </w:rPr>
      </w:pPr>
      <w:r>
        <w:rPr>
          <w:rFonts w:ascii="宋体" w:hAnsi="宋体"/>
          <w:highlight w:val="none"/>
        </w:rPr>
        <w:br w:type="page"/>
      </w:r>
    </w:p>
    <w:p w14:paraId="0628308F">
      <w:pPr>
        <w:rPr>
          <w:rFonts w:ascii="宋体" w:hAnsi="宋体"/>
          <w:highlight w:val="none"/>
        </w:rPr>
      </w:pPr>
    </w:p>
    <w:p w14:paraId="4EDB9C24">
      <w:pPr>
        <w:shd w:val="clear" w:color="auto" w:fill="FFFFFF"/>
        <w:tabs>
          <w:tab w:val="right" w:leader="middleDot" w:pos="9356"/>
        </w:tabs>
        <w:snapToGrid w:val="0"/>
        <w:spacing w:line="360" w:lineRule="auto"/>
        <w:jc w:val="center"/>
        <w:rPr>
          <w:rFonts w:ascii="宋体" w:hAnsi="宋体"/>
          <w:b/>
          <w:sz w:val="28"/>
          <w:szCs w:val="28"/>
          <w:highlight w:val="none"/>
        </w:rPr>
      </w:pPr>
      <w:r>
        <w:rPr>
          <w:rFonts w:hint="eastAsia" w:ascii="宋体" w:hAnsi="宋体" w:cs="Times New Roman"/>
          <w:b/>
          <w:sz w:val="28"/>
          <w:szCs w:val="28"/>
          <w:highlight w:val="none"/>
        </w:rPr>
        <w:t>二、</w:t>
      </w:r>
      <w:r>
        <w:rPr>
          <w:rFonts w:hint="eastAsia" w:ascii="宋体" w:hAnsi="宋体"/>
          <w:b/>
          <w:sz w:val="28"/>
          <w:szCs w:val="28"/>
          <w:highlight w:val="none"/>
        </w:rPr>
        <w:t>投标人有效的</w:t>
      </w:r>
      <w:r>
        <w:rPr>
          <w:rFonts w:ascii="宋体" w:hAnsi="宋体"/>
          <w:b/>
          <w:sz w:val="28"/>
          <w:szCs w:val="28"/>
          <w:highlight w:val="none"/>
        </w:rPr>
        <w:t>营业执照等证明文件</w:t>
      </w:r>
    </w:p>
    <w:p w14:paraId="5A01E1C6">
      <w:pPr>
        <w:spacing w:line="460" w:lineRule="exact"/>
        <w:rPr>
          <w:rFonts w:ascii="宋体" w:hAnsi="宋体" w:cs="Courier New"/>
          <w:b/>
          <w:sz w:val="22"/>
          <w:szCs w:val="22"/>
          <w:highlight w:val="none"/>
        </w:rPr>
      </w:pPr>
      <w:r>
        <w:rPr>
          <w:rFonts w:hint="eastAsia" w:ascii="宋体" w:hAnsi="宋体" w:cs="Courier New"/>
          <w:b/>
          <w:sz w:val="22"/>
          <w:szCs w:val="22"/>
          <w:highlight w:val="none"/>
        </w:rPr>
        <w:t>说明：</w:t>
      </w:r>
    </w:p>
    <w:p w14:paraId="153F5AD3">
      <w:pPr>
        <w:spacing w:line="460" w:lineRule="exact"/>
        <w:rPr>
          <w:rFonts w:ascii="宋体" w:hAnsi="宋体" w:cs="Courier New"/>
          <w:b/>
          <w:sz w:val="22"/>
          <w:szCs w:val="22"/>
          <w:highlight w:val="none"/>
        </w:rPr>
      </w:pPr>
      <w:r>
        <w:rPr>
          <w:rFonts w:ascii="宋体" w:hAnsi="宋体" w:cs="Courier New"/>
          <w:b/>
          <w:sz w:val="22"/>
          <w:szCs w:val="22"/>
          <w:highlight w:val="none"/>
        </w:rPr>
        <w:t>1、投标人为企业的，提供有效的营业执照复印件；其他投标人应按照有关法律、法规和规章规定，提供有效的相应具体证照复印件。</w:t>
      </w:r>
    </w:p>
    <w:p w14:paraId="3A8C07BA">
      <w:pPr>
        <w:spacing w:line="460" w:lineRule="exact"/>
        <w:rPr>
          <w:rFonts w:ascii="宋体" w:hAnsi="宋体" w:cs="Courier New"/>
          <w:b/>
          <w:sz w:val="22"/>
          <w:szCs w:val="22"/>
          <w:highlight w:val="none"/>
        </w:rPr>
      </w:pPr>
      <w:r>
        <w:rPr>
          <w:rFonts w:hint="eastAsia" w:ascii="宋体" w:hAnsi="宋体" w:cs="Courier New"/>
          <w:b/>
          <w:sz w:val="22"/>
          <w:szCs w:val="22"/>
          <w:highlight w:val="none"/>
        </w:rPr>
        <w:t>2、投标人</w:t>
      </w:r>
      <w:r>
        <w:rPr>
          <w:rFonts w:ascii="宋体" w:hAnsi="宋体" w:cs="Courier New"/>
          <w:b/>
          <w:sz w:val="22"/>
          <w:szCs w:val="22"/>
          <w:highlight w:val="none"/>
        </w:rPr>
        <w:t>提供的相应证明材料复印件均应符合：内容完整、清晰、整洁。</w:t>
      </w:r>
    </w:p>
    <w:p w14:paraId="29113174">
      <w:pPr>
        <w:pStyle w:val="38"/>
        <w:ind w:firstLine="210"/>
        <w:rPr>
          <w:rFonts w:ascii="宋体" w:hAnsi="宋体"/>
          <w:highlight w:val="none"/>
        </w:rPr>
      </w:pPr>
    </w:p>
    <w:p w14:paraId="13A3028A">
      <w:pPr>
        <w:pStyle w:val="38"/>
        <w:ind w:firstLine="210"/>
        <w:rPr>
          <w:rFonts w:ascii="宋体" w:hAnsi="宋体"/>
          <w:highlight w:val="none"/>
        </w:rPr>
      </w:pPr>
    </w:p>
    <w:p w14:paraId="6FA521FA">
      <w:pPr>
        <w:shd w:val="clear" w:color="auto" w:fill="FFFFFF"/>
        <w:tabs>
          <w:tab w:val="right" w:leader="middleDot" w:pos="9356"/>
        </w:tabs>
        <w:snapToGrid w:val="0"/>
        <w:spacing w:line="360" w:lineRule="auto"/>
        <w:jc w:val="center"/>
        <w:rPr>
          <w:rFonts w:ascii="宋体" w:hAnsi="宋体"/>
          <w:b/>
          <w:bCs/>
          <w:sz w:val="28"/>
          <w:szCs w:val="28"/>
          <w:highlight w:val="none"/>
        </w:rPr>
      </w:pPr>
      <w:r>
        <w:rPr>
          <w:rFonts w:ascii="宋体" w:hAnsi="宋体"/>
          <w:b/>
          <w:bCs/>
          <w:sz w:val="28"/>
          <w:szCs w:val="28"/>
          <w:highlight w:val="none"/>
        </w:rPr>
        <w:br w:type="page"/>
      </w:r>
    </w:p>
    <w:p w14:paraId="2D15565A">
      <w:pPr>
        <w:rPr>
          <w:rFonts w:ascii="宋体" w:hAnsi="宋体"/>
          <w:highlight w:val="none"/>
        </w:rPr>
      </w:pPr>
    </w:p>
    <w:p w14:paraId="269E8F24">
      <w:pPr>
        <w:tabs>
          <w:tab w:val="left" w:pos="0"/>
          <w:tab w:val="left" w:pos="600"/>
        </w:tabs>
        <w:spacing w:line="400" w:lineRule="exact"/>
        <w:jc w:val="center"/>
        <w:rPr>
          <w:rFonts w:ascii="宋体" w:hAnsi="宋体"/>
          <w:b/>
          <w:bCs/>
          <w:sz w:val="28"/>
          <w:szCs w:val="28"/>
          <w:highlight w:val="none"/>
        </w:rPr>
      </w:pPr>
      <w:r>
        <w:rPr>
          <w:rFonts w:hint="eastAsia" w:ascii="宋体" w:hAnsi="宋体"/>
          <w:b/>
          <w:sz w:val="28"/>
          <w:szCs w:val="28"/>
          <w:highlight w:val="none"/>
        </w:rPr>
        <w:t>三、落实政府采购政策需满足的资格要求</w:t>
      </w:r>
    </w:p>
    <w:p w14:paraId="2BE626C1">
      <w:pPr>
        <w:rPr>
          <w:rFonts w:ascii="宋体" w:hAnsi="宋体"/>
          <w:highlight w:val="none"/>
        </w:rPr>
      </w:pPr>
    </w:p>
    <w:p w14:paraId="45F21EFA">
      <w:pPr>
        <w:spacing w:line="460" w:lineRule="exact"/>
        <w:rPr>
          <w:rFonts w:ascii="宋体" w:hAnsi="宋体" w:cs="Courier New"/>
          <w:b/>
          <w:sz w:val="22"/>
          <w:szCs w:val="22"/>
          <w:highlight w:val="none"/>
        </w:rPr>
      </w:pPr>
      <w:bookmarkStart w:id="231" w:name="_Hlk135338405"/>
      <w:r>
        <w:rPr>
          <w:rFonts w:hint="eastAsia" w:ascii="宋体" w:hAnsi="宋体"/>
          <w:b/>
          <w:sz w:val="22"/>
          <w:szCs w:val="22"/>
          <w:highlight w:val="none"/>
        </w:rPr>
        <w:t>说明：</w:t>
      </w:r>
      <w:bookmarkEnd w:id="231"/>
      <w:r>
        <w:rPr>
          <w:rFonts w:hint="eastAsia" w:ascii="宋体" w:hAnsi="宋体" w:cs="Courier New"/>
          <w:b/>
          <w:sz w:val="22"/>
          <w:szCs w:val="22"/>
          <w:highlight w:val="none"/>
        </w:rPr>
        <w:t>未要求的，无需提供。</w:t>
      </w:r>
    </w:p>
    <w:p w14:paraId="749B4292">
      <w:pPr>
        <w:pStyle w:val="2"/>
        <w:rPr>
          <w:rFonts w:ascii="宋体" w:hAnsi="宋体" w:eastAsia="宋体"/>
          <w:highlight w:val="none"/>
        </w:rPr>
      </w:pPr>
    </w:p>
    <w:p w14:paraId="0355CE82">
      <w:pPr>
        <w:pStyle w:val="38"/>
        <w:ind w:firstLine="210"/>
        <w:rPr>
          <w:rFonts w:ascii="宋体" w:hAnsi="宋体"/>
          <w:highlight w:val="none"/>
        </w:rPr>
      </w:pPr>
    </w:p>
    <w:p w14:paraId="0DE00142">
      <w:pPr>
        <w:pStyle w:val="38"/>
        <w:ind w:firstLine="210"/>
        <w:rPr>
          <w:rFonts w:ascii="宋体" w:hAnsi="宋体"/>
          <w:highlight w:val="none"/>
        </w:rPr>
      </w:pPr>
    </w:p>
    <w:p w14:paraId="659D0502">
      <w:pPr>
        <w:tabs>
          <w:tab w:val="left" w:pos="0"/>
          <w:tab w:val="left" w:pos="600"/>
        </w:tabs>
        <w:spacing w:line="400" w:lineRule="exact"/>
        <w:jc w:val="center"/>
        <w:rPr>
          <w:rFonts w:ascii="宋体" w:hAnsi="宋体"/>
          <w:b/>
          <w:bCs/>
          <w:sz w:val="28"/>
          <w:szCs w:val="28"/>
          <w:highlight w:val="none"/>
        </w:rPr>
      </w:pPr>
      <w:r>
        <w:rPr>
          <w:rFonts w:hint="eastAsia" w:ascii="宋体" w:hAnsi="宋体"/>
          <w:b/>
          <w:bCs/>
          <w:sz w:val="28"/>
          <w:szCs w:val="28"/>
          <w:highlight w:val="none"/>
        </w:rPr>
        <w:t>四、本项目的特定资格要求</w:t>
      </w:r>
    </w:p>
    <w:p w14:paraId="53D61B3B">
      <w:pPr>
        <w:spacing w:line="460" w:lineRule="exact"/>
        <w:rPr>
          <w:rFonts w:ascii="宋体" w:hAnsi="宋体" w:cs="Courier New"/>
          <w:b/>
          <w:sz w:val="22"/>
          <w:szCs w:val="22"/>
          <w:highlight w:val="none"/>
        </w:rPr>
      </w:pPr>
      <w:r>
        <w:rPr>
          <w:rFonts w:hint="eastAsia" w:ascii="宋体" w:hAnsi="宋体" w:cs="Courier New"/>
          <w:b/>
          <w:sz w:val="22"/>
          <w:szCs w:val="22"/>
          <w:highlight w:val="none"/>
        </w:rPr>
        <w:t>说明：</w:t>
      </w:r>
    </w:p>
    <w:p w14:paraId="57DF89CA">
      <w:pPr>
        <w:spacing w:line="460" w:lineRule="exact"/>
        <w:rPr>
          <w:rFonts w:ascii="宋体" w:hAnsi="宋体" w:cs="Courier New"/>
          <w:b/>
          <w:sz w:val="22"/>
          <w:szCs w:val="22"/>
          <w:highlight w:val="none"/>
        </w:rPr>
      </w:pPr>
      <w:r>
        <w:rPr>
          <w:rFonts w:hint="eastAsia" w:ascii="宋体" w:hAnsi="宋体" w:cs="Courier New"/>
          <w:b/>
          <w:sz w:val="22"/>
          <w:szCs w:val="22"/>
          <w:highlight w:val="none"/>
        </w:rPr>
        <w:t>1、根据本项目特定资格要求提供相应的材料。未要求的，无需提供。</w:t>
      </w:r>
    </w:p>
    <w:p w14:paraId="35B5DEAE">
      <w:pPr>
        <w:spacing w:line="460" w:lineRule="exact"/>
        <w:rPr>
          <w:rFonts w:ascii="宋体" w:hAnsi="宋体" w:cs="Courier New"/>
          <w:b/>
          <w:sz w:val="22"/>
          <w:szCs w:val="22"/>
          <w:highlight w:val="none"/>
        </w:rPr>
      </w:pPr>
      <w:r>
        <w:rPr>
          <w:rFonts w:ascii="宋体" w:hAnsi="宋体" w:cs="Courier New"/>
          <w:b/>
          <w:sz w:val="22"/>
          <w:szCs w:val="22"/>
          <w:highlight w:val="none"/>
        </w:rPr>
        <w:t>2</w:t>
      </w:r>
      <w:r>
        <w:rPr>
          <w:rFonts w:hint="eastAsia" w:ascii="宋体" w:hAnsi="宋体" w:cs="Courier New"/>
          <w:b/>
          <w:sz w:val="22"/>
          <w:szCs w:val="22"/>
          <w:highlight w:val="none"/>
        </w:rPr>
        <w:t>、投标人</w:t>
      </w:r>
      <w:r>
        <w:rPr>
          <w:rFonts w:ascii="宋体" w:hAnsi="宋体" w:cs="Courier New"/>
          <w:b/>
          <w:sz w:val="22"/>
          <w:szCs w:val="22"/>
          <w:highlight w:val="none"/>
        </w:rPr>
        <w:t>提供的相应证明材料复印件均应符合：内容完整、清晰、整洁。</w:t>
      </w:r>
    </w:p>
    <w:p w14:paraId="1D2C79F4">
      <w:pPr>
        <w:tabs>
          <w:tab w:val="left" w:pos="840"/>
        </w:tabs>
        <w:adjustRightInd w:val="0"/>
        <w:snapToGrid w:val="0"/>
        <w:spacing w:line="360" w:lineRule="auto"/>
        <w:ind w:left="420" w:leftChars="200" w:firstLine="330" w:firstLineChars="150"/>
        <w:rPr>
          <w:rFonts w:ascii="宋体" w:hAnsi="宋体"/>
          <w:sz w:val="22"/>
          <w:szCs w:val="22"/>
          <w:highlight w:val="none"/>
        </w:rPr>
      </w:pPr>
    </w:p>
    <w:p w14:paraId="4E4F36B8">
      <w:pPr>
        <w:pStyle w:val="5"/>
        <w:keepNext/>
        <w:widowControl w:val="0"/>
        <w:autoSpaceDE/>
        <w:autoSpaceDN/>
        <w:adjustRightInd/>
        <w:spacing w:before="0" w:line="360" w:lineRule="auto"/>
        <w:jc w:val="center"/>
        <w:rPr>
          <w:rFonts w:ascii="宋体" w:hAnsi="宋体" w:eastAsia="宋体" w:cs="宋体"/>
          <w:highlight w:val="none"/>
        </w:rPr>
      </w:pPr>
      <w:r>
        <w:rPr>
          <w:rFonts w:ascii="宋体" w:hAnsi="宋体" w:eastAsia="宋体" w:cs="宋体"/>
          <w:highlight w:val="none"/>
        </w:rPr>
        <w:br w:type="page"/>
      </w:r>
    </w:p>
    <w:p w14:paraId="4FF309B5">
      <w:pPr>
        <w:rPr>
          <w:rFonts w:ascii="宋体" w:hAnsi="宋体"/>
          <w:highlight w:val="none"/>
        </w:rPr>
      </w:pPr>
    </w:p>
    <w:p w14:paraId="39C84EEE">
      <w:pPr>
        <w:pStyle w:val="5"/>
        <w:keepNext/>
        <w:widowControl w:val="0"/>
        <w:autoSpaceDE/>
        <w:autoSpaceDN/>
        <w:adjustRightInd/>
        <w:spacing w:before="0" w:line="360" w:lineRule="auto"/>
        <w:jc w:val="center"/>
        <w:rPr>
          <w:rFonts w:ascii="宋体" w:hAnsi="宋体" w:eastAsia="宋体"/>
          <w:b/>
          <w:bCs/>
          <w:sz w:val="44"/>
          <w:szCs w:val="26"/>
          <w:highlight w:val="none"/>
        </w:rPr>
      </w:pPr>
      <w:bookmarkStart w:id="232" w:name="_Toc134877130"/>
      <w:bookmarkStart w:id="233" w:name="_Toc146181154"/>
      <w:r>
        <w:rPr>
          <w:rFonts w:hint="eastAsia" w:ascii="宋体" w:hAnsi="宋体" w:eastAsia="宋体"/>
          <w:b/>
          <w:bCs/>
          <w:sz w:val="44"/>
          <w:szCs w:val="26"/>
          <w:highlight w:val="none"/>
        </w:rPr>
        <w:t>商务技术文件</w:t>
      </w:r>
      <w:bookmarkEnd w:id="232"/>
      <w:bookmarkEnd w:id="233"/>
    </w:p>
    <w:p w14:paraId="5488C2B2">
      <w:pPr>
        <w:rPr>
          <w:rFonts w:ascii="宋体" w:hAnsi="宋体"/>
          <w:highlight w:val="none"/>
        </w:rPr>
      </w:pPr>
    </w:p>
    <w:p w14:paraId="1DA21662">
      <w:pPr>
        <w:spacing w:line="460" w:lineRule="exact"/>
        <w:jc w:val="center"/>
        <w:rPr>
          <w:rFonts w:ascii="宋体" w:hAnsi="宋体"/>
          <w:b/>
          <w:bCs/>
          <w:sz w:val="30"/>
          <w:szCs w:val="30"/>
          <w:highlight w:val="none"/>
        </w:rPr>
      </w:pPr>
      <w:r>
        <w:rPr>
          <w:rFonts w:hint="eastAsia" w:ascii="宋体" w:hAnsi="宋体"/>
          <w:b/>
          <w:bCs/>
          <w:sz w:val="30"/>
          <w:szCs w:val="30"/>
          <w:highlight w:val="none"/>
        </w:rPr>
        <w:t xml:space="preserve">一、投 </w:t>
      </w:r>
      <w:r>
        <w:rPr>
          <w:rFonts w:ascii="宋体" w:hAnsi="宋体"/>
          <w:b/>
          <w:bCs/>
          <w:sz w:val="30"/>
          <w:szCs w:val="30"/>
          <w:highlight w:val="none"/>
        </w:rPr>
        <w:t xml:space="preserve"> </w:t>
      </w:r>
      <w:r>
        <w:rPr>
          <w:rFonts w:hint="eastAsia" w:ascii="宋体" w:hAnsi="宋体"/>
          <w:b/>
          <w:bCs/>
          <w:sz w:val="30"/>
          <w:szCs w:val="30"/>
          <w:highlight w:val="none"/>
        </w:rPr>
        <w:t xml:space="preserve">标 </w:t>
      </w:r>
      <w:r>
        <w:rPr>
          <w:rFonts w:ascii="宋体" w:hAnsi="宋体"/>
          <w:b/>
          <w:bCs/>
          <w:sz w:val="30"/>
          <w:szCs w:val="30"/>
          <w:highlight w:val="none"/>
        </w:rPr>
        <w:t xml:space="preserve"> </w:t>
      </w:r>
      <w:r>
        <w:rPr>
          <w:rFonts w:hint="eastAsia" w:ascii="宋体" w:hAnsi="宋体"/>
          <w:b/>
          <w:bCs/>
          <w:sz w:val="30"/>
          <w:szCs w:val="30"/>
          <w:highlight w:val="none"/>
        </w:rPr>
        <w:t>函</w:t>
      </w:r>
    </w:p>
    <w:p w14:paraId="6E4180C5">
      <w:pPr>
        <w:pStyle w:val="21"/>
        <w:spacing w:line="360" w:lineRule="auto"/>
        <w:rPr>
          <w:rFonts w:ascii="宋体" w:hAnsi="宋体" w:eastAsia="宋体" w:cs="Courier New"/>
          <w:sz w:val="22"/>
          <w:szCs w:val="22"/>
          <w:highlight w:val="none"/>
        </w:rPr>
      </w:pPr>
      <w:r>
        <w:rPr>
          <w:rFonts w:hint="eastAsia" w:ascii="宋体" w:hAnsi="宋体" w:eastAsia="宋体" w:cs="Courier New"/>
          <w:sz w:val="22"/>
          <w:szCs w:val="22"/>
          <w:highlight w:val="none"/>
          <w:lang w:eastAsia="zh-CN"/>
        </w:rPr>
        <w:t>温州市瓯海区农业农村局</w:t>
      </w:r>
      <w:r>
        <w:rPr>
          <w:rFonts w:hint="eastAsia" w:ascii="宋体" w:hAnsi="宋体" w:eastAsia="宋体" w:cs="Courier New"/>
          <w:sz w:val="22"/>
          <w:szCs w:val="22"/>
          <w:highlight w:val="none"/>
        </w:rPr>
        <w:t>：</w:t>
      </w:r>
    </w:p>
    <w:p w14:paraId="61F5F73B">
      <w:pPr>
        <w:pStyle w:val="21"/>
        <w:spacing w:line="360" w:lineRule="auto"/>
        <w:rPr>
          <w:rFonts w:ascii="宋体" w:hAnsi="宋体" w:eastAsia="宋体" w:cs="Courier New"/>
          <w:sz w:val="22"/>
          <w:szCs w:val="22"/>
          <w:highlight w:val="none"/>
        </w:rPr>
      </w:pPr>
      <w:r>
        <w:rPr>
          <w:rFonts w:hint="eastAsia" w:ascii="宋体" w:hAnsi="宋体" w:eastAsia="宋体" w:cs="Courier New"/>
          <w:sz w:val="22"/>
          <w:szCs w:val="22"/>
          <w:highlight w:val="none"/>
          <w:lang w:eastAsia="zh-CN"/>
        </w:rPr>
        <w:t>浙江华浦工程管理有限公司</w:t>
      </w:r>
      <w:r>
        <w:rPr>
          <w:rFonts w:hint="eastAsia" w:ascii="宋体" w:hAnsi="宋体" w:eastAsia="宋体" w:cs="Courier New"/>
          <w:sz w:val="22"/>
          <w:szCs w:val="22"/>
          <w:highlight w:val="none"/>
        </w:rPr>
        <w:t>：</w:t>
      </w:r>
    </w:p>
    <w:p w14:paraId="341A8167">
      <w:pPr>
        <w:spacing w:line="360" w:lineRule="auto"/>
        <w:ind w:firstLine="440" w:firstLineChars="200"/>
        <w:rPr>
          <w:rFonts w:ascii="宋体" w:hAnsi="宋体" w:cs="Courier New"/>
          <w:sz w:val="22"/>
          <w:szCs w:val="22"/>
          <w:highlight w:val="none"/>
        </w:rPr>
      </w:pPr>
      <w:r>
        <w:rPr>
          <w:rFonts w:hint="eastAsia" w:ascii="宋体" w:hAnsi="宋体" w:cs="Courier New"/>
          <w:sz w:val="22"/>
          <w:szCs w:val="22"/>
          <w:highlight w:val="none"/>
        </w:rPr>
        <w:t>我方参加你方组织的</w:t>
      </w:r>
      <w:r>
        <w:rPr>
          <w:rFonts w:hint="eastAsia" w:ascii="宋体" w:hAnsi="宋体" w:cs="Courier New"/>
          <w:sz w:val="22"/>
          <w:szCs w:val="22"/>
          <w:highlight w:val="none"/>
          <w:u w:val="single"/>
        </w:rPr>
        <w:t xml:space="preserve">      项目名称 </w:t>
      </w:r>
      <w:r>
        <w:rPr>
          <w:rFonts w:ascii="宋体" w:hAnsi="宋体" w:cs="Courier New"/>
          <w:sz w:val="22"/>
          <w:szCs w:val="22"/>
          <w:highlight w:val="none"/>
          <w:u w:val="single"/>
        </w:rPr>
        <w:t xml:space="preserve">      </w:t>
      </w:r>
      <w:r>
        <w:rPr>
          <w:rFonts w:hint="eastAsia" w:ascii="宋体" w:hAnsi="宋体" w:cs="Courier New"/>
          <w:sz w:val="22"/>
          <w:szCs w:val="22"/>
          <w:highlight w:val="none"/>
        </w:rPr>
        <w:t>（项目编号：</w:t>
      </w:r>
      <w:r>
        <w:rPr>
          <w:rFonts w:hint="eastAsia" w:ascii="宋体" w:hAnsi="宋体" w:cs="Courier New"/>
          <w:b/>
          <w:sz w:val="22"/>
          <w:szCs w:val="22"/>
          <w:highlight w:val="none"/>
          <w:u w:val="single"/>
        </w:rPr>
        <w:t xml:space="preserve">     </w:t>
      </w:r>
      <w:r>
        <w:rPr>
          <w:rFonts w:hint="eastAsia" w:ascii="宋体" w:hAnsi="宋体" w:cs="Courier New"/>
          <w:sz w:val="22"/>
          <w:szCs w:val="22"/>
          <w:highlight w:val="none"/>
        </w:rPr>
        <w:t>）的政府采购活动，并对此项目进行投标。</w:t>
      </w:r>
    </w:p>
    <w:p w14:paraId="77E326A1">
      <w:pPr>
        <w:spacing w:line="360" w:lineRule="auto"/>
        <w:ind w:firstLine="440" w:firstLineChars="200"/>
        <w:rPr>
          <w:rFonts w:ascii="宋体" w:hAnsi="宋体" w:cs="Courier New"/>
          <w:sz w:val="22"/>
          <w:szCs w:val="22"/>
          <w:highlight w:val="none"/>
        </w:rPr>
      </w:pPr>
      <w:r>
        <w:rPr>
          <w:rFonts w:hint="eastAsia" w:ascii="宋体" w:hAnsi="宋体" w:cs="Courier New"/>
          <w:sz w:val="22"/>
          <w:szCs w:val="22"/>
          <w:highlight w:val="none"/>
        </w:rPr>
        <w:t>我方己完全明白招标文件的所有条款要求，并重申以下几点：</w:t>
      </w:r>
    </w:p>
    <w:p w14:paraId="604DE300">
      <w:pPr>
        <w:numPr>
          <w:ilvl w:val="0"/>
          <w:numId w:val="22"/>
        </w:numPr>
        <w:spacing w:line="360" w:lineRule="auto"/>
        <w:rPr>
          <w:rFonts w:ascii="宋体" w:hAnsi="宋体" w:cs="Courier New"/>
          <w:sz w:val="22"/>
          <w:szCs w:val="22"/>
          <w:highlight w:val="none"/>
        </w:rPr>
      </w:pPr>
      <w:r>
        <w:rPr>
          <w:rFonts w:hint="eastAsia" w:ascii="宋体" w:hAnsi="宋体" w:cs="Courier New"/>
          <w:sz w:val="22"/>
          <w:szCs w:val="22"/>
          <w:highlight w:val="none"/>
        </w:rPr>
        <w:t>本投标文件的有效期自投标截止时间起90天内有效，如成交，有效期将延至合同终止日为止。</w:t>
      </w:r>
    </w:p>
    <w:p w14:paraId="270A6239">
      <w:pPr>
        <w:numPr>
          <w:ilvl w:val="0"/>
          <w:numId w:val="22"/>
        </w:numPr>
        <w:spacing w:line="360" w:lineRule="auto"/>
        <w:rPr>
          <w:rFonts w:ascii="宋体" w:hAnsi="宋体" w:cs="Courier New"/>
          <w:sz w:val="22"/>
          <w:szCs w:val="22"/>
          <w:highlight w:val="none"/>
        </w:rPr>
      </w:pPr>
      <w:r>
        <w:rPr>
          <w:rFonts w:hint="eastAsia" w:ascii="宋体" w:hAnsi="宋体" w:cs="Courier New"/>
          <w:sz w:val="22"/>
          <w:szCs w:val="22"/>
          <w:highlight w:val="none"/>
        </w:rPr>
        <w:t>我方已详细研究了招标文件的所有内容包括修改书（如有）和所有已提供的参考资料以及有关附件，我方完全理解并同意放弃在此方面提出含糊意见或误解的一切权力。</w:t>
      </w:r>
    </w:p>
    <w:p w14:paraId="5466FBC6">
      <w:pPr>
        <w:numPr>
          <w:ilvl w:val="0"/>
          <w:numId w:val="22"/>
        </w:numPr>
        <w:spacing w:line="360" w:lineRule="auto"/>
        <w:rPr>
          <w:rFonts w:ascii="宋体" w:hAnsi="宋体" w:cs="Courier New"/>
          <w:sz w:val="22"/>
          <w:szCs w:val="22"/>
          <w:highlight w:val="none"/>
        </w:rPr>
      </w:pPr>
      <w:r>
        <w:rPr>
          <w:rFonts w:hint="eastAsia" w:ascii="宋体" w:hAnsi="宋体" w:cs="Courier New"/>
          <w:sz w:val="22"/>
          <w:szCs w:val="22"/>
          <w:highlight w:val="none"/>
        </w:rPr>
        <w:t>我方向贵方提交的所有投标文件、资料都是准确的和真实的。</w:t>
      </w:r>
    </w:p>
    <w:p w14:paraId="0DD5B752">
      <w:pPr>
        <w:numPr>
          <w:ilvl w:val="0"/>
          <w:numId w:val="22"/>
        </w:numPr>
        <w:spacing w:line="360" w:lineRule="auto"/>
        <w:rPr>
          <w:rFonts w:ascii="宋体" w:hAnsi="宋体" w:cs="Courier New"/>
          <w:sz w:val="22"/>
          <w:szCs w:val="22"/>
          <w:highlight w:val="none"/>
        </w:rPr>
      </w:pPr>
      <w:r>
        <w:rPr>
          <w:rFonts w:hint="eastAsia" w:ascii="宋体" w:hAnsi="宋体" w:cs="Courier New"/>
          <w:sz w:val="22"/>
          <w:szCs w:val="22"/>
          <w:highlight w:val="none"/>
        </w:rPr>
        <w:t>我方同意提供按照贵方可能要求的与投标有关的一切数据或资料；若贵方需要，我方愿意提供我方作出的一切承诺的证明材料。</w:t>
      </w:r>
    </w:p>
    <w:p w14:paraId="5AE676D7">
      <w:pPr>
        <w:numPr>
          <w:ilvl w:val="0"/>
          <w:numId w:val="22"/>
        </w:numPr>
        <w:spacing w:line="360" w:lineRule="auto"/>
        <w:rPr>
          <w:rFonts w:ascii="宋体" w:hAnsi="宋体" w:cs="Courier New"/>
          <w:sz w:val="22"/>
          <w:szCs w:val="22"/>
          <w:highlight w:val="none"/>
        </w:rPr>
      </w:pPr>
      <w:r>
        <w:rPr>
          <w:rFonts w:ascii="宋体" w:hAnsi="宋体" w:cs="Courier New"/>
          <w:sz w:val="22"/>
          <w:szCs w:val="22"/>
          <w:highlight w:val="none"/>
        </w:rPr>
        <w:t>若成交后，将按照规定及时与采购人签订采购合同，不与采购人订立有悖于采购结果的合同或协议；严格按照招标文件和</w:t>
      </w:r>
      <w:r>
        <w:rPr>
          <w:rFonts w:hint="eastAsia" w:ascii="宋体" w:hAnsi="宋体" w:cs="Courier New"/>
          <w:sz w:val="22"/>
          <w:szCs w:val="22"/>
          <w:highlight w:val="none"/>
        </w:rPr>
        <w:t>投标</w:t>
      </w:r>
      <w:r>
        <w:rPr>
          <w:rFonts w:ascii="宋体" w:hAnsi="宋体" w:cs="Courier New"/>
          <w:sz w:val="22"/>
          <w:szCs w:val="22"/>
          <w:highlight w:val="none"/>
        </w:rPr>
        <w:t>文件的规定履行采购合同，不降低合同约定的产品质量及相关服务，不擅自变更、中止、终止合同，或者拒绝履行合同义务。</w:t>
      </w:r>
    </w:p>
    <w:p w14:paraId="5669FCD5">
      <w:pPr>
        <w:numPr>
          <w:ilvl w:val="0"/>
          <w:numId w:val="22"/>
        </w:numPr>
        <w:spacing w:line="360" w:lineRule="auto"/>
        <w:rPr>
          <w:rFonts w:ascii="宋体" w:hAnsi="宋体" w:cs="Courier New"/>
          <w:sz w:val="22"/>
          <w:szCs w:val="22"/>
          <w:highlight w:val="none"/>
        </w:rPr>
      </w:pPr>
      <w:r>
        <w:rPr>
          <w:rFonts w:hint="eastAsia" w:ascii="宋体" w:hAnsi="宋体" w:cs="Courier New"/>
          <w:sz w:val="22"/>
          <w:szCs w:val="22"/>
          <w:highlight w:val="none"/>
        </w:rPr>
        <w:t>如有下列情形之一的，我方愿意被取消中标资格（如中标），并可向我方收取</w:t>
      </w:r>
      <w:r>
        <w:rPr>
          <w:rFonts w:hint="eastAsia" w:ascii="宋体" w:hAnsi="宋体" w:cs="楷体"/>
          <w:kern w:val="0"/>
          <w:sz w:val="22"/>
          <w:szCs w:val="22"/>
          <w:highlight w:val="none"/>
        </w:rPr>
        <w:t>赔偿损失金</w:t>
      </w:r>
      <w:r>
        <w:rPr>
          <w:rFonts w:hint="eastAsia" w:ascii="宋体" w:hAnsi="宋体" w:cs="Courier New"/>
          <w:sz w:val="22"/>
          <w:szCs w:val="22"/>
          <w:highlight w:val="none"/>
        </w:rPr>
        <w:t>，同时继续承担其他一切法律后果，并不再寻求任何旨在减轻或免除法律责任的解释：</w:t>
      </w:r>
    </w:p>
    <w:p w14:paraId="3B155258">
      <w:pPr>
        <w:spacing w:line="360" w:lineRule="auto"/>
        <w:ind w:left="1079"/>
        <w:rPr>
          <w:rFonts w:ascii="宋体" w:hAnsi="宋体" w:cs="Courier New"/>
          <w:sz w:val="22"/>
          <w:szCs w:val="22"/>
          <w:highlight w:val="none"/>
        </w:rPr>
      </w:pPr>
      <w:r>
        <w:rPr>
          <w:rFonts w:hint="eastAsia" w:ascii="宋体" w:hAnsi="宋体" w:cs="Courier New"/>
          <w:sz w:val="22"/>
          <w:szCs w:val="22"/>
          <w:highlight w:val="none"/>
        </w:rPr>
        <w:t>(1)提供虚假材料</w:t>
      </w:r>
      <w:r>
        <w:rPr>
          <w:rFonts w:ascii="宋体" w:hAnsi="宋体" w:cs="Courier New"/>
          <w:sz w:val="22"/>
          <w:szCs w:val="22"/>
          <w:highlight w:val="none"/>
        </w:rPr>
        <w:t>或通过虚假响应、虚假陈述、虚假承诺</w:t>
      </w:r>
      <w:r>
        <w:rPr>
          <w:rFonts w:hint="eastAsia" w:ascii="宋体" w:hAnsi="宋体" w:cs="Courier New"/>
          <w:sz w:val="22"/>
          <w:szCs w:val="22"/>
          <w:highlight w:val="none"/>
        </w:rPr>
        <w:t>谋取</w:t>
      </w:r>
      <w:r>
        <w:rPr>
          <w:rFonts w:ascii="宋体" w:hAnsi="宋体" w:cs="Courier New"/>
          <w:sz w:val="22"/>
          <w:szCs w:val="22"/>
          <w:highlight w:val="none"/>
        </w:rPr>
        <w:t>中标（成交）资格</w:t>
      </w:r>
      <w:r>
        <w:rPr>
          <w:rFonts w:hint="eastAsia" w:ascii="宋体" w:hAnsi="宋体" w:cs="Courier New"/>
          <w:sz w:val="22"/>
          <w:szCs w:val="22"/>
          <w:highlight w:val="none"/>
        </w:rPr>
        <w:t>的；</w:t>
      </w:r>
    </w:p>
    <w:p w14:paraId="3C04C114">
      <w:pPr>
        <w:spacing w:line="360" w:lineRule="auto"/>
        <w:ind w:left="1079"/>
        <w:rPr>
          <w:rFonts w:ascii="宋体" w:hAnsi="宋体" w:cs="Courier New"/>
          <w:sz w:val="22"/>
          <w:szCs w:val="22"/>
          <w:highlight w:val="none"/>
        </w:rPr>
      </w:pPr>
      <w:r>
        <w:rPr>
          <w:rFonts w:hint="eastAsia" w:ascii="宋体" w:hAnsi="宋体" w:cs="Courier New"/>
          <w:sz w:val="22"/>
          <w:szCs w:val="22"/>
          <w:highlight w:val="none"/>
        </w:rPr>
        <w:t>(2)采取不正当手段诋毁、排挤其他投标人的；</w:t>
      </w:r>
    </w:p>
    <w:p w14:paraId="1D6FDE34">
      <w:pPr>
        <w:spacing w:line="360" w:lineRule="auto"/>
        <w:ind w:left="1079"/>
        <w:rPr>
          <w:rFonts w:ascii="宋体" w:hAnsi="宋体" w:cs="Courier New"/>
          <w:sz w:val="22"/>
          <w:szCs w:val="22"/>
          <w:highlight w:val="none"/>
        </w:rPr>
      </w:pPr>
      <w:r>
        <w:rPr>
          <w:rFonts w:hint="eastAsia" w:ascii="宋体" w:hAnsi="宋体" w:cs="Courier New"/>
          <w:sz w:val="22"/>
          <w:szCs w:val="22"/>
          <w:highlight w:val="none"/>
        </w:rPr>
        <w:t>(3)与采购人、其它供应商或者采购代理机构恶意串通的；</w:t>
      </w:r>
    </w:p>
    <w:p w14:paraId="67AC44BC">
      <w:pPr>
        <w:spacing w:line="360" w:lineRule="auto"/>
        <w:ind w:left="1079"/>
        <w:rPr>
          <w:rFonts w:ascii="宋体" w:hAnsi="宋体" w:cs="Courier New"/>
          <w:sz w:val="22"/>
          <w:szCs w:val="22"/>
          <w:highlight w:val="none"/>
        </w:rPr>
      </w:pPr>
      <w:r>
        <w:rPr>
          <w:rFonts w:hint="eastAsia" w:ascii="宋体" w:hAnsi="宋体" w:cs="Courier New"/>
          <w:sz w:val="22"/>
          <w:szCs w:val="22"/>
          <w:highlight w:val="none"/>
        </w:rPr>
        <w:t>(4)向采购人、采购代理机构行贿或者提供其他不正当利益的；</w:t>
      </w:r>
    </w:p>
    <w:p w14:paraId="56D5C3F3">
      <w:pPr>
        <w:spacing w:line="360" w:lineRule="auto"/>
        <w:ind w:left="1079"/>
        <w:rPr>
          <w:rFonts w:ascii="宋体" w:hAnsi="宋体" w:cs="Courier New"/>
          <w:sz w:val="22"/>
          <w:szCs w:val="22"/>
          <w:highlight w:val="none"/>
        </w:rPr>
      </w:pPr>
      <w:r>
        <w:rPr>
          <w:rFonts w:hint="eastAsia" w:ascii="宋体" w:hAnsi="宋体" w:cs="Courier New"/>
          <w:sz w:val="22"/>
          <w:szCs w:val="22"/>
          <w:highlight w:val="none"/>
        </w:rPr>
        <w:t>(5)在招标采购过程中与采购人进行协商谈判的；</w:t>
      </w:r>
    </w:p>
    <w:p w14:paraId="61CB3171">
      <w:pPr>
        <w:spacing w:line="360" w:lineRule="auto"/>
        <w:ind w:left="1079"/>
        <w:rPr>
          <w:rFonts w:ascii="宋体" w:hAnsi="宋体" w:cs="Courier New"/>
          <w:sz w:val="22"/>
          <w:szCs w:val="22"/>
          <w:highlight w:val="none"/>
        </w:rPr>
      </w:pPr>
      <w:r>
        <w:rPr>
          <w:rFonts w:hint="eastAsia" w:ascii="宋体" w:hAnsi="宋体" w:cs="Courier New"/>
          <w:sz w:val="22"/>
          <w:szCs w:val="22"/>
          <w:highlight w:val="none"/>
        </w:rPr>
        <w:t>(</w:t>
      </w:r>
      <w:r>
        <w:rPr>
          <w:rFonts w:ascii="宋体" w:hAnsi="宋体" w:cs="Courier New"/>
          <w:sz w:val="22"/>
          <w:szCs w:val="22"/>
          <w:highlight w:val="none"/>
        </w:rPr>
        <w:t>6</w:t>
      </w:r>
      <w:r>
        <w:rPr>
          <w:rFonts w:hint="eastAsia" w:ascii="宋体" w:hAnsi="宋体" w:cs="Courier New"/>
          <w:sz w:val="22"/>
          <w:szCs w:val="22"/>
          <w:highlight w:val="none"/>
        </w:rPr>
        <w:t>)在招标文件规定的投标有效期内撤回投标；</w:t>
      </w:r>
    </w:p>
    <w:p w14:paraId="4B34B908">
      <w:pPr>
        <w:spacing w:line="360" w:lineRule="auto"/>
        <w:ind w:left="1079"/>
        <w:rPr>
          <w:rFonts w:ascii="宋体" w:hAnsi="宋体" w:cs="Courier New"/>
          <w:sz w:val="22"/>
          <w:szCs w:val="22"/>
          <w:highlight w:val="none"/>
        </w:rPr>
      </w:pPr>
      <w:r>
        <w:rPr>
          <w:rFonts w:hint="eastAsia" w:ascii="宋体" w:hAnsi="宋体" w:cs="Courier New"/>
          <w:sz w:val="22"/>
          <w:szCs w:val="22"/>
          <w:highlight w:val="none"/>
        </w:rPr>
        <w:t>(</w:t>
      </w:r>
      <w:r>
        <w:rPr>
          <w:rFonts w:ascii="宋体" w:hAnsi="宋体" w:cs="Courier New"/>
          <w:sz w:val="22"/>
          <w:szCs w:val="22"/>
          <w:highlight w:val="none"/>
        </w:rPr>
        <w:t>7</w:t>
      </w:r>
      <w:r>
        <w:rPr>
          <w:rFonts w:hint="eastAsia" w:ascii="宋体" w:hAnsi="宋体" w:cs="Courier New"/>
          <w:sz w:val="22"/>
          <w:szCs w:val="22"/>
          <w:highlight w:val="none"/>
        </w:rPr>
        <w:t>)未按中标（成交）通知书中规定的时间与采购人签订合同；</w:t>
      </w:r>
    </w:p>
    <w:p w14:paraId="40AB40D9">
      <w:pPr>
        <w:spacing w:line="360" w:lineRule="auto"/>
        <w:ind w:left="1079"/>
        <w:rPr>
          <w:rFonts w:ascii="宋体" w:hAnsi="宋体" w:cs="Courier New"/>
          <w:sz w:val="22"/>
          <w:szCs w:val="22"/>
          <w:highlight w:val="none"/>
        </w:rPr>
      </w:pPr>
      <w:r>
        <w:rPr>
          <w:rFonts w:hint="eastAsia" w:ascii="宋体" w:hAnsi="宋体" w:cs="Courier New"/>
          <w:sz w:val="22"/>
          <w:szCs w:val="22"/>
          <w:highlight w:val="none"/>
        </w:rPr>
        <w:t>(</w:t>
      </w:r>
      <w:r>
        <w:rPr>
          <w:rFonts w:ascii="宋体" w:hAnsi="宋体" w:cs="Courier New"/>
          <w:sz w:val="22"/>
          <w:szCs w:val="22"/>
          <w:highlight w:val="none"/>
        </w:rPr>
        <w:t>8</w:t>
      </w:r>
      <w:r>
        <w:rPr>
          <w:rFonts w:hint="eastAsia" w:ascii="宋体" w:hAnsi="宋体" w:cs="Courier New"/>
          <w:sz w:val="22"/>
          <w:szCs w:val="22"/>
          <w:highlight w:val="none"/>
        </w:rPr>
        <w:t>)拒绝有关部门监督检查或提供虚假情况的。</w:t>
      </w:r>
    </w:p>
    <w:p w14:paraId="04E38F9D">
      <w:pPr>
        <w:spacing w:line="360" w:lineRule="auto"/>
        <w:ind w:firstLine="435"/>
        <w:rPr>
          <w:rFonts w:ascii="宋体" w:hAnsi="宋体" w:cs="Courier New"/>
          <w:sz w:val="22"/>
          <w:szCs w:val="22"/>
          <w:highlight w:val="none"/>
        </w:rPr>
      </w:pPr>
      <w:r>
        <w:rPr>
          <w:rFonts w:hint="eastAsia" w:ascii="宋体" w:hAnsi="宋体" w:cs="Courier New"/>
          <w:sz w:val="22"/>
          <w:szCs w:val="22"/>
          <w:highlight w:val="none"/>
        </w:rPr>
        <w:t xml:space="preserve">                                   投标人全称（盖公章）：</w:t>
      </w:r>
      <w:r>
        <w:rPr>
          <w:rFonts w:hint="eastAsia" w:ascii="宋体" w:hAnsi="宋体" w:cs="Courier New"/>
          <w:sz w:val="22"/>
          <w:szCs w:val="22"/>
          <w:highlight w:val="none"/>
          <w:u w:val="single"/>
        </w:rPr>
        <w:t xml:space="preserve">                   </w:t>
      </w:r>
    </w:p>
    <w:p w14:paraId="29093827">
      <w:pPr>
        <w:spacing w:line="360" w:lineRule="auto"/>
        <w:ind w:firstLine="435"/>
        <w:rPr>
          <w:rFonts w:ascii="宋体" w:hAnsi="宋体" w:cs="Courier New"/>
          <w:sz w:val="22"/>
          <w:szCs w:val="22"/>
          <w:highlight w:val="none"/>
        </w:rPr>
      </w:pPr>
      <w:r>
        <w:rPr>
          <w:rFonts w:hint="eastAsia" w:ascii="宋体" w:hAnsi="宋体" w:cs="Courier New"/>
          <w:sz w:val="22"/>
          <w:szCs w:val="22"/>
          <w:highlight w:val="none"/>
        </w:rPr>
        <w:t xml:space="preserve">                                   单位负责人或授权代表（签字或盖章）：</w:t>
      </w:r>
      <w:r>
        <w:rPr>
          <w:rFonts w:hint="eastAsia" w:ascii="宋体" w:hAnsi="宋体" w:cs="Courier New"/>
          <w:sz w:val="22"/>
          <w:szCs w:val="22"/>
          <w:highlight w:val="none"/>
          <w:u w:val="single"/>
        </w:rPr>
        <w:t xml:space="preserve">         </w:t>
      </w:r>
    </w:p>
    <w:p w14:paraId="61BBF9E5">
      <w:pPr>
        <w:pStyle w:val="21"/>
        <w:snapToGrid w:val="0"/>
        <w:spacing w:line="360" w:lineRule="auto"/>
        <w:ind w:firstLine="3520" w:firstLineChars="1600"/>
        <w:rPr>
          <w:rFonts w:ascii="宋体" w:hAnsi="宋体" w:eastAsia="宋体" w:cs="Courier New"/>
          <w:sz w:val="22"/>
          <w:szCs w:val="22"/>
          <w:highlight w:val="none"/>
        </w:rPr>
      </w:pPr>
      <w:r>
        <w:rPr>
          <w:rFonts w:hint="eastAsia" w:ascii="宋体" w:hAnsi="宋体" w:eastAsia="宋体" w:cs="Courier New"/>
          <w:sz w:val="22"/>
          <w:szCs w:val="22"/>
          <w:highlight w:val="none"/>
        </w:rPr>
        <w:t xml:space="preserve">       日 </w:t>
      </w:r>
      <w:r>
        <w:rPr>
          <w:rFonts w:ascii="宋体" w:hAnsi="宋体" w:eastAsia="宋体" w:cs="Courier New"/>
          <w:sz w:val="22"/>
          <w:szCs w:val="22"/>
          <w:highlight w:val="none"/>
        </w:rPr>
        <w:t xml:space="preserve">      </w:t>
      </w:r>
      <w:r>
        <w:rPr>
          <w:rFonts w:hint="eastAsia" w:ascii="宋体" w:hAnsi="宋体" w:eastAsia="宋体" w:cs="Courier New"/>
          <w:sz w:val="22"/>
          <w:szCs w:val="22"/>
          <w:highlight w:val="none"/>
        </w:rPr>
        <w:t>期：  年  月  日</w:t>
      </w:r>
    </w:p>
    <w:p w14:paraId="036EBC35">
      <w:pPr>
        <w:spacing w:line="400" w:lineRule="exact"/>
        <w:ind w:firstLine="331" w:firstLineChars="150"/>
        <w:rPr>
          <w:rFonts w:ascii="宋体" w:hAnsi="宋体"/>
          <w:b/>
          <w:sz w:val="22"/>
          <w:szCs w:val="22"/>
          <w:highlight w:val="none"/>
          <w:u w:val="single"/>
        </w:rPr>
      </w:pPr>
      <w:r>
        <w:rPr>
          <w:rFonts w:hint="eastAsia" w:ascii="宋体" w:hAnsi="宋体"/>
          <w:b/>
          <w:sz w:val="22"/>
          <w:szCs w:val="22"/>
          <w:highlight w:val="none"/>
          <w:u w:val="single"/>
        </w:rPr>
        <w:t>▲不提供此函的投标文件将被视为未实质性响应招标文件，其</w:t>
      </w:r>
      <w:r>
        <w:rPr>
          <w:rFonts w:hint="eastAsia" w:ascii="宋体" w:hAnsi="宋体"/>
          <w:b/>
          <w:bCs/>
          <w:sz w:val="22"/>
          <w:szCs w:val="22"/>
          <w:highlight w:val="none"/>
          <w:u w:val="single"/>
        </w:rPr>
        <w:t>投标无效</w:t>
      </w:r>
      <w:r>
        <w:rPr>
          <w:rFonts w:hint="eastAsia" w:ascii="宋体" w:hAnsi="宋体"/>
          <w:b/>
          <w:sz w:val="22"/>
          <w:szCs w:val="22"/>
          <w:highlight w:val="none"/>
          <w:u w:val="single"/>
        </w:rPr>
        <w:t>。</w:t>
      </w:r>
    </w:p>
    <w:p w14:paraId="4A36F3F4">
      <w:pPr>
        <w:spacing w:line="360" w:lineRule="auto"/>
        <w:jc w:val="center"/>
        <w:rPr>
          <w:rFonts w:ascii="宋体" w:hAnsi="宋体"/>
          <w:b/>
          <w:bCs/>
          <w:szCs w:val="21"/>
          <w:highlight w:val="none"/>
        </w:rPr>
      </w:pPr>
    </w:p>
    <w:p w14:paraId="3939A20C">
      <w:pPr>
        <w:rPr>
          <w:rFonts w:ascii="宋体" w:hAnsi="宋体"/>
          <w:highlight w:val="none"/>
        </w:rPr>
      </w:pPr>
    </w:p>
    <w:p w14:paraId="730A67FE">
      <w:pPr>
        <w:tabs>
          <w:tab w:val="left" w:pos="420"/>
          <w:tab w:val="left" w:pos="1260"/>
        </w:tabs>
        <w:spacing w:line="360" w:lineRule="auto"/>
        <w:jc w:val="center"/>
        <w:rPr>
          <w:rFonts w:ascii="宋体" w:hAnsi="宋体"/>
          <w:b/>
          <w:bCs/>
          <w:sz w:val="30"/>
          <w:szCs w:val="30"/>
          <w:highlight w:val="none"/>
        </w:rPr>
      </w:pPr>
      <w:r>
        <w:rPr>
          <w:rFonts w:hint="eastAsia" w:ascii="宋体" w:hAnsi="宋体"/>
          <w:b/>
          <w:bCs/>
          <w:sz w:val="30"/>
          <w:szCs w:val="30"/>
          <w:highlight w:val="none"/>
        </w:rPr>
        <w:t>二、单位负责人授权书</w:t>
      </w:r>
    </w:p>
    <w:p w14:paraId="71447FF8">
      <w:pPr>
        <w:spacing w:line="420" w:lineRule="exact"/>
        <w:rPr>
          <w:rFonts w:ascii="宋体" w:hAnsi="宋体"/>
          <w:sz w:val="22"/>
          <w:szCs w:val="22"/>
          <w:highlight w:val="none"/>
        </w:rPr>
      </w:pPr>
    </w:p>
    <w:p w14:paraId="6BEE414E">
      <w:pPr>
        <w:spacing w:line="420" w:lineRule="exact"/>
        <w:rPr>
          <w:rFonts w:ascii="宋体" w:hAnsi="宋体"/>
          <w:sz w:val="22"/>
          <w:szCs w:val="22"/>
          <w:highlight w:val="none"/>
        </w:rPr>
      </w:pPr>
      <w:r>
        <w:rPr>
          <w:rFonts w:hint="eastAsia" w:ascii="宋体" w:hAnsi="宋体"/>
          <w:sz w:val="22"/>
          <w:szCs w:val="22"/>
          <w:highlight w:val="none"/>
          <w:lang w:eastAsia="zh-CN"/>
        </w:rPr>
        <w:t>温州市瓯海区农业农村局</w:t>
      </w:r>
      <w:r>
        <w:rPr>
          <w:rFonts w:hint="eastAsia" w:ascii="宋体" w:hAnsi="宋体"/>
          <w:sz w:val="22"/>
          <w:szCs w:val="22"/>
          <w:highlight w:val="none"/>
        </w:rPr>
        <w:t>：</w:t>
      </w:r>
    </w:p>
    <w:p w14:paraId="2E4C430D">
      <w:pPr>
        <w:spacing w:line="420" w:lineRule="exact"/>
        <w:rPr>
          <w:rFonts w:ascii="宋体" w:hAnsi="宋体"/>
          <w:sz w:val="22"/>
          <w:szCs w:val="22"/>
          <w:highlight w:val="none"/>
        </w:rPr>
      </w:pPr>
      <w:r>
        <w:rPr>
          <w:rFonts w:hint="eastAsia" w:ascii="宋体" w:hAnsi="宋体"/>
          <w:sz w:val="22"/>
          <w:szCs w:val="22"/>
          <w:highlight w:val="none"/>
          <w:lang w:eastAsia="zh-CN"/>
        </w:rPr>
        <w:t>浙江华浦工程管理有限公司</w:t>
      </w:r>
      <w:r>
        <w:rPr>
          <w:rFonts w:hint="eastAsia" w:ascii="宋体" w:hAnsi="宋体"/>
          <w:sz w:val="22"/>
          <w:szCs w:val="22"/>
          <w:highlight w:val="none"/>
        </w:rPr>
        <w:t>：</w:t>
      </w:r>
    </w:p>
    <w:p w14:paraId="3EB50AFC">
      <w:pPr>
        <w:spacing w:line="460" w:lineRule="exact"/>
        <w:ind w:firstLine="550" w:firstLineChars="250"/>
        <w:rPr>
          <w:rFonts w:ascii="宋体" w:hAnsi="宋体"/>
          <w:sz w:val="22"/>
          <w:szCs w:val="22"/>
          <w:highlight w:val="none"/>
        </w:rPr>
      </w:pPr>
      <w:r>
        <w:rPr>
          <w:rFonts w:hint="eastAsia" w:ascii="宋体" w:hAnsi="宋体"/>
          <w:sz w:val="22"/>
          <w:szCs w:val="22"/>
          <w:highlight w:val="none"/>
          <w:u w:val="single"/>
        </w:rPr>
        <w:t xml:space="preserve">                   </w:t>
      </w:r>
      <w:r>
        <w:rPr>
          <w:rFonts w:hint="eastAsia" w:ascii="宋体" w:hAnsi="宋体"/>
          <w:sz w:val="22"/>
          <w:szCs w:val="22"/>
          <w:highlight w:val="none"/>
        </w:rPr>
        <w:t>（投标人单位全称）单位负责人</w:t>
      </w:r>
      <w:r>
        <w:rPr>
          <w:rFonts w:hint="eastAsia" w:ascii="宋体" w:hAnsi="宋体"/>
          <w:sz w:val="22"/>
          <w:szCs w:val="22"/>
          <w:highlight w:val="none"/>
          <w:u w:val="single"/>
        </w:rPr>
        <w:t xml:space="preserve">            </w:t>
      </w:r>
      <w:r>
        <w:rPr>
          <w:rFonts w:hint="eastAsia" w:ascii="宋体" w:hAnsi="宋体"/>
          <w:sz w:val="22"/>
          <w:szCs w:val="22"/>
          <w:highlight w:val="none"/>
        </w:rPr>
        <w:t>授权</w:t>
      </w:r>
      <w:r>
        <w:rPr>
          <w:rFonts w:hint="eastAsia" w:ascii="宋体" w:hAnsi="宋体"/>
          <w:sz w:val="22"/>
          <w:szCs w:val="22"/>
          <w:highlight w:val="none"/>
          <w:u w:val="single"/>
        </w:rPr>
        <w:t xml:space="preserve">           </w:t>
      </w:r>
      <w:r>
        <w:rPr>
          <w:rFonts w:hint="eastAsia" w:ascii="宋体" w:hAnsi="宋体"/>
          <w:sz w:val="22"/>
          <w:szCs w:val="22"/>
          <w:highlight w:val="none"/>
        </w:rPr>
        <w:t>（全权代表姓名）为全权代表，参加贵处组织的</w:t>
      </w:r>
      <w:r>
        <w:rPr>
          <w:rFonts w:hint="eastAsia" w:ascii="宋体" w:hAnsi="宋体"/>
          <w:sz w:val="22"/>
          <w:szCs w:val="22"/>
          <w:highlight w:val="none"/>
          <w:u w:val="single"/>
        </w:rPr>
        <w:t xml:space="preserve">                        </w:t>
      </w:r>
      <w:r>
        <w:rPr>
          <w:rFonts w:hint="eastAsia" w:ascii="宋体" w:hAnsi="宋体"/>
          <w:sz w:val="22"/>
          <w:szCs w:val="22"/>
          <w:highlight w:val="none"/>
        </w:rPr>
        <w:t>（项目名称、编号）的采购活动，全权代表我方处理采购活动中的一切事宜</w:t>
      </w:r>
      <w:r>
        <w:rPr>
          <w:rFonts w:ascii="宋体" w:hAnsi="宋体"/>
          <w:sz w:val="22"/>
          <w:szCs w:val="22"/>
          <w:highlight w:val="none"/>
        </w:rPr>
        <w:t>。投标人代表在投标过程中所签署的一切文件和处理与之有关的一切事务，我方均予以认可并对此承担责任。</w:t>
      </w:r>
    </w:p>
    <w:p w14:paraId="42734767">
      <w:pPr>
        <w:spacing w:line="460" w:lineRule="exact"/>
        <w:ind w:firstLine="550" w:firstLineChars="250"/>
        <w:rPr>
          <w:rFonts w:ascii="宋体" w:hAnsi="宋体"/>
          <w:sz w:val="22"/>
          <w:szCs w:val="22"/>
          <w:highlight w:val="none"/>
        </w:rPr>
      </w:pPr>
    </w:p>
    <w:p w14:paraId="5B871CCC">
      <w:pPr>
        <w:spacing w:line="460" w:lineRule="exact"/>
        <w:ind w:firstLine="3971" w:firstLineChars="1805"/>
        <w:rPr>
          <w:rFonts w:ascii="宋体" w:hAnsi="宋体"/>
          <w:sz w:val="22"/>
          <w:szCs w:val="22"/>
          <w:highlight w:val="none"/>
        </w:rPr>
      </w:pPr>
      <w:r>
        <w:rPr>
          <w:rFonts w:hint="eastAsia" w:ascii="宋体" w:hAnsi="宋体"/>
          <w:sz w:val="22"/>
          <w:szCs w:val="22"/>
          <w:highlight w:val="none"/>
        </w:rPr>
        <w:t>单位负责人(签字或盖章)：</w:t>
      </w:r>
    </w:p>
    <w:p w14:paraId="6968AAE7">
      <w:pPr>
        <w:spacing w:line="460" w:lineRule="exact"/>
        <w:ind w:firstLine="3971" w:firstLineChars="1805"/>
        <w:rPr>
          <w:rFonts w:ascii="宋体" w:hAnsi="宋体"/>
          <w:sz w:val="22"/>
          <w:szCs w:val="22"/>
          <w:highlight w:val="none"/>
        </w:rPr>
      </w:pPr>
      <w:r>
        <w:rPr>
          <w:rFonts w:hint="eastAsia" w:ascii="宋体" w:hAnsi="宋体"/>
          <w:sz w:val="22"/>
          <w:szCs w:val="22"/>
          <w:highlight w:val="none"/>
        </w:rPr>
        <w:t>投标人全称（盖公章）：</w:t>
      </w:r>
    </w:p>
    <w:p w14:paraId="6F71563A">
      <w:pPr>
        <w:spacing w:line="460" w:lineRule="exact"/>
        <w:ind w:firstLine="3971" w:firstLineChars="1805"/>
        <w:rPr>
          <w:rFonts w:ascii="宋体" w:hAnsi="宋体"/>
          <w:sz w:val="22"/>
          <w:szCs w:val="22"/>
          <w:highlight w:val="none"/>
        </w:rPr>
      </w:pPr>
      <w:r>
        <w:rPr>
          <w:rFonts w:hint="eastAsia" w:ascii="宋体" w:hAnsi="宋体"/>
          <w:sz w:val="22"/>
          <w:szCs w:val="22"/>
          <w:highlight w:val="none"/>
        </w:rPr>
        <w:t>日          期：  年  月  日</w:t>
      </w:r>
    </w:p>
    <w:p w14:paraId="6A05E801">
      <w:pPr>
        <w:spacing w:line="460" w:lineRule="exact"/>
        <w:ind w:firstLine="3971" w:firstLineChars="1805"/>
        <w:rPr>
          <w:rFonts w:ascii="宋体" w:hAnsi="宋体"/>
          <w:sz w:val="22"/>
          <w:szCs w:val="22"/>
          <w:highlight w:val="none"/>
        </w:rPr>
      </w:pPr>
    </w:p>
    <w:p w14:paraId="7FA24ECB">
      <w:pPr>
        <w:spacing w:line="460" w:lineRule="exact"/>
        <w:rPr>
          <w:rFonts w:ascii="宋体" w:hAnsi="宋体"/>
          <w:sz w:val="22"/>
          <w:szCs w:val="22"/>
          <w:highlight w:val="none"/>
        </w:rPr>
      </w:pPr>
      <w:r>
        <w:rPr>
          <w:rFonts w:hint="eastAsia" w:ascii="宋体" w:hAnsi="宋体"/>
          <w:sz w:val="22"/>
          <w:szCs w:val="22"/>
          <w:highlight w:val="none"/>
        </w:rPr>
        <w:t>附：</w:t>
      </w:r>
    </w:p>
    <w:p w14:paraId="10B5B92F">
      <w:pPr>
        <w:spacing w:line="460" w:lineRule="exact"/>
        <w:ind w:firstLine="220" w:firstLineChars="100"/>
        <w:rPr>
          <w:rFonts w:ascii="宋体" w:hAnsi="宋体"/>
          <w:sz w:val="22"/>
          <w:szCs w:val="22"/>
          <w:highlight w:val="none"/>
        </w:rPr>
      </w:pPr>
      <w:r>
        <w:rPr>
          <w:rFonts w:hint="eastAsia" w:ascii="宋体" w:hAnsi="宋体"/>
          <w:sz w:val="22"/>
          <w:szCs w:val="22"/>
          <w:highlight w:val="none"/>
        </w:rPr>
        <w:t>单位负责人有效期内的身份证正反面电子件：</w:t>
      </w:r>
    </w:p>
    <w:tbl>
      <w:tblPr>
        <w:tblStyle w:val="40"/>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5C328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Borders>
              <w:top w:val="single" w:color="000000" w:sz="4" w:space="0"/>
              <w:left w:val="single" w:color="000000" w:sz="4" w:space="0"/>
              <w:bottom w:val="single" w:color="000000" w:sz="4" w:space="0"/>
              <w:right w:val="single" w:color="000000" w:sz="4" w:space="0"/>
            </w:tcBorders>
          </w:tcPr>
          <w:p w14:paraId="268E083B">
            <w:pPr>
              <w:spacing w:line="360" w:lineRule="auto"/>
              <w:jc w:val="left"/>
              <w:rPr>
                <w:rFonts w:ascii="宋体" w:hAnsi="宋体"/>
                <w:sz w:val="24"/>
                <w:highlight w:val="none"/>
              </w:rPr>
            </w:pPr>
          </w:p>
          <w:p w14:paraId="31DE9634">
            <w:pPr>
              <w:spacing w:line="360" w:lineRule="auto"/>
              <w:jc w:val="left"/>
              <w:rPr>
                <w:rFonts w:ascii="宋体" w:hAnsi="宋体"/>
                <w:sz w:val="24"/>
                <w:highlight w:val="none"/>
              </w:rPr>
            </w:pPr>
          </w:p>
          <w:p w14:paraId="43350967">
            <w:pPr>
              <w:spacing w:line="360" w:lineRule="auto"/>
              <w:jc w:val="left"/>
              <w:rPr>
                <w:rFonts w:ascii="宋体" w:hAnsi="宋体"/>
                <w:sz w:val="24"/>
                <w:highlight w:val="none"/>
              </w:rPr>
            </w:pPr>
          </w:p>
        </w:tc>
        <w:tc>
          <w:tcPr>
            <w:tcW w:w="4536" w:type="dxa"/>
            <w:tcBorders>
              <w:top w:val="single" w:color="000000" w:sz="4" w:space="0"/>
              <w:left w:val="nil"/>
              <w:bottom w:val="single" w:color="000000" w:sz="4" w:space="0"/>
              <w:right w:val="single" w:color="000000" w:sz="4" w:space="0"/>
            </w:tcBorders>
          </w:tcPr>
          <w:p w14:paraId="64B69D51">
            <w:pPr>
              <w:spacing w:line="360" w:lineRule="auto"/>
              <w:jc w:val="left"/>
              <w:rPr>
                <w:rFonts w:ascii="宋体" w:hAnsi="宋体"/>
                <w:sz w:val="24"/>
                <w:highlight w:val="none"/>
              </w:rPr>
            </w:pPr>
          </w:p>
          <w:p w14:paraId="4CBE11A7">
            <w:pPr>
              <w:spacing w:line="360" w:lineRule="auto"/>
              <w:jc w:val="left"/>
              <w:rPr>
                <w:rFonts w:ascii="宋体" w:hAnsi="宋体"/>
                <w:sz w:val="24"/>
                <w:highlight w:val="none"/>
              </w:rPr>
            </w:pPr>
          </w:p>
          <w:p w14:paraId="32B81CB8">
            <w:pPr>
              <w:spacing w:line="360" w:lineRule="auto"/>
              <w:jc w:val="left"/>
              <w:rPr>
                <w:rFonts w:ascii="宋体" w:hAnsi="宋体"/>
                <w:sz w:val="24"/>
                <w:highlight w:val="none"/>
              </w:rPr>
            </w:pPr>
          </w:p>
        </w:tc>
      </w:tr>
    </w:tbl>
    <w:p w14:paraId="1A2419C0">
      <w:pPr>
        <w:spacing w:line="460" w:lineRule="exact"/>
        <w:ind w:firstLine="220" w:firstLineChars="100"/>
        <w:rPr>
          <w:rFonts w:ascii="宋体" w:hAnsi="宋体"/>
          <w:sz w:val="22"/>
          <w:szCs w:val="22"/>
          <w:highlight w:val="none"/>
        </w:rPr>
      </w:pPr>
      <w:r>
        <w:rPr>
          <w:rFonts w:hint="eastAsia" w:ascii="宋体" w:hAnsi="宋体"/>
          <w:sz w:val="22"/>
          <w:szCs w:val="22"/>
          <w:highlight w:val="none"/>
        </w:rPr>
        <w:t>全权代表人有效期内的身份证正反面电子件：</w:t>
      </w:r>
    </w:p>
    <w:tbl>
      <w:tblPr>
        <w:tblStyle w:val="40"/>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61F14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Borders>
              <w:top w:val="single" w:color="000000" w:sz="4" w:space="0"/>
              <w:left w:val="single" w:color="000000" w:sz="4" w:space="0"/>
              <w:bottom w:val="single" w:color="000000" w:sz="4" w:space="0"/>
              <w:right w:val="single" w:color="000000" w:sz="4" w:space="0"/>
            </w:tcBorders>
          </w:tcPr>
          <w:p w14:paraId="75FCA84C">
            <w:pPr>
              <w:spacing w:line="360" w:lineRule="auto"/>
              <w:jc w:val="left"/>
              <w:rPr>
                <w:rFonts w:ascii="宋体" w:hAnsi="宋体"/>
                <w:sz w:val="24"/>
                <w:highlight w:val="none"/>
              </w:rPr>
            </w:pPr>
          </w:p>
          <w:p w14:paraId="78D16BBC">
            <w:pPr>
              <w:spacing w:line="360" w:lineRule="auto"/>
              <w:jc w:val="left"/>
              <w:rPr>
                <w:rFonts w:ascii="宋体" w:hAnsi="宋体"/>
                <w:sz w:val="24"/>
                <w:highlight w:val="none"/>
              </w:rPr>
            </w:pPr>
          </w:p>
          <w:p w14:paraId="151EFC84">
            <w:pPr>
              <w:spacing w:line="360" w:lineRule="auto"/>
              <w:jc w:val="left"/>
              <w:rPr>
                <w:rFonts w:ascii="宋体" w:hAnsi="宋体"/>
                <w:sz w:val="24"/>
                <w:highlight w:val="none"/>
              </w:rPr>
            </w:pPr>
          </w:p>
        </w:tc>
        <w:tc>
          <w:tcPr>
            <w:tcW w:w="4536" w:type="dxa"/>
            <w:tcBorders>
              <w:top w:val="single" w:color="000000" w:sz="4" w:space="0"/>
              <w:left w:val="nil"/>
              <w:bottom w:val="single" w:color="000000" w:sz="4" w:space="0"/>
              <w:right w:val="single" w:color="000000" w:sz="4" w:space="0"/>
            </w:tcBorders>
          </w:tcPr>
          <w:p w14:paraId="60CA191C">
            <w:pPr>
              <w:spacing w:line="360" w:lineRule="auto"/>
              <w:jc w:val="left"/>
              <w:rPr>
                <w:rFonts w:ascii="宋体" w:hAnsi="宋体"/>
                <w:sz w:val="24"/>
                <w:highlight w:val="none"/>
              </w:rPr>
            </w:pPr>
          </w:p>
          <w:p w14:paraId="44323A1D">
            <w:pPr>
              <w:spacing w:line="360" w:lineRule="auto"/>
              <w:jc w:val="left"/>
              <w:rPr>
                <w:rFonts w:ascii="宋体" w:hAnsi="宋体"/>
                <w:sz w:val="24"/>
                <w:highlight w:val="none"/>
              </w:rPr>
            </w:pPr>
          </w:p>
          <w:p w14:paraId="55EC3670">
            <w:pPr>
              <w:spacing w:line="360" w:lineRule="auto"/>
              <w:jc w:val="left"/>
              <w:rPr>
                <w:rFonts w:ascii="宋体" w:hAnsi="宋体"/>
                <w:sz w:val="24"/>
                <w:highlight w:val="none"/>
              </w:rPr>
            </w:pPr>
          </w:p>
        </w:tc>
      </w:tr>
    </w:tbl>
    <w:p w14:paraId="7F482C95">
      <w:pPr>
        <w:spacing w:line="460" w:lineRule="exact"/>
        <w:rPr>
          <w:rFonts w:ascii="宋体" w:hAnsi="宋体"/>
          <w:b/>
          <w:bCs/>
          <w:sz w:val="22"/>
          <w:szCs w:val="22"/>
          <w:highlight w:val="none"/>
        </w:rPr>
      </w:pPr>
    </w:p>
    <w:p w14:paraId="0EE34BC4">
      <w:pPr>
        <w:spacing w:line="460" w:lineRule="exact"/>
        <w:rPr>
          <w:rFonts w:ascii="宋体" w:hAnsi="宋体" w:cs="Courier New"/>
          <w:b/>
          <w:sz w:val="22"/>
          <w:szCs w:val="22"/>
          <w:highlight w:val="none"/>
        </w:rPr>
      </w:pPr>
      <w:r>
        <w:rPr>
          <w:rFonts w:hint="eastAsia" w:ascii="宋体" w:hAnsi="宋体" w:cs="Courier New"/>
          <w:b/>
          <w:sz w:val="22"/>
          <w:szCs w:val="22"/>
          <w:highlight w:val="none"/>
        </w:rPr>
        <w:t xml:space="preserve">说明： </w:t>
      </w:r>
    </w:p>
    <w:p w14:paraId="40DE4697">
      <w:pPr>
        <w:spacing w:line="460" w:lineRule="exact"/>
        <w:rPr>
          <w:rFonts w:ascii="宋体" w:hAnsi="宋体" w:cs="Courier New"/>
          <w:b/>
          <w:sz w:val="22"/>
          <w:szCs w:val="22"/>
          <w:highlight w:val="none"/>
        </w:rPr>
      </w:pPr>
      <w:r>
        <w:rPr>
          <w:rFonts w:ascii="宋体" w:hAnsi="宋体" w:cs="Courier New"/>
          <w:b/>
          <w:sz w:val="22"/>
          <w:szCs w:val="22"/>
          <w:highlight w:val="none"/>
        </w:rPr>
        <w:t>1</w:t>
      </w:r>
      <w:r>
        <w:rPr>
          <w:rFonts w:hint="eastAsia" w:ascii="宋体" w:hAnsi="宋体" w:cs="Courier New"/>
          <w:b/>
          <w:sz w:val="22"/>
          <w:szCs w:val="22"/>
          <w:highlight w:val="none"/>
        </w:rPr>
        <w:t>、</w:t>
      </w:r>
      <w:r>
        <w:rPr>
          <w:rFonts w:ascii="宋体" w:hAnsi="宋体" w:cs="Courier New"/>
          <w:b/>
          <w:sz w:val="22"/>
          <w:szCs w:val="22"/>
          <w:highlight w:val="none"/>
        </w:rPr>
        <w:t>投标人：若投标人代表为单位负责人授权的委托代理人，应提供本授权书；</w:t>
      </w:r>
    </w:p>
    <w:p w14:paraId="2A46E506">
      <w:pPr>
        <w:spacing w:line="460" w:lineRule="exact"/>
        <w:rPr>
          <w:rFonts w:ascii="宋体" w:hAnsi="宋体" w:cs="Courier New"/>
          <w:b/>
          <w:sz w:val="22"/>
          <w:szCs w:val="22"/>
          <w:highlight w:val="none"/>
        </w:rPr>
      </w:pPr>
      <w:r>
        <w:rPr>
          <w:rFonts w:ascii="宋体" w:hAnsi="宋体" w:cs="Courier New"/>
          <w:b/>
          <w:sz w:val="22"/>
          <w:szCs w:val="22"/>
          <w:highlight w:val="none"/>
        </w:rPr>
        <w:t>2</w:t>
      </w:r>
      <w:r>
        <w:rPr>
          <w:rFonts w:hint="eastAsia" w:ascii="宋体" w:hAnsi="宋体" w:cs="Courier New"/>
          <w:b/>
          <w:sz w:val="22"/>
          <w:szCs w:val="22"/>
          <w:highlight w:val="none"/>
        </w:rPr>
        <w:t>、</w:t>
      </w:r>
      <w:r>
        <w:rPr>
          <w:rFonts w:ascii="宋体" w:hAnsi="宋体" w:cs="Courier New"/>
          <w:b/>
          <w:sz w:val="22"/>
          <w:szCs w:val="22"/>
          <w:highlight w:val="none"/>
        </w:rPr>
        <w:t>若投标人代表为单位负责人，应在此项下提交其身份证正反面复印件，可不提供本授权书。</w:t>
      </w:r>
    </w:p>
    <w:p w14:paraId="7CCCECAB">
      <w:pPr>
        <w:spacing w:line="400" w:lineRule="exact"/>
        <w:ind w:firstLine="141" w:firstLineChars="64"/>
        <w:rPr>
          <w:rFonts w:ascii="宋体" w:hAnsi="宋体"/>
          <w:b/>
          <w:sz w:val="22"/>
          <w:highlight w:val="none"/>
        </w:rPr>
      </w:pPr>
    </w:p>
    <w:p w14:paraId="5EF0104E">
      <w:pPr>
        <w:numPr>
          <w:ilvl w:val="1"/>
          <w:numId w:val="23"/>
        </w:numPr>
        <w:tabs>
          <w:tab w:val="left" w:pos="0"/>
          <w:tab w:val="left" w:pos="600"/>
        </w:tabs>
        <w:spacing w:line="400" w:lineRule="exact"/>
        <w:rPr>
          <w:rFonts w:ascii="宋体" w:hAnsi="宋体"/>
          <w:b/>
          <w:sz w:val="22"/>
          <w:highlight w:val="none"/>
        </w:rPr>
        <w:sectPr>
          <w:headerReference r:id="rId6" w:type="default"/>
          <w:footerReference r:id="rId7" w:type="default"/>
          <w:pgSz w:w="11906" w:h="16838"/>
          <w:pgMar w:top="1134" w:right="1134" w:bottom="1134" w:left="1134" w:header="851" w:footer="851" w:gutter="0"/>
          <w:pgNumType w:start="1"/>
          <w:cols w:space="720" w:num="1"/>
          <w:docGrid w:linePitch="312" w:charSpace="0"/>
        </w:sectPr>
      </w:pPr>
    </w:p>
    <w:p w14:paraId="10757D25">
      <w:pPr>
        <w:rPr>
          <w:rFonts w:ascii="宋体" w:hAnsi="宋体"/>
          <w:highlight w:val="none"/>
        </w:rPr>
      </w:pPr>
    </w:p>
    <w:p w14:paraId="064EACF1">
      <w:pPr>
        <w:spacing w:line="460" w:lineRule="exact"/>
        <w:jc w:val="center"/>
        <w:rPr>
          <w:rFonts w:ascii="宋体" w:hAnsi="宋体"/>
          <w:b/>
          <w:bCs/>
          <w:sz w:val="30"/>
          <w:szCs w:val="30"/>
          <w:highlight w:val="none"/>
        </w:rPr>
      </w:pPr>
      <w:r>
        <w:rPr>
          <w:rFonts w:hint="eastAsia" w:ascii="宋体" w:hAnsi="宋体"/>
          <w:b/>
          <w:bCs/>
          <w:sz w:val="30"/>
          <w:szCs w:val="30"/>
          <w:highlight w:val="none"/>
        </w:rPr>
        <w:t>三、投标人联系表</w:t>
      </w:r>
    </w:p>
    <w:p w14:paraId="134D4B62">
      <w:pPr>
        <w:rPr>
          <w:rFonts w:ascii="宋体" w:hAnsi="宋体"/>
          <w:highlight w:val="none"/>
        </w:rPr>
      </w:pPr>
    </w:p>
    <w:tbl>
      <w:tblPr>
        <w:tblStyle w:val="40"/>
        <w:tblW w:w="97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587"/>
        <w:gridCol w:w="6413"/>
      </w:tblGrid>
      <w:tr w14:paraId="36FB80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7519A10">
            <w:pPr>
              <w:spacing w:line="440" w:lineRule="exact"/>
              <w:jc w:val="center"/>
              <w:rPr>
                <w:rFonts w:ascii="宋体" w:hAnsi="宋体"/>
                <w:sz w:val="22"/>
                <w:szCs w:val="22"/>
                <w:highlight w:val="none"/>
              </w:rPr>
            </w:pPr>
            <w:r>
              <w:rPr>
                <w:rFonts w:hint="eastAsia" w:ascii="宋体" w:hAnsi="宋体"/>
                <w:sz w:val="22"/>
                <w:szCs w:val="22"/>
                <w:highlight w:val="none"/>
              </w:rPr>
              <w:t>序号</w:t>
            </w:r>
          </w:p>
        </w:tc>
        <w:tc>
          <w:tcPr>
            <w:tcW w:w="2587" w:type="dxa"/>
            <w:tcBorders>
              <w:top w:val="single" w:color="auto" w:sz="4" w:space="0"/>
              <w:left w:val="single" w:color="auto" w:sz="4" w:space="0"/>
              <w:bottom w:val="single" w:color="auto" w:sz="4" w:space="0"/>
              <w:right w:val="single" w:color="auto" w:sz="4" w:space="0"/>
            </w:tcBorders>
            <w:vAlign w:val="center"/>
          </w:tcPr>
          <w:p w14:paraId="309018C7">
            <w:pPr>
              <w:spacing w:line="440" w:lineRule="exact"/>
              <w:jc w:val="center"/>
              <w:rPr>
                <w:rFonts w:ascii="宋体" w:hAnsi="宋体"/>
                <w:sz w:val="22"/>
                <w:szCs w:val="22"/>
                <w:highlight w:val="none"/>
              </w:rPr>
            </w:pPr>
            <w:r>
              <w:rPr>
                <w:rFonts w:hint="eastAsia" w:ascii="宋体" w:hAnsi="宋体"/>
                <w:sz w:val="22"/>
                <w:szCs w:val="22"/>
                <w:highlight w:val="none"/>
              </w:rPr>
              <w:t>项  目</w:t>
            </w:r>
          </w:p>
        </w:tc>
        <w:tc>
          <w:tcPr>
            <w:tcW w:w="6413" w:type="dxa"/>
            <w:tcBorders>
              <w:top w:val="single" w:color="auto" w:sz="4" w:space="0"/>
              <w:left w:val="single" w:color="auto" w:sz="4" w:space="0"/>
              <w:bottom w:val="single" w:color="auto" w:sz="4" w:space="0"/>
              <w:right w:val="single" w:color="auto" w:sz="4" w:space="0"/>
            </w:tcBorders>
            <w:vAlign w:val="center"/>
          </w:tcPr>
          <w:p w14:paraId="23135047">
            <w:pPr>
              <w:spacing w:line="440" w:lineRule="exact"/>
              <w:jc w:val="center"/>
              <w:rPr>
                <w:rFonts w:ascii="宋体" w:hAnsi="宋体"/>
                <w:sz w:val="22"/>
                <w:szCs w:val="22"/>
                <w:highlight w:val="none"/>
              </w:rPr>
            </w:pPr>
            <w:r>
              <w:rPr>
                <w:rFonts w:hint="eastAsia" w:ascii="宋体" w:hAnsi="宋体"/>
                <w:sz w:val="22"/>
                <w:szCs w:val="22"/>
                <w:highlight w:val="none"/>
              </w:rPr>
              <w:t>内容</w:t>
            </w:r>
          </w:p>
        </w:tc>
      </w:tr>
      <w:tr w14:paraId="53195E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975A88B">
            <w:pPr>
              <w:spacing w:line="440" w:lineRule="exact"/>
              <w:jc w:val="center"/>
              <w:rPr>
                <w:rFonts w:ascii="宋体" w:hAnsi="宋体"/>
                <w:sz w:val="22"/>
                <w:szCs w:val="22"/>
                <w:highlight w:val="none"/>
              </w:rPr>
            </w:pPr>
            <w:r>
              <w:rPr>
                <w:rFonts w:hint="eastAsia" w:ascii="宋体" w:hAnsi="宋体"/>
                <w:sz w:val="22"/>
                <w:szCs w:val="22"/>
                <w:highlight w:val="none"/>
              </w:rPr>
              <w:t>1</w:t>
            </w:r>
          </w:p>
        </w:tc>
        <w:tc>
          <w:tcPr>
            <w:tcW w:w="2587" w:type="dxa"/>
            <w:tcBorders>
              <w:top w:val="single" w:color="auto" w:sz="4" w:space="0"/>
              <w:left w:val="single" w:color="auto" w:sz="4" w:space="0"/>
              <w:bottom w:val="single" w:color="auto" w:sz="4" w:space="0"/>
              <w:right w:val="single" w:color="auto" w:sz="4" w:space="0"/>
            </w:tcBorders>
            <w:vAlign w:val="center"/>
          </w:tcPr>
          <w:p w14:paraId="61CFBA88">
            <w:pPr>
              <w:spacing w:line="440" w:lineRule="exact"/>
              <w:jc w:val="center"/>
              <w:rPr>
                <w:rFonts w:ascii="宋体" w:hAnsi="宋体"/>
                <w:bCs/>
                <w:sz w:val="22"/>
                <w:szCs w:val="22"/>
                <w:highlight w:val="none"/>
              </w:rPr>
            </w:pPr>
            <w:r>
              <w:rPr>
                <w:rFonts w:ascii="宋体" w:hAnsi="宋体"/>
                <w:bCs/>
                <w:sz w:val="22"/>
                <w:szCs w:val="22"/>
                <w:highlight w:val="none"/>
              </w:rPr>
              <w:t>项目名称</w:t>
            </w:r>
          </w:p>
        </w:tc>
        <w:tc>
          <w:tcPr>
            <w:tcW w:w="6413" w:type="dxa"/>
            <w:tcBorders>
              <w:top w:val="single" w:color="auto" w:sz="4" w:space="0"/>
              <w:left w:val="single" w:color="auto" w:sz="4" w:space="0"/>
              <w:bottom w:val="single" w:color="auto" w:sz="4" w:space="0"/>
              <w:right w:val="single" w:color="auto" w:sz="4" w:space="0"/>
            </w:tcBorders>
            <w:vAlign w:val="center"/>
          </w:tcPr>
          <w:p w14:paraId="7933CBAB">
            <w:pPr>
              <w:spacing w:line="360" w:lineRule="exact"/>
              <w:rPr>
                <w:rFonts w:ascii="宋体" w:hAnsi="宋体" w:cs="楷体"/>
                <w:kern w:val="0"/>
                <w:sz w:val="22"/>
                <w:szCs w:val="22"/>
                <w:highlight w:val="none"/>
              </w:rPr>
            </w:pPr>
          </w:p>
        </w:tc>
      </w:tr>
      <w:tr w14:paraId="2FC60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F4286B7">
            <w:pPr>
              <w:spacing w:line="440" w:lineRule="exact"/>
              <w:jc w:val="center"/>
              <w:rPr>
                <w:rFonts w:ascii="宋体" w:hAnsi="宋体"/>
                <w:sz w:val="22"/>
                <w:szCs w:val="22"/>
                <w:highlight w:val="none"/>
              </w:rPr>
            </w:pPr>
            <w:r>
              <w:rPr>
                <w:rFonts w:hint="eastAsia" w:ascii="宋体" w:hAnsi="宋体"/>
                <w:sz w:val="22"/>
                <w:szCs w:val="22"/>
                <w:highlight w:val="none"/>
              </w:rPr>
              <w:t>2</w:t>
            </w:r>
          </w:p>
        </w:tc>
        <w:tc>
          <w:tcPr>
            <w:tcW w:w="2587" w:type="dxa"/>
            <w:tcBorders>
              <w:top w:val="single" w:color="auto" w:sz="4" w:space="0"/>
              <w:left w:val="single" w:color="auto" w:sz="4" w:space="0"/>
              <w:bottom w:val="single" w:color="auto" w:sz="4" w:space="0"/>
              <w:right w:val="single" w:color="auto" w:sz="4" w:space="0"/>
            </w:tcBorders>
            <w:vAlign w:val="center"/>
          </w:tcPr>
          <w:p w14:paraId="0636C172">
            <w:pPr>
              <w:spacing w:line="440" w:lineRule="exact"/>
              <w:jc w:val="center"/>
              <w:rPr>
                <w:rFonts w:ascii="宋体" w:hAnsi="宋体"/>
                <w:bCs/>
                <w:sz w:val="22"/>
                <w:szCs w:val="22"/>
                <w:highlight w:val="none"/>
              </w:rPr>
            </w:pPr>
            <w:r>
              <w:rPr>
                <w:rFonts w:hint="eastAsia" w:ascii="宋体" w:hAnsi="宋体"/>
                <w:bCs/>
                <w:sz w:val="22"/>
                <w:szCs w:val="22"/>
                <w:highlight w:val="none"/>
              </w:rPr>
              <w:t>项目编号</w:t>
            </w:r>
          </w:p>
        </w:tc>
        <w:tc>
          <w:tcPr>
            <w:tcW w:w="6413" w:type="dxa"/>
            <w:tcBorders>
              <w:top w:val="single" w:color="auto" w:sz="4" w:space="0"/>
              <w:left w:val="single" w:color="auto" w:sz="4" w:space="0"/>
              <w:bottom w:val="single" w:color="auto" w:sz="4" w:space="0"/>
              <w:right w:val="single" w:color="auto" w:sz="4" w:space="0"/>
            </w:tcBorders>
            <w:vAlign w:val="center"/>
          </w:tcPr>
          <w:p w14:paraId="7DA7F745">
            <w:pPr>
              <w:spacing w:line="360" w:lineRule="exact"/>
              <w:rPr>
                <w:rFonts w:ascii="宋体" w:hAnsi="宋体" w:cs="楷体"/>
                <w:kern w:val="0"/>
                <w:sz w:val="22"/>
                <w:szCs w:val="22"/>
                <w:highlight w:val="none"/>
              </w:rPr>
            </w:pPr>
          </w:p>
        </w:tc>
      </w:tr>
      <w:tr w14:paraId="46DC7B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C4D57AC">
            <w:pPr>
              <w:spacing w:line="440" w:lineRule="exact"/>
              <w:jc w:val="center"/>
              <w:rPr>
                <w:rFonts w:ascii="宋体" w:hAnsi="宋体"/>
                <w:sz w:val="22"/>
                <w:szCs w:val="22"/>
                <w:highlight w:val="none"/>
              </w:rPr>
            </w:pPr>
            <w:r>
              <w:rPr>
                <w:rFonts w:hint="eastAsia" w:ascii="宋体" w:hAnsi="宋体"/>
                <w:sz w:val="22"/>
                <w:szCs w:val="22"/>
                <w:highlight w:val="none"/>
              </w:rPr>
              <w:t>3</w:t>
            </w:r>
          </w:p>
        </w:tc>
        <w:tc>
          <w:tcPr>
            <w:tcW w:w="2587" w:type="dxa"/>
            <w:tcBorders>
              <w:top w:val="single" w:color="auto" w:sz="4" w:space="0"/>
              <w:left w:val="single" w:color="auto" w:sz="4" w:space="0"/>
              <w:bottom w:val="single" w:color="auto" w:sz="4" w:space="0"/>
              <w:right w:val="single" w:color="auto" w:sz="4" w:space="0"/>
            </w:tcBorders>
            <w:vAlign w:val="center"/>
          </w:tcPr>
          <w:p w14:paraId="1E2947D7">
            <w:pPr>
              <w:spacing w:line="440" w:lineRule="exact"/>
              <w:jc w:val="center"/>
              <w:rPr>
                <w:rFonts w:ascii="宋体" w:hAnsi="宋体"/>
                <w:bCs/>
                <w:sz w:val="22"/>
                <w:szCs w:val="22"/>
                <w:highlight w:val="none"/>
              </w:rPr>
            </w:pPr>
            <w:r>
              <w:rPr>
                <w:rFonts w:hint="eastAsia" w:ascii="宋体" w:hAnsi="宋体"/>
                <w:bCs/>
                <w:sz w:val="22"/>
                <w:szCs w:val="22"/>
                <w:highlight w:val="none"/>
              </w:rPr>
              <w:t>投标单位名称</w:t>
            </w:r>
          </w:p>
        </w:tc>
        <w:tc>
          <w:tcPr>
            <w:tcW w:w="6413" w:type="dxa"/>
            <w:tcBorders>
              <w:top w:val="single" w:color="auto" w:sz="4" w:space="0"/>
              <w:left w:val="single" w:color="auto" w:sz="4" w:space="0"/>
              <w:bottom w:val="single" w:color="auto" w:sz="4" w:space="0"/>
              <w:right w:val="single" w:color="auto" w:sz="4" w:space="0"/>
            </w:tcBorders>
            <w:vAlign w:val="center"/>
          </w:tcPr>
          <w:p w14:paraId="30B5BB3A">
            <w:pPr>
              <w:spacing w:line="360" w:lineRule="exact"/>
              <w:rPr>
                <w:rFonts w:ascii="宋体" w:hAnsi="宋体" w:cs="楷体"/>
                <w:kern w:val="0"/>
                <w:sz w:val="22"/>
                <w:szCs w:val="22"/>
                <w:highlight w:val="none"/>
              </w:rPr>
            </w:pPr>
          </w:p>
        </w:tc>
      </w:tr>
      <w:tr w14:paraId="5EB59D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3858E16">
            <w:pPr>
              <w:spacing w:line="440" w:lineRule="exact"/>
              <w:jc w:val="center"/>
              <w:rPr>
                <w:rFonts w:ascii="宋体" w:hAnsi="宋体"/>
                <w:sz w:val="22"/>
                <w:szCs w:val="22"/>
                <w:highlight w:val="none"/>
              </w:rPr>
            </w:pPr>
            <w:r>
              <w:rPr>
                <w:rFonts w:hint="eastAsia" w:ascii="宋体" w:hAnsi="宋体"/>
                <w:sz w:val="22"/>
                <w:szCs w:val="22"/>
                <w:highlight w:val="none"/>
              </w:rPr>
              <w:t>4</w:t>
            </w:r>
          </w:p>
        </w:tc>
        <w:tc>
          <w:tcPr>
            <w:tcW w:w="2587" w:type="dxa"/>
            <w:tcBorders>
              <w:top w:val="single" w:color="auto" w:sz="4" w:space="0"/>
              <w:left w:val="single" w:color="auto" w:sz="4" w:space="0"/>
              <w:bottom w:val="single" w:color="auto" w:sz="4" w:space="0"/>
              <w:right w:val="single" w:color="auto" w:sz="4" w:space="0"/>
            </w:tcBorders>
            <w:vAlign w:val="center"/>
          </w:tcPr>
          <w:p w14:paraId="05A8A116">
            <w:pPr>
              <w:spacing w:line="440" w:lineRule="exact"/>
              <w:jc w:val="center"/>
              <w:rPr>
                <w:rFonts w:ascii="宋体" w:hAnsi="宋体"/>
                <w:bCs/>
                <w:sz w:val="22"/>
                <w:szCs w:val="22"/>
                <w:highlight w:val="none"/>
              </w:rPr>
            </w:pPr>
            <w:r>
              <w:rPr>
                <w:rFonts w:hint="eastAsia" w:ascii="宋体" w:hAnsi="宋体"/>
                <w:bCs/>
                <w:sz w:val="22"/>
                <w:szCs w:val="22"/>
                <w:highlight w:val="none"/>
              </w:rPr>
              <w:t>投标单位联系地址</w:t>
            </w:r>
          </w:p>
        </w:tc>
        <w:tc>
          <w:tcPr>
            <w:tcW w:w="6413" w:type="dxa"/>
            <w:tcBorders>
              <w:top w:val="single" w:color="auto" w:sz="4" w:space="0"/>
              <w:left w:val="single" w:color="auto" w:sz="4" w:space="0"/>
              <w:bottom w:val="single" w:color="auto" w:sz="4" w:space="0"/>
              <w:right w:val="single" w:color="auto" w:sz="4" w:space="0"/>
            </w:tcBorders>
            <w:vAlign w:val="center"/>
          </w:tcPr>
          <w:p w14:paraId="31387A39">
            <w:pPr>
              <w:spacing w:line="360" w:lineRule="exact"/>
              <w:rPr>
                <w:rFonts w:ascii="宋体" w:hAnsi="宋体" w:cs="楷体"/>
                <w:kern w:val="0"/>
                <w:sz w:val="22"/>
                <w:szCs w:val="22"/>
                <w:highlight w:val="none"/>
              </w:rPr>
            </w:pPr>
          </w:p>
        </w:tc>
      </w:tr>
      <w:tr w14:paraId="7FA938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85A765F">
            <w:pPr>
              <w:spacing w:line="440" w:lineRule="exact"/>
              <w:jc w:val="center"/>
              <w:rPr>
                <w:rFonts w:ascii="宋体" w:hAnsi="宋体"/>
                <w:sz w:val="22"/>
                <w:szCs w:val="22"/>
                <w:highlight w:val="none"/>
              </w:rPr>
            </w:pPr>
            <w:r>
              <w:rPr>
                <w:rFonts w:hint="eastAsia" w:ascii="宋体" w:hAnsi="宋体"/>
                <w:sz w:val="22"/>
                <w:szCs w:val="22"/>
                <w:highlight w:val="none"/>
              </w:rPr>
              <w:t>5</w:t>
            </w:r>
          </w:p>
        </w:tc>
        <w:tc>
          <w:tcPr>
            <w:tcW w:w="2587" w:type="dxa"/>
            <w:tcBorders>
              <w:top w:val="single" w:color="auto" w:sz="4" w:space="0"/>
              <w:left w:val="single" w:color="auto" w:sz="4" w:space="0"/>
              <w:bottom w:val="single" w:color="auto" w:sz="4" w:space="0"/>
              <w:right w:val="single" w:color="auto" w:sz="4" w:space="0"/>
            </w:tcBorders>
            <w:vAlign w:val="center"/>
          </w:tcPr>
          <w:p w14:paraId="417C03DC">
            <w:pPr>
              <w:spacing w:line="440" w:lineRule="exact"/>
              <w:jc w:val="center"/>
              <w:rPr>
                <w:rFonts w:ascii="宋体" w:hAnsi="宋体"/>
                <w:bCs/>
                <w:sz w:val="22"/>
                <w:szCs w:val="22"/>
                <w:highlight w:val="none"/>
              </w:rPr>
            </w:pPr>
            <w:r>
              <w:rPr>
                <w:rFonts w:hint="eastAsia" w:ascii="宋体" w:hAnsi="宋体"/>
                <w:bCs/>
                <w:sz w:val="22"/>
                <w:szCs w:val="22"/>
                <w:highlight w:val="none"/>
              </w:rPr>
              <w:t>投标单位联系方式</w:t>
            </w:r>
          </w:p>
        </w:tc>
        <w:tc>
          <w:tcPr>
            <w:tcW w:w="6413" w:type="dxa"/>
            <w:tcBorders>
              <w:top w:val="single" w:color="auto" w:sz="4" w:space="0"/>
              <w:left w:val="single" w:color="auto" w:sz="4" w:space="0"/>
              <w:bottom w:val="single" w:color="auto" w:sz="4" w:space="0"/>
              <w:right w:val="single" w:color="auto" w:sz="4" w:space="0"/>
            </w:tcBorders>
            <w:vAlign w:val="center"/>
          </w:tcPr>
          <w:p w14:paraId="4DACF7BF">
            <w:pPr>
              <w:spacing w:line="360" w:lineRule="exact"/>
              <w:rPr>
                <w:rFonts w:ascii="宋体" w:hAnsi="宋体" w:cs="楷体"/>
                <w:kern w:val="0"/>
                <w:sz w:val="22"/>
                <w:szCs w:val="22"/>
                <w:highlight w:val="none"/>
              </w:rPr>
            </w:pPr>
          </w:p>
        </w:tc>
      </w:tr>
      <w:tr w14:paraId="771354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9EEFF1D">
            <w:pPr>
              <w:spacing w:line="440" w:lineRule="exact"/>
              <w:jc w:val="center"/>
              <w:rPr>
                <w:rFonts w:ascii="宋体" w:hAnsi="宋体"/>
                <w:sz w:val="22"/>
                <w:szCs w:val="22"/>
                <w:highlight w:val="none"/>
              </w:rPr>
            </w:pPr>
            <w:r>
              <w:rPr>
                <w:rFonts w:hint="eastAsia" w:ascii="宋体" w:hAnsi="宋体"/>
                <w:sz w:val="22"/>
                <w:szCs w:val="22"/>
                <w:highlight w:val="none"/>
              </w:rPr>
              <w:t>6</w:t>
            </w:r>
          </w:p>
        </w:tc>
        <w:tc>
          <w:tcPr>
            <w:tcW w:w="2587" w:type="dxa"/>
            <w:tcBorders>
              <w:top w:val="single" w:color="auto" w:sz="4" w:space="0"/>
              <w:left w:val="single" w:color="auto" w:sz="4" w:space="0"/>
              <w:bottom w:val="single" w:color="auto" w:sz="4" w:space="0"/>
              <w:right w:val="single" w:color="auto" w:sz="4" w:space="0"/>
            </w:tcBorders>
            <w:vAlign w:val="center"/>
          </w:tcPr>
          <w:p w14:paraId="00BDC80B">
            <w:pPr>
              <w:spacing w:line="440" w:lineRule="exact"/>
              <w:jc w:val="center"/>
              <w:rPr>
                <w:rFonts w:ascii="宋体" w:hAnsi="宋体"/>
                <w:bCs/>
                <w:sz w:val="22"/>
                <w:szCs w:val="22"/>
                <w:highlight w:val="none"/>
              </w:rPr>
            </w:pPr>
            <w:r>
              <w:rPr>
                <w:rFonts w:hint="eastAsia" w:ascii="宋体" w:hAnsi="宋体"/>
                <w:bCs/>
                <w:sz w:val="22"/>
                <w:szCs w:val="22"/>
                <w:highlight w:val="none"/>
              </w:rPr>
              <w:t>投标单位电子邮箱</w:t>
            </w:r>
          </w:p>
        </w:tc>
        <w:tc>
          <w:tcPr>
            <w:tcW w:w="6413" w:type="dxa"/>
            <w:tcBorders>
              <w:top w:val="single" w:color="auto" w:sz="4" w:space="0"/>
              <w:left w:val="single" w:color="auto" w:sz="4" w:space="0"/>
              <w:bottom w:val="single" w:color="auto" w:sz="4" w:space="0"/>
              <w:right w:val="single" w:color="auto" w:sz="4" w:space="0"/>
            </w:tcBorders>
            <w:vAlign w:val="center"/>
          </w:tcPr>
          <w:p w14:paraId="0BAFEC92">
            <w:pPr>
              <w:spacing w:line="360" w:lineRule="exact"/>
              <w:rPr>
                <w:rFonts w:ascii="宋体" w:hAnsi="宋体" w:cs="楷体"/>
                <w:kern w:val="0"/>
                <w:sz w:val="22"/>
                <w:szCs w:val="22"/>
                <w:highlight w:val="none"/>
              </w:rPr>
            </w:pPr>
          </w:p>
        </w:tc>
      </w:tr>
      <w:tr w14:paraId="33928F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BA5ADE3">
            <w:pPr>
              <w:spacing w:line="440" w:lineRule="exact"/>
              <w:jc w:val="center"/>
              <w:rPr>
                <w:rFonts w:ascii="宋体" w:hAnsi="宋体"/>
                <w:sz w:val="22"/>
                <w:szCs w:val="22"/>
                <w:highlight w:val="none"/>
              </w:rPr>
            </w:pPr>
            <w:r>
              <w:rPr>
                <w:rFonts w:hint="eastAsia" w:ascii="宋体" w:hAnsi="宋体"/>
                <w:sz w:val="22"/>
                <w:szCs w:val="22"/>
                <w:highlight w:val="none"/>
              </w:rPr>
              <w:t>7</w:t>
            </w:r>
          </w:p>
        </w:tc>
        <w:tc>
          <w:tcPr>
            <w:tcW w:w="2587" w:type="dxa"/>
            <w:tcBorders>
              <w:top w:val="single" w:color="auto" w:sz="4" w:space="0"/>
              <w:left w:val="single" w:color="auto" w:sz="4" w:space="0"/>
              <w:bottom w:val="single" w:color="auto" w:sz="4" w:space="0"/>
              <w:right w:val="single" w:color="auto" w:sz="4" w:space="0"/>
            </w:tcBorders>
            <w:vAlign w:val="center"/>
          </w:tcPr>
          <w:p w14:paraId="5E0C9E93">
            <w:pPr>
              <w:spacing w:line="440" w:lineRule="exact"/>
              <w:jc w:val="center"/>
              <w:rPr>
                <w:rFonts w:ascii="宋体" w:hAnsi="宋体"/>
                <w:bCs/>
                <w:sz w:val="22"/>
                <w:szCs w:val="22"/>
                <w:highlight w:val="none"/>
              </w:rPr>
            </w:pPr>
            <w:r>
              <w:rPr>
                <w:rFonts w:hint="eastAsia" w:ascii="宋体" w:hAnsi="宋体"/>
                <w:bCs/>
                <w:sz w:val="22"/>
                <w:szCs w:val="22"/>
                <w:highlight w:val="none"/>
              </w:rPr>
              <w:t>投标单位传真号码</w:t>
            </w:r>
          </w:p>
        </w:tc>
        <w:tc>
          <w:tcPr>
            <w:tcW w:w="6413" w:type="dxa"/>
            <w:tcBorders>
              <w:top w:val="single" w:color="auto" w:sz="4" w:space="0"/>
              <w:left w:val="single" w:color="auto" w:sz="4" w:space="0"/>
              <w:bottom w:val="single" w:color="auto" w:sz="4" w:space="0"/>
              <w:right w:val="single" w:color="auto" w:sz="4" w:space="0"/>
            </w:tcBorders>
            <w:vAlign w:val="center"/>
          </w:tcPr>
          <w:p w14:paraId="252C67B0">
            <w:pPr>
              <w:spacing w:line="360" w:lineRule="exact"/>
              <w:rPr>
                <w:rFonts w:ascii="宋体" w:hAnsi="宋体" w:cs="楷体"/>
                <w:kern w:val="0"/>
                <w:sz w:val="22"/>
                <w:szCs w:val="22"/>
                <w:highlight w:val="none"/>
              </w:rPr>
            </w:pPr>
          </w:p>
        </w:tc>
      </w:tr>
      <w:tr w14:paraId="6AC69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88C5D37">
            <w:pPr>
              <w:spacing w:line="440" w:lineRule="exact"/>
              <w:jc w:val="center"/>
              <w:rPr>
                <w:rFonts w:ascii="宋体" w:hAnsi="宋体"/>
                <w:sz w:val="22"/>
                <w:szCs w:val="22"/>
                <w:highlight w:val="none"/>
              </w:rPr>
            </w:pPr>
            <w:r>
              <w:rPr>
                <w:rFonts w:ascii="宋体" w:hAnsi="宋体"/>
                <w:sz w:val="22"/>
                <w:szCs w:val="22"/>
                <w:highlight w:val="none"/>
              </w:rPr>
              <w:t>8</w:t>
            </w:r>
          </w:p>
        </w:tc>
        <w:tc>
          <w:tcPr>
            <w:tcW w:w="2587" w:type="dxa"/>
            <w:tcBorders>
              <w:top w:val="single" w:color="auto" w:sz="4" w:space="0"/>
              <w:left w:val="single" w:color="auto" w:sz="4" w:space="0"/>
              <w:bottom w:val="single" w:color="auto" w:sz="4" w:space="0"/>
              <w:right w:val="single" w:color="auto" w:sz="4" w:space="0"/>
            </w:tcBorders>
            <w:vAlign w:val="center"/>
          </w:tcPr>
          <w:p w14:paraId="5BE0B79C">
            <w:pPr>
              <w:spacing w:line="440" w:lineRule="exact"/>
              <w:jc w:val="center"/>
              <w:rPr>
                <w:rFonts w:ascii="宋体" w:hAnsi="宋体"/>
                <w:bCs/>
                <w:sz w:val="22"/>
                <w:szCs w:val="22"/>
                <w:highlight w:val="none"/>
              </w:rPr>
            </w:pPr>
            <w:r>
              <w:rPr>
                <w:rFonts w:hint="eastAsia" w:ascii="宋体" w:hAnsi="宋体"/>
                <w:bCs/>
                <w:sz w:val="22"/>
                <w:szCs w:val="22"/>
                <w:highlight w:val="none"/>
              </w:rPr>
              <w:t>单位负责人名字</w:t>
            </w:r>
          </w:p>
        </w:tc>
        <w:tc>
          <w:tcPr>
            <w:tcW w:w="6413" w:type="dxa"/>
            <w:tcBorders>
              <w:top w:val="single" w:color="auto" w:sz="4" w:space="0"/>
              <w:left w:val="single" w:color="auto" w:sz="4" w:space="0"/>
              <w:bottom w:val="single" w:color="auto" w:sz="4" w:space="0"/>
              <w:right w:val="single" w:color="auto" w:sz="4" w:space="0"/>
            </w:tcBorders>
            <w:vAlign w:val="center"/>
          </w:tcPr>
          <w:p w14:paraId="56F0B117">
            <w:pPr>
              <w:spacing w:line="360" w:lineRule="exact"/>
              <w:rPr>
                <w:rFonts w:ascii="宋体" w:hAnsi="宋体" w:cs="楷体"/>
                <w:kern w:val="0"/>
                <w:sz w:val="22"/>
                <w:szCs w:val="22"/>
                <w:highlight w:val="none"/>
              </w:rPr>
            </w:pPr>
          </w:p>
        </w:tc>
      </w:tr>
      <w:tr w14:paraId="6E859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057602E">
            <w:pPr>
              <w:spacing w:line="440" w:lineRule="exact"/>
              <w:jc w:val="center"/>
              <w:rPr>
                <w:rFonts w:ascii="宋体" w:hAnsi="宋体"/>
                <w:sz w:val="22"/>
                <w:szCs w:val="22"/>
                <w:highlight w:val="none"/>
              </w:rPr>
            </w:pPr>
            <w:r>
              <w:rPr>
                <w:rFonts w:ascii="宋体" w:hAnsi="宋体"/>
                <w:sz w:val="22"/>
                <w:szCs w:val="22"/>
                <w:highlight w:val="none"/>
              </w:rPr>
              <w:t>9</w:t>
            </w:r>
          </w:p>
        </w:tc>
        <w:tc>
          <w:tcPr>
            <w:tcW w:w="2587" w:type="dxa"/>
            <w:tcBorders>
              <w:top w:val="single" w:color="auto" w:sz="4" w:space="0"/>
              <w:left w:val="single" w:color="auto" w:sz="4" w:space="0"/>
              <w:bottom w:val="single" w:color="auto" w:sz="4" w:space="0"/>
              <w:right w:val="single" w:color="auto" w:sz="4" w:space="0"/>
            </w:tcBorders>
            <w:vAlign w:val="center"/>
          </w:tcPr>
          <w:p w14:paraId="1311A359">
            <w:pPr>
              <w:spacing w:line="440" w:lineRule="exact"/>
              <w:jc w:val="center"/>
              <w:rPr>
                <w:rFonts w:ascii="宋体" w:hAnsi="宋体"/>
                <w:bCs/>
                <w:sz w:val="22"/>
                <w:szCs w:val="22"/>
                <w:highlight w:val="none"/>
              </w:rPr>
            </w:pPr>
            <w:r>
              <w:rPr>
                <w:rFonts w:hint="eastAsia" w:ascii="宋体" w:hAnsi="宋体"/>
                <w:bCs/>
                <w:sz w:val="22"/>
                <w:szCs w:val="22"/>
                <w:highlight w:val="none"/>
              </w:rPr>
              <w:t>授权代理人名字</w:t>
            </w:r>
          </w:p>
        </w:tc>
        <w:tc>
          <w:tcPr>
            <w:tcW w:w="6413" w:type="dxa"/>
            <w:tcBorders>
              <w:top w:val="single" w:color="auto" w:sz="4" w:space="0"/>
              <w:left w:val="single" w:color="auto" w:sz="4" w:space="0"/>
              <w:bottom w:val="single" w:color="auto" w:sz="4" w:space="0"/>
              <w:right w:val="single" w:color="auto" w:sz="4" w:space="0"/>
            </w:tcBorders>
            <w:vAlign w:val="center"/>
          </w:tcPr>
          <w:p w14:paraId="26B4509F">
            <w:pPr>
              <w:spacing w:line="360" w:lineRule="exact"/>
              <w:rPr>
                <w:rFonts w:ascii="宋体" w:hAnsi="宋体" w:cs="楷体"/>
                <w:kern w:val="0"/>
                <w:sz w:val="22"/>
                <w:szCs w:val="22"/>
                <w:highlight w:val="none"/>
              </w:rPr>
            </w:pPr>
          </w:p>
        </w:tc>
      </w:tr>
      <w:tr w14:paraId="59CF1D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6AE8955">
            <w:pPr>
              <w:spacing w:line="440" w:lineRule="exact"/>
              <w:jc w:val="center"/>
              <w:rPr>
                <w:rFonts w:ascii="宋体" w:hAnsi="宋体"/>
                <w:sz w:val="22"/>
                <w:szCs w:val="22"/>
                <w:highlight w:val="none"/>
              </w:rPr>
            </w:pPr>
            <w:r>
              <w:rPr>
                <w:rFonts w:hint="eastAsia" w:ascii="宋体" w:hAnsi="宋体"/>
                <w:sz w:val="22"/>
                <w:szCs w:val="22"/>
                <w:highlight w:val="none"/>
              </w:rPr>
              <w:t>1</w:t>
            </w:r>
            <w:r>
              <w:rPr>
                <w:rFonts w:ascii="宋体" w:hAnsi="宋体"/>
                <w:sz w:val="22"/>
                <w:szCs w:val="22"/>
                <w:highlight w:val="none"/>
              </w:rPr>
              <w:t>0</w:t>
            </w:r>
          </w:p>
        </w:tc>
        <w:tc>
          <w:tcPr>
            <w:tcW w:w="2587" w:type="dxa"/>
            <w:tcBorders>
              <w:top w:val="single" w:color="auto" w:sz="4" w:space="0"/>
              <w:left w:val="single" w:color="auto" w:sz="4" w:space="0"/>
              <w:bottom w:val="single" w:color="auto" w:sz="4" w:space="0"/>
              <w:right w:val="single" w:color="auto" w:sz="4" w:space="0"/>
            </w:tcBorders>
            <w:vAlign w:val="center"/>
          </w:tcPr>
          <w:p w14:paraId="40D7526D">
            <w:pPr>
              <w:spacing w:line="440" w:lineRule="exact"/>
              <w:jc w:val="center"/>
              <w:rPr>
                <w:rFonts w:ascii="宋体" w:hAnsi="宋体"/>
                <w:bCs/>
                <w:sz w:val="22"/>
                <w:szCs w:val="22"/>
                <w:highlight w:val="none"/>
              </w:rPr>
            </w:pPr>
            <w:r>
              <w:rPr>
                <w:rFonts w:hint="eastAsia" w:ascii="宋体" w:hAnsi="宋体"/>
                <w:bCs/>
                <w:sz w:val="22"/>
                <w:szCs w:val="22"/>
                <w:highlight w:val="none"/>
              </w:rPr>
              <w:t>投标人代表联系号码</w:t>
            </w:r>
          </w:p>
        </w:tc>
        <w:tc>
          <w:tcPr>
            <w:tcW w:w="6413" w:type="dxa"/>
            <w:tcBorders>
              <w:top w:val="single" w:color="auto" w:sz="4" w:space="0"/>
              <w:left w:val="single" w:color="auto" w:sz="4" w:space="0"/>
              <w:bottom w:val="single" w:color="auto" w:sz="4" w:space="0"/>
              <w:right w:val="single" w:color="auto" w:sz="4" w:space="0"/>
            </w:tcBorders>
            <w:vAlign w:val="center"/>
          </w:tcPr>
          <w:p w14:paraId="1F82038E">
            <w:pPr>
              <w:spacing w:line="440" w:lineRule="exact"/>
              <w:rPr>
                <w:rFonts w:ascii="宋体" w:hAnsi="宋体"/>
                <w:bCs/>
                <w:spacing w:val="-4"/>
                <w:sz w:val="22"/>
                <w:szCs w:val="22"/>
                <w:highlight w:val="none"/>
              </w:rPr>
            </w:pPr>
          </w:p>
        </w:tc>
      </w:tr>
      <w:tr w14:paraId="23EE4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9BAED0C">
            <w:pPr>
              <w:spacing w:line="440" w:lineRule="exact"/>
              <w:jc w:val="center"/>
              <w:rPr>
                <w:rFonts w:ascii="宋体" w:hAnsi="宋体"/>
                <w:sz w:val="22"/>
                <w:szCs w:val="22"/>
                <w:highlight w:val="none"/>
              </w:rPr>
            </w:pPr>
            <w:r>
              <w:rPr>
                <w:rFonts w:hint="eastAsia" w:ascii="宋体" w:hAnsi="宋体"/>
                <w:sz w:val="22"/>
                <w:szCs w:val="22"/>
                <w:highlight w:val="none"/>
              </w:rPr>
              <w:t>1</w:t>
            </w:r>
            <w:r>
              <w:rPr>
                <w:rFonts w:ascii="宋体" w:hAnsi="宋体"/>
                <w:sz w:val="22"/>
                <w:szCs w:val="22"/>
                <w:highlight w:val="none"/>
              </w:rPr>
              <w:t>1</w:t>
            </w:r>
          </w:p>
        </w:tc>
        <w:tc>
          <w:tcPr>
            <w:tcW w:w="2587" w:type="dxa"/>
            <w:tcBorders>
              <w:top w:val="single" w:color="auto" w:sz="4" w:space="0"/>
              <w:left w:val="single" w:color="auto" w:sz="4" w:space="0"/>
              <w:bottom w:val="single" w:color="auto" w:sz="4" w:space="0"/>
              <w:right w:val="single" w:color="auto" w:sz="4" w:space="0"/>
            </w:tcBorders>
            <w:vAlign w:val="center"/>
          </w:tcPr>
          <w:p w14:paraId="1324E62A">
            <w:pPr>
              <w:spacing w:line="440" w:lineRule="exact"/>
              <w:jc w:val="center"/>
              <w:rPr>
                <w:rFonts w:ascii="宋体" w:hAnsi="宋体"/>
                <w:bCs/>
                <w:sz w:val="22"/>
                <w:szCs w:val="22"/>
                <w:highlight w:val="none"/>
              </w:rPr>
            </w:pPr>
            <w:r>
              <w:rPr>
                <w:rFonts w:hint="eastAsia" w:ascii="宋体" w:hAnsi="宋体"/>
                <w:bCs/>
                <w:sz w:val="22"/>
                <w:szCs w:val="22"/>
                <w:highlight w:val="none"/>
              </w:rPr>
              <w:t>投标人代表联系邮箱</w:t>
            </w:r>
          </w:p>
        </w:tc>
        <w:tc>
          <w:tcPr>
            <w:tcW w:w="6413" w:type="dxa"/>
            <w:tcBorders>
              <w:top w:val="single" w:color="auto" w:sz="4" w:space="0"/>
              <w:left w:val="single" w:color="auto" w:sz="4" w:space="0"/>
              <w:bottom w:val="single" w:color="auto" w:sz="4" w:space="0"/>
              <w:right w:val="single" w:color="auto" w:sz="4" w:space="0"/>
            </w:tcBorders>
            <w:vAlign w:val="center"/>
          </w:tcPr>
          <w:p w14:paraId="099E9607">
            <w:pPr>
              <w:spacing w:line="440" w:lineRule="exact"/>
              <w:rPr>
                <w:rFonts w:ascii="宋体" w:hAnsi="宋体"/>
                <w:bCs/>
                <w:spacing w:val="-4"/>
                <w:sz w:val="22"/>
                <w:szCs w:val="22"/>
                <w:highlight w:val="none"/>
              </w:rPr>
            </w:pPr>
          </w:p>
        </w:tc>
      </w:tr>
      <w:tr w14:paraId="7A6099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79722EE">
            <w:pPr>
              <w:spacing w:line="440" w:lineRule="exact"/>
              <w:jc w:val="center"/>
              <w:rPr>
                <w:rFonts w:ascii="宋体" w:hAnsi="宋体"/>
                <w:sz w:val="22"/>
                <w:szCs w:val="22"/>
                <w:highlight w:val="none"/>
              </w:rPr>
            </w:pPr>
            <w:r>
              <w:rPr>
                <w:rFonts w:hint="eastAsia" w:ascii="宋体" w:hAnsi="宋体"/>
                <w:sz w:val="22"/>
                <w:szCs w:val="22"/>
                <w:highlight w:val="none"/>
              </w:rPr>
              <w:t>1</w:t>
            </w:r>
            <w:r>
              <w:rPr>
                <w:rFonts w:ascii="宋体" w:hAnsi="宋体"/>
                <w:sz w:val="22"/>
                <w:szCs w:val="22"/>
                <w:highlight w:val="none"/>
              </w:rPr>
              <w:t>2</w:t>
            </w:r>
          </w:p>
        </w:tc>
        <w:tc>
          <w:tcPr>
            <w:tcW w:w="2587" w:type="dxa"/>
            <w:tcBorders>
              <w:top w:val="single" w:color="auto" w:sz="4" w:space="0"/>
              <w:left w:val="single" w:color="auto" w:sz="4" w:space="0"/>
              <w:bottom w:val="single" w:color="auto" w:sz="4" w:space="0"/>
              <w:right w:val="single" w:color="auto" w:sz="4" w:space="0"/>
            </w:tcBorders>
            <w:vAlign w:val="center"/>
          </w:tcPr>
          <w:p w14:paraId="4C23B46A">
            <w:pPr>
              <w:jc w:val="center"/>
              <w:rPr>
                <w:rFonts w:ascii="宋体" w:hAnsi="宋体"/>
                <w:bCs/>
                <w:sz w:val="22"/>
                <w:szCs w:val="22"/>
                <w:highlight w:val="none"/>
              </w:rPr>
            </w:pPr>
            <w:r>
              <w:rPr>
                <w:rFonts w:hint="eastAsia" w:ascii="宋体" w:hAnsi="宋体"/>
                <w:bCs/>
                <w:sz w:val="22"/>
                <w:szCs w:val="22"/>
                <w:highlight w:val="none"/>
              </w:rPr>
              <w:t>开票信息</w:t>
            </w:r>
          </w:p>
          <w:p w14:paraId="10CD29F1">
            <w:pPr>
              <w:jc w:val="center"/>
              <w:rPr>
                <w:rFonts w:ascii="宋体" w:hAnsi="宋体"/>
                <w:bCs/>
                <w:sz w:val="22"/>
                <w:szCs w:val="22"/>
                <w:highlight w:val="none"/>
              </w:rPr>
            </w:pPr>
            <w:r>
              <w:rPr>
                <w:rFonts w:hint="eastAsia" w:ascii="宋体" w:hAnsi="宋体"/>
                <w:bCs/>
                <w:sz w:val="22"/>
                <w:szCs w:val="22"/>
                <w:highlight w:val="none"/>
              </w:rPr>
              <w:t>（增值税）</w:t>
            </w:r>
          </w:p>
        </w:tc>
        <w:tc>
          <w:tcPr>
            <w:tcW w:w="6413" w:type="dxa"/>
            <w:tcBorders>
              <w:top w:val="single" w:color="auto" w:sz="4" w:space="0"/>
              <w:left w:val="single" w:color="auto" w:sz="4" w:space="0"/>
              <w:bottom w:val="single" w:color="auto" w:sz="4" w:space="0"/>
              <w:right w:val="single" w:color="auto" w:sz="4" w:space="0"/>
            </w:tcBorders>
            <w:vAlign w:val="center"/>
          </w:tcPr>
          <w:p w14:paraId="29CEB774">
            <w:pPr>
              <w:spacing w:line="440" w:lineRule="exact"/>
              <w:rPr>
                <w:rFonts w:ascii="宋体" w:hAnsi="宋体"/>
                <w:bCs/>
                <w:spacing w:val="-4"/>
                <w:sz w:val="22"/>
                <w:szCs w:val="22"/>
                <w:highlight w:val="none"/>
              </w:rPr>
            </w:pPr>
          </w:p>
        </w:tc>
      </w:tr>
    </w:tbl>
    <w:p w14:paraId="66F77F4A">
      <w:pPr>
        <w:spacing w:line="460" w:lineRule="exact"/>
        <w:ind w:left="216"/>
        <w:rPr>
          <w:rFonts w:ascii="宋体" w:hAnsi="宋体"/>
          <w:b/>
          <w:bCs/>
          <w:sz w:val="22"/>
          <w:szCs w:val="22"/>
          <w:highlight w:val="none"/>
        </w:rPr>
      </w:pPr>
      <w:r>
        <w:rPr>
          <w:rFonts w:hint="eastAsia" w:ascii="宋体" w:hAnsi="宋体"/>
          <w:b/>
          <w:bCs/>
          <w:sz w:val="22"/>
          <w:szCs w:val="22"/>
          <w:highlight w:val="none"/>
        </w:rPr>
        <w:t>特此承诺：上表中的联系方式将作为我方参加此次政府采购活动的联系方式，其他方式均不作为送达方式。</w:t>
      </w:r>
    </w:p>
    <w:p w14:paraId="3FDB3597">
      <w:pPr>
        <w:spacing w:line="460" w:lineRule="exact"/>
        <w:ind w:left="216" w:hanging="216" w:hangingChars="98"/>
        <w:rPr>
          <w:rFonts w:ascii="宋体" w:hAnsi="宋体"/>
          <w:b/>
          <w:bCs/>
          <w:sz w:val="22"/>
          <w:szCs w:val="22"/>
          <w:highlight w:val="none"/>
        </w:rPr>
      </w:pPr>
    </w:p>
    <w:p w14:paraId="57A3B76C">
      <w:pPr>
        <w:tabs>
          <w:tab w:val="left" w:pos="840"/>
        </w:tabs>
        <w:adjustRightInd w:val="0"/>
        <w:snapToGrid w:val="0"/>
        <w:spacing w:line="360" w:lineRule="auto"/>
        <w:ind w:left="420" w:leftChars="200" w:firstLine="330" w:firstLineChars="150"/>
        <w:rPr>
          <w:rFonts w:ascii="宋体" w:hAnsi="宋体"/>
          <w:sz w:val="22"/>
          <w:szCs w:val="22"/>
          <w:highlight w:val="none"/>
        </w:rPr>
      </w:pPr>
      <w:r>
        <w:rPr>
          <w:rFonts w:hint="eastAsia" w:ascii="宋体" w:hAnsi="宋体" w:cs="Courier New"/>
          <w:bCs/>
          <w:sz w:val="22"/>
          <w:szCs w:val="22"/>
          <w:highlight w:val="none"/>
        </w:rPr>
        <w:t>投标人全称（盖公章）：</w:t>
      </w:r>
    </w:p>
    <w:p w14:paraId="3EC094B5">
      <w:pPr>
        <w:tabs>
          <w:tab w:val="left" w:pos="840"/>
        </w:tabs>
        <w:adjustRightInd w:val="0"/>
        <w:snapToGrid w:val="0"/>
        <w:spacing w:line="360" w:lineRule="auto"/>
        <w:ind w:left="420" w:leftChars="200" w:firstLine="330" w:firstLineChars="150"/>
        <w:rPr>
          <w:rFonts w:ascii="宋体" w:hAnsi="宋体"/>
          <w:sz w:val="22"/>
          <w:szCs w:val="22"/>
          <w:highlight w:val="none"/>
        </w:rPr>
      </w:pPr>
      <w:r>
        <w:rPr>
          <w:rFonts w:hint="eastAsia" w:ascii="宋体" w:hAnsi="宋体"/>
          <w:sz w:val="22"/>
          <w:szCs w:val="22"/>
          <w:highlight w:val="none"/>
        </w:rPr>
        <w:t>单位负责人或授权代表（签字或盖章）：</w:t>
      </w:r>
    </w:p>
    <w:p w14:paraId="7D15C1DC">
      <w:pPr>
        <w:tabs>
          <w:tab w:val="left" w:pos="840"/>
        </w:tabs>
        <w:adjustRightInd w:val="0"/>
        <w:snapToGrid w:val="0"/>
        <w:spacing w:line="360" w:lineRule="auto"/>
        <w:ind w:left="420" w:leftChars="200" w:firstLine="330" w:firstLineChars="150"/>
        <w:rPr>
          <w:rFonts w:ascii="宋体" w:hAnsi="宋体"/>
          <w:sz w:val="22"/>
          <w:szCs w:val="22"/>
          <w:highlight w:val="none"/>
        </w:rPr>
      </w:pPr>
      <w:r>
        <w:rPr>
          <w:rFonts w:hint="eastAsia" w:ascii="宋体" w:hAnsi="宋体"/>
          <w:sz w:val="22"/>
          <w:szCs w:val="22"/>
          <w:highlight w:val="none"/>
        </w:rPr>
        <w:t>日          期：  年  月  日</w:t>
      </w:r>
    </w:p>
    <w:p w14:paraId="46BB1A85">
      <w:pPr>
        <w:rPr>
          <w:rFonts w:ascii="宋体" w:hAnsi="宋体"/>
          <w:highlight w:val="none"/>
        </w:rPr>
      </w:pPr>
      <w:r>
        <w:rPr>
          <w:rFonts w:ascii="宋体" w:hAnsi="宋体"/>
          <w:b/>
          <w:sz w:val="22"/>
          <w:szCs w:val="22"/>
          <w:highlight w:val="none"/>
        </w:rPr>
        <w:br w:type="page"/>
      </w:r>
      <w:r>
        <w:rPr>
          <w:rFonts w:ascii="宋体" w:hAnsi="宋体"/>
          <w:b/>
          <w:bCs/>
          <w:sz w:val="22"/>
          <w:szCs w:val="22"/>
          <w:highlight w:val="none"/>
        </w:rPr>
        <w:t xml:space="preserve"> </w:t>
      </w:r>
    </w:p>
    <w:p w14:paraId="12F53510">
      <w:pPr>
        <w:spacing w:line="460" w:lineRule="exact"/>
        <w:jc w:val="center"/>
        <w:rPr>
          <w:rFonts w:ascii="宋体" w:hAnsi="宋体"/>
          <w:b/>
          <w:bCs/>
          <w:sz w:val="30"/>
          <w:szCs w:val="30"/>
          <w:highlight w:val="none"/>
        </w:rPr>
      </w:pPr>
      <w:r>
        <w:rPr>
          <w:rFonts w:hint="eastAsia" w:ascii="宋体" w:hAnsi="宋体"/>
          <w:b/>
          <w:bCs/>
          <w:sz w:val="30"/>
          <w:szCs w:val="30"/>
          <w:highlight w:val="none"/>
        </w:rPr>
        <w:t>四、采购需求偏离表</w:t>
      </w:r>
    </w:p>
    <w:p w14:paraId="64016AFF">
      <w:pPr>
        <w:spacing w:line="276" w:lineRule="auto"/>
        <w:ind w:firstLine="660" w:firstLineChars="300"/>
        <w:rPr>
          <w:rFonts w:ascii="宋体" w:hAnsi="宋体"/>
          <w:sz w:val="22"/>
          <w:szCs w:val="22"/>
          <w:highlight w:val="none"/>
        </w:rPr>
      </w:pPr>
      <w:r>
        <w:rPr>
          <w:rFonts w:hint="eastAsia" w:ascii="宋体" w:hAnsi="宋体"/>
          <w:sz w:val="22"/>
          <w:szCs w:val="22"/>
          <w:highlight w:val="none"/>
        </w:rPr>
        <w:t>项目名称：                                      项目编号：</w:t>
      </w:r>
    </w:p>
    <w:tbl>
      <w:tblPr>
        <w:tblStyle w:val="40"/>
        <w:tblW w:w="9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268"/>
        <w:gridCol w:w="1985"/>
        <w:gridCol w:w="2268"/>
        <w:gridCol w:w="2340"/>
      </w:tblGrid>
      <w:tr w14:paraId="22D4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04" w:type="dxa"/>
            <w:shd w:val="clear" w:color="auto" w:fill="FFFFFF"/>
            <w:vAlign w:val="center"/>
          </w:tcPr>
          <w:p w14:paraId="25729DB8">
            <w:pPr>
              <w:jc w:val="center"/>
              <w:rPr>
                <w:rFonts w:ascii="宋体" w:hAnsi="宋体"/>
                <w:sz w:val="22"/>
                <w:szCs w:val="22"/>
                <w:highlight w:val="none"/>
              </w:rPr>
            </w:pPr>
            <w:r>
              <w:rPr>
                <w:rFonts w:hint="eastAsia" w:ascii="宋体" w:hAnsi="宋体"/>
                <w:sz w:val="22"/>
                <w:szCs w:val="22"/>
                <w:highlight w:val="none"/>
              </w:rPr>
              <w:t>序号</w:t>
            </w:r>
          </w:p>
        </w:tc>
        <w:tc>
          <w:tcPr>
            <w:tcW w:w="2268" w:type="dxa"/>
            <w:shd w:val="clear" w:color="auto" w:fill="FFFFFF"/>
            <w:vAlign w:val="center"/>
          </w:tcPr>
          <w:p w14:paraId="39195098">
            <w:pPr>
              <w:jc w:val="center"/>
              <w:rPr>
                <w:rFonts w:ascii="宋体" w:hAnsi="宋体"/>
                <w:sz w:val="22"/>
                <w:szCs w:val="22"/>
                <w:highlight w:val="none"/>
              </w:rPr>
            </w:pPr>
            <w:r>
              <w:rPr>
                <w:rFonts w:hint="eastAsia" w:ascii="宋体" w:hAnsi="宋体"/>
                <w:sz w:val="22"/>
                <w:szCs w:val="22"/>
                <w:highlight w:val="none"/>
              </w:rPr>
              <w:t>招标文件</w:t>
            </w:r>
          </w:p>
          <w:p w14:paraId="1B35AC44">
            <w:pPr>
              <w:jc w:val="center"/>
              <w:rPr>
                <w:rFonts w:ascii="宋体" w:hAnsi="宋体"/>
                <w:sz w:val="22"/>
                <w:szCs w:val="22"/>
                <w:highlight w:val="none"/>
              </w:rPr>
            </w:pPr>
            <w:r>
              <w:rPr>
                <w:rFonts w:hint="eastAsia" w:ascii="宋体" w:hAnsi="宋体"/>
                <w:sz w:val="22"/>
                <w:szCs w:val="22"/>
                <w:highlight w:val="none"/>
              </w:rPr>
              <w:t>规定要求</w:t>
            </w:r>
          </w:p>
        </w:tc>
        <w:tc>
          <w:tcPr>
            <w:tcW w:w="1985" w:type="dxa"/>
            <w:shd w:val="clear" w:color="auto" w:fill="FFFFFF"/>
            <w:vAlign w:val="center"/>
          </w:tcPr>
          <w:p w14:paraId="751E6665">
            <w:pPr>
              <w:jc w:val="center"/>
              <w:rPr>
                <w:rFonts w:ascii="宋体" w:hAnsi="宋体"/>
                <w:sz w:val="22"/>
                <w:szCs w:val="22"/>
                <w:highlight w:val="none"/>
              </w:rPr>
            </w:pPr>
            <w:r>
              <w:rPr>
                <w:rFonts w:hint="eastAsia" w:ascii="宋体" w:hAnsi="宋体"/>
                <w:sz w:val="22"/>
                <w:szCs w:val="22"/>
                <w:highlight w:val="none"/>
              </w:rPr>
              <w:t>投标文件</w:t>
            </w:r>
          </w:p>
          <w:p w14:paraId="2A4B2BA6">
            <w:pPr>
              <w:jc w:val="center"/>
              <w:rPr>
                <w:rFonts w:ascii="宋体" w:hAnsi="宋体"/>
                <w:sz w:val="22"/>
                <w:szCs w:val="22"/>
                <w:highlight w:val="none"/>
              </w:rPr>
            </w:pPr>
            <w:r>
              <w:rPr>
                <w:rFonts w:hint="eastAsia" w:ascii="宋体" w:hAnsi="宋体"/>
                <w:sz w:val="22"/>
                <w:szCs w:val="22"/>
                <w:highlight w:val="none"/>
              </w:rPr>
              <w:t>对应条款</w:t>
            </w:r>
          </w:p>
        </w:tc>
        <w:tc>
          <w:tcPr>
            <w:tcW w:w="2268" w:type="dxa"/>
            <w:shd w:val="clear" w:color="auto" w:fill="FFFFFF"/>
            <w:vAlign w:val="center"/>
          </w:tcPr>
          <w:p w14:paraId="20D65BFE">
            <w:pPr>
              <w:jc w:val="center"/>
              <w:rPr>
                <w:rFonts w:ascii="宋体" w:hAnsi="宋体"/>
                <w:sz w:val="22"/>
                <w:szCs w:val="22"/>
                <w:highlight w:val="none"/>
              </w:rPr>
            </w:pPr>
            <w:r>
              <w:rPr>
                <w:rFonts w:hint="eastAsia" w:ascii="宋体" w:hAnsi="宋体"/>
                <w:sz w:val="22"/>
                <w:szCs w:val="22"/>
                <w:highlight w:val="none"/>
              </w:rPr>
              <w:t>偏离说明</w:t>
            </w:r>
          </w:p>
        </w:tc>
        <w:tc>
          <w:tcPr>
            <w:tcW w:w="2340" w:type="dxa"/>
            <w:shd w:val="clear" w:color="auto" w:fill="FFFFFF"/>
            <w:vAlign w:val="center"/>
          </w:tcPr>
          <w:p w14:paraId="5A93ED33">
            <w:pPr>
              <w:jc w:val="center"/>
              <w:rPr>
                <w:rFonts w:ascii="宋体" w:hAnsi="宋体"/>
                <w:sz w:val="22"/>
                <w:szCs w:val="22"/>
                <w:highlight w:val="none"/>
              </w:rPr>
            </w:pPr>
            <w:r>
              <w:rPr>
                <w:rFonts w:hint="eastAsia" w:ascii="宋体" w:hAnsi="宋体"/>
                <w:sz w:val="22"/>
                <w:szCs w:val="22"/>
                <w:highlight w:val="none"/>
              </w:rPr>
              <w:t>偏离情况</w:t>
            </w:r>
          </w:p>
          <w:p w14:paraId="77FF93C4">
            <w:pPr>
              <w:jc w:val="center"/>
              <w:rPr>
                <w:rFonts w:ascii="宋体" w:hAnsi="宋体"/>
                <w:sz w:val="22"/>
                <w:szCs w:val="22"/>
                <w:highlight w:val="none"/>
              </w:rPr>
            </w:pPr>
            <w:r>
              <w:rPr>
                <w:rFonts w:hint="eastAsia" w:ascii="宋体" w:hAnsi="宋体"/>
                <w:sz w:val="22"/>
                <w:szCs w:val="22"/>
                <w:highlight w:val="none"/>
              </w:rPr>
              <w:t>（</w:t>
            </w:r>
            <w:r>
              <w:rPr>
                <w:rFonts w:hint="eastAsia" w:ascii="宋体" w:hAnsi="宋体"/>
                <w:b/>
                <w:sz w:val="22"/>
                <w:szCs w:val="22"/>
                <w:highlight w:val="none"/>
              </w:rPr>
              <w:t>填写正偏离、负偏离或无偏离</w:t>
            </w:r>
            <w:r>
              <w:rPr>
                <w:rFonts w:hint="eastAsia" w:ascii="宋体" w:hAnsi="宋体"/>
                <w:sz w:val="22"/>
                <w:szCs w:val="22"/>
                <w:highlight w:val="none"/>
              </w:rPr>
              <w:t>）</w:t>
            </w:r>
          </w:p>
        </w:tc>
      </w:tr>
      <w:tr w14:paraId="4C79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4" w:type="dxa"/>
          </w:tcPr>
          <w:p w14:paraId="5830F113">
            <w:pPr>
              <w:jc w:val="center"/>
              <w:rPr>
                <w:rFonts w:ascii="宋体" w:hAnsi="宋体"/>
                <w:sz w:val="22"/>
                <w:szCs w:val="22"/>
                <w:highlight w:val="none"/>
              </w:rPr>
            </w:pPr>
          </w:p>
        </w:tc>
        <w:tc>
          <w:tcPr>
            <w:tcW w:w="2268" w:type="dxa"/>
            <w:vAlign w:val="center"/>
          </w:tcPr>
          <w:p w14:paraId="689D5671">
            <w:pPr>
              <w:jc w:val="center"/>
              <w:rPr>
                <w:rFonts w:ascii="宋体" w:hAnsi="宋体"/>
                <w:sz w:val="22"/>
                <w:szCs w:val="22"/>
                <w:highlight w:val="none"/>
              </w:rPr>
            </w:pPr>
          </w:p>
        </w:tc>
        <w:tc>
          <w:tcPr>
            <w:tcW w:w="1985" w:type="dxa"/>
            <w:vAlign w:val="center"/>
          </w:tcPr>
          <w:p w14:paraId="770A2682">
            <w:pPr>
              <w:jc w:val="center"/>
              <w:rPr>
                <w:rFonts w:ascii="宋体" w:hAnsi="宋体"/>
                <w:sz w:val="22"/>
                <w:szCs w:val="22"/>
                <w:highlight w:val="none"/>
              </w:rPr>
            </w:pPr>
          </w:p>
        </w:tc>
        <w:tc>
          <w:tcPr>
            <w:tcW w:w="2268" w:type="dxa"/>
            <w:vAlign w:val="center"/>
          </w:tcPr>
          <w:p w14:paraId="5B7433EC">
            <w:pPr>
              <w:jc w:val="center"/>
              <w:rPr>
                <w:rFonts w:ascii="宋体" w:hAnsi="宋体"/>
                <w:sz w:val="22"/>
                <w:szCs w:val="22"/>
                <w:highlight w:val="none"/>
              </w:rPr>
            </w:pPr>
          </w:p>
        </w:tc>
        <w:tc>
          <w:tcPr>
            <w:tcW w:w="2340" w:type="dxa"/>
            <w:vAlign w:val="center"/>
          </w:tcPr>
          <w:p w14:paraId="13F8D7C1">
            <w:pPr>
              <w:jc w:val="center"/>
              <w:rPr>
                <w:rFonts w:ascii="宋体" w:hAnsi="宋体"/>
                <w:sz w:val="22"/>
                <w:szCs w:val="22"/>
                <w:highlight w:val="none"/>
              </w:rPr>
            </w:pPr>
          </w:p>
        </w:tc>
      </w:tr>
      <w:tr w14:paraId="193A2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4" w:type="dxa"/>
          </w:tcPr>
          <w:p w14:paraId="73ECB08D">
            <w:pPr>
              <w:jc w:val="center"/>
              <w:rPr>
                <w:rFonts w:ascii="宋体" w:hAnsi="宋体"/>
                <w:sz w:val="22"/>
                <w:szCs w:val="22"/>
                <w:highlight w:val="none"/>
              </w:rPr>
            </w:pPr>
          </w:p>
        </w:tc>
        <w:tc>
          <w:tcPr>
            <w:tcW w:w="2268" w:type="dxa"/>
            <w:vAlign w:val="center"/>
          </w:tcPr>
          <w:p w14:paraId="5A3E1099">
            <w:pPr>
              <w:jc w:val="center"/>
              <w:rPr>
                <w:rFonts w:ascii="宋体" w:hAnsi="宋体"/>
                <w:sz w:val="22"/>
                <w:szCs w:val="22"/>
                <w:highlight w:val="none"/>
              </w:rPr>
            </w:pPr>
          </w:p>
        </w:tc>
        <w:tc>
          <w:tcPr>
            <w:tcW w:w="1985" w:type="dxa"/>
            <w:vAlign w:val="center"/>
          </w:tcPr>
          <w:p w14:paraId="1A0FB5B2">
            <w:pPr>
              <w:jc w:val="center"/>
              <w:rPr>
                <w:rFonts w:ascii="宋体" w:hAnsi="宋体"/>
                <w:sz w:val="22"/>
                <w:szCs w:val="22"/>
                <w:highlight w:val="none"/>
              </w:rPr>
            </w:pPr>
          </w:p>
        </w:tc>
        <w:tc>
          <w:tcPr>
            <w:tcW w:w="2268" w:type="dxa"/>
            <w:vAlign w:val="center"/>
          </w:tcPr>
          <w:p w14:paraId="67BA27A8">
            <w:pPr>
              <w:jc w:val="center"/>
              <w:rPr>
                <w:rFonts w:ascii="宋体" w:hAnsi="宋体"/>
                <w:sz w:val="22"/>
                <w:szCs w:val="22"/>
                <w:highlight w:val="none"/>
              </w:rPr>
            </w:pPr>
          </w:p>
        </w:tc>
        <w:tc>
          <w:tcPr>
            <w:tcW w:w="2340" w:type="dxa"/>
            <w:vAlign w:val="center"/>
          </w:tcPr>
          <w:p w14:paraId="6B90487F">
            <w:pPr>
              <w:jc w:val="center"/>
              <w:rPr>
                <w:rFonts w:ascii="宋体" w:hAnsi="宋体"/>
                <w:sz w:val="22"/>
                <w:szCs w:val="22"/>
                <w:highlight w:val="none"/>
              </w:rPr>
            </w:pPr>
          </w:p>
        </w:tc>
      </w:tr>
      <w:tr w14:paraId="5F261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4" w:type="dxa"/>
          </w:tcPr>
          <w:p w14:paraId="664F42F1">
            <w:pPr>
              <w:jc w:val="center"/>
              <w:rPr>
                <w:rFonts w:ascii="宋体" w:hAnsi="宋体"/>
                <w:sz w:val="22"/>
                <w:szCs w:val="22"/>
                <w:highlight w:val="none"/>
              </w:rPr>
            </w:pPr>
          </w:p>
        </w:tc>
        <w:tc>
          <w:tcPr>
            <w:tcW w:w="2268" w:type="dxa"/>
            <w:vAlign w:val="center"/>
          </w:tcPr>
          <w:p w14:paraId="09C80A32">
            <w:pPr>
              <w:jc w:val="center"/>
              <w:rPr>
                <w:rFonts w:ascii="宋体" w:hAnsi="宋体"/>
                <w:sz w:val="22"/>
                <w:szCs w:val="22"/>
                <w:highlight w:val="none"/>
              </w:rPr>
            </w:pPr>
          </w:p>
        </w:tc>
        <w:tc>
          <w:tcPr>
            <w:tcW w:w="1985" w:type="dxa"/>
            <w:vAlign w:val="center"/>
          </w:tcPr>
          <w:p w14:paraId="5A3BD031">
            <w:pPr>
              <w:jc w:val="center"/>
              <w:rPr>
                <w:rFonts w:ascii="宋体" w:hAnsi="宋体"/>
                <w:sz w:val="22"/>
                <w:szCs w:val="22"/>
                <w:highlight w:val="none"/>
              </w:rPr>
            </w:pPr>
          </w:p>
        </w:tc>
        <w:tc>
          <w:tcPr>
            <w:tcW w:w="2268" w:type="dxa"/>
            <w:vAlign w:val="center"/>
          </w:tcPr>
          <w:p w14:paraId="43AED233">
            <w:pPr>
              <w:jc w:val="center"/>
              <w:rPr>
                <w:rFonts w:ascii="宋体" w:hAnsi="宋体"/>
                <w:sz w:val="22"/>
                <w:szCs w:val="22"/>
                <w:highlight w:val="none"/>
              </w:rPr>
            </w:pPr>
          </w:p>
        </w:tc>
        <w:tc>
          <w:tcPr>
            <w:tcW w:w="2340" w:type="dxa"/>
            <w:vAlign w:val="center"/>
          </w:tcPr>
          <w:p w14:paraId="24C2C5AC">
            <w:pPr>
              <w:jc w:val="center"/>
              <w:rPr>
                <w:rFonts w:ascii="宋体" w:hAnsi="宋体"/>
                <w:sz w:val="22"/>
                <w:szCs w:val="22"/>
                <w:highlight w:val="none"/>
              </w:rPr>
            </w:pPr>
          </w:p>
        </w:tc>
      </w:tr>
      <w:tr w14:paraId="288B4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4" w:type="dxa"/>
          </w:tcPr>
          <w:p w14:paraId="52EC609D">
            <w:pPr>
              <w:jc w:val="center"/>
              <w:rPr>
                <w:rFonts w:ascii="宋体" w:hAnsi="宋体"/>
                <w:sz w:val="22"/>
                <w:szCs w:val="22"/>
                <w:highlight w:val="none"/>
              </w:rPr>
            </w:pPr>
          </w:p>
        </w:tc>
        <w:tc>
          <w:tcPr>
            <w:tcW w:w="2268" w:type="dxa"/>
            <w:vAlign w:val="center"/>
          </w:tcPr>
          <w:p w14:paraId="51434E23">
            <w:pPr>
              <w:jc w:val="center"/>
              <w:rPr>
                <w:rFonts w:ascii="宋体" w:hAnsi="宋体"/>
                <w:sz w:val="22"/>
                <w:szCs w:val="22"/>
                <w:highlight w:val="none"/>
              </w:rPr>
            </w:pPr>
          </w:p>
        </w:tc>
        <w:tc>
          <w:tcPr>
            <w:tcW w:w="1985" w:type="dxa"/>
            <w:vAlign w:val="center"/>
          </w:tcPr>
          <w:p w14:paraId="1E196C29">
            <w:pPr>
              <w:jc w:val="center"/>
              <w:rPr>
                <w:rFonts w:ascii="宋体" w:hAnsi="宋体"/>
                <w:sz w:val="22"/>
                <w:szCs w:val="22"/>
                <w:highlight w:val="none"/>
              </w:rPr>
            </w:pPr>
          </w:p>
        </w:tc>
        <w:tc>
          <w:tcPr>
            <w:tcW w:w="2268" w:type="dxa"/>
            <w:vAlign w:val="center"/>
          </w:tcPr>
          <w:p w14:paraId="50571365">
            <w:pPr>
              <w:jc w:val="center"/>
              <w:rPr>
                <w:rFonts w:ascii="宋体" w:hAnsi="宋体"/>
                <w:sz w:val="22"/>
                <w:szCs w:val="22"/>
                <w:highlight w:val="none"/>
              </w:rPr>
            </w:pPr>
          </w:p>
        </w:tc>
        <w:tc>
          <w:tcPr>
            <w:tcW w:w="2340" w:type="dxa"/>
            <w:vAlign w:val="center"/>
          </w:tcPr>
          <w:p w14:paraId="378FF3DE">
            <w:pPr>
              <w:jc w:val="center"/>
              <w:rPr>
                <w:rFonts w:ascii="宋体" w:hAnsi="宋体"/>
                <w:sz w:val="22"/>
                <w:szCs w:val="22"/>
                <w:highlight w:val="none"/>
              </w:rPr>
            </w:pPr>
          </w:p>
        </w:tc>
      </w:tr>
      <w:tr w14:paraId="05C1E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4" w:type="dxa"/>
          </w:tcPr>
          <w:p w14:paraId="0337C6D3">
            <w:pPr>
              <w:jc w:val="center"/>
              <w:rPr>
                <w:rFonts w:ascii="宋体" w:hAnsi="宋体"/>
                <w:sz w:val="22"/>
                <w:szCs w:val="22"/>
                <w:highlight w:val="none"/>
              </w:rPr>
            </w:pPr>
          </w:p>
        </w:tc>
        <w:tc>
          <w:tcPr>
            <w:tcW w:w="2268" w:type="dxa"/>
            <w:vAlign w:val="center"/>
          </w:tcPr>
          <w:p w14:paraId="0DD33976">
            <w:pPr>
              <w:jc w:val="center"/>
              <w:rPr>
                <w:rFonts w:ascii="宋体" w:hAnsi="宋体"/>
                <w:sz w:val="22"/>
                <w:szCs w:val="22"/>
                <w:highlight w:val="none"/>
              </w:rPr>
            </w:pPr>
          </w:p>
        </w:tc>
        <w:tc>
          <w:tcPr>
            <w:tcW w:w="1985" w:type="dxa"/>
            <w:vAlign w:val="center"/>
          </w:tcPr>
          <w:p w14:paraId="7B502F2B">
            <w:pPr>
              <w:jc w:val="center"/>
              <w:rPr>
                <w:rFonts w:ascii="宋体" w:hAnsi="宋体"/>
                <w:sz w:val="22"/>
                <w:szCs w:val="22"/>
                <w:highlight w:val="none"/>
              </w:rPr>
            </w:pPr>
          </w:p>
        </w:tc>
        <w:tc>
          <w:tcPr>
            <w:tcW w:w="2268" w:type="dxa"/>
            <w:vAlign w:val="center"/>
          </w:tcPr>
          <w:p w14:paraId="4E2E8A84">
            <w:pPr>
              <w:jc w:val="center"/>
              <w:rPr>
                <w:rFonts w:ascii="宋体" w:hAnsi="宋体"/>
                <w:sz w:val="22"/>
                <w:szCs w:val="22"/>
                <w:highlight w:val="none"/>
              </w:rPr>
            </w:pPr>
          </w:p>
        </w:tc>
        <w:tc>
          <w:tcPr>
            <w:tcW w:w="2340" w:type="dxa"/>
            <w:vAlign w:val="center"/>
          </w:tcPr>
          <w:p w14:paraId="6A84DA91">
            <w:pPr>
              <w:jc w:val="center"/>
              <w:rPr>
                <w:rFonts w:ascii="宋体" w:hAnsi="宋体"/>
                <w:sz w:val="22"/>
                <w:szCs w:val="22"/>
                <w:highlight w:val="none"/>
              </w:rPr>
            </w:pPr>
          </w:p>
        </w:tc>
      </w:tr>
      <w:tr w14:paraId="08A3A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4" w:type="dxa"/>
          </w:tcPr>
          <w:p w14:paraId="7BB1E505">
            <w:pPr>
              <w:jc w:val="center"/>
              <w:rPr>
                <w:rFonts w:ascii="宋体" w:hAnsi="宋体"/>
                <w:sz w:val="22"/>
                <w:szCs w:val="22"/>
                <w:highlight w:val="none"/>
              </w:rPr>
            </w:pPr>
          </w:p>
        </w:tc>
        <w:tc>
          <w:tcPr>
            <w:tcW w:w="2268" w:type="dxa"/>
            <w:vAlign w:val="center"/>
          </w:tcPr>
          <w:p w14:paraId="72ABE434">
            <w:pPr>
              <w:jc w:val="center"/>
              <w:rPr>
                <w:rFonts w:ascii="宋体" w:hAnsi="宋体"/>
                <w:sz w:val="22"/>
                <w:szCs w:val="22"/>
                <w:highlight w:val="none"/>
              </w:rPr>
            </w:pPr>
          </w:p>
        </w:tc>
        <w:tc>
          <w:tcPr>
            <w:tcW w:w="1985" w:type="dxa"/>
            <w:vAlign w:val="center"/>
          </w:tcPr>
          <w:p w14:paraId="475E949A">
            <w:pPr>
              <w:jc w:val="center"/>
              <w:rPr>
                <w:rFonts w:ascii="宋体" w:hAnsi="宋体"/>
                <w:sz w:val="22"/>
                <w:szCs w:val="22"/>
                <w:highlight w:val="none"/>
              </w:rPr>
            </w:pPr>
          </w:p>
        </w:tc>
        <w:tc>
          <w:tcPr>
            <w:tcW w:w="2268" w:type="dxa"/>
            <w:vAlign w:val="center"/>
          </w:tcPr>
          <w:p w14:paraId="1277BF93">
            <w:pPr>
              <w:jc w:val="center"/>
              <w:rPr>
                <w:rFonts w:ascii="宋体" w:hAnsi="宋体"/>
                <w:sz w:val="22"/>
                <w:szCs w:val="22"/>
                <w:highlight w:val="none"/>
              </w:rPr>
            </w:pPr>
          </w:p>
        </w:tc>
        <w:tc>
          <w:tcPr>
            <w:tcW w:w="2340" w:type="dxa"/>
            <w:vAlign w:val="center"/>
          </w:tcPr>
          <w:p w14:paraId="16FD25E6">
            <w:pPr>
              <w:jc w:val="center"/>
              <w:rPr>
                <w:rFonts w:ascii="宋体" w:hAnsi="宋体"/>
                <w:sz w:val="22"/>
                <w:szCs w:val="22"/>
                <w:highlight w:val="none"/>
              </w:rPr>
            </w:pPr>
          </w:p>
        </w:tc>
      </w:tr>
    </w:tbl>
    <w:p w14:paraId="08ED61D7">
      <w:pPr>
        <w:spacing w:line="400" w:lineRule="exact"/>
        <w:ind w:left="221" w:hanging="221" w:hangingChars="100"/>
        <w:rPr>
          <w:rFonts w:ascii="宋体" w:hAnsi="宋体"/>
          <w:b/>
          <w:sz w:val="22"/>
          <w:szCs w:val="22"/>
          <w:highlight w:val="none"/>
        </w:rPr>
      </w:pPr>
      <w:r>
        <w:rPr>
          <w:rFonts w:hint="eastAsia" w:ascii="宋体" w:hAnsi="宋体"/>
          <w:b/>
          <w:sz w:val="22"/>
          <w:szCs w:val="22"/>
          <w:highlight w:val="none"/>
        </w:rPr>
        <w:t>说明：</w:t>
      </w:r>
    </w:p>
    <w:p w14:paraId="15CF1EB2">
      <w:pPr>
        <w:spacing w:line="400" w:lineRule="exact"/>
        <w:ind w:left="221" w:hanging="221" w:hangingChars="100"/>
        <w:rPr>
          <w:rFonts w:ascii="宋体" w:hAnsi="宋体"/>
          <w:b/>
          <w:sz w:val="22"/>
          <w:szCs w:val="22"/>
          <w:highlight w:val="none"/>
        </w:rPr>
      </w:pPr>
      <w:r>
        <w:rPr>
          <w:rFonts w:hint="eastAsia" w:ascii="宋体" w:hAnsi="宋体"/>
          <w:b/>
          <w:sz w:val="22"/>
          <w:szCs w:val="22"/>
          <w:highlight w:val="none"/>
        </w:rPr>
        <w:t>1、如不填写，则视为完全响应招标文件。</w:t>
      </w:r>
    </w:p>
    <w:p w14:paraId="45D93EDF">
      <w:pPr>
        <w:spacing w:line="400" w:lineRule="exact"/>
        <w:ind w:left="221" w:hanging="221" w:hangingChars="100"/>
        <w:rPr>
          <w:rFonts w:ascii="宋体" w:hAnsi="宋体"/>
          <w:b/>
          <w:sz w:val="22"/>
          <w:szCs w:val="22"/>
          <w:highlight w:val="none"/>
        </w:rPr>
      </w:pPr>
      <w:r>
        <w:rPr>
          <w:rFonts w:hint="eastAsia" w:ascii="宋体" w:hAnsi="宋体"/>
          <w:b/>
          <w:sz w:val="22"/>
          <w:szCs w:val="22"/>
          <w:highlight w:val="none"/>
        </w:rPr>
        <w:t>2、如出现偏离，投标人务必如实填写此表，“投标文件对应条款”栏不得复制粘贴，所投内容必须对照招标文件要求详细填写说明，否则存在的风险由投标人自行承担。</w:t>
      </w:r>
    </w:p>
    <w:p w14:paraId="3A4DD14C">
      <w:pPr>
        <w:spacing w:line="400" w:lineRule="exact"/>
        <w:ind w:left="221" w:hanging="221" w:hangingChars="100"/>
        <w:rPr>
          <w:rFonts w:ascii="宋体" w:hAnsi="宋体"/>
          <w:b/>
          <w:sz w:val="22"/>
          <w:szCs w:val="22"/>
          <w:highlight w:val="none"/>
        </w:rPr>
      </w:pPr>
      <w:r>
        <w:rPr>
          <w:rFonts w:ascii="宋体" w:hAnsi="宋体"/>
          <w:b/>
          <w:sz w:val="22"/>
          <w:szCs w:val="22"/>
          <w:highlight w:val="none"/>
        </w:rPr>
        <w:t>3</w:t>
      </w:r>
      <w:r>
        <w:rPr>
          <w:rFonts w:hint="eastAsia" w:ascii="宋体" w:hAnsi="宋体"/>
          <w:b/>
          <w:sz w:val="22"/>
          <w:szCs w:val="22"/>
          <w:highlight w:val="none"/>
        </w:rPr>
        <w:t>、偏离说明是指对招标文件要求存在不同之处的解释说明。偏离系指：正偏离（高于采购需求）、负偏离（低于采购需求）、无偏离（满足采购需求）。</w:t>
      </w:r>
    </w:p>
    <w:p w14:paraId="566313BE">
      <w:pPr>
        <w:pStyle w:val="2"/>
        <w:rPr>
          <w:rFonts w:ascii="宋体" w:hAnsi="宋体" w:eastAsia="宋体"/>
          <w:highlight w:val="none"/>
        </w:rPr>
      </w:pPr>
    </w:p>
    <w:p w14:paraId="31F956A3">
      <w:pPr>
        <w:spacing w:line="400" w:lineRule="exact"/>
        <w:rPr>
          <w:rFonts w:ascii="宋体" w:hAnsi="宋体"/>
          <w:b/>
          <w:sz w:val="22"/>
          <w:szCs w:val="22"/>
          <w:highlight w:val="none"/>
          <w:u w:val="single"/>
        </w:rPr>
      </w:pPr>
      <w:r>
        <w:rPr>
          <w:rFonts w:hint="eastAsia" w:ascii="宋体" w:hAnsi="宋体"/>
          <w:b/>
          <w:sz w:val="22"/>
          <w:szCs w:val="22"/>
          <w:highlight w:val="none"/>
          <w:u w:val="single"/>
        </w:rPr>
        <w:t>▲不提供此表的投标文件将被视为未实质性响应招标文件，其</w:t>
      </w:r>
      <w:r>
        <w:rPr>
          <w:rFonts w:hint="eastAsia" w:ascii="宋体" w:hAnsi="宋体"/>
          <w:b/>
          <w:bCs/>
          <w:sz w:val="22"/>
          <w:szCs w:val="22"/>
          <w:highlight w:val="none"/>
          <w:u w:val="single"/>
        </w:rPr>
        <w:t>投标无效</w:t>
      </w:r>
      <w:r>
        <w:rPr>
          <w:rFonts w:hint="eastAsia" w:ascii="宋体" w:hAnsi="宋体"/>
          <w:b/>
          <w:sz w:val="22"/>
          <w:szCs w:val="22"/>
          <w:highlight w:val="none"/>
          <w:u w:val="single"/>
        </w:rPr>
        <w:t>。</w:t>
      </w:r>
    </w:p>
    <w:p w14:paraId="457D734C">
      <w:pPr>
        <w:spacing w:line="400" w:lineRule="exact"/>
        <w:rPr>
          <w:rFonts w:ascii="宋体" w:hAnsi="宋体"/>
          <w:sz w:val="22"/>
          <w:szCs w:val="22"/>
          <w:highlight w:val="none"/>
        </w:rPr>
      </w:pPr>
    </w:p>
    <w:p w14:paraId="78BCFA68">
      <w:pPr>
        <w:spacing w:line="400" w:lineRule="exact"/>
        <w:rPr>
          <w:rFonts w:ascii="宋体" w:hAnsi="宋体"/>
          <w:sz w:val="22"/>
          <w:szCs w:val="22"/>
          <w:highlight w:val="none"/>
        </w:rPr>
      </w:pPr>
    </w:p>
    <w:p w14:paraId="04DF52C8">
      <w:pPr>
        <w:tabs>
          <w:tab w:val="left" w:pos="840"/>
        </w:tabs>
        <w:adjustRightInd w:val="0"/>
        <w:snapToGrid w:val="0"/>
        <w:spacing w:line="360" w:lineRule="auto"/>
        <w:ind w:left="420" w:leftChars="200" w:firstLine="330" w:firstLineChars="150"/>
        <w:rPr>
          <w:rFonts w:ascii="宋体" w:hAnsi="宋体"/>
          <w:sz w:val="22"/>
          <w:szCs w:val="22"/>
          <w:highlight w:val="none"/>
        </w:rPr>
      </w:pPr>
      <w:r>
        <w:rPr>
          <w:rFonts w:hint="eastAsia" w:ascii="宋体" w:hAnsi="宋体"/>
          <w:sz w:val="22"/>
          <w:szCs w:val="22"/>
          <w:highlight w:val="none"/>
        </w:rPr>
        <w:t>投标人全称（盖公章）：</w:t>
      </w:r>
    </w:p>
    <w:p w14:paraId="067784D2">
      <w:pPr>
        <w:tabs>
          <w:tab w:val="left" w:pos="840"/>
        </w:tabs>
        <w:adjustRightInd w:val="0"/>
        <w:snapToGrid w:val="0"/>
        <w:spacing w:line="360" w:lineRule="auto"/>
        <w:ind w:left="420" w:leftChars="200" w:firstLine="330" w:firstLineChars="150"/>
        <w:rPr>
          <w:rFonts w:ascii="宋体" w:hAnsi="宋体"/>
          <w:sz w:val="22"/>
          <w:szCs w:val="22"/>
          <w:highlight w:val="none"/>
        </w:rPr>
      </w:pPr>
      <w:r>
        <w:rPr>
          <w:rFonts w:hint="eastAsia" w:ascii="宋体" w:hAnsi="宋体"/>
          <w:sz w:val="22"/>
          <w:szCs w:val="22"/>
          <w:highlight w:val="none"/>
        </w:rPr>
        <w:t>单位负责人或授权代表（签字或盖章）：</w:t>
      </w:r>
    </w:p>
    <w:p w14:paraId="322F2EAD">
      <w:pPr>
        <w:tabs>
          <w:tab w:val="left" w:pos="840"/>
        </w:tabs>
        <w:adjustRightInd w:val="0"/>
        <w:snapToGrid w:val="0"/>
        <w:spacing w:line="360" w:lineRule="auto"/>
        <w:ind w:left="420" w:leftChars="200" w:firstLine="330" w:firstLineChars="150"/>
        <w:rPr>
          <w:rFonts w:ascii="宋体" w:hAnsi="宋体"/>
          <w:sz w:val="22"/>
          <w:szCs w:val="22"/>
          <w:highlight w:val="none"/>
        </w:rPr>
      </w:pPr>
      <w:r>
        <w:rPr>
          <w:rFonts w:hint="eastAsia" w:ascii="宋体" w:hAnsi="宋体"/>
          <w:sz w:val="22"/>
          <w:szCs w:val="22"/>
          <w:highlight w:val="none"/>
        </w:rPr>
        <w:t>日          期：  年  月  日</w:t>
      </w:r>
    </w:p>
    <w:p w14:paraId="141B6CB4">
      <w:pPr>
        <w:widowControl/>
        <w:jc w:val="left"/>
        <w:rPr>
          <w:rFonts w:ascii="宋体" w:hAnsi="宋体"/>
          <w:b/>
          <w:bCs/>
          <w:sz w:val="30"/>
          <w:szCs w:val="30"/>
          <w:highlight w:val="none"/>
        </w:rPr>
      </w:pPr>
      <w:r>
        <w:rPr>
          <w:rFonts w:ascii="宋体" w:hAnsi="宋体"/>
          <w:b/>
          <w:bCs/>
          <w:sz w:val="30"/>
          <w:szCs w:val="30"/>
          <w:highlight w:val="none"/>
        </w:rPr>
        <w:br w:type="page"/>
      </w:r>
    </w:p>
    <w:p w14:paraId="7882FCE5">
      <w:pPr>
        <w:pStyle w:val="38"/>
        <w:ind w:firstLine="210"/>
        <w:rPr>
          <w:rFonts w:ascii="宋体" w:hAnsi="宋体"/>
          <w:highlight w:val="none"/>
        </w:rPr>
      </w:pPr>
    </w:p>
    <w:p w14:paraId="10C852C8">
      <w:pPr>
        <w:spacing w:line="460" w:lineRule="exact"/>
        <w:jc w:val="center"/>
        <w:rPr>
          <w:rFonts w:ascii="宋体" w:hAnsi="宋体"/>
          <w:b/>
          <w:bCs/>
          <w:sz w:val="30"/>
          <w:szCs w:val="30"/>
          <w:highlight w:val="none"/>
        </w:rPr>
      </w:pPr>
      <w:r>
        <w:rPr>
          <w:rFonts w:hint="eastAsia" w:ascii="宋体" w:hAnsi="宋体"/>
          <w:b/>
          <w:bCs/>
          <w:sz w:val="30"/>
          <w:szCs w:val="30"/>
          <w:highlight w:val="none"/>
        </w:rPr>
        <w:t>五、根据本项目采购内容及要求以及商务技术评分项目，需要提供的文件和资料</w:t>
      </w:r>
    </w:p>
    <w:p w14:paraId="701C8424">
      <w:pPr>
        <w:spacing w:line="460" w:lineRule="exact"/>
        <w:jc w:val="center"/>
        <w:rPr>
          <w:rFonts w:ascii="宋体" w:hAnsi="宋体"/>
          <w:b/>
          <w:bCs/>
          <w:sz w:val="28"/>
          <w:szCs w:val="28"/>
          <w:highlight w:val="none"/>
        </w:rPr>
      </w:pPr>
    </w:p>
    <w:p w14:paraId="11064FD8">
      <w:pPr>
        <w:spacing w:line="460" w:lineRule="exact"/>
        <w:ind w:firstLine="281" w:firstLineChars="100"/>
        <w:rPr>
          <w:rFonts w:ascii="宋体" w:hAnsi="宋体"/>
          <w:b/>
          <w:bCs/>
          <w:sz w:val="28"/>
          <w:szCs w:val="28"/>
          <w:highlight w:val="none"/>
        </w:rPr>
      </w:pPr>
      <w:r>
        <w:rPr>
          <w:rFonts w:hint="eastAsia" w:ascii="宋体" w:hAnsi="宋体"/>
          <w:b/>
          <w:bCs/>
          <w:sz w:val="28"/>
          <w:szCs w:val="28"/>
          <w:highlight w:val="none"/>
        </w:rPr>
        <w:t>说明：内容、格式自拟。</w:t>
      </w:r>
    </w:p>
    <w:p w14:paraId="3A31C133">
      <w:pPr>
        <w:spacing w:line="460" w:lineRule="exact"/>
        <w:jc w:val="center"/>
        <w:rPr>
          <w:rFonts w:ascii="宋体" w:hAnsi="宋体"/>
          <w:b/>
          <w:bCs/>
          <w:sz w:val="28"/>
          <w:szCs w:val="28"/>
          <w:highlight w:val="none"/>
        </w:rPr>
      </w:pPr>
    </w:p>
    <w:p w14:paraId="21CD900E">
      <w:pPr>
        <w:widowControl/>
        <w:jc w:val="left"/>
        <w:rPr>
          <w:rFonts w:ascii="宋体" w:hAnsi="宋体"/>
          <w:b/>
          <w:bCs/>
          <w:sz w:val="28"/>
          <w:szCs w:val="28"/>
          <w:highlight w:val="none"/>
        </w:rPr>
      </w:pPr>
    </w:p>
    <w:p w14:paraId="661C2A59">
      <w:pPr>
        <w:widowControl/>
        <w:jc w:val="left"/>
        <w:rPr>
          <w:rFonts w:ascii="宋体" w:hAnsi="宋体"/>
          <w:bCs/>
          <w:kern w:val="0"/>
          <w:sz w:val="38"/>
          <w:szCs w:val="20"/>
          <w:highlight w:val="none"/>
        </w:rPr>
      </w:pPr>
    </w:p>
    <w:p w14:paraId="61917A30">
      <w:pPr>
        <w:widowControl/>
        <w:jc w:val="left"/>
        <w:rPr>
          <w:rFonts w:ascii="宋体" w:hAnsi="宋体"/>
          <w:bCs/>
          <w:kern w:val="0"/>
          <w:sz w:val="38"/>
          <w:szCs w:val="20"/>
          <w:highlight w:val="none"/>
        </w:rPr>
      </w:pPr>
      <w:r>
        <w:rPr>
          <w:rFonts w:ascii="宋体" w:hAnsi="宋体"/>
          <w:bCs/>
          <w:sz w:val="38"/>
          <w:highlight w:val="none"/>
        </w:rPr>
        <w:br w:type="page"/>
      </w:r>
    </w:p>
    <w:p w14:paraId="250965D2">
      <w:pPr>
        <w:pStyle w:val="5"/>
        <w:keepNext/>
        <w:widowControl w:val="0"/>
        <w:autoSpaceDE/>
        <w:autoSpaceDN/>
        <w:adjustRightInd/>
        <w:spacing w:before="0" w:line="360" w:lineRule="auto"/>
        <w:jc w:val="center"/>
        <w:rPr>
          <w:rFonts w:ascii="宋体" w:hAnsi="宋体" w:eastAsia="宋体"/>
          <w:bCs/>
          <w:highlight w:val="none"/>
        </w:rPr>
      </w:pPr>
      <w:bookmarkStart w:id="234" w:name="_Toc146181155"/>
      <w:bookmarkStart w:id="235" w:name="_Toc134877131"/>
      <w:bookmarkStart w:id="265" w:name="_GoBack"/>
      <w:bookmarkEnd w:id="265"/>
      <w:r>
        <w:rPr>
          <w:rFonts w:hint="eastAsia" w:ascii="宋体" w:hAnsi="宋体" w:eastAsia="宋体"/>
          <w:b/>
          <w:bCs/>
          <w:sz w:val="44"/>
          <w:szCs w:val="26"/>
          <w:highlight w:val="none"/>
        </w:rPr>
        <w:t>报价文件</w:t>
      </w:r>
      <w:bookmarkEnd w:id="234"/>
      <w:bookmarkEnd w:id="235"/>
    </w:p>
    <w:p w14:paraId="7493EFB8">
      <w:pPr>
        <w:tabs>
          <w:tab w:val="left" w:pos="0"/>
          <w:tab w:val="left" w:pos="600"/>
        </w:tabs>
        <w:spacing w:line="400" w:lineRule="exact"/>
        <w:jc w:val="center"/>
        <w:rPr>
          <w:rFonts w:ascii="宋体" w:hAnsi="宋体"/>
          <w:b/>
          <w:sz w:val="30"/>
          <w:highlight w:val="none"/>
        </w:rPr>
      </w:pPr>
      <w:r>
        <w:rPr>
          <w:rFonts w:ascii="宋体" w:hAnsi="宋体"/>
          <w:b/>
          <w:sz w:val="30"/>
          <w:highlight w:val="none"/>
        </w:rPr>
        <w:t xml:space="preserve"> </w:t>
      </w:r>
    </w:p>
    <w:p w14:paraId="145F769F">
      <w:pPr>
        <w:pStyle w:val="242"/>
        <w:numPr>
          <w:ilvl w:val="0"/>
          <w:numId w:val="24"/>
        </w:numPr>
        <w:tabs>
          <w:tab w:val="left" w:pos="0"/>
          <w:tab w:val="left" w:pos="600"/>
        </w:tabs>
        <w:spacing w:line="400" w:lineRule="exact"/>
        <w:ind w:firstLineChars="0"/>
        <w:jc w:val="center"/>
        <w:rPr>
          <w:rFonts w:ascii="宋体" w:hAnsi="宋体"/>
          <w:b/>
          <w:sz w:val="30"/>
          <w:highlight w:val="none"/>
        </w:rPr>
      </w:pPr>
      <w:r>
        <w:rPr>
          <w:rFonts w:hint="eastAsia" w:ascii="宋体" w:hAnsi="宋体"/>
          <w:b/>
          <w:sz w:val="30"/>
          <w:highlight w:val="none"/>
        </w:rPr>
        <w:t>开标一览表</w:t>
      </w:r>
    </w:p>
    <w:p w14:paraId="1495E118">
      <w:pPr>
        <w:spacing w:line="380" w:lineRule="exact"/>
        <w:ind w:firstLine="880" w:firstLineChars="400"/>
        <w:rPr>
          <w:rFonts w:ascii="宋体" w:hAnsi="宋体"/>
          <w:bCs/>
          <w:sz w:val="22"/>
          <w:szCs w:val="22"/>
          <w:highlight w:val="none"/>
        </w:rPr>
      </w:pPr>
      <w:r>
        <w:rPr>
          <w:rFonts w:hint="eastAsia" w:ascii="宋体" w:hAnsi="宋体"/>
          <w:bCs/>
          <w:sz w:val="22"/>
          <w:szCs w:val="22"/>
          <w:highlight w:val="none"/>
        </w:rPr>
        <w:t xml:space="preserve">项目名称：   </w:t>
      </w:r>
      <w:r>
        <w:rPr>
          <w:rFonts w:hint="eastAsia" w:ascii="宋体" w:hAnsi="宋体"/>
          <w:bCs/>
          <w:sz w:val="22"/>
          <w:highlight w:val="none"/>
        </w:rPr>
        <w:t xml:space="preserve">                              </w:t>
      </w:r>
      <w:r>
        <w:rPr>
          <w:rFonts w:hint="eastAsia" w:ascii="宋体" w:hAnsi="宋体"/>
          <w:bCs/>
          <w:sz w:val="22"/>
          <w:szCs w:val="22"/>
          <w:highlight w:val="none"/>
        </w:rPr>
        <w:t xml:space="preserve">项目编号： </w:t>
      </w:r>
    </w:p>
    <w:tbl>
      <w:tblPr>
        <w:tblStyle w:val="40"/>
        <w:tblW w:w="9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3258"/>
        <w:gridCol w:w="1785"/>
        <w:gridCol w:w="1260"/>
        <w:gridCol w:w="1365"/>
        <w:gridCol w:w="1304"/>
      </w:tblGrid>
      <w:tr w14:paraId="2A252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78" w:type="dxa"/>
            <w:vAlign w:val="center"/>
          </w:tcPr>
          <w:p w14:paraId="3E49F899">
            <w:pPr>
              <w:spacing w:line="300" w:lineRule="exact"/>
              <w:ind w:right="-11"/>
              <w:jc w:val="center"/>
              <w:rPr>
                <w:rFonts w:ascii="宋体" w:hAnsi="宋体"/>
                <w:b/>
                <w:bCs/>
                <w:sz w:val="22"/>
                <w:szCs w:val="22"/>
                <w:highlight w:val="none"/>
              </w:rPr>
            </w:pPr>
            <w:bookmarkStart w:id="236" w:name="_Hlk139974607"/>
            <w:r>
              <w:rPr>
                <w:rFonts w:hint="eastAsia" w:ascii="宋体" w:hAnsi="宋体"/>
                <w:b/>
                <w:bCs/>
                <w:sz w:val="22"/>
                <w:szCs w:val="22"/>
                <w:highlight w:val="none"/>
              </w:rPr>
              <w:t>序号</w:t>
            </w:r>
          </w:p>
        </w:tc>
        <w:tc>
          <w:tcPr>
            <w:tcW w:w="3258" w:type="dxa"/>
            <w:vAlign w:val="center"/>
          </w:tcPr>
          <w:p w14:paraId="36D2C951">
            <w:pPr>
              <w:spacing w:line="300" w:lineRule="exact"/>
              <w:ind w:right="-11"/>
              <w:jc w:val="center"/>
              <w:rPr>
                <w:rFonts w:ascii="宋体" w:hAnsi="宋体"/>
                <w:b/>
                <w:bCs/>
                <w:sz w:val="22"/>
                <w:szCs w:val="22"/>
                <w:highlight w:val="none"/>
              </w:rPr>
            </w:pPr>
            <w:r>
              <w:rPr>
                <w:rFonts w:hint="eastAsia" w:ascii="宋体" w:hAnsi="宋体"/>
                <w:b/>
                <w:bCs/>
                <w:sz w:val="22"/>
                <w:szCs w:val="22"/>
                <w:highlight w:val="none"/>
              </w:rPr>
              <w:t>费用名称</w:t>
            </w:r>
          </w:p>
        </w:tc>
        <w:tc>
          <w:tcPr>
            <w:tcW w:w="1785" w:type="dxa"/>
            <w:vAlign w:val="center"/>
          </w:tcPr>
          <w:p w14:paraId="4F820A0F">
            <w:pPr>
              <w:spacing w:line="300" w:lineRule="exact"/>
              <w:ind w:right="-11"/>
              <w:jc w:val="center"/>
              <w:rPr>
                <w:rFonts w:ascii="宋体" w:hAnsi="宋体"/>
                <w:b/>
                <w:bCs/>
                <w:sz w:val="22"/>
                <w:szCs w:val="22"/>
                <w:highlight w:val="none"/>
              </w:rPr>
            </w:pPr>
            <w:r>
              <w:rPr>
                <w:rFonts w:hint="eastAsia" w:ascii="宋体" w:hAnsi="宋体"/>
                <w:b/>
                <w:bCs/>
                <w:sz w:val="22"/>
                <w:szCs w:val="22"/>
                <w:highlight w:val="none"/>
              </w:rPr>
              <w:t>单价</w:t>
            </w:r>
          </w:p>
        </w:tc>
        <w:tc>
          <w:tcPr>
            <w:tcW w:w="1260" w:type="dxa"/>
            <w:vAlign w:val="center"/>
          </w:tcPr>
          <w:p w14:paraId="4AC8AEED">
            <w:pPr>
              <w:spacing w:line="300" w:lineRule="exact"/>
              <w:ind w:right="-11"/>
              <w:jc w:val="center"/>
              <w:rPr>
                <w:rFonts w:ascii="宋体" w:hAnsi="宋体"/>
                <w:b/>
                <w:bCs/>
                <w:sz w:val="22"/>
                <w:szCs w:val="22"/>
                <w:highlight w:val="none"/>
              </w:rPr>
            </w:pPr>
            <w:r>
              <w:rPr>
                <w:rFonts w:hint="eastAsia" w:ascii="宋体" w:hAnsi="宋体"/>
                <w:b/>
                <w:bCs/>
                <w:sz w:val="22"/>
                <w:szCs w:val="22"/>
                <w:highlight w:val="none"/>
              </w:rPr>
              <w:t>数量</w:t>
            </w:r>
          </w:p>
          <w:p w14:paraId="0FEB8CE6">
            <w:pPr>
              <w:spacing w:line="300" w:lineRule="exact"/>
              <w:ind w:right="-11"/>
              <w:jc w:val="center"/>
              <w:rPr>
                <w:highlight w:val="none"/>
              </w:rPr>
            </w:pPr>
            <w:r>
              <w:rPr>
                <w:rFonts w:hint="eastAsia" w:ascii="宋体" w:hAnsi="宋体"/>
                <w:b/>
                <w:bCs/>
                <w:sz w:val="22"/>
                <w:szCs w:val="22"/>
                <w:highlight w:val="none"/>
              </w:rPr>
              <w:t>（批次）</w:t>
            </w:r>
          </w:p>
        </w:tc>
        <w:tc>
          <w:tcPr>
            <w:tcW w:w="1365" w:type="dxa"/>
            <w:vAlign w:val="center"/>
          </w:tcPr>
          <w:p w14:paraId="5A88FC04">
            <w:pPr>
              <w:spacing w:line="300" w:lineRule="exact"/>
              <w:ind w:right="-11"/>
              <w:jc w:val="center"/>
              <w:rPr>
                <w:rFonts w:ascii="宋体" w:hAnsi="宋体"/>
                <w:sz w:val="22"/>
                <w:szCs w:val="22"/>
                <w:highlight w:val="none"/>
              </w:rPr>
            </w:pPr>
            <w:r>
              <w:rPr>
                <w:rFonts w:hint="eastAsia" w:ascii="宋体" w:hAnsi="宋体"/>
                <w:b/>
                <w:bCs/>
                <w:sz w:val="22"/>
                <w:szCs w:val="22"/>
                <w:highlight w:val="none"/>
              </w:rPr>
              <w:t>合价</w:t>
            </w:r>
          </w:p>
        </w:tc>
        <w:tc>
          <w:tcPr>
            <w:tcW w:w="1304" w:type="dxa"/>
            <w:vAlign w:val="center"/>
          </w:tcPr>
          <w:p w14:paraId="54390297">
            <w:pPr>
              <w:spacing w:line="300" w:lineRule="exact"/>
              <w:ind w:right="-11"/>
              <w:jc w:val="center"/>
              <w:rPr>
                <w:rFonts w:ascii="宋体" w:hAnsi="宋体"/>
                <w:b/>
                <w:bCs/>
                <w:sz w:val="22"/>
                <w:szCs w:val="22"/>
                <w:highlight w:val="none"/>
              </w:rPr>
            </w:pPr>
            <w:r>
              <w:rPr>
                <w:rFonts w:hint="eastAsia" w:ascii="宋体" w:hAnsi="宋体"/>
                <w:b/>
                <w:bCs/>
                <w:sz w:val="22"/>
                <w:szCs w:val="22"/>
                <w:highlight w:val="none"/>
              </w:rPr>
              <w:t>备注</w:t>
            </w:r>
          </w:p>
        </w:tc>
      </w:tr>
      <w:tr w14:paraId="33FDA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78" w:type="dxa"/>
            <w:vAlign w:val="center"/>
          </w:tcPr>
          <w:p w14:paraId="6F1E90F2">
            <w:pPr>
              <w:adjustRightInd w:val="0"/>
              <w:snapToGrid w:val="0"/>
              <w:spacing w:line="240" w:lineRule="atLeast"/>
              <w:jc w:val="center"/>
              <w:rPr>
                <w:rFonts w:ascii="宋体" w:hAnsi="宋体"/>
                <w:sz w:val="22"/>
                <w:szCs w:val="22"/>
                <w:highlight w:val="none"/>
              </w:rPr>
            </w:pPr>
          </w:p>
        </w:tc>
        <w:tc>
          <w:tcPr>
            <w:tcW w:w="3258" w:type="dxa"/>
            <w:vAlign w:val="center"/>
          </w:tcPr>
          <w:p w14:paraId="02AB98FE">
            <w:pPr>
              <w:ind w:right="-11"/>
              <w:rPr>
                <w:rFonts w:ascii="宋体" w:hAnsi="宋体"/>
                <w:bCs/>
                <w:sz w:val="22"/>
                <w:szCs w:val="22"/>
                <w:highlight w:val="none"/>
              </w:rPr>
            </w:pPr>
          </w:p>
        </w:tc>
        <w:tc>
          <w:tcPr>
            <w:tcW w:w="1785" w:type="dxa"/>
            <w:vAlign w:val="center"/>
          </w:tcPr>
          <w:p w14:paraId="0C18EC2B">
            <w:pPr>
              <w:ind w:right="-11"/>
              <w:jc w:val="center"/>
              <w:rPr>
                <w:rFonts w:ascii="宋体" w:hAnsi="宋体"/>
                <w:b/>
                <w:bCs/>
                <w:sz w:val="22"/>
                <w:szCs w:val="22"/>
                <w:highlight w:val="none"/>
              </w:rPr>
            </w:pPr>
          </w:p>
        </w:tc>
        <w:tc>
          <w:tcPr>
            <w:tcW w:w="1260" w:type="dxa"/>
            <w:vAlign w:val="center"/>
          </w:tcPr>
          <w:p w14:paraId="3328E153">
            <w:pPr>
              <w:ind w:right="-11"/>
              <w:jc w:val="center"/>
              <w:rPr>
                <w:rFonts w:ascii="宋体" w:hAnsi="宋体"/>
                <w:b/>
                <w:bCs/>
                <w:sz w:val="22"/>
                <w:szCs w:val="22"/>
                <w:highlight w:val="none"/>
              </w:rPr>
            </w:pPr>
          </w:p>
        </w:tc>
        <w:tc>
          <w:tcPr>
            <w:tcW w:w="1365" w:type="dxa"/>
            <w:vAlign w:val="center"/>
          </w:tcPr>
          <w:p w14:paraId="4259045C">
            <w:pPr>
              <w:ind w:right="-11"/>
              <w:jc w:val="center"/>
              <w:rPr>
                <w:rFonts w:ascii="宋体" w:hAnsi="宋体"/>
                <w:b/>
                <w:bCs/>
                <w:sz w:val="22"/>
                <w:szCs w:val="22"/>
                <w:highlight w:val="none"/>
              </w:rPr>
            </w:pPr>
          </w:p>
        </w:tc>
        <w:tc>
          <w:tcPr>
            <w:tcW w:w="1304" w:type="dxa"/>
            <w:vAlign w:val="center"/>
          </w:tcPr>
          <w:p w14:paraId="6C09187F">
            <w:pPr>
              <w:ind w:right="-11"/>
              <w:jc w:val="center"/>
              <w:rPr>
                <w:rFonts w:ascii="宋体" w:hAnsi="宋体"/>
                <w:b/>
                <w:bCs/>
                <w:sz w:val="22"/>
                <w:szCs w:val="22"/>
                <w:highlight w:val="none"/>
              </w:rPr>
            </w:pPr>
          </w:p>
        </w:tc>
      </w:tr>
      <w:tr w14:paraId="6B22E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8" w:type="dxa"/>
            <w:vAlign w:val="center"/>
          </w:tcPr>
          <w:p w14:paraId="24A9AABE">
            <w:pPr>
              <w:adjustRightInd w:val="0"/>
              <w:snapToGrid w:val="0"/>
              <w:spacing w:line="240" w:lineRule="atLeast"/>
              <w:jc w:val="center"/>
              <w:rPr>
                <w:rFonts w:ascii="宋体" w:hAnsi="宋体"/>
                <w:sz w:val="22"/>
                <w:szCs w:val="22"/>
                <w:highlight w:val="none"/>
              </w:rPr>
            </w:pPr>
          </w:p>
        </w:tc>
        <w:tc>
          <w:tcPr>
            <w:tcW w:w="3258" w:type="dxa"/>
            <w:vAlign w:val="center"/>
          </w:tcPr>
          <w:p w14:paraId="1C07FE50">
            <w:pPr>
              <w:ind w:right="-11"/>
              <w:rPr>
                <w:rFonts w:ascii="宋体" w:hAnsi="宋体"/>
                <w:bCs/>
                <w:sz w:val="22"/>
                <w:szCs w:val="22"/>
                <w:highlight w:val="none"/>
              </w:rPr>
            </w:pPr>
          </w:p>
        </w:tc>
        <w:tc>
          <w:tcPr>
            <w:tcW w:w="1785" w:type="dxa"/>
            <w:vAlign w:val="center"/>
          </w:tcPr>
          <w:p w14:paraId="79B3FAE2">
            <w:pPr>
              <w:ind w:right="-11"/>
              <w:jc w:val="center"/>
              <w:rPr>
                <w:rFonts w:ascii="宋体" w:hAnsi="宋体"/>
                <w:b/>
                <w:bCs/>
                <w:sz w:val="22"/>
                <w:szCs w:val="22"/>
                <w:highlight w:val="none"/>
              </w:rPr>
            </w:pPr>
          </w:p>
        </w:tc>
        <w:tc>
          <w:tcPr>
            <w:tcW w:w="1260" w:type="dxa"/>
            <w:vAlign w:val="center"/>
          </w:tcPr>
          <w:p w14:paraId="08AC964F">
            <w:pPr>
              <w:ind w:right="-11"/>
              <w:jc w:val="center"/>
              <w:rPr>
                <w:rFonts w:ascii="宋体" w:hAnsi="宋体"/>
                <w:b/>
                <w:bCs/>
                <w:sz w:val="22"/>
                <w:szCs w:val="22"/>
                <w:highlight w:val="none"/>
              </w:rPr>
            </w:pPr>
          </w:p>
        </w:tc>
        <w:tc>
          <w:tcPr>
            <w:tcW w:w="1365" w:type="dxa"/>
            <w:vAlign w:val="center"/>
          </w:tcPr>
          <w:p w14:paraId="600EFEE2">
            <w:pPr>
              <w:ind w:right="-11"/>
              <w:jc w:val="center"/>
              <w:rPr>
                <w:rFonts w:ascii="宋体" w:hAnsi="宋体"/>
                <w:b/>
                <w:bCs/>
                <w:sz w:val="22"/>
                <w:szCs w:val="22"/>
                <w:highlight w:val="none"/>
              </w:rPr>
            </w:pPr>
          </w:p>
        </w:tc>
        <w:tc>
          <w:tcPr>
            <w:tcW w:w="1304" w:type="dxa"/>
            <w:vAlign w:val="center"/>
          </w:tcPr>
          <w:p w14:paraId="3A55080E">
            <w:pPr>
              <w:ind w:right="-11"/>
              <w:jc w:val="center"/>
              <w:rPr>
                <w:rFonts w:ascii="宋体" w:hAnsi="宋体"/>
                <w:b/>
                <w:bCs/>
                <w:sz w:val="22"/>
                <w:szCs w:val="22"/>
                <w:highlight w:val="none"/>
              </w:rPr>
            </w:pPr>
          </w:p>
        </w:tc>
      </w:tr>
      <w:tr w14:paraId="3F552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3936" w:type="dxa"/>
            <w:gridSpan w:val="2"/>
            <w:vAlign w:val="center"/>
          </w:tcPr>
          <w:p w14:paraId="4D67194F">
            <w:pPr>
              <w:jc w:val="center"/>
              <w:rPr>
                <w:rFonts w:ascii="宋体" w:hAnsi="宋体"/>
                <w:sz w:val="22"/>
                <w:szCs w:val="22"/>
                <w:highlight w:val="none"/>
              </w:rPr>
            </w:pPr>
            <w:r>
              <w:rPr>
                <w:rFonts w:hint="eastAsia" w:ascii="宋体" w:hAnsi="宋体"/>
                <w:sz w:val="22"/>
                <w:szCs w:val="22"/>
                <w:highlight w:val="none"/>
              </w:rPr>
              <w:t>投标报价</w:t>
            </w:r>
          </w:p>
        </w:tc>
        <w:tc>
          <w:tcPr>
            <w:tcW w:w="5714" w:type="dxa"/>
            <w:gridSpan w:val="4"/>
            <w:vAlign w:val="center"/>
          </w:tcPr>
          <w:p w14:paraId="7D29C94D">
            <w:pPr>
              <w:spacing w:line="360" w:lineRule="auto"/>
              <w:rPr>
                <w:rFonts w:ascii="宋体" w:hAnsi="宋体"/>
                <w:sz w:val="22"/>
                <w:szCs w:val="22"/>
                <w:highlight w:val="none"/>
              </w:rPr>
            </w:pPr>
            <w:r>
              <w:rPr>
                <w:rFonts w:hint="eastAsia" w:ascii="宋体" w:hAnsi="宋体"/>
                <w:sz w:val="22"/>
                <w:szCs w:val="22"/>
                <w:highlight w:val="none"/>
              </w:rPr>
              <w:t>（大写）人民币：</w:t>
            </w:r>
          </w:p>
          <w:p w14:paraId="700930DD">
            <w:pPr>
              <w:pStyle w:val="2"/>
              <w:rPr>
                <w:b/>
                <w:bCs/>
                <w:highlight w:val="none"/>
              </w:rPr>
            </w:pPr>
            <w:r>
              <w:rPr>
                <w:rFonts w:hint="eastAsia"/>
                <w:sz w:val="22"/>
                <w:szCs w:val="22"/>
                <w:highlight w:val="none"/>
              </w:rPr>
              <w:t>（小写）￥：</w:t>
            </w:r>
          </w:p>
        </w:tc>
      </w:tr>
    </w:tbl>
    <w:p w14:paraId="5DBCE5A9">
      <w:pPr>
        <w:spacing w:line="460" w:lineRule="exact"/>
        <w:rPr>
          <w:rFonts w:ascii="宋体" w:hAnsi="宋体" w:cs="Courier New"/>
          <w:b/>
          <w:sz w:val="22"/>
          <w:szCs w:val="22"/>
          <w:highlight w:val="none"/>
        </w:rPr>
      </w:pPr>
      <w:r>
        <w:rPr>
          <w:rFonts w:hint="eastAsia" w:ascii="宋体" w:hAnsi="宋体" w:cs="Courier New"/>
          <w:b/>
          <w:sz w:val="22"/>
          <w:szCs w:val="22"/>
          <w:highlight w:val="none"/>
        </w:rPr>
        <w:t>说明：</w:t>
      </w:r>
    </w:p>
    <w:bookmarkEnd w:id="236"/>
    <w:p w14:paraId="0CB52D74">
      <w:pPr>
        <w:spacing w:line="460" w:lineRule="exact"/>
        <w:ind w:left="216" w:hanging="216" w:hangingChars="98"/>
        <w:rPr>
          <w:rFonts w:ascii="宋体" w:hAnsi="宋体"/>
          <w:b/>
          <w:bCs/>
          <w:sz w:val="22"/>
          <w:szCs w:val="22"/>
          <w:highlight w:val="none"/>
        </w:rPr>
      </w:pPr>
      <w:r>
        <w:rPr>
          <w:rFonts w:ascii="宋体" w:hAnsi="宋体"/>
          <w:b/>
          <w:bCs/>
          <w:sz w:val="22"/>
          <w:szCs w:val="22"/>
          <w:highlight w:val="none"/>
        </w:rPr>
        <w:t>1</w:t>
      </w:r>
      <w:r>
        <w:rPr>
          <w:rFonts w:hint="eastAsia" w:ascii="宋体" w:hAnsi="宋体"/>
          <w:b/>
          <w:bCs/>
          <w:sz w:val="22"/>
          <w:szCs w:val="22"/>
          <w:highlight w:val="none"/>
        </w:rPr>
        <w:t>、</w:t>
      </w:r>
      <w:r>
        <w:rPr>
          <w:rFonts w:hint="eastAsia" w:ascii="宋体" w:hAnsi="宋体"/>
          <w:b/>
          <w:sz w:val="22"/>
          <w:szCs w:val="22"/>
          <w:highlight w:val="none"/>
        </w:rPr>
        <w:t>投标报价为含税报价</w:t>
      </w:r>
      <w:r>
        <w:rPr>
          <w:rFonts w:hint="eastAsia" w:ascii="宋体" w:hAnsi="宋体" w:cs="Courier New"/>
          <w:b/>
          <w:sz w:val="22"/>
          <w:szCs w:val="22"/>
          <w:highlight w:val="none"/>
        </w:rPr>
        <w:t>，</w:t>
      </w:r>
      <w:r>
        <w:rPr>
          <w:rFonts w:hint="eastAsia" w:ascii="宋体" w:hAnsi="宋体"/>
          <w:b/>
          <w:bCs/>
          <w:sz w:val="22"/>
          <w:highlight w:val="none"/>
        </w:rPr>
        <w:t>包含检测费项目组人员差旅费、项目相关安全措施费用、项目利润、税费、项目抽样费、项目检测费、检测成果制作费用、检测成果评审费用等完成本次鹿城区农产品定量检测技术服务项目所产生的全部相关费用，供应商应根据上述因素自行考虑含入报价（以上费用未单列的视为包含在报价中）</w:t>
      </w:r>
      <w:r>
        <w:rPr>
          <w:rFonts w:hint="eastAsia" w:ascii="宋体" w:hAnsi="宋体"/>
          <w:b/>
          <w:bCs/>
          <w:sz w:val="22"/>
          <w:szCs w:val="22"/>
          <w:highlight w:val="none"/>
        </w:rPr>
        <w:t>。</w:t>
      </w:r>
    </w:p>
    <w:p w14:paraId="1D9D7B35">
      <w:pPr>
        <w:spacing w:line="460" w:lineRule="exact"/>
        <w:ind w:left="216" w:hanging="216" w:hangingChars="98"/>
        <w:rPr>
          <w:rFonts w:ascii="宋体" w:hAnsi="宋体"/>
          <w:b/>
          <w:bCs/>
          <w:sz w:val="22"/>
          <w:szCs w:val="22"/>
          <w:highlight w:val="none"/>
          <w:u w:val="none"/>
        </w:rPr>
      </w:pPr>
      <w:r>
        <w:rPr>
          <w:rFonts w:ascii="宋体" w:hAnsi="宋体"/>
          <w:b/>
          <w:bCs/>
          <w:sz w:val="22"/>
          <w:szCs w:val="22"/>
          <w:highlight w:val="none"/>
          <w:u w:val="none"/>
        </w:rPr>
        <w:t>2</w:t>
      </w:r>
      <w:r>
        <w:rPr>
          <w:rFonts w:hint="eastAsia" w:ascii="宋体" w:hAnsi="宋体"/>
          <w:b/>
          <w:bCs/>
          <w:sz w:val="22"/>
          <w:szCs w:val="22"/>
          <w:highlight w:val="none"/>
          <w:u w:val="none"/>
        </w:rPr>
        <w:t>、</w:t>
      </w:r>
      <w:r>
        <w:rPr>
          <w:rFonts w:hint="eastAsia" w:ascii="宋体" w:hAnsi="宋体" w:cs="Courier New"/>
          <w:b/>
          <w:sz w:val="22"/>
          <w:szCs w:val="22"/>
          <w:highlight w:val="none"/>
        </w:rPr>
        <w:t>本表格式可自行拟定</w:t>
      </w:r>
      <w:r>
        <w:rPr>
          <w:rFonts w:hint="eastAsia" w:ascii="宋体" w:hAnsi="宋体"/>
          <w:b/>
          <w:bCs/>
          <w:sz w:val="22"/>
          <w:szCs w:val="22"/>
          <w:highlight w:val="none"/>
          <w:u w:val="none"/>
        </w:rPr>
        <w:t>。</w:t>
      </w:r>
    </w:p>
    <w:p w14:paraId="682CDA2F">
      <w:pPr>
        <w:spacing w:line="460" w:lineRule="exact"/>
        <w:ind w:left="216" w:hanging="216" w:hangingChars="98"/>
        <w:rPr>
          <w:rFonts w:ascii="宋体" w:hAnsi="宋体"/>
          <w:b/>
          <w:bCs/>
          <w:sz w:val="22"/>
          <w:szCs w:val="22"/>
          <w:highlight w:val="none"/>
          <w:u w:val="single"/>
        </w:rPr>
      </w:pPr>
    </w:p>
    <w:p w14:paraId="26FA76C1">
      <w:pPr>
        <w:spacing w:line="460" w:lineRule="exact"/>
        <w:ind w:left="216" w:hanging="216" w:hangingChars="98"/>
        <w:rPr>
          <w:rFonts w:ascii="宋体" w:hAnsi="宋体"/>
          <w:b/>
          <w:bCs/>
          <w:sz w:val="22"/>
          <w:szCs w:val="22"/>
          <w:highlight w:val="none"/>
          <w:u w:val="single"/>
        </w:rPr>
      </w:pPr>
      <w:r>
        <w:rPr>
          <w:rFonts w:hint="eastAsia" w:ascii="宋体" w:hAnsi="宋体"/>
          <w:b/>
          <w:bCs/>
          <w:sz w:val="22"/>
          <w:szCs w:val="22"/>
          <w:highlight w:val="none"/>
          <w:u w:val="single"/>
        </w:rPr>
        <w:t>▲不提供此表的投标文件将被视为未实质性响应招标文件，其响应无效。</w:t>
      </w:r>
    </w:p>
    <w:p w14:paraId="74B1C2B4">
      <w:pPr>
        <w:rPr>
          <w:highlight w:val="none"/>
        </w:rPr>
      </w:pPr>
    </w:p>
    <w:p w14:paraId="628773E4">
      <w:pPr>
        <w:tabs>
          <w:tab w:val="left" w:pos="840"/>
        </w:tabs>
        <w:adjustRightInd w:val="0"/>
        <w:snapToGrid w:val="0"/>
        <w:spacing w:line="360" w:lineRule="auto"/>
        <w:ind w:left="420" w:leftChars="200" w:firstLine="330" w:firstLineChars="150"/>
        <w:rPr>
          <w:rFonts w:ascii="宋体" w:hAnsi="宋体"/>
          <w:sz w:val="22"/>
          <w:szCs w:val="22"/>
          <w:highlight w:val="none"/>
        </w:rPr>
      </w:pPr>
      <w:r>
        <w:rPr>
          <w:rFonts w:hint="eastAsia" w:ascii="宋体" w:hAnsi="宋体"/>
          <w:sz w:val="22"/>
          <w:szCs w:val="22"/>
          <w:highlight w:val="none"/>
        </w:rPr>
        <w:t>投标人全称（盖公章）：</w:t>
      </w:r>
    </w:p>
    <w:p w14:paraId="0175DF74">
      <w:pPr>
        <w:tabs>
          <w:tab w:val="left" w:pos="840"/>
        </w:tabs>
        <w:adjustRightInd w:val="0"/>
        <w:snapToGrid w:val="0"/>
        <w:spacing w:line="360" w:lineRule="auto"/>
        <w:ind w:left="420" w:leftChars="200" w:firstLine="330" w:firstLineChars="150"/>
        <w:rPr>
          <w:rFonts w:ascii="宋体" w:hAnsi="宋体"/>
          <w:sz w:val="22"/>
          <w:szCs w:val="22"/>
          <w:highlight w:val="none"/>
        </w:rPr>
      </w:pPr>
      <w:r>
        <w:rPr>
          <w:rFonts w:hint="eastAsia" w:ascii="宋体" w:hAnsi="宋体"/>
          <w:sz w:val="22"/>
          <w:szCs w:val="22"/>
          <w:highlight w:val="none"/>
        </w:rPr>
        <w:t>单位负责人或授权代表（签字或盖章）：</w:t>
      </w:r>
    </w:p>
    <w:p w14:paraId="53D4479B">
      <w:pPr>
        <w:tabs>
          <w:tab w:val="left" w:pos="840"/>
        </w:tabs>
        <w:adjustRightInd w:val="0"/>
        <w:snapToGrid w:val="0"/>
        <w:spacing w:line="360" w:lineRule="auto"/>
        <w:ind w:left="420" w:leftChars="200" w:firstLine="330" w:firstLineChars="150"/>
        <w:rPr>
          <w:rFonts w:ascii="宋体" w:hAnsi="宋体" w:cs="Courier New"/>
          <w:bCs/>
          <w:sz w:val="22"/>
          <w:szCs w:val="22"/>
          <w:highlight w:val="none"/>
        </w:rPr>
      </w:pPr>
      <w:r>
        <w:rPr>
          <w:rFonts w:hint="eastAsia" w:ascii="宋体" w:hAnsi="宋体" w:cs="Courier New"/>
          <w:bCs/>
          <w:sz w:val="22"/>
          <w:szCs w:val="22"/>
          <w:highlight w:val="none"/>
        </w:rPr>
        <w:t>日          期：  年  月  日</w:t>
      </w:r>
    </w:p>
    <w:p w14:paraId="78BD6360">
      <w:pPr>
        <w:widowControl/>
        <w:jc w:val="left"/>
        <w:rPr>
          <w:rFonts w:ascii="宋体" w:hAnsi="宋体"/>
          <w:b/>
          <w:bCs/>
          <w:kern w:val="0"/>
          <w:sz w:val="44"/>
          <w:szCs w:val="26"/>
          <w:highlight w:val="none"/>
        </w:rPr>
      </w:pPr>
      <w:bookmarkStart w:id="237" w:name="_Toc134877132"/>
      <w:bookmarkStart w:id="238" w:name="_Toc146181156"/>
      <w:r>
        <w:rPr>
          <w:rFonts w:ascii="宋体" w:hAnsi="宋体"/>
          <w:b/>
          <w:bCs/>
          <w:sz w:val="44"/>
          <w:szCs w:val="26"/>
          <w:highlight w:val="none"/>
        </w:rPr>
        <w:br w:type="page"/>
      </w:r>
    </w:p>
    <w:bookmarkEnd w:id="237"/>
    <w:bookmarkEnd w:id="238"/>
    <w:p w14:paraId="34332278">
      <w:pPr>
        <w:pStyle w:val="5"/>
        <w:keepNext/>
        <w:widowControl w:val="0"/>
        <w:autoSpaceDE/>
        <w:autoSpaceDN/>
        <w:adjustRightInd/>
        <w:spacing w:before="0" w:line="360" w:lineRule="auto"/>
        <w:jc w:val="center"/>
        <w:rPr>
          <w:rFonts w:ascii="宋体" w:hAnsi="宋体" w:eastAsia="宋体"/>
          <w:b/>
          <w:bCs/>
          <w:sz w:val="44"/>
          <w:szCs w:val="26"/>
          <w:highlight w:val="none"/>
        </w:rPr>
      </w:pPr>
      <w:r>
        <w:rPr>
          <w:rFonts w:hint="eastAsia" w:ascii="宋体" w:hAnsi="宋体" w:eastAsia="宋体"/>
          <w:b/>
          <w:sz w:val="30"/>
          <w:highlight w:val="none"/>
          <w:lang w:val="en-US" w:eastAsia="zh-CN"/>
        </w:rPr>
        <w:t>二、</w:t>
      </w:r>
      <w:r>
        <w:rPr>
          <w:rFonts w:ascii="宋体" w:hAnsi="宋体"/>
          <w:b/>
          <w:sz w:val="30"/>
          <w:highlight w:val="none"/>
        </w:rPr>
        <w:t>小型、微型企业等享受价格扣除证明材料（若有）</w:t>
      </w:r>
    </w:p>
    <w:p w14:paraId="21CA1709">
      <w:pPr>
        <w:pStyle w:val="2"/>
        <w:rPr>
          <w:rFonts w:ascii="宋体" w:hAnsi="宋体" w:eastAsia="宋体"/>
          <w:highlight w:val="none"/>
        </w:rPr>
      </w:pPr>
    </w:p>
    <w:p w14:paraId="5DBB3E02">
      <w:pPr>
        <w:spacing w:line="460" w:lineRule="exact"/>
        <w:rPr>
          <w:rFonts w:ascii="宋体" w:hAnsi="宋体"/>
          <w:b/>
          <w:sz w:val="22"/>
          <w:szCs w:val="22"/>
          <w:highlight w:val="none"/>
        </w:rPr>
      </w:pPr>
      <w:r>
        <w:rPr>
          <w:rFonts w:hint="eastAsia" w:ascii="宋体" w:hAnsi="宋体"/>
          <w:b/>
          <w:sz w:val="22"/>
          <w:szCs w:val="22"/>
          <w:highlight w:val="none"/>
        </w:rPr>
        <w:t>说明：本项目落实政府采购政策需满足的资格要求为“无”，即本项目或标项未预留份额专门面向中小企业时，符合《政府采购促进中小企业发展管理办法》规定的小微企业拟享受价格扣除政策的，需提供中小企业声明函（附件2）。</w:t>
      </w:r>
    </w:p>
    <w:p w14:paraId="7346C238">
      <w:pPr>
        <w:pStyle w:val="2"/>
        <w:rPr>
          <w:highlight w:val="none"/>
        </w:rPr>
      </w:pPr>
    </w:p>
    <w:p w14:paraId="7C95C2F8">
      <w:pPr>
        <w:spacing w:line="460" w:lineRule="exact"/>
        <w:jc w:val="center"/>
        <w:rPr>
          <w:rFonts w:ascii="宋体" w:hAnsi="宋体"/>
          <w:b/>
          <w:bCs/>
          <w:sz w:val="28"/>
          <w:szCs w:val="28"/>
          <w:highlight w:val="none"/>
        </w:rPr>
      </w:pPr>
      <w:r>
        <w:rPr>
          <w:rFonts w:ascii="宋体" w:hAnsi="宋体"/>
          <w:b/>
          <w:bCs/>
          <w:sz w:val="28"/>
          <w:szCs w:val="28"/>
          <w:highlight w:val="none"/>
        </w:rPr>
        <w:br w:type="page"/>
      </w:r>
    </w:p>
    <w:p w14:paraId="1865A233">
      <w:pPr>
        <w:rPr>
          <w:highlight w:val="none"/>
        </w:rPr>
      </w:pPr>
    </w:p>
    <w:p w14:paraId="0E0C4CFB">
      <w:pPr>
        <w:pStyle w:val="5"/>
        <w:keepNext/>
        <w:widowControl w:val="0"/>
        <w:autoSpaceDE/>
        <w:autoSpaceDN/>
        <w:adjustRightInd/>
        <w:spacing w:before="0" w:line="360" w:lineRule="auto"/>
        <w:jc w:val="center"/>
        <w:rPr>
          <w:rFonts w:ascii="宋体" w:hAnsi="宋体" w:eastAsia="宋体"/>
          <w:b/>
          <w:bCs/>
          <w:sz w:val="44"/>
          <w:szCs w:val="26"/>
          <w:highlight w:val="none"/>
        </w:rPr>
      </w:pPr>
      <w:bookmarkStart w:id="239" w:name="_Toc1225"/>
      <w:r>
        <w:rPr>
          <w:rFonts w:hint="eastAsia" w:ascii="宋体" w:hAnsi="宋体" w:eastAsia="宋体"/>
          <w:b/>
          <w:bCs/>
          <w:sz w:val="44"/>
          <w:szCs w:val="26"/>
          <w:highlight w:val="none"/>
        </w:rPr>
        <w:t>附件</w:t>
      </w:r>
      <w:bookmarkEnd w:id="239"/>
    </w:p>
    <w:p w14:paraId="08F1F37B">
      <w:pPr>
        <w:tabs>
          <w:tab w:val="left" w:pos="0"/>
          <w:tab w:val="left" w:pos="600"/>
        </w:tabs>
        <w:spacing w:line="400" w:lineRule="exact"/>
        <w:rPr>
          <w:rFonts w:ascii="宋体" w:hAnsi="宋体" w:cs="Times New Roman"/>
          <w:b/>
          <w:bCs/>
          <w:sz w:val="28"/>
          <w:szCs w:val="28"/>
          <w:highlight w:val="none"/>
        </w:rPr>
      </w:pPr>
      <w:r>
        <w:rPr>
          <w:rFonts w:hint="eastAsia" w:ascii="宋体" w:hAnsi="宋体" w:cs="Times New Roman"/>
          <w:b/>
          <w:bCs/>
          <w:sz w:val="28"/>
          <w:szCs w:val="28"/>
          <w:highlight w:val="none"/>
        </w:rPr>
        <w:t>附件1：</w:t>
      </w:r>
    </w:p>
    <w:p w14:paraId="4516754C">
      <w:pPr>
        <w:pStyle w:val="2"/>
        <w:rPr>
          <w:rFonts w:ascii="宋体" w:hAnsi="宋体" w:eastAsia="宋体"/>
          <w:highlight w:val="none"/>
        </w:rPr>
      </w:pPr>
    </w:p>
    <w:p w14:paraId="099EC69F">
      <w:pPr>
        <w:tabs>
          <w:tab w:val="left" w:pos="0"/>
          <w:tab w:val="left" w:pos="600"/>
        </w:tabs>
        <w:spacing w:line="400" w:lineRule="exact"/>
        <w:jc w:val="center"/>
        <w:rPr>
          <w:rFonts w:ascii="宋体" w:hAnsi="宋体" w:cs="Times New Roman"/>
          <w:b/>
          <w:bCs/>
          <w:sz w:val="28"/>
          <w:szCs w:val="28"/>
          <w:highlight w:val="none"/>
        </w:rPr>
      </w:pPr>
      <w:bookmarkStart w:id="240" w:name="OLE_LINK13"/>
      <w:bookmarkStart w:id="241" w:name="OLE_LINK14"/>
      <w:r>
        <w:rPr>
          <w:rFonts w:hint="eastAsia" w:ascii="宋体" w:hAnsi="宋体" w:cs="Times New Roman"/>
          <w:b/>
          <w:bCs/>
          <w:sz w:val="28"/>
          <w:szCs w:val="28"/>
          <w:highlight w:val="none"/>
        </w:rPr>
        <w:t>残疾人福利性单位声明函</w:t>
      </w:r>
    </w:p>
    <w:bookmarkEnd w:id="240"/>
    <w:bookmarkEnd w:id="241"/>
    <w:p w14:paraId="2B36655B">
      <w:pPr>
        <w:rPr>
          <w:rFonts w:ascii="宋体" w:hAnsi="宋体"/>
          <w:highlight w:val="none"/>
        </w:rPr>
      </w:pPr>
    </w:p>
    <w:p w14:paraId="60DB123F">
      <w:pPr>
        <w:widowControl/>
        <w:spacing w:line="360" w:lineRule="auto"/>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kern w:val="0"/>
          <w:sz w:val="22"/>
          <w:szCs w:val="22"/>
          <w:highlight w:val="none"/>
          <w:u w:val="single"/>
        </w:rPr>
        <w:t xml:space="preserve">_（采购人单位名称） </w:t>
      </w:r>
      <w:r>
        <w:rPr>
          <w:rFonts w:ascii="宋体" w:hAnsi="宋体" w:cs="宋体"/>
          <w:kern w:val="0"/>
          <w:sz w:val="22"/>
          <w:szCs w:val="22"/>
          <w:highlight w:val="none"/>
          <w:u w:val="single"/>
        </w:rPr>
        <w:t xml:space="preserve">   </w:t>
      </w:r>
      <w:r>
        <w:rPr>
          <w:rFonts w:hint="eastAsia" w:ascii="宋体" w:hAnsi="宋体" w:cs="宋体"/>
          <w:kern w:val="0"/>
          <w:sz w:val="22"/>
          <w:szCs w:val="22"/>
          <w:highlight w:val="none"/>
          <w:u w:val="single"/>
        </w:rPr>
        <w:t>_</w:t>
      </w:r>
      <w:r>
        <w:rPr>
          <w:rFonts w:hint="eastAsia" w:ascii="宋体" w:hAnsi="宋体" w:cs="宋体"/>
          <w:kern w:val="0"/>
          <w:sz w:val="22"/>
          <w:szCs w:val="22"/>
          <w:highlight w:val="none"/>
        </w:rPr>
        <w:t>单位的</w:t>
      </w:r>
      <w:r>
        <w:rPr>
          <w:rFonts w:hint="eastAsia" w:ascii="宋体" w:hAnsi="宋体" w:cs="宋体"/>
          <w:kern w:val="0"/>
          <w:sz w:val="22"/>
          <w:szCs w:val="22"/>
          <w:highlight w:val="none"/>
          <w:u w:val="single"/>
        </w:rPr>
        <w:t>_</w:t>
      </w:r>
      <w:r>
        <w:rPr>
          <w:rFonts w:ascii="宋体" w:hAnsi="宋体" w:cs="宋体"/>
          <w:kern w:val="0"/>
          <w:sz w:val="22"/>
          <w:szCs w:val="22"/>
          <w:highlight w:val="none"/>
          <w:u w:val="single"/>
        </w:rPr>
        <w:t xml:space="preserve">    </w:t>
      </w:r>
      <w:r>
        <w:rPr>
          <w:rFonts w:hint="eastAsia" w:ascii="宋体" w:hAnsi="宋体" w:cs="宋体"/>
          <w:kern w:val="0"/>
          <w:sz w:val="22"/>
          <w:szCs w:val="22"/>
          <w:highlight w:val="none"/>
          <w:u w:val="single"/>
        </w:rPr>
        <w:t>（项目名称）__</w:t>
      </w:r>
      <w:r>
        <w:rPr>
          <w:rFonts w:hint="eastAsia" w:ascii="宋体" w:hAnsi="宋体" w:cs="宋体"/>
          <w:kern w:val="0"/>
          <w:sz w:val="22"/>
          <w:szCs w:val="22"/>
          <w:highlight w:val="none"/>
        </w:rPr>
        <w:t>项目采购活动提供本单位制造的货物（由本单位承担工程/提供服务），或者提供其他残疾人福利性单位制造的货物（不包括使用非残疾人福利性单位注册商标的货物）。</w:t>
      </w:r>
    </w:p>
    <w:p w14:paraId="4F57F1F2">
      <w:pPr>
        <w:widowControl/>
        <w:spacing w:line="360" w:lineRule="auto"/>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本单位对上述声明的真实性负责。如有虚假，将依法承担相应责任。</w:t>
      </w:r>
    </w:p>
    <w:p w14:paraId="7BE9C2CD">
      <w:pPr>
        <w:pStyle w:val="2"/>
        <w:rPr>
          <w:rFonts w:ascii="宋体" w:hAnsi="宋体" w:eastAsia="宋体"/>
          <w:highlight w:val="none"/>
        </w:rPr>
      </w:pPr>
    </w:p>
    <w:p w14:paraId="51E33645">
      <w:pPr>
        <w:pStyle w:val="12"/>
        <w:spacing w:line="360" w:lineRule="auto"/>
        <w:ind w:firstLine="220"/>
        <w:rPr>
          <w:rFonts w:ascii="宋体" w:hAnsi="宋体" w:eastAsia="宋体"/>
          <w:sz w:val="22"/>
          <w:szCs w:val="22"/>
          <w:highlight w:val="none"/>
        </w:rPr>
      </w:pPr>
    </w:p>
    <w:p w14:paraId="14A5E264">
      <w:pPr>
        <w:tabs>
          <w:tab w:val="left" w:pos="840"/>
        </w:tabs>
        <w:adjustRightInd w:val="0"/>
        <w:snapToGrid w:val="0"/>
        <w:spacing w:line="360" w:lineRule="auto"/>
        <w:ind w:left="420" w:leftChars="200" w:firstLine="330" w:firstLineChars="150"/>
        <w:rPr>
          <w:rFonts w:ascii="宋体" w:hAnsi="宋体"/>
          <w:sz w:val="22"/>
          <w:szCs w:val="22"/>
          <w:highlight w:val="none"/>
        </w:rPr>
      </w:pPr>
      <w:r>
        <w:rPr>
          <w:rFonts w:hint="eastAsia" w:ascii="宋体" w:hAnsi="宋体"/>
          <w:sz w:val="22"/>
          <w:szCs w:val="22"/>
          <w:highlight w:val="none"/>
        </w:rPr>
        <w:t>投标人全称（盖公章）：</w:t>
      </w:r>
    </w:p>
    <w:p w14:paraId="3AEACA54">
      <w:pPr>
        <w:tabs>
          <w:tab w:val="left" w:pos="840"/>
        </w:tabs>
        <w:adjustRightInd w:val="0"/>
        <w:snapToGrid w:val="0"/>
        <w:spacing w:line="360" w:lineRule="auto"/>
        <w:ind w:left="420" w:leftChars="200" w:firstLine="330" w:firstLineChars="150"/>
        <w:rPr>
          <w:rFonts w:ascii="宋体" w:hAnsi="宋体"/>
          <w:sz w:val="22"/>
          <w:szCs w:val="22"/>
          <w:highlight w:val="none"/>
        </w:rPr>
      </w:pPr>
      <w:r>
        <w:rPr>
          <w:rFonts w:hint="eastAsia" w:ascii="宋体" w:hAnsi="宋体"/>
          <w:sz w:val="22"/>
          <w:szCs w:val="22"/>
          <w:highlight w:val="none"/>
        </w:rPr>
        <w:t>日          期：  年  月  日</w:t>
      </w:r>
    </w:p>
    <w:p w14:paraId="5C60D49A">
      <w:pPr>
        <w:widowControl/>
        <w:jc w:val="left"/>
        <w:rPr>
          <w:rFonts w:ascii="宋体" w:hAnsi="宋体"/>
          <w:highlight w:val="none"/>
        </w:rPr>
      </w:pPr>
      <w:r>
        <w:rPr>
          <w:rFonts w:ascii="宋体" w:hAnsi="宋体"/>
          <w:highlight w:val="none"/>
        </w:rPr>
        <w:br w:type="page"/>
      </w:r>
    </w:p>
    <w:p w14:paraId="09C8FADB">
      <w:pPr>
        <w:tabs>
          <w:tab w:val="left" w:pos="0"/>
          <w:tab w:val="left" w:pos="600"/>
        </w:tabs>
        <w:spacing w:line="400" w:lineRule="exact"/>
        <w:rPr>
          <w:rFonts w:ascii="宋体" w:hAnsi="宋体" w:cs="Times New Roman"/>
          <w:b/>
          <w:bCs/>
          <w:sz w:val="28"/>
          <w:szCs w:val="28"/>
          <w:highlight w:val="none"/>
        </w:rPr>
      </w:pPr>
      <w:r>
        <w:rPr>
          <w:rFonts w:hint="eastAsia" w:ascii="宋体" w:hAnsi="宋体" w:cs="Times New Roman"/>
          <w:b/>
          <w:bCs/>
          <w:sz w:val="28"/>
          <w:szCs w:val="28"/>
          <w:highlight w:val="none"/>
        </w:rPr>
        <w:t>附件2：中小企业声明函</w:t>
      </w:r>
    </w:p>
    <w:p w14:paraId="7E4C4E0A">
      <w:pPr>
        <w:rPr>
          <w:rFonts w:ascii="宋体" w:hAnsi="宋体"/>
          <w:highlight w:val="none"/>
        </w:rPr>
      </w:pPr>
    </w:p>
    <w:p w14:paraId="505AD576">
      <w:pPr>
        <w:spacing w:line="360" w:lineRule="auto"/>
        <w:jc w:val="center"/>
        <w:rPr>
          <w:rFonts w:ascii="宋体" w:hAnsi="宋体"/>
          <w:b/>
          <w:bCs/>
          <w:sz w:val="28"/>
          <w:szCs w:val="28"/>
          <w:highlight w:val="none"/>
        </w:rPr>
      </w:pPr>
      <w:r>
        <w:rPr>
          <w:rFonts w:hint="eastAsia" w:ascii="宋体" w:hAnsi="宋体"/>
          <w:b/>
          <w:bCs/>
          <w:sz w:val="28"/>
          <w:szCs w:val="28"/>
          <w:highlight w:val="none"/>
        </w:rPr>
        <w:t>中小企业声明函（服务）</w:t>
      </w:r>
    </w:p>
    <w:p w14:paraId="47BBE536">
      <w:pPr>
        <w:widowControl/>
        <w:spacing w:line="360" w:lineRule="auto"/>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本公司郑重声明，根据《政府采购促进中小企业发展管理办法》（财库﹝2020﹞46号）的规定，本公司参加</w:t>
      </w:r>
      <w:r>
        <w:rPr>
          <w:rFonts w:hint="eastAsia" w:ascii="宋体" w:hAnsi="宋体" w:cs="宋体"/>
          <w:kern w:val="0"/>
          <w:sz w:val="22"/>
          <w:szCs w:val="22"/>
          <w:highlight w:val="none"/>
          <w:u w:val="single"/>
        </w:rPr>
        <w:t xml:space="preserve"> </w:t>
      </w:r>
      <w:r>
        <w:rPr>
          <w:rFonts w:ascii="宋体" w:hAnsi="宋体" w:cs="宋体"/>
          <w:kern w:val="0"/>
          <w:sz w:val="22"/>
          <w:szCs w:val="22"/>
          <w:highlight w:val="none"/>
          <w:u w:val="single"/>
        </w:rPr>
        <w:t xml:space="preserve">        </w:t>
      </w:r>
      <w:r>
        <w:rPr>
          <w:rFonts w:hint="eastAsia" w:ascii="宋体" w:hAnsi="宋体" w:cs="宋体"/>
          <w:kern w:val="0"/>
          <w:sz w:val="22"/>
          <w:szCs w:val="22"/>
          <w:highlight w:val="none"/>
          <w:u w:val="single"/>
        </w:rPr>
        <w:t>（采购人单位名称）</w:t>
      </w:r>
      <w:r>
        <w:rPr>
          <w:rFonts w:hint="eastAsia" w:ascii="宋体" w:hAnsi="宋体" w:cs="宋体"/>
          <w:kern w:val="0"/>
          <w:sz w:val="22"/>
          <w:szCs w:val="22"/>
          <w:highlight w:val="none"/>
        </w:rPr>
        <w:t>的</w:t>
      </w:r>
      <w:r>
        <w:rPr>
          <w:rFonts w:hint="eastAsia" w:ascii="宋体" w:hAnsi="宋体" w:cs="宋体"/>
          <w:kern w:val="0"/>
          <w:sz w:val="22"/>
          <w:szCs w:val="22"/>
          <w:highlight w:val="none"/>
          <w:u w:val="single"/>
        </w:rPr>
        <w:t xml:space="preserve"> </w:t>
      </w:r>
      <w:r>
        <w:rPr>
          <w:rFonts w:ascii="宋体" w:hAnsi="宋体" w:cs="宋体"/>
          <w:kern w:val="0"/>
          <w:sz w:val="22"/>
          <w:szCs w:val="22"/>
          <w:highlight w:val="none"/>
          <w:u w:val="single"/>
        </w:rPr>
        <w:t xml:space="preserve">   </w:t>
      </w:r>
      <w:r>
        <w:rPr>
          <w:rFonts w:hint="eastAsia" w:ascii="宋体" w:hAnsi="宋体" w:cs="宋体"/>
          <w:kern w:val="0"/>
          <w:sz w:val="22"/>
          <w:szCs w:val="22"/>
          <w:highlight w:val="none"/>
          <w:u w:val="single"/>
        </w:rPr>
        <w:t>（项目名称）</w:t>
      </w:r>
      <w:r>
        <w:rPr>
          <w:rFonts w:hint="eastAsia" w:ascii="宋体" w:hAnsi="宋体" w:cs="宋体"/>
          <w:kern w:val="0"/>
          <w:sz w:val="22"/>
          <w:szCs w:val="22"/>
          <w:highlight w:val="none"/>
        </w:rPr>
        <w:t>采购活动，服务全部由符合政策要求的中小企业承接。相关企业（含联合体中的中小企业、签订分包意向协议的中小企业）的具体情况如下：</w:t>
      </w:r>
    </w:p>
    <w:p w14:paraId="0E551E30">
      <w:pPr>
        <w:widowControl/>
        <w:spacing w:line="360" w:lineRule="auto"/>
        <w:ind w:firstLine="440" w:firstLineChars="200"/>
        <w:jc w:val="left"/>
        <w:rPr>
          <w:rFonts w:ascii="宋体" w:hAnsi="宋体" w:cs="宋体"/>
          <w:kern w:val="0"/>
          <w:sz w:val="22"/>
          <w:szCs w:val="22"/>
          <w:highlight w:val="none"/>
        </w:rPr>
      </w:pPr>
      <w:bookmarkStart w:id="242" w:name="_Hlk60821417"/>
      <w:r>
        <w:rPr>
          <w:rFonts w:hint="eastAsia" w:ascii="宋体" w:hAnsi="宋体" w:cs="楷体"/>
          <w:kern w:val="0"/>
          <w:sz w:val="22"/>
          <w:szCs w:val="22"/>
          <w:highlight w:val="none"/>
          <w:u w:val="single"/>
          <w:lang w:val="en-US" w:eastAsia="zh-CN"/>
        </w:rPr>
        <w:t xml:space="preserve">                               </w:t>
      </w:r>
      <w:r>
        <w:rPr>
          <w:rFonts w:hint="eastAsia" w:ascii="宋体" w:hAnsi="宋体" w:cs="宋体"/>
          <w:kern w:val="0"/>
          <w:sz w:val="22"/>
          <w:szCs w:val="22"/>
          <w:highlight w:val="none"/>
        </w:rPr>
        <w:t>，属于“</w:t>
      </w:r>
      <w:r>
        <w:rPr>
          <w:rFonts w:hint="eastAsia" w:ascii="宋体" w:hAnsi="宋体"/>
          <w:b/>
          <w:sz w:val="22"/>
          <w:szCs w:val="22"/>
          <w:highlight w:val="none"/>
        </w:rPr>
        <w:t>租赁和商务服务业</w:t>
      </w:r>
      <w:r>
        <w:rPr>
          <w:rFonts w:hint="eastAsia" w:ascii="宋体" w:hAnsi="宋体" w:cs="宋体"/>
          <w:kern w:val="0"/>
          <w:sz w:val="22"/>
          <w:szCs w:val="22"/>
          <w:highlight w:val="none"/>
        </w:rPr>
        <w:t>”行业；</w:t>
      </w:r>
      <w:r>
        <w:rPr>
          <w:rFonts w:hint="eastAsia" w:ascii="宋体" w:hAnsi="宋体"/>
          <w:spacing w:val="-6"/>
          <w:sz w:val="22"/>
          <w:szCs w:val="22"/>
          <w:highlight w:val="none"/>
        </w:rPr>
        <w:t>承接企业为</w:t>
      </w:r>
      <w:r>
        <w:rPr>
          <w:rFonts w:hint="eastAsia" w:ascii="宋体" w:hAnsi="宋体"/>
          <w:spacing w:val="-6"/>
          <w:sz w:val="22"/>
          <w:szCs w:val="22"/>
          <w:highlight w:val="none"/>
          <w:u w:val="single"/>
        </w:rPr>
        <w:t xml:space="preserve">           </w:t>
      </w:r>
      <w:r>
        <w:rPr>
          <w:rFonts w:hint="eastAsia" w:ascii="宋体" w:hAnsi="宋体"/>
          <w:spacing w:val="-6"/>
          <w:sz w:val="22"/>
          <w:szCs w:val="22"/>
          <w:highlight w:val="none"/>
        </w:rPr>
        <w:t>，从业人员</w:t>
      </w:r>
      <w:r>
        <w:rPr>
          <w:rFonts w:hint="eastAsia" w:ascii="宋体" w:hAnsi="宋体"/>
          <w:spacing w:val="-6"/>
          <w:sz w:val="22"/>
          <w:szCs w:val="22"/>
          <w:highlight w:val="none"/>
          <w:u w:val="single"/>
        </w:rPr>
        <w:t xml:space="preserve"> </w:t>
      </w:r>
      <w:r>
        <w:rPr>
          <w:rFonts w:ascii="宋体" w:hAnsi="宋体"/>
          <w:spacing w:val="-6"/>
          <w:sz w:val="22"/>
          <w:szCs w:val="22"/>
          <w:highlight w:val="none"/>
          <w:u w:val="single"/>
        </w:rPr>
        <w:t xml:space="preserve">  </w:t>
      </w:r>
      <w:r>
        <w:rPr>
          <w:rFonts w:hint="eastAsia" w:ascii="宋体" w:hAnsi="宋体"/>
          <w:spacing w:val="-6"/>
          <w:sz w:val="22"/>
          <w:szCs w:val="22"/>
          <w:highlight w:val="none"/>
          <w:u w:val="single"/>
        </w:rPr>
        <w:t xml:space="preserve">  </w:t>
      </w:r>
      <w:r>
        <w:rPr>
          <w:rFonts w:hint="eastAsia" w:ascii="宋体" w:hAnsi="宋体"/>
          <w:spacing w:val="-6"/>
          <w:sz w:val="22"/>
          <w:szCs w:val="22"/>
          <w:highlight w:val="none"/>
        </w:rPr>
        <w:t xml:space="preserve">人，营业收入为 </w:t>
      </w:r>
      <w:r>
        <w:rPr>
          <w:rFonts w:hint="eastAsia" w:ascii="宋体" w:hAnsi="宋体"/>
          <w:spacing w:val="-6"/>
          <w:sz w:val="22"/>
          <w:szCs w:val="22"/>
          <w:highlight w:val="none"/>
          <w:u w:val="single"/>
        </w:rPr>
        <w:t xml:space="preserve">     </w:t>
      </w:r>
      <w:r>
        <w:rPr>
          <w:rFonts w:hint="eastAsia" w:ascii="宋体" w:hAnsi="宋体"/>
          <w:spacing w:val="-6"/>
          <w:sz w:val="22"/>
          <w:szCs w:val="22"/>
          <w:highlight w:val="none"/>
        </w:rPr>
        <w:t xml:space="preserve">万元，资产总额为 </w:t>
      </w:r>
      <w:r>
        <w:rPr>
          <w:rFonts w:hint="eastAsia" w:ascii="宋体" w:hAnsi="宋体"/>
          <w:spacing w:val="-6"/>
          <w:sz w:val="22"/>
          <w:szCs w:val="22"/>
          <w:highlight w:val="none"/>
          <w:u w:val="single"/>
        </w:rPr>
        <w:t xml:space="preserve">    </w:t>
      </w:r>
      <w:r>
        <w:rPr>
          <w:rFonts w:hint="eastAsia" w:ascii="宋体" w:hAnsi="宋体"/>
          <w:spacing w:val="-6"/>
          <w:sz w:val="22"/>
          <w:szCs w:val="22"/>
          <w:highlight w:val="none"/>
        </w:rPr>
        <w:t>万元，属于</w:t>
      </w:r>
      <w:r>
        <w:rPr>
          <w:rFonts w:hint="eastAsia" w:ascii="宋体" w:hAnsi="宋体"/>
          <w:spacing w:val="-6"/>
          <w:sz w:val="22"/>
          <w:szCs w:val="22"/>
          <w:highlight w:val="none"/>
          <w:u w:val="single"/>
        </w:rPr>
        <w:t xml:space="preserve">           </w:t>
      </w:r>
      <w:r>
        <w:rPr>
          <w:rFonts w:hint="eastAsia" w:ascii="宋体" w:hAnsi="宋体"/>
          <w:spacing w:val="-6"/>
          <w:sz w:val="22"/>
          <w:szCs w:val="22"/>
          <w:highlight w:val="none"/>
        </w:rPr>
        <w:t>（中型企业、小型企业、微型企业）；</w:t>
      </w:r>
    </w:p>
    <w:bookmarkEnd w:id="242"/>
    <w:p w14:paraId="7273DB8B">
      <w:pPr>
        <w:widowControl/>
        <w:spacing w:line="360" w:lineRule="auto"/>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以上企业，不属于大企业的分支机构，不存在控股股东为大企业的情形，也不存在与大企业的负责人为同一人的情形。</w:t>
      </w:r>
    </w:p>
    <w:p w14:paraId="61BA67F8">
      <w:pPr>
        <w:widowControl/>
        <w:spacing w:line="360" w:lineRule="auto"/>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本企业对上述声明内容的真实性负责。如有虚假，将依法承担相应责任。</w:t>
      </w:r>
    </w:p>
    <w:p w14:paraId="47337454">
      <w:pPr>
        <w:pStyle w:val="12"/>
        <w:spacing w:line="360" w:lineRule="auto"/>
        <w:ind w:firstLine="220"/>
        <w:rPr>
          <w:rFonts w:ascii="宋体" w:hAnsi="宋体" w:eastAsia="宋体"/>
          <w:sz w:val="22"/>
          <w:szCs w:val="22"/>
          <w:highlight w:val="none"/>
        </w:rPr>
      </w:pPr>
    </w:p>
    <w:p w14:paraId="1C028F30">
      <w:pPr>
        <w:tabs>
          <w:tab w:val="left" w:pos="840"/>
        </w:tabs>
        <w:adjustRightInd w:val="0"/>
        <w:snapToGrid w:val="0"/>
        <w:spacing w:line="360" w:lineRule="auto"/>
        <w:ind w:left="420" w:leftChars="200" w:firstLine="330" w:firstLineChars="150"/>
        <w:rPr>
          <w:rFonts w:ascii="宋体" w:hAnsi="宋体"/>
          <w:sz w:val="22"/>
          <w:szCs w:val="22"/>
          <w:highlight w:val="none"/>
        </w:rPr>
      </w:pPr>
      <w:r>
        <w:rPr>
          <w:rFonts w:hint="eastAsia" w:ascii="宋体" w:hAnsi="宋体"/>
          <w:sz w:val="22"/>
          <w:szCs w:val="22"/>
          <w:highlight w:val="none"/>
        </w:rPr>
        <w:t>投标人全称（盖公章）：</w:t>
      </w:r>
    </w:p>
    <w:p w14:paraId="293BE1A8">
      <w:pPr>
        <w:tabs>
          <w:tab w:val="left" w:pos="840"/>
        </w:tabs>
        <w:adjustRightInd w:val="0"/>
        <w:snapToGrid w:val="0"/>
        <w:spacing w:line="360" w:lineRule="auto"/>
        <w:ind w:left="420" w:leftChars="200" w:firstLine="330" w:firstLineChars="150"/>
        <w:rPr>
          <w:rFonts w:ascii="宋体" w:hAnsi="宋体"/>
          <w:sz w:val="22"/>
          <w:szCs w:val="22"/>
          <w:highlight w:val="none"/>
        </w:rPr>
      </w:pPr>
      <w:r>
        <w:rPr>
          <w:rFonts w:hint="eastAsia" w:ascii="宋体" w:hAnsi="宋体"/>
          <w:sz w:val="22"/>
          <w:szCs w:val="22"/>
          <w:highlight w:val="none"/>
        </w:rPr>
        <w:t>日          期：  年  月  日</w:t>
      </w:r>
    </w:p>
    <w:p w14:paraId="794CACDD">
      <w:pPr>
        <w:spacing w:line="400" w:lineRule="exact"/>
        <w:ind w:left="221" w:hanging="221" w:hangingChars="100"/>
        <w:rPr>
          <w:rFonts w:ascii="宋体" w:hAnsi="宋体"/>
          <w:b/>
          <w:sz w:val="22"/>
          <w:szCs w:val="22"/>
          <w:highlight w:val="none"/>
        </w:rPr>
      </w:pPr>
      <w:r>
        <w:rPr>
          <w:rFonts w:hint="eastAsia" w:ascii="宋体" w:hAnsi="宋体"/>
          <w:b/>
          <w:sz w:val="22"/>
          <w:szCs w:val="22"/>
          <w:highlight w:val="none"/>
        </w:rPr>
        <w:t>说明：</w:t>
      </w:r>
    </w:p>
    <w:p w14:paraId="0D909B64">
      <w:pPr>
        <w:pStyle w:val="242"/>
        <w:numPr>
          <w:ilvl w:val="255"/>
          <w:numId w:val="0"/>
        </w:numPr>
        <w:spacing w:line="400" w:lineRule="exact"/>
        <w:rPr>
          <w:rFonts w:ascii="宋体" w:hAnsi="宋体"/>
          <w:bCs/>
          <w:sz w:val="22"/>
          <w:szCs w:val="22"/>
          <w:highlight w:val="none"/>
        </w:rPr>
      </w:pPr>
      <w:r>
        <w:rPr>
          <w:rFonts w:hint="eastAsia" w:ascii="宋体" w:hAnsi="宋体"/>
          <w:bCs/>
          <w:sz w:val="22"/>
          <w:szCs w:val="22"/>
          <w:highlight w:val="none"/>
        </w:rPr>
        <w:t>1、如中标，将在中标公告中将此中小企业声明函予以公示，接受社会监督。</w:t>
      </w:r>
    </w:p>
    <w:p w14:paraId="7FA5FD9A">
      <w:pPr>
        <w:spacing w:line="400" w:lineRule="exact"/>
        <w:ind w:left="220" w:hanging="220" w:hangingChars="100"/>
        <w:rPr>
          <w:rFonts w:ascii="宋体" w:hAnsi="宋体"/>
          <w:bCs/>
          <w:sz w:val="22"/>
          <w:szCs w:val="22"/>
          <w:highlight w:val="none"/>
        </w:rPr>
      </w:pPr>
      <w:r>
        <w:rPr>
          <w:rFonts w:hint="eastAsia" w:ascii="宋体" w:hAnsi="宋体"/>
          <w:bCs/>
          <w:sz w:val="22"/>
          <w:szCs w:val="22"/>
          <w:highlight w:val="none"/>
        </w:rPr>
        <w:t>2、填写要求：①从业人员、营业收入、资产总额填报上一年度数据，无上一年度数据的新成立企业可不填报；②中型企业、小型企业、微型企业等3种企业类型，结合以上数据，依据《中小企业划型标准规定》（工信部联企业〔2011〕300号）确定；③投标人提供的《中小企业声明函》与实际情况不符的或者未按以上要求填写的，中小企业声明函无效，不享受中小企业扶持政策。声明内容不实的，属于提供虚假材料谋取中标、成交的，依法承担法律责任。</w:t>
      </w:r>
    </w:p>
    <w:p w14:paraId="1DFEF894">
      <w:pPr>
        <w:spacing w:line="400" w:lineRule="exact"/>
        <w:ind w:left="220" w:hanging="220" w:hangingChars="100"/>
        <w:rPr>
          <w:rFonts w:hint="eastAsia" w:ascii="宋体" w:hAnsi="宋体" w:eastAsia="宋体" w:cs="Arial"/>
          <w:bCs/>
          <w:sz w:val="22"/>
          <w:szCs w:val="22"/>
          <w:highlight w:val="none"/>
        </w:rPr>
      </w:pPr>
      <w:r>
        <w:rPr>
          <w:rFonts w:hint="eastAsia" w:ascii="宋体" w:hAnsi="宋体"/>
          <w:bCs/>
          <w:sz w:val="22"/>
          <w:szCs w:val="22"/>
          <w:highlight w:val="none"/>
        </w:rPr>
        <w:t>3、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w:t>
      </w:r>
      <w:r>
        <w:rPr>
          <w:rFonts w:hint="eastAsia" w:ascii="宋体" w:hAnsi="宋体" w:eastAsia="宋体" w:cs="Arial"/>
          <w:bCs/>
          <w:sz w:val="22"/>
          <w:szCs w:val="22"/>
          <w:highlight w:val="none"/>
        </w:rPr>
        <w:t>提供由省级以上监狱管理局、戒毒管理局（含新疆生产建设兵团）出具的属于监狱企业证明文件的，视同为小型和微型企业。</w:t>
      </w:r>
    </w:p>
    <w:p w14:paraId="4589E684">
      <w:pPr>
        <w:spacing w:line="400" w:lineRule="exact"/>
        <w:ind w:left="220" w:hanging="220" w:hangingChars="100"/>
        <w:rPr>
          <w:rFonts w:hint="eastAsia" w:ascii="宋体" w:hAnsi="宋体" w:eastAsia="宋体" w:cs="Arial"/>
          <w:bCs/>
          <w:sz w:val="22"/>
          <w:szCs w:val="22"/>
          <w:highlight w:val="none"/>
          <w:lang w:val="zh-CN" w:eastAsia="zh-CN"/>
        </w:rPr>
      </w:pPr>
      <w:r>
        <w:rPr>
          <w:rFonts w:hint="eastAsia" w:ascii="宋体" w:hAnsi="宋体" w:eastAsia="宋体" w:cs="Arial"/>
          <w:bCs/>
          <w:sz w:val="22"/>
          <w:szCs w:val="22"/>
          <w:highlight w:val="none"/>
        </w:rPr>
        <w:t>4、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Arial"/>
          <w:bCs/>
          <w:sz w:val="22"/>
          <w:szCs w:val="22"/>
          <w:highlight w:val="none"/>
          <w:lang w:eastAsia="zh-CN"/>
        </w:rPr>
        <w:t>。</w:t>
      </w:r>
    </w:p>
    <w:p w14:paraId="084CFE1F">
      <w:pPr>
        <w:rPr>
          <w:rFonts w:hint="eastAsia" w:ascii="宋体" w:hAnsi="宋体" w:eastAsia="宋体" w:cs="Courier New"/>
          <w:sz w:val="36"/>
          <w:szCs w:val="36"/>
          <w:highlight w:val="none"/>
        </w:rPr>
      </w:pPr>
      <w:bookmarkStart w:id="243" w:name="_Toc146181157"/>
      <w:r>
        <w:rPr>
          <w:rFonts w:hint="eastAsia" w:ascii="宋体" w:hAnsi="宋体" w:eastAsia="宋体" w:cs="Courier New"/>
          <w:sz w:val="36"/>
          <w:szCs w:val="36"/>
          <w:highlight w:val="none"/>
        </w:rPr>
        <w:br w:type="page"/>
      </w:r>
    </w:p>
    <w:p w14:paraId="20B4A2D4">
      <w:pPr>
        <w:pStyle w:val="3"/>
        <w:spacing w:before="240" w:beforeLines="100"/>
        <w:rPr>
          <w:rFonts w:ascii="宋体" w:hAnsi="宋体" w:eastAsia="宋体" w:cs="Courier New"/>
          <w:sz w:val="36"/>
          <w:szCs w:val="36"/>
          <w:highlight w:val="none"/>
        </w:rPr>
      </w:pPr>
      <w:r>
        <w:rPr>
          <w:rFonts w:hint="eastAsia" w:ascii="宋体" w:hAnsi="宋体" w:eastAsia="宋体" w:cs="Courier New"/>
          <w:sz w:val="36"/>
          <w:szCs w:val="36"/>
          <w:highlight w:val="none"/>
        </w:rPr>
        <w:t>第三部分   拟签订的合同文本</w:t>
      </w:r>
      <w:bookmarkEnd w:id="243"/>
    </w:p>
    <w:p w14:paraId="62C38322">
      <w:pPr>
        <w:spacing w:line="400" w:lineRule="exact"/>
        <w:rPr>
          <w:rFonts w:ascii="宋体" w:hAnsi="宋体"/>
          <w:b/>
          <w:sz w:val="22"/>
          <w:szCs w:val="22"/>
          <w:highlight w:val="none"/>
        </w:rPr>
      </w:pPr>
      <w:bookmarkStart w:id="244" w:name="_Hlk8672155"/>
      <w:bookmarkStart w:id="245" w:name="_Toc29133678"/>
      <w:bookmarkStart w:id="246" w:name="_Toc488699694"/>
      <w:r>
        <w:rPr>
          <w:rFonts w:hint="eastAsia" w:ascii="宋体" w:hAnsi="宋体"/>
          <w:b/>
          <w:sz w:val="22"/>
          <w:szCs w:val="22"/>
          <w:highlight w:val="none"/>
        </w:rPr>
        <w:t>注：本合同作为示范文本，具体以中标人与甲方所签定正式合同为准。</w:t>
      </w:r>
    </w:p>
    <w:p w14:paraId="018AA67E">
      <w:pPr>
        <w:snapToGrid w:val="0"/>
        <w:spacing w:line="420" w:lineRule="exact"/>
        <w:rPr>
          <w:rFonts w:ascii="宋体" w:hAnsi="宋体" w:cs="楷体"/>
          <w:bCs/>
          <w:sz w:val="22"/>
          <w:szCs w:val="22"/>
          <w:highlight w:val="none"/>
        </w:rPr>
      </w:pPr>
      <w:r>
        <w:rPr>
          <w:rFonts w:hint="eastAsia" w:ascii="宋体" w:hAnsi="宋体" w:cs="楷体"/>
          <w:bCs/>
          <w:sz w:val="22"/>
          <w:szCs w:val="22"/>
          <w:highlight w:val="none"/>
        </w:rPr>
        <w:t>甲方：</w:t>
      </w:r>
      <w:r>
        <w:rPr>
          <w:rFonts w:hint="eastAsia" w:ascii="宋体" w:hAnsi="宋体" w:cs="楷体"/>
          <w:bCs/>
          <w:sz w:val="22"/>
          <w:szCs w:val="22"/>
          <w:highlight w:val="none"/>
          <w:u w:val="single"/>
        </w:rPr>
        <w:t xml:space="preserve">             （采购人）</w:t>
      </w:r>
    </w:p>
    <w:p w14:paraId="3F21DBE8">
      <w:pPr>
        <w:snapToGrid w:val="0"/>
        <w:spacing w:line="420" w:lineRule="exact"/>
        <w:rPr>
          <w:rFonts w:ascii="宋体" w:hAnsi="宋体" w:cs="楷体"/>
          <w:bCs/>
          <w:sz w:val="22"/>
          <w:szCs w:val="22"/>
          <w:highlight w:val="none"/>
        </w:rPr>
      </w:pPr>
      <w:r>
        <w:rPr>
          <w:rFonts w:hint="eastAsia" w:ascii="宋体" w:hAnsi="宋体" w:cs="楷体"/>
          <w:bCs/>
          <w:sz w:val="22"/>
          <w:szCs w:val="22"/>
          <w:highlight w:val="none"/>
        </w:rPr>
        <w:t>乙方：</w:t>
      </w:r>
      <w:r>
        <w:rPr>
          <w:rFonts w:hint="eastAsia" w:ascii="宋体" w:hAnsi="宋体" w:cs="楷体"/>
          <w:bCs/>
          <w:sz w:val="22"/>
          <w:szCs w:val="22"/>
          <w:highlight w:val="none"/>
          <w:u w:val="single"/>
        </w:rPr>
        <w:t xml:space="preserve">             （中标人）</w:t>
      </w:r>
    </w:p>
    <w:p w14:paraId="5D27E41B">
      <w:pPr>
        <w:spacing w:line="440" w:lineRule="exact"/>
        <w:ind w:firstLine="440" w:firstLineChars="200"/>
        <w:rPr>
          <w:rFonts w:ascii="宋体" w:hAnsi="宋体"/>
          <w:sz w:val="22"/>
          <w:szCs w:val="22"/>
          <w:highlight w:val="none"/>
        </w:rPr>
      </w:pPr>
      <w:bookmarkStart w:id="247" w:name="_Hlk87352936"/>
      <w:r>
        <w:rPr>
          <w:rFonts w:hint="eastAsia" w:ascii="宋体" w:hAnsi="宋体"/>
          <w:sz w:val="22"/>
          <w:szCs w:val="22"/>
          <w:highlight w:val="none"/>
        </w:rPr>
        <w:t>甲、乙双方根据</w:t>
      </w:r>
      <w:r>
        <w:rPr>
          <w:rFonts w:hint="eastAsia" w:ascii="宋体" w:hAnsi="宋体"/>
          <w:sz w:val="22"/>
          <w:szCs w:val="22"/>
          <w:highlight w:val="none"/>
          <w:u w:val="single"/>
          <w:lang w:val="en-US" w:eastAsia="zh-CN"/>
        </w:rPr>
        <w:t xml:space="preserve">                       </w:t>
      </w:r>
      <w:r>
        <w:rPr>
          <w:rFonts w:hint="eastAsia" w:ascii="宋体" w:hAnsi="宋体"/>
          <w:sz w:val="22"/>
          <w:szCs w:val="22"/>
          <w:highlight w:val="none"/>
        </w:rPr>
        <w:t>项目（项目编号：</w:t>
      </w:r>
      <w:r>
        <w:rPr>
          <w:rFonts w:hint="eastAsia" w:ascii="宋体" w:hAnsi="宋体"/>
          <w:sz w:val="22"/>
          <w:szCs w:val="22"/>
          <w:highlight w:val="none"/>
          <w:u w:val="single"/>
        </w:rPr>
        <w:t xml:space="preserve">        </w:t>
      </w:r>
      <w:r>
        <w:rPr>
          <w:rFonts w:hint="eastAsia" w:ascii="宋体" w:hAnsi="宋体"/>
          <w:sz w:val="22"/>
          <w:szCs w:val="22"/>
          <w:highlight w:val="none"/>
        </w:rPr>
        <w:t>）采购结果和</w:t>
      </w:r>
      <w:r>
        <w:rPr>
          <w:rFonts w:hint="eastAsia" w:ascii="宋体" w:hAnsi="宋体"/>
          <w:sz w:val="22"/>
          <w:szCs w:val="22"/>
          <w:highlight w:val="none"/>
          <w:lang w:eastAsia="zh-CN"/>
        </w:rPr>
        <w:t>招标文件</w:t>
      </w:r>
      <w:r>
        <w:rPr>
          <w:rFonts w:hint="eastAsia" w:ascii="宋体" w:hAnsi="宋体"/>
          <w:sz w:val="22"/>
          <w:szCs w:val="22"/>
          <w:highlight w:val="none"/>
        </w:rPr>
        <w:t>的要求，并经双方协调一致，订立本采购合同。</w:t>
      </w:r>
    </w:p>
    <w:p w14:paraId="5E66C2F0">
      <w:pPr>
        <w:spacing w:line="440" w:lineRule="exact"/>
        <w:rPr>
          <w:rFonts w:ascii="宋体" w:hAnsi="宋体"/>
          <w:sz w:val="22"/>
          <w:szCs w:val="22"/>
          <w:highlight w:val="none"/>
        </w:rPr>
      </w:pPr>
      <w:r>
        <w:rPr>
          <w:rFonts w:hint="eastAsia" w:ascii="宋体" w:hAnsi="宋体"/>
          <w:b/>
          <w:sz w:val="22"/>
          <w:szCs w:val="22"/>
          <w:highlight w:val="none"/>
        </w:rPr>
        <w:t>1、合同内容</w:t>
      </w:r>
      <w:r>
        <w:rPr>
          <w:rFonts w:hint="eastAsia" w:ascii="宋体" w:hAnsi="宋体"/>
          <w:sz w:val="22"/>
          <w:szCs w:val="22"/>
          <w:highlight w:val="none"/>
        </w:rPr>
        <w:t>：依据</w:t>
      </w:r>
      <w:r>
        <w:rPr>
          <w:rFonts w:hint="eastAsia" w:ascii="宋体" w:hAnsi="宋体"/>
          <w:sz w:val="22"/>
          <w:szCs w:val="22"/>
          <w:highlight w:val="none"/>
          <w:lang w:eastAsia="zh-CN"/>
        </w:rPr>
        <w:t>招标文件</w:t>
      </w:r>
      <w:r>
        <w:rPr>
          <w:rFonts w:hint="eastAsia" w:ascii="宋体" w:hAnsi="宋体"/>
          <w:sz w:val="22"/>
          <w:szCs w:val="22"/>
          <w:highlight w:val="none"/>
        </w:rPr>
        <w:t>及</w:t>
      </w:r>
      <w:r>
        <w:rPr>
          <w:rFonts w:hint="eastAsia" w:ascii="宋体" w:hAnsi="宋体"/>
          <w:kern w:val="0"/>
          <w:sz w:val="22"/>
          <w:szCs w:val="22"/>
          <w:highlight w:val="none"/>
          <w:lang w:val="zh-CN"/>
        </w:rPr>
        <w:t>采购人</w:t>
      </w:r>
      <w:r>
        <w:rPr>
          <w:rFonts w:hint="eastAsia" w:ascii="宋体" w:hAnsi="宋体"/>
          <w:sz w:val="22"/>
          <w:szCs w:val="22"/>
          <w:highlight w:val="none"/>
        </w:rPr>
        <w:t>规定的服务内容。</w:t>
      </w:r>
    </w:p>
    <w:p w14:paraId="275156F1">
      <w:pPr>
        <w:spacing w:line="440" w:lineRule="exact"/>
        <w:rPr>
          <w:rFonts w:ascii="宋体" w:hAnsi="宋体"/>
          <w:b/>
          <w:sz w:val="22"/>
          <w:szCs w:val="22"/>
          <w:highlight w:val="none"/>
        </w:rPr>
      </w:pPr>
      <w:r>
        <w:rPr>
          <w:rFonts w:hint="eastAsia" w:ascii="宋体" w:hAnsi="宋体"/>
          <w:b/>
          <w:sz w:val="22"/>
          <w:szCs w:val="22"/>
          <w:highlight w:val="none"/>
        </w:rPr>
        <w:t>2、合同价格</w:t>
      </w:r>
    </w:p>
    <w:p w14:paraId="768128A6">
      <w:pPr>
        <w:spacing w:line="440" w:lineRule="exact"/>
        <w:ind w:left="105" w:leftChars="50" w:firstLine="220" w:firstLineChars="100"/>
        <w:rPr>
          <w:rFonts w:ascii="宋体" w:hAnsi="宋体"/>
          <w:sz w:val="22"/>
          <w:szCs w:val="22"/>
          <w:highlight w:val="none"/>
        </w:rPr>
      </w:pPr>
      <w:r>
        <w:rPr>
          <w:rFonts w:hint="eastAsia" w:ascii="宋体" w:hAnsi="宋体"/>
          <w:sz w:val="22"/>
          <w:szCs w:val="22"/>
          <w:highlight w:val="none"/>
        </w:rPr>
        <w:t>人民币</w:t>
      </w:r>
      <w:r>
        <w:rPr>
          <w:rFonts w:hint="eastAsia" w:ascii="宋体" w:hAnsi="宋体"/>
          <w:sz w:val="22"/>
          <w:szCs w:val="22"/>
          <w:highlight w:val="none"/>
          <w:u w:val="single"/>
        </w:rPr>
        <w:t xml:space="preserve">       </w:t>
      </w:r>
      <w:r>
        <w:rPr>
          <w:rFonts w:hint="eastAsia" w:ascii="宋体" w:hAnsi="宋体"/>
          <w:sz w:val="22"/>
          <w:szCs w:val="22"/>
          <w:highlight w:val="none"/>
        </w:rPr>
        <w:t>元，大写：</w:t>
      </w:r>
      <w:r>
        <w:rPr>
          <w:rFonts w:hint="eastAsia" w:ascii="宋体" w:hAnsi="宋体"/>
          <w:sz w:val="22"/>
          <w:szCs w:val="22"/>
          <w:highlight w:val="none"/>
          <w:u w:val="single"/>
        </w:rPr>
        <w:t xml:space="preserve">       </w:t>
      </w:r>
      <w:r>
        <w:rPr>
          <w:rFonts w:hint="eastAsia" w:ascii="宋体" w:hAnsi="宋体"/>
          <w:sz w:val="22"/>
          <w:szCs w:val="22"/>
          <w:highlight w:val="none"/>
        </w:rPr>
        <w:t>元整（已含税），分项单价附后。</w:t>
      </w:r>
    </w:p>
    <w:p w14:paraId="540164FC">
      <w:pPr>
        <w:spacing w:line="440" w:lineRule="exact"/>
        <w:rPr>
          <w:rFonts w:ascii="宋体" w:hAnsi="宋体"/>
          <w:b/>
          <w:sz w:val="22"/>
          <w:szCs w:val="22"/>
          <w:highlight w:val="none"/>
        </w:rPr>
      </w:pPr>
      <w:r>
        <w:rPr>
          <w:rFonts w:hint="eastAsia" w:ascii="宋体" w:hAnsi="宋体"/>
          <w:b/>
          <w:sz w:val="22"/>
          <w:szCs w:val="22"/>
          <w:highlight w:val="none"/>
        </w:rPr>
        <w:t xml:space="preserve">3、合同期限： </w:t>
      </w:r>
    </w:p>
    <w:p w14:paraId="548BFAFA">
      <w:pPr>
        <w:spacing w:line="440" w:lineRule="exact"/>
        <w:ind w:firstLine="442" w:firstLineChars="200"/>
        <w:rPr>
          <w:rFonts w:ascii="宋体" w:hAnsi="宋体"/>
          <w:sz w:val="22"/>
          <w:szCs w:val="22"/>
          <w:highlight w:val="none"/>
        </w:rPr>
      </w:pPr>
      <w:r>
        <w:rPr>
          <w:rFonts w:hint="eastAsia" w:ascii="宋体" w:hAnsi="宋体" w:cs="新宋体"/>
          <w:b/>
          <w:bCs/>
          <w:sz w:val="22"/>
          <w:szCs w:val="22"/>
          <w:highlight w:val="none"/>
        </w:rPr>
        <w:t>本合同服务期限为</w:t>
      </w:r>
      <w:r>
        <w:rPr>
          <w:rFonts w:ascii="宋体" w:hAnsi="宋体" w:cs="新宋体"/>
          <w:b/>
          <w:bCs/>
          <w:sz w:val="22"/>
          <w:szCs w:val="22"/>
          <w:highlight w:val="none"/>
        </w:rPr>
        <w:t>1</w:t>
      </w:r>
      <w:r>
        <w:rPr>
          <w:rFonts w:hint="eastAsia" w:ascii="宋体" w:hAnsi="宋体" w:cs="新宋体"/>
          <w:b/>
          <w:bCs/>
          <w:sz w:val="22"/>
          <w:szCs w:val="22"/>
          <w:highlight w:val="none"/>
        </w:rPr>
        <w:t>年，采用1年+1年方式</w:t>
      </w:r>
      <w:r>
        <w:rPr>
          <w:rFonts w:hint="eastAsia" w:ascii="宋体" w:hAnsi="宋体" w:cs="新宋体"/>
          <w:b/>
          <w:bCs/>
          <w:sz w:val="22"/>
          <w:szCs w:val="22"/>
          <w:highlight w:val="none"/>
          <w:lang w:eastAsia="zh-CN"/>
        </w:rPr>
        <w:t>。</w:t>
      </w:r>
      <w:r>
        <w:rPr>
          <w:rFonts w:hint="eastAsia" w:ascii="宋体" w:hAnsi="宋体" w:cs="新宋体"/>
          <w:sz w:val="22"/>
          <w:szCs w:val="22"/>
          <w:highlight w:val="none"/>
        </w:rPr>
        <w:t>即根据乙方的实施情况及相关服务，在年度预算能够保障的前提下，若乙方</w:t>
      </w:r>
      <w:r>
        <w:rPr>
          <w:rFonts w:hint="eastAsia" w:ascii="宋体" w:hAnsi="宋体" w:cs="新宋体"/>
          <w:sz w:val="22"/>
          <w:szCs w:val="22"/>
          <w:highlight w:val="none"/>
          <w:lang w:val="en-US" w:eastAsia="zh-CN"/>
        </w:rPr>
        <w:t>服务</w:t>
      </w:r>
      <w:r>
        <w:rPr>
          <w:rFonts w:hint="eastAsia" w:ascii="宋体" w:hAnsi="宋体" w:cs="新宋体"/>
          <w:sz w:val="22"/>
          <w:szCs w:val="22"/>
          <w:highlight w:val="none"/>
        </w:rPr>
        <w:t>合格，甲方将决定是否续签合同以延续服务。</w:t>
      </w:r>
      <w:r>
        <w:rPr>
          <w:rFonts w:ascii="宋体" w:hAnsi="宋体" w:cs="新宋体"/>
          <w:sz w:val="22"/>
          <w:szCs w:val="22"/>
          <w:highlight w:val="none"/>
        </w:rPr>
        <w:t>合同可续签至最长</w:t>
      </w:r>
      <w:r>
        <w:rPr>
          <w:rFonts w:hint="eastAsia" w:ascii="宋体" w:hAnsi="宋体" w:cs="新宋体"/>
          <w:sz w:val="22"/>
          <w:szCs w:val="22"/>
          <w:highlight w:val="none"/>
          <w:lang w:val="en-US" w:eastAsia="zh-CN"/>
        </w:rPr>
        <w:t>2</w:t>
      </w:r>
      <w:r>
        <w:rPr>
          <w:rFonts w:ascii="宋体" w:hAnsi="宋体" w:cs="新宋体"/>
          <w:sz w:val="22"/>
          <w:szCs w:val="22"/>
          <w:highlight w:val="none"/>
        </w:rPr>
        <w:t>年，且</w:t>
      </w:r>
      <w:r>
        <w:rPr>
          <w:rFonts w:hint="eastAsia" w:ascii="宋体" w:hAnsi="宋体" w:cs="新宋体"/>
          <w:sz w:val="22"/>
          <w:szCs w:val="22"/>
          <w:highlight w:val="none"/>
        </w:rPr>
        <w:t>续签合同的服务内容、要求和单价不变。即使具备续签条件，甲方仍有权不续签。</w:t>
      </w:r>
    </w:p>
    <w:p w14:paraId="19282416">
      <w:pPr>
        <w:spacing w:line="440" w:lineRule="exact"/>
        <w:rPr>
          <w:rFonts w:ascii="宋体" w:hAnsi="宋体"/>
          <w:b/>
          <w:sz w:val="22"/>
          <w:szCs w:val="22"/>
          <w:highlight w:val="none"/>
        </w:rPr>
      </w:pPr>
      <w:r>
        <w:rPr>
          <w:rFonts w:hint="eastAsia" w:ascii="宋体" w:hAnsi="宋体"/>
          <w:b/>
          <w:sz w:val="22"/>
          <w:szCs w:val="22"/>
          <w:highlight w:val="none"/>
        </w:rPr>
        <w:t>4、工作条件和要求</w:t>
      </w:r>
    </w:p>
    <w:p w14:paraId="33FD1C9C">
      <w:pPr>
        <w:spacing w:line="440" w:lineRule="exact"/>
        <w:ind w:firstLine="440" w:firstLineChars="200"/>
        <w:rPr>
          <w:rFonts w:ascii="宋体" w:hAnsi="宋体"/>
          <w:sz w:val="22"/>
          <w:szCs w:val="22"/>
          <w:highlight w:val="none"/>
        </w:rPr>
      </w:pPr>
      <w:r>
        <w:rPr>
          <w:rFonts w:hint="eastAsia" w:ascii="宋体" w:hAnsi="宋体"/>
          <w:sz w:val="22"/>
          <w:szCs w:val="22"/>
          <w:highlight w:val="none"/>
        </w:rPr>
        <w:t>1.乙方必须对样品的一切检测数据和检测技术要求保密，未经甲方书面同意不得泄露给任何第三方，也不得将与样品有关的技术资料用于任何经营及开发活动。</w:t>
      </w:r>
    </w:p>
    <w:p w14:paraId="103F647E">
      <w:pPr>
        <w:spacing w:line="440" w:lineRule="exact"/>
        <w:ind w:firstLine="440" w:firstLineChars="200"/>
        <w:rPr>
          <w:rFonts w:ascii="宋体" w:hAnsi="宋体"/>
          <w:sz w:val="22"/>
          <w:szCs w:val="22"/>
          <w:highlight w:val="none"/>
        </w:rPr>
      </w:pPr>
      <w:r>
        <w:rPr>
          <w:rFonts w:hint="eastAsia" w:ascii="宋体" w:hAnsi="宋体"/>
          <w:sz w:val="22"/>
          <w:szCs w:val="22"/>
          <w:highlight w:val="none"/>
        </w:rPr>
        <w:t>2.乙方应具备合作项目样品的检测能力和资质，甲方应按照乙方要求提交与检测有关的材料及必要的检测依据或文本。同时，甲方在每次送样时还应与乙方签署《委托检测协议书》。该《委托检测协议书》构成本协议附件，是本协议的组成部分，传真件或电子邮件等形式下单有效。</w:t>
      </w:r>
    </w:p>
    <w:p w14:paraId="6AFEE4C0">
      <w:pPr>
        <w:spacing w:line="440" w:lineRule="exact"/>
        <w:ind w:firstLine="440" w:firstLineChars="200"/>
        <w:rPr>
          <w:rFonts w:ascii="宋体" w:hAnsi="宋体"/>
          <w:spacing w:val="20"/>
          <w:sz w:val="22"/>
          <w:szCs w:val="22"/>
          <w:highlight w:val="none"/>
          <w:u w:val="single"/>
        </w:rPr>
      </w:pPr>
      <w:r>
        <w:rPr>
          <w:rFonts w:hint="eastAsia" w:ascii="宋体" w:hAnsi="宋体"/>
          <w:sz w:val="22"/>
          <w:szCs w:val="22"/>
          <w:highlight w:val="none"/>
        </w:rPr>
        <w:t>3.乙方在样品到达实验室后7-10个工作日内完成检测数据。</w:t>
      </w:r>
    </w:p>
    <w:p w14:paraId="4F9A95AE">
      <w:pPr>
        <w:spacing w:line="440" w:lineRule="exact"/>
        <w:ind w:firstLine="440" w:firstLineChars="200"/>
        <w:rPr>
          <w:rFonts w:ascii="宋体" w:hAnsi="宋体"/>
          <w:sz w:val="22"/>
          <w:szCs w:val="22"/>
          <w:highlight w:val="none"/>
        </w:rPr>
      </w:pPr>
      <w:r>
        <w:rPr>
          <w:rFonts w:hint="eastAsia" w:ascii="宋体" w:hAnsi="宋体"/>
          <w:sz w:val="22"/>
          <w:szCs w:val="22"/>
          <w:highlight w:val="none"/>
        </w:rPr>
        <w:t>4.甲方指定</w:t>
      </w:r>
      <w:r>
        <w:rPr>
          <w:rFonts w:hint="eastAsia" w:ascii="宋体" w:hAnsi="宋体"/>
          <w:sz w:val="22"/>
          <w:szCs w:val="22"/>
          <w:highlight w:val="none"/>
          <w:u w:val="single"/>
        </w:rPr>
        <w:t xml:space="preserve">            </w:t>
      </w:r>
      <w:r>
        <w:rPr>
          <w:rFonts w:hint="eastAsia" w:ascii="宋体" w:hAnsi="宋体"/>
          <w:sz w:val="22"/>
          <w:szCs w:val="22"/>
          <w:highlight w:val="none"/>
        </w:rPr>
        <w:t>共</w:t>
      </w:r>
      <w:r>
        <w:rPr>
          <w:rFonts w:hint="eastAsia" w:ascii="宋体" w:hAnsi="宋体"/>
          <w:sz w:val="22"/>
          <w:szCs w:val="22"/>
          <w:highlight w:val="none"/>
          <w:u w:val="single"/>
        </w:rPr>
        <w:t xml:space="preserve">   </w:t>
      </w:r>
      <w:r>
        <w:rPr>
          <w:rFonts w:hint="eastAsia" w:ascii="宋体" w:hAnsi="宋体"/>
          <w:sz w:val="22"/>
          <w:szCs w:val="22"/>
          <w:highlight w:val="none"/>
        </w:rPr>
        <w:t>人作为本协议项目联系人，项目联系人签署的《委托检测协议书》代表甲方的真实意思表示，具有法律效力。该项目联系人如发生变更等情况，甲方应于变更前3日将变更情况书面或电子邮件形式通知乙方，乙方将作出相应客户记录变更，否则，甲方项目联系人签署或指定的委托检测视为订单生成有效，如由此产生的不利后果均由甲方承担。</w:t>
      </w:r>
    </w:p>
    <w:p w14:paraId="786D1ED5">
      <w:pPr>
        <w:spacing w:line="440" w:lineRule="exact"/>
        <w:ind w:firstLine="440" w:firstLineChars="200"/>
        <w:rPr>
          <w:rFonts w:ascii="宋体" w:hAnsi="宋体"/>
          <w:sz w:val="22"/>
          <w:szCs w:val="22"/>
          <w:highlight w:val="none"/>
        </w:rPr>
      </w:pPr>
      <w:r>
        <w:rPr>
          <w:rFonts w:hint="eastAsia" w:ascii="宋体" w:hAnsi="宋体"/>
          <w:sz w:val="22"/>
          <w:szCs w:val="22"/>
          <w:highlight w:val="none"/>
        </w:rPr>
        <w:t>5.乙方应按照专业操守尽其所能，按甲方的要求完成分析测试任务，并向甲方出具检测报告。在甲方与未签署长期协议的第三方同等的条件下，乙方应优先完成对甲方的测试任务。</w:t>
      </w:r>
    </w:p>
    <w:p w14:paraId="0D44BD6E">
      <w:pPr>
        <w:spacing w:line="440" w:lineRule="exact"/>
        <w:ind w:firstLine="440" w:firstLineChars="200"/>
        <w:rPr>
          <w:rFonts w:ascii="宋体" w:hAnsi="宋体"/>
          <w:sz w:val="22"/>
          <w:szCs w:val="22"/>
          <w:highlight w:val="none"/>
        </w:rPr>
      </w:pPr>
      <w:r>
        <w:rPr>
          <w:rFonts w:hint="eastAsia" w:ascii="宋体" w:hAnsi="宋体"/>
          <w:sz w:val="22"/>
          <w:szCs w:val="22"/>
          <w:highlight w:val="none"/>
        </w:rPr>
        <w:t>6.甲方对提供样品资料的真实性和样品的代表性负责。甲方对检测结果若有异议，可于收到《检测报告》之日起十五日内向乙方提出复检，复检费用另行结算，样品因客观特性不能复检的或双方已约定不复检的除外。如甲方未在十五日内提出复检要求，视为甲方已经认可乙方的检测结果。乙方可不再保留甲方的检测样品，并可自行合理处置，如有其他约定的，按双方约定办理。</w:t>
      </w:r>
    </w:p>
    <w:p w14:paraId="2123D5BE">
      <w:pPr>
        <w:spacing w:line="440" w:lineRule="exact"/>
        <w:rPr>
          <w:rFonts w:ascii="宋体" w:hAnsi="宋体"/>
          <w:b/>
          <w:sz w:val="22"/>
          <w:szCs w:val="22"/>
          <w:highlight w:val="none"/>
        </w:rPr>
      </w:pPr>
      <w:r>
        <w:rPr>
          <w:rFonts w:hint="eastAsia" w:ascii="宋体" w:hAnsi="宋体"/>
          <w:b/>
          <w:sz w:val="22"/>
          <w:szCs w:val="22"/>
          <w:highlight w:val="none"/>
        </w:rPr>
        <w:t>5、检测费用及其支付方式</w:t>
      </w:r>
    </w:p>
    <w:p w14:paraId="76CB9703">
      <w:pPr>
        <w:spacing w:line="440" w:lineRule="exact"/>
        <w:ind w:firstLine="440" w:firstLineChars="200"/>
        <w:rPr>
          <w:rFonts w:ascii="宋体" w:hAnsi="宋体"/>
          <w:sz w:val="22"/>
          <w:szCs w:val="22"/>
          <w:highlight w:val="none"/>
        </w:rPr>
      </w:pPr>
      <w:r>
        <w:rPr>
          <w:rFonts w:hint="eastAsia" w:ascii="宋体" w:hAnsi="宋体"/>
          <w:sz w:val="22"/>
          <w:szCs w:val="22"/>
          <w:highlight w:val="none"/>
        </w:rPr>
        <w:t>乙方按照附件中有关规定或双方协议优惠收取甲方检测费用，甲方选择按下列第</w:t>
      </w:r>
      <w:r>
        <w:rPr>
          <w:rFonts w:hint="eastAsia" w:ascii="宋体" w:hAnsi="宋体"/>
          <w:sz w:val="22"/>
          <w:szCs w:val="22"/>
          <w:highlight w:val="none"/>
          <w:u w:val="single"/>
        </w:rPr>
        <w:t xml:space="preserve"> 叁  </w:t>
      </w:r>
      <w:r>
        <w:rPr>
          <w:rFonts w:hint="eastAsia" w:ascii="宋体" w:hAnsi="宋体"/>
          <w:sz w:val="22"/>
          <w:szCs w:val="22"/>
          <w:highlight w:val="none"/>
        </w:rPr>
        <w:t>种方式结算。（如本项未选择则为按次结算）</w:t>
      </w:r>
    </w:p>
    <w:p w14:paraId="7B6D48BF">
      <w:pPr>
        <w:spacing w:line="440" w:lineRule="exact"/>
        <w:ind w:firstLine="440" w:firstLineChars="200"/>
        <w:rPr>
          <w:rFonts w:ascii="宋体" w:hAnsi="宋体"/>
          <w:sz w:val="22"/>
          <w:szCs w:val="22"/>
          <w:highlight w:val="none"/>
        </w:rPr>
      </w:pPr>
      <w:r>
        <w:rPr>
          <w:rFonts w:hint="eastAsia" w:ascii="宋体" w:hAnsi="宋体"/>
          <w:sz w:val="22"/>
          <w:szCs w:val="22"/>
          <w:highlight w:val="none"/>
        </w:rPr>
        <w:t>壹、按次结算。甲方保证检测样品到达乙方后1个工作日内付清检测费用。</w:t>
      </w:r>
    </w:p>
    <w:p w14:paraId="2A8CAE91">
      <w:pPr>
        <w:spacing w:line="440" w:lineRule="exact"/>
        <w:ind w:firstLine="440" w:firstLineChars="200"/>
        <w:rPr>
          <w:rFonts w:ascii="宋体" w:hAnsi="宋体"/>
          <w:sz w:val="22"/>
          <w:szCs w:val="22"/>
          <w:highlight w:val="none"/>
        </w:rPr>
      </w:pPr>
      <w:r>
        <w:rPr>
          <w:rFonts w:hint="eastAsia" w:ascii="宋体" w:hAnsi="宋体"/>
          <w:sz w:val="22"/>
          <w:szCs w:val="22"/>
          <w:highlight w:val="none"/>
        </w:rPr>
        <w:t>贰、每月结算一次且必须在下月10号之前结清上月检测费用。</w:t>
      </w:r>
    </w:p>
    <w:p w14:paraId="7211A8CB">
      <w:pPr>
        <w:spacing w:line="440" w:lineRule="exact"/>
        <w:ind w:firstLine="440" w:firstLineChars="200"/>
        <w:rPr>
          <w:rFonts w:ascii="宋体" w:hAnsi="宋体"/>
          <w:sz w:val="22"/>
          <w:szCs w:val="22"/>
          <w:highlight w:val="none"/>
        </w:rPr>
      </w:pPr>
      <w:r>
        <w:rPr>
          <w:rFonts w:hint="eastAsia" w:ascii="宋体" w:hAnsi="宋体"/>
          <w:sz w:val="22"/>
          <w:szCs w:val="22"/>
          <w:highlight w:val="none"/>
        </w:rPr>
        <w:t>叁、双方约定的其它结算方式：</w:t>
      </w:r>
    </w:p>
    <w:p w14:paraId="2A8575D3">
      <w:pPr>
        <w:spacing w:line="440" w:lineRule="exact"/>
        <w:ind w:firstLine="442" w:firstLineChars="200"/>
        <w:rPr>
          <w:rFonts w:ascii="宋体" w:hAnsi="宋体"/>
          <w:b/>
          <w:bCs/>
          <w:sz w:val="22"/>
          <w:szCs w:val="22"/>
          <w:highlight w:val="none"/>
          <w:u w:val="single"/>
        </w:rPr>
      </w:pPr>
      <w:r>
        <w:rPr>
          <w:rFonts w:hint="eastAsia" w:ascii="宋体" w:hAnsi="宋体"/>
          <w:b/>
          <w:bCs/>
          <w:sz w:val="22"/>
          <w:szCs w:val="22"/>
          <w:highlight w:val="none"/>
          <w:u w:val="single"/>
        </w:rPr>
        <w:t>本项目不收取履约保证金。甲方在合同签订且具备实施条件后7个工作日内向乙方支付合同总价款的</w:t>
      </w:r>
      <w:r>
        <w:rPr>
          <w:rFonts w:ascii="宋体" w:hAnsi="宋体"/>
          <w:b/>
          <w:bCs/>
          <w:sz w:val="22"/>
          <w:szCs w:val="22"/>
          <w:highlight w:val="none"/>
          <w:u w:val="single"/>
        </w:rPr>
        <w:t>4</w:t>
      </w:r>
      <w:r>
        <w:rPr>
          <w:rFonts w:hint="eastAsia" w:ascii="宋体" w:hAnsi="宋体"/>
          <w:b/>
          <w:bCs/>
          <w:sz w:val="22"/>
          <w:szCs w:val="22"/>
          <w:highlight w:val="none"/>
          <w:u w:val="single"/>
        </w:rPr>
        <w:t>0%作为预付款，甲方在</w:t>
      </w:r>
      <w:r>
        <w:rPr>
          <w:rFonts w:ascii="宋体" w:hAnsi="宋体"/>
          <w:b/>
          <w:bCs/>
          <w:sz w:val="22"/>
          <w:szCs w:val="22"/>
          <w:highlight w:val="none"/>
          <w:u w:val="single"/>
        </w:rPr>
        <w:t xml:space="preserve">202  </w:t>
      </w:r>
      <w:r>
        <w:rPr>
          <w:rFonts w:hint="eastAsia" w:ascii="宋体" w:hAnsi="宋体"/>
          <w:b/>
          <w:bCs/>
          <w:sz w:val="22"/>
          <w:szCs w:val="22"/>
          <w:highlight w:val="none"/>
          <w:u w:val="single"/>
        </w:rPr>
        <w:t>年  月  日之前结清本年检测费用（财政资金到位后支付）。</w:t>
      </w:r>
    </w:p>
    <w:p w14:paraId="5D05DFB7">
      <w:pPr>
        <w:spacing w:line="440" w:lineRule="exact"/>
        <w:ind w:firstLine="442" w:firstLineChars="200"/>
        <w:rPr>
          <w:rFonts w:ascii="宋体" w:hAnsi="宋体"/>
          <w:b/>
          <w:bCs/>
          <w:sz w:val="22"/>
          <w:szCs w:val="22"/>
          <w:highlight w:val="none"/>
          <w:u w:val="single"/>
        </w:rPr>
      </w:pPr>
      <w:r>
        <w:rPr>
          <w:rFonts w:hint="eastAsia" w:ascii="宋体" w:hAnsi="宋体"/>
          <w:b/>
          <w:bCs/>
          <w:sz w:val="22"/>
          <w:szCs w:val="22"/>
          <w:highlight w:val="none"/>
          <w:u w:val="single"/>
        </w:rPr>
        <w:t>备注：签订合同时，中标供应商明确表示无需预付款或者主动要求降低预付款比例的，合同中可另行约定。</w:t>
      </w:r>
    </w:p>
    <w:p w14:paraId="456454EF">
      <w:pPr>
        <w:spacing w:line="440" w:lineRule="exact"/>
        <w:ind w:firstLine="440" w:firstLineChars="200"/>
        <w:rPr>
          <w:rFonts w:ascii="宋体" w:hAnsi="宋体"/>
          <w:sz w:val="22"/>
          <w:szCs w:val="22"/>
          <w:highlight w:val="none"/>
        </w:rPr>
      </w:pPr>
      <w:r>
        <w:rPr>
          <w:rFonts w:hint="eastAsia" w:ascii="宋体" w:hAnsi="宋体"/>
          <w:sz w:val="22"/>
          <w:szCs w:val="22"/>
          <w:highlight w:val="none"/>
        </w:rPr>
        <w:t>结算费用时可以用支票或银行转账方式支付，甲方收到正式发票后</w:t>
      </w:r>
      <w:r>
        <w:rPr>
          <w:rFonts w:ascii="宋体" w:hAnsi="宋体"/>
          <w:sz w:val="22"/>
          <w:szCs w:val="22"/>
          <w:highlight w:val="none"/>
        </w:rPr>
        <w:t>7</w:t>
      </w:r>
      <w:r>
        <w:rPr>
          <w:rFonts w:hint="eastAsia" w:ascii="宋体" w:hAnsi="宋体"/>
          <w:sz w:val="22"/>
          <w:szCs w:val="22"/>
          <w:highlight w:val="none"/>
        </w:rPr>
        <w:t>个工作日内结算费用。检测样品、检测报告及发票等可以通过特快专递等方式递送。</w:t>
      </w:r>
      <w:r>
        <w:rPr>
          <w:rFonts w:hint="eastAsia" w:ascii="宋体" w:hAnsi="宋体"/>
          <w:b/>
          <w:sz w:val="22"/>
          <w:szCs w:val="22"/>
          <w:highlight w:val="none"/>
          <w:u w:val="single"/>
        </w:rPr>
        <w:t>以上合同款的具体支付时间以财政审核及支付时间为准。</w:t>
      </w:r>
    </w:p>
    <w:p w14:paraId="351B2C6B">
      <w:pPr>
        <w:spacing w:line="440" w:lineRule="exact"/>
        <w:rPr>
          <w:rFonts w:ascii="宋体" w:hAnsi="宋体"/>
          <w:b/>
          <w:sz w:val="22"/>
          <w:szCs w:val="22"/>
          <w:highlight w:val="none"/>
        </w:rPr>
      </w:pPr>
      <w:r>
        <w:rPr>
          <w:rFonts w:hint="eastAsia" w:ascii="宋体" w:hAnsi="宋体"/>
          <w:b/>
          <w:sz w:val="22"/>
          <w:szCs w:val="22"/>
          <w:highlight w:val="none"/>
        </w:rPr>
        <w:t>6、甲乙双方的责任与义务</w:t>
      </w:r>
    </w:p>
    <w:p w14:paraId="6E83C54F">
      <w:pPr>
        <w:spacing w:line="440" w:lineRule="exact"/>
        <w:ind w:firstLine="440" w:firstLineChars="200"/>
        <w:rPr>
          <w:rFonts w:ascii="宋体" w:hAnsi="宋体"/>
          <w:sz w:val="22"/>
          <w:szCs w:val="22"/>
          <w:highlight w:val="none"/>
        </w:rPr>
      </w:pPr>
      <w:r>
        <w:rPr>
          <w:rFonts w:hint="eastAsia" w:ascii="宋体" w:hAnsi="宋体"/>
          <w:sz w:val="22"/>
          <w:szCs w:val="22"/>
          <w:highlight w:val="none"/>
        </w:rPr>
        <w:t>1.乙方现告知甲方，乙方与其雇员已经签有知识产权及商业秘密保护、竞业禁止协议的事实，因此甲方同意绝不直接或间接引诱、帮助或促使乙方的雇员违反前述协议的应有法律真意，否则，甲方与乙方的雇员共同向乙方承担连带责任。</w:t>
      </w:r>
    </w:p>
    <w:p w14:paraId="503549A1">
      <w:pPr>
        <w:spacing w:line="440" w:lineRule="exact"/>
        <w:ind w:firstLine="440" w:firstLineChars="200"/>
        <w:rPr>
          <w:rFonts w:ascii="宋体" w:hAnsi="宋体"/>
          <w:sz w:val="22"/>
          <w:szCs w:val="22"/>
          <w:highlight w:val="none"/>
          <w:u w:val="single"/>
        </w:rPr>
      </w:pPr>
      <w:r>
        <w:rPr>
          <w:rFonts w:hint="eastAsia" w:ascii="宋体" w:hAnsi="宋体"/>
          <w:sz w:val="22"/>
          <w:szCs w:val="22"/>
          <w:highlight w:val="none"/>
        </w:rPr>
        <w:t>2．基于乙方所属行业所需的技术和保密等特殊性，甲方同意在本协议有效期内至协议终止后的一年内，不直接或间接聘用乙方雇员、或介绍乙方雇员到第三方任职、或诱使乙方雇员直接或间接投资、经营与乙方经营范围相同或近似的业务，否则，甲方在此期间因此员工所得全部收益归乙方所有，同时乙方有权要求甲方支付不低于壹拾万元的违约金。</w:t>
      </w:r>
    </w:p>
    <w:p w14:paraId="27568EEA">
      <w:pPr>
        <w:spacing w:line="440" w:lineRule="exact"/>
        <w:rPr>
          <w:rFonts w:ascii="宋体" w:hAnsi="宋体"/>
          <w:b/>
          <w:sz w:val="22"/>
          <w:szCs w:val="22"/>
          <w:highlight w:val="none"/>
        </w:rPr>
      </w:pPr>
      <w:r>
        <w:rPr>
          <w:rFonts w:hint="eastAsia" w:ascii="宋体" w:hAnsi="宋体"/>
          <w:b/>
          <w:sz w:val="22"/>
          <w:szCs w:val="22"/>
          <w:highlight w:val="none"/>
        </w:rPr>
        <w:t>7、违约责任</w:t>
      </w:r>
    </w:p>
    <w:p w14:paraId="3EB5704A">
      <w:pPr>
        <w:spacing w:line="440" w:lineRule="exact"/>
        <w:ind w:firstLine="440" w:firstLineChars="200"/>
        <w:rPr>
          <w:rFonts w:ascii="宋体" w:hAnsi="宋体"/>
          <w:sz w:val="22"/>
          <w:szCs w:val="22"/>
          <w:highlight w:val="none"/>
        </w:rPr>
      </w:pPr>
      <w:r>
        <w:rPr>
          <w:rFonts w:hint="eastAsia" w:ascii="宋体" w:hAnsi="宋体"/>
          <w:sz w:val="22"/>
          <w:szCs w:val="22"/>
          <w:highlight w:val="none"/>
        </w:rPr>
        <w:t>1．各方应当认真履行本协议下的各项义务。</w:t>
      </w:r>
    </w:p>
    <w:p w14:paraId="51A19316">
      <w:pPr>
        <w:spacing w:line="440" w:lineRule="exact"/>
        <w:ind w:firstLine="440" w:firstLineChars="200"/>
        <w:rPr>
          <w:rFonts w:ascii="宋体" w:hAnsi="宋体"/>
          <w:sz w:val="22"/>
          <w:szCs w:val="22"/>
          <w:highlight w:val="none"/>
        </w:rPr>
      </w:pPr>
      <w:r>
        <w:rPr>
          <w:rFonts w:hint="eastAsia" w:ascii="宋体" w:hAnsi="宋体"/>
          <w:sz w:val="22"/>
          <w:szCs w:val="22"/>
          <w:highlight w:val="none"/>
        </w:rPr>
        <w:t>2．甲方如连续两次以上未按照双方约定的天/月/季等时限条件付款，甲方再次送检则付款方式自动变更为按次结算，先付费后检测。甲方说明后，经乙方书面或电子邮件确认可恢复本协议约定付款方式，否则，按次结算的付款方式长期有效。</w:t>
      </w:r>
    </w:p>
    <w:p w14:paraId="3E94826B">
      <w:pPr>
        <w:spacing w:line="440" w:lineRule="exact"/>
        <w:ind w:firstLine="440" w:firstLineChars="200"/>
        <w:rPr>
          <w:rFonts w:ascii="宋体" w:hAnsi="宋体"/>
          <w:sz w:val="22"/>
          <w:szCs w:val="22"/>
          <w:highlight w:val="none"/>
        </w:rPr>
      </w:pPr>
      <w:r>
        <w:rPr>
          <w:rFonts w:hint="eastAsia" w:ascii="宋体" w:hAnsi="宋体"/>
          <w:bCs/>
          <w:sz w:val="22"/>
          <w:szCs w:val="22"/>
          <w:highlight w:val="none"/>
        </w:rPr>
        <w:t>3．</w:t>
      </w:r>
      <w:r>
        <w:rPr>
          <w:rFonts w:hint="eastAsia" w:ascii="宋体" w:hAnsi="宋体"/>
          <w:sz w:val="22"/>
          <w:szCs w:val="22"/>
          <w:highlight w:val="none"/>
        </w:rPr>
        <w:t>乙方只对甲方送检的样品自身的检测结果负责，由于样品的检测结果与样品所代表的同种产品物质真实情况存在的客观误差,所引发的一切法律后果由甲方自行承担；如因乙方过错导致样品的检测结果与样品的真实情况超过正常的客观误差范围，乙方承担此样品此检测项目的二倍检测费用的赔偿责任,除此之外，乙方对其它任何原因导致的检测结果误差及检测结果的使用不承担任何法律责任。</w:t>
      </w:r>
    </w:p>
    <w:p w14:paraId="625C0B06">
      <w:pPr>
        <w:spacing w:line="440" w:lineRule="exact"/>
        <w:rPr>
          <w:rFonts w:ascii="宋体" w:hAnsi="宋体"/>
          <w:b/>
          <w:sz w:val="22"/>
          <w:szCs w:val="22"/>
          <w:highlight w:val="none"/>
        </w:rPr>
      </w:pPr>
      <w:r>
        <w:rPr>
          <w:rFonts w:hint="eastAsia" w:ascii="宋体" w:hAnsi="宋体"/>
          <w:b/>
          <w:sz w:val="22"/>
          <w:szCs w:val="22"/>
          <w:highlight w:val="none"/>
        </w:rPr>
        <w:t>8、适用法律及仲裁</w:t>
      </w:r>
    </w:p>
    <w:p w14:paraId="001FE250">
      <w:pPr>
        <w:spacing w:line="440" w:lineRule="exact"/>
        <w:ind w:firstLine="440" w:firstLineChars="200"/>
        <w:rPr>
          <w:rFonts w:ascii="宋体" w:hAnsi="宋体"/>
          <w:sz w:val="22"/>
          <w:szCs w:val="22"/>
          <w:highlight w:val="none"/>
        </w:rPr>
      </w:pPr>
      <w:r>
        <w:rPr>
          <w:rFonts w:hint="eastAsia" w:ascii="宋体" w:hAnsi="宋体"/>
          <w:sz w:val="22"/>
          <w:szCs w:val="22"/>
          <w:highlight w:val="none"/>
        </w:rPr>
        <w:t>本协议适用中华人民共和国法律和法规。如双方约定之内容与国家法律相抵触时，可依法经协商一致后变更本协议。</w:t>
      </w:r>
    </w:p>
    <w:p w14:paraId="6239D793">
      <w:pPr>
        <w:spacing w:line="440" w:lineRule="exact"/>
        <w:ind w:firstLine="440" w:firstLineChars="200"/>
        <w:rPr>
          <w:rFonts w:ascii="宋体" w:hAnsi="宋体"/>
          <w:sz w:val="22"/>
          <w:szCs w:val="22"/>
          <w:highlight w:val="none"/>
        </w:rPr>
      </w:pPr>
      <w:r>
        <w:rPr>
          <w:rFonts w:hint="eastAsia" w:ascii="宋体" w:hAnsi="宋体"/>
          <w:sz w:val="22"/>
          <w:szCs w:val="22"/>
          <w:highlight w:val="none"/>
        </w:rPr>
        <w:t>在履行本协议的过程中，双方当事人因本协议或其附件发生任何争议，双方应尽最大努力友好协商解决。如协商未果，应向温州仲裁委员会(“仲裁委”)提出申请，请求根据仲裁委的仲裁规则进行仲裁。</w:t>
      </w:r>
    </w:p>
    <w:p w14:paraId="60100B4D">
      <w:pPr>
        <w:spacing w:line="440" w:lineRule="exact"/>
        <w:rPr>
          <w:rFonts w:ascii="宋体" w:hAnsi="宋体"/>
          <w:b/>
          <w:sz w:val="22"/>
          <w:szCs w:val="22"/>
          <w:highlight w:val="none"/>
        </w:rPr>
      </w:pPr>
      <w:r>
        <w:rPr>
          <w:rFonts w:hint="eastAsia" w:ascii="宋体" w:hAnsi="宋体"/>
          <w:b/>
          <w:sz w:val="22"/>
          <w:szCs w:val="22"/>
          <w:highlight w:val="none"/>
        </w:rPr>
        <w:t>9、协议的生效、变更</w:t>
      </w:r>
    </w:p>
    <w:p w14:paraId="628E7C96">
      <w:pPr>
        <w:spacing w:line="440" w:lineRule="exact"/>
        <w:ind w:firstLine="440" w:firstLineChars="200"/>
        <w:rPr>
          <w:rFonts w:ascii="宋体" w:hAnsi="宋体"/>
          <w:sz w:val="22"/>
          <w:szCs w:val="22"/>
          <w:highlight w:val="none"/>
        </w:rPr>
      </w:pPr>
      <w:r>
        <w:rPr>
          <w:rFonts w:hint="eastAsia" w:ascii="宋体" w:hAnsi="宋体"/>
          <w:sz w:val="22"/>
          <w:szCs w:val="22"/>
          <w:highlight w:val="none"/>
        </w:rPr>
        <w:t>本协议自双方正式签订时生效，有效期</w:t>
      </w:r>
      <w:r>
        <w:rPr>
          <w:rFonts w:hint="eastAsia" w:ascii="宋体" w:hAnsi="宋体"/>
          <w:sz w:val="22"/>
          <w:szCs w:val="22"/>
          <w:highlight w:val="none"/>
          <w:u w:val="single"/>
        </w:rPr>
        <w:t xml:space="preserve"> 一  </w:t>
      </w:r>
      <w:r>
        <w:rPr>
          <w:rFonts w:hint="eastAsia" w:ascii="宋体" w:hAnsi="宋体"/>
          <w:sz w:val="22"/>
          <w:szCs w:val="22"/>
          <w:highlight w:val="none"/>
        </w:rPr>
        <w:t>年。有效期内双方不得单方面改变或终止协议的执行。</w:t>
      </w:r>
    </w:p>
    <w:p w14:paraId="0F4E6AC0">
      <w:pPr>
        <w:spacing w:line="440" w:lineRule="exact"/>
        <w:ind w:firstLine="440" w:firstLineChars="200"/>
        <w:rPr>
          <w:rFonts w:ascii="宋体" w:hAnsi="宋体"/>
          <w:sz w:val="22"/>
          <w:szCs w:val="22"/>
          <w:highlight w:val="none"/>
        </w:rPr>
      </w:pPr>
      <w:r>
        <w:rPr>
          <w:rFonts w:hint="eastAsia" w:ascii="宋体" w:hAnsi="宋体"/>
          <w:sz w:val="22"/>
          <w:szCs w:val="22"/>
          <w:highlight w:val="none"/>
        </w:rPr>
        <w:t>任何一方对于由以下不可控制的原因造成的延迟交付或履行不能均不负有法律责任，双方应共同协商变更或者解除本协议；</w:t>
      </w:r>
    </w:p>
    <w:p w14:paraId="4E61FC93">
      <w:pPr>
        <w:spacing w:line="440" w:lineRule="exact"/>
        <w:ind w:firstLine="440" w:firstLineChars="200"/>
        <w:rPr>
          <w:rFonts w:ascii="宋体" w:hAnsi="宋体"/>
          <w:sz w:val="22"/>
          <w:szCs w:val="22"/>
          <w:highlight w:val="none"/>
        </w:rPr>
      </w:pPr>
      <w:r>
        <w:rPr>
          <w:rFonts w:hint="eastAsia" w:ascii="宋体" w:hAnsi="宋体"/>
          <w:sz w:val="22"/>
          <w:szCs w:val="22"/>
          <w:highlight w:val="none"/>
        </w:rPr>
        <w:t>（1）战争或军事行为；</w:t>
      </w:r>
    </w:p>
    <w:p w14:paraId="20236F6B">
      <w:pPr>
        <w:spacing w:line="440" w:lineRule="exact"/>
        <w:ind w:firstLine="440" w:firstLineChars="200"/>
        <w:rPr>
          <w:rFonts w:ascii="宋体" w:hAnsi="宋体"/>
          <w:sz w:val="22"/>
          <w:szCs w:val="22"/>
          <w:highlight w:val="none"/>
        </w:rPr>
      </w:pPr>
      <w:r>
        <w:rPr>
          <w:rFonts w:hint="eastAsia" w:ascii="宋体" w:hAnsi="宋体"/>
          <w:sz w:val="22"/>
          <w:szCs w:val="22"/>
          <w:highlight w:val="none"/>
        </w:rPr>
        <w:t>（2）自然灾害，包括但不限于洪水、旱灾、台风、地震、火灾等；</w:t>
      </w:r>
    </w:p>
    <w:p w14:paraId="0A761173">
      <w:pPr>
        <w:spacing w:line="440" w:lineRule="exact"/>
        <w:ind w:firstLine="440" w:firstLineChars="200"/>
        <w:rPr>
          <w:rFonts w:ascii="宋体" w:hAnsi="宋体"/>
          <w:sz w:val="22"/>
          <w:szCs w:val="22"/>
          <w:highlight w:val="none"/>
        </w:rPr>
      </w:pPr>
      <w:r>
        <w:rPr>
          <w:rFonts w:hint="eastAsia" w:ascii="宋体" w:hAnsi="宋体"/>
          <w:sz w:val="22"/>
          <w:szCs w:val="22"/>
          <w:highlight w:val="none"/>
        </w:rPr>
        <w:t>（3）集体罢工或暴乱；</w:t>
      </w:r>
    </w:p>
    <w:p w14:paraId="6E881761">
      <w:pPr>
        <w:spacing w:line="440" w:lineRule="exact"/>
        <w:ind w:firstLine="440" w:firstLineChars="200"/>
        <w:rPr>
          <w:rFonts w:ascii="宋体" w:hAnsi="宋体"/>
          <w:sz w:val="22"/>
          <w:szCs w:val="22"/>
          <w:highlight w:val="none"/>
        </w:rPr>
      </w:pPr>
      <w:r>
        <w:rPr>
          <w:rFonts w:hint="eastAsia" w:ascii="宋体" w:hAnsi="宋体"/>
          <w:sz w:val="22"/>
          <w:szCs w:val="22"/>
          <w:highlight w:val="none"/>
        </w:rPr>
        <w:t>（4）国际制裁。</w:t>
      </w:r>
    </w:p>
    <w:p w14:paraId="75F5E3B0">
      <w:pPr>
        <w:spacing w:line="440" w:lineRule="exact"/>
        <w:rPr>
          <w:rFonts w:ascii="宋体" w:hAnsi="宋体"/>
          <w:b/>
          <w:sz w:val="22"/>
          <w:szCs w:val="22"/>
          <w:highlight w:val="none"/>
        </w:rPr>
      </w:pPr>
      <w:r>
        <w:rPr>
          <w:rFonts w:hint="eastAsia" w:ascii="宋体" w:hAnsi="宋体"/>
          <w:b/>
          <w:sz w:val="22"/>
          <w:szCs w:val="22"/>
          <w:highlight w:val="none"/>
        </w:rPr>
        <w:t>10、协议的终止</w:t>
      </w:r>
    </w:p>
    <w:p w14:paraId="752CD617">
      <w:pPr>
        <w:spacing w:line="440" w:lineRule="exact"/>
        <w:ind w:firstLine="440" w:firstLineChars="200"/>
        <w:rPr>
          <w:rFonts w:ascii="宋体" w:hAnsi="宋体"/>
          <w:sz w:val="22"/>
          <w:szCs w:val="22"/>
          <w:highlight w:val="none"/>
        </w:rPr>
      </w:pPr>
      <w:r>
        <w:rPr>
          <w:rFonts w:hint="eastAsia" w:ascii="宋体" w:hAnsi="宋体"/>
          <w:sz w:val="22"/>
          <w:szCs w:val="22"/>
          <w:highlight w:val="none"/>
        </w:rPr>
        <w:t>本协议于期满或经双方协商一致解除后终止。本协议的终止将不影响双方之间已有的其它协议/合同的效力。</w:t>
      </w:r>
    </w:p>
    <w:p w14:paraId="541E13A2">
      <w:pPr>
        <w:spacing w:line="440" w:lineRule="exact"/>
        <w:rPr>
          <w:rFonts w:ascii="宋体" w:hAnsi="宋体"/>
          <w:b/>
          <w:sz w:val="22"/>
          <w:szCs w:val="22"/>
          <w:highlight w:val="none"/>
        </w:rPr>
      </w:pPr>
      <w:r>
        <w:rPr>
          <w:rFonts w:hint="eastAsia" w:ascii="宋体" w:hAnsi="宋体"/>
          <w:b/>
          <w:sz w:val="22"/>
          <w:szCs w:val="22"/>
          <w:highlight w:val="none"/>
        </w:rPr>
        <w:t>11、争议解决</w:t>
      </w:r>
    </w:p>
    <w:p w14:paraId="20E4219E">
      <w:pPr>
        <w:tabs>
          <w:tab w:val="left" w:pos="1080"/>
        </w:tabs>
        <w:spacing w:line="440" w:lineRule="exact"/>
        <w:ind w:left="328" w:leftChars="156"/>
        <w:rPr>
          <w:rFonts w:ascii="宋体" w:hAnsi="宋体"/>
          <w:sz w:val="22"/>
          <w:szCs w:val="22"/>
          <w:highlight w:val="none"/>
        </w:rPr>
      </w:pPr>
      <w:r>
        <w:rPr>
          <w:rFonts w:hint="eastAsia" w:ascii="宋体" w:hAnsi="宋体"/>
          <w:sz w:val="22"/>
          <w:szCs w:val="22"/>
          <w:highlight w:val="none"/>
        </w:rPr>
        <w:t>凡由本合同引起的或与解释或执行本合同有关的任何争议，双方应首先通过友好协商或调解解决。若协商或调解不成，双方约定：向温州仲裁委员会申请仲裁，仲裁应依据该委员会当时的仲裁规则进行；仲裁裁决是终局的，对双方都有约束力；仲裁费用应由败诉方承担，除非仲裁裁决另有裁定。</w:t>
      </w:r>
    </w:p>
    <w:p w14:paraId="6AEA7639">
      <w:pPr>
        <w:spacing w:line="440" w:lineRule="exact"/>
        <w:rPr>
          <w:rFonts w:ascii="宋体" w:hAnsi="宋体"/>
          <w:b/>
          <w:sz w:val="22"/>
          <w:szCs w:val="22"/>
          <w:highlight w:val="none"/>
        </w:rPr>
      </w:pPr>
      <w:r>
        <w:rPr>
          <w:rFonts w:hint="eastAsia" w:ascii="宋体" w:hAnsi="宋体"/>
          <w:b/>
          <w:sz w:val="22"/>
          <w:szCs w:val="22"/>
          <w:highlight w:val="none"/>
        </w:rPr>
        <w:t>12、合同生效及其他</w:t>
      </w:r>
    </w:p>
    <w:p w14:paraId="3FC66204">
      <w:pPr>
        <w:spacing w:line="440" w:lineRule="exact"/>
        <w:ind w:firstLine="440" w:firstLineChars="200"/>
        <w:rPr>
          <w:rFonts w:ascii="宋体" w:hAnsi="宋体"/>
          <w:sz w:val="22"/>
          <w:szCs w:val="22"/>
          <w:highlight w:val="none"/>
        </w:rPr>
      </w:pPr>
      <w:r>
        <w:rPr>
          <w:rFonts w:hint="eastAsia" w:ascii="宋体" w:hAnsi="宋体"/>
          <w:sz w:val="22"/>
          <w:szCs w:val="22"/>
          <w:highlight w:val="none"/>
        </w:rPr>
        <w:t>1.合同在双方签字并盖章后开始生效。</w:t>
      </w:r>
    </w:p>
    <w:p w14:paraId="38AB104A">
      <w:pPr>
        <w:spacing w:line="440" w:lineRule="exact"/>
        <w:ind w:firstLine="440" w:firstLineChars="200"/>
        <w:rPr>
          <w:rFonts w:ascii="宋体" w:hAnsi="宋体"/>
          <w:sz w:val="22"/>
          <w:szCs w:val="22"/>
          <w:highlight w:val="none"/>
        </w:rPr>
      </w:pPr>
      <w:r>
        <w:rPr>
          <w:rFonts w:hint="eastAsia" w:ascii="宋体" w:hAnsi="宋体"/>
          <w:sz w:val="22"/>
          <w:szCs w:val="22"/>
          <w:highlight w:val="none"/>
        </w:rPr>
        <w:t>2.本合同一式肆份，双方各执贰份，具有同等效力。</w:t>
      </w:r>
    </w:p>
    <w:p w14:paraId="159CC2BF">
      <w:pPr>
        <w:spacing w:line="440" w:lineRule="exact"/>
        <w:ind w:firstLine="440" w:firstLineChars="200"/>
        <w:rPr>
          <w:rFonts w:ascii="宋体" w:hAnsi="宋体"/>
          <w:sz w:val="22"/>
          <w:szCs w:val="22"/>
          <w:highlight w:val="none"/>
        </w:rPr>
      </w:pPr>
      <w:r>
        <w:rPr>
          <w:rFonts w:hint="eastAsia" w:ascii="宋体" w:hAnsi="宋体"/>
          <w:sz w:val="22"/>
          <w:szCs w:val="22"/>
          <w:highlight w:val="none"/>
        </w:rPr>
        <w:t>3.如需修改或补充合同内容，经协商，双方应签署书面修改或补充协议，该协议将作为本合同的一个组成部分。</w:t>
      </w:r>
    </w:p>
    <w:p w14:paraId="39E7E763">
      <w:pPr>
        <w:spacing w:line="440" w:lineRule="exact"/>
        <w:ind w:firstLine="440" w:firstLineChars="200"/>
        <w:rPr>
          <w:rFonts w:ascii="宋体" w:hAnsi="宋体"/>
          <w:sz w:val="22"/>
          <w:szCs w:val="22"/>
          <w:highlight w:val="none"/>
        </w:rPr>
      </w:pPr>
      <w:r>
        <w:rPr>
          <w:rFonts w:hint="eastAsia" w:ascii="宋体" w:hAnsi="宋体"/>
          <w:sz w:val="22"/>
          <w:szCs w:val="22"/>
          <w:highlight w:val="none"/>
        </w:rPr>
        <w:t>4.下列文件构成本合同的组成部分：</w:t>
      </w:r>
    </w:p>
    <w:p w14:paraId="10A49E2E">
      <w:pPr>
        <w:spacing w:line="440" w:lineRule="exact"/>
        <w:ind w:firstLine="440" w:firstLineChars="200"/>
        <w:rPr>
          <w:rFonts w:ascii="宋体" w:hAnsi="宋体"/>
          <w:sz w:val="22"/>
          <w:szCs w:val="22"/>
          <w:highlight w:val="none"/>
        </w:rPr>
      </w:pPr>
      <w:r>
        <w:rPr>
          <w:rFonts w:hint="eastAsia" w:ascii="宋体" w:hAnsi="宋体"/>
          <w:sz w:val="22"/>
          <w:szCs w:val="22"/>
          <w:highlight w:val="none"/>
        </w:rPr>
        <w:t xml:space="preserve">  （1）合同条款             </w:t>
      </w:r>
      <w:r>
        <w:rPr>
          <w:rFonts w:ascii="宋体" w:hAnsi="宋体"/>
          <w:sz w:val="22"/>
          <w:szCs w:val="22"/>
          <w:highlight w:val="none"/>
        </w:rPr>
        <w:t xml:space="preserve">       </w:t>
      </w:r>
      <w:r>
        <w:rPr>
          <w:rFonts w:hint="eastAsia" w:ascii="宋体" w:hAnsi="宋体"/>
          <w:sz w:val="22"/>
          <w:szCs w:val="22"/>
          <w:highlight w:val="none"/>
        </w:rPr>
        <w:t>（2）中标（成交）通知书</w:t>
      </w:r>
    </w:p>
    <w:p w14:paraId="1654FCB1">
      <w:pPr>
        <w:spacing w:line="440" w:lineRule="exact"/>
        <w:ind w:firstLine="440" w:firstLineChars="200"/>
        <w:rPr>
          <w:rFonts w:ascii="宋体" w:hAnsi="宋体"/>
          <w:sz w:val="22"/>
          <w:szCs w:val="22"/>
          <w:highlight w:val="none"/>
        </w:rPr>
      </w:pPr>
      <w:r>
        <w:rPr>
          <w:rFonts w:hint="eastAsia" w:ascii="宋体" w:hAnsi="宋体"/>
          <w:sz w:val="22"/>
          <w:szCs w:val="22"/>
          <w:highlight w:val="none"/>
        </w:rPr>
        <w:t xml:space="preserve">  （3）报价一览表              </w:t>
      </w:r>
      <w:r>
        <w:rPr>
          <w:rFonts w:ascii="宋体" w:hAnsi="宋体"/>
          <w:sz w:val="22"/>
          <w:szCs w:val="22"/>
          <w:highlight w:val="none"/>
        </w:rPr>
        <w:t xml:space="preserve">    </w:t>
      </w:r>
      <w:r>
        <w:rPr>
          <w:rFonts w:hint="eastAsia" w:ascii="宋体" w:hAnsi="宋体"/>
          <w:sz w:val="22"/>
          <w:szCs w:val="22"/>
          <w:highlight w:val="none"/>
        </w:rPr>
        <w:t>（4）采购需求偏离表</w:t>
      </w:r>
    </w:p>
    <w:p w14:paraId="556ECBB2">
      <w:pPr>
        <w:spacing w:line="440" w:lineRule="exact"/>
        <w:ind w:firstLine="440" w:firstLineChars="200"/>
        <w:rPr>
          <w:rFonts w:ascii="宋体" w:hAnsi="宋体"/>
          <w:sz w:val="22"/>
          <w:szCs w:val="22"/>
          <w:highlight w:val="none"/>
        </w:rPr>
      </w:pPr>
      <w:r>
        <w:rPr>
          <w:rFonts w:hint="eastAsia" w:ascii="宋体" w:hAnsi="宋体"/>
          <w:sz w:val="22"/>
          <w:szCs w:val="22"/>
          <w:highlight w:val="none"/>
        </w:rPr>
        <w:t xml:space="preserve">  （5）采购内容及要求              （6）合同补充条款或说明（如有的话）</w:t>
      </w:r>
    </w:p>
    <w:p w14:paraId="33B6CEC5">
      <w:pPr>
        <w:snapToGrid w:val="0"/>
        <w:spacing w:line="440" w:lineRule="exact"/>
        <w:ind w:firstLine="480"/>
        <w:rPr>
          <w:rFonts w:ascii="宋体" w:hAnsi="宋体"/>
          <w:sz w:val="22"/>
          <w:szCs w:val="22"/>
          <w:highlight w:val="none"/>
        </w:rPr>
      </w:pPr>
      <w:r>
        <w:rPr>
          <w:rFonts w:hint="eastAsia" w:ascii="宋体" w:hAnsi="宋体"/>
          <w:sz w:val="22"/>
          <w:szCs w:val="22"/>
          <w:highlight w:val="none"/>
        </w:rPr>
        <w:t xml:space="preserve">  （7）承诺书（含询标记录和优惠条件）</w:t>
      </w:r>
    </w:p>
    <w:p w14:paraId="072722D4">
      <w:pPr>
        <w:snapToGrid w:val="0"/>
        <w:spacing w:line="440" w:lineRule="exact"/>
        <w:ind w:firstLine="431" w:firstLineChars="196"/>
        <w:rPr>
          <w:rFonts w:ascii="宋体" w:hAnsi="宋体"/>
          <w:sz w:val="22"/>
          <w:szCs w:val="22"/>
          <w:highlight w:val="none"/>
        </w:rPr>
      </w:pPr>
      <w:r>
        <w:rPr>
          <w:rFonts w:hint="eastAsia" w:ascii="宋体" w:hAnsi="宋体"/>
          <w:sz w:val="22"/>
          <w:szCs w:val="22"/>
          <w:highlight w:val="none"/>
        </w:rPr>
        <w:t>甲方（盖章）：                                 乙方（盖章）：</w:t>
      </w:r>
    </w:p>
    <w:p w14:paraId="036FC888">
      <w:pPr>
        <w:snapToGrid w:val="0"/>
        <w:spacing w:line="440" w:lineRule="exact"/>
        <w:ind w:firstLine="431" w:firstLineChars="196"/>
        <w:rPr>
          <w:rFonts w:ascii="宋体" w:hAnsi="宋体"/>
          <w:sz w:val="22"/>
          <w:szCs w:val="22"/>
          <w:highlight w:val="none"/>
        </w:rPr>
      </w:pPr>
      <w:r>
        <w:rPr>
          <w:rFonts w:hint="eastAsia" w:ascii="宋体" w:hAnsi="宋体"/>
          <w:sz w:val="22"/>
          <w:szCs w:val="22"/>
          <w:highlight w:val="none"/>
        </w:rPr>
        <w:t>单位法定代表人（或授权代表）：                 单位法定代表人（或授权代表）：</w:t>
      </w:r>
    </w:p>
    <w:p w14:paraId="726CAEA5">
      <w:pPr>
        <w:snapToGrid w:val="0"/>
        <w:spacing w:line="440" w:lineRule="exact"/>
        <w:ind w:firstLine="431" w:firstLineChars="196"/>
        <w:rPr>
          <w:rFonts w:ascii="宋体" w:hAnsi="宋体"/>
          <w:sz w:val="22"/>
          <w:szCs w:val="22"/>
          <w:highlight w:val="none"/>
        </w:rPr>
      </w:pPr>
      <w:r>
        <w:rPr>
          <w:rFonts w:hint="eastAsia" w:ascii="宋体" w:hAnsi="宋体"/>
          <w:sz w:val="22"/>
          <w:szCs w:val="22"/>
          <w:highlight w:val="none"/>
        </w:rPr>
        <w:t>开户银行：                                     开户银行：</w:t>
      </w:r>
    </w:p>
    <w:p w14:paraId="4E74D458">
      <w:pPr>
        <w:snapToGrid w:val="0"/>
        <w:spacing w:line="440" w:lineRule="exact"/>
        <w:ind w:firstLine="431" w:firstLineChars="196"/>
        <w:rPr>
          <w:rFonts w:ascii="宋体" w:hAnsi="宋体"/>
          <w:sz w:val="22"/>
          <w:szCs w:val="22"/>
          <w:highlight w:val="none"/>
        </w:rPr>
      </w:pPr>
      <w:r>
        <w:rPr>
          <w:rFonts w:hint="eastAsia" w:ascii="宋体" w:hAnsi="宋体"/>
          <w:sz w:val="22"/>
          <w:szCs w:val="22"/>
          <w:highlight w:val="none"/>
        </w:rPr>
        <w:t xml:space="preserve">开户名称：                                    </w:t>
      </w:r>
      <w:r>
        <w:rPr>
          <w:rFonts w:ascii="宋体" w:hAnsi="宋体"/>
          <w:sz w:val="22"/>
          <w:szCs w:val="22"/>
          <w:highlight w:val="none"/>
        </w:rPr>
        <w:t xml:space="preserve"> </w:t>
      </w:r>
      <w:r>
        <w:rPr>
          <w:rFonts w:hint="eastAsia" w:ascii="宋体" w:hAnsi="宋体"/>
          <w:sz w:val="22"/>
          <w:szCs w:val="22"/>
          <w:highlight w:val="none"/>
        </w:rPr>
        <w:t>开户名称：</w:t>
      </w:r>
    </w:p>
    <w:p w14:paraId="73031D17">
      <w:pPr>
        <w:snapToGrid w:val="0"/>
        <w:spacing w:line="440" w:lineRule="exact"/>
        <w:ind w:firstLine="431" w:firstLineChars="196"/>
        <w:rPr>
          <w:rFonts w:ascii="宋体" w:hAnsi="宋体"/>
          <w:sz w:val="22"/>
          <w:szCs w:val="22"/>
          <w:highlight w:val="none"/>
        </w:rPr>
      </w:pPr>
      <w:r>
        <w:rPr>
          <w:rFonts w:hint="eastAsia" w:ascii="宋体" w:hAnsi="宋体"/>
          <w:sz w:val="22"/>
          <w:szCs w:val="22"/>
          <w:highlight w:val="none"/>
        </w:rPr>
        <w:t>账号：                                         账号：</w:t>
      </w:r>
    </w:p>
    <w:p w14:paraId="62109BE0">
      <w:pPr>
        <w:snapToGrid w:val="0"/>
        <w:spacing w:line="440" w:lineRule="exact"/>
        <w:ind w:firstLine="435" w:firstLineChars="198"/>
        <w:rPr>
          <w:rFonts w:ascii="宋体" w:hAnsi="宋体"/>
          <w:sz w:val="24"/>
          <w:highlight w:val="none"/>
        </w:rPr>
      </w:pPr>
      <w:r>
        <w:rPr>
          <w:rFonts w:hint="eastAsia" w:ascii="宋体" w:hAnsi="宋体"/>
          <w:sz w:val="22"/>
          <w:szCs w:val="22"/>
          <w:highlight w:val="none"/>
        </w:rPr>
        <w:t>签约日期：                                     签约日期：</w:t>
      </w:r>
      <w:bookmarkEnd w:id="244"/>
      <w:bookmarkEnd w:id="245"/>
      <w:bookmarkEnd w:id="246"/>
      <w:bookmarkEnd w:id="247"/>
      <w:bookmarkStart w:id="248" w:name="_Toc146181158"/>
    </w:p>
    <w:p w14:paraId="43E7686D">
      <w:pPr>
        <w:pStyle w:val="3"/>
        <w:tabs>
          <w:tab w:val="left" w:pos="1703"/>
          <w:tab w:val="center" w:pos="4819"/>
        </w:tabs>
        <w:spacing w:before="240" w:beforeLines="100"/>
        <w:rPr>
          <w:rFonts w:ascii="宋体" w:hAnsi="宋体" w:eastAsia="宋体"/>
          <w:sz w:val="36"/>
          <w:szCs w:val="36"/>
          <w:highlight w:val="none"/>
        </w:rPr>
      </w:pPr>
      <w:r>
        <w:rPr>
          <w:rFonts w:hint="eastAsia" w:ascii="宋体" w:hAnsi="宋体" w:eastAsia="宋体"/>
          <w:sz w:val="36"/>
          <w:szCs w:val="36"/>
          <w:highlight w:val="none"/>
        </w:rPr>
        <w:t>第四部分</w:t>
      </w:r>
      <w:r>
        <w:rPr>
          <w:rFonts w:ascii="宋体" w:hAnsi="宋体" w:eastAsia="宋体"/>
          <w:sz w:val="36"/>
          <w:szCs w:val="36"/>
          <w:highlight w:val="none"/>
        </w:rPr>
        <w:t xml:space="preserve">   </w:t>
      </w:r>
      <w:r>
        <w:rPr>
          <w:rFonts w:hint="eastAsia" w:ascii="宋体" w:hAnsi="宋体" w:eastAsia="宋体"/>
          <w:sz w:val="36"/>
          <w:szCs w:val="36"/>
          <w:highlight w:val="none"/>
        </w:rPr>
        <w:t>采购内容及要求</w:t>
      </w:r>
      <w:bookmarkEnd w:id="248"/>
    </w:p>
    <w:p w14:paraId="13F25686">
      <w:pPr>
        <w:pStyle w:val="242"/>
        <w:widowControl/>
        <w:snapToGrid w:val="0"/>
        <w:ind w:firstLine="0" w:firstLineChars="0"/>
        <w:rPr>
          <w:rFonts w:hint="eastAsia" w:ascii="宋体" w:hAnsi="宋体" w:cs="Times New Roman"/>
          <w:sz w:val="22"/>
          <w:szCs w:val="22"/>
          <w:highlight w:val="none"/>
        </w:rPr>
      </w:pPr>
      <w:bookmarkStart w:id="249" w:name="_Toc227056860"/>
      <w:bookmarkStart w:id="250" w:name="_Toc227489897"/>
      <w:bookmarkStart w:id="251" w:name="_Toc227057043"/>
      <w:bookmarkStart w:id="252" w:name="_Toc223933231"/>
      <w:bookmarkStart w:id="253" w:name="_Toc223717614"/>
      <w:bookmarkStart w:id="254" w:name="_Toc146181159"/>
      <w:r>
        <w:rPr>
          <w:rFonts w:ascii="宋体" w:hAnsi="宋体"/>
          <w:sz w:val="22"/>
          <w:szCs w:val="22"/>
          <w:highlight w:val="none"/>
        </w:rPr>
        <w:t>一</w:t>
      </w:r>
      <w:r>
        <w:rPr>
          <w:rFonts w:hint="eastAsia" w:ascii="宋体" w:hAnsi="宋体"/>
          <w:sz w:val="22"/>
          <w:szCs w:val="22"/>
          <w:highlight w:val="none"/>
        </w:rPr>
        <w:t>、</w:t>
      </w:r>
      <w:r>
        <w:rPr>
          <w:rFonts w:hint="eastAsia" w:ascii="宋体" w:hAnsi="宋体"/>
          <w:sz w:val="22"/>
          <w:szCs w:val="22"/>
          <w:highlight w:val="none"/>
          <w:lang w:val="en-US" w:eastAsia="zh-CN"/>
        </w:rPr>
        <w:t>采购内容</w:t>
      </w:r>
    </w:p>
    <w:p w14:paraId="558C542E">
      <w:pPr>
        <w:spacing w:line="440" w:lineRule="exact"/>
        <w:ind w:firstLine="440" w:firstLineChars="200"/>
        <w:rPr>
          <w:rFonts w:hint="eastAsia" w:ascii="宋体" w:hAnsi="宋体" w:cs="Times New Roman"/>
          <w:sz w:val="22"/>
          <w:szCs w:val="22"/>
          <w:highlight w:val="none"/>
        </w:rPr>
      </w:pPr>
      <w:r>
        <w:rPr>
          <w:rFonts w:hint="eastAsia" w:ascii="宋体" w:hAnsi="宋体" w:cs="Times New Roman"/>
          <w:sz w:val="22"/>
          <w:szCs w:val="22"/>
          <w:highlight w:val="none"/>
          <w:lang w:val="en-US" w:eastAsia="zh-CN"/>
        </w:rPr>
        <w:t>本项目每年度计划抽检数量1000批次，其中监督抽检600批次，例行抽检400批次，主要抽检初级农产品，涉及蔬菜、水果、畜禽产品、水产品等。具体抽检计划由采购方制定，每次抽检前由采购方通知供应商安排采样员及车辆配合采购方开展抽检工作。年度抽检计划见下表：</w:t>
      </w:r>
    </w:p>
    <w:tbl>
      <w:tblPr>
        <w:tblStyle w:val="41"/>
        <w:tblW w:w="9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6"/>
        <w:gridCol w:w="1543"/>
        <w:gridCol w:w="4045"/>
        <w:gridCol w:w="2390"/>
      </w:tblGrid>
      <w:tr w14:paraId="0775A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566" w:type="dxa"/>
            <w:noWrap w:val="0"/>
            <w:vAlign w:val="center"/>
          </w:tcPr>
          <w:p w14:paraId="070EFBBE">
            <w:pPr>
              <w:widowControl w:val="0"/>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序号</w:t>
            </w:r>
          </w:p>
        </w:tc>
        <w:tc>
          <w:tcPr>
            <w:tcW w:w="1543" w:type="dxa"/>
            <w:noWrap w:val="0"/>
            <w:vAlign w:val="center"/>
          </w:tcPr>
          <w:p w14:paraId="319D02E6">
            <w:pPr>
              <w:widowControl w:val="0"/>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抽检形式</w:t>
            </w:r>
          </w:p>
        </w:tc>
        <w:tc>
          <w:tcPr>
            <w:tcW w:w="4045" w:type="dxa"/>
            <w:noWrap w:val="0"/>
            <w:vAlign w:val="center"/>
          </w:tcPr>
          <w:p w14:paraId="6AA7032E">
            <w:pPr>
              <w:widowControl w:val="0"/>
              <w:numPr>
                <w:ilvl w:val="0"/>
                <w:numId w:val="0"/>
              </w:numPr>
              <w:ind w:left="0" w:leftChars="0" w:firstLine="0" w:firstLineChars="0"/>
              <w:jc w:val="center"/>
              <w:rPr>
                <w:rFonts w:hint="eastAsia"/>
                <w:color w:val="auto"/>
                <w:kern w:val="2"/>
                <w:sz w:val="21"/>
                <w:highlight w:val="none"/>
                <w:vertAlign w:val="baseline"/>
                <w:lang w:val="en-US" w:eastAsia="zh-CN" w:bidi="ar-SA"/>
              </w:rPr>
            </w:pPr>
            <w:r>
              <w:rPr>
                <w:rFonts w:hint="eastAsia"/>
                <w:color w:val="auto"/>
                <w:highlight w:val="none"/>
                <w:vertAlign w:val="baseline"/>
                <w:lang w:val="en-US" w:eastAsia="zh-CN"/>
              </w:rPr>
              <w:t>抽检品种</w:t>
            </w:r>
          </w:p>
        </w:tc>
        <w:tc>
          <w:tcPr>
            <w:tcW w:w="2390" w:type="dxa"/>
            <w:noWrap w:val="0"/>
            <w:vAlign w:val="center"/>
          </w:tcPr>
          <w:p w14:paraId="0DBDAD1D">
            <w:pPr>
              <w:widowControl w:val="0"/>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批次数</w:t>
            </w:r>
          </w:p>
        </w:tc>
      </w:tr>
      <w:tr w14:paraId="36FC6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566" w:type="dxa"/>
            <w:noWrap w:val="0"/>
            <w:vAlign w:val="center"/>
          </w:tcPr>
          <w:p w14:paraId="15898853">
            <w:pPr>
              <w:widowControl w:val="0"/>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w:t>
            </w:r>
          </w:p>
        </w:tc>
        <w:tc>
          <w:tcPr>
            <w:tcW w:w="1543" w:type="dxa"/>
            <w:noWrap w:val="0"/>
            <w:vAlign w:val="center"/>
          </w:tcPr>
          <w:p w14:paraId="0153A37F">
            <w:pPr>
              <w:widowControl w:val="0"/>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监督抽检</w:t>
            </w:r>
          </w:p>
        </w:tc>
        <w:tc>
          <w:tcPr>
            <w:tcW w:w="4045" w:type="dxa"/>
            <w:vMerge w:val="restart"/>
            <w:noWrap w:val="0"/>
            <w:vAlign w:val="center"/>
          </w:tcPr>
          <w:p w14:paraId="0D03B3E2">
            <w:pPr>
              <w:widowControl w:val="0"/>
              <w:numPr>
                <w:ilvl w:val="0"/>
                <w:numId w:val="0"/>
              </w:numPr>
              <w:ind w:left="0" w:leftChars="0" w:firstLine="0" w:firstLineChars="0"/>
              <w:jc w:val="center"/>
              <w:rPr>
                <w:rFonts w:hint="default"/>
                <w:color w:val="auto"/>
                <w:kern w:val="2"/>
                <w:sz w:val="21"/>
                <w:highlight w:val="none"/>
                <w:vertAlign w:val="baseline"/>
                <w:lang w:val="en-US" w:eastAsia="zh-CN" w:bidi="ar-SA"/>
              </w:rPr>
            </w:pPr>
            <w:r>
              <w:rPr>
                <w:rFonts w:hint="eastAsia"/>
                <w:color w:val="auto"/>
                <w:highlight w:val="none"/>
                <w:lang w:val="en-US" w:eastAsia="zh-CN"/>
              </w:rPr>
              <w:t>种植业产品、畜禽产品、水产品等</w:t>
            </w:r>
          </w:p>
        </w:tc>
        <w:tc>
          <w:tcPr>
            <w:tcW w:w="2390" w:type="dxa"/>
            <w:noWrap w:val="0"/>
            <w:vAlign w:val="center"/>
          </w:tcPr>
          <w:p w14:paraId="2425DD91">
            <w:pPr>
              <w:widowControl w:val="0"/>
              <w:numPr>
                <w:ilvl w:val="0"/>
                <w:numId w:val="0"/>
              </w:numPr>
              <w:ind w:left="0" w:leftChars="0" w:firstLine="0" w:firstLineChars="0"/>
              <w:jc w:val="center"/>
              <w:rPr>
                <w:rFonts w:hint="default" w:ascii="宋体" w:hAnsi="宋体" w:eastAsia="宋体" w:cs="宋体"/>
                <w:color w:val="auto"/>
                <w:highlight w:val="none"/>
                <w:vertAlign w:val="baseline"/>
                <w:lang w:val="en-US" w:eastAsia="zh-CN"/>
              </w:rPr>
            </w:pPr>
            <w:r>
              <w:rPr>
                <w:rFonts w:hint="eastAsia" w:ascii="宋体" w:hAnsi="宋体" w:cs="宋体"/>
                <w:color w:val="auto"/>
                <w:highlight w:val="none"/>
                <w:vertAlign w:val="baseline"/>
                <w:lang w:val="en-US" w:eastAsia="zh-CN"/>
              </w:rPr>
              <w:t>600</w:t>
            </w:r>
          </w:p>
        </w:tc>
      </w:tr>
      <w:tr w14:paraId="5555D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566" w:type="dxa"/>
            <w:noWrap w:val="0"/>
            <w:vAlign w:val="center"/>
          </w:tcPr>
          <w:p w14:paraId="73E4918F">
            <w:pPr>
              <w:widowControl w:val="0"/>
              <w:numPr>
                <w:ilvl w:val="0"/>
                <w:numId w:val="0"/>
              </w:numPr>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2</w:t>
            </w:r>
          </w:p>
        </w:tc>
        <w:tc>
          <w:tcPr>
            <w:tcW w:w="1543" w:type="dxa"/>
            <w:noWrap w:val="0"/>
            <w:vAlign w:val="center"/>
          </w:tcPr>
          <w:p w14:paraId="7198753B">
            <w:pPr>
              <w:widowControl w:val="0"/>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例行抽检</w:t>
            </w:r>
          </w:p>
        </w:tc>
        <w:tc>
          <w:tcPr>
            <w:tcW w:w="4045" w:type="dxa"/>
            <w:vMerge w:val="continue"/>
            <w:noWrap w:val="0"/>
            <w:vAlign w:val="center"/>
          </w:tcPr>
          <w:p w14:paraId="72E2541B">
            <w:pPr>
              <w:widowControl w:val="0"/>
              <w:numPr>
                <w:ilvl w:val="0"/>
                <w:numId w:val="0"/>
              </w:numPr>
              <w:ind w:left="0" w:leftChars="0" w:firstLine="0" w:firstLineChars="0"/>
              <w:jc w:val="center"/>
              <w:rPr>
                <w:rFonts w:hint="eastAsia"/>
                <w:color w:val="auto"/>
                <w:kern w:val="2"/>
                <w:sz w:val="21"/>
                <w:highlight w:val="none"/>
                <w:vertAlign w:val="baseline"/>
                <w:lang w:val="en-US" w:eastAsia="zh-CN" w:bidi="ar-SA"/>
              </w:rPr>
            </w:pPr>
          </w:p>
        </w:tc>
        <w:tc>
          <w:tcPr>
            <w:tcW w:w="2390" w:type="dxa"/>
            <w:noWrap w:val="0"/>
            <w:vAlign w:val="center"/>
          </w:tcPr>
          <w:p w14:paraId="130D452D">
            <w:pPr>
              <w:widowControl w:val="0"/>
              <w:numPr>
                <w:ilvl w:val="0"/>
                <w:numId w:val="0"/>
              </w:numPr>
              <w:ind w:left="0" w:leftChars="0" w:firstLine="0" w:firstLineChars="0"/>
              <w:jc w:val="center"/>
              <w:rPr>
                <w:rFonts w:hint="default" w:ascii="宋体" w:hAnsi="宋体" w:eastAsia="宋体" w:cs="宋体"/>
                <w:color w:val="auto"/>
                <w:highlight w:val="none"/>
                <w:vertAlign w:val="baseline"/>
                <w:lang w:val="en-US" w:eastAsia="zh-CN"/>
              </w:rPr>
            </w:pPr>
            <w:r>
              <w:rPr>
                <w:rFonts w:hint="eastAsia" w:ascii="宋体" w:hAnsi="宋体" w:cs="宋体"/>
                <w:color w:val="auto"/>
                <w:highlight w:val="none"/>
                <w:vertAlign w:val="baseline"/>
                <w:lang w:val="en-US" w:eastAsia="zh-CN"/>
              </w:rPr>
              <w:t>400</w:t>
            </w:r>
          </w:p>
        </w:tc>
      </w:tr>
      <w:tr w14:paraId="76C1C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154" w:type="dxa"/>
            <w:gridSpan w:val="3"/>
            <w:noWrap w:val="0"/>
            <w:vAlign w:val="center"/>
          </w:tcPr>
          <w:p w14:paraId="63E43E92">
            <w:pPr>
              <w:widowControl w:val="0"/>
              <w:numPr>
                <w:ilvl w:val="0"/>
                <w:numId w:val="0"/>
              </w:numPr>
              <w:jc w:val="center"/>
              <w:rPr>
                <w:rFonts w:hint="default"/>
                <w:color w:val="auto"/>
                <w:highlight w:val="none"/>
                <w:lang w:val="en-US" w:eastAsia="zh-CN"/>
              </w:rPr>
            </w:pPr>
            <w:r>
              <w:rPr>
                <w:rFonts w:hint="eastAsia"/>
                <w:color w:val="auto"/>
                <w:highlight w:val="none"/>
                <w:lang w:val="en-US" w:eastAsia="zh-CN"/>
              </w:rPr>
              <w:t>合  计</w:t>
            </w:r>
          </w:p>
        </w:tc>
        <w:tc>
          <w:tcPr>
            <w:tcW w:w="2390" w:type="dxa"/>
            <w:noWrap w:val="0"/>
            <w:vAlign w:val="center"/>
          </w:tcPr>
          <w:p w14:paraId="7BCBAFFC">
            <w:pPr>
              <w:widowControl w:val="0"/>
              <w:numPr>
                <w:ilvl w:val="0"/>
                <w:numId w:val="0"/>
              </w:numPr>
              <w:jc w:val="center"/>
              <w:rPr>
                <w:rFonts w:hint="default" w:ascii="宋体" w:hAnsi="宋体" w:eastAsia="宋体" w:cs="宋体"/>
                <w:color w:val="auto"/>
                <w:highlight w:val="none"/>
                <w:vertAlign w:val="baseline"/>
                <w:lang w:val="en-US" w:eastAsia="zh-CN"/>
              </w:rPr>
            </w:pPr>
            <w:r>
              <w:rPr>
                <w:rFonts w:hint="eastAsia" w:ascii="宋体" w:hAnsi="宋体" w:cs="宋体"/>
                <w:color w:val="auto"/>
                <w:highlight w:val="none"/>
                <w:vertAlign w:val="baseline"/>
                <w:lang w:val="en-US" w:eastAsia="zh-CN"/>
              </w:rPr>
              <w:t>1000</w:t>
            </w:r>
          </w:p>
        </w:tc>
      </w:tr>
      <w:tr w14:paraId="7578A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9544" w:type="dxa"/>
            <w:gridSpan w:val="4"/>
            <w:noWrap w:val="0"/>
            <w:vAlign w:val="center"/>
          </w:tcPr>
          <w:p w14:paraId="06039CCA">
            <w:pPr>
              <w:rPr>
                <w:rFonts w:ascii="宋体" w:hAnsi="宋体" w:cs="宋体"/>
                <w:b/>
                <w:sz w:val="22"/>
                <w:szCs w:val="22"/>
                <w:highlight w:val="none"/>
              </w:rPr>
            </w:pPr>
            <w:r>
              <w:rPr>
                <w:rFonts w:hint="eastAsia" w:ascii="宋体" w:hAnsi="宋体" w:cs="宋体"/>
                <w:b/>
                <w:sz w:val="22"/>
                <w:szCs w:val="22"/>
                <w:highlight w:val="none"/>
              </w:rPr>
              <w:t>备注：</w:t>
            </w:r>
          </w:p>
          <w:p w14:paraId="4C3854BA">
            <w:pPr>
              <w:rPr>
                <w:rFonts w:hint="eastAsia" w:ascii="宋体" w:hAnsi="宋体" w:eastAsia="宋体" w:cs="宋体"/>
                <w:b/>
                <w:sz w:val="22"/>
                <w:szCs w:val="22"/>
                <w:highlight w:val="none"/>
              </w:rPr>
            </w:pPr>
            <w:r>
              <w:rPr>
                <w:rFonts w:hint="eastAsia" w:ascii="宋体" w:hAnsi="宋体" w:cs="宋体"/>
                <w:b/>
                <w:sz w:val="22"/>
                <w:szCs w:val="22"/>
                <w:highlight w:val="none"/>
              </w:rPr>
              <w:t>1、区本级定量监测总计</w:t>
            </w:r>
            <w:r>
              <w:rPr>
                <w:rFonts w:hint="eastAsia" w:ascii="宋体" w:hAnsi="宋体" w:cs="宋体"/>
                <w:b/>
                <w:sz w:val="22"/>
                <w:szCs w:val="22"/>
                <w:highlight w:val="none"/>
                <w:lang w:val="en-US" w:eastAsia="zh-CN"/>
              </w:rPr>
              <w:t>1000</w:t>
            </w:r>
            <w:r>
              <w:rPr>
                <w:rFonts w:hint="eastAsia" w:ascii="宋体" w:hAnsi="宋体" w:cs="宋体"/>
                <w:b/>
                <w:sz w:val="22"/>
                <w:szCs w:val="22"/>
                <w:highlight w:val="none"/>
              </w:rPr>
              <w:t>批次，因实际情况造成</w:t>
            </w:r>
            <w:r>
              <w:rPr>
                <w:rFonts w:ascii="宋体" w:hAnsi="宋体" w:cs="宋体"/>
                <w:b/>
                <w:sz w:val="22"/>
                <w:szCs w:val="22"/>
                <w:highlight w:val="none"/>
              </w:rPr>
              <w:t>检测数量</w:t>
            </w:r>
            <w:r>
              <w:rPr>
                <w:rFonts w:hint="eastAsia" w:ascii="宋体" w:hAnsi="宋体" w:cs="宋体"/>
                <w:b/>
                <w:sz w:val="22"/>
                <w:szCs w:val="22"/>
                <w:highlight w:val="none"/>
              </w:rPr>
              <w:t>增减的，以实际</w:t>
            </w:r>
            <w:r>
              <w:rPr>
                <w:rFonts w:ascii="宋体" w:hAnsi="宋体" w:cs="宋体"/>
                <w:b/>
                <w:sz w:val="22"/>
                <w:szCs w:val="22"/>
                <w:highlight w:val="none"/>
              </w:rPr>
              <w:t>检测数量</w:t>
            </w:r>
            <w:r>
              <w:rPr>
                <w:rFonts w:hint="eastAsia" w:ascii="宋体" w:hAnsi="宋体" w:cs="宋体"/>
                <w:b/>
                <w:sz w:val="22"/>
                <w:szCs w:val="22"/>
                <w:highlight w:val="none"/>
              </w:rPr>
              <w:t>为准</w:t>
            </w:r>
            <w:r>
              <w:rPr>
                <w:rFonts w:hint="eastAsia" w:ascii="宋体" w:hAnsi="宋体" w:eastAsia="宋体" w:cs="宋体"/>
                <w:b/>
                <w:sz w:val="22"/>
                <w:szCs w:val="22"/>
                <w:highlight w:val="none"/>
                <w:lang w:val="en-US" w:eastAsia="zh-CN"/>
              </w:rPr>
              <w:t>，结合中标单价按实结算。</w:t>
            </w:r>
          </w:p>
          <w:p w14:paraId="32D0F1AA">
            <w:pPr>
              <w:rPr>
                <w:rFonts w:hint="default" w:ascii="宋体" w:hAnsi="宋体" w:eastAsia="宋体" w:cs="宋体"/>
                <w:color w:val="auto"/>
                <w:highlight w:val="none"/>
                <w:vertAlign w:val="baseline"/>
                <w:lang w:val="en-US" w:eastAsia="zh-CN"/>
              </w:rPr>
            </w:pPr>
            <w:r>
              <w:rPr>
                <w:rFonts w:hint="eastAsia" w:ascii="宋体" w:hAnsi="宋体" w:eastAsia="宋体" w:cs="宋体"/>
                <w:b/>
                <w:sz w:val="22"/>
                <w:szCs w:val="22"/>
                <w:highlight w:val="none"/>
                <w:lang w:val="en-US" w:eastAsia="zh-CN"/>
              </w:rPr>
              <w:t>2</w:t>
            </w:r>
            <w:r>
              <w:rPr>
                <w:rFonts w:hint="eastAsia" w:ascii="宋体" w:hAnsi="宋体" w:eastAsia="宋体" w:cs="宋体"/>
                <w:b/>
                <w:sz w:val="22"/>
                <w:szCs w:val="22"/>
                <w:highlight w:val="none"/>
                <w:lang w:eastAsia="zh-CN"/>
              </w:rPr>
              <w:t>、</w:t>
            </w:r>
            <w:r>
              <w:rPr>
                <w:rFonts w:hint="eastAsia" w:ascii="宋体" w:hAnsi="宋体" w:eastAsia="宋体" w:cs="宋体"/>
                <w:b/>
                <w:sz w:val="22"/>
                <w:szCs w:val="22"/>
                <w:highlight w:val="none"/>
                <w:lang w:val="en-US" w:eastAsia="zh-CN"/>
              </w:rPr>
              <w:t>采购方要求按照国家相关标准或应急抽检需要调整样品的具体检测项目和检测依据时，</w:t>
            </w:r>
            <w:r>
              <w:rPr>
                <w:rFonts w:hint="eastAsia" w:ascii="宋体" w:hAnsi="宋体" w:eastAsia="宋体" w:cs="宋体"/>
                <w:b/>
                <w:sz w:val="22"/>
                <w:szCs w:val="22"/>
                <w:highlight w:val="none"/>
              </w:rPr>
              <w:t>供应商应无条件执行</w:t>
            </w:r>
            <w:r>
              <w:rPr>
                <w:rFonts w:hint="eastAsia" w:ascii="宋体" w:hAnsi="宋体" w:eastAsia="宋体" w:cs="宋体"/>
                <w:b/>
                <w:sz w:val="22"/>
                <w:szCs w:val="22"/>
                <w:highlight w:val="none"/>
                <w:lang w:eastAsia="zh-CN"/>
              </w:rPr>
              <w:t>。</w:t>
            </w:r>
          </w:p>
        </w:tc>
      </w:tr>
    </w:tbl>
    <w:p w14:paraId="7B0E7DC4">
      <w:pPr>
        <w:pStyle w:val="242"/>
        <w:spacing w:line="360" w:lineRule="auto"/>
        <w:ind w:firstLine="0" w:firstLineChars="0"/>
        <w:rPr>
          <w:rFonts w:ascii="宋体" w:hAnsi="宋体" w:cs="方正小标宋简体"/>
          <w:bCs/>
          <w:sz w:val="22"/>
          <w:szCs w:val="22"/>
          <w:highlight w:val="none"/>
        </w:rPr>
      </w:pPr>
    </w:p>
    <w:p w14:paraId="03864374">
      <w:pPr>
        <w:pStyle w:val="242"/>
        <w:spacing w:line="360" w:lineRule="auto"/>
        <w:ind w:firstLine="0" w:firstLineChars="0"/>
        <w:rPr>
          <w:rFonts w:ascii="宋体" w:hAnsi="宋体" w:cs="方正小标宋简体"/>
          <w:bCs/>
          <w:sz w:val="22"/>
          <w:szCs w:val="22"/>
          <w:highlight w:val="none"/>
        </w:rPr>
      </w:pPr>
      <w:r>
        <w:rPr>
          <w:rFonts w:ascii="宋体" w:hAnsi="宋体" w:cs="方正小标宋简体"/>
          <w:bCs/>
          <w:sz w:val="22"/>
          <w:szCs w:val="22"/>
          <w:highlight w:val="none"/>
        </w:rPr>
        <w:t>二</w:t>
      </w:r>
      <w:r>
        <w:rPr>
          <w:rFonts w:hint="eastAsia" w:ascii="宋体" w:hAnsi="宋体" w:cs="方正小标宋简体"/>
          <w:bCs/>
          <w:sz w:val="22"/>
          <w:szCs w:val="22"/>
          <w:highlight w:val="none"/>
        </w:rPr>
        <w:t>、监测项目及检测依据</w:t>
      </w:r>
    </w:p>
    <w:tbl>
      <w:tblPr>
        <w:tblStyle w:val="41"/>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119"/>
        <w:gridCol w:w="3978"/>
        <w:gridCol w:w="2067"/>
        <w:gridCol w:w="1613"/>
      </w:tblGrid>
      <w:tr w14:paraId="2A72B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80" w:type="dxa"/>
            <w:noWrap w:val="0"/>
            <w:vAlign w:val="center"/>
          </w:tcPr>
          <w:p w14:paraId="6870851B">
            <w:pPr>
              <w:widowControl w:val="0"/>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序号</w:t>
            </w:r>
          </w:p>
        </w:tc>
        <w:tc>
          <w:tcPr>
            <w:tcW w:w="1119" w:type="dxa"/>
            <w:noWrap w:val="0"/>
            <w:vAlign w:val="center"/>
          </w:tcPr>
          <w:p w14:paraId="26D107B4">
            <w:pPr>
              <w:widowControl w:val="0"/>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样品种类</w:t>
            </w:r>
          </w:p>
        </w:tc>
        <w:tc>
          <w:tcPr>
            <w:tcW w:w="3978" w:type="dxa"/>
            <w:noWrap w:val="0"/>
            <w:vAlign w:val="center"/>
          </w:tcPr>
          <w:p w14:paraId="13EF425F">
            <w:pPr>
              <w:widowControl w:val="0"/>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基础检测项目</w:t>
            </w:r>
          </w:p>
        </w:tc>
        <w:tc>
          <w:tcPr>
            <w:tcW w:w="2067" w:type="dxa"/>
            <w:noWrap w:val="0"/>
            <w:vAlign w:val="center"/>
          </w:tcPr>
          <w:p w14:paraId="23D03E08">
            <w:pPr>
              <w:widowControl w:val="0"/>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检测依据</w:t>
            </w:r>
          </w:p>
        </w:tc>
        <w:tc>
          <w:tcPr>
            <w:tcW w:w="1613" w:type="dxa"/>
            <w:noWrap w:val="0"/>
            <w:vAlign w:val="center"/>
          </w:tcPr>
          <w:p w14:paraId="3D2A9B4A">
            <w:pPr>
              <w:widowControl w:val="0"/>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判定依据</w:t>
            </w:r>
          </w:p>
        </w:tc>
      </w:tr>
      <w:tr w14:paraId="311E3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noWrap w:val="0"/>
            <w:vAlign w:val="center"/>
          </w:tcPr>
          <w:p w14:paraId="06BAC3A5">
            <w:pPr>
              <w:widowControl w:val="0"/>
              <w:numPr>
                <w:ilvl w:val="0"/>
                <w:numId w:val="0"/>
              </w:numPr>
              <w:ind w:left="0" w:leftChars="0" w:firstLine="0" w:firstLineChars="0"/>
              <w:jc w:val="center"/>
              <w:rPr>
                <w:rFonts w:hint="eastAsia" w:ascii="Calibri" w:hAnsi="Calibri"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1</w:t>
            </w:r>
          </w:p>
        </w:tc>
        <w:tc>
          <w:tcPr>
            <w:tcW w:w="1119" w:type="dxa"/>
            <w:noWrap w:val="0"/>
            <w:vAlign w:val="center"/>
          </w:tcPr>
          <w:p w14:paraId="45537B93">
            <w:pPr>
              <w:widowControl w:val="0"/>
              <w:numPr>
                <w:ilvl w:val="0"/>
                <w:numId w:val="0"/>
              </w:numPr>
              <w:ind w:left="0" w:leftChars="0" w:firstLine="0" w:firstLineChars="0"/>
              <w:jc w:val="center"/>
              <w:rPr>
                <w:rFonts w:hint="eastAsia" w:ascii="Calibri" w:hAnsi="Calibri"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蔬菜、水果、食用菌</w:t>
            </w:r>
          </w:p>
        </w:tc>
        <w:tc>
          <w:tcPr>
            <w:tcW w:w="3978" w:type="dxa"/>
            <w:noWrap w:val="0"/>
            <w:vAlign w:val="center"/>
          </w:tcPr>
          <w:p w14:paraId="2AA5E805">
            <w:pPr>
              <w:spacing w:line="276" w:lineRule="auto"/>
              <w:jc w:val="left"/>
              <w:rPr>
                <w:rFonts w:hint="eastAsia" w:ascii="宋体" w:hAnsi="宋体" w:eastAsia="宋体"/>
                <w:color w:val="auto"/>
                <w:szCs w:val="24"/>
                <w:highlight w:val="none"/>
                <w:lang w:val="en-US" w:eastAsia="zh-CN"/>
              </w:rPr>
            </w:pPr>
            <w:r>
              <w:rPr>
                <w:rFonts w:hint="eastAsia" w:ascii="宋体" w:hAnsi="宋体" w:eastAsia="宋体" w:cs="宋体"/>
                <w:color w:val="auto"/>
                <w:sz w:val="22"/>
                <w:szCs w:val="22"/>
                <w:highlight w:val="none"/>
              </w:rPr>
              <w:t>阿维菌素、百菌清、苯醚甲环唑、吡虫啉、吡唑醚菌酯、丙环唑、丙溴磷、虫螨腈、虫酰肼、除虫脲、哒螨灵、敌敌畏、啶虫脒、毒死蜱、对硫磷、多菌灵、多效唑、噁霜灵、二甲戊灵、二嗪磷、伏杀硫磷、氟胺氰菊酯、氟虫腈、氟啶脲、氟氯氰菊酯和高效氟氯氰菊酯、氟氰戊菊酯、腐霉利、甲氨基阿维菌素苯甲酸盐、甲胺磷、甲拌磷、甲基对硫磷、甲基硫菌灵(以多菌灵计)、甲基异柳磷、甲萘威、甲氰菊酯、甲霜灵和精甲霜灵、腈菌唑、克百威、乐果、联苯菊酯、六六六、氯吡脲、氯虫苯甲酰胺、氯氟氰菊酯和高效氯氟氰菊酯、氯菊酯、氯氰菊酯和高效氯氰菊酯、马拉硫磷、咪鲜胺、醚菊酯、醚菌酯、嘧菌酯、嘧霉胺、灭多威、灭蝇胺、灭幼脲、氰戊菊酯和S-氰戊菊酯、噻虫嗪、三氯杀螨醇、氯唑磷、硫环磷、灭线磷、内吸磷、三唑磷、三唑酮、杀螟硫磷、霜霉威和霜霉威盐酸盐、水胺硫磷、涕灭威、五氯硝基苯、戊唑醇、烯酰吗啉、辛硫磷、溴氰菊酯、亚胺硫磷、氧乐果、乙烯菌核利、乙酰甲胺磷、异菌脲、茚虫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共计79项</w:t>
            </w:r>
          </w:p>
        </w:tc>
        <w:tc>
          <w:tcPr>
            <w:tcW w:w="2067" w:type="dxa"/>
            <w:noWrap w:val="0"/>
            <w:vAlign w:val="center"/>
          </w:tcPr>
          <w:p w14:paraId="2043FFC6">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GB 23200.113-2018、</w:t>
            </w:r>
          </w:p>
          <w:p w14:paraId="3329146E">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GB 23200.121-2021、</w:t>
            </w:r>
          </w:p>
          <w:p w14:paraId="3DBC10C0">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GB 23200.8-2016、</w:t>
            </w:r>
          </w:p>
          <w:p w14:paraId="1A0CC89C">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GB/T 20769-2008、</w:t>
            </w:r>
          </w:p>
          <w:p w14:paraId="264EE4AC">
            <w:pPr>
              <w:spacing w:line="276" w:lineRule="auto"/>
              <w:jc w:val="left"/>
              <w:rPr>
                <w:rFonts w:hint="eastAsia" w:ascii="宋体" w:hAnsi="宋体" w:eastAsia="宋体"/>
                <w:color w:val="auto"/>
                <w:szCs w:val="24"/>
                <w:highlight w:val="none"/>
                <w:lang w:eastAsia="zh-CN"/>
              </w:rPr>
            </w:pPr>
            <w:r>
              <w:rPr>
                <w:rFonts w:hint="eastAsia" w:ascii="宋体" w:hAnsi="宋体" w:eastAsia="宋体" w:cs="宋体"/>
                <w:color w:val="auto"/>
                <w:szCs w:val="21"/>
                <w:highlight w:val="none"/>
              </w:rPr>
              <w:t>SN/T 2320-2009</w:t>
            </w:r>
            <w:r>
              <w:rPr>
                <w:rFonts w:hint="eastAsia" w:ascii="宋体" w:hAnsi="宋体" w:eastAsia="宋体" w:cs="宋体"/>
                <w:color w:val="auto"/>
                <w:szCs w:val="21"/>
                <w:highlight w:val="none"/>
                <w:lang w:val="en-US" w:eastAsia="zh-CN"/>
              </w:rPr>
              <w:t>等</w:t>
            </w:r>
          </w:p>
        </w:tc>
        <w:tc>
          <w:tcPr>
            <w:tcW w:w="1613" w:type="dxa"/>
            <w:noWrap w:val="0"/>
            <w:vAlign w:val="center"/>
          </w:tcPr>
          <w:p w14:paraId="526FCB27">
            <w:pPr>
              <w:spacing w:line="276" w:lineRule="auto"/>
              <w:jc w:val="left"/>
              <w:rPr>
                <w:rFonts w:hint="eastAsia" w:ascii="宋体" w:hAnsi="宋体" w:eastAsia="宋体"/>
                <w:color w:val="auto"/>
                <w:szCs w:val="24"/>
                <w:highlight w:val="none"/>
                <w:lang w:val="en-US" w:eastAsia="zh-CN"/>
              </w:rPr>
            </w:pPr>
            <w:r>
              <w:rPr>
                <w:rFonts w:hint="eastAsia" w:ascii="宋体" w:hAnsi="宋体" w:eastAsia="宋体"/>
                <w:color w:val="auto"/>
                <w:szCs w:val="24"/>
                <w:highlight w:val="none"/>
                <w:lang w:val="en-US" w:eastAsia="zh-CN"/>
              </w:rPr>
              <w:t>GB 2763-2021、GB 2763.1-2022</w:t>
            </w:r>
          </w:p>
        </w:tc>
      </w:tr>
      <w:tr w14:paraId="7E1F1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noWrap w:val="0"/>
            <w:vAlign w:val="center"/>
          </w:tcPr>
          <w:p w14:paraId="16EE5FA7">
            <w:pPr>
              <w:widowControl w:val="0"/>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1119" w:type="dxa"/>
            <w:noWrap w:val="0"/>
            <w:vAlign w:val="center"/>
          </w:tcPr>
          <w:p w14:paraId="25E3464C">
            <w:pPr>
              <w:widowControl w:val="0"/>
              <w:numPr>
                <w:ilvl w:val="0"/>
                <w:numId w:val="0"/>
              </w:numPr>
              <w:jc w:val="center"/>
              <w:rPr>
                <w:rFonts w:hint="eastAsia"/>
                <w:color w:val="auto"/>
                <w:highlight w:val="none"/>
                <w:vertAlign w:val="baseline"/>
                <w:lang w:val="en-US" w:eastAsia="zh-CN"/>
              </w:rPr>
            </w:pPr>
            <w:r>
              <w:rPr>
                <w:rFonts w:hint="eastAsia"/>
                <w:color w:val="auto"/>
                <w:highlight w:val="none"/>
                <w:vertAlign w:val="baseline"/>
                <w:lang w:val="en-US" w:eastAsia="zh-CN"/>
              </w:rPr>
              <w:t>茶叶</w:t>
            </w:r>
          </w:p>
        </w:tc>
        <w:tc>
          <w:tcPr>
            <w:tcW w:w="3978" w:type="dxa"/>
            <w:noWrap w:val="0"/>
            <w:vAlign w:val="center"/>
          </w:tcPr>
          <w:p w14:paraId="3A5F092B">
            <w:pPr>
              <w:spacing w:line="276" w:lineRule="auto"/>
              <w:jc w:val="left"/>
              <w:rPr>
                <w:rFonts w:hint="default" w:ascii="宋体" w:hAnsi="宋体" w:cs="宋体"/>
                <w:color w:val="auto"/>
                <w:szCs w:val="24"/>
                <w:highlight w:val="none"/>
                <w:lang w:val="en-US" w:eastAsia="zh-CN"/>
              </w:rPr>
            </w:pPr>
            <w:r>
              <w:rPr>
                <w:rFonts w:hint="eastAsia" w:ascii="宋体" w:hAnsi="宋体" w:eastAsia="宋体" w:cs="宋体"/>
                <w:color w:val="auto"/>
                <w:szCs w:val="21"/>
                <w:highlight w:val="none"/>
              </w:rPr>
              <w:t>百草枯、百菌清、苯醚甲环唑、吡虫啉、吡蚜酮、吡唑醚菌酯、丙溴磷、草铵膦、草甘膦、虫螨腈、除虫脲、哒螨灵、滴滴涕、敌百虫、丁醚脲、啶虫脒、毒死蜱、多菌灵、呋虫胺、氟虫脲、氟氯氰菊酯和高效氟氯氰菊酯、氟氰戊菊酯、甲氨基阿维菌素苯甲酸盐、甲胺磷、甲拌磷、甲基对硫磷、甲基硫环磷、甲萘威、甲氰菊酯、克百威、喹螨醚、联苯菊酯、硫丹、硫环磷、六六六、氯氟氰菊酯和高效氯氟氰菊酯、氯菊酯、氯氰菊酯和高效氯氰菊酯、氯噻啉、氯唑磷、醚菊酯、灭多威、灭线磷、内吸磷、氰戊菊酯和S-氰戊菊酯、噻虫胺、噻虫啉、噻虫嗪、噻螨酮、噻嗪酮、三氯杀螨醇、杀螟丹、杀螟硫磷、水胺硫磷、特丁硫磷、西玛津、辛硫磷、溴氰菊酯、氧乐果、乙螨唑、乙酰甲胺磷、印楝素、茚虫威、莠去津、唑虫酰胺、氟啶脲、灭幼脲、丙环唑、霜霉威、灭蝇胺、多效唑、虫酰肼</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共计65项</w:t>
            </w:r>
          </w:p>
        </w:tc>
        <w:tc>
          <w:tcPr>
            <w:tcW w:w="2067" w:type="dxa"/>
            <w:noWrap w:val="0"/>
            <w:vAlign w:val="center"/>
          </w:tcPr>
          <w:p w14:paraId="269F7540">
            <w:pPr>
              <w:spacing w:line="276" w:lineRule="auto"/>
              <w:jc w:val="left"/>
              <w:rPr>
                <w:rFonts w:hint="eastAsia" w:ascii="宋体" w:hAnsi="宋体" w:eastAsia="宋体"/>
                <w:color w:val="auto"/>
                <w:szCs w:val="24"/>
                <w:highlight w:val="none"/>
                <w:lang w:val="en-US" w:eastAsia="zh-CN"/>
              </w:rPr>
            </w:pPr>
            <w:r>
              <w:rPr>
                <w:rFonts w:hint="eastAsia" w:ascii="宋体" w:hAnsi="宋体" w:eastAsia="宋体" w:cs="宋体"/>
                <w:color w:val="auto"/>
                <w:szCs w:val="21"/>
                <w:highlight w:val="none"/>
              </w:rPr>
              <w:t>GB 23200.112-2018、GB 23200.113-2018、GB 23200.13-2016、GB 23200.39-2016、GB 23200.73-2016、GB/T 23204-2008、GB/T 23376-2009、GB/T 5009.19-2008第一法、SN/T 1923-2007、SN/T 3983-2014</w:t>
            </w:r>
            <w:r>
              <w:rPr>
                <w:rFonts w:hint="eastAsia" w:ascii="宋体" w:hAnsi="宋体" w:eastAsia="宋体" w:cs="宋体"/>
                <w:color w:val="auto"/>
                <w:szCs w:val="21"/>
                <w:highlight w:val="none"/>
                <w:lang w:val="en-US" w:eastAsia="zh-CN"/>
              </w:rPr>
              <w:t>等</w:t>
            </w:r>
          </w:p>
        </w:tc>
        <w:tc>
          <w:tcPr>
            <w:tcW w:w="1613" w:type="dxa"/>
            <w:noWrap w:val="0"/>
            <w:vAlign w:val="center"/>
          </w:tcPr>
          <w:p w14:paraId="1D560051">
            <w:pPr>
              <w:spacing w:line="276" w:lineRule="auto"/>
              <w:jc w:val="left"/>
              <w:rPr>
                <w:rFonts w:hint="default" w:ascii="宋体" w:hAnsi="宋体"/>
                <w:color w:val="auto"/>
                <w:szCs w:val="24"/>
                <w:highlight w:val="none"/>
                <w:lang w:val="en-US" w:eastAsia="zh-CN"/>
              </w:rPr>
            </w:pPr>
            <w:r>
              <w:rPr>
                <w:rFonts w:hint="eastAsia" w:ascii="宋体" w:hAnsi="宋体"/>
                <w:color w:val="auto"/>
                <w:szCs w:val="24"/>
                <w:highlight w:val="none"/>
                <w:lang w:val="en-US" w:eastAsia="zh-CN"/>
              </w:rPr>
              <w:t>GB 2763</w:t>
            </w:r>
          </w:p>
        </w:tc>
      </w:tr>
      <w:tr w14:paraId="110F0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jc w:val="center"/>
        </w:trPr>
        <w:tc>
          <w:tcPr>
            <w:tcW w:w="680" w:type="dxa"/>
            <w:noWrap w:val="0"/>
            <w:vAlign w:val="center"/>
          </w:tcPr>
          <w:p w14:paraId="4CD9F590">
            <w:pPr>
              <w:widowControl w:val="0"/>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1119" w:type="dxa"/>
            <w:noWrap w:val="0"/>
            <w:vAlign w:val="center"/>
          </w:tcPr>
          <w:p w14:paraId="696E3C86">
            <w:pPr>
              <w:widowControl w:val="0"/>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猪肉、猪肝、牛肉、羊肉</w:t>
            </w:r>
          </w:p>
        </w:tc>
        <w:tc>
          <w:tcPr>
            <w:tcW w:w="3978" w:type="dxa"/>
            <w:noWrap w:val="0"/>
            <w:vAlign w:val="center"/>
          </w:tcPr>
          <w:p w14:paraId="61AC76F8">
            <w:pPr>
              <w:widowControl w:val="0"/>
              <w:numPr>
                <w:ilvl w:val="0"/>
                <w:numId w:val="0"/>
              </w:numPr>
              <w:jc w:val="left"/>
              <w:rPr>
                <w:rFonts w:hint="eastAsia" w:ascii="宋体" w:hAnsi="宋体" w:eastAsia="宋体" w:cs="宋体"/>
                <w:b/>
                <w:i w:val="0"/>
                <w:color w:val="auto"/>
                <w:kern w:val="2"/>
                <w:sz w:val="22"/>
                <w:szCs w:val="22"/>
                <w:highlight w:val="none"/>
                <w:u w:val="none"/>
                <w:lang w:val="en-US" w:eastAsia="zh-CN" w:bidi="ar-SA"/>
              </w:rPr>
            </w:pPr>
            <w:r>
              <w:rPr>
                <w:rFonts w:hint="eastAsia" w:eastAsia="宋体"/>
                <w:color w:val="auto"/>
                <w:highlight w:val="none"/>
                <w:vertAlign w:val="baseline"/>
                <w:lang w:val="en-US" w:eastAsia="zh-CN"/>
              </w:rPr>
              <w:t>β-受体激动剂</w:t>
            </w:r>
            <w:r>
              <w:rPr>
                <w:rFonts w:hint="default"/>
                <w:color w:val="auto"/>
                <w:highlight w:val="none"/>
                <w:vertAlign w:val="baseline"/>
                <w:lang w:val="en-US" w:eastAsia="zh-CN"/>
              </w:rPr>
              <w:t>（克伦特罗、莱克多巴胺、沙丁胺醇</w:t>
            </w:r>
            <w:r>
              <w:rPr>
                <w:rFonts w:hint="eastAsia"/>
                <w:color w:val="auto"/>
                <w:highlight w:val="none"/>
                <w:vertAlign w:val="baseline"/>
                <w:lang w:val="en-US" w:eastAsia="zh-CN"/>
              </w:rPr>
              <w:t>）、磺胺类（磺胺间甲氧嘧啶、磺胺二甲嘧啶、磺胺甲噁唑、磺胺二甲氧嘧啶、磺胺喹噁啉）</w:t>
            </w:r>
            <w:r>
              <w:rPr>
                <w:rFonts w:hint="eastAsia" w:ascii="宋体" w:hAnsi="宋体"/>
                <w:b/>
                <w:color w:val="auto"/>
                <w:szCs w:val="24"/>
                <w:highlight w:val="none"/>
                <w:lang w:eastAsia="zh-CN"/>
              </w:rPr>
              <w:t>、</w:t>
            </w:r>
            <w:r>
              <w:rPr>
                <w:rFonts w:hint="eastAsia"/>
                <w:color w:val="auto"/>
                <w:highlight w:val="none"/>
                <w:vertAlign w:val="baseline"/>
                <w:lang w:val="en-US" w:eastAsia="zh-CN"/>
              </w:rPr>
              <w:t>四环素类（金霉素、土霉素、四环素、多西环素）、</w:t>
            </w:r>
            <w:r>
              <w:rPr>
                <w:rFonts w:hint="eastAsia" w:ascii="宋体" w:hAnsi="宋体" w:cs="宋体"/>
                <w:color w:val="000000"/>
                <w:kern w:val="0"/>
                <w:szCs w:val="21"/>
                <w:highlight w:val="none"/>
                <w:lang w:bidi="ar"/>
              </w:rPr>
              <w:t>泰乐菌素、林可霉素、替米考星</w:t>
            </w:r>
          </w:p>
        </w:tc>
        <w:tc>
          <w:tcPr>
            <w:tcW w:w="2067" w:type="dxa"/>
            <w:noWrap w:val="0"/>
            <w:vAlign w:val="center"/>
          </w:tcPr>
          <w:p w14:paraId="66E1B46D">
            <w:pPr>
              <w:spacing w:line="276" w:lineRule="auto"/>
              <w:jc w:val="left"/>
              <w:rPr>
                <w:rFonts w:hint="default" w:ascii="宋体" w:hAnsi="宋体"/>
                <w:color w:val="auto"/>
                <w:szCs w:val="24"/>
                <w:highlight w:val="none"/>
                <w:lang w:val="en-US" w:eastAsia="zh-CN"/>
              </w:rPr>
            </w:pPr>
            <w:r>
              <w:rPr>
                <w:rFonts w:hint="default" w:ascii="宋体" w:hAnsi="宋体"/>
                <w:color w:val="auto"/>
                <w:szCs w:val="24"/>
                <w:highlight w:val="none"/>
                <w:lang w:val="en-US" w:eastAsia="zh-CN"/>
              </w:rPr>
              <w:t>（农业部 1025公告-18-2008）</w:t>
            </w:r>
            <w:r>
              <w:rPr>
                <w:rFonts w:hint="eastAsia" w:ascii="宋体" w:hAnsi="宋体"/>
                <w:color w:val="auto"/>
                <w:szCs w:val="24"/>
                <w:highlight w:val="none"/>
                <w:lang w:val="en-US" w:eastAsia="zh-CN"/>
              </w:rPr>
              <w:t>、</w:t>
            </w:r>
            <w:r>
              <w:rPr>
                <w:rFonts w:hint="default" w:ascii="宋体" w:hAnsi="宋体"/>
                <w:color w:val="auto"/>
                <w:szCs w:val="24"/>
                <w:highlight w:val="none"/>
                <w:lang w:val="en-US" w:eastAsia="zh-CN"/>
              </w:rPr>
              <w:t>农质发〔2014〕5 号文件附件8</w:t>
            </w:r>
            <w:r>
              <w:rPr>
                <w:rFonts w:hint="eastAsia" w:ascii="宋体" w:hAnsi="宋体"/>
                <w:color w:val="auto"/>
                <w:szCs w:val="24"/>
                <w:highlight w:val="none"/>
                <w:lang w:val="en-US" w:eastAsia="zh-CN"/>
              </w:rPr>
              <w:t>、GB/T 20759-2006、</w:t>
            </w:r>
            <w:r>
              <w:rPr>
                <w:rFonts w:hint="default" w:ascii="宋体" w:hAnsi="宋体"/>
                <w:color w:val="auto"/>
                <w:szCs w:val="24"/>
                <w:highlight w:val="none"/>
                <w:lang w:val="en-US" w:eastAsia="zh-CN"/>
              </w:rPr>
              <w:t>GB/T 21317-2007</w:t>
            </w:r>
            <w:r>
              <w:rPr>
                <w:rFonts w:hint="eastAsia" w:ascii="宋体" w:hAnsi="宋体"/>
                <w:color w:val="auto"/>
                <w:szCs w:val="24"/>
                <w:highlight w:val="none"/>
                <w:lang w:val="en-US" w:eastAsia="zh-CN"/>
              </w:rPr>
              <w:t>等</w:t>
            </w:r>
          </w:p>
        </w:tc>
        <w:tc>
          <w:tcPr>
            <w:tcW w:w="1613" w:type="dxa"/>
            <w:noWrap w:val="0"/>
            <w:vAlign w:val="center"/>
          </w:tcPr>
          <w:p w14:paraId="3F561AF5">
            <w:pPr>
              <w:spacing w:line="276" w:lineRule="auto"/>
              <w:jc w:val="left"/>
              <w:rPr>
                <w:rFonts w:hint="default" w:ascii="宋体" w:hAnsi="宋体"/>
                <w:color w:val="auto"/>
                <w:szCs w:val="24"/>
                <w:highlight w:val="none"/>
                <w:lang w:val="en-US" w:eastAsia="zh-CN"/>
              </w:rPr>
            </w:pPr>
            <w:r>
              <w:rPr>
                <w:rFonts w:hint="default" w:ascii="宋体" w:hAnsi="宋体" w:eastAsia="宋体"/>
                <w:color w:val="auto"/>
                <w:szCs w:val="24"/>
                <w:highlight w:val="none"/>
                <w:lang w:val="en-US" w:eastAsia="zh-CN"/>
              </w:rPr>
              <w:t>农业部公告第560号、农业部公告第2292号</w:t>
            </w:r>
            <w:r>
              <w:rPr>
                <w:rFonts w:hint="eastAsia" w:ascii="Arial" w:hAnsi="Arial" w:cs="Arial"/>
                <w:highlight w:val="none"/>
                <w:lang w:eastAsia="zh-CN"/>
              </w:rPr>
              <w:t>、</w:t>
            </w:r>
            <w:r>
              <w:rPr>
                <w:rFonts w:hint="default" w:ascii="宋体" w:hAnsi="宋体"/>
                <w:color w:val="auto"/>
                <w:szCs w:val="24"/>
                <w:highlight w:val="none"/>
                <w:lang w:val="en-US" w:eastAsia="zh-CN"/>
              </w:rPr>
              <w:t>农业农村部公告第250号</w:t>
            </w:r>
            <w:r>
              <w:rPr>
                <w:rFonts w:hint="eastAsia" w:ascii="宋体" w:hAnsi="宋体"/>
                <w:color w:val="auto"/>
                <w:szCs w:val="24"/>
                <w:highlight w:val="none"/>
                <w:lang w:val="en-US" w:eastAsia="zh-CN"/>
              </w:rPr>
              <w:t>、</w:t>
            </w:r>
            <w:r>
              <w:rPr>
                <w:rFonts w:hint="default" w:ascii="宋体" w:hAnsi="宋体"/>
                <w:color w:val="auto"/>
                <w:szCs w:val="24"/>
                <w:highlight w:val="none"/>
                <w:lang w:val="en-US" w:eastAsia="zh-CN"/>
              </w:rPr>
              <w:t>GB</w:t>
            </w:r>
            <w:r>
              <w:rPr>
                <w:rFonts w:hint="eastAsia" w:ascii="宋体" w:hAnsi="宋体"/>
                <w:color w:val="auto"/>
                <w:szCs w:val="24"/>
                <w:highlight w:val="none"/>
                <w:lang w:val="en-US" w:eastAsia="zh-CN"/>
              </w:rPr>
              <w:t>3</w:t>
            </w:r>
            <w:r>
              <w:rPr>
                <w:rFonts w:hint="default" w:ascii="宋体" w:hAnsi="宋体"/>
                <w:color w:val="auto"/>
                <w:szCs w:val="24"/>
                <w:highlight w:val="none"/>
                <w:lang w:val="en-US" w:eastAsia="zh-CN"/>
              </w:rPr>
              <w:t>1650-2019</w:t>
            </w:r>
            <w:r>
              <w:rPr>
                <w:rFonts w:hint="eastAsia" w:ascii="宋体" w:hAnsi="宋体"/>
                <w:color w:val="auto"/>
                <w:szCs w:val="24"/>
                <w:highlight w:val="none"/>
                <w:lang w:val="en-US" w:eastAsia="zh-CN"/>
              </w:rPr>
              <w:t>、</w:t>
            </w:r>
            <w:r>
              <w:rPr>
                <w:rFonts w:hint="default" w:ascii="宋体" w:hAnsi="宋体" w:eastAsia="宋体"/>
                <w:color w:val="auto"/>
                <w:szCs w:val="24"/>
                <w:highlight w:val="none"/>
                <w:lang w:val="en-US" w:eastAsia="zh-CN"/>
              </w:rPr>
              <w:t>GB 31650.1－2022</w:t>
            </w:r>
          </w:p>
        </w:tc>
      </w:tr>
      <w:tr w14:paraId="3CE9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3" w:hRule="atLeast"/>
          <w:jc w:val="center"/>
        </w:trPr>
        <w:tc>
          <w:tcPr>
            <w:tcW w:w="680" w:type="dxa"/>
            <w:noWrap w:val="0"/>
            <w:vAlign w:val="center"/>
          </w:tcPr>
          <w:p w14:paraId="487B505D">
            <w:pPr>
              <w:widowControl w:val="0"/>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4</w:t>
            </w:r>
          </w:p>
        </w:tc>
        <w:tc>
          <w:tcPr>
            <w:tcW w:w="1119" w:type="dxa"/>
            <w:noWrap w:val="0"/>
            <w:vAlign w:val="center"/>
          </w:tcPr>
          <w:p w14:paraId="0B9138D8">
            <w:pPr>
              <w:widowControl w:val="0"/>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禽肉、禽蛋</w:t>
            </w:r>
          </w:p>
        </w:tc>
        <w:tc>
          <w:tcPr>
            <w:tcW w:w="3978" w:type="dxa"/>
            <w:noWrap w:val="0"/>
            <w:vAlign w:val="center"/>
          </w:tcPr>
          <w:p w14:paraId="7F321847">
            <w:pPr>
              <w:spacing w:line="276" w:lineRule="auto"/>
              <w:jc w:val="left"/>
              <w:rPr>
                <w:rFonts w:hint="eastAsia" w:ascii="宋体" w:hAnsi="宋体" w:eastAsia="宋体" w:cs="宋体"/>
                <w:b/>
                <w:i w:val="0"/>
                <w:color w:val="auto"/>
                <w:kern w:val="2"/>
                <w:sz w:val="22"/>
                <w:szCs w:val="22"/>
                <w:highlight w:val="none"/>
                <w:u w:val="none"/>
                <w:lang w:val="en-US" w:eastAsia="zh-CN" w:bidi="ar-SA"/>
              </w:rPr>
            </w:pPr>
            <w:r>
              <w:rPr>
                <w:rFonts w:hint="eastAsia" w:ascii="宋体" w:hAnsi="宋体"/>
                <w:color w:val="auto"/>
                <w:szCs w:val="24"/>
                <w:highlight w:val="none"/>
                <w:lang w:val="en-US" w:eastAsia="zh-CN"/>
              </w:rPr>
              <w:t>氟喹诺酮类药物（恩诺沙星（含环丙沙星）、沙拉沙星、氧氟沙星、培氟沙星、诺氟沙星、洛美沙星）、</w:t>
            </w:r>
            <w:r>
              <w:rPr>
                <w:rFonts w:hint="eastAsia"/>
                <w:color w:val="auto"/>
                <w:highlight w:val="none"/>
                <w:vertAlign w:val="baseline"/>
                <w:lang w:val="en-US" w:eastAsia="zh-CN"/>
              </w:rPr>
              <w:t>酰胺醇类（氟苯尼考、氟苯尼考胺、甲砜霉素）、</w:t>
            </w:r>
            <w:r>
              <w:rPr>
                <w:rFonts w:hint="eastAsia" w:ascii="宋体" w:hAnsi="宋体" w:cs="宋体"/>
                <w:color w:val="000000"/>
                <w:kern w:val="0"/>
                <w:szCs w:val="21"/>
                <w:highlight w:val="none"/>
                <w:lang w:bidi="ar"/>
              </w:rPr>
              <w:t>金刚烷胺、多西环素（强力霉素）</w:t>
            </w:r>
          </w:p>
        </w:tc>
        <w:tc>
          <w:tcPr>
            <w:tcW w:w="2067" w:type="dxa"/>
            <w:noWrap w:val="0"/>
            <w:vAlign w:val="center"/>
          </w:tcPr>
          <w:p w14:paraId="3F8CE943">
            <w:pPr>
              <w:spacing w:line="276" w:lineRule="auto"/>
              <w:jc w:val="left"/>
              <w:rPr>
                <w:rFonts w:hint="default" w:ascii="宋体" w:hAnsi="宋体"/>
                <w:color w:val="auto"/>
                <w:szCs w:val="24"/>
                <w:highlight w:val="none"/>
                <w:lang w:val="en-US" w:eastAsia="zh-CN"/>
              </w:rPr>
            </w:pPr>
            <w:r>
              <w:rPr>
                <w:rFonts w:hint="eastAsia" w:ascii="宋体" w:hAnsi="宋体"/>
                <w:color w:val="auto"/>
                <w:szCs w:val="24"/>
                <w:highlight w:val="none"/>
                <w:lang w:val="en-US" w:eastAsia="zh-CN"/>
              </w:rPr>
              <w:t>GB/T 20366-2006、GB/T 21317-2007、GB 29690-2013、SN/T 1865-2016、GB/T 22338-2008</w:t>
            </w:r>
          </w:p>
        </w:tc>
        <w:tc>
          <w:tcPr>
            <w:tcW w:w="1613" w:type="dxa"/>
            <w:noWrap w:val="0"/>
            <w:vAlign w:val="center"/>
          </w:tcPr>
          <w:p w14:paraId="03D38E03">
            <w:pPr>
              <w:spacing w:line="276" w:lineRule="auto"/>
              <w:jc w:val="left"/>
              <w:rPr>
                <w:rFonts w:hint="default" w:ascii="宋体" w:hAnsi="宋体"/>
                <w:color w:val="auto"/>
                <w:szCs w:val="24"/>
                <w:highlight w:val="none"/>
                <w:lang w:val="en-US" w:eastAsia="zh-CN"/>
              </w:rPr>
            </w:pPr>
            <w:r>
              <w:rPr>
                <w:rFonts w:hint="default" w:ascii="宋体" w:hAnsi="宋体"/>
                <w:color w:val="auto"/>
                <w:szCs w:val="24"/>
                <w:highlight w:val="none"/>
                <w:lang w:val="en-US" w:eastAsia="zh-CN"/>
              </w:rPr>
              <w:t>GB 31650-2019</w:t>
            </w:r>
            <w:r>
              <w:rPr>
                <w:rFonts w:hint="eastAsia" w:ascii="宋体" w:hAnsi="宋体"/>
                <w:color w:val="auto"/>
                <w:szCs w:val="24"/>
                <w:highlight w:val="none"/>
                <w:lang w:val="en-US" w:eastAsia="zh-CN"/>
              </w:rPr>
              <w:t>、农业部公告第2292号、农业农村部公告第250号</w:t>
            </w:r>
          </w:p>
        </w:tc>
      </w:tr>
      <w:tr w14:paraId="59D47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680" w:type="dxa"/>
            <w:noWrap w:val="0"/>
            <w:vAlign w:val="center"/>
          </w:tcPr>
          <w:p w14:paraId="1AC87C67">
            <w:pPr>
              <w:widowControl w:val="0"/>
              <w:numPr>
                <w:ilvl w:val="0"/>
                <w:numId w:val="0"/>
              </w:numPr>
              <w:jc w:val="center"/>
              <w:rPr>
                <w:rFonts w:hint="eastAsia"/>
                <w:color w:val="auto"/>
                <w:highlight w:val="none"/>
                <w:vertAlign w:val="baseline"/>
                <w:lang w:val="en-US" w:eastAsia="zh-CN"/>
              </w:rPr>
            </w:pPr>
            <w:r>
              <w:rPr>
                <w:rFonts w:hint="eastAsia"/>
                <w:color w:val="auto"/>
                <w:highlight w:val="none"/>
                <w:vertAlign w:val="baseline"/>
                <w:lang w:val="en-US" w:eastAsia="zh-CN"/>
              </w:rPr>
              <w:t>5</w:t>
            </w:r>
          </w:p>
        </w:tc>
        <w:tc>
          <w:tcPr>
            <w:tcW w:w="1119" w:type="dxa"/>
            <w:noWrap w:val="0"/>
            <w:vAlign w:val="center"/>
          </w:tcPr>
          <w:p w14:paraId="2003D490">
            <w:pPr>
              <w:jc w:val="center"/>
              <w:rPr>
                <w:rFonts w:hint="eastAsia" w:ascii="宋体" w:hAnsi="宋体" w:cs="宋体"/>
                <w:color w:val="auto"/>
                <w:szCs w:val="21"/>
                <w:highlight w:val="none"/>
              </w:rPr>
            </w:pPr>
            <w:r>
              <w:rPr>
                <w:rFonts w:hint="eastAsia" w:ascii="宋体" w:hAnsi="宋体" w:cs="宋体"/>
                <w:color w:val="auto"/>
                <w:szCs w:val="21"/>
                <w:highlight w:val="none"/>
              </w:rPr>
              <w:t>养殖虾</w:t>
            </w:r>
            <w:r>
              <w:rPr>
                <w:rFonts w:hint="eastAsia" w:ascii="宋体" w:hAnsi="宋体" w:cs="宋体"/>
                <w:color w:val="auto"/>
                <w:szCs w:val="21"/>
                <w:highlight w:val="none"/>
                <w:lang w:eastAsia="zh-CN"/>
              </w:rPr>
              <w:t>、</w:t>
            </w:r>
            <w:r>
              <w:rPr>
                <w:rFonts w:hint="eastAsia"/>
                <w:color w:val="auto"/>
                <w:highlight w:val="none"/>
              </w:rPr>
              <w:t>养殖鱼</w:t>
            </w:r>
            <w:r>
              <w:rPr>
                <w:rFonts w:hint="eastAsia" w:cs="宋体"/>
                <w:color w:val="auto"/>
                <w:szCs w:val="21"/>
                <w:highlight w:val="none"/>
              </w:rPr>
              <w:t>（包括鳖、小龙虾）</w:t>
            </w:r>
          </w:p>
        </w:tc>
        <w:tc>
          <w:tcPr>
            <w:tcW w:w="3978" w:type="dxa"/>
            <w:noWrap w:val="0"/>
            <w:vAlign w:val="center"/>
          </w:tcPr>
          <w:p w14:paraId="00E9E86C">
            <w:pPr>
              <w:widowControl w:val="0"/>
              <w:numPr>
                <w:ilvl w:val="0"/>
                <w:numId w:val="0"/>
              </w:numPr>
              <w:jc w:val="left"/>
              <w:rPr>
                <w:rFonts w:hint="default" w:eastAsia="宋体"/>
                <w:color w:val="auto"/>
                <w:highlight w:val="none"/>
                <w:vertAlign w:val="baseline"/>
                <w:lang w:val="en-US" w:eastAsia="zh-CN"/>
              </w:rPr>
            </w:pPr>
            <w:r>
              <w:rPr>
                <w:rFonts w:hint="eastAsia" w:ascii="宋体" w:hAnsi="宋体" w:eastAsia="宋体" w:cs="宋体"/>
                <w:color w:val="auto"/>
                <w:szCs w:val="21"/>
                <w:highlight w:val="none"/>
              </w:rPr>
              <w:t>氯霉素、孔雀石绿</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无色孔雀石绿、</w:t>
            </w:r>
            <w:r>
              <w:rPr>
                <w:rFonts w:hint="eastAsia" w:ascii="宋体" w:hAnsi="宋体" w:eastAsia="宋体"/>
                <w:color w:val="auto"/>
                <w:kern w:val="0"/>
                <w:sz w:val="20"/>
                <w:highlight w:val="none"/>
              </w:rPr>
              <w:t>硝基呋喃类代谢物（呋喃唑酮代谢物（</w:t>
            </w:r>
            <w:r>
              <w:rPr>
                <w:rFonts w:ascii="宋体" w:hAnsi="宋体" w:eastAsia="宋体"/>
                <w:color w:val="auto"/>
                <w:kern w:val="0"/>
                <w:sz w:val="20"/>
                <w:highlight w:val="none"/>
              </w:rPr>
              <w:t>AOZ</w:t>
            </w:r>
            <w:r>
              <w:rPr>
                <w:rFonts w:hint="eastAsia" w:ascii="宋体" w:hAnsi="宋体" w:eastAsia="宋体"/>
                <w:color w:val="auto"/>
                <w:kern w:val="0"/>
                <w:sz w:val="20"/>
                <w:highlight w:val="none"/>
              </w:rPr>
              <w:t>）、呋喃西林代谢物（</w:t>
            </w:r>
            <w:r>
              <w:rPr>
                <w:rFonts w:ascii="宋体" w:hAnsi="宋体" w:eastAsia="宋体"/>
                <w:color w:val="auto"/>
                <w:kern w:val="0"/>
                <w:sz w:val="20"/>
                <w:highlight w:val="none"/>
              </w:rPr>
              <w:t>SEM</w:t>
            </w:r>
            <w:r>
              <w:rPr>
                <w:rFonts w:hint="eastAsia" w:ascii="宋体" w:hAnsi="宋体" w:eastAsia="宋体"/>
                <w:color w:val="auto"/>
                <w:kern w:val="0"/>
                <w:sz w:val="20"/>
                <w:highlight w:val="none"/>
              </w:rPr>
              <w:t>）、呋喃它酮代谢物（</w:t>
            </w:r>
            <w:r>
              <w:rPr>
                <w:rFonts w:ascii="宋体" w:hAnsi="宋体" w:eastAsia="宋体"/>
                <w:color w:val="auto"/>
                <w:kern w:val="0"/>
                <w:sz w:val="20"/>
                <w:highlight w:val="none"/>
              </w:rPr>
              <w:t>AMOZ</w:t>
            </w:r>
            <w:r>
              <w:rPr>
                <w:rFonts w:hint="eastAsia" w:ascii="宋体" w:hAnsi="宋体" w:eastAsia="宋体"/>
                <w:color w:val="auto"/>
                <w:kern w:val="0"/>
                <w:sz w:val="20"/>
                <w:highlight w:val="none"/>
              </w:rPr>
              <w:t>）、呋喃妥因代谢物（</w:t>
            </w:r>
            <w:r>
              <w:rPr>
                <w:rFonts w:ascii="宋体" w:hAnsi="宋体" w:eastAsia="宋体"/>
                <w:color w:val="auto"/>
                <w:kern w:val="0"/>
                <w:sz w:val="20"/>
                <w:highlight w:val="none"/>
              </w:rPr>
              <w:t>AHD</w:t>
            </w:r>
            <w:r>
              <w:rPr>
                <w:rFonts w:hint="eastAsia" w:ascii="宋体" w:hAnsi="宋体" w:eastAsia="宋体"/>
                <w:color w:val="auto"/>
                <w:kern w:val="0"/>
                <w:sz w:val="20"/>
                <w:highlight w:val="none"/>
              </w:rPr>
              <w:t>））</w:t>
            </w:r>
            <w:r>
              <w:rPr>
                <w:rFonts w:hint="eastAsia" w:ascii="宋体" w:hAnsi="宋体" w:eastAsia="宋体"/>
                <w:color w:val="auto"/>
                <w:kern w:val="0"/>
                <w:sz w:val="20"/>
                <w:highlight w:val="none"/>
                <w:lang w:eastAsia="zh-CN"/>
              </w:rPr>
              <w:t>、</w:t>
            </w:r>
            <w:r>
              <w:rPr>
                <w:rFonts w:hint="eastAsia" w:ascii="宋体" w:hAnsi="宋体" w:eastAsia="宋体" w:cs="宋体"/>
                <w:color w:val="auto"/>
                <w:szCs w:val="21"/>
                <w:highlight w:val="none"/>
                <w:lang w:val="en-US" w:eastAsia="zh-CN"/>
              </w:rPr>
              <w:t>地西泮</w:t>
            </w:r>
            <w:r>
              <w:rPr>
                <w:rFonts w:hint="eastAsia" w:ascii="宋体" w:hAnsi="宋体" w:cs="宋体"/>
                <w:color w:val="auto"/>
                <w:szCs w:val="21"/>
                <w:highlight w:val="none"/>
                <w:lang w:val="en-US" w:eastAsia="zh-CN"/>
              </w:rPr>
              <w:t>、</w:t>
            </w:r>
            <w:r>
              <w:rPr>
                <w:rFonts w:hint="eastAsia" w:ascii="宋体" w:hAnsi="宋体" w:eastAsia="宋体"/>
                <w:color w:val="auto"/>
                <w:kern w:val="0"/>
                <w:sz w:val="20"/>
                <w:highlight w:val="none"/>
              </w:rPr>
              <w:t>甲砜霉素、甲氧苄啶</w:t>
            </w:r>
          </w:p>
        </w:tc>
        <w:tc>
          <w:tcPr>
            <w:tcW w:w="2067" w:type="dxa"/>
            <w:noWrap w:val="0"/>
            <w:vAlign w:val="center"/>
          </w:tcPr>
          <w:p w14:paraId="0E549179">
            <w:pPr>
              <w:keepNext w:val="0"/>
              <w:keepLines w:val="0"/>
              <w:widowControl/>
              <w:suppressLineNumbers w:val="0"/>
              <w:jc w:val="left"/>
              <w:textAlignment w:val="center"/>
              <w:rPr>
                <w:rFonts w:hint="eastAsia" w:ascii="宋体" w:hAnsi="宋体" w:eastAsia="宋体"/>
                <w:color w:val="auto"/>
                <w:szCs w:val="24"/>
                <w:highlight w:val="none"/>
                <w:lang w:val="en-US" w:eastAsia="zh-CN"/>
              </w:rPr>
            </w:pPr>
            <w:r>
              <w:rPr>
                <w:rFonts w:hint="eastAsia" w:ascii="宋体" w:hAnsi="宋体" w:eastAsia="宋体" w:cs="宋体"/>
                <w:color w:val="auto"/>
                <w:kern w:val="0"/>
                <w:szCs w:val="21"/>
                <w:highlight w:val="none"/>
              </w:rPr>
              <w:t>NY 5070-2002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GB/T 20756-2006</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GB/T 19857-2005</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农业部78</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号公告-</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-2006</w:t>
            </w:r>
            <w:r>
              <w:rPr>
                <w:rFonts w:hint="eastAsia" w:ascii="宋体" w:hAnsi="宋体" w:eastAsia="宋体" w:cs="宋体"/>
                <w:color w:val="auto"/>
                <w:kern w:val="0"/>
                <w:szCs w:val="21"/>
                <w:highlight w:val="none"/>
                <w:lang w:val="en-US" w:eastAsia="zh-CN"/>
              </w:rPr>
              <w:t>等</w:t>
            </w:r>
          </w:p>
        </w:tc>
        <w:tc>
          <w:tcPr>
            <w:tcW w:w="1613" w:type="dxa"/>
            <w:noWrap w:val="0"/>
            <w:vAlign w:val="center"/>
          </w:tcPr>
          <w:p w14:paraId="21FF7AD4">
            <w:pPr>
              <w:spacing w:line="276" w:lineRule="auto"/>
              <w:jc w:val="left"/>
              <w:rPr>
                <w:rFonts w:hint="default" w:ascii="宋体" w:hAnsi="宋体"/>
                <w:color w:val="auto"/>
                <w:szCs w:val="24"/>
                <w:highlight w:val="none"/>
                <w:lang w:val="en-US" w:eastAsia="zh-CN"/>
              </w:rPr>
            </w:pPr>
            <w:r>
              <w:rPr>
                <w:rFonts w:hint="default" w:ascii="宋体" w:hAnsi="宋体"/>
                <w:color w:val="auto"/>
                <w:szCs w:val="24"/>
                <w:highlight w:val="none"/>
                <w:lang w:val="en-US" w:eastAsia="zh-CN"/>
              </w:rPr>
              <w:t>GB 31650-2019</w:t>
            </w:r>
            <w:r>
              <w:rPr>
                <w:rFonts w:hint="eastAsia" w:ascii="宋体" w:hAnsi="宋体"/>
                <w:color w:val="auto"/>
                <w:szCs w:val="24"/>
                <w:highlight w:val="none"/>
                <w:lang w:val="en-US" w:eastAsia="zh-CN"/>
              </w:rPr>
              <w:t>、</w:t>
            </w:r>
          </w:p>
          <w:p w14:paraId="38C69506">
            <w:pPr>
              <w:spacing w:line="276" w:lineRule="auto"/>
              <w:jc w:val="left"/>
              <w:rPr>
                <w:rFonts w:hint="default" w:ascii="宋体" w:hAnsi="宋体"/>
                <w:color w:val="auto"/>
                <w:szCs w:val="24"/>
                <w:highlight w:val="none"/>
                <w:lang w:val="en-US" w:eastAsia="zh-CN"/>
              </w:rPr>
            </w:pPr>
            <w:r>
              <w:rPr>
                <w:rFonts w:hint="default" w:ascii="宋体" w:hAnsi="宋体"/>
                <w:color w:val="auto"/>
                <w:szCs w:val="24"/>
                <w:highlight w:val="none"/>
                <w:lang w:val="en-US" w:eastAsia="zh-CN"/>
              </w:rPr>
              <w:t>农业部公告第2292号</w:t>
            </w:r>
            <w:r>
              <w:rPr>
                <w:rFonts w:hint="eastAsia" w:ascii="宋体" w:hAnsi="宋体"/>
                <w:color w:val="auto"/>
                <w:szCs w:val="24"/>
                <w:highlight w:val="none"/>
                <w:lang w:val="en-US" w:eastAsia="zh-CN"/>
              </w:rPr>
              <w:t>等</w:t>
            </w:r>
          </w:p>
        </w:tc>
      </w:tr>
      <w:tr w14:paraId="04F82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680" w:type="dxa"/>
            <w:noWrap w:val="0"/>
            <w:vAlign w:val="center"/>
          </w:tcPr>
          <w:p w14:paraId="6007D286">
            <w:pPr>
              <w:widowControl w:val="0"/>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6</w:t>
            </w:r>
          </w:p>
        </w:tc>
        <w:tc>
          <w:tcPr>
            <w:tcW w:w="1119" w:type="dxa"/>
            <w:noWrap w:val="0"/>
            <w:vAlign w:val="center"/>
          </w:tcPr>
          <w:p w14:paraId="27BE7954">
            <w:pPr>
              <w:jc w:val="center"/>
              <w:rPr>
                <w:rFonts w:hint="eastAsia" w:ascii="宋体" w:hAnsi="宋体" w:eastAsia="宋体"/>
                <w:color w:val="auto"/>
                <w:kern w:val="0"/>
                <w:sz w:val="20"/>
                <w:szCs w:val="22"/>
                <w:highlight w:val="none"/>
                <w:lang w:val="en-US" w:eastAsia="zh-CN" w:bidi="ar-SA"/>
              </w:rPr>
            </w:pPr>
            <w:r>
              <w:rPr>
                <w:rFonts w:hint="eastAsia" w:ascii="宋体" w:hAnsi="宋体" w:eastAsia="宋体"/>
                <w:color w:val="auto"/>
                <w:kern w:val="0"/>
                <w:sz w:val="20"/>
                <w:szCs w:val="22"/>
                <w:highlight w:val="none"/>
              </w:rPr>
              <w:t>豆芽</w:t>
            </w:r>
          </w:p>
        </w:tc>
        <w:tc>
          <w:tcPr>
            <w:tcW w:w="3978" w:type="dxa"/>
            <w:noWrap w:val="0"/>
            <w:vAlign w:val="center"/>
          </w:tcPr>
          <w:p w14:paraId="04C04CEF">
            <w:pPr>
              <w:rPr>
                <w:rFonts w:hint="eastAsia" w:ascii="宋体" w:hAnsi="宋体" w:eastAsia="宋体" w:cs="宋体"/>
                <w:i w:val="0"/>
                <w:color w:val="auto"/>
                <w:kern w:val="0"/>
                <w:sz w:val="22"/>
                <w:szCs w:val="22"/>
                <w:highlight w:val="none"/>
                <w:u w:val="none"/>
                <w:lang w:val="en-US" w:eastAsia="zh-CN" w:bidi="ar-SA"/>
              </w:rPr>
            </w:pPr>
            <w:r>
              <w:rPr>
                <w:rFonts w:hint="eastAsia" w:ascii="宋体" w:hAnsi="宋体" w:eastAsia="宋体"/>
                <w:color w:val="auto"/>
                <w:kern w:val="0"/>
                <w:sz w:val="20"/>
                <w:szCs w:val="22"/>
                <w:highlight w:val="none"/>
              </w:rPr>
              <w:t>赤霉素、6苄基腺漂呤、4氯苯氧乙酸钠</w:t>
            </w:r>
          </w:p>
        </w:tc>
        <w:tc>
          <w:tcPr>
            <w:tcW w:w="2067" w:type="dxa"/>
            <w:noWrap w:val="0"/>
            <w:vAlign w:val="center"/>
          </w:tcPr>
          <w:p w14:paraId="176CF7EA">
            <w:pPr>
              <w:keepNext w:val="0"/>
              <w:keepLines w:val="0"/>
              <w:widowControl/>
              <w:suppressLineNumbers w:val="0"/>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GB 23200.21-2016、GB/T 23381-2009、SN/T 3725-2013</w:t>
            </w:r>
          </w:p>
        </w:tc>
        <w:tc>
          <w:tcPr>
            <w:tcW w:w="1613" w:type="dxa"/>
            <w:noWrap w:val="0"/>
            <w:vAlign w:val="center"/>
          </w:tcPr>
          <w:p w14:paraId="5124DF44">
            <w:pPr>
              <w:spacing w:line="276" w:lineRule="auto"/>
              <w:jc w:val="left"/>
              <w:rPr>
                <w:rFonts w:hint="default" w:ascii="宋体" w:hAnsi="宋体"/>
                <w:color w:val="auto"/>
                <w:szCs w:val="24"/>
                <w:highlight w:val="none"/>
                <w:lang w:val="en-US" w:eastAsia="zh-CN"/>
              </w:rPr>
            </w:pPr>
            <w:r>
              <w:rPr>
                <w:rFonts w:hint="default" w:ascii="宋体" w:hAnsi="宋体"/>
                <w:color w:val="auto"/>
                <w:sz w:val="21"/>
                <w:szCs w:val="24"/>
                <w:highlight w:val="none"/>
                <w:lang w:val="en-US" w:eastAsia="zh-CN"/>
              </w:rPr>
              <w:t>国家食品药品监督管理总局农业部国家卫生和计划生育委员会关于豆芽生产过程中禁止使用6-苄基腺嘌呤等物质的公告(2015年第11号)</w:t>
            </w:r>
          </w:p>
        </w:tc>
      </w:tr>
      <w:tr w14:paraId="150C6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457" w:type="dxa"/>
            <w:gridSpan w:val="5"/>
            <w:noWrap w:val="0"/>
            <w:vAlign w:val="center"/>
          </w:tcPr>
          <w:p w14:paraId="6AF4C2CD">
            <w:pPr>
              <w:spacing w:line="276" w:lineRule="auto"/>
              <w:jc w:val="left"/>
              <w:rPr>
                <w:rFonts w:hint="eastAsia" w:ascii="宋体" w:hAnsi="宋体" w:eastAsia="宋体"/>
                <w:color w:val="auto"/>
                <w:sz w:val="21"/>
                <w:szCs w:val="24"/>
                <w:highlight w:val="none"/>
                <w:lang w:val="en-US" w:eastAsia="zh-CN"/>
              </w:rPr>
            </w:pPr>
          </w:p>
        </w:tc>
      </w:tr>
    </w:tbl>
    <w:p w14:paraId="0E0660F7">
      <w:pPr>
        <w:snapToGrid w:val="0"/>
        <w:spacing w:line="460" w:lineRule="exact"/>
        <w:ind w:firstLine="440" w:firstLineChars="200"/>
        <w:jc w:val="left"/>
        <w:rPr>
          <w:rFonts w:ascii="宋体" w:hAnsi="宋体"/>
          <w:sz w:val="22"/>
          <w:szCs w:val="22"/>
          <w:highlight w:val="none"/>
        </w:rPr>
      </w:pPr>
    </w:p>
    <w:p w14:paraId="3B69CBA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三、</w:t>
      </w:r>
      <w:r>
        <w:rPr>
          <w:rFonts w:hint="eastAsia" w:ascii="宋体" w:hAnsi="宋体" w:eastAsia="宋体" w:cs="宋体"/>
          <w:b/>
          <w:bCs/>
          <w:color w:val="auto"/>
          <w:sz w:val="22"/>
          <w:szCs w:val="22"/>
          <w:highlight w:val="none"/>
          <w:lang w:val="en-US" w:eastAsia="zh-CN"/>
        </w:rPr>
        <w:t>服务要求</w:t>
      </w:r>
    </w:p>
    <w:p w14:paraId="72C7F7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2" w:firstLineChars="200"/>
        <w:jc w:val="both"/>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1、服务期限：</w:t>
      </w:r>
      <w:r>
        <w:rPr>
          <w:rFonts w:hint="eastAsia" w:ascii="宋体" w:hAnsi="宋体"/>
          <w:sz w:val="22"/>
          <w:szCs w:val="22"/>
          <w:highlight w:val="none"/>
          <w:lang w:val="en-US" w:eastAsia="zh-CN"/>
        </w:rPr>
        <w:t>服务</w:t>
      </w:r>
      <w:r>
        <w:rPr>
          <w:rFonts w:hint="eastAsia" w:ascii="宋体" w:hAnsi="宋体"/>
          <w:sz w:val="22"/>
          <w:szCs w:val="22"/>
          <w:highlight w:val="none"/>
        </w:rPr>
        <w:t>期限为</w:t>
      </w:r>
      <w:r>
        <w:rPr>
          <w:rFonts w:hint="eastAsia" w:ascii="宋体" w:hAnsi="宋体"/>
          <w:sz w:val="22"/>
          <w:szCs w:val="22"/>
          <w:highlight w:val="none"/>
          <w:lang w:val="en-US" w:eastAsia="zh-CN"/>
        </w:rPr>
        <w:t>2</w:t>
      </w:r>
      <w:r>
        <w:rPr>
          <w:rFonts w:hint="eastAsia" w:ascii="宋体" w:hAnsi="宋体"/>
          <w:sz w:val="22"/>
          <w:szCs w:val="22"/>
          <w:highlight w:val="none"/>
        </w:rPr>
        <w:t>年</w:t>
      </w:r>
      <w:r>
        <w:rPr>
          <w:rFonts w:hint="eastAsia" w:ascii="宋体" w:hAnsi="宋体"/>
          <w:sz w:val="22"/>
          <w:szCs w:val="22"/>
          <w:highlight w:val="none"/>
          <w:lang w:eastAsia="zh-CN"/>
        </w:rPr>
        <w:t>，</w:t>
      </w:r>
      <w:r>
        <w:rPr>
          <w:rFonts w:hint="eastAsia" w:ascii="宋体" w:hAnsi="宋体"/>
          <w:sz w:val="22"/>
          <w:szCs w:val="22"/>
          <w:highlight w:val="none"/>
          <w:lang w:val="en-US" w:eastAsia="zh-CN"/>
        </w:rPr>
        <w:t>合同一年一签</w:t>
      </w:r>
      <w:r>
        <w:rPr>
          <w:rFonts w:hint="eastAsia" w:ascii="宋体" w:hAnsi="宋体" w:eastAsia="宋体" w:cs="宋体"/>
          <w:color w:val="auto"/>
          <w:sz w:val="22"/>
          <w:szCs w:val="22"/>
          <w:highlight w:val="none"/>
          <w:lang w:val="en-US" w:eastAsia="zh-CN"/>
        </w:rPr>
        <w:t>。</w:t>
      </w:r>
    </w:p>
    <w:p w14:paraId="4FD26C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2"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2、抽样保障：</w:t>
      </w:r>
      <w:r>
        <w:rPr>
          <w:rFonts w:hint="eastAsia" w:ascii="宋体" w:hAnsi="宋体" w:eastAsia="宋体" w:cs="宋体"/>
          <w:color w:val="auto"/>
          <w:sz w:val="22"/>
          <w:szCs w:val="22"/>
          <w:highlight w:val="none"/>
          <w:lang w:val="en-US" w:eastAsia="zh-CN"/>
        </w:rPr>
        <w:t>供应商需在采购方所在地派驻有项目对接人员、专职抽样人员和抽样车辆，以满足采购方抽检及售后需求。专职人员的工作安排和车辆使用应优先满足采购方的安排，投标报价时应考虑全部的风险因素。</w:t>
      </w:r>
    </w:p>
    <w:p w14:paraId="4D8139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2"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3、抽样对象：</w:t>
      </w:r>
      <w:r>
        <w:rPr>
          <w:rFonts w:hint="eastAsia" w:ascii="宋体" w:hAnsi="宋体" w:eastAsia="宋体" w:cs="宋体"/>
          <w:color w:val="auto"/>
          <w:sz w:val="22"/>
          <w:szCs w:val="22"/>
          <w:highlight w:val="none"/>
          <w:lang w:val="en-US" w:eastAsia="zh-CN"/>
        </w:rPr>
        <w:t>抽样对象由采购方根据工作实际自行确定，供应商应无条件服从采购方的安排开展采样工作。投标报价时应考虑全部的风险因素。</w:t>
      </w:r>
    </w:p>
    <w:p w14:paraId="0E39D3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2"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4、抽样方法：</w:t>
      </w:r>
      <w:r>
        <w:rPr>
          <w:rFonts w:hint="eastAsia" w:ascii="宋体" w:hAnsi="宋体" w:eastAsia="宋体" w:cs="宋体"/>
          <w:color w:val="auto"/>
          <w:sz w:val="22"/>
          <w:szCs w:val="22"/>
          <w:highlight w:val="none"/>
          <w:lang w:val="en-US" w:eastAsia="zh-CN"/>
        </w:rPr>
        <w:t>蔬菜、水果采样按《农药残留分析样本的采样方法》（NY/T 789-2004）执行；猪尿、猪肉、猪肝、羊肉、禽肉、禽蛋等畜禽产品采样按《动物及动物产品兽药残留监控抽样规范》（NY/T 1897-2010）执行；茶叶采样按《茶 取样》（GB/T 8302-2013）执行；水产品采样按照《水产品抽样规范》（GB/T 30891-2014）执行。</w:t>
      </w:r>
    </w:p>
    <w:p w14:paraId="6BB577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2"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5、样品费支付：</w:t>
      </w:r>
      <w:r>
        <w:rPr>
          <w:rFonts w:hint="eastAsia" w:ascii="宋体" w:hAnsi="宋体" w:eastAsia="宋体" w:cs="宋体"/>
          <w:color w:val="auto"/>
          <w:sz w:val="22"/>
          <w:szCs w:val="22"/>
          <w:highlight w:val="none"/>
          <w:lang w:val="en-US" w:eastAsia="zh-CN"/>
        </w:rPr>
        <w:t>供应商派遣专职抽样人员应按规定向被抽检对象支付样品购买费。样品费包含在采够预算金额内，供应商应充分考虑样品的价格差异风险。</w:t>
      </w:r>
    </w:p>
    <w:p w14:paraId="71562C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2"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6、样品运输与保存：</w:t>
      </w:r>
      <w:r>
        <w:rPr>
          <w:rFonts w:hint="eastAsia" w:ascii="宋体" w:hAnsi="宋体" w:eastAsia="宋体" w:cs="宋体"/>
          <w:color w:val="auto"/>
          <w:sz w:val="22"/>
          <w:szCs w:val="22"/>
          <w:highlight w:val="none"/>
          <w:lang w:val="en-US" w:eastAsia="zh-CN"/>
        </w:rPr>
        <w:t>供应商必须配合采购方做好技术支持，到现场采样、取样，不另收取费用。样品运输与保存均由供应商负责，采样后及时送达供应商实验室进行检验检测，运输过程需采取相应措施，确保样品的新鲜度和安全，不发生影响检验结论的变化。供应商要建立抽检样品的管理规范，应有样品登记、编号等流转记录，配备必要的设备设施，在规定条件下保存备样，确保备样的有效性。对检验结论为不合格的产品，其备样应保留至被抽查农产品生产经营单位不合格后处理工作结束后方可处置。</w:t>
      </w:r>
    </w:p>
    <w:p w14:paraId="04ADBA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2" w:firstLineChars="200"/>
        <w:jc w:val="both"/>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7、检验及结果报告：</w:t>
      </w:r>
    </w:p>
    <w:p w14:paraId="2011F1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（1）检验实验室：样品必须在投标文件中明确的承担本项目检测的实验室中进行检测。未经采购方同意擅自分包或者转包检验任务的，将取消其检测服务资格。</w:t>
      </w:r>
    </w:p>
    <w:p w14:paraId="563909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检验依据：供应商应按照招标文件规定的技术要求对样品进行检验检测，若同一标准已颁发新标准，则按最新标准执行。对农产品中非法添加其它违禁药物的检测，经采购方同意，可以采用其它法律规定的方检测方法检测残留实测值，以进一步掌握农、兽药非法使用和添加的违法行为。</w:t>
      </w:r>
    </w:p>
    <w:p w14:paraId="567CAA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（3）结果判定：供应商应根据国家相关标准进行判定检测项目是否合格并出具检测结果，同时要对检测结果进行综合评价和原因分析，完成相应的数据汇总、总结报告等。</w:t>
      </w:r>
    </w:p>
    <w:p w14:paraId="679F56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出具报告：供应商须在自收到样品之日起10个工作日内出具检测报告，检测合格的报告提交一式二份，检测不合格的报告提交一式三份，检测报告均需提供电子检测报告。出具的检验报告应具有相关执法效力，检验结论不合格的，供应商应当在检验结论作出后2个工作日内报告采购方；检验结论合格的，供应商应当在出具检测报告后3个工作日内报告采购方。供应商出具的抽样单和检验报告盖章落款单位名称必须与其投标时所用单位名称一致，检验报告数据必须真实有效，否则招标人将取消其中标资格，并终止合同及没收履约保证金。</w:t>
      </w:r>
    </w:p>
    <w:p w14:paraId="7D51B7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2"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8、样品复检：</w:t>
      </w:r>
      <w:r>
        <w:rPr>
          <w:rFonts w:hint="eastAsia" w:ascii="宋体" w:hAnsi="宋体" w:eastAsia="宋体" w:cs="宋体"/>
          <w:color w:val="auto"/>
          <w:sz w:val="22"/>
          <w:szCs w:val="22"/>
          <w:highlight w:val="none"/>
          <w:lang w:val="en-US" w:eastAsia="zh-CN"/>
        </w:rPr>
        <w:t>若需要复检的，应由采购方指定第三方检测机构进行复检，供应商应配合复检机构完成复检，及时做好复检样品交接工作，并承担合理的备样寄送费用。若提交的报告经复检后，更改结果的，由供应商支付并承担相应的复检费用，并记一次不合格。一个季度内不合格累计次数达到2次以上的采购方有权扣除检测费尾款的10%作为处罚。</w:t>
      </w:r>
    </w:p>
    <w:p w14:paraId="191718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2"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9、质量保证：</w:t>
      </w:r>
      <w:r>
        <w:rPr>
          <w:rFonts w:hint="eastAsia" w:ascii="宋体" w:hAnsi="宋体" w:eastAsia="宋体" w:cs="宋体"/>
          <w:color w:val="auto"/>
          <w:sz w:val="22"/>
          <w:szCs w:val="22"/>
          <w:highlight w:val="none"/>
          <w:lang w:val="en-US" w:eastAsia="zh-CN"/>
        </w:rPr>
        <w:t>供应商主动向采购人汇报项目进度，及时向采购方提供检验结果分析，全年任务完成后，应向采购方提交年度分析报告。采购方提出查看原始数据的，供应商需2天内提供原始数据供采购方查看。为保证项目质量，采购方有权到承检方实验室现场审查原始数据，也可委派专家人员到供应商实验室审查。</w:t>
      </w:r>
    </w:p>
    <w:p w14:paraId="52139D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2" w:firstLineChars="200"/>
        <w:jc w:val="both"/>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（三）其他要求</w:t>
      </w:r>
    </w:p>
    <w:p w14:paraId="2F5CF4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 供应商应保证所受托检测项目能提供计量认证标识，保证检测结果的合法性、科学性、公正性和有效性。</w:t>
      </w:r>
    </w:p>
    <w:p w14:paraId="4F7737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2、保密责任：涉及抽样的全部情况包括数据及结果，供应商必须保密，不得向除采购方外的任何单位与个人透露情况。</w:t>
      </w:r>
    </w:p>
    <w:p w14:paraId="7B1950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失误责任：供应商对检验结果的真实性负责，不得故意隐瞒、修改检验结果，由于虚假、错误检验数据和结论而给被检验人造成损失的，或者给社会带来不良影响的，供应商应当负责赔偿，并承担相应法律责任。</w:t>
      </w:r>
    </w:p>
    <w:p w14:paraId="0D8990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 本项目投标以合计总价形式进行报价，合同款按照具体委托检测品种的检测批次和投标批次单价进行结算。</w:t>
      </w:r>
    </w:p>
    <w:p w14:paraId="58A925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5、项目实施过程中项目组负责人发生变动的，需提前通知采购方，更换后的人员专业素质、技术能力及经验等情况不能低于原先水准。如采购方对项目组人员服务能力或态度不满意的，供应商必须及时更换。</w:t>
      </w:r>
    </w:p>
    <w:p w14:paraId="1BA6C2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6、如某一批次或某一品种，供应商无法检测的，必须经采购方同意后委托具有检测能力的第三方检测，费用由供应商承担。未经采购方同意擅自分包或者转包检验任务的，将取消其检测服务资格。</w:t>
      </w:r>
    </w:p>
    <w:p w14:paraId="3FC89C8D">
      <w:pPr>
        <w:pStyle w:val="38"/>
        <w:ind w:firstLine="210"/>
        <w:rPr>
          <w:highlight w:val="none"/>
        </w:rPr>
      </w:pPr>
    </w:p>
    <w:p w14:paraId="192C804E">
      <w:pPr>
        <w:widowControl/>
        <w:jc w:val="left"/>
        <w:rPr>
          <w:rFonts w:ascii="宋体" w:hAnsi="宋体" w:cs="Arial Unicode MS"/>
          <w:b/>
          <w:bCs/>
          <w:sz w:val="36"/>
          <w:szCs w:val="36"/>
          <w:highlight w:val="none"/>
          <w:lang w:val="zh-CN"/>
        </w:rPr>
      </w:pPr>
      <w:r>
        <w:rPr>
          <w:rFonts w:ascii="宋体" w:hAnsi="宋体" w:cs="Arial Unicode MS"/>
          <w:sz w:val="36"/>
          <w:szCs w:val="36"/>
          <w:highlight w:val="none"/>
        </w:rPr>
        <w:br w:type="page"/>
      </w:r>
    </w:p>
    <w:p w14:paraId="51668A92">
      <w:pPr>
        <w:pStyle w:val="3"/>
        <w:spacing w:before="240" w:beforeLines="100"/>
        <w:rPr>
          <w:rFonts w:ascii="宋体" w:hAnsi="宋体" w:eastAsia="宋体" w:cs="Arial Unicode MS"/>
          <w:sz w:val="36"/>
          <w:szCs w:val="36"/>
          <w:highlight w:val="none"/>
        </w:rPr>
      </w:pPr>
      <w:r>
        <w:rPr>
          <w:rFonts w:hint="eastAsia" w:ascii="宋体" w:hAnsi="宋体" w:eastAsia="宋体" w:cs="Arial Unicode MS"/>
          <w:sz w:val="36"/>
          <w:szCs w:val="36"/>
          <w:highlight w:val="none"/>
        </w:rPr>
        <w:t xml:space="preserve">第五部分   </w:t>
      </w:r>
      <w:bookmarkEnd w:id="249"/>
      <w:bookmarkEnd w:id="250"/>
      <w:bookmarkEnd w:id="251"/>
      <w:bookmarkEnd w:id="252"/>
      <w:bookmarkEnd w:id="253"/>
      <w:r>
        <w:rPr>
          <w:rFonts w:hint="eastAsia" w:ascii="宋体" w:hAnsi="宋体" w:eastAsia="宋体"/>
          <w:sz w:val="36"/>
          <w:szCs w:val="36"/>
          <w:highlight w:val="none"/>
        </w:rPr>
        <w:t>评标原则及办法</w:t>
      </w:r>
      <w:bookmarkEnd w:id="254"/>
    </w:p>
    <w:p w14:paraId="65DEE6EB">
      <w:pPr>
        <w:pStyle w:val="2"/>
        <w:spacing w:after="0" w:line="360" w:lineRule="auto"/>
        <w:rPr>
          <w:rFonts w:ascii="宋体" w:hAnsi="宋体" w:eastAsia="宋体"/>
          <w:b/>
          <w:sz w:val="22"/>
          <w:szCs w:val="22"/>
          <w:highlight w:val="none"/>
        </w:rPr>
      </w:pPr>
      <w:bookmarkStart w:id="255" w:name="_Toc221356961"/>
      <w:bookmarkStart w:id="256" w:name="_Toc221356898"/>
      <w:r>
        <w:rPr>
          <w:rFonts w:hint="eastAsia" w:ascii="宋体" w:hAnsi="宋体" w:eastAsia="宋体"/>
          <w:b/>
          <w:sz w:val="22"/>
          <w:szCs w:val="22"/>
          <w:highlight w:val="none"/>
        </w:rPr>
        <w:t>一、总  则</w:t>
      </w:r>
      <w:bookmarkEnd w:id="255"/>
      <w:bookmarkEnd w:id="256"/>
    </w:p>
    <w:p w14:paraId="334DA415">
      <w:pPr>
        <w:spacing w:line="360" w:lineRule="auto"/>
        <w:ind w:left="439" w:leftChars="209"/>
        <w:rPr>
          <w:rFonts w:ascii="宋体" w:hAnsi="宋体"/>
          <w:sz w:val="22"/>
          <w:szCs w:val="22"/>
          <w:highlight w:val="none"/>
        </w:rPr>
      </w:pPr>
      <w:r>
        <w:rPr>
          <w:rFonts w:hint="eastAsia" w:ascii="宋体" w:hAnsi="宋体"/>
          <w:sz w:val="22"/>
          <w:szCs w:val="22"/>
          <w:highlight w:val="none"/>
        </w:rPr>
        <w:t>评标工作遵循公平、公正、科学、择优原则和诚实、信誉、效率的服务原则，本着科学、严谨的态度，认真进行评标，最大限度的保护当事人权益，严格按照招标文件的商务、技术要求，对投标文件进行综合评定，推荐中标候选人，并编写评标报告。对非中标单位，评标委员会不作任何落标解释。投标人不得以任何方式干扰招投标工作的进行，一经发现其投标文件将被拒绝。</w:t>
      </w:r>
    </w:p>
    <w:p w14:paraId="449C83E2">
      <w:pPr>
        <w:pStyle w:val="2"/>
        <w:spacing w:after="0" w:line="360" w:lineRule="auto"/>
        <w:rPr>
          <w:rFonts w:ascii="宋体" w:hAnsi="宋体" w:eastAsia="宋体"/>
          <w:b/>
          <w:sz w:val="22"/>
          <w:szCs w:val="22"/>
          <w:highlight w:val="none"/>
        </w:rPr>
      </w:pPr>
      <w:bookmarkStart w:id="257" w:name="_Toc221356899"/>
      <w:bookmarkStart w:id="258" w:name="_Toc221356962"/>
      <w:r>
        <w:rPr>
          <w:rFonts w:hint="eastAsia" w:ascii="宋体" w:hAnsi="宋体" w:eastAsia="宋体"/>
          <w:b/>
          <w:sz w:val="22"/>
          <w:szCs w:val="22"/>
          <w:highlight w:val="none"/>
        </w:rPr>
        <w:t>二、评标组织</w:t>
      </w:r>
      <w:bookmarkEnd w:id="257"/>
      <w:bookmarkEnd w:id="258"/>
    </w:p>
    <w:p w14:paraId="437C4F2A">
      <w:pPr>
        <w:spacing w:line="360" w:lineRule="auto"/>
        <w:ind w:left="439" w:leftChars="209"/>
        <w:rPr>
          <w:rFonts w:ascii="宋体" w:hAnsi="宋体"/>
          <w:sz w:val="22"/>
          <w:szCs w:val="22"/>
          <w:highlight w:val="none"/>
        </w:rPr>
      </w:pPr>
      <w:r>
        <w:rPr>
          <w:rFonts w:hint="eastAsia" w:ascii="宋体" w:hAnsi="宋体"/>
          <w:sz w:val="22"/>
          <w:szCs w:val="22"/>
          <w:highlight w:val="none"/>
        </w:rPr>
        <w:t>评标工作由采购人依法组建的评标委员会负责，评标全过程由有关部门指导监督。全体评委应认真审阅招标文件，了解评委应履行或遵守的职责、义务和评标纪律,</w:t>
      </w:r>
      <w:r>
        <w:rPr>
          <w:rFonts w:ascii="宋体" w:hAnsi="宋体"/>
          <w:sz w:val="22"/>
          <w:szCs w:val="22"/>
          <w:highlight w:val="none"/>
        </w:rPr>
        <w:t xml:space="preserve"> 依法独立履行有关职责</w:t>
      </w:r>
      <w:r>
        <w:rPr>
          <w:rFonts w:hint="eastAsia" w:ascii="宋体" w:hAnsi="宋体"/>
          <w:sz w:val="22"/>
          <w:szCs w:val="22"/>
          <w:highlight w:val="none"/>
        </w:rPr>
        <w:t>。</w:t>
      </w:r>
    </w:p>
    <w:p w14:paraId="12F5E4D6">
      <w:pPr>
        <w:pStyle w:val="2"/>
        <w:spacing w:after="0" w:line="360" w:lineRule="auto"/>
        <w:rPr>
          <w:rFonts w:ascii="宋体" w:hAnsi="宋体" w:eastAsia="宋体"/>
          <w:b/>
          <w:sz w:val="22"/>
          <w:szCs w:val="22"/>
          <w:highlight w:val="none"/>
        </w:rPr>
      </w:pPr>
      <w:bookmarkStart w:id="259" w:name="_Toc221356964"/>
      <w:bookmarkStart w:id="260" w:name="_Toc221356901"/>
      <w:r>
        <w:rPr>
          <w:rFonts w:hint="eastAsia" w:ascii="宋体" w:hAnsi="宋体" w:eastAsia="宋体"/>
          <w:b/>
          <w:sz w:val="22"/>
          <w:szCs w:val="22"/>
          <w:highlight w:val="none"/>
        </w:rPr>
        <w:t>三、评标办法</w:t>
      </w:r>
      <w:bookmarkEnd w:id="259"/>
      <w:bookmarkEnd w:id="260"/>
    </w:p>
    <w:p w14:paraId="7E58B2C4">
      <w:pPr>
        <w:spacing w:line="360" w:lineRule="auto"/>
        <w:ind w:left="439" w:leftChars="209"/>
        <w:rPr>
          <w:rFonts w:ascii="宋体" w:hAnsi="宋体"/>
          <w:sz w:val="22"/>
          <w:highlight w:val="none"/>
        </w:rPr>
      </w:pPr>
      <w:bookmarkStart w:id="261" w:name="_Toc221356965"/>
      <w:bookmarkStart w:id="262" w:name="_Toc221356902"/>
      <w:r>
        <w:rPr>
          <w:rFonts w:ascii="宋体" w:hAnsi="宋体"/>
          <w:sz w:val="22"/>
          <w:highlight w:val="none"/>
        </w:rPr>
        <w:t>本</w:t>
      </w:r>
      <w:r>
        <w:rPr>
          <w:rFonts w:hint="eastAsia" w:ascii="宋体" w:hAnsi="宋体"/>
          <w:sz w:val="22"/>
          <w:highlight w:val="none"/>
        </w:rPr>
        <w:t>项目</w:t>
      </w:r>
      <w:r>
        <w:rPr>
          <w:rFonts w:ascii="宋体" w:hAnsi="宋体"/>
          <w:sz w:val="22"/>
          <w:highlight w:val="none"/>
        </w:rPr>
        <w:t>采用百分制综合评分法，即投标人最大限度地满足招标文件实质性要求的基础上，按照招标文件的各项因素进行综合评审后，以</w:t>
      </w:r>
      <w:r>
        <w:rPr>
          <w:rFonts w:hint="eastAsia" w:ascii="宋体" w:hAnsi="宋体"/>
          <w:sz w:val="22"/>
          <w:highlight w:val="none"/>
        </w:rPr>
        <w:t>综合得分</w:t>
      </w:r>
      <w:r>
        <w:rPr>
          <w:rFonts w:ascii="宋体" w:hAnsi="宋体"/>
          <w:sz w:val="22"/>
          <w:highlight w:val="none"/>
        </w:rPr>
        <w:t>最高</w:t>
      </w:r>
      <w:r>
        <w:rPr>
          <w:rFonts w:hint="eastAsia" w:ascii="宋体" w:hAnsi="宋体"/>
          <w:sz w:val="22"/>
          <w:highlight w:val="none"/>
        </w:rPr>
        <w:t>、</w:t>
      </w:r>
      <w:r>
        <w:rPr>
          <w:rFonts w:ascii="宋体" w:hAnsi="宋体"/>
          <w:sz w:val="22"/>
          <w:highlight w:val="none"/>
        </w:rPr>
        <w:t>次高的投标人作为第一和第二排序的中标候选人的评标方法。根据</w:t>
      </w:r>
      <w:r>
        <w:rPr>
          <w:rFonts w:hint="eastAsia" w:ascii="宋体" w:hAnsi="宋体"/>
          <w:sz w:val="22"/>
          <w:highlight w:val="none"/>
        </w:rPr>
        <w:t>采购</w:t>
      </w:r>
      <w:r>
        <w:rPr>
          <w:rFonts w:ascii="宋体" w:hAnsi="宋体"/>
          <w:sz w:val="22"/>
          <w:highlight w:val="none"/>
        </w:rPr>
        <w:t>要求，总分设定为100分；其中商务技术</w:t>
      </w:r>
      <w:r>
        <w:rPr>
          <w:rFonts w:hint="eastAsia" w:ascii="宋体" w:hAnsi="宋体"/>
          <w:sz w:val="22"/>
          <w:highlight w:val="none"/>
        </w:rPr>
        <w:t>文件</w:t>
      </w:r>
      <w:r>
        <w:rPr>
          <w:rFonts w:hint="eastAsia" w:ascii="宋体" w:hAnsi="宋体"/>
          <w:sz w:val="22"/>
          <w:highlight w:val="none"/>
          <w:lang w:val="en-US" w:eastAsia="zh-CN"/>
        </w:rPr>
        <w:t>7</w:t>
      </w:r>
      <w:r>
        <w:rPr>
          <w:rFonts w:ascii="宋体" w:hAnsi="宋体"/>
          <w:sz w:val="22"/>
          <w:highlight w:val="none"/>
        </w:rPr>
        <w:t>0分（技术权值</w:t>
      </w:r>
      <w:r>
        <w:rPr>
          <w:rFonts w:hint="eastAsia" w:ascii="宋体" w:hAnsi="宋体"/>
          <w:sz w:val="22"/>
          <w:highlight w:val="none"/>
          <w:lang w:val="en-US" w:eastAsia="zh-CN"/>
        </w:rPr>
        <w:t>7</w:t>
      </w:r>
      <w:r>
        <w:rPr>
          <w:rFonts w:ascii="宋体" w:hAnsi="宋体"/>
          <w:sz w:val="22"/>
          <w:highlight w:val="none"/>
        </w:rPr>
        <w:t>0%），报价</w:t>
      </w:r>
      <w:r>
        <w:rPr>
          <w:rFonts w:hint="eastAsia" w:ascii="宋体" w:hAnsi="宋体"/>
          <w:sz w:val="22"/>
          <w:highlight w:val="none"/>
        </w:rPr>
        <w:t>文件</w:t>
      </w:r>
      <w:r>
        <w:rPr>
          <w:rFonts w:hint="eastAsia" w:ascii="宋体" w:hAnsi="宋体"/>
          <w:sz w:val="22"/>
          <w:highlight w:val="none"/>
          <w:lang w:val="en-US" w:eastAsia="zh-CN"/>
        </w:rPr>
        <w:t>3</w:t>
      </w:r>
      <w:r>
        <w:rPr>
          <w:rFonts w:ascii="宋体" w:hAnsi="宋体"/>
          <w:sz w:val="22"/>
          <w:highlight w:val="none"/>
        </w:rPr>
        <w:t>0分（价格权值</w:t>
      </w:r>
      <w:r>
        <w:rPr>
          <w:rFonts w:hint="eastAsia" w:ascii="宋体" w:hAnsi="宋体"/>
          <w:sz w:val="22"/>
          <w:highlight w:val="none"/>
          <w:lang w:val="en-US" w:eastAsia="zh-CN"/>
        </w:rPr>
        <w:t>3</w:t>
      </w:r>
      <w:r>
        <w:rPr>
          <w:rFonts w:ascii="宋体" w:hAnsi="宋体"/>
          <w:sz w:val="22"/>
          <w:highlight w:val="none"/>
        </w:rPr>
        <w:t>0%）。</w:t>
      </w:r>
    </w:p>
    <w:p w14:paraId="2BCEFEEB">
      <w:pPr>
        <w:pStyle w:val="2"/>
        <w:spacing w:after="0" w:line="360" w:lineRule="auto"/>
        <w:rPr>
          <w:rFonts w:ascii="宋体" w:hAnsi="宋体" w:eastAsia="宋体"/>
          <w:b/>
          <w:sz w:val="22"/>
          <w:szCs w:val="22"/>
          <w:highlight w:val="none"/>
        </w:rPr>
      </w:pPr>
      <w:r>
        <w:rPr>
          <w:rFonts w:hint="eastAsia" w:ascii="宋体" w:hAnsi="宋体" w:eastAsia="宋体"/>
          <w:b/>
          <w:sz w:val="22"/>
          <w:szCs w:val="22"/>
          <w:highlight w:val="none"/>
        </w:rPr>
        <w:t>四、</w:t>
      </w:r>
      <w:bookmarkEnd w:id="261"/>
      <w:bookmarkEnd w:id="262"/>
      <w:r>
        <w:rPr>
          <w:rFonts w:hint="eastAsia" w:ascii="宋体" w:hAnsi="宋体" w:eastAsia="宋体"/>
          <w:b/>
          <w:sz w:val="22"/>
          <w:szCs w:val="22"/>
          <w:highlight w:val="none"/>
        </w:rPr>
        <w:t>评标内容及标准</w:t>
      </w:r>
    </w:p>
    <w:p w14:paraId="3F163EA2">
      <w:pPr>
        <w:spacing w:line="360" w:lineRule="auto"/>
        <w:rPr>
          <w:rFonts w:ascii="宋体" w:hAnsi="宋体"/>
          <w:sz w:val="22"/>
          <w:szCs w:val="22"/>
          <w:highlight w:val="none"/>
        </w:rPr>
      </w:pPr>
      <w:r>
        <w:rPr>
          <w:rFonts w:hint="eastAsia" w:ascii="宋体" w:hAnsi="宋体"/>
          <w:sz w:val="22"/>
          <w:szCs w:val="22"/>
          <w:highlight w:val="none"/>
        </w:rPr>
        <w:t>1、 商务技术分的评定（</w:t>
      </w:r>
      <w:r>
        <w:rPr>
          <w:rFonts w:hint="eastAsia" w:ascii="宋体" w:hAnsi="宋体"/>
          <w:sz w:val="22"/>
          <w:szCs w:val="22"/>
          <w:highlight w:val="none"/>
          <w:lang w:val="en-US" w:eastAsia="zh-CN"/>
        </w:rPr>
        <w:t>7</w:t>
      </w:r>
      <w:r>
        <w:rPr>
          <w:rFonts w:ascii="宋体" w:hAnsi="宋体"/>
          <w:sz w:val="22"/>
          <w:szCs w:val="22"/>
          <w:highlight w:val="none"/>
        </w:rPr>
        <w:t>0</w:t>
      </w:r>
      <w:r>
        <w:rPr>
          <w:rFonts w:hint="eastAsia" w:ascii="宋体" w:hAnsi="宋体"/>
          <w:sz w:val="22"/>
          <w:szCs w:val="22"/>
          <w:highlight w:val="none"/>
        </w:rPr>
        <w:t>分）</w:t>
      </w:r>
    </w:p>
    <w:p w14:paraId="536DAEB5">
      <w:pPr>
        <w:spacing w:line="360" w:lineRule="auto"/>
        <w:ind w:left="439" w:leftChars="209"/>
        <w:rPr>
          <w:rFonts w:ascii="宋体" w:hAnsi="宋体"/>
          <w:sz w:val="22"/>
          <w:szCs w:val="22"/>
          <w:highlight w:val="none"/>
        </w:rPr>
      </w:pPr>
      <w:r>
        <w:rPr>
          <w:rFonts w:hint="eastAsia" w:ascii="宋体" w:hAnsi="宋体"/>
          <w:sz w:val="22"/>
          <w:szCs w:val="22"/>
          <w:highlight w:val="none"/>
        </w:rPr>
        <w:t>各评委成员按下列评分项目进行评定，每人一张评分计算表，由评标委员会成员各自评定打分并记实名。如任何一张表的一项评分内容分值超过规定的范围，则该张表无效。各评标委员会成员对各投标人的各项评分内容评分的合计分数的算术平均值为各投标人商务技术分得分（小数点后按四舍五入保留2位）</w:t>
      </w:r>
    </w:p>
    <w:tbl>
      <w:tblPr>
        <w:tblStyle w:val="40"/>
        <w:tblW w:w="10641"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827"/>
        <w:gridCol w:w="937"/>
        <w:gridCol w:w="6411"/>
        <w:gridCol w:w="972"/>
      </w:tblGrid>
      <w:tr w14:paraId="6E5A58F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4" w:type="dxa"/>
            <w:vAlign w:val="center"/>
          </w:tcPr>
          <w:p w14:paraId="146DCC4F">
            <w:pPr>
              <w:jc w:val="center"/>
              <w:rPr>
                <w:rFonts w:ascii="宋体" w:hAnsi="宋体" w:cs="华文仿宋"/>
                <w:sz w:val="22"/>
                <w:szCs w:val="22"/>
                <w:highlight w:val="none"/>
              </w:rPr>
            </w:pPr>
            <w:r>
              <w:rPr>
                <w:rFonts w:hint="eastAsia" w:ascii="宋体" w:hAnsi="宋体" w:cs="华文仿宋"/>
                <w:sz w:val="22"/>
                <w:szCs w:val="22"/>
                <w:highlight w:val="none"/>
              </w:rPr>
              <w:t>序号</w:t>
            </w:r>
          </w:p>
        </w:tc>
        <w:tc>
          <w:tcPr>
            <w:tcW w:w="1827" w:type="dxa"/>
            <w:vAlign w:val="center"/>
          </w:tcPr>
          <w:p w14:paraId="53439C22">
            <w:pPr>
              <w:jc w:val="center"/>
              <w:rPr>
                <w:rFonts w:ascii="宋体" w:hAnsi="宋体" w:cs="华文仿宋"/>
                <w:sz w:val="22"/>
                <w:szCs w:val="22"/>
                <w:highlight w:val="none"/>
              </w:rPr>
            </w:pPr>
            <w:r>
              <w:rPr>
                <w:rFonts w:hint="eastAsia" w:ascii="宋体" w:hAnsi="宋体"/>
                <w:sz w:val="22"/>
                <w:szCs w:val="22"/>
                <w:highlight w:val="none"/>
              </w:rPr>
              <w:t>评分项目</w:t>
            </w:r>
          </w:p>
        </w:tc>
        <w:tc>
          <w:tcPr>
            <w:tcW w:w="937" w:type="dxa"/>
            <w:vAlign w:val="center"/>
          </w:tcPr>
          <w:p w14:paraId="63C9AF59">
            <w:pPr>
              <w:jc w:val="center"/>
              <w:rPr>
                <w:rFonts w:ascii="宋体" w:hAnsi="宋体" w:cs="华文仿宋"/>
                <w:sz w:val="22"/>
                <w:szCs w:val="22"/>
                <w:highlight w:val="none"/>
              </w:rPr>
            </w:pPr>
            <w:r>
              <w:rPr>
                <w:rFonts w:hint="eastAsia" w:ascii="宋体" w:hAnsi="宋体"/>
                <w:sz w:val="22"/>
                <w:szCs w:val="22"/>
                <w:highlight w:val="none"/>
              </w:rPr>
              <w:t>分值</w:t>
            </w:r>
          </w:p>
        </w:tc>
        <w:tc>
          <w:tcPr>
            <w:tcW w:w="6411" w:type="dxa"/>
            <w:vAlign w:val="center"/>
          </w:tcPr>
          <w:p w14:paraId="4B58D1DB">
            <w:pPr>
              <w:jc w:val="center"/>
              <w:rPr>
                <w:rFonts w:ascii="宋体" w:hAnsi="宋体" w:cs="华文仿宋"/>
                <w:sz w:val="22"/>
                <w:szCs w:val="22"/>
                <w:highlight w:val="none"/>
              </w:rPr>
            </w:pPr>
            <w:r>
              <w:rPr>
                <w:rFonts w:hint="eastAsia" w:ascii="宋体" w:hAnsi="宋体"/>
                <w:sz w:val="22"/>
                <w:szCs w:val="22"/>
                <w:highlight w:val="none"/>
              </w:rPr>
              <w:t>评分要点及说明</w:t>
            </w:r>
          </w:p>
        </w:tc>
        <w:tc>
          <w:tcPr>
            <w:tcW w:w="972" w:type="dxa"/>
            <w:vAlign w:val="center"/>
          </w:tcPr>
          <w:p w14:paraId="2977A74F">
            <w:pPr>
              <w:jc w:val="center"/>
              <w:rPr>
                <w:rFonts w:ascii="宋体" w:hAnsi="宋体" w:cs="华文仿宋"/>
                <w:sz w:val="22"/>
                <w:szCs w:val="22"/>
                <w:highlight w:val="none"/>
              </w:rPr>
            </w:pPr>
            <w:r>
              <w:rPr>
                <w:rFonts w:hint="eastAsia" w:ascii="宋体" w:hAnsi="宋体"/>
                <w:sz w:val="22"/>
                <w:szCs w:val="22"/>
                <w:highlight w:val="none"/>
              </w:rPr>
              <w:t>备注</w:t>
            </w:r>
          </w:p>
        </w:tc>
      </w:tr>
      <w:tr w14:paraId="0AF69379">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4" w:type="dxa"/>
            <w:vMerge w:val="restart"/>
            <w:vAlign w:val="center"/>
          </w:tcPr>
          <w:p w14:paraId="1B14D334">
            <w:pPr>
              <w:jc w:val="center"/>
              <w:rPr>
                <w:rFonts w:hint="eastAsia" w:ascii="宋体" w:hAnsi="宋体" w:eastAsia="宋体"/>
                <w:sz w:val="22"/>
                <w:szCs w:val="22"/>
                <w:highlight w:val="none"/>
                <w:lang w:val="en-US" w:eastAsia="zh-CN"/>
              </w:rPr>
            </w:pPr>
            <w:r>
              <w:rPr>
                <w:rFonts w:hint="eastAsia" w:ascii="宋体" w:hAnsi="宋体"/>
                <w:sz w:val="22"/>
                <w:szCs w:val="22"/>
                <w:highlight w:val="none"/>
                <w:lang w:val="en-US" w:eastAsia="zh-CN"/>
              </w:rPr>
              <w:t>1</w:t>
            </w:r>
          </w:p>
        </w:tc>
        <w:tc>
          <w:tcPr>
            <w:tcW w:w="1827" w:type="dxa"/>
            <w:vMerge w:val="restart"/>
            <w:vAlign w:val="center"/>
          </w:tcPr>
          <w:p w14:paraId="08F73DF2">
            <w:pPr>
              <w:rPr>
                <w:rFonts w:ascii="宋体" w:hAnsi="宋体"/>
                <w:sz w:val="22"/>
                <w:szCs w:val="22"/>
                <w:highlight w:val="none"/>
              </w:rPr>
            </w:pPr>
            <w:r>
              <w:rPr>
                <w:rFonts w:hint="eastAsia" w:ascii="宋体" w:hAnsi="宋体"/>
                <w:sz w:val="22"/>
                <w:szCs w:val="22"/>
                <w:highlight w:val="none"/>
              </w:rPr>
              <w:t>针对本项目提出的详细项目实施方案</w:t>
            </w:r>
          </w:p>
        </w:tc>
        <w:tc>
          <w:tcPr>
            <w:tcW w:w="937" w:type="dxa"/>
            <w:vAlign w:val="center"/>
          </w:tcPr>
          <w:p w14:paraId="10102E68">
            <w:pPr>
              <w:widowControl/>
              <w:jc w:val="center"/>
              <w:rPr>
                <w:rFonts w:ascii="宋体" w:hAnsi="宋体"/>
                <w:kern w:val="0"/>
                <w:sz w:val="22"/>
                <w:szCs w:val="22"/>
                <w:highlight w:val="none"/>
              </w:rPr>
            </w:pPr>
            <w:r>
              <w:rPr>
                <w:rFonts w:hint="eastAsia" w:ascii="宋体" w:hAnsi="宋体"/>
                <w:sz w:val="22"/>
                <w:szCs w:val="22"/>
                <w:highlight w:val="none"/>
              </w:rPr>
              <w:t>0-</w:t>
            </w:r>
            <w:r>
              <w:rPr>
                <w:rFonts w:ascii="宋体" w:hAnsi="宋体"/>
                <w:sz w:val="22"/>
                <w:szCs w:val="22"/>
                <w:highlight w:val="none"/>
              </w:rPr>
              <w:t>6</w:t>
            </w:r>
            <w:r>
              <w:rPr>
                <w:rFonts w:hint="eastAsia" w:ascii="宋体" w:hAnsi="宋体"/>
                <w:sz w:val="22"/>
                <w:szCs w:val="22"/>
                <w:highlight w:val="none"/>
              </w:rPr>
              <w:t>分</w:t>
            </w:r>
          </w:p>
        </w:tc>
        <w:tc>
          <w:tcPr>
            <w:tcW w:w="6411" w:type="dxa"/>
            <w:vAlign w:val="center"/>
          </w:tcPr>
          <w:p w14:paraId="57D0F5D1">
            <w:pPr>
              <w:rPr>
                <w:rFonts w:ascii="宋体" w:hAnsi="宋体"/>
                <w:sz w:val="22"/>
                <w:szCs w:val="22"/>
                <w:highlight w:val="none"/>
              </w:rPr>
            </w:pPr>
            <w:r>
              <w:rPr>
                <w:rFonts w:hint="eastAsia" w:ascii="宋体" w:hAnsi="宋体"/>
                <w:sz w:val="22"/>
                <w:szCs w:val="22"/>
                <w:highlight w:val="none"/>
              </w:rPr>
              <w:t>根据各供应商</w:t>
            </w:r>
            <w:r>
              <w:rPr>
                <w:rFonts w:hint="eastAsia" w:ascii="宋体" w:hAnsi="宋体"/>
                <w:sz w:val="22"/>
                <w:szCs w:val="22"/>
                <w:highlight w:val="none"/>
                <w:lang w:val="en-US" w:eastAsia="zh-CN"/>
              </w:rPr>
              <w:t>针对本项目提出的抽样工作方案、检测工作方案和报告编制方案的</w:t>
            </w:r>
            <w:r>
              <w:rPr>
                <w:rFonts w:hint="eastAsia" w:ascii="宋体" w:hAnsi="宋体"/>
                <w:sz w:val="22"/>
                <w:szCs w:val="22"/>
                <w:highlight w:val="none"/>
              </w:rPr>
              <w:t>针对性、合理性，由评委综合打分，其中A档的得</w:t>
            </w:r>
            <w:r>
              <w:rPr>
                <w:rFonts w:hint="eastAsia" w:ascii="宋体" w:hAnsi="宋体"/>
                <w:sz w:val="22"/>
                <w:szCs w:val="22"/>
                <w:highlight w:val="none"/>
                <w:lang w:val="en-US" w:eastAsia="zh-CN"/>
              </w:rPr>
              <w:t>6</w:t>
            </w:r>
            <w:r>
              <w:rPr>
                <w:rFonts w:hint="eastAsia" w:ascii="宋体" w:hAnsi="宋体"/>
                <w:sz w:val="22"/>
                <w:szCs w:val="22"/>
                <w:highlight w:val="none"/>
              </w:rPr>
              <w:t>分，B档的得</w:t>
            </w:r>
            <w:r>
              <w:rPr>
                <w:rFonts w:hint="eastAsia" w:ascii="宋体" w:hAnsi="宋体"/>
                <w:sz w:val="22"/>
                <w:szCs w:val="22"/>
                <w:highlight w:val="none"/>
                <w:lang w:val="en-US" w:eastAsia="zh-CN"/>
              </w:rPr>
              <w:t>4</w:t>
            </w:r>
            <w:r>
              <w:rPr>
                <w:rFonts w:hint="eastAsia" w:ascii="宋体" w:hAnsi="宋体"/>
                <w:sz w:val="22"/>
                <w:szCs w:val="22"/>
                <w:highlight w:val="none"/>
              </w:rPr>
              <w:t>分，C档的得</w:t>
            </w:r>
            <w:r>
              <w:rPr>
                <w:rFonts w:hint="eastAsia" w:ascii="宋体" w:hAnsi="宋体"/>
                <w:sz w:val="22"/>
                <w:szCs w:val="22"/>
                <w:highlight w:val="none"/>
                <w:lang w:val="en-US" w:eastAsia="zh-CN"/>
              </w:rPr>
              <w:t>2</w:t>
            </w:r>
            <w:r>
              <w:rPr>
                <w:rFonts w:hint="eastAsia" w:ascii="宋体" w:hAnsi="宋体"/>
                <w:sz w:val="22"/>
                <w:szCs w:val="22"/>
                <w:highlight w:val="none"/>
              </w:rPr>
              <w:t>分，D档的得0分。</w:t>
            </w:r>
          </w:p>
        </w:tc>
        <w:tc>
          <w:tcPr>
            <w:tcW w:w="972" w:type="dxa"/>
            <w:vAlign w:val="center"/>
          </w:tcPr>
          <w:p w14:paraId="067328F3">
            <w:pPr>
              <w:jc w:val="center"/>
              <w:rPr>
                <w:rFonts w:ascii="宋体" w:hAnsi="宋体"/>
                <w:sz w:val="22"/>
                <w:szCs w:val="22"/>
                <w:highlight w:val="none"/>
              </w:rPr>
            </w:pPr>
            <w:r>
              <w:rPr>
                <w:rFonts w:hint="eastAsia" w:ascii="宋体" w:hAnsi="宋体"/>
                <w:sz w:val="22"/>
                <w:szCs w:val="22"/>
                <w:highlight w:val="none"/>
              </w:rPr>
              <w:t>主观分</w:t>
            </w:r>
          </w:p>
        </w:tc>
      </w:tr>
      <w:tr w14:paraId="6E5873D9">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4" w:type="dxa"/>
            <w:vMerge w:val="continue"/>
            <w:vAlign w:val="center"/>
          </w:tcPr>
          <w:p w14:paraId="27E7CB2F">
            <w:pPr>
              <w:jc w:val="center"/>
              <w:rPr>
                <w:rFonts w:hint="eastAsia" w:ascii="宋体" w:hAnsi="宋体"/>
                <w:sz w:val="22"/>
                <w:szCs w:val="22"/>
                <w:highlight w:val="none"/>
                <w:lang w:val="en-US" w:eastAsia="zh-CN"/>
              </w:rPr>
            </w:pPr>
          </w:p>
        </w:tc>
        <w:tc>
          <w:tcPr>
            <w:tcW w:w="1827" w:type="dxa"/>
            <w:vMerge w:val="continue"/>
            <w:vAlign w:val="center"/>
          </w:tcPr>
          <w:p w14:paraId="1AB73ECD">
            <w:pPr>
              <w:rPr>
                <w:rFonts w:hint="eastAsia" w:ascii="宋体" w:hAnsi="宋体"/>
                <w:sz w:val="22"/>
                <w:szCs w:val="22"/>
                <w:highlight w:val="none"/>
              </w:rPr>
            </w:pPr>
          </w:p>
        </w:tc>
        <w:tc>
          <w:tcPr>
            <w:tcW w:w="937" w:type="dxa"/>
            <w:vAlign w:val="center"/>
          </w:tcPr>
          <w:p w14:paraId="1C7B23C8">
            <w:pPr>
              <w:widowControl/>
              <w:jc w:val="center"/>
              <w:rPr>
                <w:rFonts w:hint="eastAsia" w:ascii="宋体" w:hAnsi="宋体"/>
                <w:sz w:val="22"/>
                <w:szCs w:val="22"/>
                <w:highlight w:val="none"/>
              </w:rPr>
            </w:pPr>
            <w:r>
              <w:rPr>
                <w:rFonts w:hint="eastAsia" w:ascii="宋体" w:hAnsi="宋体"/>
                <w:sz w:val="22"/>
                <w:szCs w:val="22"/>
                <w:highlight w:val="none"/>
              </w:rPr>
              <w:t>0-</w:t>
            </w:r>
            <w:r>
              <w:rPr>
                <w:rFonts w:hint="eastAsia" w:ascii="宋体" w:hAnsi="宋体"/>
                <w:sz w:val="22"/>
                <w:szCs w:val="22"/>
                <w:highlight w:val="none"/>
                <w:lang w:val="en-US" w:eastAsia="zh-CN"/>
              </w:rPr>
              <w:t>5</w:t>
            </w:r>
            <w:r>
              <w:rPr>
                <w:rFonts w:hint="eastAsia" w:ascii="宋体" w:hAnsi="宋体"/>
                <w:sz w:val="22"/>
                <w:szCs w:val="22"/>
                <w:highlight w:val="none"/>
              </w:rPr>
              <w:t>分</w:t>
            </w:r>
          </w:p>
        </w:tc>
        <w:tc>
          <w:tcPr>
            <w:tcW w:w="6411" w:type="dxa"/>
            <w:vAlign w:val="center"/>
          </w:tcPr>
          <w:p w14:paraId="4755F41A">
            <w:pPr>
              <w:rPr>
                <w:rFonts w:hint="eastAsia" w:ascii="宋体" w:hAnsi="宋体"/>
                <w:sz w:val="22"/>
                <w:szCs w:val="22"/>
                <w:highlight w:val="none"/>
              </w:rPr>
            </w:pPr>
            <w:r>
              <w:rPr>
                <w:rFonts w:hint="eastAsia" w:ascii="宋体" w:hAnsi="宋体"/>
                <w:sz w:val="22"/>
                <w:szCs w:val="22"/>
                <w:highlight w:val="none"/>
              </w:rPr>
              <w:t>根据各供应商</w:t>
            </w:r>
            <w:r>
              <w:rPr>
                <w:rFonts w:hint="eastAsia" w:ascii="宋体" w:hAnsi="宋体"/>
                <w:sz w:val="22"/>
                <w:szCs w:val="22"/>
                <w:highlight w:val="none"/>
                <w:lang w:val="en-US" w:eastAsia="zh-CN"/>
              </w:rPr>
              <w:t>针对本项目提出的进度保证措施、质量保证措施和数据资料保密措施的</w:t>
            </w:r>
            <w:r>
              <w:rPr>
                <w:rFonts w:hint="eastAsia" w:ascii="宋体" w:hAnsi="宋体"/>
                <w:sz w:val="22"/>
                <w:szCs w:val="22"/>
                <w:highlight w:val="none"/>
              </w:rPr>
              <w:t>针对性、合理性，由评委综合打分，其中A档的得</w:t>
            </w:r>
            <w:r>
              <w:rPr>
                <w:rFonts w:hint="eastAsia" w:ascii="宋体" w:hAnsi="宋体"/>
                <w:sz w:val="22"/>
                <w:szCs w:val="22"/>
                <w:highlight w:val="none"/>
                <w:lang w:val="en-US" w:eastAsia="zh-CN"/>
              </w:rPr>
              <w:t>5</w:t>
            </w:r>
            <w:r>
              <w:rPr>
                <w:rFonts w:hint="eastAsia" w:ascii="宋体" w:hAnsi="宋体"/>
                <w:sz w:val="22"/>
                <w:szCs w:val="22"/>
                <w:highlight w:val="none"/>
              </w:rPr>
              <w:t>分，B档的得</w:t>
            </w:r>
            <w:r>
              <w:rPr>
                <w:rFonts w:hint="eastAsia" w:ascii="宋体" w:hAnsi="宋体"/>
                <w:sz w:val="22"/>
                <w:szCs w:val="22"/>
                <w:highlight w:val="none"/>
                <w:lang w:val="en-US" w:eastAsia="zh-CN"/>
              </w:rPr>
              <w:t>3</w:t>
            </w:r>
            <w:r>
              <w:rPr>
                <w:rFonts w:hint="eastAsia" w:ascii="宋体" w:hAnsi="宋体"/>
                <w:sz w:val="22"/>
                <w:szCs w:val="22"/>
                <w:highlight w:val="none"/>
              </w:rPr>
              <w:t>分，C档的得</w:t>
            </w:r>
            <w:r>
              <w:rPr>
                <w:rFonts w:hint="eastAsia" w:ascii="宋体" w:hAnsi="宋体"/>
                <w:sz w:val="22"/>
                <w:szCs w:val="22"/>
                <w:highlight w:val="none"/>
                <w:lang w:val="en-US" w:eastAsia="zh-CN"/>
              </w:rPr>
              <w:t>1</w:t>
            </w:r>
            <w:r>
              <w:rPr>
                <w:rFonts w:hint="eastAsia" w:ascii="宋体" w:hAnsi="宋体"/>
                <w:sz w:val="22"/>
                <w:szCs w:val="22"/>
                <w:highlight w:val="none"/>
              </w:rPr>
              <w:t>分，D档的得0分。</w:t>
            </w:r>
          </w:p>
        </w:tc>
        <w:tc>
          <w:tcPr>
            <w:tcW w:w="972" w:type="dxa"/>
            <w:vAlign w:val="center"/>
          </w:tcPr>
          <w:p w14:paraId="0CBFC317">
            <w:pPr>
              <w:jc w:val="center"/>
              <w:rPr>
                <w:rFonts w:hint="eastAsia" w:ascii="宋体" w:hAnsi="宋体"/>
                <w:sz w:val="22"/>
                <w:szCs w:val="22"/>
                <w:highlight w:val="none"/>
              </w:rPr>
            </w:pPr>
            <w:r>
              <w:rPr>
                <w:rFonts w:hint="eastAsia" w:ascii="宋体" w:hAnsi="宋体"/>
                <w:sz w:val="22"/>
                <w:szCs w:val="22"/>
                <w:highlight w:val="none"/>
              </w:rPr>
              <w:t>主观分</w:t>
            </w:r>
          </w:p>
        </w:tc>
      </w:tr>
      <w:tr w14:paraId="3E13E26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4" w:type="dxa"/>
            <w:vMerge w:val="continue"/>
            <w:vAlign w:val="center"/>
          </w:tcPr>
          <w:p w14:paraId="051FAE01">
            <w:pPr>
              <w:jc w:val="center"/>
              <w:rPr>
                <w:rFonts w:ascii="宋体" w:hAnsi="宋体"/>
                <w:sz w:val="22"/>
                <w:szCs w:val="22"/>
                <w:highlight w:val="none"/>
              </w:rPr>
            </w:pPr>
          </w:p>
        </w:tc>
        <w:tc>
          <w:tcPr>
            <w:tcW w:w="1827" w:type="dxa"/>
            <w:vMerge w:val="continue"/>
            <w:vAlign w:val="center"/>
          </w:tcPr>
          <w:p w14:paraId="5EBE4116">
            <w:pPr>
              <w:rPr>
                <w:rFonts w:ascii="宋体" w:hAnsi="宋体"/>
                <w:sz w:val="22"/>
                <w:szCs w:val="22"/>
                <w:highlight w:val="none"/>
              </w:rPr>
            </w:pPr>
          </w:p>
        </w:tc>
        <w:tc>
          <w:tcPr>
            <w:tcW w:w="937" w:type="dxa"/>
            <w:vAlign w:val="center"/>
          </w:tcPr>
          <w:p w14:paraId="43D3CEE5">
            <w:pPr>
              <w:jc w:val="center"/>
              <w:rPr>
                <w:rFonts w:ascii="宋体" w:hAnsi="宋体"/>
                <w:sz w:val="22"/>
                <w:szCs w:val="22"/>
                <w:highlight w:val="none"/>
              </w:rPr>
            </w:pPr>
            <w:r>
              <w:rPr>
                <w:rFonts w:hint="eastAsia" w:ascii="宋体" w:hAnsi="宋体"/>
                <w:sz w:val="22"/>
                <w:szCs w:val="22"/>
                <w:highlight w:val="none"/>
              </w:rPr>
              <w:t>0-</w:t>
            </w:r>
            <w:r>
              <w:rPr>
                <w:rFonts w:hint="eastAsia" w:ascii="宋体" w:hAnsi="宋体"/>
                <w:sz w:val="22"/>
                <w:szCs w:val="22"/>
                <w:highlight w:val="none"/>
                <w:lang w:val="en-US" w:eastAsia="zh-CN"/>
              </w:rPr>
              <w:t>5</w:t>
            </w:r>
            <w:r>
              <w:rPr>
                <w:rFonts w:hint="eastAsia" w:ascii="宋体" w:hAnsi="宋体"/>
                <w:sz w:val="22"/>
                <w:szCs w:val="22"/>
                <w:highlight w:val="none"/>
              </w:rPr>
              <w:t>分</w:t>
            </w:r>
          </w:p>
        </w:tc>
        <w:tc>
          <w:tcPr>
            <w:tcW w:w="6411" w:type="dxa"/>
            <w:vAlign w:val="center"/>
          </w:tcPr>
          <w:p w14:paraId="2FB5023B">
            <w:pPr>
              <w:rPr>
                <w:rFonts w:ascii="宋体" w:hAnsi="宋体"/>
                <w:sz w:val="22"/>
                <w:szCs w:val="22"/>
                <w:highlight w:val="none"/>
              </w:rPr>
            </w:pPr>
            <w:r>
              <w:rPr>
                <w:rFonts w:hint="eastAsia" w:ascii="宋体" w:hAnsi="宋体"/>
                <w:sz w:val="22"/>
                <w:szCs w:val="22"/>
                <w:highlight w:val="none"/>
              </w:rPr>
              <w:t>根据各供应商</w:t>
            </w:r>
            <w:r>
              <w:rPr>
                <w:rFonts w:hint="eastAsia" w:ascii="宋体" w:hAnsi="宋体"/>
                <w:sz w:val="22"/>
                <w:szCs w:val="22"/>
                <w:highlight w:val="none"/>
                <w:lang w:val="en-US" w:eastAsia="zh-CN"/>
              </w:rPr>
              <w:t>快速服务响应措施、突发事件应急保障措施</w:t>
            </w:r>
            <w:r>
              <w:rPr>
                <w:rFonts w:hint="eastAsia" w:ascii="宋体" w:hAnsi="宋体"/>
                <w:sz w:val="22"/>
                <w:szCs w:val="22"/>
                <w:highlight w:val="none"/>
              </w:rPr>
              <w:t>和售后保障措施的合理性</w:t>
            </w:r>
            <w:r>
              <w:rPr>
                <w:rFonts w:hint="eastAsia" w:ascii="宋体" w:hAnsi="宋体"/>
                <w:sz w:val="22"/>
                <w:szCs w:val="22"/>
                <w:highlight w:val="none"/>
                <w:lang w:eastAsia="zh-CN"/>
              </w:rPr>
              <w:t>、</w:t>
            </w:r>
            <w:r>
              <w:rPr>
                <w:rFonts w:hint="eastAsia" w:ascii="宋体" w:hAnsi="宋体"/>
                <w:sz w:val="22"/>
                <w:szCs w:val="22"/>
                <w:highlight w:val="none"/>
                <w:lang w:val="en-US" w:eastAsia="zh-CN"/>
              </w:rPr>
              <w:t>可操作性</w:t>
            </w:r>
            <w:r>
              <w:rPr>
                <w:rFonts w:hint="eastAsia" w:ascii="宋体" w:hAnsi="宋体"/>
                <w:sz w:val="22"/>
                <w:szCs w:val="22"/>
                <w:highlight w:val="none"/>
              </w:rPr>
              <w:t>，由评委综合打分，其中A档的得</w:t>
            </w:r>
            <w:r>
              <w:rPr>
                <w:rFonts w:hint="eastAsia" w:ascii="宋体" w:hAnsi="宋体"/>
                <w:sz w:val="22"/>
                <w:szCs w:val="22"/>
                <w:highlight w:val="none"/>
                <w:lang w:val="en-US" w:eastAsia="zh-CN"/>
              </w:rPr>
              <w:t>5</w:t>
            </w:r>
            <w:r>
              <w:rPr>
                <w:rFonts w:hint="eastAsia" w:ascii="宋体" w:hAnsi="宋体"/>
                <w:sz w:val="22"/>
                <w:szCs w:val="22"/>
                <w:highlight w:val="none"/>
              </w:rPr>
              <w:t>分，B档的得</w:t>
            </w:r>
            <w:r>
              <w:rPr>
                <w:rFonts w:hint="eastAsia" w:ascii="宋体" w:hAnsi="宋体"/>
                <w:sz w:val="22"/>
                <w:szCs w:val="22"/>
                <w:highlight w:val="none"/>
                <w:lang w:val="en-US" w:eastAsia="zh-CN"/>
              </w:rPr>
              <w:t>3</w:t>
            </w:r>
            <w:r>
              <w:rPr>
                <w:rFonts w:hint="eastAsia" w:ascii="宋体" w:hAnsi="宋体"/>
                <w:sz w:val="22"/>
                <w:szCs w:val="22"/>
                <w:highlight w:val="none"/>
              </w:rPr>
              <w:t>分，C档的得</w:t>
            </w:r>
            <w:r>
              <w:rPr>
                <w:rFonts w:hint="eastAsia" w:ascii="宋体" w:hAnsi="宋体"/>
                <w:sz w:val="22"/>
                <w:szCs w:val="22"/>
                <w:highlight w:val="none"/>
                <w:lang w:val="en-US" w:eastAsia="zh-CN"/>
              </w:rPr>
              <w:t>1</w:t>
            </w:r>
            <w:r>
              <w:rPr>
                <w:rFonts w:hint="eastAsia" w:ascii="宋体" w:hAnsi="宋体"/>
                <w:sz w:val="22"/>
                <w:szCs w:val="22"/>
                <w:highlight w:val="none"/>
              </w:rPr>
              <w:t>分，D档的得0分。</w:t>
            </w:r>
          </w:p>
        </w:tc>
        <w:tc>
          <w:tcPr>
            <w:tcW w:w="972" w:type="dxa"/>
            <w:vAlign w:val="center"/>
          </w:tcPr>
          <w:p w14:paraId="4E235F82">
            <w:pPr>
              <w:jc w:val="center"/>
              <w:rPr>
                <w:rFonts w:ascii="宋体" w:hAnsi="宋体"/>
                <w:sz w:val="22"/>
                <w:szCs w:val="22"/>
                <w:highlight w:val="none"/>
              </w:rPr>
            </w:pPr>
            <w:r>
              <w:rPr>
                <w:rFonts w:hint="eastAsia" w:ascii="宋体" w:hAnsi="宋体"/>
                <w:sz w:val="22"/>
                <w:szCs w:val="22"/>
                <w:highlight w:val="none"/>
              </w:rPr>
              <w:t>主观分</w:t>
            </w:r>
          </w:p>
        </w:tc>
      </w:tr>
      <w:tr w14:paraId="3D88067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4" w:type="dxa"/>
            <w:vMerge w:val="restart"/>
            <w:vAlign w:val="center"/>
          </w:tcPr>
          <w:p w14:paraId="05D0DF39">
            <w:pPr>
              <w:jc w:val="center"/>
              <w:rPr>
                <w:rFonts w:hint="eastAsia" w:ascii="宋体" w:hAnsi="宋体" w:eastAsia="宋体"/>
                <w:sz w:val="22"/>
                <w:szCs w:val="22"/>
                <w:highlight w:val="none"/>
                <w:lang w:val="en-US" w:eastAsia="zh-CN"/>
              </w:rPr>
            </w:pPr>
            <w:r>
              <w:rPr>
                <w:rFonts w:hint="eastAsia" w:ascii="宋体" w:hAnsi="宋体"/>
                <w:sz w:val="22"/>
                <w:szCs w:val="22"/>
                <w:highlight w:val="none"/>
                <w:lang w:val="en-US" w:eastAsia="zh-CN"/>
              </w:rPr>
              <w:t>2</w:t>
            </w:r>
          </w:p>
        </w:tc>
        <w:tc>
          <w:tcPr>
            <w:tcW w:w="1827" w:type="dxa"/>
            <w:vMerge w:val="restart"/>
            <w:vAlign w:val="center"/>
          </w:tcPr>
          <w:p w14:paraId="3910320C">
            <w:pPr>
              <w:rPr>
                <w:rFonts w:ascii="宋体" w:hAnsi="宋体"/>
                <w:sz w:val="22"/>
                <w:szCs w:val="22"/>
                <w:highlight w:val="none"/>
              </w:rPr>
            </w:pPr>
            <w:r>
              <w:rPr>
                <w:rFonts w:hint="eastAsia" w:ascii="宋体" w:hAnsi="宋体"/>
                <w:sz w:val="22"/>
                <w:szCs w:val="22"/>
                <w:highlight w:val="none"/>
              </w:rPr>
              <w:t>供应商针对本项目拟投入的设备与仪器</w:t>
            </w:r>
          </w:p>
        </w:tc>
        <w:tc>
          <w:tcPr>
            <w:tcW w:w="937" w:type="dxa"/>
            <w:vAlign w:val="center"/>
          </w:tcPr>
          <w:p w14:paraId="3D5CD3DF">
            <w:pPr>
              <w:jc w:val="center"/>
              <w:rPr>
                <w:rFonts w:ascii="宋体" w:hAnsi="宋体"/>
                <w:sz w:val="22"/>
                <w:szCs w:val="22"/>
                <w:highlight w:val="none"/>
              </w:rPr>
            </w:pPr>
            <w:r>
              <w:rPr>
                <w:rFonts w:hint="eastAsia" w:ascii="宋体" w:hAnsi="宋体"/>
                <w:sz w:val="22"/>
                <w:szCs w:val="22"/>
                <w:highlight w:val="none"/>
              </w:rPr>
              <w:t>0-</w:t>
            </w:r>
            <w:r>
              <w:rPr>
                <w:rFonts w:hint="eastAsia" w:ascii="宋体" w:hAnsi="宋体"/>
                <w:sz w:val="22"/>
                <w:szCs w:val="22"/>
                <w:highlight w:val="none"/>
                <w:lang w:val="en-US" w:eastAsia="zh-CN"/>
              </w:rPr>
              <w:t>1</w:t>
            </w:r>
            <w:r>
              <w:rPr>
                <w:rFonts w:hint="eastAsia" w:ascii="宋体" w:hAnsi="宋体"/>
                <w:sz w:val="22"/>
                <w:szCs w:val="22"/>
                <w:highlight w:val="none"/>
              </w:rPr>
              <w:t>分</w:t>
            </w:r>
          </w:p>
        </w:tc>
        <w:tc>
          <w:tcPr>
            <w:tcW w:w="6411" w:type="dxa"/>
            <w:vAlign w:val="center"/>
          </w:tcPr>
          <w:p w14:paraId="79F0F08E">
            <w:pPr>
              <w:rPr>
                <w:rFonts w:ascii="宋体" w:hAnsi="宋体"/>
                <w:sz w:val="22"/>
                <w:szCs w:val="22"/>
                <w:highlight w:val="none"/>
              </w:rPr>
            </w:pPr>
            <w:r>
              <w:rPr>
                <w:rFonts w:hint="eastAsia" w:ascii="宋体" w:hAnsi="宋体"/>
                <w:sz w:val="22"/>
                <w:szCs w:val="22"/>
                <w:highlight w:val="none"/>
              </w:rPr>
              <w:t>是否具有专用样品贮存冷库，有则得</w:t>
            </w:r>
            <w:r>
              <w:rPr>
                <w:rFonts w:hint="eastAsia" w:ascii="宋体" w:hAnsi="宋体"/>
                <w:sz w:val="22"/>
                <w:szCs w:val="22"/>
                <w:highlight w:val="none"/>
                <w:lang w:val="en-US" w:eastAsia="zh-CN"/>
              </w:rPr>
              <w:t>1</w:t>
            </w:r>
            <w:r>
              <w:rPr>
                <w:rFonts w:hint="eastAsia" w:ascii="宋体" w:hAnsi="宋体"/>
                <w:sz w:val="22"/>
                <w:szCs w:val="22"/>
                <w:highlight w:val="none"/>
              </w:rPr>
              <w:t>分，没有的得0分。（需提供冷库照片、产权证明（或租赁合同）、租赁发票等证明材料）</w:t>
            </w:r>
          </w:p>
        </w:tc>
        <w:tc>
          <w:tcPr>
            <w:tcW w:w="972" w:type="dxa"/>
            <w:vAlign w:val="center"/>
          </w:tcPr>
          <w:p w14:paraId="2B497E89">
            <w:pPr>
              <w:jc w:val="center"/>
              <w:rPr>
                <w:rFonts w:ascii="宋体" w:hAnsi="宋体"/>
                <w:sz w:val="22"/>
                <w:szCs w:val="22"/>
                <w:highlight w:val="none"/>
              </w:rPr>
            </w:pPr>
            <w:r>
              <w:rPr>
                <w:rFonts w:hint="eastAsia" w:ascii="宋体" w:hAnsi="宋体"/>
                <w:sz w:val="22"/>
                <w:szCs w:val="22"/>
                <w:highlight w:val="none"/>
              </w:rPr>
              <w:t>客观分</w:t>
            </w:r>
          </w:p>
        </w:tc>
      </w:tr>
      <w:tr w14:paraId="7075618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4" w:type="dxa"/>
            <w:vMerge w:val="continue"/>
            <w:vAlign w:val="center"/>
          </w:tcPr>
          <w:p w14:paraId="1B440132">
            <w:pPr>
              <w:jc w:val="center"/>
              <w:rPr>
                <w:rFonts w:ascii="宋体" w:hAnsi="宋体"/>
                <w:sz w:val="22"/>
                <w:szCs w:val="22"/>
                <w:highlight w:val="none"/>
              </w:rPr>
            </w:pPr>
          </w:p>
        </w:tc>
        <w:tc>
          <w:tcPr>
            <w:tcW w:w="1827" w:type="dxa"/>
            <w:vMerge w:val="continue"/>
            <w:vAlign w:val="center"/>
          </w:tcPr>
          <w:p w14:paraId="1AEE8AE5">
            <w:pPr>
              <w:rPr>
                <w:rFonts w:ascii="宋体" w:hAnsi="宋体"/>
                <w:sz w:val="22"/>
                <w:szCs w:val="22"/>
                <w:highlight w:val="none"/>
              </w:rPr>
            </w:pPr>
          </w:p>
        </w:tc>
        <w:tc>
          <w:tcPr>
            <w:tcW w:w="937" w:type="dxa"/>
            <w:vAlign w:val="center"/>
          </w:tcPr>
          <w:p w14:paraId="4C5341B7">
            <w:pPr>
              <w:jc w:val="center"/>
              <w:rPr>
                <w:rFonts w:ascii="宋体" w:hAnsi="宋体"/>
                <w:sz w:val="22"/>
                <w:szCs w:val="22"/>
                <w:highlight w:val="none"/>
              </w:rPr>
            </w:pPr>
            <w:r>
              <w:rPr>
                <w:rFonts w:hint="eastAsia" w:ascii="宋体" w:hAnsi="宋体"/>
                <w:sz w:val="22"/>
                <w:szCs w:val="22"/>
                <w:highlight w:val="none"/>
              </w:rPr>
              <w:t>0-</w:t>
            </w:r>
            <w:r>
              <w:rPr>
                <w:rFonts w:hint="eastAsia" w:ascii="宋体" w:hAnsi="宋体"/>
                <w:sz w:val="22"/>
                <w:szCs w:val="22"/>
                <w:highlight w:val="none"/>
                <w:lang w:val="en-US" w:eastAsia="zh-CN"/>
              </w:rPr>
              <w:t>3</w:t>
            </w:r>
            <w:r>
              <w:rPr>
                <w:rFonts w:hint="eastAsia" w:ascii="宋体" w:hAnsi="宋体"/>
                <w:sz w:val="22"/>
                <w:szCs w:val="22"/>
                <w:highlight w:val="none"/>
              </w:rPr>
              <w:t>分</w:t>
            </w:r>
          </w:p>
        </w:tc>
        <w:tc>
          <w:tcPr>
            <w:tcW w:w="6411" w:type="dxa"/>
            <w:vAlign w:val="center"/>
          </w:tcPr>
          <w:p w14:paraId="310CF11C">
            <w:pPr>
              <w:jc w:val="left"/>
              <w:rPr>
                <w:rFonts w:ascii="宋体" w:hAnsi="宋体"/>
                <w:kern w:val="0"/>
                <w:sz w:val="22"/>
                <w:szCs w:val="22"/>
                <w:highlight w:val="none"/>
              </w:rPr>
            </w:pPr>
            <w:r>
              <w:rPr>
                <w:rFonts w:hint="eastAsia" w:ascii="宋体" w:hAnsi="宋体"/>
                <w:kern w:val="0"/>
                <w:sz w:val="22"/>
                <w:szCs w:val="22"/>
                <w:highlight w:val="none"/>
              </w:rPr>
              <w:t>配备与抽检任务相适应的采样车辆、抽样现场执法仪、车载冰箱（或其他冷藏冷冻手段）等设（装）备，以何种方式投入和使用，以及实际可操作性、合理性、满足性等，</w:t>
            </w:r>
            <w:r>
              <w:rPr>
                <w:rFonts w:hint="eastAsia" w:ascii="宋体" w:hAnsi="宋体"/>
                <w:sz w:val="22"/>
                <w:szCs w:val="22"/>
                <w:highlight w:val="none"/>
              </w:rPr>
              <w:t>由评委综合打分，其中A档</w:t>
            </w:r>
            <w:r>
              <w:rPr>
                <w:rFonts w:hint="eastAsia" w:ascii="宋体" w:hAnsi="宋体"/>
                <w:sz w:val="22"/>
                <w:szCs w:val="22"/>
                <w:highlight w:val="none"/>
                <w:lang w:val="en-US" w:eastAsia="zh-CN"/>
              </w:rPr>
              <w:t>3</w:t>
            </w:r>
            <w:r>
              <w:rPr>
                <w:rFonts w:hint="eastAsia" w:ascii="宋体" w:hAnsi="宋体"/>
                <w:sz w:val="22"/>
                <w:szCs w:val="22"/>
                <w:highlight w:val="none"/>
              </w:rPr>
              <w:t>分，B档</w:t>
            </w:r>
            <w:r>
              <w:rPr>
                <w:rFonts w:hint="eastAsia" w:ascii="宋体" w:hAnsi="宋体"/>
                <w:sz w:val="22"/>
                <w:szCs w:val="22"/>
                <w:highlight w:val="none"/>
                <w:lang w:val="en-US" w:eastAsia="zh-CN"/>
              </w:rPr>
              <w:t>2</w:t>
            </w:r>
            <w:r>
              <w:rPr>
                <w:rFonts w:hint="eastAsia" w:ascii="宋体" w:hAnsi="宋体"/>
                <w:sz w:val="22"/>
                <w:szCs w:val="22"/>
                <w:highlight w:val="none"/>
              </w:rPr>
              <w:t>分，C档</w:t>
            </w:r>
            <w:r>
              <w:rPr>
                <w:rFonts w:hint="eastAsia" w:ascii="宋体" w:hAnsi="宋体"/>
                <w:sz w:val="22"/>
                <w:szCs w:val="22"/>
                <w:highlight w:val="none"/>
                <w:lang w:val="en-US" w:eastAsia="zh-CN"/>
              </w:rPr>
              <w:t>1</w:t>
            </w:r>
            <w:r>
              <w:rPr>
                <w:rFonts w:hint="eastAsia" w:ascii="宋体" w:hAnsi="宋体"/>
                <w:sz w:val="22"/>
                <w:szCs w:val="22"/>
                <w:highlight w:val="none"/>
              </w:rPr>
              <w:t>分,D档的得0分。</w:t>
            </w:r>
          </w:p>
          <w:p w14:paraId="588A7AAA">
            <w:pPr>
              <w:rPr>
                <w:rFonts w:ascii="宋体" w:hAnsi="宋体"/>
                <w:sz w:val="22"/>
                <w:szCs w:val="22"/>
                <w:highlight w:val="none"/>
              </w:rPr>
            </w:pPr>
            <w:r>
              <w:rPr>
                <w:rFonts w:hint="eastAsia" w:ascii="宋体" w:hAnsi="宋体" w:cs="宋体"/>
                <w:bCs/>
                <w:kern w:val="28"/>
                <w:sz w:val="22"/>
                <w:szCs w:val="22"/>
                <w:highlight w:val="none"/>
              </w:rPr>
              <w:t>注：需提供设备清单、图片、</w:t>
            </w:r>
            <w:r>
              <w:rPr>
                <w:rFonts w:hint="eastAsia" w:ascii="宋体" w:hAnsi="宋体" w:cs="新宋体"/>
                <w:bCs/>
                <w:sz w:val="22"/>
                <w:szCs w:val="22"/>
                <w:highlight w:val="none"/>
                <w:lang w:val="zh-CN"/>
              </w:rPr>
              <w:t>购置发票</w:t>
            </w:r>
            <w:r>
              <w:rPr>
                <w:rFonts w:hint="eastAsia" w:ascii="宋体" w:hAnsi="宋体" w:cs="宋体"/>
                <w:bCs/>
                <w:kern w:val="28"/>
                <w:sz w:val="22"/>
                <w:szCs w:val="22"/>
                <w:highlight w:val="none"/>
              </w:rPr>
              <w:t>等证明文件，</w:t>
            </w:r>
            <w:r>
              <w:rPr>
                <w:rFonts w:hint="eastAsia" w:ascii="宋体" w:hAnsi="宋体"/>
                <w:bCs/>
                <w:sz w:val="22"/>
                <w:szCs w:val="22"/>
                <w:highlight w:val="none"/>
              </w:rPr>
              <w:t>未提供或不符合要求或材料不能辨识的不得分。</w:t>
            </w:r>
          </w:p>
        </w:tc>
        <w:tc>
          <w:tcPr>
            <w:tcW w:w="972" w:type="dxa"/>
            <w:vAlign w:val="center"/>
          </w:tcPr>
          <w:p w14:paraId="5390AE23">
            <w:pPr>
              <w:jc w:val="center"/>
              <w:rPr>
                <w:rFonts w:ascii="宋体" w:hAnsi="宋体"/>
                <w:sz w:val="22"/>
                <w:szCs w:val="22"/>
                <w:highlight w:val="none"/>
              </w:rPr>
            </w:pPr>
            <w:r>
              <w:rPr>
                <w:rFonts w:hint="eastAsia" w:ascii="宋体" w:hAnsi="宋体"/>
                <w:sz w:val="22"/>
                <w:szCs w:val="22"/>
                <w:highlight w:val="none"/>
              </w:rPr>
              <w:t>主观分</w:t>
            </w:r>
          </w:p>
        </w:tc>
      </w:tr>
      <w:tr w14:paraId="1903D29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4" w:type="dxa"/>
            <w:vMerge w:val="continue"/>
            <w:vAlign w:val="center"/>
          </w:tcPr>
          <w:p w14:paraId="622AAE89">
            <w:pPr>
              <w:jc w:val="center"/>
              <w:rPr>
                <w:rFonts w:ascii="宋体" w:hAnsi="宋体"/>
                <w:sz w:val="22"/>
                <w:szCs w:val="22"/>
                <w:highlight w:val="none"/>
              </w:rPr>
            </w:pPr>
          </w:p>
        </w:tc>
        <w:tc>
          <w:tcPr>
            <w:tcW w:w="1827" w:type="dxa"/>
            <w:vMerge w:val="continue"/>
            <w:vAlign w:val="center"/>
          </w:tcPr>
          <w:p w14:paraId="1A76B6C8">
            <w:pPr>
              <w:rPr>
                <w:rFonts w:ascii="宋体" w:hAnsi="宋体"/>
                <w:sz w:val="22"/>
                <w:szCs w:val="22"/>
                <w:highlight w:val="none"/>
              </w:rPr>
            </w:pPr>
          </w:p>
        </w:tc>
        <w:tc>
          <w:tcPr>
            <w:tcW w:w="937" w:type="dxa"/>
            <w:vAlign w:val="center"/>
          </w:tcPr>
          <w:p w14:paraId="574ED78B">
            <w:pPr>
              <w:jc w:val="center"/>
              <w:rPr>
                <w:rFonts w:ascii="宋体" w:hAnsi="宋体"/>
                <w:sz w:val="22"/>
                <w:szCs w:val="22"/>
                <w:highlight w:val="none"/>
              </w:rPr>
            </w:pPr>
            <w:r>
              <w:rPr>
                <w:rFonts w:hint="eastAsia" w:ascii="宋体" w:hAnsi="宋体"/>
                <w:sz w:val="22"/>
                <w:szCs w:val="22"/>
                <w:highlight w:val="none"/>
              </w:rPr>
              <w:t>0-</w:t>
            </w:r>
            <w:r>
              <w:rPr>
                <w:rFonts w:hint="eastAsia" w:ascii="宋体" w:hAnsi="宋体"/>
                <w:sz w:val="22"/>
                <w:szCs w:val="22"/>
                <w:highlight w:val="none"/>
                <w:lang w:val="en-US" w:eastAsia="zh-CN"/>
              </w:rPr>
              <w:t>3</w:t>
            </w:r>
            <w:r>
              <w:rPr>
                <w:rFonts w:hint="eastAsia" w:ascii="宋体" w:hAnsi="宋体"/>
                <w:sz w:val="22"/>
                <w:szCs w:val="22"/>
                <w:highlight w:val="none"/>
              </w:rPr>
              <w:t>分</w:t>
            </w:r>
          </w:p>
        </w:tc>
        <w:tc>
          <w:tcPr>
            <w:tcW w:w="6411" w:type="dxa"/>
            <w:vAlign w:val="center"/>
          </w:tcPr>
          <w:p w14:paraId="06AFD4E1">
            <w:pPr>
              <w:rPr>
                <w:rFonts w:ascii="宋体" w:hAnsi="宋体"/>
                <w:sz w:val="22"/>
                <w:szCs w:val="22"/>
                <w:highlight w:val="none"/>
              </w:rPr>
            </w:pPr>
            <w:r>
              <w:rPr>
                <w:rFonts w:hint="eastAsia" w:ascii="宋体" w:hAnsi="宋体"/>
                <w:sz w:val="22"/>
                <w:szCs w:val="22"/>
                <w:highlight w:val="none"/>
              </w:rPr>
              <w:t>其他针对本项目拟投入的设备与仪器配置是否合理，仪器先进性等，由评委综合打分，其中A档的得</w:t>
            </w:r>
            <w:r>
              <w:rPr>
                <w:rFonts w:hint="eastAsia" w:ascii="宋体" w:hAnsi="宋体"/>
                <w:sz w:val="22"/>
                <w:szCs w:val="22"/>
                <w:highlight w:val="none"/>
                <w:lang w:val="en-US" w:eastAsia="zh-CN"/>
              </w:rPr>
              <w:t>3</w:t>
            </w:r>
            <w:r>
              <w:rPr>
                <w:rFonts w:hint="eastAsia" w:ascii="宋体" w:hAnsi="宋体"/>
                <w:sz w:val="22"/>
                <w:szCs w:val="22"/>
                <w:highlight w:val="none"/>
              </w:rPr>
              <w:t>分，B档的得</w:t>
            </w:r>
            <w:r>
              <w:rPr>
                <w:rFonts w:hint="eastAsia" w:ascii="宋体" w:hAnsi="宋体"/>
                <w:sz w:val="22"/>
                <w:szCs w:val="22"/>
                <w:highlight w:val="none"/>
                <w:lang w:val="en-US" w:eastAsia="zh-CN"/>
              </w:rPr>
              <w:t>2</w:t>
            </w:r>
            <w:r>
              <w:rPr>
                <w:rFonts w:hint="eastAsia" w:ascii="宋体" w:hAnsi="宋体"/>
                <w:sz w:val="22"/>
                <w:szCs w:val="22"/>
                <w:highlight w:val="none"/>
              </w:rPr>
              <w:t>分，C档的得1分，D档的得0分。</w:t>
            </w:r>
          </w:p>
        </w:tc>
        <w:tc>
          <w:tcPr>
            <w:tcW w:w="972" w:type="dxa"/>
            <w:vAlign w:val="center"/>
          </w:tcPr>
          <w:p w14:paraId="22866600">
            <w:pPr>
              <w:jc w:val="center"/>
              <w:rPr>
                <w:rFonts w:ascii="宋体" w:hAnsi="宋体"/>
                <w:sz w:val="22"/>
                <w:szCs w:val="22"/>
                <w:highlight w:val="none"/>
              </w:rPr>
            </w:pPr>
            <w:r>
              <w:rPr>
                <w:rFonts w:hint="eastAsia" w:ascii="宋体" w:hAnsi="宋体"/>
                <w:sz w:val="22"/>
                <w:szCs w:val="22"/>
                <w:highlight w:val="none"/>
              </w:rPr>
              <w:t>主观分</w:t>
            </w:r>
          </w:p>
        </w:tc>
      </w:tr>
      <w:tr w14:paraId="255459A4">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4" w:type="dxa"/>
            <w:vMerge w:val="restart"/>
            <w:vAlign w:val="center"/>
          </w:tcPr>
          <w:p w14:paraId="42B19982">
            <w:pPr>
              <w:jc w:val="center"/>
              <w:rPr>
                <w:rFonts w:hint="eastAsia" w:ascii="宋体" w:hAnsi="宋体" w:eastAsia="宋体"/>
                <w:sz w:val="22"/>
                <w:szCs w:val="22"/>
                <w:highlight w:val="none"/>
                <w:lang w:val="en-US" w:eastAsia="zh-CN"/>
              </w:rPr>
            </w:pPr>
            <w:r>
              <w:rPr>
                <w:rFonts w:hint="eastAsia" w:ascii="宋体" w:hAnsi="宋体"/>
                <w:sz w:val="22"/>
                <w:szCs w:val="22"/>
                <w:highlight w:val="none"/>
                <w:lang w:val="en-US" w:eastAsia="zh-CN"/>
              </w:rPr>
              <w:t>3</w:t>
            </w:r>
          </w:p>
        </w:tc>
        <w:tc>
          <w:tcPr>
            <w:tcW w:w="1827" w:type="dxa"/>
            <w:vMerge w:val="restart"/>
            <w:vAlign w:val="center"/>
          </w:tcPr>
          <w:p w14:paraId="325AD6BC">
            <w:pPr>
              <w:rPr>
                <w:rFonts w:ascii="宋体" w:hAnsi="宋体"/>
                <w:sz w:val="22"/>
                <w:szCs w:val="22"/>
                <w:highlight w:val="none"/>
              </w:rPr>
            </w:pPr>
            <w:r>
              <w:rPr>
                <w:rFonts w:hint="eastAsia" w:ascii="宋体" w:hAnsi="宋体"/>
                <w:sz w:val="22"/>
                <w:szCs w:val="22"/>
                <w:highlight w:val="none"/>
              </w:rPr>
              <w:t>供应商针对本项目拟投入的人员配备情况</w:t>
            </w:r>
          </w:p>
        </w:tc>
        <w:tc>
          <w:tcPr>
            <w:tcW w:w="937" w:type="dxa"/>
            <w:vAlign w:val="center"/>
          </w:tcPr>
          <w:p w14:paraId="61ECC136">
            <w:pPr>
              <w:jc w:val="center"/>
              <w:rPr>
                <w:rFonts w:ascii="宋体" w:hAnsi="宋体"/>
                <w:sz w:val="22"/>
                <w:szCs w:val="22"/>
                <w:highlight w:val="none"/>
              </w:rPr>
            </w:pPr>
            <w:r>
              <w:rPr>
                <w:rFonts w:hint="eastAsia" w:ascii="宋体" w:hAnsi="宋体"/>
                <w:sz w:val="22"/>
                <w:szCs w:val="22"/>
                <w:highlight w:val="none"/>
              </w:rPr>
              <w:t>0-</w:t>
            </w:r>
            <w:r>
              <w:rPr>
                <w:rFonts w:hint="eastAsia" w:ascii="宋体" w:hAnsi="宋体"/>
                <w:sz w:val="22"/>
                <w:szCs w:val="22"/>
                <w:highlight w:val="none"/>
                <w:lang w:val="en-US" w:eastAsia="zh-CN"/>
              </w:rPr>
              <w:t>7</w:t>
            </w:r>
            <w:r>
              <w:rPr>
                <w:rFonts w:hint="eastAsia" w:ascii="宋体" w:hAnsi="宋体"/>
                <w:sz w:val="22"/>
                <w:szCs w:val="22"/>
                <w:highlight w:val="none"/>
              </w:rPr>
              <w:t>分</w:t>
            </w:r>
          </w:p>
        </w:tc>
        <w:tc>
          <w:tcPr>
            <w:tcW w:w="6411" w:type="dxa"/>
            <w:vAlign w:val="center"/>
          </w:tcPr>
          <w:p w14:paraId="52BD296E">
            <w:pPr>
              <w:rPr>
                <w:rFonts w:hint="eastAsia" w:ascii="宋体" w:hAnsi="宋体" w:eastAsia="宋体"/>
                <w:sz w:val="22"/>
                <w:szCs w:val="22"/>
                <w:highlight w:val="none"/>
                <w:lang w:eastAsia="zh-CN"/>
              </w:rPr>
            </w:pPr>
            <w:r>
              <w:rPr>
                <w:rFonts w:hint="eastAsia" w:ascii="宋体" w:hAnsi="宋体"/>
                <w:sz w:val="22"/>
                <w:szCs w:val="22"/>
                <w:highlight w:val="none"/>
              </w:rPr>
              <w:t>1、项目负责人取得食品、农产品或检测专业的正高级职称的</w:t>
            </w:r>
            <w:r>
              <w:rPr>
                <w:rFonts w:hint="eastAsia" w:ascii="宋体" w:hAnsi="宋体"/>
                <w:sz w:val="22"/>
                <w:szCs w:val="22"/>
                <w:highlight w:val="none"/>
                <w:lang w:val="zh-CN"/>
              </w:rPr>
              <w:t>得</w:t>
            </w:r>
            <w:r>
              <w:rPr>
                <w:rFonts w:hint="eastAsia" w:ascii="宋体" w:hAnsi="宋体"/>
                <w:sz w:val="22"/>
                <w:szCs w:val="22"/>
                <w:highlight w:val="none"/>
                <w:lang w:val="en-US" w:eastAsia="zh-CN"/>
              </w:rPr>
              <w:t>1</w:t>
            </w:r>
            <w:r>
              <w:rPr>
                <w:rFonts w:hint="eastAsia" w:ascii="宋体" w:hAnsi="宋体"/>
                <w:sz w:val="22"/>
                <w:szCs w:val="22"/>
                <w:highlight w:val="none"/>
              </w:rPr>
              <w:t>分</w:t>
            </w:r>
            <w:r>
              <w:rPr>
                <w:rFonts w:hint="eastAsia" w:ascii="宋体" w:hAnsi="宋体"/>
                <w:sz w:val="22"/>
                <w:szCs w:val="22"/>
                <w:highlight w:val="none"/>
                <w:lang w:eastAsia="zh-CN"/>
              </w:rPr>
              <w:t>；</w:t>
            </w:r>
          </w:p>
          <w:p w14:paraId="75FD7936">
            <w:pPr>
              <w:rPr>
                <w:rFonts w:hint="eastAsia" w:ascii="宋体" w:hAnsi="宋体"/>
                <w:sz w:val="22"/>
                <w:szCs w:val="22"/>
                <w:highlight w:val="none"/>
              </w:rPr>
            </w:pPr>
            <w:r>
              <w:rPr>
                <w:rFonts w:hint="eastAsia" w:ascii="宋体" w:hAnsi="宋体"/>
                <w:sz w:val="22"/>
                <w:szCs w:val="22"/>
                <w:highlight w:val="none"/>
              </w:rPr>
              <w:t>2、项目负责人</w:t>
            </w:r>
            <w:r>
              <w:rPr>
                <w:rFonts w:hint="eastAsia" w:ascii="宋体" w:hAnsi="宋体"/>
                <w:sz w:val="22"/>
                <w:szCs w:val="22"/>
                <w:highlight w:val="none"/>
                <w:lang w:val="en-US" w:eastAsia="zh-CN"/>
              </w:rPr>
              <w:t>具有</w:t>
            </w:r>
            <w:r>
              <w:rPr>
                <w:rFonts w:hint="eastAsia" w:ascii="宋体" w:hAnsi="宋体"/>
                <w:sz w:val="22"/>
                <w:szCs w:val="22"/>
                <w:highlight w:val="none"/>
              </w:rPr>
              <w:t>国家级检验检测领域专家</w:t>
            </w:r>
            <w:r>
              <w:rPr>
                <w:rFonts w:hint="eastAsia" w:ascii="宋体" w:hAnsi="宋体"/>
                <w:sz w:val="22"/>
                <w:szCs w:val="22"/>
                <w:highlight w:val="none"/>
                <w:lang w:val="en-US" w:eastAsia="zh-CN"/>
              </w:rPr>
              <w:t>资质</w:t>
            </w:r>
            <w:r>
              <w:rPr>
                <w:rFonts w:hint="eastAsia" w:ascii="宋体" w:hAnsi="宋体"/>
                <w:sz w:val="22"/>
                <w:szCs w:val="22"/>
                <w:highlight w:val="none"/>
              </w:rPr>
              <w:t>的，得</w:t>
            </w:r>
            <w:r>
              <w:rPr>
                <w:rFonts w:hint="eastAsia" w:ascii="宋体" w:hAnsi="宋体"/>
                <w:sz w:val="22"/>
                <w:szCs w:val="22"/>
                <w:highlight w:val="none"/>
                <w:lang w:val="en-US" w:eastAsia="zh-CN"/>
              </w:rPr>
              <w:t>1</w:t>
            </w:r>
            <w:r>
              <w:rPr>
                <w:rFonts w:hint="eastAsia" w:ascii="宋体" w:hAnsi="宋体"/>
                <w:sz w:val="22"/>
                <w:szCs w:val="22"/>
                <w:highlight w:val="none"/>
              </w:rPr>
              <w:t>分（提供聘书或者红头文件）</w:t>
            </w:r>
            <w:r>
              <w:rPr>
                <w:rFonts w:hint="eastAsia" w:ascii="宋体" w:hAnsi="宋体"/>
                <w:sz w:val="22"/>
                <w:szCs w:val="22"/>
                <w:highlight w:val="none"/>
                <w:lang w:val="zh-CN"/>
              </w:rPr>
              <w:t>；</w:t>
            </w:r>
          </w:p>
          <w:p w14:paraId="05413061">
            <w:pPr>
              <w:rPr>
                <w:rFonts w:hint="eastAsia" w:ascii="宋体" w:hAnsi="宋体" w:eastAsia="宋体"/>
                <w:sz w:val="22"/>
                <w:szCs w:val="22"/>
                <w:highlight w:val="none"/>
                <w:lang w:val="zh-CN"/>
              </w:rPr>
            </w:pPr>
            <w:r>
              <w:rPr>
                <w:rFonts w:hint="eastAsia" w:ascii="宋体" w:hAnsi="宋体"/>
                <w:sz w:val="22"/>
                <w:szCs w:val="22"/>
                <w:highlight w:val="none"/>
                <w:lang w:val="zh-CN"/>
              </w:rPr>
              <w:t>3、</w:t>
            </w:r>
            <w:r>
              <w:rPr>
                <w:rFonts w:hint="eastAsia" w:ascii="宋体" w:hAnsi="宋体"/>
                <w:sz w:val="22"/>
                <w:szCs w:val="22"/>
                <w:highlight w:val="none"/>
              </w:rPr>
              <w:t>项目负责人获得过</w:t>
            </w:r>
            <w:r>
              <w:rPr>
                <w:rFonts w:ascii="宋体" w:hAnsi="宋体" w:cs="Arial"/>
                <w:sz w:val="22"/>
                <w:szCs w:val="22"/>
                <w:highlight w:val="none"/>
                <w:shd w:val="clear" w:color="auto" w:fill="FFFFFF"/>
              </w:rPr>
              <w:t>地（市）级</w:t>
            </w:r>
            <w:r>
              <w:rPr>
                <w:rFonts w:hint="eastAsia" w:ascii="宋体" w:hAnsi="宋体"/>
                <w:sz w:val="22"/>
                <w:szCs w:val="22"/>
                <w:highlight w:val="none"/>
                <w:lang w:val="zh-CN"/>
              </w:rPr>
              <w:t>政府</w:t>
            </w:r>
            <w:r>
              <w:rPr>
                <w:rFonts w:hint="eastAsia" w:ascii="宋体" w:hAnsi="宋体" w:eastAsia="宋体"/>
                <w:sz w:val="22"/>
                <w:szCs w:val="22"/>
                <w:highlight w:val="none"/>
                <w:lang w:val="zh-CN"/>
              </w:rPr>
              <w:t>部门通报表彰的，得1分；获得过省级及以上政府部门通报表彰的，得</w:t>
            </w:r>
            <w:r>
              <w:rPr>
                <w:rFonts w:hint="eastAsia" w:ascii="宋体" w:hAnsi="宋体"/>
                <w:sz w:val="22"/>
                <w:szCs w:val="22"/>
                <w:highlight w:val="none"/>
                <w:lang w:val="en-US" w:eastAsia="zh-CN"/>
              </w:rPr>
              <w:t>3</w:t>
            </w:r>
            <w:r>
              <w:rPr>
                <w:rFonts w:hint="eastAsia" w:ascii="宋体" w:hAnsi="宋体" w:eastAsia="宋体"/>
                <w:sz w:val="22"/>
                <w:szCs w:val="22"/>
                <w:highlight w:val="none"/>
                <w:lang w:val="zh-CN"/>
              </w:rPr>
              <w:t>分</w:t>
            </w:r>
            <w:r>
              <w:rPr>
                <w:rFonts w:hint="eastAsia" w:ascii="宋体" w:hAnsi="宋体"/>
                <w:sz w:val="22"/>
                <w:szCs w:val="22"/>
                <w:highlight w:val="none"/>
                <w:lang w:val="zh-CN"/>
              </w:rPr>
              <w:t>；</w:t>
            </w:r>
          </w:p>
          <w:p w14:paraId="14A4F45A">
            <w:pPr>
              <w:rPr>
                <w:rFonts w:hint="eastAsia" w:ascii="宋体" w:hAnsi="宋体" w:eastAsia="宋体"/>
                <w:sz w:val="22"/>
                <w:szCs w:val="22"/>
                <w:highlight w:val="none"/>
                <w:lang w:val="en-US" w:eastAsia="zh-CN"/>
              </w:rPr>
            </w:pPr>
            <w:r>
              <w:rPr>
                <w:rFonts w:hint="eastAsia" w:ascii="宋体" w:hAnsi="宋体" w:eastAsia="宋体"/>
                <w:sz w:val="22"/>
                <w:szCs w:val="22"/>
                <w:highlight w:val="none"/>
                <w:lang w:val="en-US" w:eastAsia="zh-CN"/>
              </w:rPr>
              <w:t>4、</w:t>
            </w:r>
            <w:r>
              <w:rPr>
                <w:rFonts w:hint="eastAsia" w:ascii="宋体" w:hAnsi="宋体"/>
                <w:sz w:val="22"/>
                <w:szCs w:val="22"/>
                <w:highlight w:val="none"/>
              </w:rPr>
              <w:t>项目负责人</w:t>
            </w:r>
            <w:r>
              <w:rPr>
                <w:rFonts w:hint="eastAsia" w:ascii="宋体" w:hAnsi="宋体" w:eastAsia="宋体"/>
                <w:sz w:val="22"/>
                <w:szCs w:val="22"/>
                <w:highlight w:val="none"/>
                <w:lang w:val="en-US" w:eastAsia="zh-CN"/>
              </w:rPr>
              <w:t>获得省级</w:t>
            </w:r>
            <w:r>
              <w:rPr>
                <w:rFonts w:hint="eastAsia" w:ascii="宋体" w:hAnsi="宋体"/>
                <w:sz w:val="22"/>
                <w:szCs w:val="22"/>
                <w:highlight w:val="none"/>
                <w:lang w:val="en-US" w:eastAsia="zh-CN"/>
              </w:rPr>
              <w:t>及</w:t>
            </w:r>
            <w:r>
              <w:rPr>
                <w:rFonts w:hint="eastAsia" w:ascii="宋体" w:hAnsi="宋体" w:eastAsia="宋体"/>
                <w:sz w:val="22"/>
                <w:szCs w:val="22"/>
                <w:highlight w:val="none"/>
                <w:lang w:val="en-US" w:eastAsia="zh-CN"/>
              </w:rPr>
              <w:t>以上人民政府颁发的科学技术进步奖的，得2分，以上表彰需与检测服务相关，没有不得分。</w:t>
            </w:r>
          </w:p>
          <w:p w14:paraId="30E9B4E2">
            <w:pPr>
              <w:rPr>
                <w:rFonts w:ascii="宋体" w:hAnsi="宋体"/>
                <w:sz w:val="22"/>
                <w:szCs w:val="22"/>
                <w:highlight w:val="none"/>
              </w:rPr>
            </w:pPr>
            <w:r>
              <w:rPr>
                <w:rFonts w:hint="eastAsia" w:ascii="宋体" w:hAnsi="宋体"/>
                <w:sz w:val="22"/>
                <w:szCs w:val="22"/>
                <w:highlight w:val="none"/>
              </w:rPr>
              <w:t>注：</w:t>
            </w:r>
            <w:r>
              <w:rPr>
                <w:rFonts w:hint="eastAsia" w:ascii="宋体" w:hAnsi="宋体"/>
                <w:sz w:val="22"/>
                <w:szCs w:val="22"/>
                <w:highlight w:val="none"/>
                <w:lang w:val="zh-CN"/>
              </w:rPr>
              <w:t>须提供①</w:t>
            </w:r>
            <w:r>
              <w:rPr>
                <w:rFonts w:hint="eastAsia" w:ascii="宋体" w:hAnsi="宋体"/>
                <w:sz w:val="22"/>
                <w:szCs w:val="22"/>
                <w:highlight w:val="none"/>
              </w:rPr>
              <w:t>相关</w:t>
            </w:r>
            <w:r>
              <w:rPr>
                <w:rFonts w:hint="eastAsia" w:ascii="宋体" w:hAnsi="宋体"/>
                <w:sz w:val="22"/>
                <w:szCs w:val="22"/>
                <w:highlight w:val="none"/>
                <w:lang w:val="zh-CN"/>
              </w:rPr>
              <w:t>证书</w:t>
            </w:r>
            <w:r>
              <w:rPr>
                <w:rFonts w:hint="eastAsia" w:ascii="宋体" w:hAnsi="宋体"/>
                <w:sz w:val="22"/>
                <w:szCs w:val="22"/>
                <w:highlight w:val="none"/>
              </w:rPr>
              <w:t>扫描件</w:t>
            </w:r>
            <w:r>
              <w:rPr>
                <w:rFonts w:hint="eastAsia" w:ascii="宋体" w:hAnsi="宋体"/>
                <w:sz w:val="22"/>
                <w:szCs w:val="22"/>
                <w:highlight w:val="none"/>
                <w:lang w:val="zh-CN"/>
              </w:rPr>
              <w:t>；②</w:t>
            </w:r>
            <w:r>
              <w:rPr>
                <w:rFonts w:hint="eastAsia" w:ascii="宋体" w:hAnsi="宋体"/>
                <w:sz w:val="22"/>
                <w:szCs w:val="22"/>
                <w:highlight w:val="none"/>
              </w:rPr>
              <w:t>响应文件</w:t>
            </w:r>
            <w:r>
              <w:rPr>
                <w:rFonts w:hint="eastAsia" w:ascii="宋体" w:hAnsi="宋体"/>
                <w:sz w:val="22"/>
                <w:szCs w:val="22"/>
                <w:highlight w:val="none"/>
                <w:lang w:val="zh-CN"/>
              </w:rPr>
              <w:t>截止前</w:t>
            </w:r>
            <w:r>
              <w:rPr>
                <w:rFonts w:hint="eastAsia" w:ascii="宋体" w:hAnsi="宋体"/>
                <w:sz w:val="22"/>
                <w:szCs w:val="22"/>
                <w:highlight w:val="none"/>
              </w:rPr>
              <w:t>六个月内</w:t>
            </w:r>
            <w:r>
              <w:rPr>
                <w:rFonts w:hint="eastAsia" w:ascii="宋体" w:hAnsi="宋体"/>
                <w:sz w:val="22"/>
                <w:szCs w:val="22"/>
                <w:highlight w:val="none"/>
                <w:lang w:val="zh-CN"/>
              </w:rPr>
              <w:t>任意一个月（不含</w:t>
            </w:r>
            <w:r>
              <w:rPr>
                <w:rFonts w:hint="eastAsia" w:ascii="宋体" w:hAnsi="宋体"/>
                <w:sz w:val="22"/>
                <w:szCs w:val="22"/>
                <w:highlight w:val="none"/>
              </w:rPr>
              <w:t>响应文件</w:t>
            </w:r>
            <w:r>
              <w:rPr>
                <w:rFonts w:hint="eastAsia" w:ascii="宋体" w:hAnsi="宋体"/>
                <w:sz w:val="22"/>
                <w:szCs w:val="22"/>
                <w:highlight w:val="none"/>
                <w:lang w:val="zh-CN"/>
              </w:rPr>
              <w:t>截止时间当月）供应商为其缴纳社会保障资金的证明材料。</w:t>
            </w:r>
            <w:r>
              <w:rPr>
                <w:rFonts w:hint="eastAsia" w:ascii="宋体" w:hAnsi="宋体"/>
                <w:sz w:val="22"/>
                <w:szCs w:val="22"/>
                <w:highlight w:val="none"/>
              </w:rPr>
              <w:t>未提供或提供不全的不得分</w:t>
            </w:r>
            <w:r>
              <w:rPr>
                <w:rFonts w:hint="eastAsia" w:ascii="宋体" w:hAnsi="宋体"/>
                <w:sz w:val="22"/>
                <w:szCs w:val="22"/>
                <w:highlight w:val="none"/>
                <w:lang w:val="zh-CN"/>
              </w:rPr>
              <w:t>。</w:t>
            </w:r>
          </w:p>
        </w:tc>
        <w:tc>
          <w:tcPr>
            <w:tcW w:w="972" w:type="dxa"/>
            <w:vAlign w:val="center"/>
          </w:tcPr>
          <w:p w14:paraId="10CD0C0F">
            <w:pPr>
              <w:jc w:val="center"/>
              <w:rPr>
                <w:rFonts w:ascii="宋体" w:hAnsi="宋体"/>
                <w:sz w:val="22"/>
                <w:szCs w:val="22"/>
                <w:highlight w:val="none"/>
              </w:rPr>
            </w:pPr>
            <w:r>
              <w:rPr>
                <w:rFonts w:hint="eastAsia" w:ascii="宋体" w:hAnsi="宋体"/>
                <w:sz w:val="22"/>
                <w:szCs w:val="22"/>
                <w:highlight w:val="none"/>
              </w:rPr>
              <w:t>客观分</w:t>
            </w:r>
          </w:p>
        </w:tc>
      </w:tr>
      <w:tr w14:paraId="1DD31504">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4" w:type="dxa"/>
            <w:vMerge w:val="continue"/>
            <w:vAlign w:val="center"/>
          </w:tcPr>
          <w:p w14:paraId="2FFFB947">
            <w:pPr>
              <w:jc w:val="center"/>
              <w:rPr>
                <w:rFonts w:ascii="宋体" w:hAnsi="宋体"/>
                <w:sz w:val="22"/>
                <w:szCs w:val="22"/>
                <w:highlight w:val="none"/>
              </w:rPr>
            </w:pPr>
          </w:p>
        </w:tc>
        <w:tc>
          <w:tcPr>
            <w:tcW w:w="1827" w:type="dxa"/>
            <w:vMerge w:val="continue"/>
            <w:vAlign w:val="center"/>
          </w:tcPr>
          <w:p w14:paraId="0073A453">
            <w:pPr>
              <w:rPr>
                <w:rFonts w:ascii="宋体" w:hAnsi="宋体"/>
                <w:sz w:val="22"/>
                <w:szCs w:val="22"/>
                <w:highlight w:val="none"/>
              </w:rPr>
            </w:pPr>
          </w:p>
        </w:tc>
        <w:tc>
          <w:tcPr>
            <w:tcW w:w="937" w:type="dxa"/>
            <w:vAlign w:val="center"/>
          </w:tcPr>
          <w:p w14:paraId="6F73BB39">
            <w:pPr>
              <w:jc w:val="center"/>
              <w:rPr>
                <w:rFonts w:ascii="宋体" w:hAnsi="宋体"/>
                <w:sz w:val="22"/>
                <w:szCs w:val="22"/>
                <w:highlight w:val="none"/>
              </w:rPr>
            </w:pPr>
            <w:r>
              <w:rPr>
                <w:rFonts w:hint="eastAsia" w:ascii="宋体" w:hAnsi="宋体"/>
                <w:sz w:val="22"/>
                <w:szCs w:val="22"/>
                <w:highlight w:val="none"/>
              </w:rPr>
              <w:t>0-</w:t>
            </w:r>
            <w:r>
              <w:rPr>
                <w:rFonts w:hint="eastAsia" w:ascii="宋体" w:hAnsi="宋体"/>
                <w:sz w:val="22"/>
                <w:szCs w:val="22"/>
                <w:highlight w:val="none"/>
                <w:lang w:val="en-US" w:eastAsia="zh-CN"/>
              </w:rPr>
              <w:t>2</w:t>
            </w:r>
            <w:r>
              <w:rPr>
                <w:rFonts w:hint="eastAsia" w:ascii="宋体" w:hAnsi="宋体"/>
                <w:sz w:val="22"/>
                <w:szCs w:val="22"/>
                <w:highlight w:val="none"/>
              </w:rPr>
              <w:t>分</w:t>
            </w:r>
          </w:p>
        </w:tc>
        <w:tc>
          <w:tcPr>
            <w:tcW w:w="6411" w:type="dxa"/>
            <w:vAlign w:val="center"/>
          </w:tcPr>
          <w:p w14:paraId="3241132D">
            <w:pPr>
              <w:rPr>
                <w:rFonts w:hint="eastAsia" w:ascii="宋体" w:hAnsi="宋体" w:cs="Arial"/>
                <w:sz w:val="22"/>
                <w:szCs w:val="22"/>
                <w:highlight w:val="none"/>
                <w:shd w:val="clear" w:color="auto" w:fill="FFFFFF"/>
                <w:lang w:val="en-US" w:eastAsia="zh-CN"/>
              </w:rPr>
            </w:pPr>
            <w:r>
              <w:rPr>
                <w:rFonts w:hint="eastAsia" w:ascii="宋体" w:hAnsi="宋体" w:cs="Arial"/>
                <w:sz w:val="22"/>
                <w:szCs w:val="22"/>
                <w:highlight w:val="none"/>
                <w:shd w:val="clear" w:color="auto" w:fill="FFFFFF"/>
                <w:lang w:val="en-US" w:eastAsia="zh-CN"/>
              </w:rPr>
              <w:t>1、技术负责人（与项目负责人不得同一人）具有食品或农产品专业正高级职称的，得1分；</w:t>
            </w:r>
          </w:p>
          <w:p w14:paraId="45E266F4">
            <w:pPr>
              <w:rPr>
                <w:rFonts w:ascii="宋体" w:hAnsi="宋体" w:cs="宋体"/>
                <w:bCs/>
                <w:kern w:val="28"/>
                <w:sz w:val="22"/>
                <w:szCs w:val="22"/>
                <w:highlight w:val="none"/>
                <w:lang w:val="zh-CN"/>
              </w:rPr>
            </w:pPr>
            <w:r>
              <w:rPr>
                <w:rFonts w:hint="eastAsia" w:ascii="宋体" w:hAnsi="宋体" w:cs="Arial"/>
                <w:sz w:val="22"/>
                <w:szCs w:val="22"/>
                <w:highlight w:val="none"/>
                <w:shd w:val="clear" w:color="auto" w:fill="FFFFFF"/>
                <w:lang w:val="en-US" w:eastAsia="zh-CN"/>
              </w:rPr>
              <w:t>2、技术负责人（与项目负责人不得同一人）具有博士及以上学历的得1分</w:t>
            </w:r>
            <w:r>
              <w:rPr>
                <w:rFonts w:hint="eastAsia" w:ascii="宋体" w:hAnsi="宋体" w:cs="宋体"/>
                <w:bCs/>
                <w:kern w:val="28"/>
                <w:sz w:val="22"/>
                <w:szCs w:val="22"/>
                <w:highlight w:val="none"/>
                <w:lang w:val="zh-CN"/>
              </w:rPr>
              <w:t>。</w:t>
            </w:r>
          </w:p>
          <w:p w14:paraId="19947D94">
            <w:pPr>
              <w:rPr>
                <w:rFonts w:ascii="宋体" w:hAnsi="宋体"/>
                <w:sz w:val="22"/>
                <w:szCs w:val="22"/>
                <w:highlight w:val="none"/>
              </w:rPr>
            </w:pPr>
            <w:r>
              <w:rPr>
                <w:rFonts w:hint="eastAsia" w:ascii="宋体" w:hAnsi="宋体"/>
                <w:sz w:val="22"/>
                <w:szCs w:val="22"/>
                <w:highlight w:val="none"/>
              </w:rPr>
              <w:t>注：</w:t>
            </w:r>
            <w:r>
              <w:rPr>
                <w:rFonts w:hint="eastAsia" w:ascii="宋体" w:hAnsi="宋体"/>
                <w:sz w:val="22"/>
                <w:szCs w:val="22"/>
                <w:highlight w:val="none"/>
                <w:lang w:val="zh-CN"/>
              </w:rPr>
              <w:t>须提供①</w:t>
            </w:r>
            <w:r>
              <w:rPr>
                <w:rFonts w:hint="eastAsia" w:ascii="宋体" w:hAnsi="宋体"/>
                <w:sz w:val="22"/>
                <w:szCs w:val="22"/>
                <w:highlight w:val="none"/>
              </w:rPr>
              <w:t>相关</w:t>
            </w:r>
            <w:r>
              <w:rPr>
                <w:rFonts w:hint="eastAsia" w:ascii="宋体" w:hAnsi="宋体"/>
                <w:sz w:val="22"/>
                <w:szCs w:val="22"/>
                <w:highlight w:val="none"/>
                <w:lang w:val="zh-CN"/>
              </w:rPr>
              <w:t>证书</w:t>
            </w:r>
            <w:r>
              <w:rPr>
                <w:rFonts w:hint="eastAsia" w:ascii="宋体" w:hAnsi="宋体"/>
                <w:sz w:val="22"/>
                <w:szCs w:val="22"/>
                <w:highlight w:val="none"/>
              </w:rPr>
              <w:t>扫描件</w:t>
            </w:r>
            <w:r>
              <w:rPr>
                <w:rFonts w:hint="eastAsia" w:ascii="宋体" w:hAnsi="宋体"/>
                <w:sz w:val="22"/>
                <w:szCs w:val="22"/>
                <w:highlight w:val="none"/>
                <w:lang w:val="zh-CN"/>
              </w:rPr>
              <w:t>；②</w:t>
            </w:r>
            <w:r>
              <w:rPr>
                <w:rFonts w:hint="eastAsia" w:ascii="宋体" w:hAnsi="宋体"/>
                <w:sz w:val="22"/>
                <w:szCs w:val="22"/>
                <w:highlight w:val="none"/>
              </w:rPr>
              <w:t>响应文件</w:t>
            </w:r>
            <w:r>
              <w:rPr>
                <w:rFonts w:hint="eastAsia" w:ascii="宋体" w:hAnsi="宋体"/>
                <w:sz w:val="22"/>
                <w:szCs w:val="22"/>
                <w:highlight w:val="none"/>
                <w:lang w:val="zh-CN"/>
              </w:rPr>
              <w:t>截止前</w:t>
            </w:r>
            <w:r>
              <w:rPr>
                <w:rFonts w:hint="eastAsia" w:ascii="宋体" w:hAnsi="宋体"/>
                <w:sz w:val="22"/>
                <w:szCs w:val="22"/>
                <w:highlight w:val="none"/>
              </w:rPr>
              <w:t>六个月内</w:t>
            </w:r>
            <w:r>
              <w:rPr>
                <w:rFonts w:hint="eastAsia" w:ascii="宋体" w:hAnsi="宋体"/>
                <w:sz w:val="22"/>
                <w:szCs w:val="22"/>
                <w:highlight w:val="none"/>
                <w:lang w:val="zh-CN"/>
              </w:rPr>
              <w:t>（不含</w:t>
            </w:r>
            <w:r>
              <w:rPr>
                <w:rFonts w:hint="eastAsia" w:ascii="宋体" w:hAnsi="宋体"/>
                <w:sz w:val="22"/>
                <w:szCs w:val="22"/>
                <w:highlight w:val="none"/>
              </w:rPr>
              <w:t>响应文件</w:t>
            </w:r>
            <w:r>
              <w:rPr>
                <w:rFonts w:hint="eastAsia" w:ascii="宋体" w:hAnsi="宋体"/>
                <w:sz w:val="22"/>
                <w:szCs w:val="22"/>
                <w:highlight w:val="none"/>
                <w:lang w:val="zh-CN"/>
              </w:rPr>
              <w:t>截止时间当月）供应商为其缴纳社会保障资金的证明材料。</w:t>
            </w:r>
            <w:r>
              <w:rPr>
                <w:rFonts w:hint="eastAsia" w:ascii="宋体" w:hAnsi="宋体"/>
                <w:sz w:val="22"/>
                <w:szCs w:val="22"/>
                <w:highlight w:val="none"/>
              </w:rPr>
              <w:t>未提供或提供不全的不得分</w:t>
            </w:r>
            <w:r>
              <w:rPr>
                <w:rFonts w:hint="eastAsia" w:ascii="宋体" w:hAnsi="宋体"/>
                <w:sz w:val="22"/>
                <w:szCs w:val="22"/>
                <w:highlight w:val="none"/>
                <w:lang w:val="zh-CN"/>
              </w:rPr>
              <w:t>。</w:t>
            </w:r>
          </w:p>
        </w:tc>
        <w:tc>
          <w:tcPr>
            <w:tcW w:w="972" w:type="dxa"/>
            <w:vAlign w:val="center"/>
          </w:tcPr>
          <w:p w14:paraId="70A24F8F">
            <w:pPr>
              <w:jc w:val="center"/>
              <w:rPr>
                <w:rFonts w:ascii="宋体" w:hAnsi="宋体"/>
                <w:sz w:val="22"/>
                <w:szCs w:val="22"/>
                <w:highlight w:val="none"/>
              </w:rPr>
            </w:pPr>
            <w:r>
              <w:rPr>
                <w:rFonts w:hint="eastAsia" w:ascii="宋体" w:hAnsi="宋体"/>
                <w:sz w:val="22"/>
                <w:szCs w:val="22"/>
                <w:highlight w:val="none"/>
              </w:rPr>
              <w:t>客观分</w:t>
            </w:r>
          </w:p>
        </w:tc>
      </w:tr>
      <w:tr w14:paraId="4126413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4" w:type="dxa"/>
            <w:vMerge w:val="continue"/>
            <w:vAlign w:val="center"/>
          </w:tcPr>
          <w:p w14:paraId="45D9FBDE">
            <w:pPr>
              <w:jc w:val="center"/>
              <w:rPr>
                <w:rFonts w:ascii="宋体" w:hAnsi="宋体"/>
                <w:sz w:val="22"/>
                <w:szCs w:val="22"/>
                <w:highlight w:val="none"/>
              </w:rPr>
            </w:pPr>
          </w:p>
        </w:tc>
        <w:tc>
          <w:tcPr>
            <w:tcW w:w="1827" w:type="dxa"/>
            <w:vMerge w:val="continue"/>
            <w:vAlign w:val="center"/>
          </w:tcPr>
          <w:p w14:paraId="56A03D14">
            <w:pPr>
              <w:rPr>
                <w:rFonts w:ascii="宋体" w:hAnsi="宋体"/>
                <w:sz w:val="22"/>
                <w:szCs w:val="22"/>
                <w:highlight w:val="none"/>
              </w:rPr>
            </w:pPr>
          </w:p>
        </w:tc>
        <w:tc>
          <w:tcPr>
            <w:tcW w:w="937" w:type="dxa"/>
            <w:vAlign w:val="center"/>
          </w:tcPr>
          <w:p w14:paraId="5C540267">
            <w:pPr>
              <w:jc w:val="center"/>
              <w:rPr>
                <w:rFonts w:ascii="宋体" w:hAnsi="宋体"/>
                <w:sz w:val="22"/>
                <w:szCs w:val="22"/>
                <w:highlight w:val="none"/>
              </w:rPr>
            </w:pPr>
            <w:r>
              <w:rPr>
                <w:rFonts w:hint="eastAsia" w:ascii="宋体" w:hAnsi="宋体"/>
                <w:sz w:val="22"/>
                <w:szCs w:val="22"/>
                <w:highlight w:val="none"/>
              </w:rPr>
              <w:t>0-6分</w:t>
            </w:r>
          </w:p>
        </w:tc>
        <w:tc>
          <w:tcPr>
            <w:tcW w:w="6411" w:type="dxa"/>
            <w:vAlign w:val="center"/>
          </w:tcPr>
          <w:p w14:paraId="1DED16F7">
            <w:pPr>
              <w:rPr>
                <w:rFonts w:ascii="宋体" w:hAnsi="宋体"/>
                <w:sz w:val="22"/>
                <w:szCs w:val="22"/>
                <w:highlight w:val="none"/>
              </w:rPr>
            </w:pPr>
            <w:r>
              <w:rPr>
                <w:rFonts w:hint="eastAsia" w:ascii="宋体" w:hAnsi="宋体"/>
                <w:sz w:val="22"/>
                <w:szCs w:val="22"/>
                <w:highlight w:val="none"/>
              </w:rPr>
              <w:t>依据人员的统筹执行能力、技术职称、从业经验、专业程度等方面，由评委综合打分，其中A档的得6分，B档的得4分，C档的得2分，D档的得0分。</w:t>
            </w:r>
          </w:p>
          <w:p w14:paraId="2B96CAA3">
            <w:pPr>
              <w:rPr>
                <w:rFonts w:ascii="宋体" w:hAnsi="宋体"/>
                <w:sz w:val="22"/>
                <w:szCs w:val="22"/>
                <w:highlight w:val="none"/>
              </w:rPr>
            </w:pPr>
            <w:r>
              <w:rPr>
                <w:rFonts w:hint="eastAsia" w:ascii="宋体" w:hAnsi="宋体"/>
                <w:sz w:val="22"/>
                <w:szCs w:val="22"/>
                <w:highlight w:val="none"/>
              </w:rPr>
              <w:t>注：</w:t>
            </w:r>
            <w:r>
              <w:rPr>
                <w:rFonts w:hint="eastAsia" w:ascii="宋体" w:hAnsi="宋体"/>
                <w:sz w:val="22"/>
                <w:szCs w:val="22"/>
                <w:highlight w:val="none"/>
                <w:lang w:val="zh-CN"/>
              </w:rPr>
              <w:t>须提供①</w:t>
            </w:r>
            <w:r>
              <w:rPr>
                <w:rFonts w:hint="eastAsia" w:ascii="宋体" w:hAnsi="宋体"/>
                <w:sz w:val="22"/>
                <w:szCs w:val="22"/>
                <w:highlight w:val="none"/>
              </w:rPr>
              <w:t>相关</w:t>
            </w:r>
            <w:r>
              <w:rPr>
                <w:rFonts w:hint="eastAsia" w:ascii="宋体" w:hAnsi="宋体"/>
                <w:sz w:val="22"/>
                <w:szCs w:val="22"/>
                <w:highlight w:val="none"/>
                <w:lang w:val="zh-CN"/>
              </w:rPr>
              <w:t>证书</w:t>
            </w:r>
            <w:r>
              <w:rPr>
                <w:rFonts w:hint="eastAsia" w:ascii="宋体" w:hAnsi="宋体"/>
                <w:sz w:val="22"/>
                <w:szCs w:val="22"/>
                <w:highlight w:val="none"/>
              </w:rPr>
              <w:t>扫描件</w:t>
            </w:r>
            <w:r>
              <w:rPr>
                <w:rFonts w:hint="eastAsia" w:ascii="宋体" w:hAnsi="宋体"/>
                <w:sz w:val="22"/>
                <w:szCs w:val="22"/>
                <w:highlight w:val="none"/>
                <w:lang w:val="zh-CN"/>
              </w:rPr>
              <w:t>；②</w:t>
            </w:r>
            <w:r>
              <w:rPr>
                <w:rFonts w:hint="eastAsia" w:ascii="宋体" w:hAnsi="宋体"/>
                <w:sz w:val="22"/>
                <w:szCs w:val="22"/>
                <w:highlight w:val="none"/>
              </w:rPr>
              <w:t>响应文件</w:t>
            </w:r>
            <w:r>
              <w:rPr>
                <w:rFonts w:hint="eastAsia" w:ascii="宋体" w:hAnsi="宋体"/>
                <w:sz w:val="22"/>
                <w:szCs w:val="22"/>
                <w:highlight w:val="none"/>
                <w:lang w:val="zh-CN"/>
              </w:rPr>
              <w:t>截止前</w:t>
            </w:r>
            <w:r>
              <w:rPr>
                <w:rFonts w:hint="eastAsia" w:ascii="宋体" w:hAnsi="宋体"/>
                <w:sz w:val="22"/>
                <w:szCs w:val="22"/>
                <w:highlight w:val="none"/>
              </w:rPr>
              <w:t>六个月内</w:t>
            </w:r>
            <w:r>
              <w:rPr>
                <w:rFonts w:hint="eastAsia" w:ascii="宋体" w:hAnsi="宋体"/>
                <w:sz w:val="22"/>
                <w:szCs w:val="22"/>
                <w:highlight w:val="none"/>
                <w:lang w:val="zh-CN"/>
              </w:rPr>
              <w:t>（不含</w:t>
            </w:r>
            <w:r>
              <w:rPr>
                <w:rFonts w:hint="eastAsia" w:ascii="宋体" w:hAnsi="宋体"/>
                <w:sz w:val="22"/>
                <w:szCs w:val="22"/>
                <w:highlight w:val="none"/>
              </w:rPr>
              <w:t>响应文件</w:t>
            </w:r>
            <w:r>
              <w:rPr>
                <w:rFonts w:hint="eastAsia" w:ascii="宋体" w:hAnsi="宋体"/>
                <w:sz w:val="22"/>
                <w:szCs w:val="22"/>
                <w:highlight w:val="none"/>
                <w:lang w:val="zh-CN"/>
              </w:rPr>
              <w:t>截止时间当月）供应商为其缴纳社会保障资金的证明材料。</w:t>
            </w:r>
            <w:r>
              <w:rPr>
                <w:rFonts w:hint="eastAsia" w:ascii="宋体" w:hAnsi="宋体"/>
                <w:sz w:val="22"/>
                <w:szCs w:val="22"/>
                <w:highlight w:val="none"/>
              </w:rPr>
              <w:t>未提供或提供不全的不得分</w:t>
            </w:r>
            <w:r>
              <w:rPr>
                <w:rFonts w:hint="eastAsia" w:ascii="宋体" w:hAnsi="宋体"/>
                <w:sz w:val="22"/>
                <w:szCs w:val="22"/>
                <w:highlight w:val="none"/>
                <w:lang w:val="zh-CN"/>
              </w:rPr>
              <w:t>。</w:t>
            </w:r>
          </w:p>
        </w:tc>
        <w:tc>
          <w:tcPr>
            <w:tcW w:w="972" w:type="dxa"/>
            <w:vAlign w:val="center"/>
          </w:tcPr>
          <w:p w14:paraId="52E89EF0">
            <w:pPr>
              <w:jc w:val="center"/>
              <w:rPr>
                <w:rFonts w:ascii="宋体" w:hAnsi="宋体"/>
                <w:sz w:val="22"/>
                <w:szCs w:val="22"/>
                <w:highlight w:val="none"/>
              </w:rPr>
            </w:pPr>
            <w:r>
              <w:rPr>
                <w:rFonts w:hint="eastAsia" w:ascii="宋体" w:hAnsi="宋体"/>
                <w:sz w:val="22"/>
                <w:szCs w:val="22"/>
                <w:highlight w:val="none"/>
              </w:rPr>
              <w:t>主观分</w:t>
            </w:r>
          </w:p>
        </w:tc>
      </w:tr>
      <w:tr w14:paraId="147FE70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4" w:type="dxa"/>
            <w:vAlign w:val="center"/>
          </w:tcPr>
          <w:p w14:paraId="73A0C7A0">
            <w:pPr>
              <w:jc w:val="center"/>
              <w:rPr>
                <w:rFonts w:hint="eastAsia" w:ascii="宋体" w:hAnsi="宋体" w:eastAsia="宋体"/>
                <w:sz w:val="22"/>
                <w:szCs w:val="22"/>
                <w:highlight w:val="none"/>
                <w:lang w:val="en-US" w:eastAsia="zh-CN"/>
              </w:rPr>
            </w:pPr>
            <w:r>
              <w:rPr>
                <w:rFonts w:hint="eastAsia" w:ascii="宋体" w:hAnsi="宋体"/>
                <w:sz w:val="22"/>
                <w:szCs w:val="22"/>
                <w:highlight w:val="none"/>
                <w:lang w:val="en-US" w:eastAsia="zh-CN"/>
              </w:rPr>
              <w:t>4</w:t>
            </w:r>
          </w:p>
        </w:tc>
        <w:tc>
          <w:tcPr>
            <w:tcW w:w="1827" w:type="dxa"/>
            <w:vAlign w:val="center"/>
          </w:tcPr>
          <w:p w14:paraId="7A172D7F">
            <w:pPr>
              <w:rPr>
                <w:rFonts w:ascii="宋体" w:hAnsi="宋体"/>
                <w:sz w:val="22"/>
                <w:szCs w:val="22"/>
                <w:highlight w:val="none"/>
              </w:rPr>
            </w:pPr>
            <w:r>
              <w:rPr>
                <w:rFonts w:hint="eastAsia" w:ascii="宋体" w:hAnsi="宋体"/>
                <w:sz w:val="22"/>
                <w:szCs w:val="22"/>
                <w:highlight w:val="none"/>
              </w:rPr>
              <w:t>供应商业绩</w:t>
            </w:r>
          </w:p>
        </w:tc>
        <w:tc>
          <w:tcPr>
            <w:tcW w:w="937" w:type="dxa"/>
            <w:vAlign w:val="center"/>
          </w:tcPr>
          <w:p w14:paraId="66396263">
            <w:pPr>
              <w:jc w:val="center"/>
              <w:rPr>
                <w:rFonts w:ascii="宋体" w:hAnsi="宋体"/>
                <w:sz w:val="22"/>
                <w:szCs w:val="22"/>
                <w:highlight w:val="none"/>
              </w:rPr>
            </w:pPr>
            <w:r>
              <w:rPr>
                <w:rFonts w:hint="eastAsia" w:ascii="宋体" w:hAnsi="宋体"/>
                <w:sz w:val="22"/>
                <w:szCs w:val="22"/>
                <w:highlight w:val="none"/>
              </w:rPr>
              <w:t>0-</w:t>
            </w:r>
            <w:r>
              <w:rPr>
                <w:rFonts w:ascii="宋体" w:hAnsi="宋体"/>
                <w:sz w:val="22"/>
                <w:szCs w:val="22"/>
                <w:highlight w:val="none"/>
              </w:rPr>
              <w:t>1</w:t>
            </w:r>
            <w:r>
              <w:rPr>
                <w:rFonts w:hint="eastAsia" w:ascii="宋体" w:hAnsi="宋体"/>
                <w:sz w:val="22"/>
                <w:szCs w:val="22"/>
                <w:highlight w:val="none"/>
              </w:rPr>
              <w:t>分</w:t>
            </w:r>
          </w:p>
        </w:tc>
        <w:tc>
          <w:tcPr>
            <w:tcW w:w="6411" w:type="dxa"/>
            <w:vAlign w:val="center"/>
          </w:tcPr>
          <w:p w14:paraId="4280568B">
            <w:pPr>
              <w:rPr>
                <w:rFonts w:ascii="宋体" w:hAnsi="宋体"/>
                <w:sz w:val="22"/>
                <w:szCs w:val="22"/>
                <w:highlight w:val="none"/>
              </w:rPr>
            </w:pPr>
            <w:r>
              <w:rPr>
                <w:rFonts w:hint="eastAsia" w:ascii="宋体" w:hAnsi="宋体"/>
                <w:sz w:val="22"/>
                <w:szCs w:val="22"/>
                <w:highlight w:val="none"/>
              </w:rPr>
              <w:t>20</w:t>
            </w:r>
            <w:r>
              <w:rPr>
                <w:rFonts w:ascii="宋体" w:hAnsi="宋体"/>
                <w:sz w:val="22"/>
                <w:szCs w:val="22"/>
                <w:highlight w:val="none"/>
              </w:rPr>
              <w:t>2</w:t>
            </w:r>
            <w:r>
              <w:rPr>
                <w:rFonts w:hint="eastAsia" w:ascii="宋体" w:hAnsi="宋体"/>
                <w:sz w:val="22"/>
                <w:szCs w:val="22"/>
                <w:highlight w:val="none"/>
              </w:rPr>
              <w:t>2年1月1日至今农产品质量安全检测项目业绩，每提供1个有效业绩得</w:t>
            </w:r>
            <w:r>
              <w:rPr>
                <w:rFonts w:ascii="宋体" w:hAnsi="宋体"/>
                <w:sz w:val="22"/>
                <w:szCs w:val="22"/>
                <w:highlight w:val="none"/>
              </w:rPr>
              <w:t>0.5</w:t>
            </w:r>
            <w:r>
              <w:rPr>
                <w:rFonts w:hint="eastAsia" w:ascii="宋体" w:hAnsi="宋体"/>
                <w:sz w:val="22"/>
                <w:szCs w:val="22"/>
                <w:highlight w:val="none"/>
              </w:rPr>
              <w:t>分，最高得</w:t>
            </w:r>
            <w:r>
              <w:rPr>
                <w:rFonts w:ascii="宋体" w:hAnsi="宋体"/>
                <w:sz w:val="22"/>
                <w:szCs w:val="22"/>
                <w:highlight w:val="none"/>
              </w:rPr>
              <w:t>1</w:t>
            </w:r>
            <w:r>
              <w:rPr>
                <w:rFonts w:hint="eastAsia" w:ascii="宋体" w:hAnsi="宋体"/>
                <w:sz w:val="22"/>
                <w:szCs w:val="22"/>
                <w:highlight w:val="none"/>
              </w:rPr>
              <w:t>分。注：需提供业绩证明材料，</w:t>
            </w:r>
            <w:r>
              <w:rPr>
                <w:rFonts w:hint="eastAsia" w:ascii="宋体" w:hAnsi="宋体"/>
                <w:bCs/>
                <w:sz w:val="22"/>
                <w:szCs w:val="22"/>
                <w:highlight w:val="none"/>
              </w:rPr>
              <w:t>业绩证明文件以合同、验收报告及对应任意金额发票为准（缺一不可）。</w:t>
            </w:r>
          </w:p>
        </w:tc>
        <w:tc>
          <w:tcPr>
            <w:tcW w:w="972" w:type="dxa"/>
            <w:vAlign w:val="center"/>
          </w:tcPr>
          <w:p w14:paraId="5084DF86">
            <w:pPr>
              <w:jc w:val="center"/>
              <w:rPr>
                <w:rFonts w:ascii="宋体" w:hAnsi="宋体"/>
                <w:sz w:val="22"/>
                <w:szCs w:val="22"/>
                <w:highlight w:val="none"/>
              </w:rPr>
            </w:pPr>
            <w:r>
              <w:rPr>
                <w:rFonts w:hint="eastAsia" w:ascii="宋体" w:hAnsi="宋体"/>
                <w:sz w:val="22"/>
                <w:szCs w:val="22"/>
                <w:highlight w:val="none"/>
              </w:rPr>
              <w:t>客观分</w:t>
            </w:r>
          </w:p>
        </w:tc>
      </w:tr>
      <w:tr w14:paraId="474D989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4" w:type="dxa"/>
            <w:vAlign w:val="center"/>
          </w:tcPr>
          <w:p w14:paraId="09CEDF19">
            <w:pPr>
              <w:jc w:val="center"/>
              <w:rPr>
                <w:rFonts w:hint="eastAsia" w:ascii="宋体" w:hAnsi="宋体" w:eastAsia="宋体"/>
                <w:sz w:val="22"/>
                <w:szCs w:val="22"/>
                <w:highlight w:val="none"/>
                <w:lang w:val="en-US" w:eastAsia="zh-CN"/>
              </w:rPr>
            </w:pPr>
            <w:r>
              <w:rPr>
                <w:rFonts w:hint="eastAsia" w:ascii="宋体" w:hAnsi="宋体"/>
                <w:sz w:val="22"/>
                <w:szCs w:val="22"/>
                <w:highlight w:val="none"/>
                <w:lang w:val="en-US" w:eastAsia="zh-CN"/>
              </w:rPr>
              <w:t>5</w:t>
            </w:r>
          </w:p>
        </w:tc>
        <w:tc>
          <w:tcPr>
            <w:tcW w:w="1827" w:type="dxa"/>
            <w:vAlign w:val="center"/>
          </w:tcPr>
          <w:p w14:paraId="6051769B">
            <w:pPr>
              <w:rPr>
                <w:rFonts w:ascii="宋体" w:hAnsi="宋体"/>
                <w:sz w:val="22"/>
                <w:szCs w:val="22"/>
                <w:highlight w:val="none"/>
              </w:rPr>
            </w:pPr>
            <w:r>
              <w:rPr>
                <w:rFonts w:hint="eastAsia" w:ascii="宋体" w:hAnsi="宋体"/>
                <w:sz w:val="22"/>
                <w:szCs w:val="22"/>
                <w:highlight w:val="none"/>
              </w:rPr>
              <w:t>样品送达实验室时间</w:t>
            </w:r>
          </w:p>
        </w:tc>
        <w:tc>
          <w:tcPr>
            <w:tcW w:w="937" w:type="dxa"/>
            <w:vAlign w:val="center"/>
          </w:tcPr>
          <w:p w14:paraId="303FFED0">
            <w:pPr>
              <w:jc w:val="center"/>
              <w:rPr>
                <w:rFonts w:ascii="宋体" w:hAnsi="宋体"/>
                <w:sz w:val="22"/>
                <w:szCs w:val="22"/>
                <w:highlight w:val="none"/>
              </w:rPr>
            </w:pPr>
            <w:r>
              <w:rPr>
                <w:rFonts w:hint="eastAsia" w:ascii="宋体" w:hAnsi="宋体"/>
                <w:sz w:val="22"/>
                <w:szCs w:val="22"/>
                <w:highlight w:val="none"/>
              </w:rPr>
              <w:t>0-</w:t>
            </w:r>
            <w:r>
              <w:rPr>
                <w:rFonts w:hint="eastAsia" w:ascii="宋体" w:hAnsi="宋体"/>
                <w:sz w:val="22"/>
                <w:szCs w:val="22"/>
                <w:highlight w:val="none"/>
                <w:lang w:val="en-US" w:eastAsia="zh-CN"/>
              </w:rPr>
              <w:t>8</w:t>
            </w:r>
            <w:r>
              <w:rPr>
                <w:rFonts w:hint="eastAsia" w:ascii="宋体" w:hAnsi="宋体"/>
                <w:sz w:val="22"/>
                <w:szCs w:val="22"/>
                <w:highlight w:val="none"/>
              </w:rPr>
              <w:t>分</w:t>
            </w:r>
          </w:p>
        </w:tc>
        <w:tc>
          <w:tcPr>
            <w:tcW w:w="6411" w:type="dxa"/>
            <w:vAlign w:val="center"/>
          </w:tcPr>
          <w:p w14:paraId="52CCB786">
            <w:pPr>
              <w:rPr>
                <w:rFonts w:hint="eastAsia" w:ascii="宋体" w:hAnsi="宋体"/>
                <w:sz w:val="22"/>
                <w:szCs w:val="22"/>
                <w:highlight w:val="none"/>
              </w:rPr>
            </w:pPr>
            <w:r>
              <w:rPr>
                <w:rFonts w:hint="eastAsia" w:ascii="宋体" w:hAnsi="宋体"/>
                <w:sz w:val="22"/>
                <w:szCs w:val="22"/>
                <w:highlight w:val="none"/>
              </w:rPr>
              <w:t>样品采集完成后能及时送检至自有实验室，以确保采样样品的新鲜度：样品4小时内送达实验室得</w:t>
            </w:r>
            <w:r>
              <w:rPr>
                <w:rFonts w:hint="eastAsia" w:ascii="宋体" w:hAnsi="宋体"/>
                <w:sz w:val="22"/>
                <w:szCs w:val="22"/>
                <w:highlight w:val="none"/>
                <w:lang w:val="en-US" w:eastAsia="zh-CN"/>
              </w:rPr>
              <w:t>8</w:t>
            </w:r>
            <w:r>
              <w:rPr>
                <w:rFonts w:hint="eastAsia" w:ascii="宋体" w:hAnsi="宋体"/>
                <w:sz w:val="22"/>
                <w:szCs w:val="22"/>
                <w:highlight w:val="none"/>
              </w:rPr>
              <w:t>分，4小时</w:t>
            </w:r>
            <w:r>
              <w:rPr>
                <w:rFonts w:hint="eastAsia" w:ascii="宋体" w:hAnsi="宋体"/>
                <w:sz w:val="22"/>
                <w:szCs w:val="22"/>
                <w:highlight w:val="none"/>
                <w:lang w:val="en-US" w:eastAsia="zh-CN"/>
              </w:rPr>
              <w:t>以上</w:t>
            </w:r>
            <w:r>
              <w:rPr>
                <w:rFonts w:hint="eastAsia" w:ascii="宋体" w:hAnsi="宋体"/>
                <w:sz w:val="22"/>
                <w:szCs w:val="22"/>
                <w:highlight w:val="none"/>
              </w:rPr>
              <w:t>8小时</w:t>
            </w:r>
            <w:r>
              <w:rPr>
                <w:rFonts w:hint="eastAsia" w:ascii="宋体" w:hAnsi="宋体"/>
                <w:sz w:val="22"/>
                <w:szCs w:val="22"/>
                <w:highlight w:val="none"/>
                <w:lang w:val="en-US" w:eastAsia="zh-CN"/>
              </w:rPr>
              <w:t>内</w:t>
            </w:r>
            <w:r>
              <w:rPr>
                <w:rFonts w:hint="eastAsia" w:ascii="宋体" w:hAnsi="宋体"/>
                <w:sz w:val="22"/>
                <w:szCs w:val="22"/>
                <w:highlight w:val="none"/>
              </w:rPr>
              <w:t>送达得</w:t>
            </w:r>
            <w:r>
              <w:rPr>
                <w:rFonts w:hint="eastAsia" w:ascii="宋体" w:hAnsi="宋体"/>
                <w:sz w:val="22"/>
                <w:szCs w:val="22"/>
                <w:highlight w:val="none"/>
                <w:lang w:val="en-US" w:eastAsia="zh-CN"/>
              </w:rPr>
              <w:t>4</w:t>
            </w:r>
            <w:r>
              <w:rPr>
                <w:rFonts w:hint="eastAsia" w:ascii="宋体" w:hAnsi="宋体"/>
                <w:sz w:val="22"/>
                <w:szCs w:val="22"/>
                <w:highlight w:val="none"/>
              </w:rPr>
              <w:t>分，24小时内送达得1分，24小时以上不得分。</w:t>
            </w:r>
          </w:p>
          <w:p w14:paraId="221F379F">
            <w:pPr>
              <w:rPr>
                <w:rFonts w:ascii="宋体" w:hAnsi="宋体"/>
                <w:sz w:val="22"/>
                <w:szCs w:val="22"/>
                <w:highlight w:val="none"/>
              </w:rPr>
            </w:pPr>
            <w:r>
              <w:rPr>
                <w:rFonts w:hint="eastAsia" w:ascii="宋体" w:hAnsi="宋体"/>
                <w:sz w:val="22"/>
                <w:szCs w:val="22"/>
                <w:highlight w:val="none"/>
              </w:rPr>
              <w:t>注：需提供高德地图自驾距离截图</w:t>
            </w:r>
            <w:r>
              <w:rPr>
                <w:rFonts w:hint="eastAsia" w:ascii="宋体" w:hAnsi="宋体"/>
                <w:sz w:val="22"/>
                <w:szCs w:val="22"/>
                <w:highlight w:val="none"/>
                <w:lang w:eastAsia="zh-CN"/>
              </w:rPr>
              <w:t>（</w:t>
            </w:r>
            <w:r>
              <w:rPr>
                <w:rFonts w:hint="eastAsia" w:ascii="宋体" w:hAnsi="宋体"/>
                <w:sz w:val="22"/>
                <w:szCs w:val="22"/>
                <w:highlight w:val="none"/>
                <w:lang w:val="en-US" w:eastAsia="zh-CN"/>
              </w:rPr>
              <w:t>以温州市瓯海区农业农村局为出发地址）</w:t>
            </w:r>
            <w:r>
              <w:rPr>
                <w:rFonts w:hint="eastAsia" w:ascii="宋体" w:hAnsi="宋体"/>
                <w:sz w:val="22"/>
                <w:szCs w:val="22"/>
                <w:highlight w:val="none"/>
                <w:lang w:eastAsia="zh-CN"/>
              </w:rPr>
              <w:t>，</w:t>
            </w:r>
            <w:r>
              <w:rPr>
                <w:rFonts w:hint="eastAsia" w:ascii="宋体" w:hAnsi="宋体"/>
                <w:sz w:val="22"/>
                <w:szCs w:val="22"/>
                <w:highlight w:val="none"/>
              </w:rPr>
              <w:t>否则不得分。</w:t>
            </w:r>
          </w:p>
        </w:tc>
        <w:tc>
          <w:tcPr>
            <w:tcW w:w="972" w:type="dxa"/>
            <w:vAlign w:val="center"/>
          </w:tcPr>
          <w:p w14:paraId="22A5A23C">
            <w:pPr>
              <w:jc w:val="center"/>
              <w:rPr>
                <w:rFonts w:ascii="宋体" w:hAnsi="宋体"/>
                <w:sz w:val="22"/>
                <w:szCs w:val="22"/>
                <w:highlight w:val="none"/>
              </w:rPr>
            </w:pPr>
            <w:r>
              <w:rPr>
                <w:rFonts w:hint="eastAsia" w:ascii="宋体" w:hAnsi="宋体"/>
                <w:sz w:val="22"/>
                <w:szCs w:val="22"/>
                <w:highlight w:val="none"/>
              </w:rPr>
              <w:t>客观分</w:t>
            </w:r>
          </w:p>
        </w:tc>
      </w:tr>
      <w:tr w14:paraId="2B2D7076">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4" w:type="dxa"/>
            <w:vMerge w:val="restart"/>
            <w:vAlign w:val="center"/>
          </w:tcPr>
          <w:p w14:paraId="06E47716">
            <w:pPr>
              <w:jc w:val="center"/>
              <w:rPr>
                <w:rFonts w:hint="eastAsia" w:ascii="宋体" w:hAnsi="宋体" w:eastAsia="宋体"/>
                <w:sz w:val="22"/>
                <w:szCs w:val="22"/>
                <w:highlight w:val="none"/>
                <w:lang w:val="en-US" w:eastAsia="zh-CN"/>
              </w:rPr>
            </w:pPr>
            <w:r>
              <w:rPr>
                <w:rFonts w:hint="eastAsia" w:ascii="宋体" w:hAnsi="宋体"/>
                <w:sz w:val="22"/>
                <w:szCs w:val="22"/>
                <w:highlight w:val="none"/>
                <w:lang w:val="en-US" w:eastAsia="zh-CN"/>
              </w:rPr>
              <w:t>6</w:t>
            </w:r>
          </w:p>
        </w:tc>
        <w:tc>
          <w:tcPr>
            <w:tcW w:w="1827" w:type="dxa"/>
            <w:vMerge w:val="restart"/>
            <w:vAlign w:val="center"/>
          </w:tcPr>
          <w:p w14:paraId="05B93560">
            <w:pPr>
              <w:rPr>
                <w:rFonts w:ascii="宋体" w:hAnsi="宋体"/>
                <w:sz w:val="22"/>
                <w:szCs w:val="22"/>
                <w:highlight w:val="none"/>
              </w:rPr>
            </w:pPr>
            <w:r>
              <w:rPr>
                <w:rFonts w:hint="eastAsia" w:ascii="宋体" w:hAnsi="宋体"/>
                <w:sz w:val="22"/>
                <w:szCs w:val="22"/>
                <w:highlight w:val="none"/>
              </w:rPr>
              <w:t>供应商检测实验室情况</w:t>
            </w:r>
            <w:r>
              <w:rPr>
                <w:rFonts w:hint="eastAsia" w:ascii="宋体" w:hAnsi="宋体" w:cs="宋体"/>
                <w:sz w:val="22"/>
                <w:szCs w:val="22"/>
                <w:highlight w:val="none"/>
              </w:rPr>
              <w:t>及认证情况</w:t>
            </w:r>
          </w:p>
        </w:tc>
        <w:tc>
          <w:tcPr>
            <w:tcW w:w="937" w:type="dxa"/>
            <w:vAlign w:val="center"/>
          </w:tcPr>
          <w:p w14:paraId="2D416810">
            <w:pPr>
              <w:jc w:val="center"/>
              <w:rPr>
                <w:rFonts w:ascii="宋体" w:hAnsi="宋体"/>
                <w:sz w:val="22"/>
                <w:szCs w:val="22"/>
                <w:highlight w:val="none"/>
              </w:rPr>
            </w:pPr>
            <w:r>
              <w:rPr>
                <w:rFonts w:hint="eastAsia" w:ascii="宋体" w:hAnsi="宋体"/>
                <w:sz w:val="22"/>
                <w:szCs w:val="22"/>
                <w:highlight w:val="none"/>
              </w:rPr>
              <w:t>0-6分</w:t>
            </w:r>
          </w:p>
        </w:tc>
        <w:tc>
          <w:tcPr>
            <w:tcW w:w="6411" w:type="dxa"/>
            <w:vAlign w:val="center"/>
          </w:tcPr>
          <w:p w14:paraId="4141EC87">
            <w:pPr>
              <w:rPr>
                <w:rFonts w:ascii="宋体" w:hAnsi="宋体"/>
                <w:sz w:val="22"/>
                <w:szCs w:val="22"/>
                <w:highlight w:val="none"/>
              </w:rPr>
            </w:pPr>
            <w:r>
              <w:rPr>
                <w:rFonts w:hint="eastAsia" w:ascii="宋体" w:hAnsi="宋体"/>
                <w:sz w:val="22"/>
                <w:szCs w:val="22"/>
                <w:highlight w:val="none"/>
              </w:rPr>
              <w:t>根据各供应商提供的具有满足检测工作需要的、独立、固定的农产品检测场地，场地独立、固定、布局合理，根据供应商提供的实验室检验区布局图，由评委综合打分，其中A档的得6分，B档的得3分，C档的得1分，D档的得0分。</w:t>
            </w:r>
          </w:p>
          <w:p w14:paraId="191BD229">
            <w:pPr>
              <w:pStyle w:val="2"/>
              <w:spacing w:after="0"/>
              <w:rPr>
                <w:rFonts w:ascii="宋体" w:hAnsi="宋体"/>
                <w:sz w:val="22"/>
                <w:szCs w:val="22"/>
                <w:highlight w:val="none"/>
              </w:rPr>
            </w:pPr>
            <w:r>
              <w:rPr>
                <w:rFonts w:hint="eastAsia" w:ascii="宋体" w:hAnsi="宋体"/>
                <w:sz w:val="22"/>
                <w:szCs w:val="22"/>
                <w:highlight w:val="none"/>
              </w:rPr>
              <w:t>注：须提供产权证复印件（或租赁合同）及实验室平面图，否则不得分。</w:t>
            </w:r>
          </w:p>
        </w:tc>
        <w:tc>
          <w:tcPr>
            <w:tcW w:w="972" w:type="dxa"/>
            <w:vAlign w:val="center"/>
          </w:tcPr>
          <w:p w14:paraId="5B5A1D93">
            <w:pPr>
              <w:jc w:val="center"/>
              <w:rPr>
                <w:rFonts w:ascii="宋体" w:hAnsi="宋体"/>
                <w:sz w:val="22"/>
                <w:szCs w:val="22"/>
                <w:highlight w:val="none"/>
              </w:rPr>
            </w:pPr>
            <w:r>
              <w:rPr>
                <w:rFonts w:hint="eastAsia" w:ascii="宋体" w:hAnsi="宋体"/>
                <w:sz w:val="22"/>
                <w:szCs w:val="22"/>
                <w:highlight w:val="none"/>
              </w:rPr>
              <w:t>主观分</w:t>
            </w:r>
          </w:p>
        </w:tc>
      </w:tr>
      <w:tr w14:paraId="39CB7F04">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4" w:type="dxa"/>
            <w:vMerge w:val="continue"/>
            <w:vAlign w:val="center"/>
          </w:tcPr>
          <w:p w14:paraId="09403377">
            <w:pPr>
              <w:jc w:val="center"/>
              <w:rPr>
                <w:rFonts w:ascii="宋体" w:hAnsi="宋体"/>
                <w:sz w:val="22"/>
                <w:szCs w:val="22"/>
                <w:highlight w:val="none"/>
              </w:rPr>
            </w:pPr>
          </w:p>
        </w:tc>
        <w:tc>
          <w:tcPr>
            <w:tcW w:w="1827" w:type="dxa"/>
            <w:vMerge w:val="continue"/>
            <w:vAlign w:val="center"/>
          </w:tcPr>
          <w:p w14:paraId="7F03127A">
            <w:pPr>
              <w:rPr>
                <w:rFonts w:ascii="宋体" w:hAnsi="宋体"/>
                <w:sz w:val="22"/>
                <w:szCs w:val="22"/>
                <w:highlight w:val="none"/>
              </w:rPr>
            </w:pPr>
          </w:p>
        </w:tc>
        <w:tc>
          <w:tcPr>
            <w:tcW w:w="937" w:type="dxa"/>
            <w:vAlign w:val="center"/>
          </w:tcPr>
          <w:p w14:paraId="33E8BFA4">
            <w:pPr>
              <w:jc w:val="center"/>
              <w:rPr>
                <w:rFonts w:ascii="宋体" w:hAnsi="宋体"/>
                <w:sz w:val="22"/>
                <w:szCs w:val="22"/>
                <w:highlight w:val="none"/>
              </w:rPr>
            </w:pPr>
            <w:r>
              <w:rPr>
                <w:rFonts w:hint="eastAsia" w:ascii="宋体" w:hAnsi="宋体"/>
                <w:sz w:val="22"/>
                <w:szCs w:val="22"/>
                <w:highlight w:val="none"/>
              </w:rPr>
              <w:t>0-</w:t>
            </w:r>
            <w:r>
              <w:rPr>
                <w:rFonts w:hint="eastAsia" w:ascii="宋体" w:hAnsi="宋体"/>
                <w:sz w:val="22"/>
                <w:szCs w:val="22"/>
                <w:highlight w:val="none"/>
                <w:lang w:val="en-US" w:eastAsia="zh-CN"/>
              </w:rPr>
              <w:t>8</w:t>
            </w:r>
            <w:r>
              <w:rPr>
                <w:rFonts w:hint="eastAsia" w:ascii="宋体" w:hAnsi="宋体"/>
                <w:sz w:val="22"/>
                <w:szCs w:val="22"/>
                <w:highlight w:val="none"/>
              </w:rPr>
              <w:t>分</w:t>
            </w:r>
          </w:p>
        </w:tc>
        <w:tc>
          <w:tcPr>
            <w:tcW w:w="6411" w:type="dxa"/>
            <w:vAlign w:val="center"/>
          </w:tcPr>
          <w:p w14:paraId="030CD105">
            <w:pPr>
              <w:rPr>
                <w:rFonts w:ascii="宋体" w:hAnsi="宋体"/>
                <w:sz w:val="22"/>
                <w:szCs w:val="22"/>
                <w:highlight w:val="none"/>
              </w:rPr>
            </w:pPr>
            <w:r>
              <w:rPr>
                <w:rFonts w:hint="eastAsia" w:ascii="宋体" w:hAnsi="宋体"/>
                <w:sz w:val="22"/>
                <w:szCs w:val="22"/>
                <w:highlight w:val="none"/>
              </w:rPr>
              <w:t>供应商具有质量管理体系认证、环境管理体系认证、职业健康安全管理体系认证、</w:t>
            </w:r>
            <w:r>
              <w:rPr>
                <w:rFonts w:ascii="宋体" w:hAnsi="宋体"/>
                <w:sz w:val="22"/>
                <w:szCs w:val="22"/>
                <w:highlight w:val="none"/>
              </w:rPr>
              <w:t>售后服务认证证书</w:t>
            </w:r>
            <w:r>
              <w:rPr>
                <w:rFonts w:hint="eastAsia" w:ascii="宋体" w:hAnsi="宋体"/>
                <w:sz w:val="22"/>
                <w:szCs w:val="22"/>
                <w:highlight w:val="none"/>
              </w:rPr>
              <w:t>，每个证书得</w:t>
            </w:r>
            <w:r>
              <w:rPr>
                <w:rFonts w:hint="eastAsia" w:ascii="宋体" w:hAnsi="宋体"/>
                <w:sz w:val="22"/>
                <w:szCs w:val="22"/>
                <w:highlight w:val="none"/>
                <w:lang w:val="en-US" w:eastAsia="zh-CN"/>
              </w:rPr>
              <w:t>2</w:t>
            </w:r>
            <w:r>
              <w:rPr>
                <w:rFonts w:hint="eastAsia" w:ascii="宋体" w:hAnsi="宋体"/>
                <w:sz w:val="22"/>
                <w:szCs w:val="22"/>
                <w:highlight w:val="none"/>
              </w:rPr>
              <w:t>分。须提供体系认证证书复印件或扫描件及全国认证认可信息公共服务平台查询页面截图，否则不得分。</w:t>
            </w:r>
          </w:p>
        </w:tc>
        <w:tc>
          <w:tcPr>
            <w:tcW w:w="972" w:type="dxa"/>
            <w:vAlign w:val="center"/>
          </w:tcPr>
          <w:p w14:paraId="1DBB6983">
            <w:pPr>
              <w:jc w:val="center"/>
              <w:rPr>
                <w:rFonts w:ascii="宋体" w:hAnsi="宋体"/>
                <w:sz w:val="22"/>
                <w:szCs w:val="22"/>
                <w:highlight w:val="none"/>
              </w:rPr>
            </w:pPr>
            <w:r>
              <w:rPr>
                <w:rFonts w:hint="eastAsia" w:ascii="宋体" w:hAnsi="宋体"/>
                <w:sz w:val="22"/>
                <w:szCs w:val="22"/>
                <w:highlight w:val="none"/>
              </w:rPr>
              <w:t>客观分</w:t>
            </w:r>
          </w:p>
        </w:tc>
      </w:tr>
      <w:tr w14:paraId="17B97425">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4" w:type="dxa"/>
            <w:vMerge w:val="restart"/>
            <w:vAlign w:val="center"/>
          </w:tcPr>
          <w:p w14:paraId="4ED47E51">
            <w:pPr>
              <w:jc w:val="center"/>
              <w:rPr>
                <w:rFonts w:hint="eastAsia" w:ascii="宋体" w:hAnsi="宋体" w:eastAsia="宋体"/>
                <w:sz w:val="22"/>
                <w:szCs w:val="22"/>
                <w:highlight w:val="none"/>
                <w:lang w:val="en-US" w:eastAsia="zh-CN"/>
              </w:rPr>
            </w:pPr>
            <w:r>
              <w:rPr>
                <w:rFonts w:hint="eastAsia" w:ascii="宋体" w:hAnsi="宋体"/>
                <w:sz w:val="22"/>
                <w:szCs w:val="22"/>
                <w:highlight w:val="none"/>
                <w:lang w:val="en-US" w:eastAsia="zh-CN"/>
              </w:rPr>
              <w:t>7</w:t>
            </w:r>
          </w:p>
        </w:tc>
        <w:tc>
          <w:tcPr>
            <w:tcW w:w="1827" w:type="dxa"/>
            <w:vMerge w:val="restart"/>
            <w:vAlign w:val="center"/>
          </w:tcPr>
          <w:p w14:paraId="48FEB64D">
            <w:pPr>
              <w:rPr>
                <w:rFonts w:ascii="宋体" w:hAnsi="宋体"/>
                <w:sz w:val="22"/>
                <w:szCs w:val="22"/>
                <w:highlight w:val="none"/>
              </w:rPr>
            </w:pPr>
            <w:r>
              <w:rPr>
                <w:rFonts w:hint="eastAsia" w:ascii="宋体" w:hAnsi="宋体"/>
                <w:sz w:val="22"/>
                <w:szCs w:val="22"/>
                <w:highlight w:val="none"/>
              </w:rPr>
              <w:t>供应商能力验证情况</w:t>
            </w:r>
          </w:p>
        </w:tc>
        <w:tc>
          <w:tcPr>
            <w:tcW w:w="937" w:type="dxa"/>
            <w:vAlign w:val="center"/>
          </w:tcPr>
          <w:p w14:paraId="6EA48FBF">
            <w:pPr>
              <w:jc w:val="center"/>
              <w:rPr>
                <w:rFonts w:ascii="宋体" w:hAnsi="宋体"/>
                <w:sz w:val="22"/>
                <w:szCs w:val="22"/>
                <w:highlight w:val="none"/>
              </w:rPr>
            </w:pPr>
            <w:r>
              <w:rPr>
                <w:rFonts w:hint="eastAsia" w:ascii="宋体" w:hAnsi="宋体"/>
                <w:sz w:val="22"/>
                <w:szCs w:val="22"/>
                <w:highlight w:val="none"/>
              </w:rPr>
              <w:t>0-</w:t>
            </w:r>
            <w:r>
              <w:rPr>
                <w:rFonts w:hint="eastAsia" w:ascii="宋体" w:hAnsi="宋体"/>
                <w:sz w:val="22"/>
                <w:szCs w:val="22"/>
                <w:highlight w:val="none"/>
                <w:lang w:val="en-US" w:eastAsia="zh-CN"/>
              </w:rPr>
              <w:t>3</w:t>
            </w:r>
            <w:r>
              <w:rPr>
                <w:rFonts w:hint="eastAsia" w:ascii="宋体" w:hAnsi="宋体"/>
                <w:sz w:val="22"/>
                <w:szCs w:val="22"/>
                <w:highlight w:val="none"/>
              </w:rPr>
              <w:t>分</w:t>
            </w:r>
          </w:p>
        </w:tc>
        <w:tc>
          <w:tcPr>
            <w:tcW w:w="6411" w:type="dxa"/>
            <w:vAlign w:val="center"/>
          </w:tcPr>
          <w:p w14:paraId="3A2B822E">
            <w:pPr>
              <w:rPr>
                <w:rFonts w:ascii="宋体" w:hAnsi="宋体"/>
                <w:sz w:val="22"/>
                <w:szCs w:val="22"/>
                <w:highlight w:val="none"/>
              </w:rPr>
            </w:pPr>
            <w:r>
              <w:rPr>
                <w:rFonts w:hint="eastAsia" w:ascii="宋体" w:hAnsi="宋体"/>
                <w:sz w:val="22"/>
                <w:szCs w:val="22"/>
                <w:highlight w:val="none"/>
              </w:rPr>
              <w:t>2020年以来未发生因质量问题等原因被市级及以上农产品或食品质量安全监管部门约谈或暂停业务处理等事件的，得</w:t>
            </w:r>
            <w:r>
              <w:rPr>
                <w:rFonts w:hint="eastAsia" w:ascii="宋体" w:hAnsi="宋体"/>
                <w:sz w:val="22"/>
                <w:szCs w:val="22"/>
                <w:highlight w:val="none"/>
                <w:lang w:val="en-US" w:eastAsia="zh-CN"/>
              </w:rPr>
              <w:t>3</w:t>
            </w:r>
            <w:r>
              <w:rPr>
                <w:rFonts w:hint="eastAsia" w:ascii="宋体" w:hAnsi="宋体"/>
                <w:sz w:val="22"/>
                <w:szCs w:val="22"/>
                <w:highlight w:val="none"/>
              </w:rPr>
              <w:t>分。</w:t>
            </w:r>
          </w:p>
          <w:p w14:paraId="322DF8DA">
            <w:pPr>
              <w:rPr>
                <w:rFonts w:ascii="宋体" w:hAnsi="宋体"/>
                <w:sz w:val="22"/>
                <w:szCs w:val="22"/>
                <w:highlight w:val="none"/>
              </w:rPr>
            </w:pPr>
            <w:r>
              <w:rPr>
                <w:rFonts w:hint="eastAsia" w:ascii="宋体" w:hAnsi="宋体"/>
                <w:b/>
                <w:bCs/>
                <w:sz w:val="22"/>
                <w:szCs w:val="22"/>
                <w:highlight w:val="none"/>
              </w:rPr>
              <w:t>注：需提供自我承诺函，如发现虚假承诺或与需承诺内容不符，视为无效投标。</w:t>
            </w:r>
          </w:p>
        </w:tc>
        <w:tc>
          <w:tcPr>
            <w:tcW w:w="972" w:type="dxa"/>
            <w:vAlign w:val="center"/>
          </w:tcPr>
          <w:p w14:paraId="28B08A61">
            <w:pPr>
              <w:jc w:val="center"/>
              <w:rPr>
                <w:rFonts w:ascii="宋体" w:hAnsi="宋体"/>
                <w:sz w:val="22"/>
                <w:szCs w:val="22"/>
                <w:highlight w:val="none"/>
              </w:rPr>
            </w:pPr>
            <w:r>
              <w:rPr>
                <w:rFonts w:hint="eastAsia" w:ascii="宋体" w:hAnsi="宋体"/>
                <w:sz w:val="22"/>
                <w:szCs w:val="22"/>
                <w:highlight w:val="none"/>
              </w:rPr>
              <w:t>客观分</w:t>
            </w:r>
          </w:p>
        </w:tc>
      </w:tr>
      <w:tr w14:paraId="74A9055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4" w:type="dxa"/>
            <w:vMerge w:val="continue"/>
            <w:vAlign w:val="center"/>
          </w:tcPr>
          <w:p w14:paraId="40A97F2A">
            <w:pPr>
              <w:jc w:val="center"/>
              <w:rPr>
                <w:rFonts w:ascii="宋体" w:hAnsi="宋体"/>
                <w:sz w:val="22"/>
                <w:szCs w:val="22"/>
                <w:highlight w:val="none"/>
              </w:rPr>
            </w:pPr>
          </w:p>
        </w:tc>
        <w:tc>
          <w:tcPr>
            <w:tcW w:w="1827" w:type="dxa"/>
            <w:vMerge w:val="continue"/>
            <w:vAlign w:val="center"/>
          </w:tcPr>
          <w:p w14:paraId="4180524A">
            <w:pPr>
              <w:rPr>
                <w:rFonts w:ascii="宋体" w:hAnsi="宋体"/>
                <w:sz w:val="22"/>
                <w:szCs w:val="22"/>
                <w:highlight w:val="none"/>
              </w:rPr>
            </w:pPr>
          </w:p>
        </w:tc>
        <w:tc>
          <w:tcPr>
            <w:tcW w:w="937" w:type="dxa"/>
            <w:vAlign w:val="center"/>
          </w:tcPr>
          <w:p w14:paraId="72E1A72A">
            <w:pPr>
              <w:jc w:val="center"/>
              <w:rPr>
                <w:rFonts w:ascii="宋体" w:hAnsi="宋体"/>
                <w:sz w:val="22"/>
                <w:szCs w:val="22"/>
                <w:highlight w:val="none"/>
              </w:rPr>
            </w:pPr>
            <w:r>
              <w:rPr>
                <w:rFonts w:hint="eastAsia" w:ascii="宋体" w:hAnsi="宋体"/>
                <w:sz w:val="22"/>
                <w:szCs w:val="22"/>
                <w:highlight w:val="none"/>
              </w:rPr>
              <w:t>0-</w:t>
            </w:r>
            <w:r>
              <w:rPr>
                <w:rFonts w:hint="eastAsia" w:ascii="宋体" w:hAnsi="宋体"/>
                <w:sz w:val="22"/>
                <w:szCs w:val="22"/>
                <w:highlight w:val="none"/>
                <w:lang w:val="en-US" w:eastAsia="zh-CN"/>
              </w:rPr>
              <w:t>4</w:t>
            </w:r>
            <w:r>
              <w:rPr>
                <w:rFonts w:hint="eastAsia" w:ascii="宋体" w:hAnsi="宋体"/>
                <w:sz w:val="22"/>
                <w:szCs w:val="22"/>
                <w:highlight w:val="none"/>
              </w:rPr>
              <w:t>分</w:t>
            </w:r>
          </w:p>
        </w:tc>
        <w:tc>
          <w:tcPr>
            <w:tcW w:w="6411" w:type="dxa"/>
            <w:vAlign w:val="center"/>
          </w:tcPr>
          <w:p w14:paraId="55D6DEA2">
            <w:pPr>
              <w:widowControl/>
              <w:jc w:val="left"/>
              <w:rPr>
                <w:rFonts w:ascii="宋体" w:hAnsi="宋体" w:cs="宋体"/>
                <w:bCs/>
                <w:kern w:val="28"/>
                <w:sz w:val="22"/>
                <w:szCs w:val="22"/>
                <w:highlight w:val="none"/>
              </w:rPr>
            </w:pPr>
            <w:r>
              <w:rPr>
                <w:rFonts w:hint="eastAsia" w:ascii="宋体" w:hAnsi="宋体" w:cs="宋体"/>
                <w:bCs/>
                <w:kern w:val="28"/>
                <w:sz w:val="22"/>
                <w:szCs w:val="22"/>
                <w:highlight w:val="none"/>
              </w:rPr>
              <w:t>2023年以来参加省级及以上农业农村部门组织的农药残留、兽（渔）药残留、重金属能力验证，结果合格的每一项得</w:t>
            </w:r>
            <w:r>
              <w:rPr>
                <w:rFonts w:hint="eastAsia" w:ascii="宋体" w:hAnsi="宋体" w:cs="宋体"/>
                <w:bCs/>
                <w:kern w:val="28"/>
                <w:sz w:val="22"/>
                <w:szCs w:val="22"/>
                <w:highlight w:val="none"/>
                <w:lang w:val="en-US" w:eastAsia="zh-CN"/>
              </w:rPr>
              <w:t>1</w:t>
            </w:r>
            <w:r>
              <w:rPr>
                <w:rFonts w:hint="eastAsia" w:ascii="宋体" w:hAnsi="宋体" w:cs="宋体"/>
                <w:bCs/>
                <w:kern w:val="28"/>
                <w:sz w:val="22"/>
                <w:szCs w:val="22"/>
                <w:highlight w:val="none"/>
              </w:rPr>
              <w:t>分，不合格或未参加不得分，本项最高得</w:t>
            </w:r>
            <w:r>
              <w:rPr>
                <w:rFonts w:hint="eastAsia" w:ascii="宋体" w:hAnsi="宋体" w:cs="宋体"/>
                <w:bCs/>
                <w:kern w:val="28"/>
                <w:sz w:val="22"/>
                <w:szCs w:val="22"/>
                <w:highlight w:val="none"/>
                <w:lang w:val="en-US" w:eastAsia="zh-CN"/>
              </w:rPr>
              <w:t>4</w:t>
            </w:r>
            <w:r>
              <w:rPr>
                <w:rFonts w:hint="eastAsia" w:ascii="宋体" w:hAnsi="宋体" w:cs="宋体"/>
                <w:bCs/>
                <w:kern w:val="28"/>
                <w:sz w:val="22"/>
                <w:szCs w:val="22"/>
                <w:highlight w:val="none"/>
              </w:rPr>
              <w:t>分。</w:t>
            </w:r>
          </w:p>
          <w:p w14:paraId="2F27C7BE">
            <w:pPr>
              <w:widowControl/>
              <w:jc w:val="left"/>
              <w:rPr>
                <w:rFonts w:ascii="宋体" w:hAnsi="宋体"/>
                <w:sz w:val="22"/>
                <w:szCs w:val="22"/>
                <w:highlight w:val="none"/>
              </w:rPr>
            </w:pPr>
            <w:r>
              <w:rPr>
                <w:rFonts w:hint="eastAsia" w:ascii="宋体" w:hAnsi="宋体" w:cs="宋体"/>
                <w:b/>
                <w:kern w:val="28"/>
                <w:sz w:val="22"/>
                <w:szCs w:val="22"/>
                <w:highlight w:val="none"/>
              </w:rPr>
              <w:t>注：需提供相关证明材料，</w:t>
            </w:r>
            <w:r>
              <w:rPr>
                <w:rFonts w:hint="eastAsia" w:ascii="宋体" w:hAnsi="宋体"/>
                <w:b/>
                <w:bCs/>
                <w:sz w:val="22"/>
                <w:szCs w:val="22"/>
                <w:highlight w:val="none"/>
              </w:rPr>
              <w:t>未提供或不符合要求或材料不能辨识的不得分</w:t>
            </w:r>
            <w:r>
              <w:rPr>
                <w:rFonts w:hint="eastAsia" w:ascii="宋体" w:hAnsi="宋体"/>
                <w:bCs/>
                <w:sz w:val="22"/>
                <w:szCs w:val="22"/>
                <w:highlight w:val="none"/>
              </w:rPr>
              <w:t>。</w:t>
            </w:r>
          </w:p>
        </w:tc>
        <w:tc>
          <w:tcPr>
            <w:tcW w:w="972" w:type="dxa"/>
            <w:vAlign w:val="center"/>
          </w:tcPr>
          <w:p w14:paraId="2426842A">
            <w:pPr>
              <w:jc w:val="center"/>
              <w:rPr>
                <w:rFonts w:ascii="宋体" w:hAnsi="宋体"/>
                <w:sz w:val="22"/>
                <w:szCs w:val="22"/>
                <w:highlight w:val="none"/>
              </w:rPr>
            </w:pPr>
            <w:r>
              <w:rPr>
                <w:rFonts w:hint="eastAsia" w:ascii="宋体" w:hAnsi="宋体"/>
                <w:sz w:val="22"/>
                <w:szCs w:val="22"/>
                <w:highlight w:val="none"/>
              </w:rPr>
              <w:t>客观分</w:t>
            </w:r>
          </w:p>
        </w:tc>
      </w:tr>
      <w:tr w14:paraId="7C16CF4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4" w:type="dxa"/>
            <w:vMerge w:val="continue"/>
            <w:vAlign w:val="center"/>
          </w:tcPr>
          <w:p w14:paraId="63C68CC2">
            <w:pPr>
              <w:jc w:val="center"/>
              <w:rPr>
                <w:rFonts w:ascii="宋体" w:hAnsi="宋体"/>
                <w:sz w:val="22"/>
                <w:szCs w:val="22"/>
                <w:highlight w:val="none"/>
              </w:rPr>
            </w:pPr>
          </w:p>
        </w:tc>
        <w:tc>
          <w:tcPr>
            <w:tcW w:w="1827" w:type="dxa"/>
            <w:vMerge w:val="continue"/>
            <w:vAlign w:val="center"/>
          </w:tcPr>
          <w:p w14:paraId="32F7A72D">
            <w:pPr>
              <w:rPr>
                <w:rFonts w:ascii="宋体" w:hAnsi="宋体"/>
                <w:sz w:val="22"/>
                <w:szCs w:val="22"/>
                <w:highlight w:val="none"/>
              </w:rPr>
            </w:pPr>
          </w:p>
        </w:tc>
        <w:tc>
          <w:tcPr>
            <w:tcW w:w="937" w:type="dxa"/>
            <w:vAlign w:val="center"/>
          </w:tcPr>
          <w:p w14:paraId="03B96E3D">
            <w:pPr>
              <w:jc w:val="center"/>
              <w:rPr>
                <w:rFonts w:hint="eastAsia" w:ascii="宋体" w:hAnsi="宋体"/>
                <w:sz w:val="22"/>
                <w:szCs w:val="22"/>
                <w:highlight w:val="none"/>
              </w:rPr>
            </w:pPr>
            <w:r>
              <w:rPr>
                <w:rFonts w:hint="eastAsia" w:ascii="宋体" w:hAnsi="宋体"/>
                <w:sz w:val="22"/>
                <w:szCs w:val="22"/>
                <w:highlight w:val="none"/>
              </w:rPr>
              <w:t>0-2分</w:t>
            </w:r>
          </w:p>
        </w:tc>
        <w:tc>
          <w:tcPr>
            <w:tcW w:w="6411" w:type="dxa"/>
            <w:vAlign w:val="center"/>
          </w:tcPr>
          <w:p w14:paraId="6704DA59">
            <w:pPr>
              <w:rPr>
                <w:rFonts w:ascii="宋体" w:hAnsi="宋体"/>
                <w:sz w:val="22"/>
                <w:szCs w:val="22"/>
                <w:highlight w:val="none"/>
              </w:rPr>
            </w:pPr>
            <w:r>
              <w:rPr>
                <w:rFonts w:hint="eastAsia" w:ascii="宋体" w:hAnsi="宋体"/>
                <w:sz w:val="22"/>
                <w:szCs w:val="22"/>
                <w:highlight w:val="none"/>
              </w:rPr>
              <w:t>2022年以来获得地市级或以上政府部门组织的食品承检机构履约能力考核结果中，获得优秀档次的，得2分；获得良好档次的，得1分；其余情况不得分。</w:t>
            </w:r>
          </w:p>
          <w:p w14:paraId="71CF487D">
            <w:pPr>
              <w:widowControl/>
              <w:jc w:val="left"/>
              <w:rPr>
                <w:rFonts w:hint="eastAsia" w:ascii="宋体" w:hAnsi="宋体" w:cs="宋体"/>
                <w:b/>
                <w:kern w:val="28"/>
                <w:sz w:val="22"/>
                <w:szCs w:val="22"/>
                <w:highlight w:val="none"/>
              </w:rPr>
            </w:pPr>
            <w:r>
              <w:rPr>
                <w:rFonts w:hint="eastAsia" w:ascii="宋体" w:hAnsi="宋体"/>
                <w:sz w:val="22"/>
                <w:szCs w:val="22"/>
                <w:highlight w:val="none"/>
              </w:rPr>
              <w:t>注：提供政府发布的红头文件材料，不提供或证明材料不符的不得分。</w:t>
            </w:r>
          </w:p>
        </w:tc>
        <w:tc>
          <w:tcPr>
            <w:tcW w:w="972" w:type="dxa"/>
            <w:vAlign w:val="center"/>
          </w:tcPr>
          <w:p w14:paraId="36F0C1A5">
            <w:pPr>
              <w:jc w:val="center"/>
              <w:rPr>
                <w:rFonts w:hint="eastAsia" w:ascii="宋体" w:hAnsi="宋体"/>
                <w:sz w:val="22"/>
                <w:szCs w:val="22"/>
                <w:highlight w:val="none"/>
              </w:rPr>
            </w:pPr>
            <w:r>
              <w:rPr>
                <w:rFonts w:hint="eastAsia" w:ascii="宋体" w:hAnsi="宋体"/>
                <w:sz w:val="22"/>
                <w:szCs w:val="22"/>
                <w:highlight w:val="none"/>
              </w:rPr>
              <w:t>客观分</w:t>
            </w:r>
          </w:p>
        </w:tc>
      </w:tr>
      <w:tr w14:paraId="051750F6">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0641" w:type="dxa"/>
            <w:gridSpan w:val="5"/>
            <w:vAlign w:val="center"/>
          </w:tcPr>
          <w:p w14:paraId="2BAE9F0F">
            <w:pPr>
              <w:rPr>
                <w:rFonts w:ascii="宋体" w:hAnsi="宋体"/>
                <w:sz w:val="22"/>
                <w:szCs w:val="22"/>
                <w:highlight w:val="none"/>
              </w:rPr>
            </w:pPr>
            <w:r>
              <w:rPr>
                <w:rFonts w:hint="eastAsia" w:ascii="宋体" w:hAnsi="宋体"/>
                <w:sz w:val="22"/>
                <w:szCs w:val="22"/>
                <w:highlight w:val="none"/>
              </w:rPr>
              <w:t>说明：</w:t>
            </w:r>
          </w:p>
          <w:p w14:paraId="6518C0F0">
            <w:pPr>
              <w:rPr>
                <w:rFonts w:ascii="宋体" w:hAnsi="宋体"/>
                <w:sz w:val="22"/>
                <w:szCs w:val="22"/>
                <w:highlight w:val="none"/>
              </w:rPr>
            </w:pPr>
            <w:r>
              <w:rPr>
                <w:rFonts w:hint="eastAsia" w:ascii="宋体" w:hAnsi="宋体"/>
                <w:sz w:val="22"/>
                <w:szCs w:val="22"/>
                <w:highlight w:val="none"/>
              </w:rPr>
              <w:t>（1）因落实政府采购政策需进行业绩加分的，其业绩分按满分计入。</w:t>
            </w:r>
          </w:p>
          <w:p w14:paraId="01AEA3C3">
            <w:pPr>
              <w:rPr>
                <w:rFonts w:ascii="宋体" w:hAnsi="宋体"/>
                <w:sz w:val="22"/>
                <w:szCs w:val="22"/>
                <w:highlight w:val="none"/>
              </w:rPr>
            </w:pPr>
            <w:r>
              <w:rPr>
                <w:rFonts w:hint="eastAsia" w:ascii="宋体" w:hAnsi="宋体"/>
                <w:sz w:val="22"/>
                <w:szCs w:val="22"/>
                <w:highlight w:val="none"/>
              </w:rPr>
              <w:t>（2）</w:t>
            </w:r>
            <w:r>
              <w:rPr>
                <w:rFonts w:ascii="宋体" w:hAnsi="宋体"/>
                <w:sz w:val="22"/>
                <w:szCs w:val="22"/>
                <w:highlight w:val="none"/>
              </w:rPr>
              <w:t>商务技术</w:t>
            </w:r>
            <w:r>
              <w:rPr>
                <w:rFonts w:hint="eastAsia" w:ascii="宋体" w:hAnsi="宋体"/>
                <w:sz w:val="22"/>
                <w:szCs w:val="22"/>
                <w:highlight w:val="none"/>
              </w:rPr>
              <w:t>评分标准中，</w:t>
            </w:r>
            <w:r>
              <w:rPr>
                <w:rFonts w:ascii="宋体" w:hAnsi="宋体"/>
                <w:sz w:val="22"/>
                <w:szCs w:val="22"/>
                <w:highlight w:val="none"/>
              </w:rPr>
              <w:t>A档一般以提供完善、高质量、超出预期的方案/措施为划分标准，其内容详尽、科学、操作性强且具有高可信度，能够达到甚至超出采购需求</w:t>
            </w:r>
            <w:r>
              <w:rPr>
                <w:rFonts w:hint="eastAsia" w:ascii="宋体" w:hAnsi="宋体"/>
                <w:sz w:val="22"/>
                <w:szCs w:val="22"/>
                <w:highlight w:val="none"/>
              </w:rPr>
              <w:t>；</w:t>
            </w:r>
            <w:r>
              <w:rPr>
                <w:rFonts w:ascii="宋体" w:hAnsi="宋体"/>
                <w:sz w:val="22"/>
                <w:szCs w:val="22"/>
                <w:highlight w:val="none"/>
              </w:rPr>
              <w:t>B档一般以提供基本满足磋商文件要求的方案/措施为划分标准，其内容较为细致和科学，操作性和可信度一般，能够基本满足采购需求</w:t>
            </w:r>
            <w:r>
              <w:rPr>
                <w:rFonts w:hint="eastAsia" w:ascii="宋体" w:hAnsi="宋体"/>
                <w:sz w:val="22"/>
                <w:szCs w:val="22"/>
                <w:highlight w:val="none"/>
              </w:rPr>
              <w:t>；</w:t>
            </w:r>
            <w:r>
              <w:rPr>
                <w:rFonts w:ascii="宋体" w:hAnsi="宋体"/>
                <w:sz w:val="22"/>
                <w:szCs w:val="22"/>
                <w:highlight w:val="none"/>
              </w:rPr>
              <w:t>C档一般以提供简要或不太完善的方案/措施为划分标准，内容细致度、可操作性和科学性较差，可信度较低，无法有效达到采购需求</w:t>
            </w:r>
            <w:r>
              <w:rPr>
                <w:rFonts w:hint="eastAsia" w:ascii="宋体" w:hAnsi="宋体"/>
                <w:sz w:val="22"/>
                <w:szCs w:val="22"/>
                <w:highlight w:val="none"/>
              </w:rPr>
              <w:t>；</w:t>
            </w:r>
            <w:r>
              <w:rPr>
                <w:rFonts w:ascii="宋体" w:hAnsi="宋体"/>
                <w:sz w:val="22"/>
                <w:szCs w:val="22"/>
                <w:highlight w:val="none"/>
              </w:rPr>
              <w:t>D档一般以提供不符合磋商文件要求的方案/措施为划分标准，其内容缺乏细节和科学性，操作性和可信度极低，甚至存在错误或遗漏，</w:t>
            </w:r>
            <w:r>
              <w:rPr>
                <w:rFonts w:ascii="宋体" w:hAnsi="宋体"/>
                <w:sz w:val="22"/>
                <w:szCs w:val="22"/>
                <w:highlight w:val="none"/>
                <w:u w:val="single"/>
              </w:rPr>
              <w:t>完全无法满足采购需求。</w:t>
            </w:r>
          </w:p>
          <w:p w14:paraId="23CD2AE3">
            <w:pPr>
              <w:rPr>
                <w:rFonts w:ascii="宋体" w:hAnsi="宋体"/>
                <w:sz w:val="22"/>
                <w:szCs w:val="22"/>
                <w:highlight w:val="none"/>
              </w:rPr>
            </w:pPr>
            <w:r>
              <w:rPr>
                <w:rFonts w:hint="eastAsia" w:ascii="宋体" w:hAnsi="宋体"/>
                <w:sz w:val="22"/>
                <w:szCs w:val="22"/>
                <w:highlight w:val="none"/>
              </w:rPr>
              <w:t>（3）商务技术文件未提供评分项目内容的，该项按零分处理，且不受最低分值限制。</w:t>
            </w:r>
          </w:p>
          <w:p w14:paraId="10F2FF0B">
            <w:pPr>
              <w:rPr>
                <w:rFonts w:ascii="宋体" w:hAnsi="宋体"/>
                <w:sz w:val="22"/>
                <w:szCs w:val="22"/>
                <w:highlight w:val="none"/>
              </w:rPr>
            </w:pPr>
            <w:r>
              <w:rPr>
                <w:rFonts w:hint="eastAsia" w:ascii="宋体" w:hAnsi="宋体"/>
                <w:sz w:val="22"/>
                <w:szCs w:val="22"/>
                <w:highlight w:val="none"/>
              </w:rPr>
              <w:t>（4）商务技术文件中提供的证明材料无法辨认的，按未提供处理。</w:t>
            </w:r>
          </w:p>
          <w:p w14:paraId="552EF26E">
            <w:pPr>
              <w:rPr>
                <w:rFonts w:ascii="宋体" w:hAnsi="宋体"/>
                <w:sz w:val="22"/>
                <w:szCs w:val="22"/>
                <w:highlight w:val="none"/>
              </w:rPr>
            </w:pPr>
            <w:r>
              <w:rPr>
                <w:rFonts w:hint="eastAsia" w:ascii="宋体" w:hAnsi="宋体"/>
                <w:sz w:val="22"/>
                <w:szCs w:val="22"/>
                <w:highlight w:val="none"/>
              </w:rPr>
              <w:t>（5）供应商需根据磋商文件的要求进行制作，内容简洁明了，编排合理有序，与采购内容无关或不符合磋商文件要求的资料不要编入商务技术文件，建议页码控制在400页以下。</w:t>
            </w:r>
          </w:p>
        </w:tc>
      </w:tr>
    </w:tbl>
    <w:p w14:paraId="22A63DF6">
      <w:pPr>
        <w:spacing w:line="360" w:lineRule="auto"/>
        <w:rPr>
          <w:rFonts w:hint="eastAsia" w:ascii="宋体" w:hAnsi="宋体"/>
          <w:sz w:val="22"/>
          <w:szCs w:val="22"/>
          <w:highlight w:val="none"/>
        </w:rPr>
      </w:pPr>
    </w:p>
    <w:p w14:paraId="1C725EBD">
      <w:pPr>
        <w:spacing w:line="360" w:lineRule="auto"/>
        <w:rPr>
          <w:rFonts w:ascii="宋体" w:hAnsi="宋体"/>
          <w:sz w:val="22"/>
          <w:szCs w:val="22"/>
          <w:highlight w:val="none"/>
        </w:rPr>
      </w:pPr>
      <w:r>
        <w:rPr>
          <w:rFonts w:hint="eastAsia" w:ascii="宋体" w:hAnsi="宋体"/>
          <w:sz w:val="22"/>
          <w:szCs w:val="22"/>
          <w:highlight w:val="none"/>
        </w:rPr>
        <w:t>2、报价分（</w:t>
      </w:r>
      <w:r>
        <w:rPr>
          <w:rFonts w:hint="eastAsia" w:ascii="宋体" w:hAnsi="宋体"/>
          <w:sz w:val="22"/>
          <w:szCs w:val="22"/>
          <w:highlight w:val="none"/>
          <w:lang w:val="en-US" w:eastAsia="zh-CN"/>
        </w:rPr>
        <w:t>30</w:t>
      </w:r>
      <w:r>
        <w:rPr>
          <w:rFonts w:hint="eastAsia" w:ascii="宋体" w:hAnsi="宋体"/>
          <w:sz w:val="22"/>
          <w:szCs w:val="22"/>
          <w:highlight w:val="none"/>
        </w:rPr>
        <w:t>分）：</w:t>
      </w:r>
    </w:p>
    <w:p w14:paraId="2144E229">
      <w:pPr>
        <w:spacing w:line="400" w:lineRule="exact"/>
        <w:ind w:left="328" w:leftChars="156"/>
        <w:rPr>
          <w:rFonts w:ascii="宋体" w:hAnsi="宋体"/>
          <w:b/>
          <w:sz w:val="22"/>
          <w:szCs w:val="22"/>
          <w:highlight w:val="none"/>
        </w:rPr>
      </w:pPr>
      <w:r>
        <w:rPr>
          <w:rFonts w:hint="eastAsia" w:ascii="宋体" w:hAnsi="宋体"/>
          <w:sz w:val="22"/>
          <w:szCs w:val="22"/>
          <w:highlight w:val="none"/>
        </w:rPr>
        <w:t>报价分</w:t>
      </w:r>
      <w:r>
        <w:rPr>
          <w:rFonts w:ascii="宋体" w:hAnsi="宋体"/>
          <w:sz w:val="22"/>
          <w:szCs w:val="22"/>
          <w:highlight w:val="none"/>
        </w:rPr>
        <w:t>采用低价优先法计算，即满足磋商文件要求且最后报价最低的供应商的价格为磋商基准价，其</w:t>
      </w:r>
      <w:r>
        <w:rPr>
          <w:rFonts w:hint="eastAsia" w:ascii="宋体" w:hAnsi="宋体"/>
          <w:sz w:val="22"/>
          <w:szCs w:val="22"/>
          <w:highlight w:val="none"/>
        </w:rPr>
        <w:t>报价分</w:t>
      </w:r>
      <w:r>
        <w:rPr>
          <w:rFonts w:ascii="宋体" w:hAnsi="宋体"/>
          <w:sz w:val="22"/>
          <w:szCs w:val="22"/>
          <w:highlight w:val="none"/>
        </w:rPr>
        <w:t>为满分。其他供应商的</w:t>
      </w:r>
      <w:r>
        <w:rPr>
          <w:rFonts w:hint="eastAsia" w:ascii="宋体" w:hAnsi="宋体"/>
          <w:sz w:val="22"/>
          <w:szCs w:val="22"/>
          <w:highlight w:val="none"/>
        </w:rPr>
        <w:t>报价分</w:t>
      </w:r>
      <w:r>
        <w:rPr>
          <w:rFonts w:ascii="宋体" w:hAnsi="宋体"/>
          <w:sz w:val="22"/>
          <w:szCs w:val="22"/>
          <w:highlight w:val="none"/>
        </w:rPr>
        <w:t>统一按照下列公式计算：</w:t>
      </w:r>
      <w:r>
        <w:rPr>
          <w:rFonts w:hint="eastAsia" w:ascii="宋体" w:hAnsi="宋体"/>
          <w:sz w:val="22"/>
          <w:szCs w:val="22"/>
          <w:highlight w:val="none"/>
        </w:rPr>
        <w:t>报价</w:t>
      </w:r>
      <w:r>
        <w:rPr>
          <w:rFonts w:ascii="宋体" w:hAnsi="宋体"/>
          <w:sz w:val="22"/>
          <w:szCs w:val="22"/>
          <w:highlight w:val="none"/>
        </w:rPr>
        <w:t>得分=（磋商基准价／最后报价）×</w:t>
      </w:r>
      <w:r>
        <w:rPr>
          <w:rFonts w:hint="eastAsia" w:ascii="宋体" w:hAnsi="宋体"/>
          <w:sz w:val="22"/>
          <w:szCs w:val="22"/>
          <w:highlight w:val="none"/>
          <w:lang w:val="en-US" w:eastAsia="zh-CN"/>
        </w:rPr>
        <w:t>3</w:t>
      </w:r>
      <w:r>
        <w:rPr>
          <w:rFonts w:ascii="宋体" w:hAnsi="宋体"/>
          <w:sz w:val="22"/>
          <w:szCs w:val="22"/>
          <w:highlight w:val="none"/>
        </w:rPr>
        <w:t>0%×100</w:t>
      </w:r>
      <w:r>
        <w:rPr>
          <w:rFonts w:hint="eastAsia" w:ascii="宋体" w:hAnsi="宋体"/>
          <w:sz w:val="22"/>
          <w:szCs w:val="22"/>
          <w:highlight w:val="none"/>
        </w:rPr>
        <w:t>（保留二位小数，第三位四舍五入）</w:t>
      </w:r>
      <w:r>
        <w:rPr>
          <w:rFonts w:ascii="宋体" w:hAnsi="宋体"/>
          <w:sz w:val="22"/>
          <w:szCs w:val="22"/>
          <w:highlight w:val="none"/>
        </w:rPr>
        <w:t>。</w:t>
      </w:r>
      <w:r>
        <w:rPr>
          <w:rFonts w:ascii="宋体" w:hAnsi="宋体"/>
          <w:b/>
          <w:sz w:val="22"/>
          <w:szCs w:val="22"/>
          <w:highlight w:val="none"/>
        </w:rPr>
        <w:t>因落实政府采购政策需进行价格扣除的，以扣除后的价格计算</w:t>
      </w:r>
      <w:r>
        <w:rPr>
          <w:rFonts w:hint="eastAsia" w:ascii="宋体" w:hAnsi="宋体"/>
          <w:b/>
          <w:sz w:val="22"/>
          <w:szCs w:val="22"/>
          <w:highlight w:val="none"/>
        </w:rPr>
        <w:t>磋商</w:t>
      </w:r>
      <w:r>
        <w:rPr>
          <w:rFonts w:ascii="宋体" w:hAnsi="宋体"/>
          <w:b/>
          <w:sz w:val="22"/>
          <w:szCs w:val="22"/>
          <w:highlight w:val="none"/>
        </w:rPr>
        <w:t>基准价和</w:t>
      </w:r>
      <w:r>
        <w:rPr>
          <w:rFonts w:hint="eastAsia" w:ascii="宋体" w:hAnsi="宋体"/>
          <w:b/>
          <w:sz w:val="22"/>
          <w:szCs w:val="22"/>
          <w:highlight w:val="none"/>
        </w:rPr>
        <w:t>最后</w:t>
      </w:r>
      <w:r>
        <w:rPr>
          <w:rFonts w:ascii="宋体" w:hAnsi="宋体"/>
          <w:b/>
          <w:sz w:val="22"/>
          <w:szCs w:val="22"/>
          <w:highlight w:val="none"/>
        </w:rPr>
        <w:t>报价。</w:t>
      </w:r>
    </w:p>
    <w:tbl>
      <w:tblPr>
        <w:tblStyle w:val="40"/>
        <w:tblW w:w="10057"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5946"/>
        <w:gridCol w:w="4111"/>
      </w:tblGrid>
      <w:tr w14:paraId="5C9CCB8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4" w:hRule="atLeast"/>
          <w:tblHeader/>
          <w:jc w:val="center"/>
        </w:trPr>
        <w:tc>
          <w:tcPr>
            <w:tcW w:w="5946" w:type="dxa"/>
            <w:tcBorders>
              <w:top w:val="outset" w:color="auto" w:sz="6" w:space="0"/>
              <w:left w:val="outset" w:color="auto" w:sz="6" w:space="0"/>
              <w:bottom w:val="outset" w:color="auto" w:sz="6" w:space="0"/>
              <w:right w:val="outset" w:color="auto" w:sz="6" w:space="0"/>
            </w:tcBorders>
            <w:shd w:val="clear" w:color="auto" w:fill="FFFFFF"/>
            <w:vAlign w:val="center"/>
          </w:tcPr>
          <w:p w14:paraId="6AA4FB36">
            <w:pPr>
              <w:jc w:val="center"/>
              <w:rPr>
                <w:rFonts w:ascii="宋体" w:hAnsi="宋体"/>
                <w:sz w:val="22"/>
                <w:szCs w:val="22"/>
                <w:highlight w:val="none"/>
              </w:rPr>
            </w:pPr>
            <w:r>
              <w:rPr>
                <w:rFonts w:hint="eastAsia" w:ascii="宋体" w:hAnsi="宋体"/>
                <w:sz w:val="22"/>
                <w:szCs w:val="22"/>
                <w:highlight w:val="none"/>
              </w:rPr>
              <w:t>内容</w:t>
            </w:r>
          </w:p>
        </w:tc>
        <w:tc>
          <w:tcPr>
            <w:tcW w:w="4111" w:type="dxa"/>
            <w:tcBorders>
              <w:top w:val="outset" w:color="auto" w:sz="6" w:space="0"/>
              <w:left w:val="outset" w:color="auto" w:sz="6" w:space="0"/>
              <w:bottom w:val="outset" w:color="auto" w:sz="6" w:space="0"/>
              <w:right w:val="outset" w:color="auto" w:sz="6" w:space="0"/>
            </w:tcBorders>
            <w:shd w:val="clear" w:color="auto" w:fill="FFFFFF"/>
            <w:vAlign w:val="center"/>
          </w:tcPr>
          <w:p w14:paraId="564628EC">
            <w:pPr>
              <w:jc w:val="center"/>
              <w:rPr>
                <w:rFonts w:ascii="宋体" w:hAnsi="宋体"/>
                <w:sz w:val="22"/>
                <w:szCs w:val="22"/>
                <w:highlight w:val="none"/>
              </w:rPr>
            </w:pPr>
            <w:r>
              <w:rPr>
                <w:rFonts w:hint="eastAsia" w:ascii="宋体" w:hAnsi="宋体"/>
                <w:sz w:val="22"/>
                <w:szCs w:val="22"/>
                <w:highlight w:val="none"/>
              </w:rPr>
              <w:t>政策性价格扣除</w:t>
            </w:r>
          </w:p>
        </w:tc>
      </w:tr>
      <w:tr w14:paraId="74C2F1E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26" w:hRule="atLeast"/>
          <w:jc w:val="center"/>
        </w:trPr>
        <w:tc>
          <w:tcPr>
            <w:tcW w:w="5946" w:type="dxa"/>
            <w:tcBorders>
              <w:top w:val="outset" w:color="auto" w:sz="6" w:space="0"/>
              <w:left w:val="outset" w:color="auto" w:sz="6" w:space="0"/>
              <w:bottom w:val="outset" w:color="auto" w:sz="6" w:space="0"/>
              <w:right w:val="outset" w:color="auto" w:sz="6" w:space="0"/>
            </w:tcBorders>
            <w:shd w:val="clear" w:color="auto" w:fill="FFFFFF"/>
            <w:vAlign w:val="center"/>
          </w:tcPr>
          <w:p w14:paraId="063A2763">
            <w:pPr>
              <w:jc w:val="center"/>
              <w:rPr>
                <w:rFonts w:ascii="宋体" w:hAnsi="宋体"/>
                <w:sz w:val="22"/>
                <w:szCs w:val="22"/>
                <w:highlight w:val="none"/>
              </w:rPr>
            </w:pPr>
            <w:r>
              <w:rPr>
                <w:rFonts w:hint="eastAsia" w:ascii="宋体" w:hAnsi="宋体"/>
                <w:sz w:val="22"/>
                <w:szCs w:val="22"/>
                <w:highlight w:val="none"/>
              </w:rPr>
              <w:t>小型、微型企业，监狱企业，残疾人</w:t>
            </w:r>
            <w:r>
              <w:rPr>
                <w:rFonts w:ascii="宋体" w:hAnsi="宋体"/>
                <w:sz w:val="22"/>
                <w:szCs w:val="22"/>
                <w:highlight w:val="none"/>
              </w:rPr>
              <w:t>福利性单位</w:t>
            </w:r>
          </w:p>
        </w:tc>
        <w:tc>
          <w:tcPr>
            <w:tcW w:w="4111" w:type="dxa"/>
            <w:tcBorders>
              <w:top w:val="outset" w:color="auto" w:sz="6" w:space="0"/>
              <w:left w:val="outset" w:color="auto" w:sz="6" w:space="0"/>
              <w:bottom w:val="outset" w:color="auto" w:sz="6" w:space="0"/>
              <w:right w:val="outset" w:color="auto" w:sz="6" w:space="0"/>
            </w:tcBorders>
            <w:shd w:val="clear" w:color="auto" w:fill="FFFFFF"/>
            <w:vAlign w:val="center"/>
          </w:tcPr>
          <w:p w14:paraId="0005ACCD">
            <w:pPr>
              <w:jc w:val="center"/>
              <w:rPr>
                <w:rFonts w:ascii="宋体" w:hAnsi="宋体"/>
                <w:sz w:val="22"/>
                <w:szCs w:val="22"/>
                <w:highlight w:val="none"/>
              </w:rPr>
            </w:pPr>
            <w:r>
              <w:rPr>
                <w:rFonts w:hint="eastAsia" w:ascii="宋体" w:hAnsi="宋体"/>
                <w:sz w:val="22"/>
                <w:szCs w:val="22"/>
                <w:highlight w:val="none"/>
              </w:rPr>
              <w:t>本项目对其价格给予</w:t>
            </w:r>
            <w:r>
              <w:rPr>
                <w:rFonts w:ascii="宋体" w:hAnsi="宋体"/>
                <w:b/>
                <w:bCs/>
                <w:sz w:val="22"/>
                <w:szCs w:val="22"/>
                <w:highlight w:val="none"/>
              </w:rPr>
              <w:t>10</w:t>
            </w:r>
            <w:r>
              <w:rPr>
                <w:rFonts w:hint="eastAsia" w:ascii="宋体" w:hAnsi="宋体"/>
                <w:b/>
                <w:bCs/>
                <w:sz w:val="22"/>
                <w:szCs w:val="22"/>
                <w:highlight w:val="none"/>
              </w:rPr>
              <w:t>%</w:t>
            </w:r>
            <w:r>
              <w:rPr>
                <w:rFonts w:hint="eastAsia" w:ascii="宋体" w:hAnsi="宋体"/>
                <w:sz w:val="22"/>
                <w:szCs w:val="22"/>
                <w:highlight w:val="none"/>
              </w:rPr>
              <w:t>的扣除。</w:t>
            </w:r>
          </w:p>
        </w:tc>
      </w:tr>
    </w:tbl>
    <w:p w14:paraId="6AA92E9B">
      <w:pPr>
        <w:pStyle w:val="2"/>
        <w:spacing w:after="0" w:line="360" w:lineRule="auto"/>
        <w:rPr>
          <w:rFonts w:hint="eastAsia" w:ascii="宋体" w:hAnsi="宋体" w:eastAsia="宋体" w:cs="Arial"/>
          <w:sz w:val="22"/>
          <w:highlight w:val="none"/>
        </w:rPr>
      </w:pPr>
      <w:r>
        <w:rPr>
          <w:rFonts w:hint="eastAsia" w:ascii="宋体" w:hAnsi="宋体" w:eastAsia="宋体" w:cs="Arial"/>
          <w:sz w:val="22"/>
          <w:highlight w:val="none"/>
        </w:rPr>
        <w:t>3、 有效投标人的综合得分为商务技术分和报价分的总和。</w:t>
      </w:r>
    </w:p>
    <w:p w14:paraId="776DE81E">
      <w:pPr>
        <w:pStyle w:val="2"/>
        <w:spacing w:after="0" w:line="360" w:lineRule="auto"/>
        <w:rPr>
          <w:rFonts w:ascii="宋体" w:hAnsi="宋体" w:eastAsia="宋体"/>
          <w:sz w:val="22"/>
          <w:highlight w:val="none"/>
        </w:rPr>
      </w:pPr>
      <w:r>
        <w:rPr>
          <w:rFonts w:hint="eastAsia" w:ascii="宋体" w:hAnsi="宋体" w:eastAsia="宋体"/>
          <w:sz w:val="22"/>
          <w:szCs w:val="22"/>
          <w:highlight w:val="none"/>
        </w:rPr>
        <w:t>4、</w:t>
      </w:r>
      <w:r>
        <w:rPr>
          <w:rFonts w:hint="eastAsia" w:ascii="宋体" w:hAnsi="宋体" w:eastAsia="宋体"/>
          <w:sz w:val="22"/>
          <w:highlight w:val="none"/>
        </w:rPr>
        <w:t>评标委员会按综合得分高低顺序排列，综合得分前两名投标人依次作为该项目第一中标候选人和第二中标候选人向采购人推荐，并提交评标报告。综合得分相同的，按投标报价由低到高顺序排列；综合得分且投标报价相同的，抽签决定。</w:t>
      </w:r>
    </w:p>
    <w:p w14:paraId="4E6EB1BF">
      <w:pPr>
        <w:pStyle w:val="2"/>
        <w:spacing w:after="0" w:line="360" w:lineRule="auto"/>
        <w:rPr>
          <w:rFonts w:ascii="宋体" w:hAnsi="宋体" w:eastAsia="宋体"/>
          <w:b/>
          <w:sz w:val="22"/>
          <w:szCs w:val="22"/>
          <w:highlight w:val="none"/>
        </w:rPr>
      </w:pPr>
      <w:r>
        <w:rPr>
          <w:rFonts w:hint="eastAsia" w:ascii="宋体" w:hAnsi="宋体" w:eastAsia="宋体"/>
          <w:b/>
          <w:sz w:val="22"/>
          <w:szCs w:val="22"/>
          <w:highlight w:val="none"/>
        </w:rPr>
        <w:t>五、定标办法</w:t>
      </w:r>
    </w:p>
    <w:p w14:paraId="07A5C721">
      <w:pPr>
        <w:spacing w:line="360" w:lineRule="auto"/>
        <w:ind w:left="439" w:leftChars="209"/>
        <w:rPr>
          <w:rFonts w:ascii="宋体" w:hAnsi="宋体"/>
          <w:sz w:val="22"/>
          <w:highlight w:val="none"/>
        </w:rPr>
      </w:pPr>
      <w:r>
        <w:rPr>
          <w:rFonts w:hint="eastAsia" w:ascii="宋体" w:hAnsi="宋体"/>
          <w:sz w:val="22"/>
          <w:highlight w:val="none"/>
        </w:rPr>
        <w:t>本次采购由评标委员会推荐中标候选人，采购人根据评标委员会的推荐结果进行最终确认。</w:t>
      </w:r>
      <w:r>
        <w:rPr>
          <w:rFonts w:ascii="宋体" w:hAnsi="宋体"/>
          <w:sz w:val="22"/>
          <w:highlight w:val="none"/>
        </w:rPr>
        <w:t>如中标人放弃中标、或因不可抗力提出不能履行合同；或未能在规定时间内与采购人签订合同的；或者经质疑，采购人审查后，确因排名第一的候选人在本次</w:t>
      </w:r>
      <w:r>
        <w:rPr>
          <w:rFonts w:hint="eastAsia" w:ascii="宋体" w:hAnsi="宋体"/>
          <w:sz w:val="22"/>
          <w:highlight w:val="none"/>
        </w:rPr>
        <w:t>采购</w:t>
      </w:r>
      <w:r>
        <w:rPr>
          <w:rFonts w:ascii="宋体" w:hAnsi="宋体"/>
          <w:sz w:val="22"/>
          <w:highlight w:val="none"/>
        </w:rPr>
        <w:t>活动中存在违法违规行为或其他原因使质疑成立的，采购人可以视具体情况确定是否由排名第二的中标候选人为中标人。如第二中标候选人因前款规定的同样原因不能签订合同的，本次</w:t>
      </w:r>
      <w:r>
        <w:rPr>
          <w:rFonts w:hint="eastAsia" w:ascii="宋体" w:hAnsi="宋体"/>
          <w:sz w:val="22"/>
          <w:highlight w:val="none"/>
        </w:rPr>
        <w:t>采购</w:t>
      </w:r>
      <w:r>
        <w:rPr>
          <w:rFonts w:ascii="宋体" w:hAnsi="宋体"/>
          <w:sz w:val="22"/>
          <w:highlight w:val="none"/>
        </w:rPr>
        <w:t>失败，重新组织</w:t>
      </w:r>
      <w:r>
        <w:rPr>
          <w:rFonts w:hint="eastAsia" w:ascii="宋体" w:hAnsi="宋体"/>
          <w:sz w:val="22"/>
          <w:highlight w:val="none"/>
        </w:rPr>
        <w:t>采购</w:t>
      </w:r>
      <w:r>
        <w:rPr>
          <w:rFonts w:ascii="宋体" w:hAnsi="宋体"/>
          <w:sz w:val="22"/>
          <w:highlight w:val="none"/>
        </w:rPr>
        <w:t>。</w:t>
      </w:r>
    </w:p>
    <w:p w14:paraId="7DD4EF30">
      <w:pPr>
        <w:pStyle w:val="2"/>
        <w:spacing w:after="0" w:line="360" w:lineRule="auto"/>
        <w:rPr>
          <w:rFonts w:ascii="宋体" w:hAnsi="宋体" w:eastAsia="宋体"/>
          <w:b/>
          <w:sz w:val="22"/>
          <w:szCs w:val="22"/>
          <w:highlight w:val="none"/>
        </w:rPr>
      </w:pPr>
      <w:bookmarkStart w:id="263" w:name="_Toc221356905"/>
      <w:bookmarkStart w:id="264" w:name="_Toc221356968"/>
      <w:r>
        <w:rPr>
          <w:rFonts w:hint="eastAsia" w:ascii="宋体" w:hAnsi="宋体" w:eastAsia="宋体"/>
          <w:b/>
          <w:sz w:val="22"/>
          <w:szCs w:val="22"/>
          <w:highlight w:val="none"/>
        </w:rPr>
        <w:t>六、投标人义务</w:t>
      </w:r>
      <w:bookmarkEnd w:id="263"/>
      <w:bookmarkEnd w:id="264"/>
    </w:p>
    <w:p w14:paraId="6CE8F919">
      <w:pPr>
        <w:spacing w:line="360" w:lineRule="auto"/>
        <w:ind w:left="439" w:leftChars="209"/>
        <w:rPr>
          <w:rFonts w:ascii="宋体" w:hAnsi="宋体"/>
          <w:sz w:val="22"/>
          <w:szCs w:val="22"/>
          <w:highlight w:val="none"/>
        </w:rPr>
      </w:pPr>
      <w:r>
        <w:rPr>
          <w:rFonts w:hint="eastAsia" w:ascii="宋体" w:hAnsi="宋体"/>
          <w:sz w:val="22"/>
          <w:szCs w:val="22"/>
          <w:highlight w:val="none"/>
        </w:rPr>
        <w:t>投标人应随时接受评标委员会的询标，解答包括有关的商务、技术问题等。评标结束，所有评标资料存招标采购单位备查。</w:t>
      </w:r>
    </w:p>
    <w:sectPr>
      <w:headerReference r:id="rId8" w:type="first"/>
      <w:footerReference r:id="rId10" w:type="first"/>
      <w:footerReference r:id="rId9" w:type="default"/>
      <w:pgSz w:w="11906" w:h="16838"/>
      <w:pgMar w:top="1134" w:right="1134" w:bottom="1134" w:left="1134"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宋体,Verdana,Arial">
    <w:altName w:val="宋体"/>
    <w:panose1 w:val="00000000000000000000"/>
    <w:charset w:val="86"/>
    <w:family w:val="roma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Monaco">
    <w:altName w:val="Courier New"/>
    <w:panose1 w:val="00000000000000000000"/>
    <w:charset w:val="00"/>
    <w:family w:val="auto"/>
    <w:pitch w:val="default"/>
    <w:sig w:usb0="00000000" w:usb1="00000000" w:usb2="00000000" w:usb3="00000000" w:csb0="00000001" w:csb1="00000000"/>
  </w:font>
  <w:font w:name="Univers LT Std 57 Cn">
    <w:altName w:val="Arial"/>
    <w:panose1 w:val="00000000000000000000"/>
    <w:charset w:val="00"/>
    <w:family w:val="swiss"/>
    <w:pitch w:val="default"/>
    <w:sig w:usb0="00000000" w:usb1="00000000" w:usb2="00000000" w:usb3="00000000" w:csb0="00000001" w:csb1="00000000"/>
  </w:font>
  <w:font w:name="MingLiU">
    <w:altName w:val="PMingLiU-ExtB"/>
    <w:panose1 w:val="02010609000101010101"/>
    <w:charset w:val="88"/>
    <w:family w:val="moder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pingfang sc">
    <w:altName w:val="微软雅黑"/>
    <w:panose1 w:val="00000000000000000000"/>
    <w:charset w:val="00"/>
    <w:family w:val="auto"/>
    <w:pitch w:val="default"/>
    <w:sig w:usb0="00000000" w:usb1="00000000" w:usb2="00000000" w:usb3="00000000" w:csb0="00040001" w:csb1="00000000"/>
  </w:font>
  <w:font w:name="Helvetica Neue">
    <w:altName w:val="Times New Roman"/>
    <w:panose1 w:val="00000000000000000000"/>
    <w:charset w:val="00"/>
    <w:family w:val="auto"/>
    <w:pitch w:val="default"/>
    <w:sig w:usb0="00000000" w:usb1="00000000" w:usb2="00000010" w:usb3="00000000" w:csb0="0000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A6158">
    <w:pPr>
      <w:pStyle w:val="25"/>
      <w:pBdr>
        <w:top w:val="single" w:color="auto" w:sz="4" w:space="1"/>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06422">
    <w:pPr>
      <w:pStyle w:val="25"/>
      <w:pBdr>
        <w:top w:val="single" w:color="auto" w:sz="4" w:space="1"/>
      </w:pBdr>
    </w:pPr>
    <w:r>
      <mc:AlternateContent>
        <mc:Choice Requires="wps">
          <w:drawing>
            <wp:anchor distT="0" distB="0" distL="114300" distR="114300" simplePos="0" relativeHeight="251659264" behindDoc="0" locked="0" layoutInCell="1" allowOverlap="1">
              <wp:simplePos x="0" y="0"/>
              <wp:positionH relativeFrom="margin">
                <wp:posOffset>3028950</wp:posOffset>
              </wp:positionH>
              <wp:positionV relativeFrom="paragraph">
                <wp:posOffset>0</wp:posOffset>
              </wp:positionV>
              <wp:extent cx="191770" cy="225425"/>
              <wp:effectExtent l="0" t="0" r="0" b="3175"/>
              <wp:wrapNone/>
              <wp:docPr id="2" name="文本框 2"/>
              <wp:cNvGraphicFramePr/>
              <a:graphic xmlns:a="http://schemas.openxmlformats.org/drawingml/2006/main">
                <a:graphicData uri="http://schemas.microsoft.com/office/word/2010/wordprocessingShape">
                  <wps:wsp>
                    <wps:cNvSpPr txBox="1"/>
                    <wps:spPr>
                      <a:xfrm>
                        <a:off x="0" y="0"/>
                        <a:ext cx="191453" cy="22574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5B80C8">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38.5pt;margin-top:0pt;height:17.75pt;width:15.1pt;mso-position-horizontal-relative:margin;z-index:251659264;mso-width-relative:page;mso-height-relative:page;" filled="f" stroked="f" coordsize="21600,21600" o:gfxdata="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8hFYRtcAAAAHAQAADwAAAAAAAAABACAAAAAiAAAAZHJzL2Rvd25yZXYueG1s&#10;UEsBAhQAFAAAAAgAh07iQCudkQgyAgAAVQQAAA4AAAAAAAAAAQAgAAAAJgEAAGRycy9lMm9Eb2Mu&#10;eG1sUEsFBgAAAAAGAAYAWQEAAMoFAAAAAA==&#10;">
              <v:fill on="f" focussize="0,0"/>
              <v:stroke on="f" weight="0.5pt"/>
              <v:imagedata o:title=""/>
              <o:lock v:ext="edit" aspectratio="f"/>
              <v:textbox inset="0mm,0mm,0mm,0mm">
                <w:txbxContent>
                  <w:p w14:paraId="535B80C8">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B7640">
    <w:pPr>
      <w:pStyle w:val="25"/>
      <w:pBdr>
        <w:top w:val="single" w:color="auto" w:sz="4" w:space="1"/>
      </w:pBd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CD33D8">
                          <w:pPr>
                            <w:pStyle w:val="25"/>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3CD33D8">
                    <w:pPr>
                      <w:pStyle w:val="25"/>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12287">
    <w:pPr>
      <w:pStyle w:val="25"/>
      <w:pBdr>
        <w:top w:val="single" w:color="auto" w:sz="4" w:space="1"/>
        <w:left w:val="none" w:color="auto" w:sz="0" w:space="4"/>
        <w:bottom w:val="none" w:color="auto" w:sz="0" w:space="1"/>
        <w:right w:val="none" w:color="auto" w:sz="0" w:space="4"/>
      </w:pBd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65F6AF">
                          <w:pPr>
                            <w:pStyle w:val="25"/>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A65F6AF">
                    <w:pPr>
                      <w:pStyle w:val="25"/>
                    </w:pPr>
                    <w:r>
                      <w:fldChar w:fldCharType="begin"/>
                    </w:r>
                    <w:r>
                      <w:instrText xml:space="preserve"> PAGE  \* MERGEFORMAT </w:instrText>
                    </w:r>
                    <w:r>
                      <w:fldChar w:fldCharType="separate"/>
                    </w:r>
                    <w: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28FA4">
    <w:pPr>
      <w:pStyle w:val="26"/>
      <w:pBdr>
        <w:bottom w:val="none" w:color="auto" w:sz="0" w:space="0"/>
      </w:pBdr>
      <w:jc w:val="both"/>
    </w:pPr>
    <w:r>
      <w:rPr>
        <w:rFonts w:hint="eastAsia" w:ascii="楷体" w:hAnsi="楷体" w:eastAsia="楷体"/>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9C3BF">
    <w:pPr>
      <w:pStyle w:val="2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6B8DC">
    <w:pPr>
      <w:pStyle w:val="26"/>
      <w:pBdr>
        <w:bottom w:val="single" w:color="auto" w:sz="4" w:space="1"/>
      </w:pBdr>
      <w:jc w:val="both"/>
      <w:rPr>
        <w:rFonts w:ascii="楷体" w:hAnsi="楷体" w:eastAsia="楷体"/>
      </w:rPr>
    </w:pPr>
    <w:r>
      <w:rPr>
        <w:rFonts w:hint="eastAsia" w:ascii="楷体" w:hAnsi="楷体" w:eastAsia="楷体"/>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B5261">
    <w:pPr>
      <w:pStyle w:val="26"/>
      <w:pBdr>
        <w:bottom w:val="single" w:color="auto" w:sz="4" w:space="1"/>
      </w:pBdr>
      <w:jc w:val="both"/>
      <w:rPr>
        <w:rFonts w:ascii="楷体_GB2312" w:eastAsia="楷体_GB2312"/>
      </w:rPr>
    </w:pPr>
    <w:r>
      <w:rPr>
        <w:rFonts w:hint="eastAsia" w:ascii="楷体_GB2312" w:eastAsia="楷体_GB2312"/>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left"/>
      <w:pPr>
        <w:tabs>
          <w:tab w:val="left" w:pos="780"/>
        </w:tabs>
        <w:ind w:left="7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15"/>
    <w:multiLevelType w:val="multilevel"/>
    <w:tmpl w:val="00000015"/>
    <w:lvl w:ilvl="0" w:tentative="0">
      <w:start w:val="1"/>
      <w:numFmt w:val="decimal"/>
      <w:lvlText w:val="%1)"/>
      <w:lvlJc w:val="left"/>
      <w:pPr>
        <w:tabs>
          <w:tab w:val="left" w:pos="780"/>
        </w:tabs>
        <w:ind w:left="7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8"/>
    <w:multiLevelType w:val="multilevel"/>
    <w:tmpl w:val="00000018"/>
    <w:lvl w:ilvl="0" w:tentative="0">
      <w:start w:val="1"/>
      <w:numFmt w:val="decimal"/>
      <w:lvlText w:val="%1)"/>
      <w:lvlJc w:val="left"/>
      <w:pPr>
        <w:tabs>
          <w:tab w:val="left" w:pos="420"/>
        </w:tabs>
        <w:ind w:left="42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2B"/>
    <w:multiLevelType w:val="multilevel"/>
    <w:tmpl w:val="0000002B"/>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D04ED0"/>
    <w:multiLevelType w:val="multilevel"/>
    <w:tmpl w:val="00D04ED0"/>
    <w:lvl w:ilvl="0" w:tentative="0">
      <w:start w:val="1"/>
      <w:numFmt w:val="decimal"/>
      <w:lvlText w:val="%1)"/>
      <w:lvlJc w:val="left"/>
      <w:pPr>
        <w:tabs>
          <w:tab w:val="left" w:pos="420"/>
        </w:tabs>
        <w:ind w:left="42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1D621D3"/>
    <w:multiLevelType w:val="multilevel"/>
    <w:tmpl w:val="01D621D3"/>
    <w:lvl w:ilvl="0" w:tentative="0">
      <w:start w:val="1"/>
      <w:numFmt w:val="decimal"/>
      <w:lvlText w:val="%1）"/>
      <w:lvlJc w:val="left"/>
      <w:pPr>
        <w:ind w:left="887" w:hanging="360"/>
      </w:pPr>
      <w:rPr>
        <w:rFonts w:hint="default"/>
      </w:rPr>
    </w:lvl>
    <w:lvl w:ilvl="1" w:tentative="0">
      <w:start w:val="1"/>
      <w:numFmt w:val="lowerLetter"/>
      <w:lvlText w:val="%2)"/>
      <w:lvlJc w:val="left"/>
      <w:pPr>
        <w:ind w:left="1367" w:hanging="420"/>
      </w:pPr>
    </w:lvl>
    <w:lvl w:ilvl="2" w:tentative="0">
      <w:start w:val="1"/>
      <w:numFmt w:val="lowerRoman"/>
      <w:lvlText w:val="%3."/>
      <w:lvlJc w:val="right"/>
      <w:pPr>
        <w:ind w:left="1787" w:hanging="420"/>
      </w:pPr>
    </w:lvl>
    <w:lvl w:ilvl="3" w:tentative="0">
      <w:start w:val="1"/>
      <w:numFmt w:val="decimal"/>
      <w:lvlText w:val="%4."/>
      <w:lvlJc w:val="left"/>
      <w:pPr>
        <w:ind w:left="2207" w:hanging="420"/>
      </w:pPr>
    </w:lvl>
    <w:lvl w:ilvl="4" w:tentative="0">
      <w:start w:val="1"/>
      <w:numFmt w:val="lowerLetter"/>
      <w:lvlText w:val="%5)"/>
      <w:lvlJc w:val="left"/>
      <w:pPr>
        <w:ind w:left="2627" w:hanging="420"/>
      </w:pPr>
    </w:lvl>
    <w:lvl w:ilvl="5" w:tentative="0">
      <w:start w:val="1"/>
      <w:numFmt w:val="lowerRoman"/>
      <w:lvlText w:val="%6."/>
      <w:lvlJc w:val="right"/>
      <w:pPr>
        <w:ind w:left="3047" w:hanging="420"/>
      </w:pPr>
    </w:lvl>
    <w:lvl w:ilvl="6" w:tentative="0">
      <w:start w:val="1"/>
      <w:numFmt w:val="decimal"/>
      <w:lvlText w:val="%7."/>
      <w:lvlJc w:val="left"/>
      <w:pPr>
        <w:ind w:left="3467" w:hanging="420"/>
      </w:pPr>
    </w:lvl>
    <w:lvl w:ilvl="7" w:tentative="0">
      <w:start w:val="1"/>
      <w:numFmt w:val="lowerLetter"/>
      <w:lvlText w:val="%8)"/>
      <w:lvlJc w:val="left"/>
      <w:pPr>
        <w:ind w:left="3887" w:hanging="420"/>
      </w:pPr>
    </w:lvl>
    <w:lvl w:ilvl="8" w:tentative="0">
      <w:start w:val="1"/>
      <w:numFmt w:val="lowerRoman"/>
      <w:lvlText w:val="%9."/>
      <w:lvlJc w:val="right"/>
      <w:pPr>
        <w:ind w:left="4307" w:hanging="420"/>
      </w:pPr>
    </w:lvl>
  </w:abstractNum>
  <w:abstractNum w:abstractNumId="6">
    <w:nsid w:val="095F25B7"/>
    <w:multiLevelType w:val="multilevel"/>
    <w:tmpl w:val="095F25B7"/>
    <w:lvl w:ilvl="0" w:tentative="0">
      <w:start w:val="1"/>
      <w:numFmt w:val="japaneseCounting"/>
      <w:lvlText w:val="%1、"/>
      <w:lvlJc w:val="left"/>
      <w:pPr>
        <w:ind w:left="617" w:hanging="617"/>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15434DED"/>
    <w:multiLevelType w:val="multilevel"/>
    <w:tmpl w:val="15434DED"/>
    <w:lvl w:ilvl="0" w:tentative="0">
      <w:start w:val="1"/>
      <w:numFmt w:val="decimal"/>
      <w:lvlText w:val="%1."/>
      <w:lvlJc w:val="left"/>
      <w:pPr>
        <w:ind w:left="170" w:hanging="57"/>
      </w:pPr>
      <w:rPr>
        <w:rFonts w:hint="eastAsia" w:ascii="宋体" w:hAnsi="宋体" w:eastAsia="宋体"/>
        <w:sz w:val="2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6D34A53"/>
    <w:multiLevelType w:val="multilevel"/>
    <w:tmpl w:val="16D34A53"/>
    <w:lvl w:ilvl="0" w:tentative="0">
      <w:start w:val="1"/>
      <w:numFmt w:val="decimal"/>
      <w:lvlText w:val="%1)"/>
      <w:lvlJc w:val="left"/>
      <w:pPr>
        <w:tabs>
          <w:tab w:val="left" w:pos="420"/>
        </w:tabs>
        <w:ind w:left="42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9DD6FE2"/>
    <w:multiLevelType w:val="multilevel"/>
    <w:tmpl w:val="19DD6FE2"/>
    <w:lvl w:ilvl="0" w:tentative="0">
      <w:start w:val="1"/>
      <w:numFmt w:val="japaneseCounting"/>
      <w:lvlText w:val="（%1）"/>
      <w:lvlJc w:val="left"/>
      <w:pPr>
        <w:ind w:left="1079" w:hanging="720"/>
      </w:pPr>
      <w:rPr>
        <w:rFonts w:hint="default"/>
        <w:lang w:val="en-US"/>
      </w:rPr>
    </w:lvl>
    <w:lvl w:ilvl="1" w:tentative="0">
      <w:start w:val="1"/>
      <w:numFmt w:val="japaneseCounting"/>
      <w:lvlText w:val="（%2）"/>
      <w:lvlJc w:val="left"/>
      <w:pPr>
        <w:ind w:left="1499" w:hanging="720"/>
      </w:pPr>
      <w:rPr>
        <w:rFonts w:hint="default"/>
      </w:rPr>
    </w:lvl>
    <w:lvl w:ilvl="2" w:tentative="0">
      <w:start w:val="1"/>
      <w:numFmt w:val="lowerRoman"/>
      <w:lvlText w:val="%3."/>
      <w:lvlJc w:val="right"/>
      <w:pPr>
        <w:ind w:left="1619" w:hanging="420"/>
      </w:pPr>
    </w:lvl>
    <w:lvl w:ilvl="3" w:tentative="0">
      <w:start w:val="1"/>
      <w:numFmt w:val="decimal"/>
      <w:lvlText w:val="%4."/>
      <w:lvlJc w:val="left"/>
      <w:pPr>
        <w:ind w:left="2039" w:hanging="420"/>
      </w:pPr>
    </w:lvl>
    <w:lvl w:ilvl="4" w:tentative="0">
      <w:start w:val="1"/>
      <w:numFmt w:val="lowerLetter"/>
      <w:lvlText w:val="%5)"/>
      <w:lvlJc w:val="left"/>
      <w:pPr>
        <w:ind w:left="2459" w:hanging="420"/>
      </w:pPr>
    </w:lvl>
    <w:lvl w:ilvl="5" w:tentative="0">
      <w:start w:val="1"/>
      <w:numFmt w:val="lowerRoman"/>
      <w:lvlText w:val="%6."/>
      <w:lvlJc w:val="right"/>
      <w:pPr>
        <w:ind w:left="2879" w:hanging="420"/>
      </w:pPr>
    </w:lvl>
    <w:lvl w:ilvl="6" w:tentative="0">
      <w:start w:val="1"/>
      <w:numFmt w:val="decimal"/>
      <w:lvlText w:val="%7."/>
      <w:lvlJc w:val="left"/>
      <w:pPr>
        <w:ind w:left="3299" w:hanging="420"/>
      </w:pPr>
    </w:lvl>
    <w:lvl w:ilvl="7" w:tentative="0">
      <w:start w:val="1"/>
      <w:numFmt w:val="lowerLetter"/>
      <w:lvlText w:val="%8)"/>
      <w:lvlJc w:val="left"/>
      <w:pPr>
        <w:ind w:left="3719" w:hanging="420"/>
      </w:pPr>
    </w:lvl>
    <w:lvl w:ilvl="8" w:tentative="0">
      <w:start w:val="1"/>
      <w:numFmt w:val="lowerRoman"/>
      <w:lvlText w:val="%9."/>
      <w:lvlJc w:val="right"/>
      <w:pPr>
        <w:ind w:left="4139" w:hanging="420"/>
      </w:pPr>
    </w:lvl>
  </w:abstractNum>
  <w:abstractNum w:abstractNumId="10">
    <w:nsid w:val="20D1378C"/>
    <w:multiLevelType w:val="multilevel"/>
    <w:tmpl w:val="20D1378C"/>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24602FF9"/>
    <w:multiLevelType w:val="multilevel"/>
    <w:tmpl w:val="24602FF9"/>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25530E96"/>
    <w:multiLevelType w:val="multilevel"/>
    <w:tmpl w:val="25530E96"/>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25ED40F1"/>
    <w:multiLevelType w:val="multilevel"/>
    <w:tmpl w:val="25ED40F1"/>
    <w:lvl w:ilvl="0" w:tentative="0">
      <w:start w:val="1"/>
      <w:numFmt w:val="decimalEnclosedCircle"/>
      <w:lvlText w:val="%1"/>
      <w:lvlJc w:val="left"/>
      <w:pPr>
        <w:ind w:left="1069" w:hanging="360"/>
      </w:pPr>
      <w:rPr>
        <w:rFonts w:hint="default" w:cs="Arial"/>
      </w:rPr>
    </w:lvl>
    <w:lvl w:ilvl="1" w:tentative="0">
      <w:start w:val="1"/>
      <w:numFmt w:val="lowerLetter"/>
      <w:lvlText w:val="%2)"/>
      <w:lvlJc w:val="left"/>
      <w:pPr>
        <w:ind w:left="1589" w:hanging="440"/>
      </w:pPr>
    </w:lvl>
    <w:lvl w:ilvl="2" w:tentative="0">
      <w:start w:val="1"/>
      <w:numFmt w:val="lowerRoman"/>
      <w:lvlText w:val="%3."/>
      <w:lvlJc w:val="right"/>
      <w:pPr>
        <w:ind w:left="2029" w:hanging="440"/>
      </w:pPr>
    </w:lvl>
    <w:lvl w:ilvl="3" w:tentative="0">
      <w:start w:val="1"/>
      <w:numFmt w:val="decimal"/>
      <w:lvlText w:val="%4."/>
      <w:lvlJc w:val="left"/>
      <w:pPr>
        <w:ind w:left="2469" w:hanging="440"/>
      </w:pPr>
    </w:lvl>
    <w:lvl w:ilvl="4" w:tentative="0">
      <w:start w:val="1"/>
      <w:numFmt w:val="lowerLetter"/>
      <w:lvlText w:val="%5)"/>
      <w:lvlJc w:val="left"/>
      <w:pPr>
        <w:ind w:left="2909" w:hanging="440"/>
      </w:pPr>
    </w:lvl>
    <w:lvl w:ilvl="5" w:tentative="0">
      <w:start w:val="1"/>
      <w:numFmt w:val="lowerRoman"/>
      <w:lvlText w:val="%6."/>
      <w:lvlJc w:val="right"/>
      <w:pPr>
        <w:ind w:left="3349" w:hanging="440"/>
      </w:pPr>
    </w:lvl>
    <w:lvl w:ilvl="6" w:tentative="0">
      <w:start w:val="1"/>
      <w:numFmt w:val="decimal"/>
      <w:lvlText w:val="%7."/>
      <w:lvlJc w:val="left"/>
      <w:pPr>
        <w:ind w:left="3789" w:hanging="440"/>
      </w:pPr>
    </w:lvl>
    <w:lvl w:ilvl="7" w:tentative="0">
      <w:start w:val="1"/>
      <w:numFmt w:val="lowerLetter"/>
      <w:lvlText w:val="%8)"/>
      <w:lvlJc w:val="left"/>
      <w:pPr>
        <w:ind w:left="4229" w:hanging="440"/>
      </w:pPr>
    </w:lvl>
    <w:lvl w:ilvl="8" w:tentative="0">
      <w:start w:val="1"/>
      <w:numFmt w:val="lowerRoman"/>
      <w:lvlText w:val="%9."/>
      <w:lvlJc w:val="right"/>
      <w:pPr>
        <w:ind w:left="4669" w:hanging="440"/>
      </w:pPr>
    </w:lvl>
  </w:abstractNum>
  <w:abstractNum w:abstractNumId="14">
    <w:nsid w:val="277D2EDD"/>
    <w:multiLevelType w:val="multilevel"/>
    <w:tmpl w:val="277D2EDD"/>
    <w:lvl w:ilvl="0" w:tentative="0">
      <w:start w:val="1"/>
      <w:numFmt w:val="decimal"/>
      <w:lvlText w:val="%1."/>
      <w:lvlJc w:val="left"/>
      <w:pPr>
        <w:tabs>
          <w:tab w:val="left" w:pos="635"/>
        </w:tabs>
        <w:ind w:left="567" w:hanging="567"/>
      </w:pPr>
      <w:rPr>
        <w:rFonts w:hint="eastAsia" w:ascii="宋体" w:hAnsi="宋体" w:eastAsia="宋体"/>
        <w:b w:val="0"/>
        <w:sz w:val="22"/>
        <w:szCs w:val="22"/>
      </w:rPr>
    </w:lvl>
    <w:lvl w:ilvl="1" w:tentative="0">
      <w:start w:val="1"/>
      <w:numFmt w:val="decimal"/>
      <w:lvlText w:val="%1.%2"/>
      <w:lvlJc w:val="left"/>
      <w:pPr>
        <w:tabs>
          <w:tab w:val="left" w:pos="567"/>
        </w:tabs>
        <w:ind w:left="567" w:hanging="567"/>
      </w:pPr>
      <w:rPr>
        <w:rFonts w:hint="eastAsia" w:ascii="宋体" w:hAnsi="宋体" w:eastAsia="宋体"/>
        <w:b w:val="0"/>
      </w:rPr>
    </w:lvl>
    <w:lvl w:ilvl="2" w:tentative="0">
      <w:start w:val="1"/>
      <w:numFmt w:val="decimal"/>
      <w:pStyle w:val="281"/>
      <w:lvlText w:val="%1.%2.%3."/>
      <w:lvlJc w:val="left"/>
      <w:pPr>
        <w:tabs>
          <w:tab w:val="left" w:pos="709"/>
        </w:tabs>
        <w:ind w:left="709" w:hanging="709"/>
      </w:pPr>
      <w:rPr>
        <w:rFonts w:hint="eastAsia" w:ascii="宋体" w:hAnsi="宋体" w:eastAsia="宋体"/>
        <w:b w:val="0"/>
        <w:bCs/>
        <w:sz w:val="22"/>
        <w:szCs w:val="22"/>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5">
    <w:nsid w:val="2D525B6B"/>
    <w:multiLevelType w:val="multilevel"/>
    <w:tmpl w:val="2D525B6B"/>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2F691B80"/>
    <w:multiLevelType w:val="multilevel"/>
    <w:tmpl w:val="2F691B80"/>
    <w:lvl w:ilvl="0" w:tentative="0">
      <w:start w:val="1"/>
      <w:numFmt w:val="chineseCountingThousand"/>
      <w:suff w:val="space"/>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2856642"/>
    <w:multiLevelType w:val="multilevel"/>
    <w:tmpl w:val="32856642"/>
    <w:lvl w:ilvl="0" w:tentative="0">
      <w:start w:val="1"/>
      <w:numFmt w:val="japaneseCounting"/>
      <w:lvlText w:val="%1、"/>
      <w:lvlJc w:val="left"/>
      <w:pPr>
        <w:ind w:left="583" w:hanging="583"/>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8">
    <w:nsid w:val="4BB92A8A"/>
    <w:multiLevelType w:val="multilevel"/>
    <w:tmpl w:val="4BB92A8A"/>
    <w:lvl w:ilvl="0" w:tentative="0">
      <w:start w:val="1"/>
      <w:numFmt w:val="decimal"/>
      <w:lvlText w:val="%1)"/>
      <w:lvlJc w:val="left"/>
      <w:pPr>
        <w:tabs>
          <w:tab w:val="left" w:pos="780"/>
        </w:tabs>
        <w:ind w:left="780" w:hanging="420"/>
      </w:pPr>
      <w:rPr>
        <w:rFonts w:hint="eastAsia"/>
        <w:b w:val="0"/>
      </w:rPr>
    </w:lvl>
    <w:lvl w:ilvl="1" w:tentative="0">
      <w:start w:val="1"/>
      <w:numFmt w:val="lowerLetter"/>
      <w:lvlText w:val="%2)"/>
      <w:lvlJc w:val="left"/>
      <w:pPr>
        <w:tabs>
          <w:tab w:val="left" w:pos="840"/>
        </w:tabs>
        <w:ind w:left="840" w:hanging="420"/>
      </w:pPr>
      <w:rPr>
        <w:b w:val="0"/>
      </w:rPr>
    </w:lvl>
    <w:lvl w:ilvl="2" w:tentative="0">
      <w:start w:val="1"/>
      <w:numFmt w:val="chineseCountingThousand"/>
      <w:lvlText w:val="(%3)"/>
      <w:lvlJc w:val="left"/>
      <w:pPr>
        <w:tabs>
          <w:tab w:val="left" w:pos="600"/>
        </w:tabs>
        <w:ind w:left="600" w:hanging="420"/>
      </w:pPr>
      <w:rPr>
        <w:rFonts w:hint="eastAsia"/>
        <w:b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4CCF6BB0"/>
    <w:multiLevelType w:val="multilevel"/>
    <w:tmpl w:val="4CCF6BB0"/>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4E7D5079"/>
    <w:multiLevelType w:val="multilevel"/>
    <w:tmpl w:val="4E7D5079"/>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5A0CDBB5"/>
    <w:multiLevelType w:val="multilevel"/>
    <w:tmpl w:val="5A0CDBB5"/>
    <w:lvl w:ilvl="0" w:tentative="0">
      <w:start w:val="1"/>
      <w:numFmt w:val="decimal"/>
      <w:pStyle w:val="285"/>
      <w:suff w:val="nothing"/>
      <w:lvlText w:val="图%1     "/>
      <w:lvlJc w:val="center"/>
      <w:pPr>
        <w:ind w:left="0" w:firstLine="0"/>
      </w:pPr>
      <w:rPr>
        <w:rFonts w:hint="eastAsia" w:cs="Times New Roman"/>
        <w:color w:val="auto"/>
      </w:rPr>
    </w:lvl>
    <w:lvl w:ilvl="1" w:tentative="0">
      <w:start w:val="1"/>
      <w:numFmt w:val="lowerLetter"/>
      <w:lvlText w:val="%2)"/>
      <w:lvlJc w:val="left"/>
      <w:pPr>
        <w:tabs>
          <w:tab w:val="left" w:pos="-200"/>
        </w:tabs>
        <w:ind w:left="840" w:hanging="420"/>
      </w:pPr>
      <w:rPr>
        <w:rFonts w:hint="eastAsia" w:cs="Times New Roman"/>
      </w:rPr>
    </w:lvl>
    <w:lvl w:ilvl="2" w:tentative="0">
      <w:start w:val="1"/>
      <w:numFmt w:val="lowerRoman"/>
      <w:lvlText w:val="%3."/>
      <w:lvlJc w:val="right"/>
      <w:pPr>
        <w:tabs>
          <w:tab w:val="left" w:pos="-200"/>
        </w:tabs>
        <w:ind w:left="1260" w:hanging="420"/>
      </w:pPr>
      <w:rPr>
        <w:rFonts w:hint="eastAsia" w:cs="Times New Roman"/>
      </w:rPr>
    </w:lvl>
    <w:lvl w:ilvl="3" w:tentative="0">
      <w:start w:val="1"/>
      <w:numFmt w:val="decimal"/>
      <w:lvlText w:val="%4."/>
      <w:lvlJc w:val="left"/>
      <w:pPr>
        <w:tabs>
          <w:tab w:val="left" w:pos="-200"/>
        </w:tabs>
        <w:ind w:left="1680" w:hanging="420"/>
      </w:pPr>
      <w:rPr>
        <w:rFonts w:hint="eastAsia" w:cs="Times New Roman"/>
      </w:rPr>
    </w:lvl>
    <w:lvl w:ilvl="4" w:tentative="0">
      <w:start w:val="1"/>
      <w:numFmt w:val="lowerLetter"/>
      <w:lvlText w:val="%5)"/>
      <w:lvlJc w:val="left"/>
      <w:pPr>
        <w:tabs>
          <w:tab w:val="left" w:pos="-200"/>
        </w:tabs>
        <w:ind w:left="2100" w:hanging="420"/>
      </w:pPr>
      <w:rPr>
        <w:rFonts w:hint="eastAsia" w:cs="Times New Roman"/>
      </w:rPr>
    </w:lvl>
    <w:lvl w:ilvl="5" w:tentative="0">
      <w:start w:val="1"/>
      <w:numFmt w:val="lowerRoman"/>
      <w:lvlText w:val="%6."/>
      <w:lvlJc w:val="right"/>
      <w:pPr>
        <w:tabs>
          <w:tab w:val="left" w:pos="-200"/>
        </w:tabs>
        <w:ind w:left="2520" w:hanging="420"/>
      </w:pPr>
      <w:rPr>
        <w:rFonts w:hint="eastAsia" w:cs="Times New Roman"/>
      </w:rPr>
    </w:lvl>
    <w:lvl w:ilvl="6" w:tentative="0">
      <w:start w:val="1"/>
      <w:numFmt w:val="decimal"/>
      <w:lvlText w:val="%7."/>
      <w:lvlJc w:val="left"/>
      <w:pPr>
        <w:tabs>
          <w:tab w:val="left" w:pos="-200"/>
        </w:tabs>
        <w:ind w:left="2940" w:hanging="420"/>
      </w:pPr>
      <w:rPr>
        <w:rFonts w:hint="eastAsia" w:cs="Times New Roman"/>
      </w:rPr>
    </w:lvl>
    <w:lvl w:ilvl="7" w:tentative="0">
      <w:start w:val="1"/>
      <w:numFmt w:val="decimal"/>
      <w:lvlText w:val="图%8. "/>
      <w:lvlJc w:val="left"/>
      <w:pPr>
        <w:tabs>
          <w:tab w:val="left" w:pos="2940"/>
        </w:tabs>
        <w:ind w:left="2940" w:firstLine="0"/>
      </w:pPr>
      <w:rPr>
        <w:rFonts w:hint="default"/>
      </w:rPr>
    </w:lvl>
    <w:lvl w:ilvl="8" w:tentative="0">
      <w:start w:val="1"/>
      <w:numFmt w:val="lowerRoman"/>
      <w:lvlText w:val="%9."/>
      <w:lvlJc w:val="right"/>
      <w:pPr>
        <w:tabs>
          <w:tab w:val="left" w:pos="-200"/>
        </w:tabs>
        <w:ind w:left="3780" w:hanging="420"/>
      </w:pPr>
      <w:rPr>
        <w:rFonts w:hint="eastAsia" w:cs="Times New Roman"/>
      </w:rPr>
    </w:lvl>
  </w:abstractNum>
  <w:abstractNum w:abstractNumId="22">
    <w:nsid w:val="72516D77"/>
    <w:multiLevelType w:val="multilevel"/>
    <w:tmpl w:val="72516D77"/>
    <w:lvl w:ilvl="0" w:tentative="0">
      <w:start w:val="1"/>
      <w:numFmt w:val="decimal"/>
      <w:lvlText w:val="%1"/>
      <w:lvlJc w:val="center"/>
      <w:pPr>
        <w:ind w:left="227" w:hanging="29"/>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CE402D8"/>
    <w:multiLevelType w:val="multilevel"/>
    <w:tmpl w:val="7CE402D8"/>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4"/>
  </w:num>
  <w:num w:numId="2">
    <w:abstractNumId w:val="21"/>
  </w:num>
  <w:num w:numId="3">
    <w:abstractNumId w:val="16"/>
  </w:num>
  <w:num w:numId="4">
    <w:abstractNumId w:val="22"/>
  </w:num>
  <w:num w:numId="5">
    <w:abstractNumId w:val="13"/>
  </w:num>
  <w:num w:numId="6">
    <w:abstractNumId w:val="0"/>
  </w:num>
  <w:num w:numId="7">
    <w:abstractNumId w:val="1"/>
  </w:num>
  <w:num w:numId="8">
    <w:abstractNumId w:val="3"/>
  </w:num>
  <w:num w:numId="9">
    <w:abstractNumId w:val="7"/>
  </w:num>
  <w:num w:numId="10">
    <w:abstractNumId w:val="15"/>
  </w:num>
  <w:num w:numId="11">
    <w:abstractNumId w:val="5"/>
  </w:num>
  <w:num w:numId="12">
    <w:abstractNumId w:val="2"/>
  </w:num>
  <w:num w:numId="13">
    <w:abstractNumId w:val="12"/>
  </w:num>
  <w:num w:numId="14">
    <w:abstractNumId w:val="19"/>
  </w:num>
  <w:num w:numId="15">
    <w:abstractNumId w:val="4"/>
  </w:num>
  <w:num w:numId="16">
    <w:abstractNumId w:val="23"/>
  </w:num>
  <w:num w:numId="17">
    <w:abstractNumId w:val="8"/>
  </w:num>
  <w:num w:numId="18">
    <w:abstractNumId w:val="20"/>
  </w:num>
  <w:num w:numId="19">
    <w:abstractNumId w:val="10"/>
  </w:num>
  <w:num w:numId="20">
    <w:abstractNumId w:val="11"/>
  </w:num>
  <w:num w:numId="21">
    <w:abstractNumId w:val="17"/>
  </w:num>
  <w:num w:numId="22">
    <w:abstractNumId w:val="9"/>
  </w:num>
  <w:num w:numId="23">
    <w:abstractNumId w:val="18"/>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dit="trackedChanges"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jYmE2ZWMyY2E2YmFiOWQzODk1OWM1NWYwZGRmNTYifQ=="/>
  </w:docVars>
  <w:rsids>
    <w:rsidRoot w:val="00172A27"/>
    <w:rsid w:val="000006F7"/>
    <w:rsid w:val="00000925"/>
    <w:rsid w:val="00001124"/>
    <w:rsid w:val="000016B9"/>
    <w:rsid w:val="000024DA"/>
    <w:rsid w:val="00003143"/>
    <w:rsid w:val="000042BF"/>
    <w:rsid w:val="0000439E"/>
    <w:rsid w:val="000049A1"/>
    <w:rsid w:val="00005104"/>
    <w:rsid w:val="00005D60"/>
    <w:rsid w:val="00006724"/>
    <w:rsid w:val="00006B06"/>
    <w:rsid w:val="000070F5"/>
    <w:rsid w:val="00007145"/>
    <w:rsid w:val="0000724D"/>
    <w:rsid w:val="00007289"/>
    <w:rsid w:val="000076BE"/>
    <w:rsid w:val="00007A5D"/>
    <w:rsid w:val="00007A6A"/>
    <w:rsid w:val="00007C6F"/>
    <w:rsid w:val="00007F7C"/>
    <w:rsid w:val="0001030D"/>
    <w:rsid w:val="00010611"/>
    <w:rsid w:val="000107C7"/>
    <w:rsid w:val="00010969"/>
    <w:rsid w:val="00011766"/>
    <w:rsid w:val="00011798"/>
    <w:rsid w:val="00012D56"/>
    <w:rsid w:val="00013B2D"/>
    <w:rsid w:val="00013E4D"/>
    <w:rsid w:val="00013E71"/>
    <w:rsid w:val="000144F7"/>
    <w:rsid w:val="000146E5"/>
    <w:rsid w:val="000148F4"/>
    <w:rsid w:val="00015252"/>
    <w:rsid w:val="000153CE"/>
    <w:rsid w:val="00015D0C"/>
    <w:rsid w:val="00017262"/>
    <w:rsid w:val="00020E30"/>
    <w:rsid w:val="00021819"/>
    <w:rsid w:val="00022303"/>
    <w:rsid w:val="000224E6"/>
    <w:rsid w:val="00022598"/>
    <w:rsid w:val="0002259C"/>
    <w:rsid w:val="00022796"/>
    <w:rsid w:val="00022AA6"/>
    <w:rsid w:val="00022C7E"/>
    <w:rsid w:val="00023C28"/>
    <w:rsid w:val="00024432"/>
    <w:rsid w:val="0002477A"/>
    <w:rsid w:val="00024F37"/>
    <w:rsid w:val="0002526B"/>
    <w:rsid w:val="00025316"/>
    <w:rsid w:val="00026153"/>
    <w:rsid w:val="00026B79"/>
    <w:rsid w:val="00027336"/>
    <w:rsid w:val="00030DCE"/>
    <w:rsid w:val="00032F0C"/>
    <w:rsid w:val="0003322F"/>
    <w:rsid w:val="00034EC3"/>
    <w:rsid w:val="00035934"/>
    <w:rsid w:val="0003594B"/>
    <w:rsid w:val="00035984"/>
    <w:rsid w:val="00037DC2"/>
    <w:rsid w:val="000405BD"/>
    <w:rsid w:val="00040B81"/>
    <w:rsid w:val="0004202D"/>
    <w:rsid w:val="0004330E"/>
    <w:rsid w:val="00043521"/>
    <w:rsid w:val="00043AFE"/>
    <w:rsid w:val="00043D10"/>
    <w:rsid w:val="00043E85"/>
    <w:rsid w:val="000440E8"/>
    <w:rsid w:val="00044434"/>
    <w:rsid w:val="00044C3D"/>
    <w:rsid w:val="00045734"/>
    <w:rsid w:val="00045735"/>
    <w:rsid w:val="00045B72"/>
    <w:rsid w:val="00045C68"/>
    <w:rsid w:val="00046908"/>
    <w:rsid w:val="00046CB1"/>
    <w:rsid w:val="00047CF6"/>
    <w:rsid w:val="00047E2B"/>
    <w:rsid w:val="000500D2"/>
    <w:rsid w:val="000507E7"/>
    <w:rsid w:val="00051196"/>
    <w:rsid w:val="00051524"/>
    <w:rsid w:val="00051991"/>
    <w:rsid w:val="00051C45"/>
    <w:rsid w:val="0005242B"/>
    <w:rsid w:val="00052673"/>
    <w:rsid w:val="00052B69"/>
    <w:rsid w:val="00053824"/>
    <w:rsid w:val="00053829"/>
    <w:rsid w:val="0005406B"/>
    <w:rsid w:val="0005433D"/>
    <w:rsid w:val="00055022"/>
    <w:rsid w:val="000550C8"/>
    <w:rsid w:val="0005568D"/>
    <w:rsid w:val="00056AC0"/>
    <w:rsid w:val="0005737E"/>
    <w:rsid w:val="00057B1F"/>
    <w:rsid w:val="000603FB"/>
    <w:rsid w:val="00060E2D"/>
    <w:rsid w:val="00061EEE"/>
    <w:rsid w:val="000643A1"/>
    <w:rsid w:val="00064D68"/>
    <w:rsid w:val="0006506A"/>
    <w:rsid w:val="00065C98"/>
    <w:rsid w:val="000668DD"/>
    <w:rsid w:val="00066BDD"/>
    <w:rsid w:val="00067019"/>
    <w:rsid w:val="000679DA"/>
    <w:rsid w:val="00067BE3"/>
    <w:rsid w:val="00067C95"/>
    <w:rsid w:val="00071325"/>
    <w:rsid w:val="0007170A"/>
    <w:rsid w:val="000718F4"/>
    <w:rsid w:val="0007191D"/>
    <w:rsid w:val="00072730"/>
    <w:rsid w:val="00073939"/>
    <w:rsid w:val="00074563"/>
    <w:rsid w:val="0007498B"/>
    <w:rsid w:val="00074BB1"/>
    <w:rsid w:val="00074E9C"/>
    <w:rsid w:val="0007533B"/>
    <w:rsid w:val="000754C3"/>
    <w:rsid w:val="00076600"/>
    <w:rsid w:val="00076DCE"/>
    <w:rsid w:val="000771D9"/>
    <w:rsid w:val="00080787"/>
    <w:rsid w:val="0008093E"/>
    <w:rsid w:val="00081DDB"/>
    <w:rsid w:val="00081FF1"/>
    <w:rsid w:val="00082B63"/>
    <w:rsid w:val="00082D2A"/>
    <w:rsid w:val="000835C9"/>
    <w:rsid w:val="00083887"/>
    <w:rsid w:val="00083F53"/>
    <w:rsid w:val="0008437B"/>
    <w:rsid w:val="0008455B"/>
    <w:rsid w:val="0008487D"/>
    <w:rsid w:val="00084A22"/>
    <w:rsid w:val="0008788F"/>
    <w:rsid w:val="00090B70"/>
    <w:rsid w:val="00090F21"/>
    <w:rsid w:val="00091ECB"/>
    <w:rsid w:val="000920E5"/>
    <w:rsid w:val="00092572"/>
    <w:rsid w:val="00092BDB"/>
    <w:rsid w:val="00092D47"/>
    <w:rsid w:val="00093061"/>
    <w:rsid w:val="000931E3"/>
    <w:rsid w:val="0009363F"/>
    <w:rsid w:val="000937CA"/>
    <w:rsid w:val="00094D9C"/>
    <w:rsid w:val="00095AD0"/>
    <w:rsid w:val="00096370"/>
    <w:rsid w:val="000963A9"/>
    <w:rsid w:val="00096B89"/>
    <w:rsid w:val="00097075"/>
    <w:rsid w:val="0009731A"/>
    <w:rsid w:val="000A0A70"/>
    <w:rsid w:val="000A125C"/>
    <w:rsid w:val="000A1F3F"/>
    <w:rsid w:val="000A22C6"/>
    <w:rsid w:val="000A2CE0"/>
    <w:rsid w:val="000A3355"/>
    <w:rsid w:val="000A3AD6"/>
    <w:rsid w:val="000A3B32"/>
    <w:rsid w:val="000A4CC3"/>
    <w:rsid w:val="000A4D85"/>
    <w:rsid w:val="000A51C7"/>
    <w:rsid w:val="000A5608"/>
    <w:rsid w:val="000A5A53"/>
    <w:rsid w:val="000A6148"/>
    <w:rsid w:val="000A61C1"/>
    <w:rsid w:val="000A6350"/>
    <w:rsid w:val="000A63F8"/>
    <w:rsid w:val="000A7537"/>
    <w:rsid w:val="000A7CB9"/>
    <w:rsid w:val="000B08C8"/>
    <w:rsid w:val="000B1748"/>
    <w:rsid w:val="000B1989"/>
    <w:rsid w:val="000B22E1"/>
    <w:rsid w:val="000B30F8"/>
    <w:rsid w:val="000B35FA"/>
    <w:rsid w:val="000B3A52"/>
    <w:rsid w:val="000B3C01"/>
    <w:rsid w:val="000B40A2"/>
    <w:rsid w:val="000B48DC"/>
    <w:rsid w:val="000B5103"/>
    <w:rsid w:val="000B51E2"/>
    <w:rsid w:val="000B52AE"/>
    <w:rsid w:val="000B561F"/>
    <w:rsid w:val="000B58A7"/>
    <w:rsid w:val="000B6154"/>
    <w:rsid w:val="000B692F"/>
    <w:rsid w:val="000B6D79"/>
    <w:rsid w:val="000C011B"/>
    <w:rsid w:val="000C16F2"/>
    <w:rsid w:val="000C2AE8"/>
    <w:rsid w:val="000C3B9F"/>
    <w:rsid w:val="000C3CB1"/>
    <w:rsid w:val="000C48E4"/>
    <w:rsid w:val="000C49A8"/>
    <w:rsid w:val="000C4A9A"/>
    <w:rsid w:val="000C4B4C"/>
    <w:rsid w:val="000C4F32"/>
    <w:rsid w:val="000C507D"/>
    <w:rsid w:val="000C5357"/>
    <w:rsid w:val="000C5540"/>
    <w:rsid w:val="000C5E99"/>
    <w:rsid w:val="000C68F6"/>
    <w:rsid w:val="000C6BA3"/>
    <w:rsid w:val="000C764C"/>
    <w:rsid w:val="000C777C"/>
    <w:rsid w:val="000C7DE6"/>
    <w:rsid w:val="000D01A6"/>
    <w:rsid w:val="000D05F0"/>
    <w:rsid w:val="000D0BB6"/>
    <w:rsid w:val="000D0FE5"/>
    <w:rsid w:val="000D1845"/>
    <w:rsid w:val="000D2173"/>
    <w:rsid w:val="000D2D12"/>
    <w:rsid w:val="000D4B96"/>
    <w:rsid w:val="000D55C1"/>
    <w:rsid w:val="000D580A"/>
    <w:rsid w:val="000D5DA2"/>
    <w:rsid w:val="000D6CD7"/>
    <w:rsid w:val="000D72D7"/>
    <w:rsid w:val="000E062A"/>
    <w:rsid w:val="000E1CEF"/>
    <w:rsid w:val="000E2314"/>
    <w:rsid w:val="000E2BC2"/>
    <w:rsid w:val="000E33C3"/>
    <w:rsid w:val="000E3AED"/>
    <w:rsid w:val="000E3CC7"/>
    <w:rsid w:val="000E49DF"/>
    <w:rsid w:val="000E50C0"/>
    <w:rsid w:val="000E5D49"/>
    <w:rsid w:val="000E6A51"/>
    <w:rsid w:val="000E6CFC"/>
    <w:rsid w:val="000E71D3"/>
    <w:rsid w:val="000E7215"/>
    <w:rsid w:val="000E7550"/>
    <w:rsid w:val="000F01FD"/>
    <w:rsid w:val="000F06F3"/>
    <w:rsid w:val="000F07E4"/>
    <w:rsid w:val="000F1996"/>
    <w:rsid w:val="000F1A29"/>
    <w:rsid w:val="000F1ABB"/>
    <w:rsid w:val="000F1AD4"/>
    <w:rsid w:val="000F223A"/>
    <w:rsid w:val="000F239F"/>
    <w:rsid w:val="000F2C43"/>
    <w:rsid w:val="000F398A"/>
    <w:rsid w:val="000F4602"/>
    <w:rsid w:val="000F4B9B"/>
    <w:rsid w:val="000F4BD6"/>
    <w:rsid w:val="000F4F97"/>
    <w:rsid w:val="000F5188"/>
    <w:rsid w:val="000F5A69"/>
    <w:rsid w:val="000F5E68"/>
    <w:rsid w:val="000F7041"/>
    <w:rsid w:val="000F71AE"/>
    <w:rsid w:val="000F75A0"/>
    <w:rsid w:val="000F7F4C"/>
    <w:rsid w:val="00101064"/>
    <w:rsid w:val="0010137B"/>
    <w:rsid w:val="0010150D"/>
    <w:rsid w:val="00101546"/>
    <w:rsid w:val="00101E1A"/>
    <w:rsid w:val="00102CC3"/>
    <w:rsid w:val="00102F4C"/>
    <w:rsid w:val="0010333B"/>
    <w:rsid w:val="00103F01"/>
    <w:rsid w:val="00105130"/>
    <w:rsid w:val="001053F7"/>
    <w:rsid w:val="00105E7C"/>
    <w:rsid w:val="00106006"/>
    <w:rsid w:val="001063B4"/>
    <w:rsid w:val="00106415"/>
    <w:rsid w:val="00106446"/>
    <w:rsid w:val="001064BD"/>
    <w:rsid w:val="0010686B"/>
    <w:rsid w:val="0010703F"/>
    <w:rsid w:val="001077AD"/>
    <w:rsid w:val="0011012A"/>
    <w:rsid w:val="001103A7"/>
    <w:rsid w:val="0011050B"/>
    <w:rsid w:val="001106F2"/>
    <w:rsid w:val="00110F19"/>
    <w:rsid w:val="00111A7E"/>
    <w:rsid w:val="00111C99"/>
    <w:rsid w:val="00111E1A"/>
    <w:rsid w:val="00111F74"/>
    <w:rsid w:val="001120D8"/>
    <w:rsid w:val="001128B7"/>
    <w:rsid w:val="00112DD7"/>
    <w:rsid w:val="001130C9"/>
    <w:rsid w:val="00114DC3"/>
    <w:rsid w:val="00114E3F"/>
    <w:rsid w:val="00114FBB"/>
    <w:rsid w:val="001154B9"/>
    <w:rsid w:val="00121E3B"/>
    <w:rsid w:val="0012209B"/>
    <w:rsid w:val="00122B40"/>
    <w:rsid w:val="00122E27"/>
    <w:rsid w:val="00122F46"/>
    <w:rsid w:val="0012352F"/>
    <w:rsid w:val="0012389D"/>
    <w:rsid w:val="001257CB"/>
    <w:rsid w:val="001259D6"/>
    <w:rsid w:val="001259D7"/>
    <w:rsid w:val="001267A2"/>
    <w:rsid w:val="00126F89"/>
    <w:rsid w:val="001301C9"/>
    <w:rsid w:val="0013263D"/>
    <w:rsid w:val="00133ADB"/>
    <w:rsid w:val="001343E7"/>
    <w:rsid w:val="00134CD5"/>
    <w:rsid w:val="00135D56"/>
    <w:rsid w:val="001364F1"/>
    <w:rsid w:val="0013685F"/>
    <w:rsid w:val="0013724A"/>
    <w:rsid w:val="00140639"/>
    <w:rsid w:val="00140738"/>
    <w:rsid w:val="00141B23"/>
    <w:rsid w:val="00142F8B"/>
    <w:rsid w:val="001444D9"/>
    <w:rsid w:val="00144668"/>
    <w:rsid w:val="00144775"/>
    <w:rsid w:val="00145333"/>
    <w:rsid w:val="001454C1"/>
    <w:rsid w:val="00145860"/>
    <w:rsid w:val="00145B02"/>
    <w:rsid w:val="0014632D"/>
    <w:rsid w:val="0014655B"/>
    <w:rsid w:val="001466E2"/>
    <w:rsid w:val="00146823"/>
    <w:rsid w:val="00146922"/>
    <w:rsid w:val="00146926"/>
    <w:rsid w:val="00146D21"/>
    <w:rsid w:val="001474FF"/>
    <w:rsid w:val="0015071E"/>
    <w:rsid w:val="00150CFD"/>
    <w:rsid w:val="00151046"/>
    <w:rsid w:val="00151608"/>
    <w:rsid w:val="0015198D"/>
    <w:rsid w:val="00151D6E"/>
    <w:rsid w:val="00152058"/>
    <w:rsid w:val="00152AB8"/>
    <w:rsid w:val="00152DFF"/>
    <w:rsid w:val="00152F33"/>
    <w:rsid w:val="001535BD"/>
    <w:rsid w:val="0015381E"/>
    <w:rsid w:val="0015384C"/>
    <w:rsid w:val="00153BDB"/>
    <w:rsid w:val="0015497A"/>
    <w:rsid w:val="001549CF"/>
    <w:rsid w:val="00154C07"/>
    <w:rsid w:val="00156669"/>
    <w:rsid w:val="00156F6A"/>
    <w:rsid w:val="00157795"/>
    <w:rsid w:val="001578BA"/>
    <w:rsid w:val="00157F1D"/>
    <w:rsid w:val="0016034D"/>
    <w:rsid w:val="001604EC"/>
    <w:rsid w:val="00160744"/>
    <w:rsid w:val="0016075D"/>
    <w:rsid w:val="001608D0"/>
    <w:rsid w:val="00160E4D"/>
    <w:rsid w:val="00160F4C"/>
    <w:rsid w:val="001614F4"/>
    <w:rsid w:val="001615FD"/>
    <w:rsid w:val="001619BF"/>
    <w:rsid w:val="00161D28"/>
    <w:rsid w:val="00161DE1"/>
    <w:rsid w:val="00162414"/>
    <w:rsid w:val="0016314E"/>
    <w:rsid w:val="0016320B"/>
    <w:rsid w:val="00163D02"/>
    <w:rsid w:val="00163DC6"/>
    <w:rsid w:val="00163EA5"/>
    <w:rsid w:val="00164C51"/>
    <w:rsid w:val="00164F46"/>
    <w:rsid w:val="00165124"/>
    <w:rsid w:val="001662AE"/>
    <w:rsid w:val="00166C17"/>
    <w:rsid w:val="00167678"/>
    <w:rsid w:val="001705B5"/>
    <w:rsid w:val="001707CB"/>
    <w:rsid w:val="001708D3"/>
    <w:rsid w:val="00170982"/>
    <w:rsid w:val="00170D81"/>
    <w:rsid w:val="00170F38"/>
    <w:rsid w:val="00171F6F"/>
    <w:rsid w:val="0017210A"/>
    <w:rsid w:val="0017223E"/>
    <w:rsid w:val="00172A27"/>
    <w:rsid w:val="00172B78"/>
    <w:rsid w:val="00172D36"/>
    <w:rsid w:val="00172DE8"/>
    <w:rsid w:val="00173016"/>
    <w:rsid w:val="00173D31"/>
    <w:rsid w:val="00173F33"/>
    <w:rsid w:val="0017508B"/>
    <w:rsid w:val="00175BC6"/>
    <w:rsid w:val="00175C3B"/>
    <w:rsid w:val="001767B2"/>
    <w:rsid w:val="00177281"/>
    <w:rsid w:val="00177581"/>
    <w:rsid w:val="00177CD3"/>
    <w:rsid w:val="00177E25"/>
    <w:rsid w:val="001800E4"/>
    <w:rsid w:val="00181332"/>
    <w:rsid w:val="0018184A"/>
    <w:rsid w:val="00181F67"/>
    <w:rsid w:val="0018277E"/>
    <w:rsid w:val="00182930"/>
    <w:rsid w:val="001830F6"/>
    <w:rsid w:val="00183325"/>
    <w:rsid w:val="00183B11"/>
    <w:rsid w:val="00183E01"/>
    <w:rsid w:val="00184328"/>
    <w:rsid w:val="001845E5"/>
    <w:rsid w:val="00184737"/>
    <w:rsid w:val="00184A1E"/>
    <w:rsid w:val="00185299"/>
    <w:rsid w:val="00185B50"/>
    <w:rsid w:val="00185C38"/>
    <w:rsid w:val="00186C67"/>
    <w:rsid w:val="00186FA2"/>
    <w:rsid w:val="00186FB7"/>
    <w:rsid w:val="00191615"/>
    <w:rsid w:val="00191B1C"/>
    <w:rsid w:val="001920EA"/>
    <w:rsid w:val="00192829"/>
    <w:rsid w:val="00192CDC"/>
    <w:rsid w:val="00192E94"/>
    <w:rsid w:val="001935AC"/>
    <w:rsid w:val="0019374B"/>
    <w:rsid w:val="001938D6"/>
    <w:rsid w:val="00193D9E"/>
    <w:rsid w:val="00193E97"/>
    <w:rsid w:val="001941A3"/>
    <w:rsid w:val="00194AC4"/>
    <w:rsid w:val="001958E5"/>
    <w:rsid w:val="001958E7"/>
    <w:rsid w:val="00195F03"/>
    <w:rsid w:val="00196279"/>
    <w:rsid w:val="001964FD"/>
    <w:rsid w:val="0019698E"/>
    <w:rsid w:val="0019773D"/>
    <w:rsid w:val="0019781E"/>
    <w:rsid w:val="001A04C3"/>
    <w:rsid w:val="001A11C7"/>
    <w:rsid w:val="001A13E1"/>
    <w:rsid w:val="001A14E1"/>
    <w:rsid w:val="001A14FD"/>
    <w:rsid w:val="001A17DB"/>
    <w:rsid w:val="001A1A79"/>
    <w:rsid w:val="001A1BC8"/>
    <w:rsid w:val="001A24D7"/>
    <w:rsid w:val="001A2878"/>
    <w:rsid w:val="001A2B6E"/>
    <w:rsid w:val="001A3EEE"/>
    <w:rsid w:val="001A40E9"/>
    <w:rsid w:val="001A4B03"/>
    <w:rsid w:val="001A502F"/>
    <w:rsid w:val="001A5F30"/>
    <w:rsid w:val="001A6564"/>
    <w:rsid w:val="001A77DF"/>
    <w:rsid w:val="001A77FC"/>
    <w:rsid w:val="001A7F20"/>
    <w:rsid w:val="001B07F6"/>
    <w:rsid w:val="001B0E42"/>
    <w:rsid w:val="001B2780"/>
    <w:rsid w:val="001B31D0"/>
    <w:rsid w:val="001B35F1"/>
    <w:rsid w:val="001B3B2F"/>
    <w:rsid w:val="001B4108"/>
    <w:rsid w:val="001B418C"/>
    <w:rsid w:val="001B4B56"/>
    <w:rsid w:val="001B4CAD"/>
    <w:rsid w:val="001B583C"/>
    <w:rsid w:val="001B58F2"/>
    <w:rsid w:val="001B6B88"/>
    <w:rsid w:val="001B78B4"/>
    <w:rsid w:val="001B7C4B"/>
    <w:rsid w:val="001B7D08"/>
    <w:rsid w:val="001C075D"/>
    <w:rsid w:val="001C0783"/>
    <w:rsid w:val="001C0DF1"/>
    <w:rsid w:val="001C18BD"/>
    <w:rsid w:val="001C1901"/>
    <w:rsid w:val="001C2A3F"/>
    <w:rsid w:val="001C33FA"/>
    <w:rsid w:val="001C348A"/>
    <w:rsid w:val="001C374D"/>
    <w:rsid w:val="001C3B03"/>
    <w:rsid w:val="001C3F57"/>
    <w:rsid w:val="001C46DA"/>
    <w:rsid w:val="001C4A1E"/>
    <w:rsid w:val="001C549F"/>
    <w:rsid w:val="001C5789"/>
    <w:rsid w:val="001C5D7D"/>
    <w:rsid w:val="001C63F6"/>
    <w:rsid w:val="001C6DA0"/>
    <w:rsid w:val="001C6E60"/>
    <w:rsid w:val="001C6FF7"/>
    <w:rsid w:val="001C7476"/>
    <w:rsid w:val="001C7537"/>
    <w:rsid w:val="001C7750"/>
    <w:rsid w:val="001C7762"/>
    <w:rsid w:val="001C77C9"/>
    <w:rsid w:val="001D0021"/>
    <w:rsid w:val="001D02C9"/>
    <w:rsid w:val="001D1528"/>
    <w:rsid w:val="001D2D09"/>
    <w:rsid w:val="001D2DAF"/>
    <w:rsid w:val="001D3220"/>
    <w:rsid w:val="001D33EE"/>
    <w:rsid w:val="001D347A"/>
    <w:rsid w:val="001D3F50"/>
    <w:rsid w:val="001D4D13"/>
    <w:rsid w:val="001D4D9F"/>
    <w:rsid w:val="001D5572"/>
    <w:rsid w:val="001D5A6D"/>
    <w:rsid w:val="001D5D78"/>
    <w:rsid w:val="001D62A7"/>
    <w:rsid w:val="001D638D"/>
    <w:rsid w:val="001D71ED"/>
    <w:rsid w:val="001D7317"/>
    <w:rsid w:val="001E02BE"/>
    <w:rsid w:val="001E040C"/>
    <w:rsid w:val="001E0A20"/>
    <w:rsid w:val="001E14A7"/>
    <w:rsid w:val="001E208D"/>
    <w:rsid w:val="001E2CDF"/>
    <w:rsid w:val="001E2CE6"/>
    <w:rsid w:val="001E2F2B"/>
    <w:rsid w:val="001E3511"/>
    <w:rsid w:val="001E35A6"/>
    <w:rsid w:val="001E41FE"/>
    <w:rsid w:val="001E584B"/>
    <w:rsid w:val="001E66BC"/>
    <w:rsid w:val="001E76AE"/>
    <w:rsid w:val="001F0375"/>
    <w:rsid w:val="001F1795"/>
    <w:rsid w:val="001F1E93"/>
    <w:rsid w:val="001F2185"/>
    <w:rsid w:val="001F237D"/>
    <w:rsid w:val="001F33E2"/>
    <w:rsid w:val="001F403A"/>
    <w:rsid w:val="001F40D5"/>
    <w:rsid w:val="001F53EE"/>
    <w:rsid w:val="001F5C74"/>
    <w:rsid w:val="001F655D"/>
    <w:rsid w:val="001F68AE"/>
    <w:rsid w:val="001F6B2F"/>
    <w:rsid w:val="00200873"/>
    <w:rsid w:val="00200A1C"/>
    <w:rsid w:val="0020173A"/>
    <w:rsid w:val="00201EF8"/>
    <w:rsid w:val="002023C5"/>
    <w:rsid w:val="002023C8"/>
    <w:rsid w:val="00202584"/>
    <w:rsid w:val="0020327D"/>
    <w:rsid w:val="0020491E"/>
    <w:rsid w:val="00204CCB"/>
    <w:rsid w:val="00205096"/>
    <w:rsid w:val="0020542B"/>
    <w:rsid w:val="00206327"/>
    <w:rsid w:val="0020662C"/>
    <w:rsid w:val="002069F1"/>
    <w:rsid w:val="00206B3F"/>
    <w:rsid w:val="00206FE5"/>
    <w:rsid w:val="002079A9"/>
    <w:rsid w:val="00207DA7"/>
    <w:rsid w:val="00210089"/>
    <w:rsid w:val="00210139"/>
    <w:rsid w:val="00210C0C"/>
    <w:rsid w:val="00210D6F"/>
    <w:rsid w:val="002124E5"/>
    <w:rsid w:val="002125B4"/>
    <w:rsid w:val="002125CF"/>
    <w:rsid w:val="00213202"/>
    <w:rsid w:val="00213A6D"/>
    <w:rsid w:val="00213CBC"/>
    <w:rsid w:val="0021415F"/>
    <w:rsid w:val="002141E1"/>
    <w:rsid w:val="002142FA"/>
    <w:rsid w:val="00214C5A"/>
    <w:rsid w:val="00214D76"/>
    <w:rsid w:val="002164C3"/>
    <w:rsid w:val="00216545"/>
    <w:rsid w:val="00216F08"/>
    <w:rsid w:val="00217250"/>
    <w:rsid w:val="00217CE4"/>
    <w:rsid w:val="00217D10"/>
    <w:rsid w:val="00217E22"/>
    <w:rsid w:val="00220AEA"/>
    <w:rsid w:val="00220D1A"/>
    <w:rsid w:val="00221159"/>
    <w:rsid w:val="00221325"/>
    <w:rsid w:val="0022140B"/>
    <w:rsid w:val="0022164D"/>
    <w:rsid w:val="00221C25"/>
    <w:rsid w:val="00221D24"/>
    <w:rsid w:val="00221F41"/>
    <w:rsid w:val="0022297F"/>
    <w:rsid w:val="002231A9"/>
    <w:rsid w:val="002235CE"/>
    <w:rsid w:val="00223DC1"/>
    <w:rsid w:val="00224C9C"/>
    <w:rsid w:val="00225873"/>
    <w:rsid w:val="0022637E"/>
    <w:rsid w:val="00226629"/>
    <w:rsid w:val="00227BD3"/>
    <w:rsid w:val="00227D9E"/>
    <w:rsid w:val="00230D4F"/>
    <w:rsid w:val="00231911"/>
    <w:rsid w:val="00231D2E"/>
    <w:rsid w:val="00232999"/>
    <w:rsid w:val="002334CA"/>
    <w:rsid w:val="00233B87"/>
    <w:rsid w:val="002354CB"/>
    <w:rsid w:val="002355D1"/>
    <w:rsid w:val="00235704"/>
    <w:rsid w:val="002365FB"/>
    <w:rsid w:val="002369B1"/>
    <w:rsid w:val="00236BF4"/>
    <w:rsid w:val="00236D7C"/>
    <w:rsid w:val="00237061"/>
    <w:rsid w:val="00237263"/>
    <w:rsid w:val="002372A1"/>
    <w:rsid w:val="00237A13"/>
    <w:rsid w:val="00237E0B"/>
    <w:rsid w:val="00240BB5"/>
    <w:rsid w:val="00240DE1"/>
    <w:rsid w:val="00241C53"/>
    <w:rsid w:val="0024211C"/>
    <w:rsid w:val="002430D3"/>
    <w:rsid w:val="00243F0A"/>
    <w:rsid w:val="002440A6"/>
    <w:rsid w:val="00244987"/>
    <w:rsid w:val="002453A1"/>
    <w:rsid w:val="002458DB"/>
    <w:rsid w:val="0024666C"/>
    <w:rsid w:val="00250519"/>
    <w:rsid w:val="002506CA"/>
    <w:rsid w:val="00250E84"/>
    <w:rsid w:val="002519E6"/>
    <w:rsid w:val="002519F4"/>
    <w:rsid w:val="00251BE8"/>
    <w:rsid w:val="00251CCD"/>
    <w:rsid w:val="00251DE1"/>
    <w:rsid w:val="00252F9A"/>
    <w:rsid w:val="002535AF"/>
    <w:rsid w:val="0025375E"/>
    <w:rsid w:val="002537A3"/>
    <w:rsid w:val="0025464F"/>
    <w:rsid w:val="00254A6D"/>
    <w:rsid w:val="0025538D"/>
    <w:rsid w:val="00255670"/>
    <w:rsid w:val="00255CB9"/>
    <w:rsid w:val="00256D5A"/>
    <w:rsid w:val="0026027F"/>
    <w:rsid w:val="002603F3"/>
    <w:rsid w:val="002608E7"/>
    <w:rsid w:val="00260E7B"/>
    <w:rsid w:val="00260F3D"/>
    <w:rsid w:val="0026115D"/>
    <w:rsid w:val="0026130D"/>
    <w:rsid w:val="00262691"/>
    <w:rsid w:val="002633ED"/>
    <w:rsid w:val="002636A7"/>
    <w:rsid w:val="00263BF4"/>
    <w:rsid w:val="00263E9D"/>
    <w:rsid w:val="00263EEB"/>
    <w:rsid w:val="00264E01"/>
    <w:rsid w:val="00264F64"/>
    <w:rsid w:val="0026523A"/>
    <w:rsid w:val="002654D3"/>
    <w:rsid w:val="002656A0"/>
    <w:rsid w:val="0026576D"/>
    <w:rsid w:val="0026611D"/>
    <w:rsid w:val="0026696D"/>
    <w:rsid w:val="002669D6"/>
    <w:rsid w:val="0026754A"/>
    <w:rsid w:val="00267730"/>
    <w:rsid w:val="00270496"/>
    <w:rsid w:val="00271296"/>
    <w:rsid w:val="00271669"/>
    <w:rsid w:val="0027189D"/>
    <w:rsid w:val="00271A98"/>
    <w:rsid w:val="0027219A"/>
    <w:rsid w:val="00272922"/>
    <w:rsid w:val="00273695"/>
    <w:rsid w:val="00273F8A"/>
    <w:rsid w:val="00274C1E"/>
    <w:rsid w:val="0027538C"/>
    <w:rsid w:val="00275BB3"/>
    <w:rsid w:val="00276336"/>
    <w:rsid w:val="0027764A"/>
    <w:rsid w:val="00277D70"/>
    <w:rsid w:val="002807EB"/>
    <w:rsid w:val="00280E12"/>
    <w:rsid w:val="00281102"/>
    <w:rsid w:val="0028168C"/>
    <w:rsid w:val="0028196D"/>
    <w:rsid w:val="00281B78"/>
    <w:rsid w:val="00281D68"/>
    <w:rsid w:val="00281FED"/>
    <w:rsid w:val="002823C3"/>
    <w:rsid w:val="00282450"/>
    <w:rsid w:val="002827AE"/>
    <w:rsid w:val="00282BE6"/>
    <w:rsid w:val="00282CC8"/>
    <w:rsid w:val="00282DA8"/>
    <w:rsid w:val="0028317A"/>
    <w:rsid w:val="00283CEB"/>
    <w:rsid w:val="00283E72"/>
    <w:rsid w:val="0028424D"/>
    <w:rsid w:val="002842D9"/>
    <w:rsid w:val="00284427"/>
    <w:rsid w:val="00285126"/>
    <w:rsid w:val="00285F3D"/>
    <w:rsid w:val="00286869"/>
    <w:rsid w:val="00290232"/>
    <w:rsid w:val="002905E5"/>
    <w:rsid w:val="00290EE2"/>
    <w:rsid w:val="002914EB"/>
    <w:rsid w:val="00291679"/>
    <w:rsid w:val="00291C87"/>
    <w:rsid w:val="00292009"/>
    <w:rsid w:val="002926C3"/>
    <w:rsid w:val="00292B02"/>
    <w:rsid w:val="00293348"/>
    <w:rsid w:val="00293AE0"/>
    <w:rsid w:val="002941A9"/>
    <w:rsid w:val="0029444D"/>
    <w:rsid w:val="002947DC"/>
    <w:rsid w:val="0029531B"/>
    <w:rsid w:val="0029595F"/>
    <w:rsid w:val="00295BFE"/>
    <w:rsid w:val="0029685E"/>
    <w:rsid w:val="002972D6"/>
    <w:rsid w:val="00297889"/>
    <w:rsid w:val="00297A51"/>
    <w:rsid w:val="002A034A"/>
    <w:rsid w:val="002A0520"/>
    <w:rsid w:val="002A11AC"/>
    <w:rsid w:val="002A128C"/>
    <w:rsid w:val="002A1823"/>
    <w:rsid w:val="002A1F9B"/>
    <w:rsid w:val="002A24FF"/>
    <w:rsid w:val="002A2B76"/>
    <w:rsid w:val="002A360E"/>
    <w:rsid w:val="002A3872"/>
    <w:rsid w:val="002A402B"/>
    <w:rsid w:val="002A4AC9"/>
    <w:rsid w:val="002A4E2A"/>
    <w:rsid w:val="002A558A"/>
    <w:rsid w:val="002A5988"/>
    <w:rsid w:val="002A63D3"/>
    <w:rsid w:val="002A7344"/>
    <w:rsid w:val="002A77CE"/>
    <w:rsid w:val="002A7B3E"/>
    <w:rsid w:val="002B11B6"/>
    <w:rsid w:val="002B5CF4"/>
    <w:rsid w:val="002B5DD1"/>
    <w:rsid w:val="002B6170"/>
    <w:rsid w:val="002B679E"/>
    <w:rsid w:val="002C00D6"/>
    <w:rsid w:val="002C015C"/>
    <w:rsid w:val="002C06BD"/>
    <w:rsid w:val="002C0976"/>
    <w:rsid w:val="002C0CF4"/>
    <w:rsid w:val="002C0E18"/>
    <w:rsid w:val="002C1CB4"/>
    <w:rsid w:val="002C272D"/>
    <w:rsid w:val="002C2A47"/>
    <w:rsid w:val="002C2E03"/>
    <w:rsid w:val="002C2E10"/>
    <w:rsid w:val="002C3677"/>
    <w:rsid w:val="002C3C8D"/>
    <w:rsid w:val="002C3D13"/>
    <w:rsid w:val="002C482E"/>
    <w:rsid w:val="002C4D20"/>
    <w:rsid w:val="002C5761"/>
    <w:rsid w:val="002C6073"/>
    <w:rsid w:val="002C6124"/>
    <w:rsid w:val="002C6501"/>
    <w:rsid w:val="002C650F"/>
    <w:rsid w:val="002C6E55"/>
    <w:rsid w:val="002C743A"/>
    <w:rsid w:val="002C7A1D"/>
    <w:rsid w:val="002C7E5F"/>
    <w:rsid w:val="002D05DA"/>
    <w:rsid w:val="002D0D95"/>
    <w:rsid w:val="002D0F29"/>
    <w:rsid w:val="002D1041"/>
    <w:rsid w:val="002D10C4"/>
    <w:rsid w:val="002D15CD"/>
    <w:rsid w:val="002D175D"/>
    <w:rsid w:val="002D1892"/>
    <w:rsid w:val="002D1A1E"/>
    <w:rsid w:val="002D2043"/>
    <w:rsid w:val="002D2669"/>
    <w:rsid w:val="002D2B46"/>
    <w:rsid w:val="002D505B"/>
    <w:rsid w:val="002D50B6"/>
    <w:rsid w:val="002D5174"/>
    <w:rsid w:val="002D54EB"/>
    <w:rsid w:val="002D56FD"/>
    <w:rsid w:val="002D5E20"/>
    <w:rsid w:val="002D6857"/>
    <w:rsid w:val="002D7CD7"/>
    <w:rsid w:val="002E062C"/>
    <w:rsid w:val="002E2FC3"/>
    <w:rsid w:val="002E30D1"/>
    <w:rsid w:val="002E3275"/>
    <w:rsid w:val="002E3704"/>
    <w:rsid w:val="002E3BCB"/>
    <w:rsid w:val="002E3EEA"/>
    <w:rsid w:val="002E435F"/>
    <w:rsid w:val="002E455E"/>
    <w:rsid w:val="002E460F"/>
    <w:rsid w:val="002E5D50"/>
    <w:rsid w:val="002E5FE0"/>
    <w:rsid w:val="002E6184"/>
    <w:rsid w:val="002E64BA"/>
    <w:rsid w:val="002E68FC"/>
    <w:rsid w:val="002E6B67"/>
    <w:rsid w:val="002E71EE"/>
    <w:rsid w:val="002E75B7"/>
    <w:rsid w:val="002E77D8"/>
    <w:rsid w:val="002F1107"/>
    <w:rsid w:val="002F136F"/>
    <w:rsid w:val="002F16BC"/>
    <w:rsid w:val="002F17F7"/>
    <w:rsid w:val="002F210E"/>
    <w:rsid w:val="002F25CF"/>
    <w:rsid w:val="002F3982"/>
    <w:rsid w:val="002F47E5"/>
    <w:rsid w:val="002F4AA7"/>
    <w:rsid w:val="002F4F27"/>
    <w:rsid w:val="002F50F7"/>
    <w:rsid w:val="002F52F6"/>
    <w:rsid w:val="002F5A3F"/>
    <w:rsid w:val="002F5B25"/>
    <w:rsid w:val="002F6728"/>
    <w:rsid w:val="002F786B"/>
    <w:rsid w:val="003005C0"/>
    <w:rsid w:val="003006E6"/>
    <w:rsid w:val="0030121B"/>
    <w:rsid w:val="0030130E"/>
    <w:rsid w:val="0030198A"/>
    <w:rsid w:val="00301BE2"/>
    <w:rsid w:val="0030217E"/>
    <w:rsid w:val="00302C8B"/>
    <w:rsid w:val="00303903"/>
    <w:rsid w:val="0030463E"/>
    <w:rsid w:val="00304A4B"/>
    <w:rsid w:val="00304E9F"/>
    <w:rsid w:val="0030504E"/>
    <w:rsid w:val="003053AE"/>
    <w:rsid w:val="00305462"/>
    <w:rsid w:val="00305C5D"/>
    <w:rsid w:val="00305D2D"/>
    <w:rsid w:val="0030677A"/>
    <w:rsid w:val="00306B19"/>
    <w:rsid w:val="003076E4"/>
    <w:rsid w:val="00307A9C"/>
    <w:rsid w:val="00307AA9"/>
    <w:rsid w:val="00307B07"/>
    <w:rsid w:val="00310049"/>
    <w:rsid w:val="0031008C"/>
    <w:rsid w:val="0031028E"/>
    <w:rsid w:val="00310462"/>
    <w:rsid w:val="00310584"/>
    <w:rsid w:val="00310EC8"/>
    <w:rsid w:val="003111A8"/>
    <w:rsid w:val="00311C2B"/>
    <w:rsid w:val="00311DD0"/>
    <w:rsid w:val="0031314A"/>
    <w:rsid w:val="00313AD7"/>
    <w:rsid w:val="003143BB"/>
    <w:rsid w:val="00314F7E"/>
    <w:rsid w:val="0031567F"/>
    <w:rsid w:val="0031568C"/>
    <w:rsid w:val="003156C8"/>
    <w:rsid w:val="003159CD"/>
    <w:rsid w:val="003164B4"/>
    <w:rsid w:val="0031681D"/>
    <w:rsid w:val="00316852"/>
    <w:rsid w:val="003210EF"/>
    <w:rsid w:val="00321215"/>
    <w:rsid w:val="0032126C"/>
    <w:rsid w:val="00321670"/>
    <w:rsid w:val="00322335"/>
    <w:rsid w:val="00322A23"/>
    <w:rsid w:val="0032387B"/>
    <w:rsid w:val="00323B8E"/>
    <w:rsid w:val="003246A5"/>
    <w:rsid w:val="00324C17"/>
    <w:rsid w:val="003258DF"/>
    <w:rsid w:val="00325BEA"/>
    <w:rsid w:val="00326D81"/>
    <w:rsid w:val="003302C8"/>
    <w:rsid w:val="003311B9"/>
    <w:rsid w:val="00331CB9"/>
    <w:rsid w:val="00331F2E"/>
    <w:rsid w:val="00332216"/>
    <w:rsid w:val="00332822"/>
    <w:rsid w:val="00332958"/>
    <w:rsid w:val="00333302"/>
    <w:rsid w:val="003342B0"/>
    <w:rsid w:val="00334E7E"/>
    <w:rsid w:val="003353ED"/>
    <w:rsid w:val="00336B1C"/>
    <w:rsid w:val="003402A2"/>
    <w:rsid w:val="00340988"/>
    <w:rsid w:val="00340A01"/>
    <w:rsid w:val="00341585"/>
    <w:rsid w:val="00341B39"/>
    <w:rsid w:val="00342009"/>
    <w:rsid w:val="00342360"/>
    <w:rsid w:val="00342EAE"/>
    <w:rsid w:val="003430AE"/>
    <w:rsid w:val="0034312A"/>
    <w:rsid w:val="003434D8"/>
    <w:rsid w:val="003437D1"/>
    <w:rsid w:val="00343864"/>
    <w:rsid w:val="00343E11"/>
    <w:rsid w:val="003444A2"/>
    <w:rsid w:val="003444E9"/>
    <w:rsid w:val="00344D53"/>
    <w:rsid w:val="00344DB7"/>
    <w:rsid w:val="00344E68"/>
    <w:rsid w:val="0034543E"/>
    <w:rsid w:val="00346A91"/>
    <w:rsid w:val="003478AA"/>
    <w:rsid w:val="00347E5B"/>
    <w:rsid w:val="00350C84"/>
    <w:rsid w:val="003510D4"/>
    <w:rsid w:val="0035118E"/>
    <w:rsid w:val="003511B5"/>
    <w:rsid w:val="0035169F"/>
    <w:rsid w:val="003516FC"/>
    <w:rsid w:val="00351C7C"/>
    <w:rsid w:val="00352CF9"/>
    <w:rsid w:val="00352F45"/>
    <w:rsid w:val="003532F7"/>
    <w:rsid w:val="0035333B"/>
    <w:rsid w:val="003535C0"/>
    <w:rsid w:val="0035370F"/>
    <w:rsid w:val="00354921"/>
    <w:rsid w:val="00354CBC"/>
    <w:rsid w:val="003565B0"/>
    <w:rsid w:val="00356CBD"/>
    <w:rsid w:val="00356CE3"/>
    <w:rsid w:val="00356F08"/>
    <w:rsid w:val="00357CB2"/>
    <w:rsid w:val="00360711"/>
    <w:rsid w:val="003607B0"/>
    <w:rsid w:val="0036083E"/>
    <w:rsid w:val="0036153F"/>
    <w:rsid w:val="00362C31"/>
    <w:rsid w:val="00363128"/>
    <w:rsid w:val="003634D7"/>
    <w:rsid w:val="00363B38"/>
    <w:rsid w:val="00364A60"/>
    <w:rsid w:val="00364BCF"/>
    <w:rsid w:val="00365566"/>
    <w:rsid w:val="003658D8"/>
    <w:rsid w:val="0036599E"/>
    <w:rsid w:val="00365AE1"/>
    <w:rsid w:val="00365DC5"/>
    <w:rsid w:val="00365DEF"/>
    <w:rsid w:val="00366368"/>
    <w:rsid w:val="003667C0"/>
    <w:rsid w:val="00367005"/>
    <w:rsid w:val="003672D9"/>
    <w:rsid w:val="00370212"/>
    <w:rsid w:val="003703BA"/>
    <w:rsid w:val="00370D45"/>
    <w:rsid w:val="00370D46"/>
    <w:rsid w:val="00370E3E"/>
    <w:rsid w:val="00371214"/>
    <w:rsid w:val="0037148D"/>
    <w:rsid w:val="003715EE"/>
    <w:rsid w:val="00371907"/>
    <w:rsid w:val="0037282B"/>
    <w:rsid w:val="00373E21"/>
    <w:rsid w:val="00374061"/>
    <w:rsid w:val="00374A29"/>
    <w:rsid w:val="00374B15"/>
    <w:rsid w:val="003758B5"/>
    <w:rsid w:val="00375B94"/>
    <w:rsid w:val="00375C1D"/>
    <w:rsid w:val="0037600F"/>
    <w:rsid w:val="003762DB"/>
    <w:rsid w:val="00376724"/>
    <w:rsid w:val="00377419"/>
    <w:rsid w:val="003775DE"/>
    <w:rsid w:val="0037767F"/>
    <w:rsid w:val="0038058B"/>
    <w:rsid w:val="003805D8"/>
    <w:rsid w:val="003809EB"/>
    <w:rsid w:val="00380B59"/>
    <w:rsid w:val="003810AF"/>
    <w:rsid w:val="00381367"/>
    <w:rsid w:val="00381AEA"/>
    <w:rsid w:val="00381DE8"/>
    <w:rsid w:val="00382B6F"/>
    <w:rsid w:val="00383575"/>
    <w:rsid w:val="003845B1"/>
    <w:rsid w:val="003853AE"/>
    <w:rsid w:val="00385A92"/>
    <w:rsid w:val="00386216"/>
    <w:rsid w:val="00387565"/>
    <w:rsid w:val="00387D97"/>
    <w:rsid w:val="003909DF"/>
    <w:rsid w:val="0039118D"/>
    <w:rsid w:val="003912A8"/>
    <w:rsid w:val="003919F9"/>
    <w:rsid w:val="0039403B"/>
    <w:rsid w:val="003940B4"/>
    <w:rsid w:val="00394115"/>
    <w:rsid w:val="003942FA"/>
    <w:rsid w:val="00394875"/>
    <w:rsid w:val="0039513C"/>
    <w:rsid w:val="00395F84"/>
    <w:rsid w:val="003970EB"/>
    <w:rsid w:val="00397A3E"/>
    <w:rsid w:val="003A1DC8"/>
    <w:rsid w:val="003A26A9"/>
    <w:rsid w:val="003A26D1"/>
    <w:rsid w:val="003A39EB"/>
    <w:rsid w:val="003A4B44"/>
    <w:rsid w:val="003A4F78"/>
    <w:rsid w:val="003A523B"/>
    <w:rsid w:val="003A5625"/>
    <w:rsid w:val="003A5782"/>
    <w:rsid w:val="003A5A5E"/>
    <w:rsid w:val="003A5F2A"/>
    <w:rsid w:val="003A6312"/>
    <w:rsid w:val="003A664C"/>
    <w:rsid w:val="003A69B0"/>
    <w:rsid w:val="003A6F04"/>
    <w:rsid w:val="003A747C"/>
    <w:rsid w:val="003B0265"/>
    <w:rsid w:val="003B0736"/>
    <w:rsid w:val="003B08F3"/>
    <w:rsid w:val="003B0D14"/>
    <w:rsid w:val="003B1E8A"/>
    <w:rsid w:val="003B2189"/>
    <w:rsid w:val="003B263C"/>
    <w:rsid w:val="003B2AF3"/>
    <w:rsid w:val="003B2F42"/>
    <w:rsid w:val="003B3722"/>
    <w:rsid w:val="003B4079"/>
    <w:rsid w:val="003B4711"/>
    <w:rsid w:val="003B5E80"/>
    <w:rsid w:val="003B60A3"/>
    <w:rsid w:val="003B7E6C"/>
    <w:rsid w:val="003C00ED"/>
    <w:rsid w:val="003C1521"/>
    <w:rsid w:val="003C160B"/>
    <w:rsid w:val="003C26CD"/>
    <w:rsid w:val="003C288D"/>
    <w:rsid w:val="003C2FF5"/>
    <w:rsid w:val="003C3305"/>
    <w:rsid w:val="003C356A"/>
    <w:rsid w:val="003C3AEE"/>
    <w:rsid w:val="003C3B52"/>
    <w:rsid w:val="003C4074"/>
    <w:rsid w:val="003C58C0"/>
    <w:rsid w:val="003C5D5F"/>
    <w:rsid w:val="003C5E1B"/>
    <w:rsid w:val="003C5ED2"/>
    <w:rsid w:val="003C607A"/>
    <w:rsid w:val="003C62AD"/>
    <w:rsid w:val="003C656F"/>
    <w:rsid w:val="003C6ED0"/>
    <w:rsid w:val="003C6F0C"/>
    <w:rsid w:val="003C7231"/>
    <w:rsid w:val="003C7541"/>
    <w:rsid w:val="003D075B"/>
    <w:rsid w:val="003D10FA"/>
    <w:rsid w:val="003D11F8"/>
    <w:rsid w:val="003D13DD"/>
    <w:rsid w:val="003D1441"/>
    <w:rsid w:val="003D155E"/>
    <w:rsid w:val="003D1E5F"/>
    <w:rsid w:val="003D1E8F"/>
    <w:rsid w:val="003D21DB"/>
    <w:rsid w:val="003D35BB"/>
    <w:rsid w:val="003D3869"/>
    <w:rsid w:val="003D38B8"/>
    <w:rsid w:val="003D40BF"/>
    <w:rsid w:val="003D4658"/>
    <w:rsid w:val="003D465F"/>
    <w:rsid w:val="003D4B05"/>
    <w:rsid w:val="003D5203"/>
    <w:rsid w:val="003D5FB4"/>
    <w:rsid w:val="003D60D1"/>
    <w:rsid w:val="003D66F0"/>
    <w:rsid w:val="003D6A46"/>
    <w:rsid w:val="003D710D"/>
    <w:rsid w:val="003D7602"/>
    <w:rsid w:val="003E07A3"/>
    <w:rsid w:val="003E0E79"/>
    <w:rsid w:val="003E1697"/>
    <w:rsid w:val="003E1ADA"/>
    <w:rsid w:val="003E1C7A"/>
    <w:rsid w:val="003E35DA"/>
    <w:rsid w:val="003E3CF6"/>
    <w:rsid w:val="003E63EF"/>
    <w:rsid w:val="003E6D37"/>
    <w:rsid w:val="003E750F"/>
    <w:rsid w:val="003E7707"/>
    <w:rsid w:val="003E777E"/>
    <w:rsid w:val="003E785B"/>
    <w:rsid w:val="003E7B31"/>
    <w:rsid w:val="003F033A"/>
    <w:rsid w:val="003F0B9E"/>
    <w:rsid w:val="003F0CF5"/>
    <w:rsid w:val="003F1FFA"/>
    <w:rsid w:val="003F2150"/>
    <w:rsid w:val="003F219E"/>
    <w:rsid w:val="003F2F84"/>
    <w:rsid w:val="003F31AB"/>
    <w:rsid w:val="003F38A6"/>
    <w:rsid w:val="003F3D2E"/>
    <w:rsid w:val="003F4730"/>
    <w:rsid w:val="003F54A9"/>
    <w:rsid w:val="003F564C"/>
    <w:rsid w:val="003F6816"/>
    <w:rsid w:val="003F772C"/>
    <w:rsid w:val="003F7B5A"/>
    <w:rsid w:val="00401078"/>
    <w:rsid w:val="004017C2"/>
    <w:rsid w:val="00401C4C"/>
    <w:rsid w:val="004022AB"/>
    <w:rsid w:val="00402A9D"/>
    <w:rsid w:val="00403B11"/>
    <w:rsid w:val="00403B52"/>
    <w:rsid w:val="00403D68"/>
    <w:rsid w:val="00404AF3"/>
    <w:rsid w:val="00404E23"/>
    <w:rsid w:val="00405689"/>
    <w:rsid w:val="00406DD7"/>
    <w:rsid w:val="00406F7A"/>
    <w:rsid w:val="004075D6"/>
    <w:rsid w:val="00411550"/>
    <w:rsid w:val="004115E9"/>
    <w:rsid w:val="00411A55"/>
    <w:rsid w:val="00413D5D"/>
    <w:rsid w:val="00413D90"/>
    <w:rsid w:val="00414488"/>
    <w:rsid w:val="00414735"/>
    <w:rsid w:val="00414B29"/>
    <w:rsid w:val="004150DB"/>
    <w:rsid w:val="0041537D"/>
    <w:rsid w:val="004154E6"/>
    <w:rsid w:val="00415A94"/>
    <w:rsid w:val="004165C7"/>
    <w:rsid w:val="00416778"/>
    <w:rsid w:val="00416DF1"/>
    <w:rsid w:val="0041763B"/>
    <w:rsid w:val="00417DF5"/>
    <w:rsid w:val="00420442"/>
    <w:rsid w:val="004204F9"/>
    <w:rsid w:val="00420808"/>
    <w:rsid w:val="00420A28"/>
    <w:rsid w:val="00420FA7"/>
    <w:rsid w:val="00421233"/>
    <w:rsid w:val="00421DE4"/>
    <w:rsid w:val="004228CD"/>
    <w:rsid w:val="00422CDF"/>
    <w:rsid w:val="00422FCD"/>
    <w:rsid w:val="00423A40"/>
    <w:rsid w:val="00423BB5"/>
    <w:rsid w:val="00423C2C"/>
    <w:rsid w:val="004240A0"/>
    <w:rsid w:val="0042479B"/>
    <w:rsid w:val="00425228"/>
    <w:rsid w:val="00425570"/>
    <w:rsid w:val="00425607"/>
    <w:rsid w:val="00426DA5"/>
    <w:rsid w:val="00427398"/>
    <w:rsid w:val="00427C2B"/>
    <w:rsid w:val="00430AA4"/>
    <w:rsid w:val="00430BDF"/>
    <w:rsid w:val="004311F6"/>
    <w:rsid w:val="00431E7A"/>
    <w:rsid w:val="00431EB0"/>
    <w:rsid w:val="00431EE6"/>
    <w:rsid w:val="00432299"/>
    <w:rsid w:val="00432632"/>
    <w:rsid w:val="00433061"/>
    <w:rsid w:val="00433643"/>
    <w:rsid w:val="0043399D"/>
    <w:rsid w:val="0043445D"/>
    <w:rsid w:val="004347EB"/>
    <w:rsid w:val="004348D0"/>
    <w:rsid w:val="00435215"/>
    <w:rsid w:val="00435846"/>
    <w:rsid w:val="00435D43"/>
    <w:rsid w:val="004363AD"/>
    <w:rsid w:val="00436E82"/>
    <w:rsid w:val="00437068"/>
    <w:rsid w:val="00437B6D"/>
    <w:rsid w:val="00440904"/>
    <w:rsid w:val="00441471"/>
    <w:rsid w:val="00441822"/>
    <w:rsid w:val="0044296C"/>
    <w:rsid w:val="00442B6F"/>
    <w:rsid w:val="004433A1"/>
    <w:rsid w:val="004441EC"/>
    <w:rsid w:val="00444769"/>
    <w:rsid w:val="00444EE7"/>
    <w:rsid w:val="0044544C"/>
    <w:rsid w:val="0044585D"/>
    <w:rsid w:val="00446CD3"/>
    <w:rsid w:val="00446F3C"/>
    <w:rsid w:val="00446FCB"/>
    <w:rsid w:val="00447109"/>
    <w:rsid w:val="004473A9"/>
    <w:rsid w:val="00451C15"/>
    <w:rsid w:val="004523B6"/>
    <w:rsid w:val="0045254F"/>
    <w:rsid w:val="0045274E"/>
    <w:rsid w:val="00452BC8"/>
    <w:rsid w:val="004557A3"/>
    <w:rsid w:val="00455BDD"/>
    <w:rsid w:val="004561AA"/>
    <w:rsid w:val="0045712D"/>
    <w:rsid w:val="00460222"/>
    <w:rsid w:val="004607E9"/>
    <w:rsid w:val="00460FFA"/>
    <w:rsid w:val="00461354"/>
    <w:rsid w:val="00461CE4"/>
    <w:rsid w:val="004620CE"/>
    <w:rsid w:val="00462186"/>
    <w:rsid w:val="0046309F"/>
    <w:rsid w:val="00464351"/>
    <w:rsid w:val="0046498E"/>
    <w:rsid w:val="00465A71"/>
    <w:rsid w:val="0046731C"/>
    <w:rsid w:val="004673CC"/>
    <w:rsid w:val="00467BE1"/>
    <w:rsid w:val="0047058D"/>
    <w:rsid w:val="004707E5"/>
    <w:rsid w:val="00470FC5"/>
    <w:rsid w:val="00471212"/>
    <w:rsid w:val="00471C13"/>
    <w:rsid w:val="00471CC4"/>
    <w:rsid w:val="00471D1C"/>
    <w:rsid w:val="004724F2"/>
    <w:rsid w:val="00472B79"/>
    <w:rsid w:val="00472D8D"/>
    <w:rsid w:val="0047368D"/>
    <w:rsid w:val="004738FF"/>
    <w:rsid w:val="00473AB0"/>
    <w:rsid w:val="00473B82"/>
    <w:rsid w:val="00474DB4"/>
    <w:rsid w:val="00475A71"/>
    <w:rsid w:val="00476DEE"/>
    <w:rsid w:val="00477574"/>
    <w:rsid w:val="00477613"/>
    <w:rsid w:val="004778A3"/>
    <w:rsid w:val="004778BE"/>
    <w:rsid w:val="00477ABA"/>
    <w:rsid w:val="004800AF"/>
    <w:rsid w:val="0048024E"/>
    <w:rsid w:val="00481077"/>
    <w:rsid w:val="00481E28"/>
    <w:rsid w:val="004829B9"/>
    <w:rsid w:val="00484ACC"/>
    <w:rsid w:val="00485D9B"/>
    <w:rsid w:val="00485F42"/>
    <w:rsid w:val="00485F76"/>
    <w:rsid w:val="00487423"/>
    <w:rsid w:val="00487451"/>
    <w:rsid w:val="00490498"/>
    <w:rsid w:val="00490680"/>
    <w:rsid w:val="00490A15"/>
    <w:rsid w:val="00491176"/>
    <w:rsid w:val="00491A5B"/>
    <w:rsid w:val="0049212F"/>
    <w:rsid w:val="004926D2"/>
    <w:rsid w:val="004932DC"/>
    <w:rsid w:val="00493E69"/>
    <w:rsid w:val="00494DB7"/>
    <w:rsid w:val="004955DC"/>
    <w:rsid w:val="00495A11"/>
    <w:rsid w:val="00496423"/>
    <w:rsid w:val="004965BD"/>
    <w:rsid w:val="00496C60"/>
    <w:rsid w:val="00496CF3"/>
    <w:rsid w:val="004970BB"/>
    <w:rsid w:val="004A030B"/>
    <w:rsid w:val="004A0ED6"/>
    <w:rsid w:val="004A11F7"/>
    <w:rsid w:val="004A2767"/>
    <w:rsid w:val="004A2FAF"/>
    <w:rsid w:val="004A3359"/>
    <w:rsid w:val="004A3654"/>
    <w:rsid w:val="004A3ADF"/>
    <w:rsid w:val="004A40C4"/>
    <w:rsid w:val="004A4925"/>
    <w:rsid w:val="004A5485"/>
    <w:rsid w:val="004A5652"/>
    <w:rsid w:val="004A58B0"/>
    <w:rsid w:val="004A623A"/>
    <w:rsid w:val="004B0FFD"/>
    <w:rsid w:val="004B11DB"/>
    <w:rsid w:val="004B15D4"/>
    <w:rsid w:val="004B17FF"/>
    <w:rsid w:val="004B1E6E"/>
    <w:rsid w:val="004B1ECD"/>
    <w:rsid w:val="004B1F09"/>
    <w:rsid w:val="004B5CDD"/>
    <w:rsid w:val="004B6E55"/>
    <w:rsid w:val="004B7C8C"/>
    <w:rsid w:val="004B7EAA"/>
    <w:rsid w:val="004B7F66"/>
    <w:rsid w:val="004C05DB"/>
    <w:rsid w:val="004C075A"/>
    <w:rsid w:val="004C1568"/>
    <w:rsid w:val="004C1B09"/>
    <w:rsid w:val="004C23B9"/>
    <w:rsid w:val="004C240C"/>
    <w:rsid w:val="004C2678"/>
    <w:rsid w:val="004C34A8"/>
    <w:rsid w:val="004C352D"/>
    <w:rsid w:val="004C3594"/>
    <w:rsid w:val="004C5284"/>
    <w:rsid w:val="004C559A"/>
    <w:rsid w:val="004C5B07"/>
    <w:rsid w:val="004C6008"/>
    <w:rsid w:val="004C65B5"/>
    <w:rsid w:val="004C671F"/>
    <w:rsid w:val="004C73C3"/>
    <w:rsid w:val="004C7E2B"/>
    <w:rsid w:val="004C7EF2"/>
    <w:rsid w:val="004D1340"/>
    <w:rsid w:val="004D135F"/>
    <w:rsid w:val="004D17E3"/>
    <w:rsid w:val="004D1B08"/>
    <w:rsid w:val="004D25BF"/>
    <w:rsid w:val="004D2BE8"/>
    <w:rsid w:val="004D36E9"/>
    <w:rsid w:val="004D3704"/>
    <w:rsid w:val="004D3D5A"/>
    <w:rsid w:val="004D435B"/>
    <w:rsid w:val="004D50D9"/>
    <w:rsid w:val="004D5145"/>
    <w:rsid w:val="004D5194"/>
    <w:rsid w:val="004D5509"/>
    <w:rsid w:val="004D5D87"/>
    <w:rsid w:val="004D62CB"/>
    <w:rsid w:val="004D698A"/>
    <w:rsid w:val="004D6BF6"/>
    <w:rsid w:val="004D6EA4"/>
    <w:rsid w:val="004D718E"/>
    <w:rsid w:val="004D7453"/>
    <w:rsid w:val="004D74AF"/>
    <w:rsid w:val="004D77AB"/>
    <w:rsid w:val="004D7A3C"/>
    <w:rsid w:val="004E07A8"/>
    <w:rsid w:val="004E10F8"/>
    <w:rsid w:val="004E262B"/>
    <w:rsid w:val="004E2C63"/>
    <w:rsid w:val="004E3113"/>
    <w:rsid w:val="004E5175"/>
    <w:rsid w:val="004E62D0"/>
    <w:rsid w:val="004E67A3"/>
    <w:rsid w:val="004E71EC"/>
    <w:rsid w:val="004E72A8"/>
    <w:rsid w:val="004E77DB"/>
    <w:rsid w:val="004E7CAB"/>
    <w:rsid w:val="004E7DF4"/>
    <w:rsid w:val="004F060C"/>
    <w:rsid w:val="004F0B1A"/>
    <w:rsid w:val="004F181C"/>
    <w:rsid w:val="004F1F3B"/>
    <w:rsid w:val="004F2408"/>
    <w:rsid w:val="004F2A17"/>
    <w:rsid w:val="004F2C74"/>
    <w:rsid w:val="004F33E4"/>
    <w:rsid w:val="004F48B0"/>
    <w:rsid w:val="004F4E2E"/>
    <w:rsid w:val="004F4EBE"/>
    <w:rsid w:val="004F4F93"/>
    <w:rsid w:val="004F50F3"/>
    <w:rsid w:val="004F5132"/>
    <w:rsid w:val="004F5A6A"/>
    <w:rsid w:val="004F6776"/>
    <w:rsid w:val="004F6D2E"/>
    <w:rsid w:val="004F71F8"/>
    <w:rsid w:val="004F7404"/>
    <w:rsid w:val="004F7458"/>
    <w:rsid w:val="004F767E"/>
    <w:rsid w:val="005009DB"/>
    <w:rsid w:val="00500E72"/>
    <w:rsid w:val="00501A1A"/>
    <w:rsid w:val="00503434"/>
    <w:rsid w:val="0050376A"/>
    <w:rsid w:val="00503B01"/>
    <w:rsid w:val="00503B6A"/>
    <w:rsid w:val="00504176"/>
    <w:rsid w:val="00504B06"/>
    <w:rsid w:val="00505029"/>
    <w:rsid w:val="005050E5"/>
    <w:rsid w:val="00505252"/>
    <w:rsid w:val="0050579C"/>
    <w:rsid w:val="00505EB3"/>
    <w:rsid w:val="0050640C"/>
    <w:rsid w:val="00506CCC"/>
    <w:rsid w:val="00507F8B"/>
    <w:rsid w:val="0051029A"/>
    <w:rsid w:val="00510635"/>
    <w:rsid w:val="00511038"/>
    <w:rsid w:val="0051240A"/>
    <w:rsid w:val="00512B8D"/>
    <w:rsid w:val="00512DDB"/>
    <w:rsid w:val="00512EAA"/>
    <w:rsid w:val="00512EFE"/>
    <w:rsid w:val="00513397"/>
    <w:rsid w:val="005134F9"/>
    <w:rsid w:val="00513922"/>
    <w:rsid w:val="00513AA0"/>
    <w:rsid w:val="00513D7B"/>
    <w:rsid w:val="00514840"/>
    <w:rsid w:val="00515BD8"/>
    <w:rsid w:val="00516716"/>
    <w:rsid w:val="00516B67"/>
    <w:rsid w:val="0051723E"/>
    <w:rsid w:val="005172EC"/>
    <w:rsid w:val="005175C5"/>
    <w:rsid w:val="00517681"/>
    <w:rsid w:val="00517CC8"/>
    <w:rsid w:val="0052123A"/>
    <w:rsid w:val="005212B8"/>
    <w:rsid w:val="0052165F"/>
    <w:rsid w:val="005226A7"/>
    <w:rsid w:val="00523201"/>
    <w:rsid w:val="00524492"/>
    <w:rsid w:val="0052451E"/>
    <w:rsid w:val="0052523A"/>
    <w:rsid w:val="005267EE"/>
    <w:rsid w:val="005269B1"/>
    <w:rsid w:val="00527C3B"/>
    <w:rsid w:val="00527CDA"/>
    <w:rsid w:val="00527D42"/>
    <w:rsid w:val="00530863"/>
    <w:rsid w:val="00530D16"/>
    <w:rsid w:val="005315AF"/>
    <w:rsid w:val="00531C4B"/>
    <w:rsid w:val="00532095"/>
    <w:rsid w:val="00532849"/>
    <w:rsid w:val="00532AFC"/>
    <w:rsid w:val="00534288"/>
    <w:rsid w:val="005347EC"/>
    <w:rsid w:val="00534B4A"/>
    <w:rsid w:val="0053514A"/>
    <w:rsid w:val="005356EC"/>
    <w:rsid w:val="00535725"/>
    <w:rsid w:val="00536A03"/>
    <w:rsid w:val="00536A30"/>
    <w:rsid w:val="00536A59"/>
    <w:rsid w:val="005377B1"/>
    <w:rsid w:val="00541483"/>
    <w:rsid w:val="00541F15"/>
    <w:rsid w:val="00542C4C"/>
    <w:rsid w:val="00542C9A"/>
    <w:rsid w:val="00542D3B"/>
    <w:rsid w:val="00543BD5"/>
    <w:rsid w:val="00543E5D"/>
    <w:rsid w:val="00544552"/>
    <w:rsid w:val="00544A0B"/>
    <w:rsid w:val="00544D1B"/>
    <w:rsid w:val="00546512"/>
    <w:rsid w:val="005467C7"/>
    <w:rsid w:val="005468C9"/>
    <w:rsid w:val="00546915"/>
    <w:rsid w:val="00546B91"/>
    <w:rsid w:val="00546C98"/>
    <w:rsid w:val="00547136"/>
    <w:rsid w:val="0054719D"/>
    <w:rsid w:val="0054731B"/>
    <w:rsid w:val="00547AAB"/>
    <w:rsid w:val="00547E5F"/>
    <w:rsid w:val="0055022E"/>
    <w:rsid w:val="0055070A"/>
    <w:rsid w:val="005518DE"/>
    <w:rsid w:val="00551A9B"/>
    <w:rsid w:val="00551BC2"/>
    <w:rsid w:val="00552EBD"/>
    <w:rsid w:val="0055321F"/>
    <w:rsid w:val="0055337C"/>
    <w:rsid w:val="005538B1"/>
    <w:rsid w:val="00553C48"/>
    <w:rsid w:val="00554062"/>
    <w:rsid w:val="005541AD"/>
    <w:rsid w:val="005541C0"/>
    <w:rsid w:val="0055427D"/>
    <w:rsid w:val="0055447D"/>
    <w:rsid w:val="005544CD"/>
    <w:rsid w:val="00554508"/>
    <w:rsid w:val="0055503F"/>
    <w:rsid w:val="00555120"/>
    <w:rsid w:val="00555D79"/>
    <w:rsid w:val="005561C4"/>
    <w:rsid w:val="00556299"/>
    <w:rsid w:val="00557393"/>
    <w:rsid w:val="005574C1"/>
    <w:rsid w:val="00557629"/>
    <w:rsid w:val="00557CC2"/>
    <w:rsid w:val="0056082F"/>
    <w:rsid w:val="005609F1"/>
    <w:rsid w:val="00561E7F"/>
    <w:rsid w:val="00562A68"/>
    <w:rsid w:val="00562AB8"/>
    <w:rsid w:val="00563983"/>
    <w:rsid w:val="00564975"/>
    <w:rsid w:val="00564AA0"/>
    <w:rsid w:val="0056558F"/>
    <w:rsid w:val="00565DD8"/>
    <w:rsid w:val="00566060"/>
    <w:rsid w:val="00567281"/>
    <w:rsid w:val="00567A8C"/>
    <w:rsid w:val="00567DF0"/>
    <w:rsid w:val="0057065E"/>
    <w:rsid w:val="00570C63"/>
    <w:rsid w:val="0057169B"/>
    <w:rsid w:val="00571891"/>
    <w:rsid w:val="00571925"/>
    <w:rsid w:val="00571AC0"/>
    <w:rsid w:val="00571D61"/>
    <w:rsid w:val="005726EC"/>
    <w:rsid w:val="005728D9"/>
    <w:rsid w:val="00572E25"/>
    <w:rsid w:val="005744E2"/>
    <w:rsid w:val="00574974"/>
    <w:rsid w:val="00574DF2"/>
    <w:rsid w:val="00575715"/>
    <w:rsid w:val="00575AAE"/>
    <w:rsid w:val="0057609A"/>
    <w:rsid w:val="005766F4"/>
    <w:rsid w:val="00576902"/>
    <w:rsid w:val="00576CF7"/>
    <w:rsid w:val="00577162"/>
    <w:rsid w:val="00577DD6"/>
    <w:rsid w:val="0058014B"/>
    <w:rsid w:val="005805A8"/>
    <w:rsid w:val="00580B39"/>
    <w:rsid w:val="00580BE7"/>
    <w:rsid w:val="0058188C"/>
    <w:rsid w:val="00582762"/>
    <w:rsid w:val="00582C03"/>
    <w:rsid w:val="00582F92"/>
    <w:rsid w:val="0058341A"/>
    <w:rsid w:val="0058492F"/>
    <w:rsid w:val="00585560"/>
    <w:rsid w:val="00585976"/>
    <w:rsid w:val="005864AD"/>
    <w:rsid w:val="005871DC"/>
    <w:rsid w:val="00587B58"/>
    <w:rsid w:val="0059001F"/>
    <w:rsid w:val="0059040B"/>
    <w:rsid w:val="00590418"/>
    <w:rsid w:val="00590F3C"/>
    <w:rsid w:val="00590F44"/>
    <w:rsid w:val="005914BF"/>
    <w:rsid w:val="005923AE"/>
    <w:rsid w:val="00592857"/>
    <w:rsid w:val="00592AEE"/>
    <w:rsid w:val="00592B9D"/>
    <w:rsid w:val="005932E6"/>
    <w:rsid w:val="005934B3"/>
    <w:rsid w:val="005934C2"/>
    <w:rsid w:val="00594A55"/>
    <w:rsid w:val="00594C2D"/>
    <w:rsid w:val="00594EA5"/>
    <w:rsid w:val="005957EC"/>
    <w:rsid w:val="0059636C"/>
    <w:rsid w:val="00596593"/>
    <w:rsid w:val="00596AB1"/>
    <w:rsid w:val="00596F47"/>
    <w:rsid w:val="005A0A0A"/>
    <w:rsid w:val="005A0C51"/>
    <w:rsid w:val="005A0D2E"/>
    <w:rsid w:val="005A1EF0"/>
    <w:rsid w:val="005A1FD8"/>
    <w:rsid w:val="005A2247"/>
    <w:rsid w:val="005A23F8"/>
    <w:rsid w:val="005A2555"/>
    <w:rsid w:val="005A26FA"/>
    <w:rsid w:val="005A2D1B"/>
    <w:rsid w:val="005A390D"/>
    <w:rsid w:val="005A39B5"/>
    <w:rsid w:val="005A3ACC"/>
    <w:rsid w:val="005A3C84"/>
    <w:rsid w:val="005A3F96"/>
    <w:rsid w:val="005A4015"/>
    <w:rsid w:val="005A42BA"/>
    <w:rsid w:val="005A490A"/>
    <w:rsid w:val="005A49A2"/>
    <w:rsid w:val="005A542C"/>
    <w:rsid w:val="005A5BFE"/>
    <w:rsid w:val="005A72FD"/>
    <w:rsid w:val="005A778D"/>
    <w:rsid w:val="005A7CB0"/>
    <w:rsid w:val="005B0020"/>
    <w:rsid w:val="005B0491"/>
    <w:rsid w:val="005B1347"/>
    <w:rsid w:val="005B1553"/>
    <w:rsid w:val="005B1567"/>
    <w:rsid w:val="005B2406"/>
    <w:rsid w:val="005B2733"/>
    <w:rsid w:val="005B3461"/>
    <w:rsid w:val="005B3747"/>
    <w:rsid w:val="005B39C4"/>
    <w:rsid w:val="005B571C"/>
    <w:rsid w:val="005B5DB5"/>
    <w:rsid w:val="005B68EF"/>
    <w:rsid w:val="005B7A15"/>
    <w:rsid w:val="005C037E"/>
    <w:rsid w:val="005C099E"/>
    <w:rsid w:val="005C0A0C"/>
    <w:rsid w:val="005C0A65"/>
    <w:rsid w:val="005C121A"/>
    <w:rsid w:val="005C1A9F"/>
    <w:rsid w:val="005C1F28"/>
    <w:rsid w:val="005C2108"/>
    <w:rsid w:val="005C236C"/>
    <w:rsid w:val="005C2E94"/>
    <w:rsid w:val="005C3037"/>
    <w:rsid w:val="005C31F0"/>
    <w:rsid w:val="005C32D0"/>
    <w:rsid w:val="005C3CFD"/>
    <w:rsid w:val="005C53B6"/>
    <w:rsid w:val="005C5597"/>
    <w:rsid w:val="005C59B1"/>
    <w:rsid w:val="005C61C8"/>
    <w:rsid w:val="005C6211"/>
    <w:rsid w:val="005C68B0"/>
    <w:rsid w:val="005C6D3A"/>
    <w:rsid w:val="005C7CA9"/>
    <w:rsid w:val="005D006D"/>
    <w:rsid w:val="005D0110"/>
    <w:rsid w:val="005D0639"/>
    <w:rsid w:val="005D091C"/>
    <w:rsid w:val="005D1878"/>
    <w:rsid w:val="005D1F36"/>
    <w:rsid w:val="005D25DE"/>
    <w:rsid w:val="005D3277"/>
    <w:rsid w:val="005D3C24"/>
    <w:rsid w:val="005D3C39"/>
    <w:rsid w:val="005D3DFA"/>
    <w:rsid w:val="005D4247"/>
    <w:rsid w:val="005D49AE"/>
    <w:rsid w:val="005D51C8"/>
    <w:rsid w:val="005D5A7A"/>
    <w:rsid w:val="005D6697"/>
    <w:rsid w:val="005D6799"/>
    <w:rsid w:val="005D6A70"/>
    <w:rsid w:val="005D6CFB"/>
    <w:rsid w:val="005D7D4A"/>
    <w:rsid w:val="005E067C"/>
    <w:rsid w:val="005E0FB2"/>
    <w:rsid w:val="005E2720"/>
    <w:rsid w:val="005E29D1"/>
    <w:rsid w:val="005E344A"/>
    <w:rsid w:val="005E3A22"/>
    <w:rsid w:val="005E4D87"/>
    <w:rsid w:val="005E5EC6"/>
    <w:rsid w:val="005E6AB6"/>
    <w:rsid w:val="005E74CC"/>
    <w:rsid w:val="005F0823"/>
    <w:rsid w:val="005F19AA"/>
    <w:rsid w:val="005F24FC"/>
    <w:rsid w:val="005F2C23"/>
    <w:rsid w:val="005F3321"/>
    <w:rsid w:val="005F33BB"/>
    <w:rsid w:val="005F49C6"/>
    <w:rsid w:val="005F56B3"/>
    <w:rsid w:val="005F5819"/>
    <w:rsid w:val="005F5FF6"/>
    <w:rsid w:val="005F764A"/>
    <w:rsid w:val="00600131"/>
    <w:rsid w:val="006001B0"/>
    <w:rsid w:val="006002F1"/>
    <w:rsid w:val="00600753"/>
    <w:rsid w:val="00600C29"/>
    <w:rsid w:val="006017E7"/>
    <w:rsid w:val="00601DA9"/>
    <w:rsid w:val="006026B9"/>
    <w:rsid w:val="00602839"/>
    <w:rsid w:val="0060296A"/>
    <w:rsid w:val="006036B7"/>
    <w:rsid w:val="00603EF2"/>
    <w:rsid w:val="0060457B"/>
    <w:rsid w:val="0060464B"/>
    <w:rsid w:val="00605362"/>
    <w:rsid w:val="00605B4A"/>
    <w:rsid w:val="00606DE0"/>
    <w:rsid w:val="00606F66"/>
    <w:rsid w:val="0060720A"/>
    <w:rsid w:val="00607447"/>
    <w:rsid w:val="00607CD2"/>
    <w:rsid w:val="00610221"/>
    <w:rsid w:val="0061283F"/>
    <w:rsid w:val="00612874"/>
    <w:rsid w:val="006133F4"/>
    <w:rsid w:val="00614BDD"/>
    <w:rsid w:val="00615566"/>
    <w:rsid w:val="00615B0F"/>
    <w:rsid w:val="00615B9A"/>
    <w:rsid w:val="00615FFB"/>
    <w:rsid w:val="00616389"/>
    <w:rsid w:val="006163B8"/>
    <w:rsid w:val="00616CD8"/>
    <w:rsid w:val="0061735F"/>
    <w:rsid w:val="00620000"/>
    <w:rsid w:val="00620473"/>
    <w:rsid w:val="00620A14"/>
    <w:rsid w:val="00621346"/>
    <w:rsid w:val="006216B9"/>
    <w:rsid w:val="00622197"/>
    <w:rsid w:val="00622E86"/>
    <w:rsid w:val="00623017"/>
    <w:rsid w:val="006233F8"/>
    <w:rsid w:val="0062496A"/>
    <w:rsid w:val="00625058"/>
    <w:rsid w:val="00625470"/>
    <w:rsid w:val="00625585"/>
    <w:rsid w:val="006257B3"/>
    <w:rsid w:val="0062585C"/>
    <w:rsid w:val="006258C8"/>
    <w:rsid w:val="00625A82"/>
    <w:rsid w:val="00625F2E"/>
    <w:rsid w:val="006269A0"/>
    <w:rsid w:val="00626ADA"/>
    <w:rsid w:val="00626D92"/>
    <w:rsid w:val="0063054F"/>
    <w:rsid w:val="00630815"/>
    <w:rsid w:val="00630A82"/>
    <w:rsid w:val="006315B4"/>
    <w:rsid w:val="0063175A"/>
    <w:rsid w:val="00632428"/>
    <w:rsid w:val="006327E6"/>
    <w:rsid w:val="006332FC"/>
    <w:rsid w:val="0063371C"/>
    <w:rsid w:val="0063412E"/>
    <w:rsid w:val="00634299"/>
    <w:rsid w:val="006357B4"/>
    <w:rsid w:val="0063597A"/>
    <w:rsid w:val="00636402"/>
    <w:rsid w:val="00636DE6"/>
    <w:rsid w:val="0063712E"/>
    <w:rsid w:val="006372CA"/>
    <w:rsid w:val="006373A3"/>
    <w:rsid w:val="006405A5"/>
    <w:rsid w:val="006406F4"/>
    <w:rsid w:val="0064091D"/>
    <w:rsid w:val="006409F8"/>
    <w:rsid w:val="00640BC9"/>
    <w:rsid w:val="006413AC"/>
    <w:rsid w:val="006423F7"/>
    <w:rsid w:val="00642C59"/>
    <w:rsid w:val="00642E31"/>
    <w:rsid w:val="006441D9"/>
    <w:rsid w:val="006454B3"/>
    <w:rsid w:val="006457AF"/>
    <w:rsid w:val="0064604E"/>
    <w:rsid w:val="006463CA"/>
    <w:rsid w:val="00646639"/>
    <w:rsid w:val="00647816"/>
    <w:rsid w:val="00647834"/>
    <w:rsid w:val="006501BA"/>
    <w:rsid w:val="00650396"/>
    <w:rsid w:val="00650693"/>
    <w:rsid w:val="00650737"/>
    <w:rsid w:val="006521F4"/>
    <w:rsid w:val="006527A5"/>
    <w:rsid w:val="00654300"/>
    <w:rsid w:val="006545D6"/>
    <w:rsid w:val="006546CA"/>
    <w:rsid w:val="0065528C"/>
    <w:rsid w:val="00656283"/>
    <w:rsid w:val="006563A7"/>
    <w:rsid w:val="00656B67"/>
    <w:rsid w:val="00657F8B"/>
    <w:rsid w:val="006610C8"/>
    <w:rsid w:val="00661872"/>
    <w:rsid w:val="006623CB"/>
    <w:rsid w:val="00662B11"/>
    <w:rsid w:val="00662B1D"/>
    <w:rsid w:val="006633E1"/>
    <w:rsid w:val="006636E6"/>
    <w:rsid w:val="00663D3B"/>
    <w:rsid w:val="00665029"/>
    <w:rsid w:val="0066527C"/>
    <w:rsid w:val="006662FD"/>
    <w:rsid w:val="006665F2"/>
    <w:rsid w:val="00666C03"/>
    <w:rsid w:val="006671B9"/>
    <w:rsid w:val="0066746D"/>
    <w:rsid w:val="00667619"/>
    <w:rsid w:val="00667ADD"/>
    <w:rsid w:val="0067050B"/>
    <w:rsid w:val="00670C99"/>
    <w:rsid w:val="006711C3"/>
    <w:rsid w:val="006713D9"/>
    <w:rsid w:val="00671F2C"/>
    <w:rsid w:val="00672554"/>
    <w:rsid w:val="00673463"/>
    <w:rsid w:val="00674383"/>
    <w:rsid w:val="006743BB"/>
    <w:rsid w:val="00674B1E"/>
    <w:rsid w:val="006751B0"/>
    <w:rsid w:val="00675965"/>
    <w:rsid w:val="0067626D"/>
    <w:rsid w:val="00676A53"/>
    <w:rsid w:val="00677271"/>
    <w:rsid w:val="00677653"/>
    <w:rsid w:val="00677CEC"/>
    <w:rsid w:val="00681055"/>
    <w:rsid w:val="0068207A"/>
    <w:rsid w:val="006821C6"/>
    <w:rsid w:val="00682538"/>
    <w:rsid w:val="00682E49"/>
    <w:rsid w:val="00683187"/>
    <w:rsid w:val="0068398B"/>
    <w:rsid w:val="00683BD8"/>
    <w:rsid w:val="00684D24"/>
    <w:rsid w:val="0068542D"/>
    <w:rsid w:val="00685643"/>
    <w:rsid w:val="00685DBF"/>
    <w:rsid w:val="00685E99"/>
    <w:rsid w:val="00686108"/>
    <w:rsid w:val="00686B3D"/>
    <w:rsid w:val="00686F13"/>
    <w:rsid w:val="00687153"/>
    <w:rsid w:val="0068723A"/>
    <w:rsid w:val="00687413"/>
    <w:rsid w:val="00687B89"/>
    <w:rsid w:val="00687C75"/>
    <w:rsid w:val="00690461"/>
    <w:rsid w:val="006906AA"/>
    <w:rsid w:val="006908B9"/>
    <w:rsid w:val="00690B4A"/>
    <w:rsid w:val="00691477"/>
    <w:rsid w:val="00691F33"/>
    <w:rsid w:val="0069214A"/>
    <w:rsid w:val="0069341B"/>
    <w:rsid w:val="006934C4"/>
    <w:rsid w:val="00695BCA"/>
    <w:rsid w:val="00696133"/>
    <w:rsid w:val="006967A4"/>
    <w:rsid w:val="006973EF"/>
    <w:rsid w:val="006A07B1"/>
    <w:rsid w:val="006A0B4A"/>
    <w:rsid w:val="006A0BE1"/>
    <w:rsid w:val="006A1C15"/>
    <w:rsid w:val="006A1D93"/>
    <w:rsid w:val="006A21DD"/>
    <w:rsid w:val="006A31BA"/>
    <w:rsid w:val="006A32C9"/>
    <w:rsid w:val="006A3413"/>
    <w:rsid w:val="006A3568"/>
    <w:rsid w:val="006A3B82"/>
    <w:rsid w:val="006A3BC7"/>
    <w:rsid w:val="006A3F9E"/>
    <w:rsid w:val="006A3FBB"/>
    <w:rsid w:val="006A4542"/>
    <w:rsid w:val="006A689D"/>
    <w:rsid w:val="006A7732"/>
    <w:rsid w:val="006A7C8E"/>
    <w:rsid w:val="006A7D48"/>
    <w:rsid w:val="006A7F9F"/>
    <w:rsid w:val="006B05A6"/>
    <w:rsid w:val="006B0743"/>
    <w:rsid w:val="006B07DE"/>
    <w:rsid w:val="006B2623"/>
    <w:rsid w:val="006B3C6C"/>
    <w:rsid w:val="006B3E3D"/>
    <w:rsid w:val="006B5D77"/>
    <w:rsid w:val="006B5F85"/>
    <w:rsid w:val="006B604F"/>
    <w:rsid w:val="006B6C18"/>
    <w:rsid w:val="006B7BA1"/>
    <w:rsid w:val="006C1928"/>
    <w:rsid w:val="006C19E2"/>
    <w:rsid w:val="006C1A88"/>
    <w:rsid w:val="006C1ACF"/>
    <w:rsid w:val="006C1F5E"/>
    <w:rsid w:val="006C20BB"/>
    <w:rsid w:val="006C21CB"/>
    <w:rsid w:val="006C2743"/>
    <w:rsid w:val="006C2C0C"/>
    <w:rsid w:val="006C2CE1"/>
    <w:rsid w:val="006C315B"/>
    <w:rsid w:val="006C332F"/>
    <w:rsid w:val="006C358B"/>
    <w:rsid w:val="006C43AE"/>
    <w:rsid w:val="006C48C4"/>
    <w:rsid w:val="006C4F61"/>
    <w:rsid w:val="006C5346"/>
    <w:rsid w:val="006C53E2"/>
    <w:rsid w:val="006C5562"/>
    <w:rsid w:val="006C5EEF"/>
    <w:rsid w:val="006C7B79"/>
    <w:rsid w:val="006D0E47"/>
    <w:rsid w:val="006D2389"/>
    <w:rsid w:val="006D292D"/>
    <w:rsid w:val="006D2AC3"/>
    <w:rsid w:val="006D35A9"/>
    <w:rsid w:val="006D38AB"/>
    <w:rsid w:val="006D3B40"/>
    <w:rsid w:val="006D4E77"/>
    <w:rsid w:val="006D4EF6"/>
    <w:rsid w:val="006D4F2F"/>
    <w:rsid w:val="006D4FC9"/>
    <w:rsid w:val="006D5823"/>
    <w:rsid w:val="006D75C1"/>
    <w:rsid w:val="006E0025"/>
    <w:rsid w:val="006E009D"/>
    <w:rsid w:val="006E12F6"/>
    <w:rsid w:val="006E1C94"/>
    <w:rsid w:val="006E3089"/>
    <w:rsid w:val="006E5DF7"/>
    <w:rsid w:val="006E63E5"/>
    <w:rsid w:val="006E64E4"/>
    <w:rsid w:val="006E6ADC"/>
    <w:rsid w:val="006E743E"/>
    <w:rsid w:val="006E79C7"/>
    <w:rsid w:val="006F086B"/>
    <w:rsid w:val="006F096A"/>
    <w:rsid w:val="006F09D1"/>
    <w:rsid w:val="006F0ACC"/>
    <w:rsid w:val="006F0F20"/>
    <w:rsid w:val="006F225C"/>
    <w:rsid w:val="006F244B"/>
    <w:rsid w:val="006F2DE3"/>
    <w:rsid w:val="006F35AE"/>
    <w:rsid w:val="006F3B35"/>
    <w:rsid w:val="006F3FEA"/>
    <w:rsid w:val="006F506F"/>
    <w:rsid w:val="006F5211"/>
    <w:rsid w:val="006F5C07"/>
    <w:rsid w:val="006F6265"/>
    <w:rsid w:val="006F6A85"/>
    <w:rsid w:val="006F6F9D"/>
    <w:rsid w:val="006F7037"/>
    <w:rsid w:val="006F7568"/>
    <w:rsid w:val="006F76ED"/>
    <w:rsid w:val="006F7D6F"/>
    <w:rsid w:val="0070095F"/>
    <w:rsid w:val="0070226D"/>
    <w:rsid w:val="007030C4"/>
    <w:rsid w:val="0070368B"/>
    <w:rsid w:val="007036DB"/>
    <w:rsid w:val="007038F3"/>
    <w:rsid w:val="007043A9"/>
    <w:rsid w:val="00705856"/>
    <w:rsid w:val="007059BA"/>
    <w:rsid w:val="00706343"/>
    <w:rsid w:val="00706BF4"/>
    <w:rsid w:val="00706D26"/>
    <w:rsid w:val="00706F20"/>
    <w:rsid w:val="00706F42"/>
    <w:rsid w:val="00707650"/>
    <w:rsid w:val="00707A96"/>
    <w:rsid w:val="00710250"/>
    <w:rsid w:val="007107E2"/>
    <w:rsid w:val="007109BC"/>
    <w:rsid w:val="00710B5F"/>
    <w:rsid w:val="0071133A"/>
    <w:rsid w:val="007113C3"/>
    <w:rsid w:val="007117FA"/>
    <w:rsid w:val="00711B35"/>
    <w:rsid w:val="007127D3"/>
    <w:rsid w:val="0071293F"/>
    <w:rsid w:val="00712B92"/>
    <w:rsid w:val="00713250"/>
    <w:rsid w:val="0071388D"/>
    <w:rsid w:val="00713938"/>
    <w:rsid w:val="0071411E"/>
    <w:rsid w:val="007148B1"/>
    <w:rsid w:val="00714956"/>
    <w:rsid w:val="00714A51"/>
    <w:rsid w:val="00714D51"/>
    <w:rsid w:val="00715195"/>
    <w:rsid w:val="00715267"/>
    <w:rsid w:val="00715CBE"/>
    <w:rsid w:val="0071618E"/>
    <w:rsid w:val="007162A1"/>
    <w:rsid w:val="00716375"/>
    <w:rsid w:val="00717328"/>
    <w:rsid w:val="0072026E"/>
    <w:rsid w:val="00720F80"/>
    <w:rsid w:val="00721344"/>
    <w:rsid w:val="00721C07"/>
    <w:rsid w:val="00722011"/>
    <w:rsid w:val="0072220B"/>
    <w:rsid w:val="00722CDB"/>
    <w:rsid w:val="00723657"/>
    <w:rsid w:val="00723A23"/>
    <w:rsid w:val="00723CE9"/>
    <w:rsid w:val="007250DF"/>
    <w:rsid w:val="007258CF"/>
    <w:rsid w:val="00725C93"/>
    <w:rsid w:val="0072624B"/>
    <w:rsid w:val="00726523"/>
    <w:rsid w:val="00726743"/>
    <w:rsid w:val="00726AB1"/>
    <w:rsid w:val="00730036"/>
    <w:rsid w:val="00730D32"/>
    <w:rsid w:val="00730ED5"/>
    <w:rsid w:val="00731884"/>
    <w:rsid w:val="00731ED8"/>
    <w:rsid w:val="00734678"/>
    <w:rsid w:val="00734974"/>
    <w:rsid w:val="00734EBD"/>
    <w:rsid w:val="00735765"/>
    <w:rsid w:val="00735780"/>
    <w:rsid w:val="0073695A"/>
    <w:rsid w:val="0074039E"/>
    <w:rsid w:val="00741043"/>
    <w:rsid w:val="00741502"/>
    <w:rsid w:val="007415AD"/>
    <w:rsid w:val="00741A85"/>
    <w:rsid w:val="00741D6F"/>
    <w:rsid w:val="00741DC4"/>
    <w:rsid w:val="00742078"/>
    <w:rsid w:val="007420D5"/>
    <w:rsid w:val="007422F1"/>
    <w:rsid w:val="007425A1"/>
    <w:rsid w:val="00742F4C"/>
    <w:rsid w:val="00742FCF"/>
    <w:rsid w:val="007438E0"/>
    <w:rsid w:val="00743F6F"/>
    <w:rsid w:val="007449E4"/>
    <w:rsid w:val="00745054"/>
    <w:rsid w:val="007460A4"/>
    <w:rsid w:val="007460B5"/>
    <w:rsid w:val="00746186"/>
    <w:rsid w:val="007464CA"/>
    <w:rsid w:val="007507C6"/>
    <w:rsid w:val="00750962"/>
    <w:rsid w:val="00750A6C"/>
    <w:rsid w:val="00750DA6"/>
    <w:rsid w:val="00750DD7"/>
    <w:rsid w:val="00751128"/>
    <w:rsid w:val="007527B3"/>
    <w:rsid w:val="00752D35"/>
    <w:rsid w:val="00752D6D"/>
    <w:rsid w:val="007533A3"/>
    <w:rsid w:val="0075357E"/>
    <w:rsid w:val="00753A61"/>
    <w:rsid w:val="00753AD5"/>
    <w:rsid w:val="007543DA"/>
    <w:rsid w:val="0075459A"/>
    <w:rsid w:val="0075466E"/>
    <w:rsid w:val="00754892"/>
    <w:rsid w:val="00755747"/>
    <w:rsid w:val="00755CF5"/>
    <w:rsid w:val="00756599"/>
    <w:rsid w:val="0075675D"/>
    <w:rsid w:val="007567B0"/>
    <w:rsid w:val="00756FD6"/>
    <w:rsid w:val="00757330"/>
    <w:rsid w:val="007620A5"/>
    <w:rsid w:val="00762A09"/>
    <w:rsid w:val="0076329F"/>
    <w:rsid w:val="007646A9"/>
    <w:rsid w:val="00764740"/>
    <w:rsid w:val="0076557C"/>
    <w:rsid w:val="00766347"/>
    <w:rsid w:val="00766353"/>
    <w:rsid w:val="00766FBC"/>
    <w:rsid w:val="00767049"/>
    <w:rsid w:val="007670DE"/>
    <w:rsid w:val="00767AE0"/>
    <w:rsid w:val="00767F97"/>
    <w:rsid w:val="00770507"/>
    <w:rsid w:val="007705E0"/>
    <w:rsid w:val="00772497"/>
    <w:rsid w:val="00772676"/>
    <w:rsid w:val="007728E1"/>
    <w:rsid w:val="00773725"/>
    <w:rsid w:val="007750C9"/>
    <w:rsid w:val="00775329"/>
    <w:rsid w:val="00775926"/>
    <w:rsid w:val="00775977"/>
    <w:rsid w:val="00780A89"/>
    <w:rsid w:val="00780DDE"/>
    <w:rsid w:val="00781138"/>
    <w:rsid w:val="00781B42"/>
    <w:rsid w:val="0078294E"/>
    <w:rsid w:val="0078319B"/>
    <w:rsid w:val="00783E14"/>
    <w:rsid w:val="00783E40"/>
    <w:rsid w:val="00784666"/>
    <w:rsid w:val="0078595B"/>
    <w:rsid w:val="00785B25"/>
    <w:rsid w:val="0078644B"/>
    <w:rsid w:val="007866C4"/>
    <w:rsid w:val="0078676D"/>
    <w:rsid w:val="007877A7"/>
    <w:rsid w:val="00787E35"/>
    <w:rsid w:val="00790099"/>
    <w:rsid w:val="0079038D"/>
    <w:rsid w:val="007905FD"/>
    <w:rsid w:val="00790BD4"/>
    <w:rsid w:val="0079192D"/>
    <w:rsid w:val="007924FF"/>
    <w:rsid w:val="00792E5E"/>
    <w:rsid w:val="00793A2F"/>
    <w:rsid w:val="00793CEE"/>
    <w:rsid w:val="00793FCA"/>
    <w:rsid w:val="007942A7"/>
    <w:rsid w:val="007944C1"/>
    <w:rsid w:val="007949E1"/>
    <w:rsid w:val="00794BC6"/>
    <w:rsid w:val="00794D74"/>
    <w:rsid w:val="00795B21"/>
    <w:rsid w:val="00796AB2"/>
    <w:rsid w:val="00796D1F"/>
    <w:rsid w:val="00797116"/>
    <w:rsid w:val="00797565"/>
    <w:rsid w:val="007A0985"/>
    <w:rsid w:val="007A0FA2"/>
    <w:rsid w:val="007A1D81"/>
    <w:rsid w:val="007A228C"/>
    <w:rsid w:val="007A23D2"/>
    <w:rsid w:val="007A25A1"/>
    <w:rsid w:val="007A2996"/>
    <w:rsid w:val="007A2DCC"/>
    <w:rsid w:val="007A2EE3"/>
    <w:rsid w:val="007A306D"/>
    <w:rsid w:val="007A36FF"/>
    <w:rsid w:val="007A376B"/>
    <w:rsid w:val="007A424F"/>
    <w:rsid w:val="007A43EF"/>
    <w:rsid w:val="007A4666"/>
    <w:rsid w:val="007A5005"/>
    <w:rsid w:val="007A5142"/>
    <w:rsid w:val="007A5DD2"/>
    <w:rsid w:val="007A6567"/>
    <w:rsid w:val="007A6900"/>
    <w:rsid w:val="007B03D8"/>
    <w:rsid w:val="007B06E1"/>
    <w:rsid w:val="007B07AC"/>
    <w:rsid w:val="007B0EA4"/>
    <w:rsid w:val="007B1508"/>
    <w:rsid w:val="007B1513"/>
    <w:rsid w:val="007B1EA9"/>
    <w:rsid w:val="007B2625"/>
    <w:rsid w:val="007B2674"/>
    <w:rsid w:val="007B49DF"/>
    <w:rsid w:val="007B4B8F"/>
    <w:rsid w:val="007B4DD2"/>
    <w:rsid w:val="007B5339"/>
    <w:rsid w:val="007B5C50"/>
    <w:rsid w:val="007B5F59"/>
    <w:rsid w:val="007B689D"/>
    <w:rsid w:val="007B6C79"/>
    <w:rsid w:val="007B716F"/>
    <w:rsid w:val="007B769A"/>
    <w:rsid w:val="007C002A"/>
    <w:rsid w:val="007C0220"/>
    <w:rsid w:val="007C1691"/>
    <w:rsid w:val="007C22CA"/>
    <w:rsid w:val="007C27F7"/>
    <w:rsid w:val="007C3148"/>
    <w:rsid w:val="007C3793"/>
    <w:rsid w:val="007C396E"/>
    <w:rsid w:val="007C3E96"/>
    <w:rsid w:val="007C4192"/>
    <w:rsid w:val="007C41B5"/>
    <w:rsid w:val="007C42FC"/>
    <w:rsid w:val="007C440E"/>
    <w:rsid w:val="007C44C6"/>
    <w:rsid w:val="007C492F"/>
    <w:rsid w:val="007C4AD6"/>
    <w:rsid w:val="007C5199"/>
    <w:rsid w:val="007C5751"/>
    <w:rsid w:val="007C7865"/>
    <w:rsid w:val="007C7D0E"/>
    <w:rsid w:val="007C7D55"/>
    <w:rsid w:val="007C7E51"/>
    <w:rsid w:val="007D0445"/>
    <w:rsid w:val="007D0470"/>
    <w:rsid w:val="007D1538"/>
    <w:rsid w:val="007D2E2A"/>
    <w:rsid w:val="007D34D0"/>
    <w:rsid w:val="007D372A"/>
    <w:rsid w:val="007D3812"/>
    <w:rsid w:val="007D3E42"/>
    <w:rsid w:val="007D44BF"/>
    <w:rsid w:val="007D4908"/>
    <w:rsid w:val="007D493D"/>
    <w:rsid w:val="007D4A2E"/>
    <w:rsid w:val="007D505A"/>
    <w:rsid w:val="007D541F"/>
    <w:rsid w:val="007D675F"/>
    <w:rsid w:val="007D74E8"/>
    <w:rsid w:val="007D7B9B"/>
    <w:rsid w:val="007E079E"/>
    <w:rsid w:val="007E17C2"/>
    <w:rsid w:val="007E196D"/>
    <w:rsid w:val="007E1F1C"/>
    <w:rsid w:val="007E24D7"/>
    <w:rsid w:val="007E35C1"/>
    <w:rsid w:val="007E44AF"/>
    <w:rsid w:val="007E4C1D"/>
    <w:rsid w:val="007E5C0D"/>
    <w:rsid w:val="007E6337"/>
    <w:rsid w:val="007E6750"/>
    <w:rsid w:val="007E68CB"/>
    <w:rsid w:val="007E6996"/>
    <w:rsid w:val="007E7E66"/>
    <w:rsid w:val="007F074B"/>
    <w:rsid w:val="007F1223"/>
    <w:rsid w:val="007F19EA"/>
    <w:rsid w:val="007F1C5D"/>
    <w:rsid w:val="007F2C54"/>
    <w:rsid w:val="007F35A7"/>
    <w:rsid w:val="007F41CE"/>
    <w:rsid w:val="007F4200"/>
    <w:rsid w:val="007F499C"/>
    <w:rsid w:val="007F5030"/>
    <w:rsid w:val="007F5830"/>
    <w:rsid w:val="007F65B2"/>
    <w:rsid w:val="007F6678"/>
    <w:rsid w:val="007F74F4"/>
    <w:rsid w:val="008002F9"/>
    <w:rsid w:val="00800341"/>
    <w:rsid w:val="0080055C"/>
    <w:rsid w:val="00801F1D"/>
    <w:rsid w:val="00802437"/>
    <w:rsid w:val="008030AD"/>
    <w:rsid w:val="008038D8"/>
    <w:rsid w:val="00803AB4"/>
    <w:rsid w:val="008040A1"/>
    <w:rsid w:val="00804107"/>
    <w:rsid w:val="00804155"/>
    <w:rsid w:val="0080459C"/>
    <w:rsid w:val="00804783"/>
    <w:rsid w:val="00805496"/>
    <w:rsid w:val="00806323"/>
    <w:rsid w:val="008065E4"/>
    <w:rsid w:val="00806B49"/>
    <w:rsid w:val="00806DB2"/>
    <w:rsid w:val="00807226"/>
    <w:rsid w:val="008073D9"/>
    <w:rsid w:val="00807594"/>
    <w:rsid w:val="008076D8"/>
    <w:rsid w:val="00807B7E"/>
    <w:rsid w:val="00810668"/>
    <w:rsid w:val="00810923"/>
    <w:rsid w:val="00811E9B"/>
    <w:rsid w:val="008124DC"/>
    <w:rsid w:val="00812663"/>
    <w:rsid w:val="00812F24"/>
    <w:rsid w:val="00813828"/>
    <w:rsid w:val="00813D30"/>
    <w:rsid w:val="008140B2"/>
    <w:rsid w:val="008142B3"/>
    <w:rsid w:val="00814314"/>
    <w:rsid w:val="00814489"/>
    <w:rsid w:val="0081468E"/>
    <w:rsid w:val="0081480C"/>
    <w:rsid w:val="00814B65"/>
    <w:rsid w:val="00814C03"/>
    <w:rsid w:val="00814D5A"/>
    <w:rsid w:val="00815A9B"/>
    <w:rsid w:val="00816170"/>
    <w:rsid w:val="00816443"/>
    <w:rsid w:val="00816469"/>
    <w:rsid w:val="00816762"/>
    <w:rsid w:val="00817513"/>
    <w:rsid w:val="0082094C"/>
    <w:rsid w:val="00821288"/>
    <w:rsid w:val="00821477"/>
    <w:rsid w:val="00821C35"/>
    <w:rsid w:val="00821F94"/>
    <w:rsid w:val="008225A7"/>
    <w:rsid w:val="00822DD9"/>
    <w:rsid w:val="00823121"/>
    <w:rsid w:val="008234AA"/>
    <w:rsid w:val="00823F0A"/>
    <w:rsid w:val="00824237"/>
    <w:rsid w:val="00824400"/>
    <w:rsid w:val="008253EE"/>
    <w:rsid w:val="00825BE3"/>
    <w:rsid w:val="00825D6F"/>
    <w:rsid w:val="00826623"/>
    <w:rsid w:val="00826896"/>
    <w:rsid w:val="00826F7E"/>
    <w:rsid w:val="00830FB2"/>
    <w:rsid w:val="008318CE"/>
    <w:rsid w:val="00831B25"/>
    <w:rsid w:val="00831E89"/>
    <w:rsid w:val="00831EA8"/>
    <w:rsid w:val="00832012"/>
    <w:rsid w:val="0083204D"/>
    <w:rsid w:val="00832253"/>
    <w:rsid w:val="00832E83"/>
    <w:rsid w:val="0083326E"/>
    <w:rsid w:val="0083362C"/>
    <w:rsid w:val="00833F90"/>
    <w:rsid w:val="00834683"/>
    <w:rsid w:val="008346D1"/>
    <w:rsid w:val="00834782"/>
    <w:rsid w:val="008347B3"/>
    <w:rsid w:val="00835502"/>
    <w:rsid w:val="00835709"/>
    <w:rsid w:val="00835D32"/>
    <w:rsid w:val="00836CC8"/>
    <w:rsid w:val="008375B7"/>
    <w:rsid w:val="00837CA4"/>
    <w:rsid w:val="00840BF7"/>
    <w:rsid w:val="00840F85"/>
    <w:rsid w:val="00841BD6"/>
    <w:rsid w:val="00841D9C"/>
    <w:rsid w:val="00841F7B"/>
    <w:rsid w:val="0084346C"/>
    <w:rsid w:val="00843DA9"/>
    <w:rsid w:val="008448BD"/>
    <w:rsid w:val="008453DD"/>
    <w:rsid w:val="008459DE"/>
    <w:rsid w:val="00845E0D"/>
    <w:rsid w:val="00846C49"/>
    <w:rsid w:val="00846C98"/>
    <w:rsid w:val="00846E66"/>
    <w:rsid w:val="00847282"/>
    <w:rsid w:val="00850043"/>
    <w:rsid w:val="00850B74"/>
    <w:rsid w:val="00851E2C"/>
    <w:rsid w:val="00852679"/>
    <w:rsid w:val="0085272C"/>
    <w:rsid w:val="00852D59"/>
    <w:rsid w:val="00852D97"/>
    <w:rsid w:val="0085385A"/>
    <w:rsid w:val="0085462B"/>
    <w:rsid w:val="00855370"/>
    <w:rsid w:val="0085547B"/>
    <w:rsid w:val="008556D2"/>
    <w:rsid w:val="00855F25"/>
    <w:rsid w:val="00857A69"/>
    <w:rsid w:val="00857AE8"/>
    <w:rsid w:val="00860122"/>
    <w:rsid w:val="008606B2"/>
    <w:rsid w:val="00860FB6"/>
    <w:rsid w:val="0086144C"/>
    <w:rsid w:val="0086182B"/>
    <w:rsid w:val="00861BF3"/>
    <w:rsid w:val="00861D7E"/>
    <w:rsid w:val="0086238D"/>
    <w:rsid w:val="00862634"/>
    <w:rsid w:val="008657A6"/>
    <w:rsid w:val="008657E8"/>
    <w:rsid w:val="0086582E"/>
    <w:rsid w:val="008663DE"/>
    <w:rsid w:val="00866ED5"/>
    <w:rsid w:val="00867584"/>
    <w:rsid w:val="00867886"/>
    <w:rsid w:val="0087184F"/>
    <w:rsid w:val="00871BA3"/>
    <w:rsid w:val="00871CFE"/>
    <w:rsid w:val="00872BFE"/>
    <w:rsid w:val="00873552"/>
    <w:rsid w:val="0087387B"/>
    <w:rsid w:val="00873D10"/>
    <w:rsid w:val="00873F9F"/>
    <w:rsid w:val="00874C39"/>
    <w:rsid w:val="00875F00"/>
    <w:rsid w:val="008770D9"/>
    <w:rsid w:val="00880A64"/>
    <w:rsid w:val="0088151D"/>
    <w:rsid w:val="00881723"/>
    <w:rsid w:val="00881E2C"/>
    <w:rsid w:val="00881FAD"/>
    <w:rsid w:val="00882685"/>
    <w:rsid w:val="008826B4"/>
    <w:rsid w:val="00882B62"/>
    <w:rsid w:val="00882E6D"/>
    <w:rsid w:val="00882EF0"/>
    <w:rsid w:val="00884C08"/>
    <w:rsid w:val="00884E0F"/>
    <w:rsid w:val="008857E8"/>
    <w:rsid w:val="008860F6"/>
    <w:rsid w:val="008861D9"/>
    <w:rsid w:val="0088695F"/>
    <w:rsid w:val="0088750C"/>
    <w:rsid w:val="00890394"/>
    <w:rsid w:val="008905B7"/>
    <w:rsid w:val="0089080D"/>
    <w:rsid w:val="00891F1B"/>
    <w:rsid w:val="00892223"/>
    <w:rsid w:val="00892472"/>
    <w:rsid w:val="008929AE"/>
    <w:rsid w:val="00893AB6"/>
    <w:rsid w:val="00894331"/>
    <w:rsid w:val="00894399"/>
    <w:rsid w:val="00894B94"/>
    <w:rsid w:val="0089579C"/>
    <w:rsid w:val="008959C2"/>
    <w:rsid w:val="00895DDB"/>
    <w:rsid w:val="0089684F"/>
    <w:rsid w:val="00896F4C"/>
    <w:rsid w:val="00897369"/>
    <w:rsid w:val="00897EE4"/>
    <w:rsid w:val="008A05AD"/>
    <w:rsid w:val="008A107A"/>
    <w:rsid w:val="008A13C2"/>
    <w:rsid w:val="008A1CB6"/>
    <w:rsid w:val="008A228D"/>
    <w:rsid w:val="008A3032"/>
    <w:rsid w:val="008A3BEE"/>
    <w:rsid w:val="008A3F4B"/>
    <w:rsid w:val="008A4265"/>
    <w:rsid w:val="008A4803"/>
    <w:rsid w:val="008A4A78"/>
    <w:rsid w:val="008A4C0F"/>
    <w:rsid w:val="008A53B1"/>
    <w:rsid w:val="008A5557"/>
    <w:rsid w:val="008A5829"/>
    <w:rsid w:val="008A5CCD"/>
    <w:rsid w:val="008A644C"/>
    <w:rsid w:val="008A6987"/>
    <w:rsid w:val="008A770B"/>
    <w:rsid w:val="008A78EB"/>
    <w:rsid w:val="008B03EB"/>
    <w:rsid w:val="008B06C9"/>
    <w:rsid w:val="008B10FD"/>
    <w:rsid w:val="008B1226"/>
    <w:rsid w:val="008B15C5"/>
    <w:rsid w:val="008B1795"/>
    <w:rsid w:val="008B1F00"/>
    <w:rsid w:val="008B238C"/>
    <w:rsid w:val="008B2DF0"/>
    <w:rsid w:val="008B30AB"/>
    <w:rsid w:val="008B3A0C"/>
    <w:rsid w:val="008B419E"/>
    <w:rsid w:val="008B52B5"/>
    <w:rsid w:val="008B5495"/>
    <w:rsid w:val="008B5D49"/>
    <w:rsid w:val="008B5F1E"/>
    <w:rsid w:val="008B65D6"/>
    <w:rsid w:val="008B6E03"/>
    <w:rsid w:val="008B7200"/>
    <w:rsid w:val="008B730A"/>
    <w:rsid w:val="008B7691"/>
    <w:rsid w:val="008B7A0D"/>
    <w:rsid w:val="008B7ABC"/>
    <w:rsid w:val="008B7B34"/>
    <w:rsid w:val="008B7F82"/>
    <w:rsid w:val="008C04F8"/>
    <w:rsid w:val="008C0504"/>
    <w:rsid w:val="008C07B5"/>
    <w:rsid w:val="008C097E"/>
    <w:rsid w:val="008C0C2F"/>
    <w:rsid w:val="008C0FA4"/>
    <w:rsid w:val="008C2828"/>
    <w:rsid w:val="008C40A7"/>
    <w:rsid w:val="008C4470"/>
    <w:rsid w:val="008C57E6"/>
    <w:rsid w:val="008C6432"/>
    <w:rsid w:val="008C6462"/>
    <w:rsid w:val="008C68EE"/>
    <w:rsid w:val="008C6F46"/>
    <w:rsid w:val="008C760D"/>
    <w:rsid w:val="008D0F30"/>
    <w:rsid w:val="008D10F0"/>
    <w:rsid w:val="008D1569"/>
    <w:rsid w:val="008D2851"/>
    <w:rsid w:val="008D2B25"/>
    <w:rsid w:val="008D3F26"/>
    <w:rsid w:val="008D43B9"/>
    <w:rsid w:val="008D4E12"/>
    <w:rsid w:val="008D5218"/>
    <w:rsid w:val="008D52F7"/>
    <w:rsid w:val="008D569F"/>
    <w:rsid w:val="008D594D"/>
    <w:rsid w:val="008D5DDE"/>
    <w:rsid w:val="008D6626"/>
    <w:rsid w:val="008D6708"/>
    <w:rsid w:val="008D7884"/>
    <w:rsid w:val="008D7FAC"/>
    <w:rsid w:val="008E025F"/>
    <w:rsid w:val="008E06F4"/>
    <w:rsid w:val="008E08B7"/>
    <w:rsid w:val="008E0C11"/>
    <w:rsid w:val="008E0FF7"/>
    <w:rsid w:val="008E1B02"/>
    <w:rsid w:val="008E1F79"/>
    <w:rsid w:val="008E1F8A"/>
    <w:rsid w:val="008E2403"/>
    <w:rsid w:val="008E2976"/>
    <w:rsid w:val="008E2F11"/>
    <w:rsid w:val="008E3C20"/>
    <w:rsid w:val="008E45FC"/>
    <w:rsid w:val="008E51DC"/>
    <w:rsid w:val="008E5713"/>
    <w:rsid w:val="008E6383"/>
    <w:rsid w:val="008E6919"/>
    <w:rsid w:val="008E6924"/>
    <w:rsid w:val="008E69AD"/>
    <w:rsid w:val="008E6E13"/>
    <w:rsid w:val="008E7571"/>
    <w:rsid w:val="008F1438"/>
    <w:rsid w:val="008F1774"/>
    <w:rsid w:val="008F1EAD"/>
    <w:rsid w:val="008F2712"/>
    <w:rsid w:val="008F2746"/>
    <w:rsid w:val="008F3134"/>
    <w:rsid w:val="008F32B9"/>
    <w:rsid w:val="008F3743"/>
    <w:rsid w:val="008F3B1A"/>
    <w:rsid w:val="008F3ED5"/>
    <w:rsid w:val="008F3FDB"/>
    <w:rsid w:val="008F425B"/>
    <w:rsid w:val="008F48DA"/>
    <w:rsid w:val="008F4C2F"/>
    <w:rsid w:val="008F5228"/>
    <w:rsid w:val="008F5467"/>
    <w:rsid w:val="008F5EB9"/>
    <w:rsid w:val="008F75B7"/>
    <w:rsid w:val="008F7B66"/>
    <w:rsid w:val="008F7D91"/>
    <w:rsid w:val="008F7EDE"/>
    <w:rsid w:val="00900A03"/>
    <w:rsid w:val="00901832"/>
    <w:rsid w:val="0090191A"/>
    <w:rsid w:val="00903242"/>
    <w:rsid w:val="0090395A"/>
    <w:rsid w:val="00903E7C"/>
    <w:rsid w:val="00904118"/>
    <w:rsid w:val="0090468D"/>
    <w:rsid w:val="00904E0E"/>
    <w:rsid w:val="00906083"/>
    <w:rsid w:val="009061E1"/>
    <w:rsid w:val="00906310"/>
    <w:rsid w:val="00907533"/>
    <w:rsid w:val="0090756A"/>
    <w:rsid w:val="00907C14"/>
    <w:rsid w:val="00907E91"/>
    <w:rsid w:val="00907EDD"/>
    <w:rsid w:val="00907FA2"/>
    <w:rsid w:val="0091036F"/>
    <w:rsid w:val="009105A9"/>
    <w:rsid w:val="00910B53"/>
    <w:rsid w:val="009115FA"/>
    <w:rsid w:val="009117F7"/>
    <w:rsid w:val="0091228B"/>
    <w:rsid w:val="00912A9A"/>
    <w:rsid w:val="00912EB7"/>
    <w:rsid w:val="00912F6A"/>
    <w:rsid w:val="009136C7"/>
    <w:rsid w:val="00914701"/>
    <w:rsid w:val="00915277"/>
    <w:rsid w:val="009154FF"/>
    <w:rsid w:val="009155C5"/>
    <w:rsid w:val="00916080"/>
    <w:rsid w:val="009162D4"/>
    <w:rsid w:val="0091679B"/>
    <w:rsid w:val="00917453"/>
    <w:rsid w:val="009201B7"/>
    <w:rsid w:val="0092055A"/>
    <w:rsid w:val="00920EA3"/>
    <w:rsid w:val="009212BC"/>
    <w:rsid w:val="009213B7"/>
    <w:rsid w:val="009213F2"/>
    <w:rsid w:val="00921B78"/>
    <w:rsid w:val="009224F4"/>
    <w:rsid w:val="009226A3"/>
    <w:rsid w:val="009228DE"/>
    <w:rsid w:val="0092298E"/>
    <w:rsid w:val="0092307A"/>
    <w:rsid w:val="00923670"/>
    <w:rsid w:val="00924897"/>
    <w:rsid w:val="00924A9F"/>
    <w:rsid w:val="00924B56"/>
    <w:rsid w:val="00925064"/>
    <w:rsid w:val="0092538C"/>
    <w:rsid w:val="009254E4"/>
    <w:rsid w:val="009254E9"/>
    <w:rsid w:val="009256BB"/>
    <w:rsid w:val="009267B7"/>
    <w:rsid w:val="00927337"/>
    <w:rsid w:val="00927882"/>
    <w:rsid w:val="00930631"/>
    <w:rsid w:val="00931D92"/>
    <w:rsid w:val="009328D8"/>
    <w:rsid w:val="00932A36"/>
    <w:rsid w:val="00932D1A"/>
    <w:rsid w:val="009335A6"/>
    <w:rsid w:val="00934089"/>
    <w:rsid w:val="009350E6"/>
    <w:rsid w:val="00935355"/>
    <w:rsid w:val="0093582D"/>
    <w:rsid w:val="00935F71"/>
    <w:rsid w:val="0093628B"/>
    <w:rsid w:val="00936949"/>
    <w:rsid w:val="00936EA2"/>
    <w:rsid w:val="009370A2"/>
    <w:rsid w:val="00937375"/>
    <w:rsid w:val="009378DB"/>
    <w:rsid w:val="00940AE3"/>
    <w:rsid w:val="00940DE6"/>
    <w:rsid w:val="00940E27"/>
    <w:rsid w:val="00941338"/>
    <w:rsid w:val="00941CCA"/>
    <w:rsid w:val="00941FCA"/>
    <w:rsid w:val="0094207D"/>
    <w:rsid w:val="009423CB"/>
    <w:rsid w:val="00942B27"/>
    <w:rsid w:val="00942C5F"/>
    <w:rsid w:val="00942D61"/>
    <w:rsid w:val="00944414"/>
    <w:rsid w:val="00944A75"/>
    <w:rsid w:val="009452AB"/>
    <w:rsid w:val="009476E1"/>
    <w:rsid w:val="00947914"/>
    <w:rsid w:val="00950496"/>
    <w:rsid w:val="00951F10"/>
    <w:rsid w:val="009523F9"/>
    <w:rsid w:val="00952ADD"/>
    <w:rsid w:val="009532FB"/>
    <w:rsid w:val="009539AF"/>
    <w:rsid w:val="009543D6"/>
    <w:rsid w:val="0095534B"/>
    <w:rsid w:val="0095536A"/>
    <w:rsid w:val="009553FE"/>
    <w:rsid w:val="00955693"/>
    <w:rsid w:val="0095572F"/>
    <w:rsid w:val="00955A22"/>
    <w:rsid w:val="00955AC0"/>
    <w:rsid w:val="00956A8A"/>
    <w:rsid w:val="00956A95"/>
    <w:rsid w:val="00956C8F"/>
    <w:rsid w:val="00956CFA"/>
    <w:rsid w:val="00957C74"/>
    <w:rsid w:val="00957D04"/>
    <w:rsid w:val="009600FD"/>
    <w:rsid w:val="00960EBE"/>
    <w:rsid w:val="009611DF"/>
    <w:rsid w:val="00961309"/>
    <w:rsid w:val="009616E9"/>
    <w:rsid w:val="009619E8"/>
    <w:rsid w:val="00962074"/>
    <w:rsid w:val="0096307B"/>
    <w:rsid w:val="00963708"/>
    <w:rsid w:val="00963892"/>
    <w:rsid w:val="009640AC"/>
    <w:rsid w:val="00964294"/>
    <w:rsid w:val="009645A0"/>
    <w:rsid w:val="00964799"/>
    <w:rsid w:val="00964A9F"/>
    <w:rsid w:val="00964CED"/>
    <w:rsid w:val="00965504"/>
    <w:rsid w:val="009658AE"/>
    <w:rsid w:val="0096595D"/>
    <w:rsid w:val="00966F2B"/>
    <w:rsid w:val="00967158"/>
    <w:rsid w:val="00967CB2"/>
    <w:rsid w:val="0097008A"/>
    <w:rsid w:val="009703DE"/>
    <w:rsid w:val="00970C7B"/>
    <w:rsid w:val="00970CC1"/>
    <w:rsid w:val="00970DE0"/>
    <w:rsid w:val="0097142E"/>
    <w:rsid w:val="00971C8A"/>
    <w:rsid w:val="00971F70"/>
    <w:rsid w:val="009743EE"/>
    <w:rsid w:val="0097640E"/>
    <w:rsid w:val="009765E2"/>
    <w:rsid w:val="0097695B"/>
    <w:rsid w:val="0097785F"/>
    <w:rsid w:val="00980032"/>
    <w:rsid w:val="00980958"/>
    <w:rsid w:val="00981492"/>
    <w:rsid w:val="009815AD"/>
    <w:rsid w:val="00981893"/>
    <w:rsid w:val="00981F84"/>
    <w:rsid w:val="009820D6"/>
    <w:rsid w:val="0098241A"/>
    <w:rsid w:val="009830A6"/>
    <w:rsid w:val="009833CD"/>
    <w:rsid w:val="0098343F"/>
    <w:rsid w:val="00983469"/>
    <w:rsid w:val="00983598"/>
    <w:rsid w:val="009839C3"/>
    <w:rsid w:val="0098448B"/>
    <w:rsid w:val="009848FC"/>
    <w:rsid w:val="00984A0C"/>
    <w:rsid w:val="00984EEF"/>
    <w:rsid w:val="009859ED"/>
    <w:rsid w:val="009863FA"/>
    <w:rsid w:val="0098659F"/>
    <w:rsid w:val="00986CC4"/>
    <w:rsid w:val="00987F1A"/>
    <w:rsid w:val="00990D79"/>
    <w:rsid w:val="00992349"/>
    <w:rsid w:val="009925B4"/>
    <w:rsid w:val="009928F2"/>
    <w:rsid w:val="009929E8"/>
    <w:rsid w:val="0099305A"/>
    <w:rsid w:val="009940AB"/>
    <w:rsid w:val="00994A19"/>
    <w:rsid w:val="00994DE5"/>
    <w:rsid w:val="0099569D"/>
    <w:rsid w:val="00995D95"/>
    <w:rsid w:val="00995EF7"/>
    <w:rsid w:val="00996B1F"/>
    <w:rsid w:val="0099741B"/>
    <w:rsid w:val="009A0946"/>
    <w:rsid w:val="009A09E4"/>
    <w:rsid w:val="009A0A93"/>
    <w:rsid w:val="009A1102"/>
    <w:rsid w:val="009A1F88"/>
    <w:rsid w:val="009A2932"/>
    <w:rsid w:val="009A2B90"/>
    <w:rsid w:val="009A2B9E"/>
    <w:rsid w:val="009A2F80"/>
    <w:rsid w:val="009A345D"/>
    <w:rsid w:val="009A3D29"/>
    <w:rsid w:val="009A5193"/>
    <w:rsid w:val="009A525A"/>
    <w:rsid w:val="009A5435"/>
    <w:rsid w:val="009A7091"/>
    <w:rsid w:val="009A7418"/>
    <w:rsid w:val="009A7556"/>
    <w:rsid w:val="009A766A"/>
    <w:rsid w:val="009B067F"/>
    <w:rsid w:val="009B15D5"/>
    <w:rsid w:val="009B21D6"/>
    <w:rsid w:val="009B2D82"/>
    <w:rsid w:val="009B3902"/>
    <w:rsid w:val="009B41AF"/>
    <w:rsid w:val="009B41C2"/>
    <w:rsid w:val="009B4586"/>
    <w:rsid w:val="009B45C2"/>
    <w:rsid w:val="009B49FA"/>
    <w:rsid w:val="009B641A"/>
    <w:rsid w:val="009B66A8"/>
    <w:rsid w:val="009B6AB0"/>
    <w:rsid w:val="009B7D1C"/>
    <w:rsid w:val="009C0365"/>
    <w:rsid w:val="009C0F8C"/>
    <w:rsid w:val="009C1091"/>
    <w:rsid w:val="009C21BA"/>
    <w:rsid w:val="009C2342"/>
    <w:rsid w:val="009C3A99"/>
    <w:rsid w:val="009C3D48"/>
    <w:rsid w:val="009C3D8D"/>
    <w:rsid w:val="009C3E33"/>
    <w:rsid w:val="009C4182"/>
    <w:rsid w:val="009C4A5B"/>
    <w:rsid w:val="009C4CBB"/>
    <w:rsid w:val="009C5ADB"/>
    <w:rsid w:val="009C5F12"/>
    <w:rsid w:val="009C63C8"/>
    <w:rsid w:val="009C64FC"/>
    <w:rsid w:val="009C7380"/>
    <w:rsid w:val="009D0901"/>
    <w:rsid w:val="009D0A7E"/>
    <w:rsid w:val="009D0FE2"/>
    <w:rsid w:val="009D125C"/>
    <w:rsid w:val="009D13DF"/>
    <w:rsid w:val="009D16ED"/>
    <w:rsid w:val="009D1916"/>
    <w:rsid w:val="009D2117"/>
    <w:rsid w:val="009D2FF0"/>
    <w:rsid w:val="009D3218"/>
    <w:rsid w:val="009D35C0"/>
    <w:rsid w:val="009D476E"/>
    <w:rsid w:val="009D4772"/>
    <w:rsid w:val="009D58B9"/>
    <w:rsid w:val="009D5909"/>
    <w:rsid w:val="009D59F4"/>
    <w:rsid w:val="009D67D8"/>
    <w:rsid w:val="009D691D"/>
    <w:rsid w:val="009D7FDD"/>
    <w:rsid w:val="009E0235"/>
    <w:rsid w:val="009E19E5"/>
    <w:rsid w:val="009E21F9"/>
    <w:rsid w:val="009E25C1"/>
    <w:rsid w:val="009E2B31"/>
    <w:rsid w:val="009E3386"/>
    <w:rsid w:val="009E39E9"/>
    <w:rsid w:val="009E65A1"/>
    <w:rsid w:val="009E7995"/>
    <w:rsid w:val="009E7BDE"/>
    <w:rsid w:val="009E7F0C"/>
    <w:rsid w:val="009E7F81"/>
    <w:rsid w:val="009F0F36"/>
    <w:rsid w:val="009F16F0"/>
    <w:rsid w:val="009F2EFF"/>
    <w:rsid w:val="009F3C29"/>
    <w:rsid w:val="009F3CE9"/>
    <w:rsid w:val="009F3FB0"/>
    <w:rsid w:val="009F45CD"/>
    <w:rsid w:val="009F4847"/>
    <w:rsid w:val="009F49BB"/>
    <w:rsid w:val="009F4E35"/>
    <w:rsid w:val="009F560A"/>
    <w:rsid w:val="009F58B8"/>
    <w:rsid w:val="009F5AA9"/>
    <w:rsid w:val="009F5FAF"/>
    <w:rsid w:val="009F6A4F"/>
    <w:rsid w:val="009F6B8E"/>
    <w:rsid w:val="009F6B93"/>
    <w:rsid w:val="00A00847"/>
    <w:rsid w:val="00A0094C"/>
    <w:rsid w:val="00A01143"/>
    <w:rsid w:val="00A01FFE"/>
    <w:rsid w:val="00A02106"/>
    <w:rsid w:val="00A02297"/>
    <w:rsid w:val="00A028D8"/>
    <w:rsid w:val="00A034FF"/>
    <w:rsid w:val="00A03BEE"/>
    <w:rsid w:val="00A03C44"/>
    <w:rsid w:val="00A03D28"/>
    <w:rsid w:val="00A04052"/>
    <w:rsid w:val="00A04172"/>
    <w:rsid w:val="00A05741"/>
    <w:rsid w:val="00A062DA"/>
    <w:rsid w:val="00A06B24"/>
    <w:rsid w:val="00A10D42"/>
    <w:rsid w:val="00A10D8F"/>
    <w:rsid w:val="00A10E33"/>
    <w:rsid w:val="00A113C8"/>
    <w:rsid w:val="00A11C2B"/>
    <w:rsid w:val="00A1243F"/>
    <w:rsid w:val="00A129DD"/>
    <w:rsid w:val="00A12CB6"/>
    <w:rsid w:val="00A13315"/>
    <w:rsid w:val="00A1366B"/>
    <w:rsid w:val="00A13A2B"/>
    <w:rsid w:val="00A14658"/>
    <w:rsid w:val="00A14872"/>
    <w:rsid w:val="00A14FE8"/>
    <w:rsid w:val="00A15FC6"/>
    <w:rsid w:val="00A1625F"/>
    <w:rsid w:val="00A177D6"/>
    <w:rsid w:val="00A201A8"/>
    <w:rsid w:val="00A20F13"/>
    <w:rsid w:val="00A21101"/>
    <w:rsid w:val="00A2157D"/>
    <w:rsid w:val="00A21D1D"/>
    <w:rsid w:val="00A21F98"/>
    <w:rsid w:val="00A241F0"/>
    <w:rsid w:val="00A24CEF"/>
    <w:rsid w:val="00A24F3E"/>
    <w:rsid w:val="00A25309"/>
    <w:rsid w:val="00A25B15"/>
    <w:rsid w:val="00A261E4"/>
    <w:rsid w:val="00A2793D"/>
    <w:rsid w:val="00A30BA5"/>
    <w:rsid w:val="00A30BFA"/>
    <w:rsid w:val="00A31B9E"/>
    <w:rsid w:val="00A3270D"/>
    <w:rsid w:val="00A32C02"/>
    <w:rsid w:val="00A33BDC"/>
    <w:rsid w:val="00A33D1C"/>
    <w:rsid w:val="00A347A1"/>
    <w:rsid w:val="00A354D5"/>
    <w:rsid w:val="00A35659"/>
    <w:rsid w:val="00A35972"/>
    <w:rsid w:val="00A35C01"/>
    <w:rsid w:val="00A35E06"/>
    <w:rsid w:val="00A35F78"/>
    <w:rsid w:val="00A360DF"/>
    <w:rsid w:val="00A37278"/>
    <w:rsid w:val="00A372FF"/>
    <w:rsid w:val="00A4047A"/>
    <w:rsid w:val="00A424B9"/>
    <w:rsid w:val="00A42746"/>
    <w:rsid w:val="00A4274B"/>
    <w:rsid w:val="00A43294"/>
    <w:rsid w:val="00A43CAC"/>
    <w:rsid w:val="00A448B7"/>
    <w:rsid w:val="00A44A1E"/>
    <w:rsid w:val="00A44E57"/>
    <w:rsid w:val="00A45460"/>
    <w:rsid w:val="00A45C78"/>
    <w:rsid w:val="00A45D96"/>
    <w:rsid w:val="00A4626F"/>
    <w:rsid w:val="00A463F7"/>
    <w:rsid w:val="00A46731"/>
    <w:rsid w:val="00A46738"/>
    <w:rsid w:val="00A46FF6"/>
    <w:rsid w:val="00A501DC"/>
    <w:rsid w:val="00A5154D"/>
    <w:rsid w:val="00A52132"/>
    <w:rsid w:val="00A52581"/>
    <w:rsid w:val="00A527DB"/>
    <w:rsid w:val="00A52AAD"/>
    <w:rsid w:val="00A53072"/>
    <w:rsid w:val="00A5340D"/>
    <w:rsid w:val="00A53C5E"/>
    <w:rsid w:val="00A54620"/>
    <w:rsid w:val="00A54745"/>
    <w:rsid w:val="00A5484F"/>
    <w:rsid w:val="00A554AC"/>
    <w:rsid w:val="00A56686"/>
    <w:rsid w:val="00A56728"/>
    <w:rsid w:val="00A56857"/>
    <w:rsid w:val="00A5698B"/>
    <w:rsid w:val="00A56A4E"/>
    <w:rsid w:val="00A56F5D"/>
    <w:rsid w:val="00A57FD5"/>
    <w:rsid w:val="00A6084F"/>
    <w:rsid w:val="00A615BC"/>
    <w:rsid w:val="00A61EAD"/>
    <w:rsid w:val="00A61FEA"/>
    <w:rsid w:val="00A6277C"/>
    <w:rsid w:val="00A6292B"/>
    <w:rsid w:val="00A62F32"/>
    <w:rsid w:val="00A63532"/>
    <w:rsid w:val="00A64010"/>
    <w:rsid w:val="00A642C0"/>
    <w:rsid w:val="00A64C04"/>
    <w:rsid w:val="00A64DC9"/>
    <w:rsid w:val="00A6583D"/>
    <w:rsid w:val="00A658AD"/>
    <w:rsid w:val="00A661B4"/>
    <w:rsid w:val="00A67058"/>
    <w:rsid w:val="00A670CE"/>
    <w:rsid w:val="00A71294"/>
    <w:rsid w:val="00A71977"/>
    <w:rsid w:val="00A719AC"/>
    <w:rsid w:val="00A71A6E"/>
    <w:rsid w:val="00A726D2"/>
    <w:rsid w:val="00A72E25"/>
    <w:rsid w:val="00A73F33"/>
    <w:rsid w:val="00A7425C"/>
    <w:rsid w:val="00A747F6"/>
    <w:rsid w:val="00A7558E"/>
    <w:rsid w:val="00A75881"/>
    <w:rsid w:val="00A767B7"/>
    <w:rsid w:val="00A77359"/>
    <w:rsid w:val="00A77E36"/>
    <w:rsid w:val="00A80BC4"/>
    <w:rsid w:val="00A80FD3"/>
    <w:rsid w:val="00A81441"/>
    <w:rsid w:val="00A81AF4"/>
    <w:rsid w:val="00A82137"/>
    <w:rsid w:val="00A82A4D"/>
    <w:rsid w:val="00A82E16"/>
    <w:rsid w:val="00A83512"/>
    <w:rsid w:val="00A83914"/>
    <w:rsid w:val="00A83E97"/>
    <w:rsid w:val="00A83ECF"/>
    <w:rsid w:val="00A86062"/>
    <w:rsid w:val="00A8608B"/>
    <w:rsid w:val="00A8666C"/>
    <w:rsid w:val="00A86734"/>
    <w:rsid w:val="00A87586"/>
    <w:rsid w:val="00A90220"/>
    <w:rsid w:val="00A90E19"/>
    <w:rsid w:val="00A9251E"/>
    <w:rsid w:val="00A93B9B"/>
    <w:rsid w:val="00A941FD"/>
    <w:rsid w:val="00A951B9"/>
    <w:rsid w:val="00A953E3"/>
    <w:rsid w:val="00A95426"/>
    <w:rsid w:val="00A95769"/>
    <w:rsid w:val="00A95B4D"/>
    <w:rsid w:val="00A95CED"/>
    <w:rsid w:val="00A9699E"/>
    <w:rsid w:val="00A96C09"/>
    <w:rsid w:val="00A97C83"/>
    <w:rsid w:val="00AA02E3"/>
    <w:rsid w:val="00AA070D"/>
    <w:rsid w:val="00AA0830"/>
    <w:rsid w:val="00AA194B"/>
    <w:rsid w:val="00AA1A9F"/>
    <w:rsid w:val="00AA1CDC"/>
    <w:rsid w:val="00AA456A"/>
    <w:rsid w:val="00AA4971"/>
    <w:rsid w:val="00AA5BD1"/>
    <w:rsid w:val="00AA5D4C"/>
    <w:rsid w:val="00AA6988"/>
    <w:rsid w:val="00AA732C"/>
    <w:rsid w:val="00AA75A5"/>
    <w:rsid w:val="00AA7761"/>
    <w:rsid w:val="00AB2174"/>
    <w:rsid w:val="00AB338F"/>
    <w:rsid w:val="00AB3C4E"/>
    <w:rsid w:val="00AB46A8"/>
    <w:rsid w:val="00AB47CB"/>
    <w:rsid w:val="00AB514F"/>
    <w:rsid w:val="00AB536E"/>
    <w:rsid w:val="00AB540A"/>
    <w:rsid w:val="00AB56DB"/>
    <w:rsid w:val="00AB5D98"/>
    <w:rsid w:val="00AB6B48"/>
    <w:rsid w:val="00AB7028"/>
    <w:rsid w:val="00AB7489"/>
    <w:rsid w:val="00AB7E78"/>
    <w:rsid w:val="00AC03BE"/>
    <w:rsid w:val="00AC085F"/>
    <w:rsid w:val="00AC0D35"/>
    <w:rsid w:val="00AC0E4C"/>
    <w:rsid w:val="00AC22A9"/>
    <w:rsid w:val="00AC27BC"/>
    <w:rsid w:val="00AC41F2"/>
    <w:rsid w:val="00AC4365"/>
    <w:rsid w:val="00AC437E"/>
    <w:rsid w:val="00AC45C1"/>
    <w:rsid w:val="00AC516C"/>
    <w:rsid w:val="00AC5277"/>
    <w:rsid w:val="00AC54B4"/>
    <w:rsid w:val="00AC5786"/>
    <w:rsid w:val="00AC57A1"/>
    <w:rsid w:val="00AC5B86"/>
    <w:rsid w:val="00AC64AF"/>
    <w:rsid w:val="00AC65BF"/>
    <w:rsid w:val="00AC6FF1"/>
    <w:rsid w:val="00AC7240"/>
    <w:rsid w:val="00AD124D"/>
    <w:rsid w:val="00AD1474"/>
    <w:rsid w:val="00AD22AD"/>
    <w:rsid w:val="00AD2A6E"/>
    <w:rsid w:val="00AD2C7F"/>
    <w:rsid w:val="00AD3605"/>
    <w:rsid w:val="00AD380C"/>
    <w:rsid w:val="00AD3BA1"/>
    <w:rsid w:val="00AD43C3"/>
    <w:rsid w:val="00AD4608"/>
    <w:rsid w:val="00AD4A9F"/>
    <w:rsid w:val="00AD4EFE"/>
    <w:rsid w:val="00AD528F"/>
    <w:rsid w:val="00AD535D"/>
    <w:rsid w:val="00AD72A5"/>
    <w:rsid w:val="00AD7447"/>
    <w:rsid w:val="00AD778A"/>
    <w:rsid w:val="00AE0193"/>
    <w:rsid w:val="00AE024A"/>
    <w:rsid w:val="00AE036F"/>
    <w:rsid w:val="00AE0718"/>
    <w:rsid w:val="00AE0958"/>
    <w:rsid w:val="00AE0CE0"/>
    <w:rsid w:val="00AE17EF"/>
    <w:rsid w:val="00AE1885"/>
    <w:rsid w:val="00AE1BB2"/>
    <w:rsid w:val="00AE1C19"/>
    <w:rsid w:val="00AE1E7D"/>
    <w:rsid w:val="00AE2951"/>
    <w:rsid w:val="00AE3517"/>
    <w:rsid w:val="00AE3C03"/>
    <w:rsid w:val="00AE3C70"/>
    <w:rsid w:val="00AE478E"/>
    <w:rsid w:val="00AE4FB0"/>
    <w:rsid w:val="00AE4FCC"/>
    <w:rsid w:val="00AE54C8"/>
    <w:rsid w:val="00AE6763"/>
    <w:rsid w:val="00AE682A"/>
    <w:rsid w:val="00AE6B4C"/>
    <w:rsid w:val="00AE6F0A"/>
    <w:rsid w:val="00AE6FF5"/>
    <w:rsid w:val="00AE71E0"/>
    <w:rsid w:val="00AE749E"/>
    <w:rsid w:val="00AF00BB"/>
    <w:rsid w:val="00AF039C"/>
    <w:rsid w:val="00AF0430"/>
    <w:rsid w:val="00AF0D4D"/>
    <w:rsid w:val="00AF134E"/>
    <w:rsid w:val="00AF135E"/>
    <w:rsid w:val="00AF1B4D"/>
    <w:rsid w:val="00AF259D"/>
    <w:rsid w:val="00AF3133"/>
    <w:rsid w:val="00AF362F"/>
    <w:rsid w:val="00AF36C5"/>
    <w:rsid w:val="00AF38AD"/>
    <w:rsid w:val="00AF4736"/>
    <w:rsid w:val="00AF4D7C"/>
    <w:rsid w:val="00AF4DA0"/>
    <w:rsid w:val="00AF4E7B"/>
    <w:rsid w:val="00AF66B2"/>
    <w:rsid w:val="00AF6C7B"/>
    <w:rsid w:val="00AF6D46"/>
    <w:rsid w:val="00AF6EAA"/>
    <w:rsid w:val="00AF775D"/>
    <w:rsid w:val="00B00221"/>
    <w:rsid w:val="00B004F1"/>
    <w:rsid w:val="00B00BDA"/>
    <w:rsid w:val="00B00EE4"/>
    <w:rsid w:val="00B0106C"/>
    <w:rsid w:val="00B010B3"/>
    <w:rsid w:val="00B019DE"/>
    <w:rsid w:val="00B02120"/>
    <w:rsid w:val="00B02EDB"/>
    <w:rsid w:val="00B0332F"/>
    <w:rsid w:val="00B035DB"/>
    <w:rsid w:val="00B03B2D"/>
    <w:rsid w:val="00B03DD0"/>
    <w:rsid w:val="00B03FCF"/>
    <w:rsid w:val="00B04064"/>
    <w:rsid w:val="00B04F11"/>
    <w:rsid w:val="00B05AC8"/>
    <w:rsid w:val="00B06187"/>
    <w:rsid w:val="00B06320"/>
    <w:rsid w:val="00B07C79"/>
    <w:rsid w:val="00B1000A"/>
    <w:rsid w:val="00B11247"/>
    <w:rsid w:val="00B11BB2"/>
    <w:rsid w:val="00B11EE7"/>
    <w:rsid w:val="00B12220"/>
    <w:rsid w:val="00B12698"/>
    <w:rsid w:val="00B133BE"/>
    <w:rsid w:val="00B13AC0"/>
    <w:rsid w:val="00B14727"/>
    <w:rsid w:val="00B152E3"/>
    <w:rsid w:val="00B157E8"/>
    <w:rsid w:val="00B15A3F"/>
    <w:rsid w:val="00B16106"/>
    <w:rsid w:val="00B164E7"/>
    <w:rsid w:val="00B16B36"/>
    <w:rsid w:val="00B17189"/>
    <w:rsid w:val="00B2103E"/>
    <w:rsid w:val="00B22279"/>
    <w:rsid w:val="00B22B97"/>
    <w:rsid w:val="00B23343"/>
    <w:rsid w:val="00B23907"/>
    <w:rsid w:val="00B23E21"/>
    <w:rsid w:val="00B242A9"/>
    <w:rsid w:val="00B244D7"/>
    <w:rsid w:val="00B249C9"/>
    <w:rsid w:val="00B24C81"/>
    <w:rsid w:val="00B25780"/>
    <w:rsid w:val="00B2581E"/>
    <w:rsid w:val="00B26536"/>
    <w:rsid w:val="00B26CA7"/>
    <w:rsid w:val="00B26DD1"/>
    <w:rsid w:val="00B26F5E"/>
    <w:rsid w:val="00B26FDF"/>
    <w:rsid w:val="00B30125"/>
    <w:rsid w:val="00B303FB"/>
    <w:rsid w:val="00B30B6F"/>
    <w:rsid w:val="00B30CAB"/>
    <w:rsid w:val="00B310DC"/>
    <w:rsid w:val="00B320BC"/>
    <w:rsid w:val="00B32440"/>
    <w:rsid w:val="00B32B0E"/>
    <w:rsid w:val="00B32C5C"/>
    <w:rsid w:val="00B3349C"/>
    <w:rsid w:val="00B334B3"/>
    <w:rsid w:val="00B33C39"/>
    <w:rsid w:val="00B361D9"/>
    <w:rsid w:val="00B3656E"/>
    <w:rsid w:val="00B365A8"/>
    <w:rsid w:val="00B36EAE"/>
    <w:rsid w:val="00B3715B"/>
    <w:rsid w:val="00B3722C"/>
    <w:rsid w:val="00B372B6"/>
    <w:rsid w:val="00B411AB"/>
    <w:rsid w:val="00B41A16"/>
    <w:rsid w:val="00B41CC1"/>
    <w:rsid w:val="00B41FFF"/>
    <w:rsid w:val="00B4236C"/>
    <w:rsid w:val="00B42BD9"/>
    <w:rsid w:val="00B43132"/>
    <w:rsid w:val="00B43238"/>
    <w:rsid w:val="00B43CE9"/>
    <w:rsid w:val="00B43FA2"/>
    <w:rsid w:val="00B44807"/>
    <w:rsid w:val="00B44B3A"/>
    <w:rsid w:val="00B45349"/>
    <w:rsid w:val="00B45479"/>
    <w:rsid w:val="00B45AE1"/>
    <w:rsid w:val="00B46A92"/>
    <w:rsid w:val="00B50E44"/>
    <w:rsid w:val="00B515CA"/>
    <w:rsid w:val="00B51732"/>
    <w:rsid w:val="00B52BC4"/>
    <w:rsid w:val="00B52E82"/>
    <w:rsid w:val="00B5324E"/>
    <w:rsid w:val="00B537D2"/>
    <w:rsid w:val="00B540D8"/>
    <w:rsid w:val="00B5466D"/>
    <w:rsid w:val="00B54E61"/>
    <w:rsid w:val="00B54EBC"/>
    <w:rsid w:val="00B5548B"/>
    <w:rsid w:val="00B55856"/>
    <w:rsid w:val="00B570F0"/>
    <w:rsid w:val="00B579B9"/>
    <w:rsid w:val="00B60B97"/>
    <w:rsid w:val="00B60C3B"/>
    <w:rsid w:val="00B60C58"/>
    <w:rsid w:val="00B61300"/>
    <w:rsid w:val="00B618BE"/>
    <w:rsid w:val="00B62553"/>
    <w:rsid w:val="00B637E5"/>
    <w:rsid w:val="00B63CDD"/>
    <w:rsid w:val="00B64275"/>
    <w:rsid w:val="00B64422"/>
    <w:rsid w:val="00B64474"/>
    <w:rsid w:val="00B64BCB"/>
    <w:rsid w:val="00B652DC"/>
    <w:rsid w:val="00B658B8"/>
    <w:rsid w:val="00B65B4B"/>
    <w:rsid w:val="00B65CAF"/>
    <w:rsid w:val="00B65EA2"/>
    <w:rsid w:val="00B6694C"/>
    <w:rsid w:val="00B671E0"/>
    <w:rsid w:val="00B6781D"/>
    <w:rsid w:val="00B67BE1"/>
    <w:rsid w:val="00B7068A"/>
    <w:rsid w:val="00B721ED"/>
    <w:rsid w:val="00B75BC1"/>
    <w:rsid w:val="00B75D04"/>
    <w:rsid w:val="00B762A1"/>
    <w:rsid w:val="00B76D80"/>
    <w:rsid w:val="00B76F1E"/>
    <w:rsid w:val="00B7742F"/>
    <w:rsid w:val="00B775FF"/>
    <w:rsid w:val="00B77810"/>
    <w:rsid w:val="00B77C4A"/>
    <w:rsid w:val="00B77E1E"/>
    <w:rsid w:val="00B802B9"/>
    <w:rsid w:val="00B81B89"/>
    <w:rsid w:val="00B81FAB"/>
    <w:rsid w:val="00B82161"/>
    <w:rsid w:val="00B82AEC"/>
    <w:rsid w:val="00B82C8A"/>
    <w:rsid w:val="00B82CA5"/>
    <w:rsid w:val="00B82CD5"/>
    <w:rsid w:val="00B83A5A"/>
    <w:rsid w:val="00B83CE1"/>
    <w:rsid w:val="00B8409D"/>
    <w:rsid w:val="00B840CC"/>
    <w:rsid w:val="00B8492E"/>
    <w:rsid w:val="00B84A81"/>
    <w:rsid w:val="00B858FF"/>
    <w:rsid w:val="00B85CC3"/>
    <w:rsid w:val="00B868BF"/>
    <w:rsid w:val="00B87AAA"/>
    <w:rsid w:val="00B9045B"/>
    <w:rsid w:val="00B905C8"/>
    <w:rsid w:val="00B90DA8"/>
    <w:rsid w:val="00B9149F"/>
    <w:rsid w:val="00B91729"/>
    <w:rsid w:val="00B91776"/>
    <w:rsid w:val="00B91B54"/>
    <w:rsid w:val="00B92A30"/>
    <w:rsid w:val="00B92C15"/>
    <w:rsid w:val="00B92C76"/>
    <w:rsid w:val="00B92CE3"/>
    <w:rsid w:val="00B9310B"/>
    <w:rsid w:val="00B9359B"/>
    <w:rsid w:val="00B93783"/>
    <w:rsid w:val="00B937AE"/>
    <w:rsid w:val="00B94113"/>
    <w:rsid w:val="00B94909"/>
    <w:rsid w:val="00B94921"/>
    <w:rsid w:val="00B94A7C"/>
    <w:rsid w:val="00B94ADA"/>
    <w:rsid w:val="00B94BF9"/>
    <w:rsid w:val="00B94EB5"/>
    <w:rsid w:val="00B94F33"/>
    <w:rsid w:val="00B95D10"/>
    <w:rsid w:val="00B9605A"/>
    <w:rsid w:val="00B96505"/>
    <w:rsid w:val="00B96607"/>
    <w:rsid w:val="00B97912"/>
    <w:rsid w:val="00BA0238"/>
    <w:rsid w:val="00BA0A2D"/>
    <w:rsid w:val="00BA0DB4"/>
    <w:rsid w:val="00BA0DFB"/>
    <w:rsid w:val="00BA14A2"/>
    <w:rsid w:val="00BA275F"/>
    <w:rsid w:val="00BA27C9"/>
    <w:rsid w:val="00BA295D"/>
    <w:rsid w:val="00BA2F4F"/>
    <w:rsid w:val="00BA3522"/>
    <w:rsid w:val="00BA4CA8"/>
    <w:rsid w:val="00BA4DEE"/>
    <w:rsid w:val="00BA4E7E"/>
    <w:rsid w:val="00BA56E5"/>
    <w:rsid w:val="00BA602D"/>
    <w:rsid w:val="00BA626D"/>
    <w:rsid w:val="00BA6A6F"/>
    <w:rsid w:val="00BA6F75"/>
    <w:rsid w:val="00BB03C0"/>
    <w:rsid w:val="00BB07A4"/>
    <w:rsid w:val="00BB0C2B"/>
    <w:rsid w:val="00BB0E71"/>
    <w:rsid w:val="00BB10FA"/>
    <w:rsid w:val="00BB1315"/>
    <w:rsid w:val="00BB18B8"/>
    <w:rsid w:val="00BB1BCD"/>
    <w:rsid w:val="00BB1CCC"/>
    <w:rsid w:val="00BB2353"/>
    <w:rsid w:val="00BB2A30"/>
    <w:rsid w:val="00BB2AE6"/>
    <w:rsid w:val="00BB3303"/>
    <w:rsid w:val="00BB3611"/>
    <w:rsid w:val="00BB36F3"/>
    <w:rsid w:val="00BB3876"/>
    <w:rsid w:val="00BB3914"/>
    <w:rsid w:val="00BB3E66"/>
    <w:rsid w:val="00BB4D6D"/>
    <w:rsid w:val="00BB4F25"/>
    <w:rsid w:val="00BB4FF9"/>
    <w:rsid w:val="00BB53EE"/>
    <w:rsid w:val="00BB74EE"/>
    <w:rsid w:val="00BB7C26"/>
    <w:rsid w:val="00BC029B"/>
    <w:rsid w:val="00BC047C"/>
    <w:rsid w:val="00BC0920"/>
    <w:rsid w:val="00BC0B17"/>
    <w:rsid w:val="00BC10A7"/>
    <w:rsid w:val="00BC164E"/>
    <w:rsid w:val="00BC194D"/>
    <w:rsid w:val="00BC2EB1"/>
    <w:rsid w:val="00BC3064"/>
    <w:rsid w:val="00BC3212"/>
    <w:rsid w:val="00BC40AB"/>
    <w:rsid w:val="00BC47AA"/>
    <w:rsid w:val="00BC4B15"/>
    <w:rsid w:val="00BC5562"/>
    <w:rsid w:val="00BC5A1B"/>
    <w:rsid w:val="00BC6112"/>
    <w:rsid w:val="00BC65B5"/>
    <w:rsid w:val="00BC6CC8"/>
    <w:rsid w:val="00BC7FD1"/>
    <w:rsid w:val="00BD0989"/>
    <w:rsid w:val="00BD1170"/>
    <w:rsid w:val="00BD139D"/>
    <w:rsid w:val="00BD1932"/>
    <w:rsid w:val="00BD23BA"/>
    <w:rsid w:val="00BD266E"/>
    <w:rsid w:val="00BD3492"/>
    <w:rsid w:val="00BD3DFE"/>
    <w:rsid w:val="00BD4096"/>
    <w:rsid w:val="00BD42BD"/>
    <w:rsid w:val="00BD467D"/>
    <w:rsid w:val="00BD46DC"/>
    <w:rsid w:val="00BD4F8B"/>
    <w:rsid w:val="00BD52D0"/>
    <w:rsid w:val="00BD567D"/>
    <w:rsid w:val="00BD60D3"/>
    <w:rsid w:val="00BD7C3A"/>
    <w:rsid w:val="00BE03D4"/>
    <w:rsid w:val="00BE0A5B"/>
    <w:rsid w:val="00BE0C94"/>
    <w:rsid w:val="00BE0EA7"/>
    <w:rsid w:val="00BE0F01"/>
    <w:rsid w:val="00BE10BB"/>
    <w:rsid w:val="00BE1263"/>
    <w:rsid w:val="00BE128C"/>
    <w:rsid w:val="00BE1433"/>
    <w:rsid w:val="00BE2351"/>
    <w:rsid w:val="00BE2790"/>
    <w:rsid w:val="00BE2D47"/>
    <w:rsid w:val="00BE30CD"/>
    <w:rsid w:val="00BE36F1"/>
    <w:rsid w:val="00BE3A2A"/>
    <w:rsid w:val="00BE4830"/>
    <w:rsid w:val="00BE5404"/>
    <w:rsid w:val="00BE5AE0"/>
    <w:rsid w:val="00BE5F19"/>
    <w:rsid w:val="00BE6F68"/>
    <w:rsid w:val="00BE733F"/>
    <w:rsid w:val="00BE7940"/>
    <w:rsid w:val="00BF0084"/>
    <w:rsid w:val="00BF012F"/>
    <w:rsid w:val="00BF02F0"/>
    <w:rsid w:val="00BF0C0E"/>
    <w:rsid w:val="00BF0D07"/>
    <w:rsid w:val="00BF241F"/>
    <w:rsid w:val="00BF2759"/>
    <w:rsid w:val="00BF2D7A"/>
    <w:rsid w:val="00BF2EEA"/>
    <w:rsid w:val="00BF3886"/>
    <w:rsid w:val="00BF42F8"/>
    <w:rsid w:val="00BF4368"/>
    <w:rsid w:val="00BF4666"/>
    <w:rsid w:val="00BF4B3F"/>
    <w:rsid w:val="00BF5285"/>
    <w:rsid w:val="00BF6328"/>
    <w:rsid w:val="00BF6A1A"/>
    <w:rsid w:val="00BF6C47"/>
    <w:rsid w:val="00BF7200"/>
    <w:rsid w:val="00BF77A5"/>
    <w:rsid w:val="00BF7861"/>
    <w:rsid w:val="00BF7A1E"/>
    <w:rsid w:val="00BF7EC5"/>
    <w:rsid w:val="00C002EA"/>
    <w:rsid w:val="00C00B25"/>
    <w:rsid w:val="00C00B8D"/>
    <w:rsid w:val="00C0120C"/>
    <w:rsid w:val="00C01B35"/>
    <w:rsid w:val="00C01FB7"/>
    <w:rsid w:val="00C02BF2"/>
    <w:rsid w:val="00C03304"/>
    <w:rsid w:val="00C03386"/>
    <w:rsid w:val="00C036DC"/>
    <w:rsid w:val="00C037EF"/>
    <w:rsid w:val="00C03CEB"/>
    <w:rsid w:val="00C041FF"/>
    <w:rsid w:val="00C0450E"/>
    <w:rsid w:val="00C04B53"/>
    <w:rsid w:val="00C04B6A"/>
    <w:rsid w:val="00C04EEB"/>
    <w:rsid w:val="00C051FA"/>
    <w:rsid w:val="00C054AE"/>
    <w:rsid w:val="00C05574"/>
    <w:rsid w:val="00C0584C"/>
    <w:rsid w:val="00C058F0"/>
    <w:rsid w:val="00C05BCE"/>
    <w:rsid w:val="00C06338"/>
    <w:rsid w:val="00C067DC"/>
    <w:rsid w:val="00C077A7"/>
    <w:rsid w:val="00C1021A"/>
    <w:rsid w:val="00C105E3"/>
    <w:rsid w:val="00C108CB"/>
    <w:rsid w:val="00C10C30"/>
    <w:rsid w:val="00C11D63"/>
    <w:rsid w:val="00C1320C"/>
    <w:rsid w:val="00C137FD"/>
    <w:rsid w:val="00C14022"/>
    <w:rsid w:val="00C16204"/>
    <w:rsid w:val="00C17010"/>
    <w:rsid w:val="00C17258"/>
    <w:rsid w:val="00C1757F"/>
    <w:rsid w:val="00C17C5E"/>
    <w:rsid w:val="00C17E1A"/>
    <w:rsid w:val="00C20900"/>
    <w:rsid w:val="00C21116"/>
    <w:rsid w:val="00C21CA2"/>
    <w:rsid w:val="00C221DD"/>
    <w:rsid w:val="00C2252C"/>
    <w:rsid w:val="00C2292B"/>
    <w:rsid w:val="00C22B3B"/>
    <w:rsid w:val="00C22E88"/>
    <w:rsid w:val="00C235F6"/>
    <w:rsid w:val="00C24000"/>
    <w:rsid w:val="00C2464E"/>
    <w:rsid w:val="00C24E58"/>
    <w:rsid w:val="00C258FF"/>
    <w:rsid w:val="00C25A53"/>
    <w:rsid w:val="00C25ABD"/>
    <w:rsid w:val="00C25EE3"/>
    <w:rsid w:val="00C2676D"/>
    <w:rsid w:val="00C2743A"/>
    <w:rsid w:val="00C27473"/>
    <w:rsid w:val="00C3001D"/>
    <w:rsid w:val="00C30461"/>
    <w:rsid w:val="00C3050D"/>
    <w:rsid w:val="00C311BC"/>
    <w:rsid w:val="00C31203"/>
    <w:rsid w:val="00C315CD"/>
    <w:rsid w:val="00C31B94"/>
    <w:rsid w:val="00C31BFE"/>
    <w:rsid w:val="00C32FEA"/>
    <w:rsid w:val="00C33219"/>
    <w:rsid w:val="00C333E8"/>
    <w:rsid w:val="00C33965"/>
    <w:rsid w:val="00C33AE5"/>
    <w:rsid w:val="00C33DB3"/>
    <w:rsid w:val="00C33DE6"/>
    <w:rsid w:val="00C33E5D"/>
    <w:rsid w:val="00C34057"/>
    <w:rsid w:val="00C361BA"/>
    <w:rsid w:val="00C365BE"/>
    <w:rsid w:val="00C366BF"/>
    <w:rsid w:val="00C3674F"/>
    <w:rsid w:val="00C40559"/>
    <w:rsid w:val="00C41A59"/>
    <w:rsid w:val="00C4299A"/>
    <w:rsid w:val="00C42D34"/>
    <w:rsid w:val="00C4413A"/>
    <w:rsid w:val="00C45946"/>
    <w:rsid w:val="00C45BEF"/>
    <w:rsid w:val="00C45DD6"/>
    <w:rsid w:val="00C46C1B"/>
    <w:rsid w:val="00C46CE5"/>
    <w:rsid w:val="00C46DCA"/>
    <w:rsid w:val="00C46F6D"/>
    <w:rsid w:val="00C5158F"/>
    <w:rsid w:val="00C519A9"/>
    <w:rsid w:val="00C52D4A"/>
    <w:rsid w:val="00C53EC6"/>
    <w:rsid w:val="00C54370"/>
    <w:rsid w:val="00C54525"/>
    <w:rsid w:val="00C5468F"/>
    <w:rsid w:val="00C54DAE"/>
    <w:rsid w:val="00C550ED"/>
    <w:rsid w:val="00C5536F"/>
    <w:rsid w:val="00C553E5"/>
    <w:rsid w:val="00C55FCC"/>
    <w:rsid w:val="00C5615A"/>
    <w:rsid w:val="00C566CA"/>
    <w:rsid w:val="00C56863"/>
    <w:rsid w:val="00C5736E"/>
    <w:rsid w:val="00C5743A"/>
    <w:rsid w:val="00C57627"/>
    <w:rsid w:val="00C57CBF"/>
    <w:rsid w:val="00C603A8"/>
    <w:rsid w:val="00C603BB"/>
    <w:rsid w:val="00C61E15"/>
    <w:rsid w:val="00C622AE"/>
    <w:rsid w:val="00C62443"/>
    <w:rsid w:val="00C62D69"/>
    <w:rsid w:val="00C636D4"/>
    <w:rsid w:val="00C64648"/>
    <w:rsid w:val="00C64E96"/>
    <w:rsid w:val="00C64EDF"/>
    <w:rsid w:val="00C651F0"/>
    <w:rsid w:val="00C653AD"/>
    <w:rsid w:val="00C65816"/>
    <w:rsid w:val="00C659ED"/>
    <w:rsid w:val="00C6650B"/>
    <w:rsid w:val="00C66553"/>
    <w:rsid w:val="00C66CB6"/>
    <w:rsid w:val="00C67470"/>
    <w:rsid w:val="00C679FA"/>
    <w:rsid w:val="00C67E72"/>
    <w:rsid w:val="00C70EB3"/>
    <w:rsid w:val="00C71AFB"/>
    <w:rsid w:val="00C73BAF"/>
    <w:rsid w:val="00C74327"/>
    <w:rsid w:val="00C7480A"/>
    <w:rsid w:val="00C75220"/>
    <w:rsid w:val="00C7527D"/>
    <w:rsid w:val="00C772A6"/>
    <w:rsid w:val="00C77404"/>
    <w:rsid w:val="00C77AFA"/>
    <w:rsid w:val="00C77B63"/>
    <w:rsid w:val="00C77BBD"/>
    <w:rsid w:val="00C77C60"/>
    <w:rsid w:val="00C805C5"/>
    <w:rsid w:val="00C80DA9"/>
    <w:rsid w:val="00C811AE"/>
    <w:rsid w:val="00C81BBB"/>
    <w:rsid w:val="00C8229A"/>
    <w:rsid w:val="00C82CF4"/>
    <w:rsid w:val="00C8369B"/>
    <w:rsid w:val="00C8399C"/>
    <w:rsid w:val="00C83BA0"/>
    <w:rsid w:val="00C84169"/>
    <w:rsid w:val="00C8504B"/>
    <w:rsid w:val="00C8536D"/>
    <w:rsid w:val="00C86062"/>
    <w:rsid w:val="00C86546"/>
    <w:rsid w:val="00C8667C"/>
    <w:rsid w:val="00C9016E"/>
    <w:rsid w:val="00C903E9"/>
    <w:rsid w:val="00C9071A"/>
    <w:rsid w:val="00C90A51"/>
    <w:rsid w:val="00C9105E"/>
    <w:rsid w:val="00C91189"/>
    <w:rsid w:val="00C91610"/>
    <w:rsid w:val="00C91FE8"/>
    <w:rsid w:val="00C92329"/>
    <w:rsid w:val="00C92512"/>
    <w:rsid w:val="00C93249"/>
    <w:rsid w:val="00C9355D"/>
    <w:rsid w:val="00C9378B"/>
    <w:rsid w:val="00C93AF9"/>
    <w:rsid w:val="00C93C24"/>
    <w:rsid w:val="00C94F81"/>
    <w:rsid w:val="00C951A9"/>
    <w:rsid w:val="00C9587D"/>
    <w:rsid w:val="00C95B2E"/>
    <w:rsid w:val="00C95BF7"/>
    <w:rsid w:val="00C95D36"/>
    <w:rsid w:val="00C96091"/>
    <w:rsid w:val="00C966BC"/>
    <w:rsid w:val="00C96D81"/>
    <w:rsid w:val="00C97336"/>
    <w:rsid w:val="00C97741"/>
    <w:rsid w:val="00C97913"/>
    <w:rsid w:val="00C97BCA"/>
    <w:rsid w:val="00C97BF2"/>
    <w:rsid w:val="00CA00CC"/>
    <w:rsid w:val="00CA06ED"/>
    <w:rsid w:val="00CA08B8"/>
    <w:rsid w:val="00CA0F20"/>
    <w:rsid w:val="00CA11F5"/>
    <w:rsid w:val="00CA1548"/>
    <w:rsid w:val="00CA1624"/>
    <w:rsid w:val="00CA1670"/>
    <w:rsid w:val="00CA2AC0"/>
    <w:rsid w:val="00CA2D57"/>
    <w:rsid w:val="00CA304C"/>
    <w:rsid w:val="00CA3F9D"/>
    <w:rsid w:val="00CA45DC"/>
    <w:rsid w:val="00CA49DB"/>
    <w:rsid w:val="00CA4CB4"/>
    <w:rsid w:val="00CA5D67"/>
    <w:rsid w:val="00CA63E9"/>
    <w:rsid w:val="00CA6970"/>
    <w:rsid w:val="00CA714A"/>
    <w:rsid w:val="00CA714F"/>
    <w:rsid w:val="00CA7449"/>
    <w:rsid w:val="00CA7E50"/>
    <w:rsid w:val="00CB0F45"/>
    <w:rsid w:val="00CB1F5B"/>
    <w:rsid w:val="00CB2DA1"/>
    <w:rsid w:val="00CB31BF"/>
    <w:rsid w:val="00CB365E"/>
    <w:rsid w:val="00CB39C3"/>
    <w:rsid w:val="00CB4336"/>
    <w:rsid w:val="00CB59CB"/>
    <w:rsid w:val="00CB67CA"/>
    <w:rsid w:val="00CB6D0E"/>
    <w:rsid w:val="00CB6E5E"/>
    <w:rsid w:val="00CB6EBD"/>
    <w:rsid w:val="00CB7557"/>
    <w:rsid w:val="00CC0E2E"/>
    <w:rsid w:val="00CC0E4A"/>
    <w:rsid w:val="00CC2034"/>
    <w:rsid w:val="00CC2A3B"/>
    <w:rsid w:val="00CC33B5"/>
    <w:rsid w:val="00CC3EB7"/>
    <w:rsid w:val="00CC3EE4"/>
    <w:rsid w:val="00CC494B"/>
    <w:rsid w:val="00CC4E30"/>
    <w:rsid w:val="00CC5618"/>
    <w:rsid w:val="00CC640C"/>
    <w:rsid w:val="00CC663A"/>
    <w:rsid w:val="00CC6C41"/>
    <w:rsid w:val="00CC6ECD"/>
    <w:rsid w:val="00CC70E5"/>
    <w:rsid w:val="00CC72E6"/>
    <w:rsid w:val="00CC78A8"/>
    <w:rsid w:val="00CD0240"/>
    <w:rsid w:val="00CD0C90"/>
    <w:rsid w:val="00CD162E"/>
    <w:rsid w:val="00CD1CAE"/>
    <w:rsid w:val="00CD2499"/>
    <w:rsid w:val="00CD299E"/>
    <w:rsid w:val="00CD3178"/>
    <w:rsid w:val="00CD3E67"/>
    <w:rsid w:val="00CD3F81"/>
    <w:rsid w:val="00CD4177"/>
    <w:rsid w:val="00CD4B1C"/>
    <w:rsid w:val="00CD576B"/>
    <w:rsid w:val="00CD6959"/>
    <w:rsid w:val="00CD6A90"/>
    <w:rsid w:val="00CD76BD"/>
    <w:rsid w:val="00CD7E04"/>
    <w:rsid w:val="00CE056F"/>
    <w:rsid w:val="00CE093E"/>
    <w:rsid w:val="00CE0949"/>
    <w:rsid w:val="00CE12A6"/>
    <w:rsid w:val="00CE1438"/>
    <w:rsid w:val="00CE2419"/>
    <w:rsid w:val="00CE263D"/>
    <w:rsid w:val="00CE2DD1"/>
    <w:rsid w:val="00CE37FC"/>
    <w:rsid w:val="00CE4250"/>
    <w:rsid w:val="00CE4658"/>
    <w:rsid w:val="00CE4BDC"/>
    <w:rsid w:val="00CE51B5"/>
    <w:rsid w:val="00CE58DC"/>
    <w:rsid w:val="00CE619D"/>
    <w:rsid w:val="00CE63AB"/>
    <w:rsid w:val="00CE7121"/>
    <w:rsid w:val="00CE7287"/>
    <w:rsid w:val="00CF0EA5"/>
    <w:rsid w:val="00CF177E"/>
    <w:rsid w:val="00CF1B7F"/>
    <w:rsid w:val="00CF20AC"/>
    <w:rsid w:val="00CF23EA"/>
    <w:rsid w:val="00CF26DB"/>
    <w:rsid w:val="00CF2D88"/>
    <w:rsid w:val="00CF321A"/>
    <w:rsid w:val="00CF43DF"/>
    <w:rsid w:val="00CF45DB"/>
    <w:rsid w:val="00CF48CC"/>
    <w:rsid w:val="00CF5087"/>
    <w:rsid w:val="00CF54FC"/>
    <w:rsid w:val="00CF64FA"/>
    <w:rsid w:val="00CF69F8"/>
    <w:rsid w:val="00CF6BFB"/>
    <w:rsid w:val="00CF7094"/>
    <w:rsid w:val="00CF7958"/>
    <w:rsid w:val="00D001B3"/>
    <w:rsid w:val="00D0033E"/>
    <w:rsid w:val="00D007B0"/>
    <w:rsid w:val="00D00FF6"/>
    <w:rsid w:val="00D01208"/>
    <w:rsid w:val="00D01CA9"/>
    <w:rsid w:val="00D01D74"/>
    <w:rsid w:val="00D022CA"/>
    <w:rsid w:val="00D03069"/>
    <w:rsid w:val="00D038C9"/>
    <w:rsid w:val="00D038FA"/>
    <w:rsid w:val="00D03C9B"/>
    <w:rsid w:val="00D0445C"/>
    <w:rsid w:val="00D0476A"/>
    <w:rsid w:val="00D05207"/>
    <w:rsid w:val="00D0551D"/>
    <w:rsid w:val="00D062D3"/>
    <w:rsid w:val="00D064F0"/>
    <w:rsid w:val="00D06B97"/>
    <w:rsid w:val="00D06E25"/>
    <w:rsid w:val="00D06F42"/>
    <w:rsid w:val="00D07191"/>
    <w:rsid w:val="00D07362"/>
    <w:rsid w:val="00D07D89"/>
    <w:rsid w:val="00D10C28"/>
    <w:rsid w:val="00D1120E"/>
    <w:rsid w:val="00D11680"/>
    <w:rsid w:val="00D11C61"/>
    <w:rsid w:val="00D123AC"/>
    <w:rsid w:val="00D12576"/>
    <w:rsid w:val="00D12E08"/>
    <w:rsid w:val="00D12F3F"/>
    <w:rsid w:val="00D135D9"/>
    <w:rsid w:val="00D15E73"/>
    <w:rsid w:val="00D17AAE"/>
    <w:rsid w:val="00D20539"/>
    <w:rsid w:val="00D21262"/>
    <w:rsid w:val="00D21D2B"/>
    <w:rsid w:val="00D21DD1"/>
    <w:rsid w:val="00D223D0"/>
    <w:rsid w:val="00D22535"/>
    <w:rsid w:val="00D2258F"/>
    <w:rsid w:val="00D22CBB"/>
    <w:rsid w:val="00D23902"/>
    <w:rsid w:val="00D239A2"/>
    <w:rsid w:val="00D2481E"/>
    <w:rsid w:val="00D24826"/>
    <w:rsid w:val="00D24BD5"/>
    <w:rsid w:val="00D261C0"/>
    <w:rsid w:val="00D26700"/>
    <w:rsid w:val="00D2787B"/>
    <w:rsid w:val="00D27A07"/>
    <w:rsid w:val="00D27DD9"/>
    <w:rsid w:val="00D27F5B"/>
    <w:rsid w:val="00D30062"/>
    <w:rsid w:val="00D3099B"/>
    <w:rsid w:val="00D30A5C"/>
    <w:rsid w:val="00D30BDE"/>
    <w:rsid w:val="00D30D90"/>
    <w:rsid w:val="00D31BD5"/>
    <w:rsid w:val="00D33181"/>
    <w:rsid w:val="00D339B8"/>
    <w:rsid w:val="00D3469F"/>
    <w:rsid w:val="00D34F8C"/>
    <w:rsid w:val="00D35A5E"/>
    <w:rsid w:val="00D36DB4"/>
    <w:rsid w:val="00D371AA"/>
    <w:rsid w:val="00D37DD3"/>
    <w:rsid w:val="00D411FE"/>
    <w:rsid w:val="00D41208"/>
    <w:rsid w:val="00D41240"/>
    <w:rsid w:val="00D4233C"/>
    <w:rsid w:val="00D42F79"/>
    <w:rsid w:val="00D434EE"/>
    <w:rsid w:val="00D43F0D"/>
    <w:rsid w:val="00D45075"/>
    <w:rsid w:val="00D4522F"/>
    <w:rsid w:val="00D45ED2"/>
    <w:rsid w:val="00D464B9"/>
    <w:rsid w:val="00D4673A"/>
    <w:rsid w:val="00D473BB"/>
    <w:rsid w:val="00D47E7E"/>
    <w:rsid w:val="00D50491"/>
    <w:rsid w:val="00D507C6"/>
    <w:rsid w:val="00D50AB3"/>
    <w:rsid w:val="00D50F94"/>
    <w:rsid w:val="00D5197E"/>
    <w:rsid w:val="00D5277F"/>
    <w:rsid w:val="00D53468"/>
    <w:rsid w:val="00D53534"/>
    <w:rsid w:val="00D53E23"/>
    <w:rsid w:val="00D544AD"/>
    <w:rsid w:val="00D54926"/>
    <w:rsid w:val="00D55903"/>
    <w:rsid w:val="00D57D10"/>
    <w:rsid w:val="00D57E4D"/>
    <w:rsid w:val="00D57F2B"/>
    <w:rsid w:val="00D60610"/>
    <w:rsid w:val="00D60DCD"/>
    <w:rsid w:val="00D60E9A"/>
    <w:rsid w:val="00D61936"/>
    <w:rsid w:val="00D6215C"/>
    <w:rsid w:val="00D6303B"/>
    <w:rsid w:val="00D63225"/>
    <w:rsid w:val="00D63F80"/>
    <w:rsid w:val="00D6449A"/>
    <w:rsid w:val="00D645A7"/>
    <w:rsid w:val="00D64C07"/>
    <w:rsid w:val="00D65204"/>
    <w:rsid w:val="00D656FA"/>
    <w:rsid w:val="00D65A77"/>
    <w:rsid w:val="00D65F5E"/>
    <w:rsid w:val="00D66B1D"/>
    <w:rsid w:val="00D66E68"/>
    <w:rsid w:val="00D67016"/>
    <w:rsid w:val="00D67543"/>
    <w:rsid w:val="00D678B7"/>
    <w:rsid w:val="00D67C5A"/>
    <w:rsid w:val="00D7009B"/>
    <w:rsid w:val="00D7057B"/>
    <w:rsid w:val="00D7105F"/>
    <w:rsid w:val="00D72315"/>
    <w:rsid w:val="00D72F46"/>
    <w:rsid w:val="00D73236"/>
    <w:rsid w:val="00D73C40"/>
    <w:rsid w:val="00D73E12"/>
    <w:rsid w:val="00D744B5"/>
    <w:rsid w:val="00D746F1"/>
    <w:rsid w:val="00D746F6"/>
    <w:rsid w:val="00D74BC4"/>
    <w:rsid w:val="00D762CA"/>
    <w:rsid w:val="00D777E3"/>
    <w:rsid w:val="00D77AFB"/>
    <w:rsid w:val="00D77D84"/>
    <w:rsid w:val="00D80039"/>
    <w:rsid w:val="00D80065"/>
    <w:rsid w:val="00D808F7"/>
    <w:rsid w:val="00D8125E"/>
    <w:rsid w:val="00D81725"/>
    <w:rsid w:val="00D82242"/>
    <w:rsid w:val="00D828AA"/>
    <w:rsid w:val="00D82B9C"/>
    <w:rsid w:val="00D83AAC"/>
    <w:rsid w:val="00D83EAA"/>
    <w:rsid w:val="00D84E52"/>
    <w:rsid w:val="00D858E8"/>
    <w:rsid w:val="00D85DC6"/>
    <w:rsid w:val="00D86D05"/>
    <w:rsid w:val="00D86D51"/>
    <w:rsid w:val="00D86E60"/>
    <w:rsid w:val="00D87437"/>
    <w:rsid w:val="00D87B97"/>
    <w:rsid w:val="00D90D68"/>
    <w:rsid w:val="00D913AD"/>
    <w:rsid w:val="00D91FDB"/>
    <w:rsid w:val="00D92F88"/>
    <w:rsid w:val="00D93297"/>
    <w:rsid w:val="00D935B5"/>
    <w:rsid w:val="00D935C4"/>
    <w:rsid w:val="00D93BDF"/>
    <w:rsid w:val="00D94947"/>
    <w:rsid w:val="00D952AB"/>
    <w:rsid w:val="00D95EE9"/>
    <w:rsid w:val="00D96018"/>
    <w:rsid w:val="00D9716E"/>
    <w:rsid w:val="00D9754F"/>
    <w:rsid w:val="00D97CF9"/>
    <w:rsid w:val="00DA0EFA"/>
    <w:rsid w:val="00DA16A6"/>
    <w:rsid w:val="00DA1A0E"/>
    <w:rsid w:val="00DA22E9"/>
    <w:rsid w:val="00DA2B35"/>
    <w:rsid w:val="00DA2C1D"/>
    <w:rsid w:val="00DA3EE0"/>
    <w:rsid w:val="00DA4308"/>
    <w:rsid w:val="00DA4779"/>
    <w:rsid w:val="00DA5AD0"/>
    <w:rsid w:val="00DA6161"/>
    <w:rsid w:val="00DA6428"/>
    <w:rsid w:val="00DA66B3"/>
    <w:rsid w:val="00DA6AB2"/>
    <w:rsid w:val="00DA6D46"/>
    <w:rsid w:val="00DA7820"/>
    <w:rsid w:val="00DB04FB"/>
    <w:rsid w:val="00DB0F94"/>
    <w:rsid w:val="00DB10D4"/>
    <w:rsid w:val="00DB1C60"/>
    <w:rsid w:val="00DB1E58"/>
    <w:rsid w:val="00DB2D69"/>
    <w:rsid w:val="00DB2FD7"/>
    <w:rsid w:val="00DB3B54"/>
    <w:rsid w:val="00DB3BC5"/>
    <w:rsid w:val="00DB3CE0"/>
    <w:rsid w:val="00DB3D30"/>
    <w:rsid w:val="00DB4195"/>
    <w:rsid w:val="00DB43F3"/>
    <w:rsid w:val="00DB54F0"/>
    <w:rsid w:val="00DB592F"/>
    <w:rsid w:val="00DB5FDA"/>
    <w:rsid w:val="00DB68EA"/>
    <w:rsid w:val="00DB713A"/>
    <w:rsid w:val="00DB7329"/>
    <w:rsid w:val="00DB73E9"/>
    <w:rsid w:val="00DB75E3"/>
    <w:rsid w:val="00DB7964"/>
    <w:rsid w:val="00DC05E8"/>
    <w:rsid w:val="00DC0C16"/>
    <w:rsid w:val="00DC14EA"/>
    <w:rsid w:val="00DC1BCA"/>
    <w:rsid w:val="00DC1CB8"/>
    <w:rsid w:val="00DC1D56"/>
    <w:rsid w:val="00DC245A"/>
    <w:rsid w:val="00DC4AEE"/>
    <w:rsid w:val="00DC5905"/>
    <w:rsid w:val="00DC5D7F"/>
    <w:rsid w:val="00DC6799"/>
    <w:rsid w:val="00DC69F1"/>
    <w:rsid w:val="00DC6A07"/>
    <w:rsid w:val="00DC722E"/>
    <w:rsid w:val="00DC7E1C"/>
    <w:rsid w:val="00DD0470"/>
    <w:rsid w:val="00DD05E9"/>
    <w:rsid w:val="00DD06FF"/>
    <w:rsid w:val="00DD0709"/>
    <w:rsid w:val="00DD10DC"/>
    <w:rsid w:val="00DD1116"/>
    <w:rsid w:val="00DD1A42"/>
    <w:rsid w:val="00DD262C"/>
    <w:rsid w:val="00DD29E2"/>
    <w:rsid w:val="00DD3CBD"/>
    <w:rsid w:val="00DD3DCE"/>
    <w:rsid w:val="00DD4BD0"/>
    <w:rsid w:val="00DD5F8C"/>
    <w:rsid w:val="00DD6D76"/>
    <w:rsid w:val="00DD709C"/>
    <w:rsid w:val="00DD7380"/>
    <w:rsid w:val="00DD781B"/>
    <w:rsid w:val="00DD78AD"/>
    <w:rsid w:val="00DE0166"/>
    <w:rsid w:val="00DE0602"/>
    <w:rsid w:val="00DE0708"/>
    <w:rsid w:val="00DE0799"/>
    <w:rsid w:val="00DE0D31"/>
    <w:rsid w:val="00DE1919"/>
    <w:rsid w:val="00DE1995"/>
    <w:rsid w:val="00DE1DE5"/>
    <w:rsid w:val="00DE27BB"/>
    <w:rsid w:val="00DE2F29"/>
    <w:rsid w:val="00DE306F"/>
    <w:rsid w:val="00DE35CE"/>
    <w:rsid w:val="00DE394B"/>
    <w:rsid w:val="00DE4607"/>
    <w:rsid w:val="00DE4A23"/>
    <w:rsid w:val="00DE4B45"/>
    <w:rsid w:val="00DE5027"/>
    <w:rsid w:val="00DE572B"/>
    <w:rsid w:val="00DE59F2"/>
    <w:rsid w:val="00DE5A95"/>
    <w:rsid w:val="00DE6007"/>
    <w:rsid w:val="00DE61E3"/>
    <w:rsid w:val="00DE635A"/>
    <w:rsid w:val="00DE6406"/>
    <w:rsid w:val="00DE65B0"/>
    <w:rsid w:val="00DE694C"/>
    <w:rsid w:val="00DE742C"/>
    <w:rsid w:val="00DF018A"/>
    <w:rsid w:val="00DF07E1"/>
    <w:rsid w:val="00DF135B"/>
    <w:rsid w:val="00DF168A"/>
    <w:rsid w:val="00DF16B7"/>
    <w:rsid w:val="00DF1A9D"/>
    <w:rsid w:val="00DF1F88"/>
    <w:rsid w:val="00DF25BE"/>
    <w:rsid w:val="00DF2779"/>
    <w:rsid w:val="00DF3BCE"/>
    <w:rsid w:val="00DF4233"/>
    <w:rsid w:val="00DF4EB6"/>
    <w:rsid w:val="00DF6B63"/>
    <w:rsid w:val="00DF7420"/>
    <w:rsid w:val="00DF77AF"/>
    <w:rsid w:val="00DF7839"/>
    <w:rsid w:val="00DF7947"/>
    <w:rsid w:val="00DF7BCA"/>
    <w:rsid w:val="00E006F9"/>
    <w:rsid w:val="00E01762"/>
    <w:rsid w:val="00E01799"/>
    <w:rsid w:val="00E01B67"/>
    <w:rsid w:val="00E01C9F"/>
    <w:rsid w:val="00E020E2"/>
    <w:rsid w:val="00E021BB"/>
    <w:rsid w:val="00E02EA6"/>
    <w:rsid w:val="00E02EF2"/>
    <w:rsid w:val="00E03104"/>
    <w:rsid w:val="00E0337F"/>
    <w:rsid w:val="00E03496"/>
    <w:rsid w:val="00E036B3"/>
    <w:rsid w:val="00E03897"/>
    <w:rsid w:val="00E0399A"/>
    <w:rsid w:val="00E03DCF"/>
    <w:rsid w:val="00E050F4"/>
    <w:rsid w:val="00E05252"/>
    <w:rsid w:val="00E0681A"/>
    <w:rsid w:val="00E07153"/>
    <w:rsid w:val="00E073A0"/>
    <w:rsid w:val="00E07B17"/>
    <w:rsid w:val="00E109C4"/>
    <w:rsid w:val="00E10E83"/>
    <w:rsid w:val="00E11D82"/>
    <w:rsid w:val="00E11EEF"/>
    <w:rsid w:val="00E12876"/>
    <w:rsid w:val="00E137F1"/>
    <w:rsid w:val="00E139BC"/>
    <w:rsid w:val="00E13EBB"/>
    <w:rsid w:val="00E14A87"/>
    <w:rsid w:val="00E1502E"/>
    <w:rsid w:val="00E16049"/>
    <w:rsid w:val="00E16449"/>
    <w:rsid w:val="00E16DFE"/>
    <w:rsid w:val="00E17848"/>
    <w:rsid w:val="00E179A6"/>
    <w:rsid w:val="00E17C2E"/>
    <w:rsid w:val="00E20AA4"/>
    <w:rsid w:val="00E21905"/>
    <w:rsid w:val="00E2232C"/>
    <w:rsid w:val="00E2262D"/>
    <w:rsid w:val="00E2381E"/>
    <w:rsid w:val="00E23E7D"/>
    <w:rsid w:val="00E243F9"/>
    <w:rsid w:val="00E24591"/>
    <w:rsid w:val="00E24912"/>
    <w:rsid w:val="00E256C0"/>
    <w:rsid w:val="00E25C36"/>
    <w:rsid w:val="00E26F50"/>
    <w:rsid w:val="00E27401"/>
    <w:rsid w:val="00E2762D"/>
    <w:rsid w:val="00E276C7"/>
    <w:rsid w:val="00E27B1D"/>
    <w:rsid w:val="00E27D49"/>
    <w:rsid w:val="00E3073B"/>
    <w:rsid w:val="00E30789"/>
    <w:rsid w:val="00E30BEA"/>
    <w:rsid w:val="00E31C91"/>
    <w:rsid w:val="00E31DCE"/>
    <w:rsid w:val="00E3251A"/>
    <w:rsid w:val="00E32526"/>
    <w:rsid w:val="00E328D1"/>
    <w:rsid w:val="00E33C41"/>
    <w:rsid w:val="00E33CC9"/>
    <w:rsid w:val="00E33F03"/>
    <w:rsid w:val="00E345C1"/>
    <w:rsid w:val="00E3487F"/>
    <w:rsid w:val="00E34BC6"/>
    <w:rsid w:val="00E34C98"/>
    <w:rsid w:val="00E406D2"/>
    <w:rsid w:val="00E40B9A"/>
    <w:rsid w:val="00E42341"/>
    <w:rsid w:val="00E43537"/>
    <w:rsid w:val="00E44076"/>
    <w:rsid w:val="00E4484D"/>
    <w:rsid w:val="00E44A36"/>
    <w:rsid w:val="00E44D4D"/>
    <w:rsid w:val="00E45548"/>
    <w:rsid w:val="00E455BE"/>
    <w:rsid w:val="00E4585A"/>
    <w:rsid w:val="00E468CD"/>
    <w:rsid w:val="00E46907"/>
    <w:rsid w:val="00E46CFF"/>
    <w:rsid w:val="00E475C0"/>
    <w:rsid w:val="00E4774C"/>
    <w:rsid w:val="00E47F54"/>
    <w:rsid w:val="00E504DD"/>
    <w:rsid w:val="00E5062E"/>
    <w:rsid w:val="00E50937"/>
    <w:rsid w:val="00E511D7"/>
    <w:rsid w:val="00E51330"/>
    <w:rsid w:val="00E51521"/>
    <w:rsid w:val="00E52311"/>
    <w:rsid w:val="00E5239B"/>
    <w:rsid w:val="00E527B6"/>
    <w:rsid w:val="00E52ED9"/>
    <w:rsid w:val="00E53287"/>
    <w:rsid w:val="00E536FE"/>
    <w:rsid w:val="00E53781"/>
    <w:rsid w:val="00E53932"/>
    <w:rsid w:val="00E53A62"/>
    <w:rsid w:val="00E53AC6"/>
    <w:rsid w:val="00E548FE"/>
    <w:rsid w:val="00E549E4"/>
    <w:rsid w:val="00E54B75"/>
    <w:rsid w:val="00E54C88"/>
    <w:rsid w:val="00E555BE"/>
    <w:rsid w:val="00E559FC"/>
    <w:rsid w:val="00E55A35"/>
    <w:rsid w:val="00E55FDE"/>
    <w:rsid w:val="00E56343"/>
    <w:rsid w:val="00E56B74"/>
    <w:rsid w:val="00E56C1E"/>
    <w:rsid w:val="00E56EDE"/>
    <w:rsid w:val="00E57899"/>
    <w:rsid w:val="00E5796C"/>
    <w:rsid w:val="00E6001C"/>
    <w:rsid w:val="00E60914"/>
    <w:rsid w:val="00E60B81"/>
    <w:rsid w:val="00E616A9"/>
    <w:rsid w:val="00E61B4A"/>
    <w:rsid w:val="00E62006"/>
    <w:rsid w:val="00E62145"/>
    <w:rsid w:val="00E62B3D"/>
    <w:rsid w:val="00E6398A"/>
    <w:rsid w:val="00E6484A"/>
    <w:rsid w:val="00E649C6"/>
    <w:rsid w:val="00E64F3A"/>
    <w:rsid w:val="00E651C2"/>
    <w:rsid w:val="00E655A6"/>
    <w:rsid w:val="00E6592E"/>
    <w:rsid w:val="00E66159"/>
    <w:rsid w:val="00E674D2"/>
    <w:rsid w:val="00E67B15"/>
    <w:rsid w:val="00E67DD9"/>
    <w:rsid w:val="00E67E3D"/>
    <w:rsid w:val="00E702BA"/>
    <w:rsid w:val="00E71817"/>
    <w:rsid w:val="00E729AD"/>
    <w:rsid w:val="00E735D4"/>
    <w:rsid w:val="00E73823"/>
    <w:rsid w:val="00E73DA6"/>
    <w:rsid w:val="00E75287"/>
    <w:rsid w:val="00E75B83"/>
    <w:rsid w:val="00E766CF"/>
    <w:rsid w:val="00E7679C"/>
    <w:rsid w:val="00E76820"/>
    <w:rsid w:val="00E77550"/>
    <w:rsid w:val="00E7758A"/>
    <w:rsid w:val="00E77902"/>
    <w:rsid w:val="00E77938"/>
    <w:rsid w:val="00E80584"/>
    <w:rsid w:val="00E80725"/>
    <w:rsid w:val="00E809E2"/>
    <w:rsid w:val="00E810CE"/>
    <w:rsid w:val="00E816DD"/>
    <w:rsid w:val="00E8203E"/>
    <w:rsid w:val="00E82588"/>
    <w:rsid w:val="00E82D29"/>
    <w:rsid w:val="00E830ED"/>
    <w:rsid w:val="00E83F2E"/>
    <w:rsid w:val="00E8425F"/>
    <w:rsid w:val="00E84B05"/>
    <w:rsid w:val="00E84B35"/>
    <w:rsid w:val="00E84E5D"/>
    <w:rsid w:val="00E8512E"/>
    <w:rsid w:val="00E85237"/>
    <w:rsid w:val="00E85B8F"/>
    <w:rsid w:val="00E8642B"/>
    <w:rsid w:val="00E86E2E"/>
    <w:rsid w:val="00E8714A"/>
    <w:rsid w:val="00E87244"/>
    <w:rsid w:val="00E90AEB"/>
    <w:rsid w:val="00E93868"/>
    <w:rsid w:val="00E93AFC"/>
    <w:rsid w:val="00E944E9"/>
    <w:rsid w:val="00E946D6"/>
    <w:rsid w:val="00E955A0"/>
    <w:rsid w:val="00E95CBE"/>
    <w:rsid w:val="00E95F82"/>
    <w:rsid w:val="00E964B4"/>
    <w:rsid w:val="00E97AB1"/>
    <w:rsid w:val="00EA0177"/>
    <w:rsid w:val="00EA019D"/>
    <w:rsid w:val="00EA0861"/>
    <w:rsid w:val="00EA12B4"/>
    <w:rsid w:val="00EA18FF"/>
    <w:rsid w:val="00EA19CC"/>
    <w:rsid w:val="00EA1ED0"/>
    <w:rsid w:val="00EA24FA"/>
    <w:rsid w:val="00EA318A"/>
    <w:rsid w:val="00EA3FE0"/>
    <w:rsid w:val="00EA4BFC"/>
    <w:rsid w:val="00EA5485"/>
    <w:rsid w:val="00EA55E1"/>
    <w:rsid w:val="00EA59B7"/>
    <w:rsid w:val="00EA5E1E"/>
    <w:rsid w:val="00EA61CA"/>
    <w:rsid w:val="00EA629F"/>
    <w:rsid w:val="00EA66DA"/>
    <w:rsid w:val="00EA685C"/>
    <w:rsid w:val="00EA7FF7"/>
    <w:rsid w:val="00EB018F"/>
    <w:rsid w:val="00EB0EDE"/>
    <w:rsid w:val="00EB16B5"/>
    <w:rsid w:val="00EB1FA2"/>
    <w:rsid w:val="00EB260D"/>
    <w:rsid w:val="00EB40F0"/>
    <w:rsid w:val="00EB4408"/>
    <w:rsid w:val="00EB4AF2"/>
    <w:rsid w:val="00EB4C01"/>
    <w:rsid w:val="00EB5258"/>
    <w:rsid w:val="00EB5B84"/>
    <w:rsid w:val="00EB68CE"/>
    <w:rsid w:val="00EB6AA8"/>
    <w:rsid w:val="00EB73B8"/>
    <w:rsid w:val="00EB77D4"/>
    <w:rsid w:val="00EB7D09"/>
    <w:rsid w:val="00EC010D"/>
    <w:rsid w:val="00EC17D5"/>
    <w:rsid w:val="00EC183B"/>
    <w:rsid w:val="00EC2982"/>
    <w:rsid w:val="00EC2B2F"/>
    <w:rsid w:val="00EC2B7D"/>
    <w:rsid w:val="00EC2DD3"/>
    <w:rsid w:val="00EC2F0A"/>
    <w:rsid w:val="00EC30E0"/>
    <w:rsid w:val="00EC3BB2"/>
    <w:rsid w:val="00EC4D05"/>
    <w:rsid w:val="00EC5574"/>
    <w:rsid w:val="00EC627A"/>
    <w:rsid w:val="00EC6629"/>
    <w:rsid w:val="00EC694B"/>
    <w:rsid w:val="00EC71DD"/>
    <w:rsid w:val="00ED1090"/>
    <w:rsid w:val="00ED1BE7"/>
    <w:rsid w:val="00ED25CC"/>
    <w:rsid w:val="00ED2E9C"/>
    <w:rsid w:val="00ED2E9F"/>
    <w:rsid w:val="00ED2F85"/>
    <w:rsid w:val="00ED3FCA"/>
    <w:rsid w:val="00ED4589"/>
    <w:rsid w:val="00ED467E"/>
    <w:rsid w:val="00ED4C3B"/>
    <w:rsid w:val="00ED4CBC"/>
    <w:rsid w:val="00ED4CF6"/>
    <w:rsid w:val="00ED4D12"/>
    <w:rsid w:val="00ED508E"/>
    <w:rsid w:val="00ED52F1"/>
    <w:rsid w:val="00ED6506"/>
    <w:rsid w:val="00ED6AD9"/>
    <w:rsid w:val="00ED73EC"/>
    <w:rsid w:val="00ED7928"/>
    <w:rsid w:val="00EE0C2C"/>
    <w:rsid w:val="00EE10CD"/>
    <w:rsid w:val="00EE31C2"/>
    <w:rsid w:val="00EE31D6"/>
    <w:rsid w:val="00EE320A"/>
    <w:rsid w:val="00EE33F9"/>
    <w:rsid w:val="00EE3AAF"/>
    <w:rsid w:val="00EE43EF"/>
    <w:rsid w:val="00EE592D"/>
    <w:rsid w:val="00EE60C5"/>
    <w:rsid w:val="00EE67D8"/>
    <w:rsid w:val="00EE7069"/>
    <w:rsid w:val="00EE70FD"/>
    <w:rsid w:val="00EE735C"/>
    <w:rsid w:val="00EE770B"/>
    <w:rsid w:val="00EE7768"/>
    <w:rsid w:val="00EF0170"/>
    <w:rsid w:val="00EF032D"/>
    <w:rsid w:val="00EF0664"/>
    <w:rsid w:val="00EF096A"/>
    <w:rsid w:val="00EF09D3"/>
    <w:rsid w:val="00EF0C36"/>
    <w:rsid w:val="00EF126E"/>
    <w:rsid w:val="00EF1E95"/>
    <w:rsid w:val="00EF3033"/>
    <w:rsid w:val="00EF38CF"/>
    <w:rsid w:val="00EF38FD"/>
    <w:rsid w:val="00EF42DF"/>
    <w:rsid w:val="00EF4B1E"/>
    <w:rsid w:val="00EF4C9B"/>
    <w:rsid w:val="00EF4CA7"/>
    <w:rsid w:val="00EF5012"/>
    <w:rsid w:val="00EF619A"/>
    <w:rsid w:val="00EF6E04"/>
    <w:rsid w:val="00EF7018"/>
    <w:rsid w:val="00EF707D"/>
    <w:rsid w:val="00EF72A4"/>
    <w:rsid w:val="00EF7646"/>
    <w:rsid w:val="00F0003C"/>
    <w:rsid w:val="00F00041"/>
    <w:rsid w:val="00F0054F"/>
    <w:rsid w:val="00F00755"/>
    <w:rsid w:val="00F00EBD"/>
    <w:rsid w:val="00F01095"/>
    <w:rsid w:val="00F0109D"/>
    <w:rsid w:val="00F01418"/>
    <w:rsid w:val="00F029CB"/>
    <w:rsid w:val="00F05900"/>
    <w:rsid w:val="00F05DEF"/>
    <w:rsid w:val="00F069B2"/>
    <w:rsid w:val="00F0748E"/>
    <w:rsid w:val="00F07E4D"/>
    <w:rsid w:val="00F10AF7"/>
    <w:rsid w:val="00F10C37"/>
    <w:rsid w:val="00F11FBB"/>
    <w:rsid w:val="00F12C2E"/>
    <w:rsid w:val="00F12C39"/>
    <w:rsid w:val="00F14136"/>
    <w:rsid w:val="00F14869"/>
    <w:rsid w:val="00F14CCF"/>
    <w:rsid w:val="00F14CE1"/>
    <w:rsid w:val="00F166B1"/>
    <w:rsid w:val="00F17303"/>
    <w:rsid w:val="00F17876"/>
    <w:rsid w:val="00F17FC3"/>
    <w:rsid w:val="00F20052"/>
    <w:rsid w:val="00F21600"/>
    <w:rsid w:val="00F21C6A"/>
    <w:rsid w:val="00F21F42"/>
    <w:rsid w:val="00F22890"/>
    <w:rsid w:val="00F22F3C"/>
    <w:rsid w:val="00F23089"/>
    <w:rsid w:val="00F23DBF"/>
    <w:rsid w:val="00F2460F"/>
    <w:rsid w:val="00F24B2D"/>
    <w:rsid w:val="00F24E6E"/>
    <w:rsid w:val="00F2534E"/>
    <w:rsid w:val="00F26D6A"/>
    <w:rsid w:val="00F27290"/>
    <w:rsid w:val="00F275D3"/>
    <w:rsid w:val="00F27F47"/>
    <w:rsid w:val="00F301BF"/>
    <w:rsid w:val="00F308D8"/>
    <w:rsid w:val="00F30D34"/>
    <w:rsid w:val="00F312D7"/>
    <w:rsid w:val="00F3157F"/>
    <w:rsid w:val="00F31946"/>
    <w:rsid w:val="00F3364A"/>
    <w:rsid w:val="00F3404A"/>
    <w:rsid w:val="00F342CC"/>
    <w:rsid w:val="00F3573A"/>
    <w:rsid w:val="00F36081"/>
    <w:rsid w:val="00F3633B"/>
    <w:rsid w:val="00F36411"/>
    <w:rsid w:val="00F37D96"/>
    <w:rsid w:val="00F37DE4"/>
    <w:rsid w:val="00F40A76"/>
    <w:rsid w:val="00F411FE"/>
    <w:rsid w:val="00F4153F"/>
    <w:rsid w:val="00F423DA"/>
    <w:rsid w:val="00F428AC"/>
    <w:rsid w:val="00F431A0"/>
    <w:rsid w:val="00F436F7"/>
    <w:rsid w:val="00F43794"/>
    <w:rsid w:val="00F43C78"/>
    <w:rsid w:val="00F44B27"/>
    <w:rsid w:val="00F44E91"/>
    <w:rsid w:val="00F4522B"/>
    <w:rsid w:val="00F45AC3"/>
    <w:rsid w:val="00F4621E"/>
    <w:rsid w:val="00F46D64"/>
    <w:rsid w:val="00F471A1"/>
    <w:rsid w:val="00F4723B"/>
    <w:rsid w:val="00F5083D"/>
    <w:rsid w:val="00F51022"/>
    <w:rsid w:val="00F51208"/>
    <w:rsid w:val="00F51653"/>
    <w:rsid w:val="00F525C0"/>
    <w:rsid w:val="00F52DF3"/>
    <w:rsid w:val="00F52ED7"/>
    <w:rsid w:val="00F532CA"/>
    <w:rsid w:val="00F537DB"/>
    <w:rsid w:val="00F53C42"/>
    <w:rsid w:val="00F545C2"/>
    <w:rsid w:val="00F54D01"/>
    <w:rsid w:val="00F556CF"/>
    <w:rsid w:val="00F558A8"/>
    <w:rsid w:val="00F55C38"/>
    <w:rsid w:val="00F55EBF"/>
    <w:rsid w:val="00F57411"/>
    <w:rsid w:val="00F5749C"/>
    <w:rsid w:val="00F574C1"/>
    <w:rsid w:val="00F57B7A"/>
    <w:rsid w:val="00F602F1"/>
    <w:rsid w:val="00F604FE"/>
    <w:rsid w:val="00F6070B"/>
    <w:rsid w:val="00F60A90"/>
    <w:rsid w:val="00F61C2B"/>
    <w:rsid w:val="00F62472"/>
    <w:rsid w:val="00F6251B"/>
    <w:rsid w:val="00F62B36"/>
    <w:rsid w:val="00F632FC"/>
    <w:rsid w:val="00F636B5"/>
    <w:rsid w:val="00F64136"/>
    <w:rsid w:val="00F6484E"/>
    <w:rsid w:val="00F655A9"/>
    <w:rsid w:val="00F65BEB"/>
    <w:rsid w:val="00F65E45"/>
    <w:rsid w:val="00F66905"/>
    <w:rsid w:val="00F66AB9"/>
    <w:rsid w:val="00F67219"/>
    <w:rsid w:val="00F675D7"/>
    <w:rsid w:val="00F700F0"/>
    <w:rsid w:val="00F70325"/>
    <w:rsid w:val="00F70721"/>
    <w:rsid w:val="00F70A98"/>
    <w:rsid w:val="00F70C23"/>
    <w:rsid w:val="00F71CC9"/>
    <w:rsid w:val="00F72E94"/>
    <w:rsid w:val="00F737E6"/>
    <w:rsid w:val="00F73807"/>
    <w:rsid w:val="00F7382B"/>
    <w:rsid w:val="00F73CEC"/>
    <w:rsid w:val="00F749CA"/>
    <w:rsid w:val="00F757CF"/>
    <w:rsid w:val="00F75809"/>
    <w:rsid w:val="00F75DF2"/>
    <w:rsid w:val="00F76554"/>
    <w:rsid w:val="00F76793"/>
    <w:rsid w:val="00F76834"/>
    <w:rsid w:val="00F76B0C"/>
    <w:rsid w:val="00F77666"/>
    <w:rsid w:val="00F77BFC"/>
    <w:rsid w:val="00F77D79"/>
    <w:rsid w:val="00F77F6C"/>
    <w:rsid w:val="00F8058C"/>
    <w:rsid w:val="00F80A8C"/>
    <w:rsid w:val="00F810B4"/>
    <w:rsid w:val="00F811B8"/>
    <w:rsid w:val="00F817C2"/>
    <w:rsid w:val="00F818CC"/>
    <w:rsid w:val="00F81C57"/>
    <w:rsid w:val="00F81EFA"/>
    <w:rsid w:val="00F822B6"/>
    <w:rsid w:val="00F82C5B"/>
    <w:rsid w:val="00F83A38"/>
    <w:rsid w:val="00F83E81"/>
    <w:rsid w:val="00F844FC"/>
    <w:rsid w:val="00F84525"/>
    <w:rsid w:val="00F84564"/>
    <w:rsid w:val="00F8475E"/>
    <w:rsid w:val="00F84F5C"/>
    <w:rsid w:val="00F851BC"/>
    <w:rsid w:val="00F85386"/>
    <w:rsid w:val="00F85919"/>
    <w:rsid w:val="00F85C1B"/>
    <w:rsid w:val="00F85F12"/>
    <w:rsid w:val="00F8642A"/>
    <w:rsid w:val="00F86878"/>
    <w:rsid w:val="00F86D6F"/>
    <w:rsid w:val="00F87B96"/>
    <w:rsid w:val="00F87FE2"/>
    <w:rsid w:val="00F90A67"/>
    <w:rsid w:val="00F91350"/>
    <w:rsid w:val="00F927E8"/>
    <w:rsid w:val="00F92EF8"/>
    <w:rsid w:val="00F933C6"/>
    <w:rsid w:val="00F93E22"/>
    <w:rsid w:val="00F93FA7"/>
    <w:rsid w:val="00F94A97"/>
    <w:rsid w:val="00F95B75"/>
    <w:rsid w:val="00F95BDC"/>
    <w:rsid w:val="00F96791"/>
    <w:rsid w:val="00F96B5B"/>
    <w:rsid w:val="00F9708E"/>
    <w:rsid w:val="00F97A59"/>
    <w:rsid w:val="00FA05CB"/>
    <w:rsid w:val="00FA0D33"/>
    <w:rsid w:val="00FA21C6"/>
    <w:rsid w:val="00FA24DA"/>
    <w:rsid w:val="00FA2A5E"/>
    <w:rsid w:val="00FA2EF9"/>
    <w:rsid w:val="00FA3806"/>
    <w:rsid w:val="00FA40E4"/>
    <w:rsid w:val="00FA4141"/>
    <w:rsid w:val="00FA414D"/>
    <w:rsid w:val="00FA5705"/>
    <w:rsid w:val="00FA5D88"/>
    <w:rsid w:val="00FA622F"/>
    <w:rsid w:val="00FA6880"/>
    <w:rsid w:val="00FA6AA8"/>
    <w:rsid w:val="00FA727F"/>
    <w:rsid w:val="00FB0498"/>
    <w:rsid w:val="00FB0868"/>
    <w:rsid w:val="00FB1137"/>
    <w:rsid w:val="00FB15A1"/>
    <w:rsid w:val="00FB2369"/>
    <w:rsid w:val="00FB3385"/>
    <w:rsid w:val="00FB367F"/>
    <w:rsid w:val="00FB3AA0"/>
    <w:rsid w:val="00FB40E1"/>
    <w:rsid w:val="00FB50AE"/>
    <w:rsid w:val="00FB547F"/>
    <w:rsid w:val="00FB5932"/>
    <w:rsid w:val="00FB5CA5"/>
    <w:rsid w:val="00FB5DD8"/>
    <w:rsid w:val="00FB5FDE"/>
    <w:rsid w:val="00FB710A"/>
    <w:rsid w:val="00FB72AC"/>
    <w:rsid w:val="00FC03CC"/>
    <w:rsid w:val="00FC0B0F"/>
    <w:rsid w:val="00FC1029"/>
    <w:rsid w:val="00FC12C1"/>
    <w:rsid w:val="00FC17ED"/>
    <w:rsid w:val="00FC1814"/>
    <w:rsid w:val="00FC1DBD"/>
    <w:rsid w:val="00FC1F57"/>
    <w:rsid w:val="00FC20E3"/>
    <w:rsid w:val="00FC23AB"/>
    <w:rsid w:val="00FC25C4"/>
    <w:rsid w:val="00FC2956"/>
    <w:rsid w:val="00FC34BE"/>
    <w:rsid w:val="00FC3983"/>
    <w:rsid w:val="00FC4815"/>
    <w:rsid w:val="00FC4E1A"/>
    <w:rsid w:val="00FC6CEB"/>
    <w:rsid w:val="00FC6E5E"/>
    <w:rsid w:val="00FC71F4"/>
    <w:rsid w:val="00FD000F"/>
    <w:rsid w:val="00FD00F1"/>
    <w:rsid w:val="00FD03A8"/>
    <w:rsid w:val="00FD092B"/>
    <w:rsid w:val="00FD09A6"/>
    <w:rsid w:val="00FD0A8C"/>
    <w:rsid w:val="00FD11BE"/>
    <w:rsid w:val="00FD1896"/>
    <w:rsid w:val="00FD1FF0"/>
    <w:rsid w:val="00FD25F5"/>
    <w:rsid w:val="00FD2700"/>
    <w:rsid w:val="00FD321F"/>
    <w:rsid w:val="00FD3A11"/>
    <w:rsid w:val="00FD4330"/>
    <w:rsid w:val="00FD48FC"/>
    <w:rsid w:val="00FD4D98"/>
    <w:rsid w:val="00FD53CC"/>
    <w:rsid w:val="00FD54A8"/>
    <w:rsid w:val="00FD622E"/>
    <w:rsid w:val="00FD6940"/>
    <w:rsid w:val="00FD6BAE"/>
    <w:rsid w:val="00FD707E"/>
    <w:rsid w:val="00FD7220"/>
    <w:rsid w:val="00FE203D"/>
    <w:rsid w:val="00FE4438"/>
    <w:rsid w:val="00FE5F5E"/>
    <w:rsid w:val="00FE6AC1"/>
    <w:rsid w:val="00FE72D3"/>
    <w:rsid w:val="00FF022F"/>
    <w:rsid w:val="00FF0C8E"/>
    <w:rsid w:val="00FF125B"/>
    <w:rsid w:val="00FF1655"/>
    <w:rsid w:val="00FF1722"/>
    <w:rsid w:val="00FF2A05"/>
    <w:rsid w:val="00FF2DBC"/>
    <w:rsid w:val="00FF3BD5"/>
    <w:rsid w:val="00FF3CFA"/>
    <w:rsid w:val="00FF6515"/>
    <w:rsid w:val="00FF6E6E"/>
    <w:rsid w:val="00FF75C2"/>
    <w:rsid w:val="00FF7E3C"/>
    <w:rsid w:val="01121ABA"/>
    <w:rsid w:val="01425A8E"/>
    <w:rsid w:val="01FD2181"/>
    <w:rsid w:val="027F1432"/>
    <w:rsid w:val="02890D3B"/>
    <w:rsid w:val="029A4DDE"/>
    <w:rsid w:val="031B2171"/>
    <w:rsid w:val="032734D2"/>
    <w:rsid w:val="0345124A"/>
    <w:rsid w:val="03C31FDF"/>
    <w:rsid w:val="040973CE"/>
    <w:rsid w:val="04147FAE"/>
    <w:rsid w:val="0457712B"/>
    <w:rsid w:val="04830CEC"/>
    <w:rsid w:val="05BA6C35"/>
    <w:rsid w:val="05BE2460"/>
    <w:rsid w:val="06042DB4"/>
    <w:rsid w:val="060D6CD2"/>
    <w:rsid w:val="064E3A38"/>
    <w:rsid w:val="06544BC7"/>
    <w:rsid w:val="06893D94"/>
    <w:rsid w:val="0690345B"/>
    <w:rsid w:val="073B6DE4"/>
    <w:rsid w:val="074B4581"/>
    <w:rsid w:val="07DF5ADF"/>
    <w:rsid w:val="07E46C96"/>
    <w:rsid w:val="0834084F"/>
    <w:rsid w:val="08BF4239"/>
    <w:rsid w:val="08CD563E"/>
    <w:rsid w:val="09033012"/>
    <w:rsid w:val="09691F9C"/>
    <w:rsid w:val="096A51B2"/>
    <w:rsid w:val="09F9539C"/>
    <w:rsid w:val="0A031800"/>
    <w:rsid w:val="0A541D36"/>
    <w:rsid w:val="0AA64715"/>
    <w:rsid w:val="0B1C4BEC"/>
    <w:rsid w:val="0B602182"/>
    <w:rsid w:val="0B914BDF"/>
    <w:rsid w:val="0D1B26EE"/>
    <w:rsid w:val="0D7624F5"/>
    <w:rsid w:val="0DB51BC8"/>
    <w:rsid w:val="0E470A17"/>
    <w:rsid w:val="0E981675"/>
    <w:rsid w:val="0EA16A17"/>
    <w:rsid w:val="0EF04BEC"/>
    <w:rsid w:val="0F561936"/>
    <w:rsid w:val="0FA357DA"/>
    <w:rsid w:val="10FD43F6"/>
    <w:rsid w:val="116964A2"/>
    <w:rsid w:val="11AE1162"/>
    <w:rsid w:val="126C258F"/>
    <w:rsid w:val="127D1C50"/>
    <w:rsid w:val="12CF3334"/>
    <w:rsid w:val="13DA5A2E"/>
    <w:rsid w:val="140B63F8"/>
    <w:rsid w:val="14473FAF"/>
    <w:rsid w:val="146B54FE"/>
    <w:rsid w:val="14864DCA"/>
    <w:rsid w:val="14C247B7"/>
    <w:rsid w:val="14F04815"/>
    <w:rsid w:val="15424009"/>
    <w:rsid w:val="15B03422"/>
    <w:rsid w:val="15B964BB"/>
    <w:rsid w:val="15F83E6B"/>
    <w:rsid w:val="1650290F"/>
    <w:rsid w:val="165C7696"/>
    <w:rsid w:val="16AC7CE9"/>
    <w:rsid w:val="16CC7B79"/>
    <w:rsid w:val="16F93D05"/>
    <w:rsid w:val="17932FC3"/>
    <w:rsid w:val="17993ADE"/>
    <w:rsid w:val="17994B59"/>
    <w:rsid w:val="18225867"/>
    <w:rsid w:val="183A0059"/>
    <w:rsid w:val="18584266"/>
    <w:rsid w:val="18927F88"/>
    <w:rsid w:val="189A7D04"/>
    <w:rsid w:val="18EB281E"/>
    <w:rsid w:val="193663D5"/>
    <w:rsid w:val="1B335F08"/>
    <w:rsid w:val="1BBB7566"/>
    <w:rsid w:val="1C151F43"/>
    <w:rsid w:val="1C7A236C"/>
    <w:rsid w:val="1D0C4719"/>
    <w:rsid w:val="1D3B73E7"/>
    <w:rsid w:val="1DC43C61"/>
    <w:rsid w:val="1DCE1B5C"/>
    <w:rsid w:val="1E144E18"/>
    <w:rsid w:val="1E691F94"/>
    <w:rsid w:val="1E9D6D8E"/>
    <w:rsid w:val="1EC6554C"/>
    <w:rsid w:val="1F796AC7"/>
    <w:rsid w:val="1F7D2BB9"/>
    <w:rsid w:val="1FEBF522"/>
    <w:rsid w:val="200D0901"/>
    <w:rsid w:val="2019762B"/>
    <w:rsid w:val="208D07B9"/>
    <w:rsid w:val="210063D6"/>
    <w:rsid w:val="210A16BF"/>
    <w:rsid w:val="21322302"/>
    <w:rsid w:val="21781BB8"/>
    <w:rsid w:val="21FB1BD4"/>
    <w:rsid w:val="220849D9"/>
    <w:rsid w:val="22413873"/>
    <w:rsid w:val="238D008A"/>
    <w:rsid w:val="2390786E"/>
    <w:rsid w:val="23965368"/>
    <w:rsid w:val="240B6A35"/>
    <w:rsid w:val="24713A57"/>
    <w:rsid w:val="24877C4B"/>
    <w:rsid w:val="24E3272E"/>
    <w:rsid w:val="24E9501E"/>
    <w:rsid w:val="252E1EC1"/>
    <w:rsid w:val="257F647C"/>
    <w:rsid w:val="258C4BD0"/>
    <w:rsid w:val="26012632"/>
    <w:rsid w:val="263934FE"/>
    <w:rsid w:val="26473182"/>
    <w:rsid w:val="268A78EE"/>
    <w:rsid w:val="26DD1E76"/>
    <w:rsid w:val="26E73CF2"/>
    <w:rsid w:val="272A2024"/>
    <w:rsid w:val="27DD762A"/>
    <w:rsid w:val="283F20E2"/>
    <w:rsid w:val="286D74B2"/>
    <w:rsid w:val="28774338"/>
    <w:rsid w:val="28E57F77"/>
    <w:rsid w:val="29E21671"/>
    <w:rsid w:val="2A26675B"/>
    <w:rsid w:val="2A562671"/>
    <w:rsid w:val="2AC119E6"/>
    <w:rsid w:val="2ACC4C3E"/>
    <w:rsid w:val="2B10065F"/>
    <w:rsid w:val="2B442C52"/>
    <w:rsid w:val="2B707A83"/>
    <w:rsid w:val="2C10773A"/>
    <w:rsid w:val="2C337B14"/>
    <w:rsid w:val="2D0A626F"/>
    <w:rsid w:val="2D2B0F66"/>
    <w:rsid w:val="2D6D03AC"/>
    <w:rsid w:val="2DAA281A"/>
    <w:rsid w:val="2DCB6A78"/>
    <w:rsid w:val="2E742497"/>
    <w:rsid w:val="2EB50AE2"/>
    <w:rsid w:val="2EC56DAD"/>
    <w:rsid w:val="2EE10169"/>
    <w:rsid w:val="2F184082"/>
    <w:rsid w:val="2F1A7E75"/>
    <w:rsid w:val="2FC2570E"/>
    <w:rsid w:val="30234AEB"/>
    <w:rsid w:val="30900E1C"/>
    <w:rsid w:val="3094686B"/>
    <w:rsid w:val="30A71453"/>
    <w:rsid w:val="30C6074A"/>
    <w:rsid w:val="311B6C45"/>
    <w:rsid w:val="31440506"/>
    <w:rsid w:val="319D1D2F"/>
    <w:rsid w:val="31A44643"/>
    <w:rsid w:val="31B459CF"/>
    <w:rsid w:val="325B1302"/>
    <w:rsid w:val="326D71D8"/>
    <w:rsid w:val="33036DF4"/>
    <w:rsid w:val="33F14BB2"/>
    <w:rsid w:val="346911EC"/>
    <w:rsid w:val="34A42225"/>
    <w:rsid w:val="34DD5737"/>
    <w:rsid w:val="34F211E2"/>
    <w:rsid w:val="34F605A6"/>
    <w:rsid w:val="35663D6D"/>
    <w:rsid w:val="35B00755"/>
    <w:rsid w:val="35B73C6D"/>
    <w:rsid w:val="385E30D3"/>
    <w:rsid w:val="389D685B"/>
    <w:rsid w:val="389F7C10"/>
    <w:rsid w:val="38B70D4F"/>
    <w:rsid w:val="38C213F9"/>
    <w:rsid w:val="38C4197A"/>
    <w:rsid w:val="39422A8D"/>
    <w:rsid w:val="3976677C"/>
    <w:rsid w:val="39835940"/>
    <w:rsid w:val="398A372A"/>
    <w:rsid w:val="3A37232F"/>
    <w:rsid w:val="3AE347C3"/>
    <w:rsid w:val="3AE35129"/>
    <w:rsid w:val="3AF06BA9"/>
    <w:rsid w:val="3AF546C1"/>
    <w:rsid w:val="3C28419B"/>
    <w:rsid w:val="3C38119D"/>
    <w:rsid w:val="3CE2065A"/>
    <w:rsid w:val="3D28114A"/>
    <w:rsid w:val="3DA54D41"/>
    <w:rsid w:val="3E0C5E53"/>
    <w:rsid w:val="3E3E7F9C"/>
    <w:rsid w:val="3EB14B42"/>
    <w:rsid w:val="3EDA0D29"/>
    <w:rsid w:val="3EFF39E7"/>
    <w:rsid w:val="3F0D76EC"/>
    <w:rsid w:val="3F423F4F"/>
    <w:rsid w:val="3F780536"/>
    <w:rsid w:val="40012B4D"/>
    <w:rsid w:val="40184052"/>
    <w:rsid w:val="409958BB"/>
    <w:rsid w:val="40C34308"/>
    <w:rsid w:val="40D145D3"/>
    <w:rsid w:val="412505DC"/>
    <w:rsid w:val="413552BE"/>
    <w:rsid w:val="414A2B2E"/>
    <w:rsid w:val="419F68C3"/>
    <w:rsid w:val="41A609DE"/>
    <w:rsid w:val="41D74A58"/>
    <w:rsid w:val="42242A1F"/>
    <w:rsid w:val="428C36FE"/>
    <w:rsid w:val="42CE363A"/>
    <w:rsid w:val="42E73F37"/>
    <w:rsid w:val="43433EB2"/>
    <w:rsid w:val="43693F2F"/>
    <w:rsid w:val="4371478A"/>
    <w:rsid w:val="43E21249"/>
    <w:rsid w:val="43E36B40"/>
    <w:rsid w:val="44894335"/>
    <w:rsid w:val="452930AD"/>
    <w:rsid w:val="453647C8"/>
    <w:rsid w:val="45676984"/>
    <w:rsid w:val="459552ED"/>
    <w:rsid w:val="45C97296"/>
    <w:rsid w:val="46212CED"/>
    <w:rsid w:val="46952B43"/>
    <w:rsid w:val="47F836EF"/>
    <w:rsid w:val="4875178E"/>
    <w:rsid w:val="48754248"/>
    <w:rsid w:val="49044886"/>
    <w:rsid w:val="49BD7C90"/>
    <w:rsid w:val="49CC7127"/>
    <w:rsid w:val="4A12092F"/>
    <w:rsid w:val="4A195BCC"/>
    <w:rsid w:val="4A1A7F7B"/>
    <w:rsid w:val="4A597A57"/>
    <w:rsid w:val="4A815D6D"/>
    <w:rsid w:val="4AE97E40"/>
    <w:rsid w:val="4BBC759B"/>
    <w:rsid w:val="4CE66081"/>
    <w:rsid w:val="4D172481"/>
    <w:rsid w:val="4D3B4626"/>
    <w:rsid w:val="4D686F78"/>
    <w:rsid w:val="4D7E0F5D"/>
    <w:rsid w:val="4D9751CB"/>
    <w:rsid w:val="4ECF01B9"/>
    <w:rsid w:val="4F2979B5"/>
    <w:rsid w:val="4F2C7D97"/>
    <w:rsid w:val="4FC3058A"/>
    <w:rsid w:val="4FFDCA9C"/>
    <w:rsid w:val="50036373"/>
    <w:rsid w:val="5029202E"/>
    <w:rsid w:val="5172058D"/>
    <w:rsid w:val="518C5515"/>
    <w:rsid w:val="51BE68CE"/>
    <w:rsid w:val="51CB239D"/>
    <w:rsid w:val="51D00CA3"/>
    <w:rsid w:val="51D95AD6"/>
    <w:rsid w:val="52142A3F"/>
    <w:rsid w:val="52252053"/>
    <w:rsid w:val="52334CAB"/>
    <w:rsid w:val="532A7E8A"/>
    <w:rsid w:val="533303B1"/>
    <w:rsid w:val="536C593A"/>
    <w:rsid w:val="53BF45C4"/>
    <w:rsid w:val="53E6543B"/>
    <w:rsid w:val="53F66BAF"/>
    <w:rsid w:val="54420E94"/>
    <w:rsid w:val="54813932"/>
    <w:rsid w:val="549E6958"/>
    <w:rsid w:val="54AA0321"/>
    <w:rsid w:val="54F6549A"/>
    <w:rsid w:val="5566704B"/>
    <w:rsid w:val="55791389"/>
    <w:rsid w:val="55C9638F"/>
    <w:rsid w:val="55E004F5"/>
    <w:rsid w:val="562552BC"/>
    <w:rsid w:val="565421F0"/>
    <w:rsid w:val="5673155D"/>
    <w:rsid w:val="56754850"/>
    <w:rsid w:val="56EB2310"/>
    <w:rsid w:val="57173ACD"/>
    <w:rsid w:val="5727495C"/>
    <w:rsid w:val="57E11D9D"/>
    <w:rsid w:val="580D199E"/>
    <w:rsid w:val="5823024B"/>
    <w:rsid w:val="583D7A57"/>
    <w:rsid w:val="58775FF5"/>
    <w:rsid w:val="588C5984"/>
    <w:rsid w:val="58AC2E10"/>
    <w:rsid w:val="58BF1335"/>
    <w:rsid w:val="58C82CC6"/>
    <w:rsid w:val="58C96A18"/>
    <w:rsid w:val="59034EBC"/>
    <w:rsid w:val="590D7D83"/>
    <w:rsid w:val="594F4CAE"/>
    <w:rsid w:val="5A223524"/>
    <w:rsid w:val="5A3B1010"/>
    <w:rsid w:val="5A931B9C"/>
    <w:rsid w:val="5A9747AC"/>
    <w:rsid w:val="5AC7098A"/>
    <w:rsid w:val="5B6F0D91"/>
    <w:rsid w:val="5B775876"/>
    <w:rsid w:val="5BD4669C"/>
    <w:rsid w:val="5C5F6C22"/>
    <w:rsid w:val="5C674F6F"/>
    <w:rsid w:val="5CD31699"/>
    <w:rsid w:val="5CEA2BCF"/>
    <w:rsid w:val="5CF04FE5"/>
    <w:rsid w:val="5D00120B"/>
    <w:rsid w:val="5D184DC2"/>
    <w:rsid w:val="5D4174AC"/>
    <w:rsid w:val="5D7D5772"/>
    <w:rsid w:val="5D95600F"/>
    <w:rsid w:val="5DA25AD2"/>
    <w:rsid w:val="5DA845BE"/>
    <w:rsid w:val="5DC33E59"/>
    <w:rsid w:val="5DF86D4D"/>
    <w:rsid w:val="5E0278C6"/>
    <w:rsid w:val="5E0832F4"/>
    <w:rsid w:val="5E8D033A"/>
    <w:rsid w:val="5F182B1C"/>
    <w:rsid w:val="5F3622F9"/>
    <w:rsid w:val="5F50315D"/>
    <w:rsid w:val="5F7E6154"/>
    <w:rsid w:val="5F962473"/>
    <w:rsid w:val="5FCA2CB1"/>
    <w:rsid w:val="5FCB1F87"/>
    <w:rsid w:val="603C6849"/>
    <w:rsid w:val="60673224"/>
    <w:rsid w:val="60862EC0"/>
    <w:rsid w:val="60FA5B41"/>
    <w:rsid w:val="60FD04F5"/>
    <w:rsid w:val="616E74B4"/>
    <w:rsid w:val="6189617B"/>
    <w:rsid w:val="61F70151"/>
    <w:rsid w:val="62013FEA"/>
    <w:rsid w:val="623B574A"/>
    <w:rsid w:val="62790AD5"/>
    <w:rsid w:val="627B473B"/>
    <w:rsid w:val="62934689"/>
    <w:rsid w:val="62DA3768"/>
    <w:rsid w:val="63066A39"/>
    <w:rsid w:val="631544B0"/>
    <w:rsid w:val="631668DE"/>
    <w:rsid w:val="63BA4F1D"/>
    <w:rsid w:val="63FB5EF4"/>
    <w:rsid w:val="64FB0B4D"/>
    <w:rsid w:val="6539620C"/>
    <w:rsid w:val="653A7EB8"/>
    <w:rsid w:val="65F82D58"/>
    <w:rsid w:val="65FE43CF"/>
    <w:rsid w:val="66A41B8F"/>
    <w:rsid w:val="66EA0A99"/>
    <w:rsid w:val="670965B7"/>
    <w:rsid w:val="67851192"/>
    <w:rsid w:val="67CE32EC"/>
    <w:rsid w:val="67D77F19"/>
    <w:rsid w:val="687F203D"/>
    <w:rsid w:val="68AA23EE"/>
    <w:rsid w:val="68AC2019"/>
    <w:rsid w:val="693A25A0"/>
    <w:rsid w:val="6AD6266F"/>
    <w:rsid w:val="6B6E4A1D"/>
    <w:rsid w:val="6BAD388A"/>
    <w:rsid w:val="6BB23561"/>
    <w:rsid w:val="6C2C126E"/>
    <w:rsid w:val="6D197416"/>
    <w:rsid w:val="6D435584"/>
    <w:rsid w:val="6D942BDD"/>
    <w:rsid w:val="6DFA4326"/>
    <w:rsid w:val="6EBFE927"/>
    <w:rsid w:val="6EDE6E97"/>
    <w:rsid w:val="6F1C349A"/>
    <w:rsid w:val="6F912E82"/>
    <w:rsid w:val="6FC248D7"/>
    <w:rsid w:val="6FDF6D82"/>
    <w:rsid w:val="70336D01"/>
    <w:rsid w:val="70422316"/>
    <w:rsid w:val="70526B1D"/>
    <w:rsid w:val="706E2E5C"/>
    <w:rsid w:val="70A36E1C"/>
    <w:rsid w:val="72B00A55"/>
    <w:rsid w:val="72E025CA"/>
    <w:rsid w:val="730A53F0"/>
    <w:rsid w:val="73341567"/>
    <w:rsid w:val="740763A0"/>
    <w:rsid w:val="74225E02"/>
    <w:rsid w:val="748332D5"/>
    <w:rsid w:val="74B82A2F"/>
    <w:rsid w:val="75231A9A"/>
    <w:rsid w:val="75D629D6"/>
    <w:rsid w:val="76DD6C63"/>
    <w:rsid w:val="773C17A0"/>
    <w:rsid w:val="77517F57"/>
    <w:rsid w:val="77FC3EA4"/>
    <w:rsid w:val="77FEE991"/>
    <w:rsid w:val="786F232D"/>
    <w:rsid w:val="789255CB"/>
    <w:rsid w:val="792D1F3A"/>
    <w:rsid w:val="79435739"/>
    <w:rsid w:val="79866BFD"/>
    <w:rsid w:val="79E13BB0"/>
    <w:rsid w:val="7C1349DC"/>
    <w:rsid w:val="7C617F43"/>
    <w:rsid w:val="7C647D2F"/>
    <w:rsid w:val="7D300813"/>
    <w:rsid w:val="7D49019C"/>
    <w:rsid w:val="7D4F582F"/>
    <w:rsid w:val="7D833036"/>
    <w:rsid w:val="7DAC7D89"/>
    <w:rsid w:val="7E7C22CD"/>
    <w:rsid w:val="7EBD74E1"/>
    <w:rsid w:val="7EEB0BF3"/>
    <w:rsid w:val="7EF4611B"/>
    <w:rsid w:val="7F350DA4"/>
    <w:rsid w:val="7F5235C1"/>
    <w:rsid w:val="7F6A45DE"/>
    <w:rsid w:val="D5F37963"/>
    <w:rsid w:val="DFEFC75B"/>
    <w:rsid w:val="E3DD8ED3"/>
    <w:rsid w:val="F7EFA600"/>
    <w:rsid w:val="FDBDF253"/>
    <w:rsid w:val="FFCF0846"/>
    <w:rsid w:val="FFF5E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qFormat="1" w:unhideWhenUsed="0" w:uiPriority="99" w:semiHidden="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iPriority="99"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uiPriority="0" w:name="Body Text 3"/>
    <w:lsdException w:qFormat="1" w:unhideWhenUsed="0" w:uiPriority="99" w:semiHidden="0" w:name="Body Text Indent 2"/>
    <w:lsdException w:qFormat="1" w:unhideWhenUsed="0" w:uiPriority="99" w:semiHidden="0" w:name="Body Text Indent 3"/>
    <w:lsdException w:qFormat="1" w:uiPriority="99"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qFormat="1" w:uiPriority="0" w:name="HTML Code"/>
    <w:lsdException w:qFormat="1" w:uiPriority="0" w:name="HTML Definition"/>
    <w:lsdException w:qFormat="1" w:uiPriority="0" w:name="HTML Keyboard"/>
    <w:lsdException w:qFormat="1" w:unhideWhenUsed="0" w:uiPriority="99"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3">
    <w:name w:val="heading 1"/>
    <w:basedOn w:val="1"/>
    <w:next w:val="1"/>
    <w:link w:val="53"/>
    <w:qFormat/>
    <w:uiPriority w:val="0"/>
    <w:pPr>
      <w:keepNext/>
      <w:jc w:val="center"/>
      <w:outlineLvl w:val="0"/>
    </w:pPr>
    <w:rPr>
      <w:rFonts w:ascii="Tahoma" w:eastAsia="Tahoma" w:cs="Times New Roman"/>
      <w:b/>
      <w:bCs/>
      <w:lang w:val="zh-CN"/>
    </w:rPr>
  </w:style>
  <w:style w:type="paragraph" w:styleId="4">
    <w:name w:val="heading 2"/>
    <w:basedOn w:val="1"/>
    <w:next w:val="1"/>
    <w:link w:val="54"/>
    <w:qFormat/>
    <w:uiPriority w:val="0"/>
    <w:pPr>
      <w:keepNext/>
      <w:keepLines/>
      <w:spacing w:before="260" w:after="260" w:line="415" w:lineRule="auto"/>
      <w:outlineLvl w:val="1"/>
    </w:pPr>
    <w:rPr>
      <w:rFonts w:ascii="Arial Unicode MS" w:hAnsi="Arial Unicode MS" w:eastAsia="Wingdings" w:cs="Times New Roman"/>
      <w:b/>
      <w:bCs/>
      <w:sz w:val="32"/>
      <w:szCs w:val="32"/>
      <w:lang w:val="zh-CN"/>
    </w:rPr>
  </w:style>
  <w:style w:type="paragraph" w:styleId="5">
    <w:name w:val="heading 3"/>
    <w:basedOn w:val="1"/>
    <w:next w:val="1"/>
    <w:link w:val="55"/>
    <w:qFormat/>
    <w:uiPriority w:val="0"/>
    <w:pPr>
      <w:keepLines/>
      <w:widowControl/>
      <w:autoSpaceDE w:val="0"/>
      <w:autoSpaceDN w:val="0"/>
      <w:adjustRightInd w:val="0"/>
      <w:spacing w:before="60"/>
      <w:jc w:val="left"/>
      <w:outlineLvl w:val="2"/>
    </w:pPr>
    <w:rPr>
      <w:rFonts w:eastAsia="Wingdings"/>
      <w:kern w:val="0"/>
      <w:sz w:val="24"/>
      <w:szCs w:val="20"/>
    </w:rPr>
  </w:style>
  <w:style w:type="paragraph" w:styleId="6">
    <w:name w:val="heading 4"/>
    <w:basedOn w:val="1"/>
    <w:next w:val="1"/>
    <w:link w:val="56"/>
    <w:qFormat/>
    <w:uiPriority w:val="0"/>
    <w:pPr>
      <w:keepLines/>
      <w:widowControl/>
      <w:autoSpaceDE w:val="0"/>
      <w:autoSpaceDN w:val="0"/>
      <w:adjustRightInd w:val="0"/>
      <w:snapToGrid w:val="0"/>
      <w:jc w:val="left"/>
      <w:outlineLvl w:val="3"/>
    </w:pPr>
    <w:rPr>
      <w:rFonts w:eastAsia="Tahoma" w:cs="Times New Roman"/>
      <w:b/>
      <w:kern w:val="0"/>
      <w:sz w:val="24"/>
      <w:szCs w:val="20"/>
      <w:lang w:val="zh-CN"/>
    </w:rPr>
  </w:style>
  <w:style w:type="paragraph" w:styleId="7">
    <w:name w:val="heading 5"/>
    <w:basedOn w:val="1"/>
    <w:next w:val="1"/>
    <w:link w:val="288"/>
    <w:qFormat/>
    <w:uiPriority w:val="0"/>
    <w:pPr>
      <w:keepNext/>
      <w:keepLines/>
      <w:spacing w:before="280" w:after="290" w:line="372" w:lineRule="auto"/>
      <w:ind w:left="1008" w:hanging="1008"/>
      <w:outlineLvl w:val="4"/>
    </w:pPr>
    <w:rPr>
      <w:rFonts w:ascii="Times New Roman" w:hAnsi="Times New Roman" w:cs="宋体"/>
      <w:b/>
      <w:sz w:val="28"/>
      <w:szCs w:val="22"/>
    </w:rPr>
  </w:style>
  <w:style w:type="paragraph" w:styleId="8">
    <w:name w:val="heading 6"/>
    <w:basedOn w:val="1"/>
    <w:next w:val="1"/>
    <w:link w:val="289"/>
    <w:qFormat/>
    <w:uiPriority w:val="0"/>
    <w:pPr>
      <w:keepNext/>
      <w:keepLines/>
      <w:spacing w:before="240" w:after="64" w:line="317" w:lineRule="auto"/>
      <w:ind w:left="1151" w:hanging="1151"/>
      <w:outlineLvl w:val="5"/>
    </w:pPr>
    <w:rPr>
      <w:rFonts w:ascii="Arial" w:hAnsi="Arial" w:eastAsia="黑体" w:cs="宋体"/>
      <w:b/>
      <w:sz w:val="24"/>
      <w:szCs w:val="22"/>
    </w:rPr>
  </w:style>
  <w:style w:type="paragraph" w:styleId="9">
    <w:name w:val="heading 7"/>
    <w:basedOn w:val="1"/>
    <w:next w:val="1"/>
    <w:link w:val="290"/>
    <w:qFormat/>
    <w:uiPriority w:val="0"/>
    <w:pPr>
      <w:keepNext/>
      <w:keepLines/>
      <w:spacing w:before="240" w:after="64" w:line="317" w:lineRule="auto"/>
      <w:ind w:left="1296" w:hanging="1296"/>
      <w:outlineLvl w:val="6"/>
    </w:pPr>
    <w:rPr>
      <w:rFonts w:ascii="Times New Roman" w:hAnsi="Times New Roman" w:cs="宋体"/>
      <w:b/>
      <w:sz w:val="24"/>
      <w:szCs w:val="22"/>
    </w:rPr>
  </w:style>
  <w:style w:type="paragraph" w:styleId="10">
    <w:name w:val="heading 8"/>
    <w:basedOn w:val="1"/>
    <w:next w:val="1"/>
    <w:link w:val="291"/>
    <w:qFormat/>
    <w:uiPriority w:val="0"/>
    <w:pPr>
      <w:keepNext/>
      <w:keepLines/>
      <w:spacing w:before="240" w:after="64" w:line="317" w:lineRule="auto"/>
      <w:ind w:left="1440" w:hanging="1440"/>
      <w:outlineLvl w:val="7"/>
    </w:pPr>
    <w:rPr>
      <w:rFonts w:ascii="Arial" w:hAnsi="Arial" w:eastAsia="黑体" w:cs="宋体"/>
      <w:sz w:val="24"/>
      <w:szCs w:val="22"/>
    </w:rPr>
  </w:style>
  <w:style w:type="paragraph" w:styleId="11">
    <w:name w:val="heading 9"/>
    <w:basedOn w:val="1"/>
    <w:next w:val="1"/>
    <w:link w:val="292"/>
    <w:qFormat/>
    <w:uiPriority w:val="0"/>
    <w:pPr>
      <w:keepNext/>
      <w:keepLines/>
      <w:spacing w:before="240" w:after="64" w:line="317" w:lineRule="auto"/>
      <w:ind w:left="1583" w:hanging="1583"/>
      <w:outlineLvl w:val="8"/>
    </w:pPr>
    <w:rPr>
      <w:rFonts w:ascii="Arial" w:hAnsi="Arial" w:eastAsia="黑体" w:cs="宋体"/>
      <w:szCs w:val="22"/>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9"/>
    <w:qFormat/>
    <w:uiPriority w:val="99"/>
    <w:pPr>
      <w:spacing w:after="120"/>
    </w:pPr>
    <w:rPr>
      <w:rFonts w:eastAsia="宋体,Verdana,Arial"/>
    </w:rPr>
  </w:style>
  <w:style w:type="paragraph" w:styleId="12">
    <w:name w:val="Normal Indent"/>
    <w:basedOn w:val="1"/>
    <w:link w:val="57"/>
    <w:qFormat/>
    <w:uiPriority w:val="99"/>
    <w:pPr>
      <w:adjustRightInd w:val="0"/>
      <w:spacing w:line="312" w:lineRule="atLeast"/>
      <w:ind w:firstLine="420"/>
      <w:textAlignment w:val="baseline"/>
    </w:pPr>
    <w:rPr>
      <w:rFonts w:eastAsia="宋体,Verdana,Arial"/>
      <w:kern w:val="0"/>
      <w:szCs w:val="20"/>
    </w:rPr>
  </w:style>
  <w:style w:type="paragraph" w:styleId="13">
    <w:name w:val="caption"/>
    <w:basedOn w:val="1"/>
    <w:next w:val="1"/>
    <w:unhideWhenUsed/>
    <w:qFormat/>
    <w:uiPriority w:val="0"/>
    <w:rPr>
      <w:rFonts w:eastAsia="黑体" w:asciiTheme="majorHAnsi" w:hAnsiTheme="majorHAnsi" w:cstheme="majorBidi"/>
      <w:sz w:val="20"/>
      <w:szCs w:val="20"/>
    </w:rPr>
  </w:style>
  <w:style w:type="paragraph" w:styleId="14">
    <w:name w:val="Document Map"/>
    <w:basedOn w:val="1"/>
    <w:link w:val="256"/>
    <w:qFormat/>
    <w:uiPriority w:val="0"/>
    <w:pPr>
      <w:shd w:val="clear" w:color="auto" w:fill="000080"/>
    </w:pPr>
  </w:style>
  <w:style w:type="paragraph" w:styleId="15">
    <w:name w:val="toa heading"/>
    <w:basedOn w:val="1"/>
    <w:next w:val="1"/>
    <w:semiHidden/>
    <w:unhideWhenUsed/>
    <w:qFormat/>
    <w:uiPriority w:val="99"/>
    <w:pPr>
      <w:spacing w:before="120"/>
    </w:pPr>
    <w:rPr>
      <w:rFonts w:ascii="Arial" w:hAnsi="Arial"/>
      <w:sz w:val="24"/>
      <w:szCs w:val="22"/>
    </w:rPr>
  </w:style>
  <w:style w:type="paragraph" w:styleId="16">
    <w:name w:val="annotation text"/>
    <w:basedOn w:val="1"/>
    <w:link w:val="58"/>
    <w:qFormat/>
    <w:uiPriority w:val="99"/>
    <w:pPr>
      <w:jc w:val="left"/>
    </w:pPr>
    <w:rPr>
      <w:rFonts w:cs="Times New Roman"/>
      <w:lang w:val="zh-CN"/>
    </w:rPr>
  </w:style>
  <w:style w:type="paragraph" w:styleId="17">
    <w:name w:val="Salutation"/>
    <w:basedOn w:val="1"/>
    <w:next w:val="1"/>
    <w:link w:val="257"/>
    <w:qFormat/>
    <w:uiPriority w:val="0"/>
    <w:rPr>
      <w:sz w:val="24"/>
    </w:rPr>
  </w:style>
  <w:style w:type="paragraph" w:styleId="18">
    <w:name w:val="Body Text Indent"/>
    <w:basedOn w:val="1"/>
    <w:link w:val="258"/>
    <w:qFormat/>
    <w:uiPriority w:val="99"/>
    <w:pPr>
      <w:spacing w:after="120"/>
      <w:ind w:left="420"/>
    </w:pPr>
  </w:style>
  <w:style w:type="paragraph" w:styleId="19">
    <w:name w:val="Block Text"/>
    <w:basedOn w:val="1"/>
    <w:semiHidden/>
    <w:unhideWhenUsed/>
    <w:qFormat/>
    <w:uiPriority w:val="99"/>
    <w:pPr>
      <w:spacing w:line="300" w:lineRule="exact"/>
      <w:ind w:left="90" w:leftChars="43" w:right="25" w:rightChars="12" w:firstLine="480" w:firstLineChars="200"/>
    </w:pPr>
    <w:rPr>
      <w:rFonts w:ascii="仿宋_GB2312" w:hAnsi="宋体" w:eastAsia="仿宋_GB2312" w:cs="宋体"/>
      <w:sz w:val="24"/>
      <w:szCs w:val="22"/>
    </w:rPr>
  </w:style>
  <w:style w:type="paragraph" w:styleId="20">
    <w:name w:val="toc 3"/>
    <w:basedOn w:val="1"/>
    <w:next w:val="1"/>
    <w:qFormat/>
    <w:uiPriority w:val="39"/>
    <w:pPr>
      <w:ind w:left="840" w:leftChars="400"/>
    </w:pPr>
  </w:style>
  <w:style w:type="paragraph" w:styleId="21">
    <w:name w:val="Plain Text"/>
    <w:basedOn w:val="1"/>
    <w:link w:val="60"/>
    <w:qFormat/>
    <w:uiPriority w:val="0"/>
    <w:pPr>
      <w:widowControl/>
      <w:overflowPunct w:val="0"/>
      <w:autoSpaceDE w:val="0"/>
      <w:autoSpaceDN w:val="0"/>
      <w:adjustRightInd w:val="0"/>
      <w:jc w:val="left"/>
      <w:textAlignment w:val="baseline"/>
    </w:pPr>
    <w:rPr>
      <w:rFonts w:ascii="宋体,Verdana,Arial" w:hAnsi="Tahoma" w:eastAsia="宋体,Verdana,Arial"/>
      <w:kern w:val="0"/>
      <w:szCs w:val="21"/>
    </w:rPr>
  </w:style>
  <w:style w:type="paragraph" w:styleId="22">
    <w:name w:val="Date"/>
    <w:basedOn w:val="1"/>
    <w:next w:val="1"/>
    <w:link w:val="259"/>
    <w:qFormat/>
    <w:uiPriority w:val="99"/>
    <w:rPr>
      <w:rFonts w:hint="eastAsia" w:ascii="宋体,Verdana,Arial"/>
      <w:sz w:val="24"/>
      <w:szCs w:val="20"/>
    </w:rPr>
  </w:style>
  <w:style w:type="paragraph" w:styleId="23">
    <w:name w:val="Body Text Indent 2"/>
    <w:basedOn w:val="1"/>
    <w:link w:val="260"/>
    <w:qFormat/>
    <w:uiPriority w:val="99"/>
    <w:pPr>
      <w:spacing w:line="500" w:lineRule="exact"/>
      <w:ind w:firstLine="511" w:firstLineChars="213"/>
    </w:pPr>
    <w:rPr>
      <w:sz w:val="24"/>
    </w:rPr>
  </w:style>
  <w:style w:type="paragraph" w:styleId="24">
    <w:name w:val="Balloon Text"/>
    <w:basedOn w:val="1"/>
    <w:link w:val="61"/>
    <w:qFormat/>
    <w:uiPriority w:val="99"/>
    <w:rPr>
      <w:rFonts w:cs="Times New Roman"/>
      <w:sz w:val="18"/>
      <w:szCs w:val="18"/>
      <w:lang w:val="zh-CN"/>
    </w:rPr>
  </w:style>
  <w:style w:type="paragraph" w:styleId="25">
    <w:name w:val="footer"/>
    <w:basedOn w:val="1"/>
    <w:link w:val="62"/>
    <w:qFormat/>
    <w:uiPriority w:val="99"/>
    <w:pPr>
      <w:tabs>
        <w:tab w:val="center" w:pos="4153"/>
        <w:tab w:val="right" w:pos="8306"/>
      </w:tabs>
      <w:snapToGrid w:val="0"/>
      <w:jc w:val="left"/>
    </w:pPr>
    <w:rPr>
      <w:rFonts w:cs="Times New Roman"/>
      <w:sz w:val="18"/>
      <w:szCs w:val="18"/>
      <w:lang w:val="zh-CN"/>
    </w:rPr>
  </w:style>
  <w:style w:type="paragraph" w:styleId="26">
    <w:name w:val="header"/>
    <w:basedOn w:val="1"/>
    <w:link w:val="63"/>
    <w:qFormat/>
    <w:uiPriority w:val="99"/>
    <w:pPr>
      <w:pBdr>
        <w:bottom w:val="single" w:color="auto" w:sz="6" w:space="1"/>
      </w:pBdr>
      <w:tabs>
        <w:tab w:val="center" w:pos="4153"/>
        <w:tab w:val="right" w:pos="8306"/>
      </w:tabs>
      <w:snapToGrid w:val="0"/>
      <w:jc w:val="center"/>
    </w:pPr>
    <w:rPr>
      <w:rFonts w:cs="Times New Roman"/>
      <w:sz w:val="18"/>
      <w:szCs w:val="18"/>
      <w:lang w:val="zh-CN"/>
    </w:rPr>
  </w:style>
  <w:style w:type="paragraph" w:styleId="27">
    <w:name w:val="toc 1"/>
    <w:basedOn w:val="1"/>
    <w:next w:val="1"/>
    <w:qFormat/>
    <w:uiPriority w:val="39"/>
    <w:pPr>
      <w:tabs>
        <w:tab w:val="right" w:leader="dot" w:pos="9660"/>
      </w:tabs>
      <w:spacing w:line="480" w:lineRule="auto"/>
    </w:pPr>
  </w:style>
  <w:style w:type="paragraph" w:styleId="28">
    <w:name w:val="List"/>
    <w:basedOn w:val="1"/>
    <w:qFormat/>
    <w:uiPriority w:val="0"/>
    <w:pPr>
      <w:ind w:left="200" w:hanging="200" w:hangingChars="200"/>
    </w:pPr>
    <w:rPr>
      <w:rFonts w:ascii="Times New Roman" w:hAnsi="Times New Roman" w:cs="Times New Roman"/>
      <w:szCs w:val="22"/>
    </w:rPr>
  </w:style>
  <w:style w:type="paragraph" w:styleId="29">
    <w:name w:val="toc 6"/>
    <w:basedOn w:val="1"/>
    <w:next w:val="1"/>
    <w:qFormat/>
    <w:uiPriority w:val="99"/>
    <w:pPr>
      <w:ind w:left="2100" w:leftChars="1000"/>
    </w:pPr>
    <w:rPr>
      <w:rFonts w:ascii="Times New Roman" w:hAnsi="Times New Roman" w:cs="Times New Roman"/>
    </w:rPr>
  </w:style>
  <w:style w:type="paragraph" w:styleId="30">
    <w:name w:val="Body Text Indent 3"/>
    <w:basedOn w:val="1"/>
    <w:link w:val="64"/>
    <w:qFormat/>
    <w:uiPriority w:val="99"/>
    <w:pPr>
      <w:spacing w:line="500" w:lineRule="exact"/>
      <w:ind w:left="511" w:hanging="511" w:hangingChars="213"/>
    </w:pPr>
    <w:rPr>
      <w:rFonts w:cs="Times New Roman"/>
      <w:sz w:val="24"/>
      <w:lang w:val="zh-CN"/>
    </w:rPr>
  </w:style>
  <w:style w:type="paragraph" w:styleId="31">
    <w:name w:val="toc 2"/>
    <w:basedOn w:val="1"/>
    <w:next w:val="1"/>
    <w:qFormat/>
    <w:uiPriority w:val="39"/>
    <w:pPr>
      <w:ind w:left="420" w:leftChars="200"/>
    </w:pPr>
  </w:style>
  <w:style w:type="paragraph" w:styleId="32">
    <w:name w:val="Body Text 2"/>
    <w:basedOn w:val="1"/>
    <w:link w:val="65"/>
    <w:qFormat/>
    <w:uiPriority w:val="0"/>
    <w:pPr>
      <w:spacing w:after="120" w:line="480" w:lineRule="auto"/>
    </w:pPr>
  </w:style>
  <w:style w:type="paragraph" w:styleId="33">
    <w:name w:val="Message Header"/>
    <w:basedOn w:val="1"/>
    <w:link w:val="28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Times New Roman"/>
      <w:sz w:val="24"/>
      <w:szCs w:val="22"/>
      <w:shd w:val="pct20" w:color="auto" w:fill="auto"/>
    </w:rPr>
  </w:style>
  <w:style w:type="paragraph" w:styleId="34">
    <w:name w:val="HTML Preformatted"/>
    <w:basedOn w:val="1"/>
    <w:link w:val="255"/>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Times New Roman"/>
      <w:kern w:val="0"/>
      <w:sz w:val="24"/>
    </w:rPr>
  </w:style>
  <w:style w:type="paragraph" w:styleId="35">
    <w:name w:val="Normal (Web)"/>
    <w:basedOn w:val="1"/>
    <w:qFormat/>
    <w:uiPriority w:val="99"/>
    <w:pPr>
      <w:widowControl/>
      <w:spacing w:before="100" w:beforeAutospacing="1" w:after="100" w:afterAutospacing="1"/>
      <w:jc w:val="left"/>
    </w:pPr>
    <w:rPr>
      <w:rFonts w:ascii="宋体,Verdana,Arial" w:hAnsi="宋体,Verdana,Arial" w:cs="宋体,Verdana,Arial"/>
      <w:kern w:val="0"/>
      <w:sz w:val="24"/>
    </w:rPr>
  </w:style>
  <w:style w:type="paragraph" w:styleId="36">
    <w:name w:val="Title"/>
    <w:basedOn w:val="1"/>
    <w:link w:val="66"/>
    <w:qFormat/>
    <w:uiPriority w:val="99"/>
    <w:pPr>
      <w:spacing w:before="240" w:after="60"/>
      <w:jc w:val="center"/>
      <w:outlineLvl w:val="0"/>
    </w:pPr>
    <w:rPr>
      <w:rFonts w:ascii="Arial" w:hAnsi="Arial" w:cs="Times New Roman"/>
      <w:b/>
      <w:bCs/>
      <w:sz w:val="32"/>
      <w:szCs w:val="32"/>
      <w:lang w:val="zh-CN"/>
    </w:rPr>
  </w:style>
  <w:style w:type="paragraph" w:styleId="37">
    <w:name w:val="annotation subject"/>
    <w:basedOn w:val="16"/>
    <w:next w:val="16"/>
    <w:link w:val="67"/>
    <w:qFormat/>
    <w:uiPriority w:val="99"/>
    <w:rPr>
      <w:b/>
      <w:bCs/>
    </w:rPr>
  </w:style>
  <w:style w:type="paragraph" w:styleId="38">
    <w:name w:val="Body Text First Indent"/>
    <w:basedOn w:val="2"/>
    <w:link w:val="68"/>
    <w:qFormat/>
    <w:uiPriority w:val="99"/>
    <w:pPr>
      <w:ind w:firstLine="420" w:firstLineChars="100"/>
    </w:pPr>
    <w:rPr>
      <w:rFonts w:eastAsia="宋体"/>
    </w:rPr>
  </w:style>
  <w:style w:type="paragraph" w:styleId="39">
    <w:name w:val="Body Text First Indent 2"/>
    <w:basedOn w:val="18"/>
    <w:link w:val="266"/>
    <w:qFormat/>
    <w:uiPriority w:val="99"/>
    <w:pPr>
      <w:ind w:left="200" w:leftChars="200" w:firstLine="420" w:firstLineChars="200"/>
    </w:pPr>
    <w:rPr>
      <w:rFonts w:ascii="Times New Roman" w:hAnsi="Times New Roman" w:cs="Times New Roman"/>
    </w:rPr>
  </w:style>
  <w:style w:type="table" w:styleId="41">
    <w:name w:val="Table Grid"/>
    <w:basedOn w:val="40"/>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22"/>
    <w:rPr>
      <w:b/>
      <w:bCs/>
    </w:rPr>
  </w:style>
  <w:style w:type="character" w:styleId="44">
    <w:name w:val="page number"/>
    <w:basedOn w:val="42"/>
    <w:qFormat/>
    <w:uiPriority w:val="0"/>
  </w:style>
  <w:style w:type="character" w:styleId="45">
    <w:name w:val="FollowedHyperlink"/>
    <w:unhideWhenUsed/>
    <w:qFormat/>
    <w:uiPriority w:val="0"/>
    <w:rPr>
      <w:color w:val="800080"/>
      <w:u w:val="single"/>
    </w:rPr>
  </w:style>
  <w:style w:type="character" w:styleId="46">
    <w:name w:val="Emphasis"/>
    <w:qFormat/>
    <w:uiPriority w:val="0"/>
  </w:style>
  <w:style w:type="character" w:styleId="47">
    <w:name w:val="HTML Definition"/>
    <w:semiHidden/>
    <w:unhideWhenUsed/>
    <w:qFormat/>
    <w:uiPriority w:val="0"/>
    <w:rPr>
      <w:i/>
    </w:rPr>
  </w:style>
  <w:style w:type="character" w:styleId="48">
    <w:name w:val="Hyperlink"/>
    <w:qFormat/>
    <w:uiPriority w:val="99"/>
    <w:rPr>
      <w:color w:val="0000FF"/>
      <w:u w:val="single"/>
    </w:rPr>
  </w:style>
  <w:style w:type="character" w:styleId="49">
    <w:name w:val="HTML Code"/>
    <w:semiHidden/>
    <w:unhideWhenUsed/>
    <w:qFormat/>
    <w:uiPriority w:val="0"/>
    <w:rPr>
      <w:rFonts w:hint="default" w:ascii="Monaco" w:hAnsi="Monaco" w:eastAsia="Monaco" w:cs="Monaco"/>
      <w:sz w:val="21"/>
      <w:szCs w:val="21"/>
    </w:rPr>
  </w:style>
  <w:style w:type="character" w:styleId="50">
    <w:name w:val="annotation reference"/>
    <w:qFormat/>
    <w:uiPriority w:val="0"/>
    <w:rPr>
      <w:sz w:val="21"/>
      <w:szCs w:val="21"/>
    </w:rPr>
  </w:style>
  <w:style w:type="character" w:styleId="51">
    <w:name w:val="HTML Keyboard"/>
    <w:semiHidden/>
    <w:unhideWhenUsed/>
    <w:qFormat/>
    <w:uiPriority w:val="0"/>
    <w:rPr>
      <w:rFonts w:hint="default" w:ascii="Monaco" w:hAnsi="Monaco" w:eastAsia="Monaco" w:cs="Monaco"/>
      <w:sz w:val="21"/>
      <w:szCs w:val="21"/>
    </w:rPr>
  </w:style>
  <w:style w:type="character" w:styleId="52">
    <w:name w:val="HTML Sample"/>
    <w:semiHidden/>
    <w:unhideWhenUsed/>
    <w:qFormat/>
    <w:uiPriority w:val="0"/>
    <w:rPr>
      <w:rFonts w:hint="default" w:ascii="Monaco" w:hAnsi="Monaco" w:eastAsia="Monaco" w:cs="Monaco"/>
      <w:sz w:val="21"/>
      <w:szCs w:val="21"/>
    </w:rPr>
  </w:style>
  <w:style w:type="character" w:customStyle="1" w:styleId="53">
    <w:name w:val="标题 1 字符"/>
    <w:link w:val="3"/>
    <w:qFormat/>
    <w:uiPriority w:val="0"/>
    <w:rPr>
      <w:rFonts w:ascii="Tahoma" w:eastAsia="Tahoma"/>
      <w:b/>
      <w:bCs/>
      <w:kern w:val="2"/>
      <w:sz w:val="21"/>
      <w:szCs w:val="24"/>
    </w:rPr>
  </w:style>
  <w:style w:type="character" w:customStyle="1" w:styleId="54">
    <w:name w:val="标题 2 字符"/>
    <w:link w:val="4"/>
    <w:qFormat/>
    <w:uiPriority w:val="0"/>
    <w:rPr>
      <w:rFonts w:ascii="Arial Unicode MS" w:hAnsi="Arial Unicode MS" w:eastAsia="Wingdings"/>
      <w:b/>
      <w:bCs/>
      <w:kern w:val="2"/>
      <w:sz w:val="32"/>
      <w:szCs w:val="32"/>
    </w:rPr>
  </w:style>
  <w:style w:type="character" w:customStyle="1" w:styleId="55">
    <w:name w:val="标题 3 字符"/>
    <w:link w:val="5"/>
    <w:qFormat/>
    <w:uiPriority w:val="0"/>
    <w:rPr>
      <w:rFonts w:eastAsia="Wingdings"/>
      <w:sz w:val="24"/>
      <w:lang w:val="en-US" w:eastAsia="zh-CN" w:bidi="ar-SA"/>
    </w:rPr>
  </w:style>
  <w:style w:type="character" w:customStyle="1" w:styleId="56">
    <w:name w:val="标题 4 字符1"/>
    <w:link w:val="6"/>
    <w:qFormat/>
    <w:uiPriority w:val="0"/>
    <w:rPr>
      <w:rFonts w:eastAsia="Tahoma"/>
      <w:b/>
      <w:sz w:val="24"/>
    </w:rPr>
  </w:style>
  <w:style w:type="character" w:customStyle="1" w:styleId="57">
    <w:name w:val="正文缩进 字符"/>
    <w:link w:val="12"/>
    <w:qFormat/>
    <w:uiPriority w:val="0"/>
    <w:rPr>
      <w:rFonts w:eastAsia="宋体,Verdana,Arial"/>
      <w:sz w:val="21"/>
      <w:lang w:val="en-US" w:eastAsia="zh-CN" w:bidi="ar-SA"/>
    </w:rPr>
  </w:style>
  <w:style w:type="character" w:customStyle="1" w:styleId="58">
    <w:name w:val="批注文字 字符"/>
    <w:link w:val="16"/>
    <w:qFormat/>
    <w:uiPriority w:val="99"/>
    <w:rPr>
      <w:kern w:val="2"/>
      <w:sz w:val="21"/>
      <w:szCs w:val="24"/>
    </w:rPr>
  </w:style>
  <w:style w:type="character" w:customStyle="1" w:styleId="59">
    <w:name w:val="正文文本 字符"/>
    <w:link w:val="2"/>
    <w:qFormat/>
    <w:uiPriority w:val="99"/>
    <w:rPr>
      <w:rFonts w:eastAsia="宋体,Verdana,Arial"/>
      <w:kern w:val="2"/>
      <w:sz w:val="21"/>
      <w:szCs w:val="24"/>
      <w:lang w:val="en-US" w:eastAsia="zh-CN" w:bidi="ar-SA"/>
    </w:rPr>
  </w:style>
  <w:style w:type="character" w:customStyle="1" w:styleId="60">
    <w:name w:val="纯文本 字符"/>
    <w:link w:val="21"/>
    <w:qFormat/>
    <w:uiPriority w:val="0"/>
    <w:rPr>
      <w:rFonts w:ascii="宋体,Verdana,Arial" w:hAnsi="Tahoma" w:eastAsia="宋体,Verdana,Arial"/>
      <w:sz w:val="21"/>
      <w:szCs w:val="21"/>
      <w:lang w:val="en-US" w:eastAsia="zh-CN" w:bidi="ar-SA"/>
    </w:rPr>
  </w:style>
  <w:style w:type="character" w:customStyle="1" w:styleId="61">
    <w:name w:val="批注框文本 字符1"/>
    <w:link w:val="24"/>
    <w:qFormat/>
    <w:uiPriority w:val="99"/>
    <w:rPr>
      <w:kern w:val="2"/>
      <w:sz w:val="18"/>
      <w:szCs w:val="18"/>
    </w:rPr>
  </w:style>
  <w:style w:type="character" w:customStyle="1" w:styleId="62">
    <w:name w:val="页脚 字符1"/>
    <w:link w:val="25"/>
    <w:qFormat/>
    <w:uiPriority w:val="99"/>
    <w:rPr>
      <w:kern w:val="2"/>
      <w:sz w:val="18"/>
      <w:szCs w:val="18"/>
    </w:rPr>
  </w:style>
  <w:style w:type="character" w:customStyle="1" w:styleId="63">
    <w:name w:val="页眉 字符1"/>
    <w:link w:val="26"/>
    <w:qFormat/>
    <w:locked/>
    <w:uiPriority w:val="99"/>
    <w:rPr>
      <w:kern w:val="2"/>
      <w:sz w:val="18"/>
      <w:szCs w:val="18"/>
    </w:rPr>
  </w:style>
  <w:style w:type="character" w:customStyle="1" w:styleId="64">
    <w:name w:val="正文文本缩进 3 字符1"/>
    <w:link w:val="30"/>
    <w:qFormat/>
    <w:uiPriority w:val="0"/>
    <w:rPr>
      <w:kern w:val="2"/>
      <w:sz w:val="24"/>
      <w:szCs w:val="24"/>
    </w:rPr>
  </w:style>
  <w:style w:type="character" w:customStyle="1" w:styleId="65">
    <w:name w:val="正文文本 2 字符"/>
    <w:basedOn w:val="42"/>
    <w:link w:val="32"/>
    <w:qFormat/>
    <w:uiPriority w:val="0"/>
    <w:rPr>
      <w:kern w:val="2"/>
      <w:sz w:val="21"/>
      <w:szCs w:val="24"/>
    </w:rPr>
  </w:style>
  <w:style w:type="character" w:customStyle="1" w:styleId="66">
    <w:name w:val="标题 字符"/>
    <w:link w:val="36"/>
    <w:qFormat/>
    <w:uiPriority w:val="99"/>
    <w:rPr>
      <w:rFonts w:ascii="Arial" w:hAnsi="Arial"/>
      <w:b/>
      <w:bCs/>
      <w:kern w:val="2"/>
      <w:sz w:val="32"/>
      <w:szCs w:val="32"/>
    </w:rPr>
  </w:style>
  <w:style w:type="character" w:customStyle="1" w:styleId="67">
    <w:name w:val="批注主题 字符"/>
    <w:link w:val="37"/>
    <w:qFormat/>
    <w:uiPriority w:val="99"/>
    <w:rPr>
      <w:b/>
      <w:bCs/>
      <w:kern w:val="2"/>
      <w:sz w:val="21"/>
      <w:szCs w:val="24"/>
    </w:rPr>
  </w:style>
  <w:style w:type="character" w:customStyle="1" w:styleId="68">
    <w:name w:val="正文文本首行缩进 字符"/>
    <w:basedOn w:val="59"/>
    <w:link w:val="38"/>
    <w:qFormat/>
    <w:uiPriority w:val="99"/>
    <w:rPr>
      <w:rFonts w:eastAsia="宋体,Verdana,Arial"/>
      <w:kern w:val="2"/>
      <w:sz w:val="21"/>
      <w:szCs w:val="24"/>
      <w:lang w:val="en-US" w:eastAsia="zh-CN" w:bidi="ar-SA"/>
    </w:rPr>
  </w:style>
  <w:style w:type="character" w:customStyle="1" w:styleId="69">
    <w:name w:val="正文缩进 Char"/>
    <w:qFormat/>
    <w:uiPriority w:val="0"/>
    <w:rPr>
      <w:rFonts w:eastAsia="宋体,Verdana,Arial"/>
      <w:sz w:val="21"/>
      <w:lang w:val="en-US" w:eastAsia="zh-CN"/>
    </w:rPr>
  </w:style>
  <w:style w:type="character" w:customStyle="1" w:styleId="70">
    <w:name w:val="Texte Char Char"/>
    <w:qFormat/>
    <w:uiPriority w:val="0"/>
    <w:rPr>
      <w:rFonts w:ascii="宋体" w:hAnsi="Courier New" w:eastAsia="宋体"/>
      <w:sz w:val="21"/>
      <w:szCs w:val="21"/>
      <w:lang w:val="en-US" w:eastAsia="zh-CN" w:bidi="ar-SA"/>
    </w:rPr>
  </w:style>
  <w:style w:type="character" w:customStyle="1" w:styleId="71">
    <w:name w:val="列出段落 Char"/>
    <w:link w:val="72"/>
    <w:qFormat/>
    <w:uiPriority w:val="34"/>
    <w:rPr>
      <w:rFonts w:ascii="Courier New" w:hAnsi="Courier New"/>
      <w:kern w:val="2"/>
      <w:sz w:val="21"/>
      <w:szCs w:val="22"/>
    </w:rPr>
  </w:style>
  <w:style w:type="paragraph" w:customStyle="1" w:styleId="72">
    <w:name w:val="列出段落1"/>
    <w:basedOn w:val="1"/>
    <w:link w:val="71"/>
    <w:qFormat/>
    <w:uiPriority w:val="99"/>
    <w:pPr>
      <w:ind w:firstLine="420" w:firstLineChars="200"/>
    </w:pPr>
    <w:rPr>
      <w:rFonts w:ascii="Courier New" w:hAnsi="Courier New" w:cs="Times New Roman"/>
      <w:szCs w:val="22"/>
      <w:lang w:val="zh-CN"/>
    </w:rPr>
  </w:style>
  <w:style w:type="character" w:customStyle="1" w:styleId="73">
    <w:name w:val="Char Char2"/>
    <w:qFormat/>
    <w:uiPriority w:val="0"/>
    <w:rPr>
      <w:rFonts w:ascii="Univers LT Std 57 Cn" w:hAnsi="宋体,Verdana,Arial" w:eastAsia="Univers LT Std 57 Cn"/>
      <w:kern w:val="2"/>
      <w:sz w:val="21"/>
      <w:lang w:val="en-US" w:eastAsia="zh-CN" w:bidi="ar-SA"/>
    </w:rPr>
  </w:style>
  <w:style w:type="character" w:customStyle="1" w:styleId="74">
    <w:name w:val="p141"/>
    <w:qFormat/>
    <w:uiPriority w:val="0"/>
    <w:rPr>
      <w:sz w:val="21"/>
      <w:szCs w:val="21"/>
    </w:rPr>
  </w:style>
  <w:style w:type="character" w:customStyle="1" w:styleId="75">
    <w:name w:val="纯文本 Char1"/>
    <w:qFormat/>
    <w:uiPriority w:val="0"/>
    <w:rPr>
      <w:rFonts w:ascii="宋体,Verdana,Arial" w:hAnsi="Tahoma" w:eastAsia="宋体,Verdana,Arial"/>
      <w:sz w:val="21"/>
      <w:szCs w:val="21"/>
    </w:rPr>
  </w:style>
  <w:style w:type="character" w:customStyle="1" w:styleId="76">
    <w:name w:val="正文文本 (2)_"/>
    <w:link w:val="77"/>
    <w:qFormat/>
    <w:uiPriority w:val="99"/>
    <w:rPr>
      <w:rFonts w:ascii="Times New Roman" w:hAnsi="Times New Roman" w:cs="Times New Roman"/>
      <w:shd w:val="clear" w:color="auto" w:fill="FFFFFF"/>
    </w:rPr>
  </w:style>
  <w:style w:type="paragraph" w:customStyle="1" w:styleId="77">
    <w:name w:val="正文文本 (2)"/>
    <w:basedOn w:val="1"/>
    <w:link w:val="76"/>
    <w:qFormat/>
    <w:uiPriority w:val="99"/>
    <w:pPr>
      <w:shd w:val="clear" w:color="auto" w:fill="FFFFFF"/>
      <w:jc w:val="left"/>
    </w:pPr>
    <w:rPr>
      <w:rFonts w:ascii="Times New Roman" w:hAnsi="Times New Roman" w:cs="Times New Roman"/>
      <w:kern w:val="0"/>
      <w:sz w:val="20"/>
      <w:szCs w:val="20"/>
      <w:lang w:val="zh-CN"/>
    </w:rPr>
  </w:style>
  <w:style w:type="character" w:customStyle="1" w:styleId="78">
    <w:name w:val="正文文本 (2) + MingLiU1"/>
    <w:qFormat/>
    <w:uiPriority w:val="99"/>
    <w:rPr>
      <w:rFonts w:ascii="MingLiU" w:hAnsi="Times New Roman" w:eastAsia="MingLiU" w:cs="MingLiU"/>
      <w:w w:val="100"/>
      <w:sz w:val="13"/>
      <w:szCs w:val="13"/>
      <w:shd w:val="clear" w:color="auto" w:fill="FFFFFF"/>
      <w:lang w:val="en-US" w:eastAsia="en-US"/>
    </w:rPr>
  </w:style>
  <w:style w:type="character" w:customStyle="1" w:styleId="79">
    <w:name w:val="ändrad Char"/>
    <w:qFormat/>
    <w:uiPriority w:val="0"/>
    <w:rPr>
      <w:rFonts w:eastAsia="Univers LT Std 57 Cn"/>
      <w:kern w:val="2"/>
      <w:sz w:val="21"/>
      <w:szCs w:val="24"/>
      <w:lang w:val="en-US" w:eastAsia="zh-CN" w:bidi="ar-SA"/>
    </w:rPr>
  </w:style>
  <w:style w:type="character" w:customStyle="1" w:styleId="80">
    <w:name w:val="正文文本 (2) + MingLiU"/>
    <w:qFormat/>
    <w:uiPriority w:val="99"/>
    <w:rPr>
      <w:rFonts w:ascii="MingLiU" w:hAnsi="Times New Roman" w:eastAsia="MingLiU" w:cs="MingLiU"/>
      <w:sz w:val="13"/>
      <w:szCs w:val="13"/>
      <w:shd w:val="clear" w:color="auto" w:fill="FFFFFF"/>
    </w:rPr>
  </w:style>
  <w:style w:type="character" w:customStyle="1" w:styleId="81">
    <w:name w:val="font31"/>
    <w:qFormat/>
    <w:uiPriority w:val="0"/>
    <w:rPr>
      <w:rFonts w:hint="eastAsia" w:ascii="宋体" w:hAnsi="宋体" w:eastAsia="宋体" w:cs="宋体"/>
      <w:color w:val="000000"/>
      <w:sz w:val="24"/>
      <w:szCs w:val="24"/>
    </w:rPr>
  </w:style>
  <w:style w:type="character" w:customStyle="1" w:styleId="82">
    <w:name w:val="正文文本缩进 3 Char1"/>
    <w:semiHidden/>
    <w:qFormat/>
    <w:uiPriority w:val="99"/>
    <w:rPr>
      <w:rFonts w:ascii="Times New Roman" w:hAnsi="Times New Roman"/>
      <w:kern w:val="2"/>
      <w:sz w:val="16"/>
      <w:szCs w:val="16"/>
    </w:rPr>
  </w:style>
  <w:style w:type="character" w:customStyle="1" w:styleId="83">
    <w:name w:val="页脚 字符"/>
    <w:qFormat/>
    <w:uiPriority w:val="99"/>
    <w:rPr>
      <w:rFonts w:ascii="Times New Roman" w:hAnsi="Times New Roman" w:eastAsia="宋体" w:cs="Times New Roman"/>
      <w:sz w:val="18"/>
      <w:szCs w:val="18"/>
    </w:rPr>
  </w:style>
  <w:style w:type="character" w:customStyle="1" w:styleId="84">
    <w:name w:val="apple-converted-space"/>
    <w:qFormat/>
    <w:uiPriority w:val="0"/>
  </w:style>
  <w:style w:type="character" w:customStyle="1" w:styleId="85">
    <w:name w:val="页眉 字符"/>
    <w:qFormat/>
    <w:uiPriority w:val="99"/>
    <w:rPr>
      <w:rFonts w:ascii="Times New Roman" w:hAnsi="Times New Roman" w:eastAsia="宋体" w:cs="Times New Roman"/>
      <w:sz w:val="18"/>
      <w:szCs w:val="18"/>
    </w:rPr>
  </w:style>
  <w:style w:type="character" w:customStyle="1" w:styleId="86">
    <w:name w:val="批注框文本 字符"/>
    <w:qFormat/>
    <w:uiPriority w:val="99"/>
    <w:rPr>
      <w:rFonts w:ascii="Times New Roman" w:hAnsi="Times New Roman" w:eastAsia="宋体" w:cs="Times New Roman"/>
      <w:sz w:val="18"/>
      <w:szCs w:val="18"/>
    </w:rPr>
  </w:style>
  <w:style w:type="character" w:customStyle="1" w:styleId="87">
    <w:name w:val="标题 4 字符"/>
    <w:qFormat/>
    <w:uiPriority w:val="0"/>
    <w:rPr>
      <w:rFonts w:ascii="Arial" w:hAnsi="Arial" w:eastAsia="黑体" w:cs="Times New Roman"/>
      <w:b/>
      <w:sz w:val="28"/>
      <w:szCs w:val="20"/>
    </w:rPr>
  </w:style>
  <w:style w:type="character" w:customStyle="1" w:styleId="88">
    <w:name w:val="正文文本缩进 3 字符"/>
    <w:qFormat/>
    <w:locked/>
    <w:uiPriority w:val="99"/>
    <w:rPr>
      <w:rFonts w:ascii="仿宋_GB2312" w:hAnsi="宋体" w:eastAsia="仿宋_GB2312"/>
      <w:color w:val="000000"/>
      <w:sz w:val="24"/>
      <w:szCs w:val="24"/>
    </w:rPr>
  </w:style>
  <w:style w:type="paragraph" w:customStyle="1" w:styleId="8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9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18"/>
      <w:szCs w:val="18"/>
    </w:rPr>
  </w:style>
  <w:style w:type="paragraph" w:customStyle="1" w:styleId="91">
    <w:name w:val="正文1"/>
    <w:basedOn w:val="1"/>
    <w:qFormat/>
    <w:uiPriority w:val="0"/>
    <w:pPr>
      <w:adjustRightInd w:val="0"/>
      <w:spacing w:line="360" w:lineRule="atLeast"/>
      <w:jc w:val="left"/>
    </w:pPr>
    <w:rPr>
      <w:rFonts w:eastAsia="Tahoma"/>
      <w:kern w:val="0"/>
      <w:sz w:val="24"/>
      <w:szCs w:val="20"/>
    </w:rPr>
  </w:style>
  <w:style w:type="paragraph" w:customStyle="1" w:styleId="92">
    <w:name w:val="保留正文"/>
    <w:basedOn w:val="2"/>
    <w:qFormat/>
    <w:uiPriority w:val="0"/>
    <w:pPr>
      <w:keepNext/>
      <w:spacing w:after="160"/>
    </w:pPr>
    <w:rPr>
      <w:rFonts w:ascii="Arial" w:hAnsi="Arial" w:eastAsia="Univers LT Std 57 Cn"/>
    </w:rPr>
  </w:style>
  <w:style w:type="paragraph" w:customStyle="1" w:styleId="93">
    <w:name w:val="Char Char Char Char Char Char Char Char Char Char Char Char Char"/>
    <w:basedOn w:val="1"/>
    <w:qFormat/>
    <w:uiPriority w:val="0"/>
    <w:rPr>
      <w:rFonts w:ascii="Arial Unicode MS" w:hAnsi="Arial Unicode MS"/>
      <w:sz w:val="24"/>
      <w:szCs w:val="20"/>
    </w:rPr>
  </w:style>
  <w:style w:type="paragraph" w:customStyle="1" w:styleId="94">
    <w:name w:val="xl35"/>
    <w:basedOn w:val="1"/>
    <w:qFormat/>
    <w:uiPriority w:val="99"/>
    <w:pPr>
      <w:widowControl/>
      <w:pBdr>
        <w:left w:val="single" w:color="auto" w:sz="4" w:space="0"/>
        <w:bottom w:val="single" w:color="auto" w:sz="4" w:space="0"/>
        <w:right w:val="single" w:color="auto" w:sz="4" w:space="0"/>
      </w:pBdr>
      <w:spacing w:before="100" w:beforeAutospacing="1" w:after="100" w:afterAutospacing="1"/>
      <w:textAlignment w:val="center"/>
    </w:pPr>
    <w:rPr>
      <w:rFonts w:ascii="宋体,Verdana,Arial" w:hAnsi="宋体,Verdana,Arial" w:eastAsia="宋体,Verdana,Arial"/>
      <w:kern w:val="0"/>
      <w:sz w:val="24"/>
    </w:rPr>
  </w:style>
  <w:style w:type="paragraph" w:customStyle="1" w:styleId="95">
    <w:name w:val="xl90"/>
    <w:basedOn w:val="1"/>
    <w:qFormat/>
    <w:uiPriority w:val="0"/>
    <w:pPr>
      <w:widowControl/>
      <w:spacing w:before="100" w:beforeAutospacing="1" w:after="100" w:afterAutospacing="1"/>
      <w:jc w:val="left"/>
    </w:pPr>
    <w:rPr>
      <w:rFonts w:ascii="Arial" w:hAnsi="Arial"/>
      <w:kern w:val="0"/>
      <w:sz w:val="24"/>
    </w:rPr>
  </w:style>
  <w:style w:type="paragraph" w:customStyle="1" w:styleId="9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cs="Times New Roman"/>
      <w:color w:val="000000"/>
      <w:kern w:val="0"/>
      <w:sz w:val="18"/>
      <w:szCs w:val="18"/>
    </w:rPr>
  </w:style>
  <w:style w:type="paragraph" w:customStyle="1" w:styleId="97">
    <w:name w:val="正文2"/>
    <w:next w:val="27"/>
    <w:qFormat/>
    <w:uiPriority w:val="99"/>
    <w:pPr>
      <w:widowControl w:val="0"/>
      <w:spacing w:before="156" w:line="360" w:lineRule="auto"/>
      <w:ind w:firstLine="200" w:firstLineChars="200"/>
      <w:jc w:val="both"/>
    </w:pPr>
    <w:rPr>
      <w:rFonts w:ascii="Times New Roman" w:hAnsi="Times New Roman" w:eastAsia="宋体" w:cs="Times New Roman"/>
      <w:kern w:val="2"/>
      <w:sz w:val="24"/>
      <w:lang w:val="en-US" w:eastAsia="zh-CN" w:bidi="ar-SA"/>
    </w:rPr>
  </w:style>
  <w:style w:type="paragraph" w:customStyle="1" w:styleId="98">
    <w:name w:val="Char Char Char Char"/>
    <w:basedOn w:val="1"/>
    <w:qFormat/>
    <w:uiPriority w:val="0"/>
    <w:rPr>
      <w:rFonts w:ascii="Arial Unicode MS" w:hAnsi="Arial Unicode MS"/>
      <w:sz w:val="24"/>
      <w:szCs w:val="20"/>
    </w:rPr>
  </w:style>
  <w:style w:type="paragraph" w:customStyle="1" w:styleId="99">
    <w:name w:val="aspnumfaautoadjustrightr"/>
    <w:qFormat/>
    <w:uiPriority w:val="0"/>
    <w:pPr>
      <w:widowControl w:val="0"/>
      <w:autoSpaceDE w:val="0"/>
      <w:autoSpaceDN w:val="0"/>
      <w:adjustRightInd w:val="0"/>
      <w:ind w:firstLine="720"/>
      <w:jc w:val="both"/>
    </w:pPr>
    <w:rPr>
      <w:rFonts w:ascii="Calibri" w:hAnsi="Calibri" w:eastAsia="宋体" w:cs="Arial"/>
      <w:lang w:val="en-US" w:eastAsia="zh-CN" w:bidi="ar-SA"/>
    </w:rPr>
  </w:style>
  <w:style w:type="paragraph" w:customStyle="1" w:styleId="100">
    <w:name w:val="msolistparagraph"/>
    <w:basedOn w:val="1"/>
    <w:qFormat/>
    <w:uiPriority w:val="0"/>
    <w:pPr>
      <w:widowControl/>
      <w:ind w:firstLine="420"/>
      <w:jc w:val="left"/>
    </w:pPr>
    <w:rPr>
      <w:rFonts w:ascii="宋体" w:hAnsi="宋体" w:cs="宋体"/>
      <w:kern w:val="0"/>
      <w:sz w:val="24"/>
    </w:rPr>
  </w:style>
  <w:style w:type="paragraph" w:customStyle="1" w:styleId="101">
    <w:name w:val="xl55"/>
    <w:basedOn w:val="1"/>
    <w:qFormat/>
    <w:uiPriority w:val="99"/>
    <w:pPr>
      <w:widowControl/>
      <w:spacing w:before="100" w:beforeAutospacing="1" w:after="100" w:afterAutospacing="1"/>
      <w:textAlignment w:val="center"/>
    </w:pPr>
    <w:rPr>
      <w:rFonts w:ascii="宋体,Verdana,Arial" w:hAnsi="宋体,Verdana,Arial" w:eastAsia="Tahoma"/>
      <w:kern w:val="0"/>
      <w:sz w:val="24"/>
      <w:szCs w:val="20"/>
    </w:rPr>
  </w:style>
  <w:style w:type="paragraph" w:customStyle="1" w:styleId="102">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olor w:val="000000"/>
      <w:kern w:val="0"/>
      <w:sz w:val="18"/>
      <w:szCs w:val="18"/>
    </w:rPr>
  </w:style>
  <w:style w:type="paragraph" w:customStyle="1" w:styleId="103">
    <w:name w:val="xl9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w:hAnsi="Arial"/>
      <w:color w:val="000000"/>
      <w:kern w:val="0"/>
      <w:sz w:val="18"/>
      <w:szCs w:val="18"/>
    </w:rPr>
  </w:style>
  <w:style w:type="paragraph" w:customStyle="1" w:styleId="104">
    <w:name w:val="Char Char Char Char1"/>
    <w:basedOn w:val="14"/>
    <w:qFormat/>
    <w:uiPriority w:val="0"/>
    <w:rPr>
      <w:rFonts w:ascii="Arial Unicode MS" w:hAnsi="Arial Unicode MS"/>
      <w:sz w:val="24"/>
    </w:rPr>
  </w:style>
  <w:style w:type="paragraph" w:customStyle="1" w:styleId="105">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jc w:val="center"/>
    </w:pPr>
    <w:rPr>
      <w:rFonts w:ascii="宋体" w:hAnsi="宋体" w:cs="宋体"/>
      <w:b/>
      <w:bCs/>
      <w:color w:val="000000"/>
      <w:kern w:val="0"/>
      <w:sz w:val="20"/>
      <w:szCs w:val="20"/>
    </w:rPr>
  </w:style>
  <w:style w:type="paragraph" w:customStyle="1" w:styleId="106">
    <w:name w:val="xl10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107">
    <w:name w:val="xl15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w:hAnsi="Arial"/>
      <w:b/>
      <w:bCs/>
      <w:color w:val="000000"/>
      <w:kern w:val="0"/>
      <w:sz w:val="20"/>
      <w:szCs w:val="20"/>
    </w:rPr>
  </w:style>
  <w:style w:type="paragraph" w:customStyle="1" w:styleId="108">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olor w:val="000000"/>
      <w:kern w:val="0"/>
      <w:sz w:val="18"/>
      <w:szCs w:val="18"/>
    </w:rPr>
  </w:style>
  <w:style w:type="paragraph" w:customStyle="1" w:styleId="109">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0">
    <w:name w:val="font15"/>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11">
    <w:name w:val="Char Char7 Char"/>
    <w:basedOn w:val="1"/>
    <w:qFormat/>
    <w:uiPriority w:val="0"/>
    <w:pPr>
      <w:tabs>
        <w:tab w:val="left" w:pos="425"/>
      </w:tabs>
      <w:ind w:left="420" w:leftChars="200" w:firstLine="270" w:firstLineChars="150"/>
    </w:pPr>
    <w:rPr>
      <w:rFonts w:ascii="Times New Roman" w:hAnsi="Times New Roman" w:cs="Times New Roman"/>
    </w:rPr>
  </w:style>
  <w:style w:type="paragraph" w:customStyle="1" w:styleId="112">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Verdana,Arial"/>
      <w:b/>
      <w:kern w:val="0"/>
      <w:sz w:val="24"/>
      <w:szCs w:val="20"/>
    </w:rPr>
  </w:style>
  <w:style w:type="paragraph" w:customStyle="1" w:styleId="113">
    <w:name w:val="xl10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w:hAnsi="Arial"/>
      <w:color w:val="000000"/>
      <w:kern w:val="0"/>
      <w:sz w:val="18"/>
      <w:szCs w:val="18"/>
    </w:rPr>
  </w:style>
  <w:style w:type="paragraph" w:customStyle="1" w:styleId="11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olor w:val="000000"/>
      <w:kern w:val="0"/>
      <w:sz w:val="18"/>
      <w:szCs w:val="18"/>
    </w:rPr>
  </w:style>
  <w:style w:type="paragraph" w:customStyle="1" w:styleId="115">
    <w:name w:val="修订1"/>
    <w:semiHidden/>
    <w:qFormat/>
    <w:uiPriority w:val="99"/>
    <w:rPr>
      <w:rFonts w:ascii="Calibri" w:hAnsi="Calibri" w:eastAsia="宋体" w:cs="Arial"/>
      <w:kern w:val="2"/>
      <w:sz w:val="21"/>
      <w:szCs w:val="24"/>
      <w:lang w:val="en-US" w:eastAsia="zh-CN" w:bidi="ar-SA"/>
    </w:rPr>
  </w:style>
  <w:style w:type="paragraph" w:customStyle="1" w:styleId="116">
    <w:name w:val="Char Char"/>
    <w:basedOn w:val="1"/>
    <w:qFormat/>
    <w:uiPriority w:val="0"/>
    <w:rPr>
      <w:rFonts w:ascii="Courier New" w:eastAsia="Courier New"/>
      <w:b/>
      <w:sz w:val="32"/>
      <w:szCs w:val="32"/>
    </w:rPr>
  </w:style>
  <w:style w:type="paragraph" w:customStyle="1" w:styleId="117">
    <w:name w:val="表内文字"/>
    <w:basedOn w:val="1"/>
    <w:qFormat/>
    <w:uiPriority w:val="99"/>
    <w:pPr>
      <w:spacing w:line="240" w:lineRule="atLeast"/>
      <w:jc w:val="center"/>
    </w:pPr>
    <w:rPr>
      <w:rFonts w:ascii="Arial Unicode MS" w:hAnsi="Arial Unicode MS" w:cs="Arial Unicode MS"/>
      <w:b/>
      <w:bCs/>
    </w:rPr>
  </w:style>
  <w:style w:type="paragraph" w:customStyle="1" w:styleId="118">
    <w:name w:val="xl130"/>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left"/>
    </w:pPr>
    <w:rPr>
      <w:rFonts w:ascii="Arial" w:hAnsi="Arial"/>
      <w:b/>
      <w:bCs/>
      <w:kern w:val="0"/>
      <w:sz w:val="18"/>
      <w:szCs w:val="18"/>
    </w:rPr>
  </w:style>
  <w:style w:type="paragraph" w:customStyle="1" w:styleId="119">
    <w:name w:val="_Style 5"/>
    <w:basedOn w:val="14"/>
    <w:qFormat/>
    <w:uiPriority w:val="0"/>
    <w:rPr>
      <w:rFonts w:ascii="Times New Roman" w:hAnsi="Times New Roman" w:cs="Times New Roman"/>
    </w:rPr>
  </w:style>
  <w:style w:type="paragraph" w:customStyle="1" w:styleId="120">
    <w:name w:val="Char Char6 Char Char"/>
    <w:basedOn w:val="14"/>
    <w:qFormat/>
    <w:uiPriority w:val="0"/>
    <w:rPr>
      <w:rFonts w:ascii="Times New Roman" w:hAnsi="Times New Roman" w:cs="Times New Roman"/>
    </w:rPr>
  </w:style>
  <w:style w:type="paragraph" w:customStyle="1" w:styleId="121">
    <w:name w:val="font16"/>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22">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123">
    <w:name w:val="font5"/>
    <w:basedOn w:val="1"/>
    <w:qFormat/>
    <w:uiPriority w:val="0"/>
    <w:pPr>
      <w:widowControl/>
      <w:spacing w:before="100" w:beforeAutospacing="1" w:after="100" w:afterAutospacing="1"/>
      <w:jc w:val="left"/>
    </w:pPr>
    <w:rPr>
      <w:rFonts w:ascii="Arial" w:hAnsi="Arial"/>
      <w:kern w:val="0"/>
      <w:sz w:val="18"/>
      <w:szCs w:val="18"/>
    </w:rPr>
  </w:style>
  <w:style w:type="paragraph" w:customStyle="1" w:styleId="124">
    <w:name w:val="font6"/>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125">
    <w:name w:val="font7"/>
    <w:basedOn w:val="1"/>
    <w:qFormat/>
    <w:uiPriority w:val="0"/>
    <w:pPr>
      <w:widowControl/>
      <w:spacing w:before="100" w:beforeAutospacing="1" w:after="100" w:afterAutospacing="1"/>
      <w:jc w:val="left"/>
    </w:pPr>
    <w:rPr>
      <w:rFonts w:ascii="Arial" w:hAnsi="Arial"/>
      <w:b/>
      <w:bCs/>
      <w:color w:val="000000"/>
      <w:kern w:val="0"/>
      <w:sz w:val="18"/>
      <w:szCs w:val="18"/>
    </w:rPr>
  </w:style>
  <w:style w:type="paragraph" w:customStyle="1" w:styleId="126">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olor w:val="000000"/>
      <w:kern w:val="0"/>
      <w:sz w:val="18"/>
      <w:szCs w:val="18"/>
    </w:rPr>
  </w:style>
  <w:style w:type="paragraph" w:customStyle="1" w:styleId="127">
    <w:name w:val="font8"/>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128">
    <w:name w:val="font10"/>
    <w:basedOn w:val="1"/>
    <w:qFormat/>
    <w:uiPriority w:val="0"/>
    <w:pPr>
      <w:widowControl/>
      <w:spacing w:before="100" w:beforeAutospacing="1" w:after="100" w:afterAutospacing="1"/>
      <w:jc w:val="left"/>
    </w:pPr>
    <w:rPr>
      <w:rFonts w:ascii="Arial" w:hAnsi="Arial"/>
      <w:color w:val="000000"/>
      <w:kern w:val="0"/>
      <w:sz w:val="18"/>
      <w:szCs w:val="18"/>
    </w:rPr>
  </w:style>
  <w:style w:type="paragraph" w:customStyle="1" w:styleId="129">
    <w:name w:val="font11"/>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30">
    <w:name w:val="font12"/>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131">
    <w:name w:val="font13"/>
    <w:basedOn w:val="1"/>
    <w:qFormat/>
    <w:uiPriority w:val="0"/>
    <w:pPr>
      <w:widowControl/>
      <w:spacing w:before="100" w:beforeAutospacing="1" w:after="100" w:afterAutospacing="1"/>
      <w:jc w:val="left"/>
    </w:pPr>
    <w:rPr>
      <w:rFonts w:ascii="Arial" w:hAnsi="Arial"/>
      <w:color w:val="000000"/>
      <w:kern w:val="0"/>
      <w:sz w:val="18"/>
      <w:szCs w:val="18"/>
    </w:rPr>
  </w:style>
  <w:style w:type="paragraph" w:customStyle="1" w:styleId="132">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18"/>
      <w:szCs w:val="18"/>
    </w:rPr>
  </w:style>
  <w:style w:type="paragraph" w:customStyle="1" w:styleId="133">
    <w:name w:val="font14"/>
    <w:basedOn w:val="1"/>
    <w:qFormat/>
    <w:uiPriority w:val="0"/>
    <w:pPr>
      <w:widowControl/>
      <w:spacing w:before="100" w:beforeAutospacing="1" w:after="100" w:afterAutospacing="1"/>
      <w:jc w:val="left"/>
    </w:pPr>
    <w:rPr>
      <w:rFonts w:ascii="Arial" w:hAnsi="Arial"/>
      <w:color w:val="000000"/>
      <w:kern w:val="0"/>
      <w:sz w:val="18"/>
      <w:szCs w:val="18"/>
    </w:rPr>
  </w:style>
  <w:style w:type="paragraph" w:customStyle="1" w:styleId="134">
    <w:name w:val="font1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5">
    <w:name w:val="font18"/>
    <w:basedOn w:val="1"/>
    <w:qFormat/>
    <w:uiPriority w:val="0"/>
    <w:pPr>
      <w:widowControl/>
      <w:spacing w:before="100" w:beforeAutospacing="1" w:after="100" w:afterAutospacing="1"/>
      <w:jc w:val="left"/>
    </w:pPr>
    <w:rPr>
      <w:rFonts w:ascii="Arial" w:hAnsi="Arial"/>
      <w:color w:val="000000"/>
      <w:kern w:val="0"/>
      <w:sz w:val="18"/>
      <w:szCs w:val="18"/>
    </w:rPr>
  </w:style>
  <w:style w:type="paragraph" w:customStyle="1" w:styleId="136">
    <w:name w:val="font19"/>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37">
    <w:name w:val="font20"/>
    <w:basedOn w:val="1"/>
    <w:qFormat/>
    <w:uiPriority w:val="0"/>
    <w:pPr>
      <w:widowControl/>
      <w:spacing w:before="100" w:beforeAutospacing="1" w:after="100" w:afterAutospacing="1"/>
      <w:jc w:val="left"/>
    </w:pPr>
    <w:rPr>
      <w:rFonts w:ascii="Arial" w:hAnsi="Arial"/>
      <w:color w:val="000000"/>
      <w:kern w:val="0"/>
      <w:sz w:val="18"/>
      <w:szCs w:val="18"/>
    </w:rPr>
  </w:style>
  <w:style w:type="paragraph" w:customStyle="1" w:styleId="138">
    <w:name w:val="font21"/>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39">
    <w:name w:val="xl69"/>
    <w:basedOn w:val="1"/>
    <w:qFormat/>
    <w:uiPriority w:val="0"/>
    <w:pPr>
      <w:widowControl/>
      <w:spacing w:before="100" w:beforeAutospacing="1" w:after="100" w:afterAutospacing="1"/>
      <w:jc w:val="left"/>
    </w:pPr>
    <w:rPr>
      <w:rFonts w:ascii="Arial" w:hAnsi="Arial"/>
      <w:kern w:val="0"/>
      <w:sz w:val="20"/>
      <w:szCs w:val="20"/>
    </w:rPr>
  </w:style>
  <w:style w:type="paragraph" w:customStyle="1" w:styleId="140">
    <w:name w:val="xl70"/>
    <w:basedOn w:val="1"/>
    <w:qFormat/>
    <w:uiPriority w:val="0"/>
    <w:pPr>
      <w:widowControl/>
      <w:spacing w:before="100" w:beforeAutospacing="1" w:after="100" w:afterAutospacing="1"/>
      <w:jc w:val="center"/>
    </w:pPr>
    <w:rPr>
      <w:rFonts w:ascii="Times New Roman" w:hAnsi="Times New Roman" w:cs="Times New Roman"/>
      <w:color w:val="000000"/>
      <w:kern w:val="0"/>
      <w:sz w:val="20"/>
      <w:szCs w:val="20"/>
    </w:rPr>
  </w:style>
  <w:style w:type="paragraph" w:customStyle="1" w:styleId="141">
    <w:name w:val="xl71"/>
    <w:basedOn w:val="1"/>
    <w:qFormat/>
    <w:uiPriority w:val="0"/>
    <w:pPr>
      <w:widowControl/>
      <w:spacing w:before="100" w:beforeAutospacing="1" w:after="100" w:afterAutospacing="1"/>
      <w:jc w:val="left"/>
    </w:pPr>
    <w:rPr>
      <w:rFonts w:ascii="Times New Roman" w:hAnsi="Times New Roman" w:cs="Times New Roman"/>
      <w:color w:val="000000"/>
      <w:kern w:val="0"/>
      <w:sz w:val="20"/>
      <w:szCs w:val="20"/>
    </w:rPr>
  </w:style>
  <w:style w:type="paragraph" w:customStyle="1" w:styleId="14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18"/>
      <w:szCs w:val="18"/>
    </w:rPr>
  </w:style>
  <w:style w:type="paragraph" w:customStyle="1" w:styleId="14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18"/>
      <w:szCs w:val="18"/>
    </w:rPr>
  </w:style>
  <w:style w:type="paragraph" w:customStyle="1" w:styleId="14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18"/>
      <w:szCs w:val="18"/>
    </w:rPr>
  </w:style>
  <w:style w:type="paragraph" w:customStyle="1" w:styleId="14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18"/>
      <w:szCs w:val="18"/>
    </w:rPr>
  </w:style>
  <w:style w:type="paragraph" w:customStyle="1" w:styleId="14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4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48">
    <w:name w:val="xl79"/>
    <w:basedOn w:val="1"/>
    <w:qFormat/>
    <w:uiPriority w:val="0"/>
    <w:pPr>
      <w:widowControl/>
      <w:spacing w:before="100" w:beforeAutospacing="1" w:after="100" w:afterAutospacing="1"/>
      <w:jc w:val="left"/>
      <w:textAlignment w:val="bottom"/>
    </w:pPr>
    <w:rPr>
      <w:rFonts w:ascii="宋体" w:hAnsi="宋体" w:cs="宋体"/>
      <w:kern w:val="0"/>
      <w:sz w:val="24"/>
    </w:rPr>
  </w:style>
  <w:style w:type="paragraph" w:customStyle="1" w:styleId="14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18"/>
      <w:szCs w:val="18"/>
    </w:rPr>
  </w:style>
  <w:style w:type="paragraph" w:customStyle="1" w:styleId="15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18"/>
      <w:szCs w:val="18"/>
    </w:rPr>
  </w:style>
  <w:style w:type="paragraph" w:customStyle="1" w:styleId="15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18"/>
      <w:szCs w:val="18"/>
    </w:rPr>
  </w:style>
  <w:style w:type="paragraph" w:customStyle="1" w:styleId="15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18"/>
      <w:szCs w:val="18"/>
    </w:rPr>
  </w:style>
  <w:style w:type="paragraph" w:customStyle="1" w:styleId="153">
    <w:name w:val="xl9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w:hAnsi="Arial"/>
      <w:color w:val="000000"/>
      <w:kern w:val="0"/>
      <w:sz w:val="18"/>
      <w:szCs w:val="18"/>
    </w:rPr>
  </w:style>
  <w:style w:type="paragraph" w:customStyle="1" w:styleId="15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olor w:val="000000"/>
      <w:kern w:val="0"/>
      <w:sz w:val="18"/>
      <w:szCs w:val="18"/>
    </w:rPr>
  </w:style>
  <w:style w:type="paragraph" w:customStyle="1" w:styleId="15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000000"/>
      <w:kern w:val="0"/>
      <w:sz w:val="18"/>
      <w:szCs w:val="18"/>
    </w:rPr>
  </w:style>
  <w:style w:type="paragraph" w:customStyle="1" w:styleId="15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5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58">
    <w:name w:val="xl91"/>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59">
    <w:name w:val="xl1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16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jc w:val="center"/>
    </w:pPr>
    <w:rPr>
      <w:rFonts w:ascii="宋体" w:hAnsi="宋体" w:cs="宋体"/>
      <w:b/>
      <w:bCs/>
      <w:color w:val="000000"/>
      <w:kern w:val="0"/>
      <w:sz w:val="20"/>
      <w:szCs w:val="20"/>
    </w:rPr>
  </w:style>
  <w:style w:type="paragraph" w:customStyle="1" w:styleId="161">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000000"/>
      <w:kern w:val="0"/>
      <w:sz w:val="18"/>
      <w:szCs w:val="18"/>
    </w:rPr>
  </w:style>
  <w:style w:type="paragraph" w:customStyle="1" w:styleId="162">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163">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164">
    <w:name w:val="xl1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olor w:val="000000"/>
      <w:kern w:val="0"/>
      <w:sz w:val="18"/>
      <w:szCs w:val="18"/>
    </w:rPr>
  </w:style>
  <w:style w:type="paragraph" w:customStyle="1" w:styleId="165">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olor w:val="000000"/>
      <w:kern w:val="0"/>
      <w:sz w:val="18"/>
      <w:szCs w:val="18"/>
    </w:rPr>
  </w:style>
  <w:style w:type="paragraph" w:customStyle="1" w:styleId="166">
    <w:name w:val="xl10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olor w:val="000000"/>
      <w:kern w:val="0"/>
      <w:sz w:val="18"/>
      <w:szCs w:val="18"/>
    </w:rPr>
  </w:style>
  <w:style w:type="paragraph" w:customStyle="1" w:styleId="167">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168">
    <w:name w:val="xl123"/>
    <w:basedOn w:val="1"/>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 w:val="32"/>
      <w:szCs w:val="32"/>
    </w:rPr>
  </w:style>
  <w:style w:type="paragraph" w:customStyle="1" w:styleId="16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000000"/>
      <w:kern w:val="0"/>
      <w:sz w:val="18"/>
      <w:szCs w:val="18"/>
    </w:rPr>
  </w:style>
  <w:style w:type="paragraph" w:customStyle="1" w:styleId="170">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olor w:val="000000"/>
      <w:kern w:val="0"/>
      <w:sz w:val="18"/>
      <w:szCs w:val="18"/>
    </w:rPr>
  </w:style>
  <w:style w:type="paragraph" w:customStyle="1" w:styleId="171">
    <w:name w:val="xl110"/>
    <w:basedOn w:val="1"/>
    <w:qFormat/>
    <w:uiPriority w:val="0"/>
    <w:pPr>
      <w:widowControl/>
      <w:pBdr>
        <w:top w:val="single" w:color="auto" w:sz="4" w:space="0"/>
        <w:bottom w:val="single" w:color="auto" w:sz="4" w:space="0"/>
      </w:pBdr>
      <w:spacing w:before="100" w:beforeAutospacing="1" w:after="100" w:afterAutospacing="1"/>
      <w:jc w:val="left"/>
    </w:pPr>
    <w:rPr>
      <w:rFonts w:ascii="Arial" w:hAnsi="Arial"/>
      <w:color w:val="000000"/>
      <w:kern w:val="0"/>
      <w:sz w:val="18"/>
      <w:szCs w:val="18"/>
    </w:rPr>
  </w:style>
  <w:style w:type="paragraph" w:customStyle="1" w:styleId="172">
    <w:name w:val="xl15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w:hAnsi="Arial"/>
      <w:b/>
      <w:bCs/>
      <w:color w:val="000000"/>
      <w:kern w:val="0"/>
      <w:sz w:val="20"/>
      <w:szCs w:val="20"/>
    </w:rPr>
  </w:style>
  <w:style w:type="paragraph" w:customStyle="1" w:styleId="173">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w:hAnsi="Arial"/>
      <w:color w:val="000000"/>
      <w:kern w:val="0"/>
      <w:sz w:val="18"/>
      <w:szCs w:val="18"/>
    </w:rPr>
  </w:style>
  <w:style w:type="paragraph" w:customStyle="1" w:styleId="174">
    <w:name w:val="xl154"/>
    <w:basedOn w:val="1"/>
    <w:qFormat/>
    <w:uiPriority w:val="0"/>
    <w:pPr>
      <w:widowControl/>
      <w:pBdr>
        <w:top w:val="single" w:color="auto" w:sz="4" w:space="0"/>
        <w:bottom w:val="single" w:color="auto" w:sz="4" w:space="0"/>
      </w:pBdr>
      <w:spacing w:before="100" w:beforeAutospacing="1" w:after="100" w:afterAutospacing="1"/>
      <w:jc w:val="left"/>
    </w:pPr>
    <w:rPr>
      <w:rFonts w:ascii="Arial" w:hAnsi="Arial"/>
      <w:b/>
      <w:bCs/>
      <w:color w:val="000000"/>
      <w:kern w:val="0"/>
      <w:sz w:val="20"/>
      <w:szCs w:val="20"/>
    </w:rPr>
  </w:style>
  <w:style w:type="paragraph" w:customStyle="1" w:styleId="175">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kern w:val="0"/>
      <w:sz w:val="18"/>
      <w:szCs w:val="18"/>
    </w:rPr>
  </w:style>
  <w:style w:type="paragraph" w:customStyle="1" w:styleId="176">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color w:val="000000"/>
      <w:kern w:val="0"/>
      <w:sz w:val="18"/>
      <w:szCs w:val="18"/>
    </w:rPr>
  </w:style>
  <w:style w:type="paragraph" w:customStyle="1" w:styleId="177">
    <w:name w:val="xl15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w:hAnsi="Arial"/>
      <w:b/>
      <w:bCs/>
      <w:color w:val="000000"/>
      <w:kern w:val="0"/>
      <w:sz w:val="18"/>
      <w:szCs w:val="18"/>
    </w:rPr>
  </w:style>
  <w:style w:type="paragraph" w:customStyle="1" w:styleId="178">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kern w:val="0"/>
      <w:sz w:val="18"/>
      <w:szCs w:val="18"/>
    </w:rPr>
  </w:style>
  <w:style w:type="paragraph" w:customStyle="1" w:styleId="179">
    <w:name w:val="xl157"/>
    <w:basedOn w:val="1"/>
    <w:qFormat/>
    <w:uiPriority w:val="0"/>
    <w:pPr>
      <w:widowControl/>
      <w:pBdr>
        <w:top w:val="single" w:color="auto" w:sz="4" w:space="0"/>
        <w:bottom w:val="single" w:color="auto" w:sz="4" w:space="0"/>
      </w:pBdr>
      <w:spacing w:before="100" w:beforeAutospacing="1" w:after="100" w:afterAutospacing="1"/>
      <w:jc w:val="left"/>
    </w:pPr>
    <w:rPr>
      <w:rFonts w:ascii="Arial" w:hAnsi="Arial"/>
      <w:b/>
      <w:bCs/>
      <w:color w:val="000000"/>
      <w:kern w:val="0"/>
      <w:sz w:val="18"/>
      <w:szCs w:val="18"/>
    </w:rPr>
  </w:style>
  <w:style w:type="paragraph" w:customStyle="1" w:styleId="18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olor w:val="000000"/>
      <w:kern w:val="0"/>
      <w:sz w:val="18"/>
      <w:szCs w:val="18"/>
    </w:rPr>
  </w:style>
  <w:style w:type="paragraph" w:customStyle="1" w:styleId="181">
    <w:name w:val="xl158"/>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182">
    <w:name w:val="xl12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kern w:val="0"/>
      <w:sz w:val="18"/>
      <w:szCs w:val="18"/>
    </w:rPr>
  </w:style>
  <w:style w:type="paragraph" w:customStyle="1" w:styleId="183">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84">
    <w:name w:val="xl159"/>
    <w:basedOn w:val="1"/>
    <w:qFormat/>
    <w:uiPriority w:val="0"/>
    <w:pPr>
      <w:widowControl/>
      <w:pBdr>
        <w:top w:val="single" w:color="auto" w:sz="4" w:space="0"/>
        <w:bottom w:val="single" w:color="auto" w:sz="4" w:space="0"/>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185">
    <w:name w:val="Default"/>
    <w:qFormat/>
    <w:uiPriority w:val="99"/>
    <w:pPr>
      <w:widowControl w:val="0"/>
      <w:autoSpaceDE w:val="0"/>
      <w:autoSpaceDN w:val="0"/>
      <w:adjustRightInd w:val="0"/>
    </w:pPr>
    <w:rPr>
      <w:rFonts w:ascii="Cambria" w:hAnsi="黑体" w:eastAsia="宋体" w:cs="Cambria"/>
      <w:color w:val="000000"/>
      <w:sz w:val="24"/>
      <w:szCs w:val="24"/>
      <w:lang w:val="en-US" w:eastAsia="zh-CN" w:bidi="ar-SA"/>
    </w:rPr>
  </w:style>
  <w:style w:type="paragraph" w:customStyle="1" w:styleId="186">
    <w:name w:val="xl11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87">
    <w:name w:val="xl160"/>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188">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b/>
      <w:bCs/>
      <w:color w:val="000000"/>
      <w:kern w:val="0"/>
      <w:sz w:val="20"/>
      <w:szCs w:val="20"/>
    </w:rPr>
  </w:style>
  <w:style w:type="paragraph" w:customStyle="1" w:styleId="189">
    <w:name w:val="xl161"/>
    <w:basedOn w:val="1"/>
    <w:qFormat/>
    <w:uiPriority w:val="0"/>
    <w:pPr>
      <w:widowControl/>
      <w:pBdr>
        <w:bottom w:val="single" w:color="auto" w:sz="8" w:space="0"/>
      </w:pBdr>
      <w:spacing w:before="100" w:beforeAutospacing="1" w:after="100" w:afterAutospacing="1"/>
      <w:jc w:val="center"/>
    </w:pPr>
    <w:rPr>
      <w:rFonts w:ascii="宋体" w:hAnsi="宋体" w:cs="宋体"/>
      <w:b/>
      <w:bCs/>
      <w:color w:val="000000"/>
      <w:kern w:val="0"/>
      <w:sz w:val="32"/>
      <w:szCs w:val="32"/>
    </w:rPr>
  </w:style>
  <w:style w:type="paragraph" w:customStyle="1" w:styleId="190">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b/>
      <w:bCs/>
      <w:kern w:val="0"/>
      <w:sz w:val="18"/>
      <w:szCs w:val="18"/>
    </w:rPr>
  </w:style>
  <w:style w:type="paragraph" w:customStyle="1" w:styleId="191">
    <w:name w:val="xl162"/>
    <w:basedOn w:val="1"/>
    <w:qFormat/>
    <w:uiPriority w:val="0"/>
    <w:pPr>
      <w:widowControl/>
      <w:pBdr>
        <w:top w:val="single" w:color="auto" w:sz="8" w:space="0"/>
        <w:left w:val="single" w:color="auto" w:sz="4" w:space="0"/>
        <w:bottom w:val="single" w:color="auto" w:sz="4" w:space="0"/>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192">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b/>
      <w:bCs/>
      <w:color w:val="000000"/>
      <w:kern w:val="0"/>
      <w:sz w:val="18"/>
      <w:szCs w:val="18"/>
    </w:rPr>
  </w:style>
  <w:style w:type="paragraph" w:customStyle="1" w:styleId="193">
    <w:name w:val="xl163"/>
    <w:basedOn w:val="1"/>
    <w:qFormat/>
    <w:uiPriority w:val="0"/>
    <w:pPr>
      <w:widowControl/>
      <w:pBdr>
        <w:top w:val="single" w:color="auto" w:sz="8" w:space="0"/>
        <w:bottom w:val="single" w:color="auto" w:sz="4" w:space="0"/>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194">
    <w:name w:val="xl12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w:hAnsi="Arial"/>
      <w:color w:val="000000"/>
      <w:kern w:val="0"/>
      <w:sz w:val="18"/>
      <w:szCs w:val="18"/>
    </w:rPr>
  </w:style>
  <w:style w:type="paragraph" w:customStyle="1" w:styleId="195">
    <w:name w:val="define_text001"/>
    <w:basedOn w:val="1"/>
    <w:qFormat/>
    <w:uiPriority w:val="0"/>
    <w:pPr>
      <w:widowControl/>
      <w:spacing w:before="100" w:beforeAutospacing="1" w:after="100" w:afterAutospacing="1"/>
      <w:jc w:val="left"/>
    </w:pPr>
    <w:rPr>
      <w:rFonts w:ascii="宋体" w:hAnsi="宋体" w:cs="宋体"/>
      <w:kern w:val="0"/>
      <w:sz w:val="24"/>
    </w:rPr>
  </w:style>
  <w:style w:type="paragraph" w:customStyle="1" w:styleId="196">
    <w:name w:val="xl164"/>
    <w:basedOn w:val="1"/>
    <w:qFormat/>
    <w:uiPriority w:val="0"/>
    <w:pPr>
      <w:widowControl/>
      <w:pBdr>
        <w:top w:val="single" w:color="auto" w:sz="8" w:space="0"/>
        <w:bottom w:val="single" w:color="auto" w:sz="4" w:space="0"/>
        <w:right w:val="single" w:color="auto" w:sz="4" w:space="0"/>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197">
    <w:name w:val="xl12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w:hAnsi="Arial"/>
      <w:color w:val="000000"/>
      <w:kern w:val="0"/>
      <w:sz w:val="18"/>
      <w:szCs w:val="18"/>
    </w:rPr>
  </w:style>
  <w:style w:type="paragraph" w:customStyle="1" w:styleId="198">
    <w:name w:val="xl12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color w:val="000000"/>
      <w:kern w:val="0"/>
      <w:sz w:val="18"/>
      <w:szCs w:val="18"/>
    </w:rPr>
  </w:style>
  <w:style w:type="paragraph" w:customStyle="1" w:styleId="199">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18"/>
      <w:szCs w:val="18"/>
    </w:rPr>
  </w:style>
  <w:style w:type="paragraph" w:customStyle="1" w:styleId="200">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24"/>
    </w:rPr>
  </w:style>
  <w:style w:type="paragraph" w:customStyle="1" w:styleId="201">
    <w:name w:val="xl131"/>
    <w:basedOn w:val="1"/>
    <w:qFormat/>
    <w:uiPriority w:val="0"/>
    <w:pPr>
      <w:widowControl/>
      <w:pBdr>
        <w:top w:val="single" w:color="auto" w:sz="4" w:space="0"/>
        <w:bottom w:val="single" w:color="auto" w:sz="4" w:space="0"/>
      </w:pBdr>
      <w:shd w:val="clear" w:color="000000" w:fill="C0C0C0"/>
      <w:spacing w:before="100" w:beforeAutospacing="1" w:after="100" w:afterAutospacing="1"/>
      <w:jc w:val="left"/>
    </w:pPr>
    <w:rPr>
      <w:rFonts w:ascii="Arial" w:hAnsi="Arial"/>
      <w:b/>
      <w:bCs/>
      <w:kern w:val="0"/>
      <w:sz w:val="18"/>
      <w:szCs w:val="18"/>
    </w:rPr>
  </w:style>
  <w:style w:type="paragraph" w:customStyle="1" w:styleId="202">
    <w:name w:val="xl132"/>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jc w:val="left"/>
    </w:pPr>
    <w:rPr>
      <w:rFonts w:ascii="Arial" w:hAnsi="Arial"/>
      <w:b/>
      <w:bCs/>
      <w:kern w:val="0"/>
      <w:sz w:val="18"/>
      <w:szCs w:val="18"/>
    </w:rPr>
  </w:style>
  <w:style w:type="paragraph" w:customStyle="1" w:styleId="203">
    <w:name w:val="xl133"/>
    <w:basedOn w:val="1"/>
    <w:qFormat/>
    <w:uiPriority w:val="0"/>
    <w:pPr>
      <w:widowControl/>
      <w:pBdr>
        <w:left w:val="single" w:color="auto" w:sz="4" w:space="0"/>
        <w:bottom w:val="single" w:color="auto" w:sz="4" w:space="0"/>
      </w:pBdr>
      <w:shd w:val="clear" w:color="000000" w:fill="C0C0C0"/>
      <w:spacing w:before="100" w:beforeAutospacing="1" w:after="100" w:afterAutospacing="1"/>
      <w:jc w:val="left"/>
    </w:pPr>
    <w:rPr>
      <w:rFonts w:ascii="Arial" w:hAnsi="Arial"/>
      <w:b/>
      <w:bCs/>
      <w:kern w:val="0"/>
      <w:sz w:val="18"/>
      <w:szCs w:val="18"/>
    </w:rPr>
  </w:style>
  <w:style w:type="paragraph" w:customStyle="1" w:styleId="204">
    <w:name w:val="xl134"/>
    <w:basedOn w:val="1"/>
    <w:qFormat/>
    <w:uiPriority w:val="0"/>
    <w:pPr>
      <w:widowControl/>
      <w:pBdr>
        <w:bottom w:val="single" w:color="auto" w:sz="4" w:space="0"/>
      </w:pBdr>
      <w:shd w:val="clear" w:color="000000" w:fill="C0C0C0"/>
      <w:spacing w:before="100" w:beforeAutospacing="1" w:after="100" w:afterAutospacing="1"/>
      <w:jc w:val="left"/>
    </w:pPr>
    <w:rPr>
      <w:rFonts w:ascii="Arial" w:hAnsi="Arial"/>
      <w:b/>
      <w:bCs/>
      <w:kern w:val="0"/>
      <w:sz w:val="18"/>
      <w:szCs w:val="18"/>
    </w:rPr>
  </w:style>
  <w:style w:type="paragraph" w:customStyle="1" w:styleId="205">
    <w:name w:val="xl135"/>
    <w:basedOn w:val="1"/>
    <w:qFormat/>
    <w:uiPriority w:val="0"/>
    <w:pPr>
      <w:widowControl/>
      <w:pBdr>
        <w:bottom w:val="single" w:color="auto" w:sz="4" w:space="0"/>
        <w:right w:val="single" w:color="auto" w:sz="4" w:space="0"/>
      </w:pBdr>
      <w:shd w:val="clear" w:color="000000" w:fill="C0C0C0"/>
      <w:spacing w:before="100" w:beforeAutospacing="1" w:after="100" w:afterAutospacing="1"/>
      <w:jc w:val="left"/>
    </w:pPr>
    <w:rPr>
      <w:rFonts w:ascii="Arial" w:hAnsi="Arial"/>
      <w:b/>
      <w:bCs/>
      <w:kern w:val="0"/>
      <w:sz w:val="18"/>
      <w:szCs w:val="18"/>
    </w:rPr>
  </w:style>
  <w:style w:type="paragraph" w:customStyle="1" w:styleId="206">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07">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000000"/>
      <w:kern w:val="0"/>
      <w:sz w:val="18"/>
      <w:szCs w:val="18"/>
    </w:rPr>
  </w:style>
  <w:style w:type="paragraph" w:customStyle="1" w:styleId="208">
    <w:name w:val="xl1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10">
    <w:name w:val="xl140"/>
    <w:basedOn w:val="1"/>
    <w:qFormat/>
    <w:uiPriority w:val="0"/>
    <w:pPr>
      <w:widowControl/>
      <w:pBdr>
        <w:bottom w:val="single" w:color="auto" w:sz="4" w:space="0"/>
      </w:pBdr>
      <w:spacing w:before="100" w:beforeAutospacing="1" w:after="100" w:afterAutospacing="1"/>
      <w:jc w:val="left"/>
    </w:pPr>
    <w:rPr>
      <w:rFonts w:ascii="Arial" w:hAnsi="Arial"/>
      <w:color w:val="000000"/>
      <w:kern w:val="0"/>
      <w:sz w:val="18"/>
      <w:szCs w:val="18"/>
    </w:rPr>
  </w:style>
  <w:style w:type="paragraph" w:customStyle="1" w:styleId="211">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12">
    <w:name w:val="xl142"/>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13">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18"/>
      <w:szCs w:val="18"/>
    </w:rPr>
  </w:style>
  <w:style w:type="paragraph" w:customStyle="1" w:styleId="214">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15">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18"/>
      <w:szCs w:val="18"/>
    </w:rPr>
  </w:style>
  <w:style w:type="paragraph" w:customStyle="1" w:styleId="216">
    <w:name w:val="xl14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w:hAnsi="Arial"/>
      <w:color w:val="000000"/>
      <w:kern w:val="0"/>
      <w:sz w:val="18"/>
      <w:szCs w:val="18"/>
    </w:rPr>
  </w:style>
  <w:style w:type="paragraph" w:customStyle="1" w:styleId="217">
    <w:name w:val="xl14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w:hAnsi="Arial"/>
      <w:kern w:val="0"/>
      <w:sz w:val="18"/>
      <w:szCs w:val="18"/>
    </w:rPr>
  </w:style>
  <w:style w:type="paragraph" w:customStyle="1" w:styleId="218">
    <w:name w:val="xl14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19">
    <w:name w:val="xl151"/>
    <w:basedOn w:val="1"/>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 w:val="32"/>
      <w:szCs w:val="32"/>
    </w:rPr>
  </w:style>
  <w:style w:type="paragraph" w:customStyle="1" w:styleId="220">
    <w:name w:val="xl152"/>
    <w:basedOn w:val="1"/>
    <w:qFormat/>
    <w:uiPriority w:val="0"/>
    <w:pPr>
      <w:widowControl/>
      <w:pBdr>
        <w:bottom w:val="single" w:color="auto" w:sz="4" w:space="0"/>
      </w:pBdr>
      <w:spacing w:before="100" w:beforeAutospacing="1" w:after="100" w:afterAutospacing="1"/>
      <w:jc w:val="center"/>
    </w:pPr>
    <w:rPr>
      <w:rFonts w:ascii="Arial" w:hAnsi="Arial"/>
      <w:b/>
      <w:bCs/>
      <w:color w:val="000000"/>
      <w:kern w:val="0"/>
      <w:sz w:val="32"/>
      <w:szCs w:val="32"/>
    </w:rPr>
  </w:style>
  <w:style w:type="paragraph" w:customStyle="1" w:styleId="221">
    <w:name w:val="define_head0001"/>
    <w:basedOn w:val="1"/>
    <w:qFormat/>
    <w:uiPriority w:val="0"/>
    <w:pPr>
      <w:widowControl/>
      <w:spacing w:before="100" w:beforeAutospacing="1" w:after="100" w:afterAutospacing="1"/>
      <w:jc w:val="left"/>
    </w:pPr>
    <w:rPr>
      <w:rFonts w:ascii="宋体" w:hAnsi="宋体" w:cs="宋体"/>
      <w:kern w:val="0"/>
      <w:sz w:val="24"/>
    </w:rPr>
  </w:style>
  <w:style w:type="paragraph" w:customStyle="1" w:styleId="222">
    <w:name w:val="列出段落3"/>
    <w:qFormat/>
    <w:uiPriority w:val="0"/>
    <w:pPr>
      <w:ind w:firstLine="420" w:firstLineChars="200"/>
    </w:pPr>
    <w:rPr>
      <w:rFonts w:ascii="Times New Roman" w:hAnsi="Times New Roman" w:eastAsia="宋体" w:cs="Times New Roman"/>
      <w:lang w:val="en-US" w:eastAsia="zh-CN" w:bidi="ar-SA"/>
    </w:rPr>
  </w:style>
  <w:style w:type="paragraph" w:customStyle="1" w:styleId="223">
    <w:name w:val="列出段落11"/>
    <w:basedOn w:val="1"/>
    <w:qFormat/>
    <w:uiPriority w:val="34"/>
    <w:pPr>
      <w:ind w:firstLine="420" w:firstLineChars="200"/>
    </w:pPr>
    <w:rPr>
      <w:rFonts w:cs="Times New Roman"/>
    </w:rPr>
  </w:style>
  <w:style w:type="character" w:customStyle="1" w:styleId="224">
    <w:name w:val="普通文字 Char Char2"/>
    <w:qFormat/>
    <w:uiPriority w:val="0"/>
    <w:rPr>
      <w:rFonts w:ascii="宋体" w:hAnsi="Courier New" w:eastAsia="宋体"/>
      <w:kern w:val="2"/>
      <w:sz w:val="21"/>
      <w:lang w:val="en-US" w:eastAsia="zh-CN" w:bidi="ar-SA"/>
    </w:rPr>
  </w:style>
  <w:style w:type="paragraph" w:customStyle="1" w:styleId="225">
    <w:name w:val="列出段落2"/>
    <w:basedOn w:val="1"/>
    <w:qFormat/>
    <w:uiPriority w:val="99"/>
    <w:pPr>
      <w:ind w:firstLine="420" w:firstLineChars="200"/>
    </w:pPr>
    <w:rPr>
      <w:rFonts w:ascii="Times New Roman" w:hAnsi="Times New Roman" w:cs="Times New Roman"/>
      <w:szCs w:val="20"/>
    </w:rPr>
  </w:style>
  <w:style w:type="paragraph" w:customStyle="1" w:styleId="226">
    <w:name w:val="样式2"/>
    <w:basedOn w:val="2"/>
    <w:qFormat/>
    <w:uiPriority w:val="0"/>
    <w:pPr>
      <w:spacing w:before="100" w:beforeAutospacing="1" w:after="100" w:afterAutospacing="1" w:line="500" w:lineRule="exact"/>
      <w:jc w:val="center"/>
    </w:pPr>
    <w:rPr>
      <w:rFonts w:ascii="宋体" w:hAnsi="宋体" w:eastAsia="宋体" w:cs="Times New Roman"/>
      <w:kern w:val="44"/>
      <w:sz w:val="28"/>
      <w:szCs w:val="28"/>
      <w:lang w:val="en-GB"/>
    </w:rPr>
  </w:style>
  <w:style w:type="paragraph" w:customStyle="1" w:styleId="227">
    <w:name w:val="列出段落4"/>
    <w:basedOn w:val="1"/>
    <w:qFormat/>
    <w:uiPriority w:val="34"/>
    <w:pPr>
      <w:ind w:firstLine="420" w:firstLineChars="200"/>
    </w:pPr>
  </w:style>
  <w:style w:type="character" w:customStyle="1" w:styleId="228">
    <w:name w:val="占位符文本1"/>
    <w:basedOn w:val="42"/>
    <w:semiHidden/>
    <w:qFormat/>
    <w:uiPriority w:val="99"/>
    <w:rPr>
      <w:color w:val="808080"/>
    </w:rPr>
  </w:style>
  <w:style w:type="paragraph" w:customStyle="1" w:styleId="229">
    <w:name w:val="TOC 标题1"/>
    <w:basedOn w:val="3"/>
    <w:next w:val="1"/>
    <w:unhideWhenUsed/>
    <w:qFormat/>
    <w:uiPriority w:val="39"/>
    <w:pPr>
      <w:keepLines/>
      <w:widowControl/>
      <w:spacing w:before="240" w:line="259" w:lineRule="auto"/>
      <w:jc w:val="left"/>
      <w:outlineLvl w:val="9"/>
    </w:pPr>
    <w:rPr>
      <w:rFonts w:asciiTheme="majorHAnsi" w:hAnsiTheme="majorHAnsi" w:eastAsiaTheme="majorEastAsia" w:cstheme="majorBidi"/>
      <w:b w:val="0"/>
      <w:bCs w:val="0"/>
      <w:color w:val="2E75B6" w:themeColor="accent1" w:themeShade="BF"/>
      <w:kern w:val="0"/>
      <w:sz w:val="32"/>
      <w:szCs w:val="32"/>
      <w:lang w:val="en-US"/>
    </w:rPr>
  </w:style>
  <w:style w:type="paragraph" w:customStyle="1" w:styleId="230">
    <w:name w:val="列表段落1"/>
    <w:basedOn w:val="1"/>
    <w:link w:val="231"/>
    <w:qFormat/>
    <w:uiPriority w:val="34"/>
    <w:pPr>
      <w:ind w:firstLine="420" w:firstLineChars="200"/>
    </w:pPr>
  </w:style>
  <w:style w:type="character" w:customStyle="1" w:styleId="231">
    <w:name w:val="列表段落 字符"/>
    <w:link w:val="230"/>
    <w:qFormat/>
    <w:uiPriority w:val="34"/>
    <w:rPr>
      <w:kern w:val="2"/>
      <w:sz w:val="21"/>
      <w:szCs w:val="24"/>
    </w:rPr>
  </w:style>
  <w:style w:type="paragraph" w:customStyle="1" w:styleId="232">
    <w:name w:val="[Normal]"/>
    <w:qFormat/>
    <w:uiPriority w:val="0"/>
    <w:rPr>
      <w:rFonts w:ascii="宋体" w:hAnsi="宋体" w:eastAsia="宋体" w:cs="Times New Roman"/>
      <w:sz w:val="24"/>
      <w:szCs w:val="22"/>
      <w:lang w:val="zh-CN" w:eastAsia="zh-CN" w:bidi="ar-SA"/>
    </w:rPr>
  </w:style>
  <w:style w:type="character" w:customStyle="1" w:styleId="233">
    <w:name w:val="纯文本 字符1"/>
    <w:qFormat/>
    <w:uiPriority w:val="99"/>
    <w:rPr>
      <w:rFonts w:ascii="??" w:hAnsi="??" w:eastAsia="??" w:cs="宋体"/>
      <w:kern w:val="2"/>
      <w:sz w:val="21"/>
      <w:szCs w:val="21"/>
    </w:rPr>
  </w:style>
  <w:style w:type="paragraph" w:customStyle="1" w:styleId="234">
    <w:name w:val="_Style 214"/>
    <w:basedOn w:val="2"/>
    <w:next w:val="38"/>
    <w:link w:val="235"/>
    <w:qFormat/>
    <w:uiPriority w:val="0"/>
    <w:pPr>
      <w:ind w:firstLine="420" w:firstLineChars="100"/>
    </w:pPr>
    <w:rPr>
      <w:rFonts w:eastAsia="宋体"/>
    </w:rPr>
  </w:style>
  <w:style w:type="character" w:customStyle="1" w:styleId="235">
    <w:name w:val="正文首行缩进 字符"/>
    <w:link w:val="234"/>
    <w:qFormat/>
    <w:uiPriority w:val="0"/>
    <w:rPr>
      <w:kern w:val="2"/>
      <w:sz w:val="21"/>
      <w:szCs w:val="24"/>
    </w:rPr>
  </w:style>
  <w:style w:type="paragraph" w:customStyle="1" w:styleId="236">
    <w:name w:val="默认段落字体 Para Char Char Char Char Char Char Char Char Char1 Char Char Char Char"/>
    <w:basedOn w:val="1"/>
    <w:qFormat/>
    <w:uiPriority w:val="0"/>
    <w:rPr>
      <w:rFonts w:ascii="Tahoma" w:hAnsi="Tahoma" w:eastAsia="仿宋_GB2312" w:cs="宋体"/>
      <w:b/>
      <w:bCs/>
      <w:color w:val="000000"/>
      <w:kern w:val="0"/>
      <w:sz w:val="24"/>
      <w:szCs w:val="20"/>
    </w:rPr>
  </w:style>
  <w:style w:type="character" w:customStyle="1" w:styleId="237">
    <w:name w:val="style91"/>
    <w:qFormat/>
    <w:uiPriority w:val="0"/>
    <w:rPr>
      <w:sz w:val="24"/>
      <w:szCs w:val="24"/>
    </w:rPr>
  </w:style>
  <w:style w:type="paragraph" w:customStyle="1" w:styleId="238">
    <w:name w:val="l正文"/>
    <w:basedOn w:val="1"/>
    <w:qFormat/>
    <w:uiPriority w:val="99"/>
    <w:pPr>
      <w:spacing w:line="300" w:lineRule="auto"/>
      <w:ind w:firstLine="200" w:firstLineChars="200"/>
      <w:jc w:val="left"/>
    </w:pPr>
    <w:rPr>
      <w:rFonts w:ascii="楷体_GB2312" w:hAnsi="Times" w:eastAsia="楷体_GB2312" w:cs="等线"/>
      <w:sz w:val="24"/>
    </w:rPr>
  </w:style>
  <w:style w:type="character" w:customStyle="1" w:styleId="239">
    <w:name w:val="未处理的提及1"/>
    <w:basedOn w:val="42"/>
    <w:unhideWhenUsed/>
    <w:qFormat/>
    <w:uiPriority w:val="99"/>
    <w:rPr>
      <w:color w:val="605E5C"/>
      <w:shd w:val="clear" w:color="auto" w:fill="E1DFDD"/>
    </w:rPr>
  </w:style>
  <w:style w:type="table" w:customStyle="1" w:styleId="240">
    <w:name w:val="Table Normal"/>
    <w:unhideWhenUsed/>
    <w:qFormat/>
    <w:uiPriority w:val="2"/>
    <w:pPr>
      <w:widowControl w:val="0"/>
      <w:autoSpaceDE w:val="0"/>
      <w:autoSpaceDN w:val="0"/>
    </w:pPr>
    <w:rPr>
      <w:rFonts w:asciiTheme="minorHAnsi" w:hAnsiTheme="minorHAnsi" w:cstheme="minorBidi"/>
      <w:sz w:val="22"/>
      <w:szCs w:val="22"/>
      <w:lang w:eastAsia="en-US"/>
    </w:rPr>
    <w:tblPr>
      <w:tblCellMar>
        <w:top w:w="0" w:type="dxa"/>
        <w:left w:w="0" w:type="dxa"/>
        <w:bottom w:w="0" w:type="dxa"/>
        <w:right w:w="0" w:type="dxa"/>
      </w:tblCellMar>
    </w:tblPr>
  </w:style>
  <w:style w:type="paragraph" w:customStyle="1" w:styleId="241">
    <w:name w:val="Table Paragraph"/>
    <w:basedOn w:val="1"/>
    <w:qFormat/>
    <w:uiPriority w:val="1"/>
    <w:pPr>
      <w:autoSpaceDE w:val="0"/>
      <w:autoSpaceDN w:val="0"/>
      <w:jc w:val="left"/>
    </w:pPr>
    <w:rPr>
      <w:rFonts w:ascii="宋体" w:hAnsi="宋体" w:cs="宋体"/>
      <w:kern w:val="0"/>
      <w:sz w:val="22"/>
      <w:szCs w:val="22"/>
      <w:lang w:val="zh-CN" w:bidi="zh-CN"/>
    </w:rPr>
  </w:style>
  <w:style w:type="paragraph" w:styleId="242">
    <w:name w:val="List Paragraph"/>
    <w:basedOn w:val="1"/>
    <w:link w:val="268"/>
    <w:qFormat/>
    <w:uiPriority w:val="99"/>
    <w:pPr>
      <w:ind w:firstLine="420" w:firstLineChars="200"/>
    </w:pPr>
  </w:style>
  <w:style w:type="paragraph" w:customStyle="1" w:styleId="243">
    <w:name w:val="无间隔1"/>
    <w:qFormat/>
    <w:uiPriority w:val="99"/>
    <w:pPr>
      <w:widowControl w:val="0"/>
      <w:snapToGrid w:val="0"/>
      <w:jc w:val="both"/>
    </w:pPr>
    <w:rPr>
      <w:rFonts w:ascii="Calibri" w:hAnsi="Calibri" w:eastAsia="宋体" w:cs="Times New Roman"/>
      <w:kern w:val="2"/>
      <w:sz w:val="21"/>
      <w:szCs w:val="24"/>
      <w:lang w:val="en-US" w:eastAsia="zh-CN" w:bidi="ar-SA"/>
    </w:rPr>
  </w:style>
  <w:style w:type="character" w:customStyle="1" w:styleId="244">
    <w:name w:val="font41"/>
    <w:basedOn w:val="42"/>
    <w:qFormat/>
    <w:uiPriority w:val="0"/>
    <w:rPr>
      <w:rFonts w:hint="eastAsia" w:ascii="宋体" w:hAnsi="宋体" w:eastAsia="宋体" w:cs="宋体"/>
      <w:color w:val="000000"/>
      <w:sz w:val="18"/>
      <w:szCs w:val="18"/>
      <w:u w:val="none"/>
    </w:rPr>
  </w:style>
  <w:style w:type="paragraph" w:customStyle="1" w:styleId="245">
    <w:name w:val="正文 New New New New"/>
    <w:qFormat/>
    <w:uiPriority w:val="99"/>
    <w:pPr>
      <w:widowControl w:val="0"/>
      <w:jc w:val="both"/>
    </w:pPr>
    <w:rPr>
      <w:rFonts w:ascii="Times New Roman" w:hAnsi="Times New Roman" w:eastAsia="宋体" w:cs="Times New Roman"/>
      <w:sz w:val="21"/>
      <w:szCs w:val="24"/>
      <w:lang w:val="en-US" w:eastAsia="zh-CN" w:bidi="ar-SA"/>
    </w:rPr>
  </w:style>
  <w:style w:type="paragraph" w:customStyle="1" w:styleId="246">
    <w:name w:val="纯文本1"/>
    <w:basedOn w:val="1"/>
    <w:qFormat/>
    <w:uiPriority w:val="0"/>
    <w:rPr>
      <w:rFonts w:ascii="宋体" w:hAnsi="Courier New" w:cs="Times New Roman"/>
      <w:kern w:val="0"/>
      <w:sz w:val="20"/>
      <w:szCs w:val="20"/>
    </w:rPr>
  </w:style>
  <w:style w:type="paragraph" w:customStyle="1" w:styleId="247">
    <w:name w:val="正文缩进1"/>
    <w:basedOn w:val="1"/>
    <w:next w:val="18"/>
    <w:qFormat/>
    <w:uiPriority w:val="99"/>
    <w:pPr>
      <w:autoSpaceDE w:val="0"/>
      <w:autoSpaceDN w:val="0"/>
      <w:adjustRightInd w:val="0"/>
      <w:snapToGrid w:val="0"/>
      <w:spacing w:after="120" w:line="360" w:lineRule="auto"/>
      <w:ind w:left="420" w:leftChars="200" w:firstLine="480" w:firstLineChars="200"/>
    </w:pPr>
    <w:rPr>
      <w:rFonts w:ascii="Times New Roman" w:hAnsi="Times New Roman" w:cs="Times New Roman"/>
      <w:sz w:val="24"/>
      <w:szCs w:val="20"/>
    </w:rPr>
  </w:style>
  <w:style w:type="paragraph" w:customStyle="1" w:styleId="248">
    <w:name w:val="msonormal"/>
    <w:basedOn w:val="1"/>
    <w:qFormat/>
    <w:uiPriority w:val="99"/>
    <w:pPr>
      <w:widowControl/>
      <w:spacing w:before="100" w:beforeAutospacing="1" w:after="100" w:afterAutospacing="1"/>
      <w:jc w:val="left"/>
    </w:pPr>
    <w:rPr>
      <w:rFonts w:ascii="宋体" w:hAnsi="宋体" w:cs="宋体"/>
      <w:kern w:val="0"/>
      <w:sz w:val="24"/>
    </w:rPr>
  </w:style>
  <w:style w:type="paragraph" w:customStyle="1" w:styleId="249">
    <w:name w:val="xl63"/>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hAnsi="宋体" w:cs="宋体"/>
      <w:b/>
      <w:bCs/>
      <w:color w:val="000000"/>
      <w:kern w:val="0"/>
      <w:sz w:val="20"/>
      <w:szCs w:val="20"/>
    </w:rPr>
  </w:style>
  <w:style w:type="paragraph" w:customStyle="1" w:styleId="250">
    <w:name w:val="xl64"/>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b/>
      <w:bCs/>
      <w:color w:val="000000"/>
      <w:kern w:val="0"/>
      <w:sz w:val="20"/>
      <w:szCs w:val="20"/>
    </w:rPr>
  </w:style>
  <w:style w:type="paragraph" w:customStyle="1" w:styleId="251">
    <w:name w:val="xl65"/>
    <w:basedOn w:val="1"/>
    <w:qFormat/>
    <w:uiPriority w:val="0"/>
    <w:pPr>
      <w:widowControl/>
      <w:pBdr>
        <w:left w:val="single" w:color="000000" w:sz="8" w:space="0"/>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252">
    <w:name w:val="xl66"/>
    <w:basedOn w:val="1"/>
    <w:qFormat/>
    <w:uiPriority w:val="0"/>
    <w:pPr>
      <w:widowControl/>
      <w:pBdr>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253">
    <w:name w:val="xl6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54">
    <w:name w:val="xl68"/>
    <w:basedOn w:val="1"/>
    <w:qFormat/>
    <w:uiPriority w:val="0"/>
    <w:pPr>
      <w:widowControl/>
      <w:pBdr>
        <w:right w:val="single" w:color="000000" w:sz="8" w:space="0"/>
      </w:pBdr>
      <w:spacing w:before="100" w:beforeAutospacing="1" w:after="100" w:afterAutospacing="1"/>
      <w:jc w:val="left"/>
    </w:pPr>
    <w:rPr>
      <w:rFonts w:ascii="宋体" w:hAnsi="宋体" w:cs="宋体"/>
      <w:color w:val="000000"/>
      <w:kern w:val="0"/>
      <w:sz w:val="20"/>
      <w:szCs w:val="20"/>
    </w:rPr>
  </w:style>
  <w:style w:type="character" w:customStyle="1" w:styleId="255">
    <w:name w:val="HTML 预设格式 字符"/>
    <w:basedOn w:val="42"/>
    <w:link w:val="34"/>
    <w:qFormat/>
    <w:uiPriority w:val="99"/>
    <w:rPr>
      <w:rFonts w:ascii="宋体" w:hAnsi="宋体"/>
      <w:sz w:val="24"/>
      <w:szCs w:val="24"/>
    </w:rPr>
  </w:style>
  <w:style w:type="character" w:customStyle="1" w:styleId="256">
    <w:name w:val="文档结构图 字符"/>
    <w:basedOn w:val="42"/>
    <w:link w:val="14"/>
    <w:qFormat/>
    <w:uiPriority w:val="0"/>
    <w:rPr>
      <w:rFonts w:cs="Arial"/>
      <w:kern w:val="2"/>
      <w:sz w:val="21"/>
      <w:szCs w:val="24"/>
      <w:shd w:val="clear" w:color="auto" w:fill="000080"/>
    </w:rPr>
  </w:style>
  <w:style w:type="character" w:customStyle="1" w:styleId="257">
    <w:name w:val="称呼 字符"/>
    <w:basedOn w:val="42"/>
    <w:link w:val="17"/>
    <w:qFormat/>
    <w:uiPriority w:val="0"/>
    <w:rPr>
      <w:rFonts w:cs="Arial"/>
      <w:kern w:val="2"/>
      <w:sz w:val="24"/>
      <w:szCs w:val="24"/>
    </w:rPr>
  </w:style>
  <w:style w:type="character" w:customStyle="1" w:styleId="258">
    <w:name w:val="正文文本缩进 字符"/>
    <w:basedOn w:val="42"/>
    <w:link w:val="18"/>
    <w:qFormat/>
    <w:uiPriority w:val="99"/>
    <w:rPr>
      <w:rFonts w:cs="Arial"/>
      <w:kern w:val="2"/>
      <w:sz w:val="21"/>
      <w:szCs w:val="24"/>
    </w:rPr>
  </w:style>
  <w:style w:type="character" w:customStyle="1" w:styleId="259">
    <w:name w:val="日期 字符"/>
    <w:basedOn w:val="42"/>
    <w:link w:val="22"/>
    <w:qFormat/>
    <w:uiPriority w:val="99"/>
    <w:rPr>
      <w:rFonts w:ascii="宋体,Verdana,Arial" w:cs="Arial"/>
      <w:kern w:val="2"/>
      <w:sz w:val="24"/>
    </w:rPr>
  </w:style>
  <w:style w:type="character" w:customStyle="1" w:styleId="260">
    <w:name w:val="正文文本缩进 2 字符"/>
    <w:basedOn w:val="42"/>
    <w:link w:val="23"/>
    <w:qFormat/>
    <w:uiPriority w:val="99"/>
    <w:rPr>
      <w:rFonts w:cs="Arial"/>
      <w:kern w:val="2"/>
      <w:sz w:val="24"/>
      <w:szCs w:val="24"/>
    </w:rPr>
  </w:style>
  <w:style w:type="paragraph" w:customStyle="1" w:styleId="261">
    <w:name w:val="正文段"/>
    <w:basedOn w:val="1"/>
    <w:qFormat/>
    <w:uiPriority w:val="0"/>
    <w:pPr>
      <w:widowControl/>
      <w:snapToGrid w:val="0"/>
      <w:spacing w:afterLines="50"/>
      <w:ind w:firstLine="200" w:firstLineChars="200"/>
    </w:pPr>
    <w:rPr>
      <w:rFonts w:ascii="Times New Roman" w:hAnsi="Times New Roman" w:cs="Times New Roman"/>
      <w:kern w:val="0"/>
      <w:sz w:val="24"/>
      <w:szCs w:val="20"/>
    </w:rPr>
  </w:style>
  <w:style w:type="character" w:customStyle="1" w:styleId="262">
    <w:name w:val="纯文本 字符2"/>
    <w:qFormat/>
    <w:uiPriority w:val="0"/>
    <w:rPr>
      <w:rFonts w:ascii="宋体" w:hAnsi="Courier New" w:eastAsia="宋体"/>
      <w:sz w:val="21"/>
      <w:szCs w:val="21"/>
      <w:lang w:val="en-US" w:eastAsia="zh-CN" w:bidi="ar-SA"/>
    </w:rPr>
  </w:style>
  <w:style w:type="character" w:customStyle="1" w:styleId="263">
    <w:name w:val="NormalCharacter"/>
    <w:semiHidden/>
    <w:qFormat/>
    <w:uiPriority w:val="0"/>
    <w:rPr>
      <w:rFonts w:ascii="Calibri" w:hAnsi="Calibri" w:eastAsia="宋体" w:cs="Arial"/>
      <w:kern w:val="2"/>
      <w:sz w:val="21"/>
      <w:szCs w:val="24"/>
      <w:lang w:val="en-US" w:eastAsia="zh-CN" w:bidi="ar-SA"/>
    </w:rPr>
  </w:style>
  <w:style w:type="paragraph" w:customStyle="1" w:styleId="264">
    <w:name w:val="表 靠左"/>
    <w:basedOn w:val="265"/>
    <w:qFormat/>
    <w:uiPriority w:val="0"/>
    <w:pPr>
      <w:jc w:val="left"/>
    </w:pPr>
    <w:rPr>
      <w:rFonts w:asciiTheme="minorEastAsia" w:hAnsiTheme="minorEastAsia"/>
    </w:rPr>
  </w:style>
  <w:style w:type="paragraph" w:customStyle="1" w:styleId="265">
    <w:name w:val="表"/>
    <w:basedOn w:val="1"/>
    <w:next w:val="1"/>
    <w:qFormat/>
    <w:uiPriority w:val="0"/>
    <w:pPr>
      <w:jc w:val="center"/>
    </w:pPr>
  </w:style>
  <w:style w:type="character" w:customStyle="1" w:styleId="266">
    <w:name w:val="正文文本首行缩进 2 字符"/>
    <w:basedOn w:val="258"/>
    <w:link w:val="39"/>
    <w:qFormat/>
    <w:uiPriority w:val="99"/>
    <w:rPr>
      <w:rFonts w:ascii="Times New Roman" w:hAnsi="Times New Roman" w:cs="Times New Roman"/>
      <w:kern w:val="2"/>
      <w:sz w:val="21"/>
      <w:szCs w:val="24"/>
    </w:rPr>
  </w:style>
  <w:style w:type="character" w:customStyle="1" w:styleId="267">
    <w:name w:val="bookmark-item"/>
    <w:basedOn w:val="42"/>
    <w:qFormat/>
    <w:uiPriority w:val="0"/>
  </w:style>
  <w:style w:type="character" w:customStyle="1" w:styleId="268">
    <w:name w:val="列表段落 字符1"/>
    <w:link w:val="242"/>
    <w:qFormat/>
    <w:uiPriority w:val="34"/>
    <w:rPr>
      <w:kern w:val="2"/>
      <w:sz w:val="21"/>
      <w:szCs w:val="24"/>
    </w:rPr>
  </w:style>
  <w:style w:type="paragraph" w:customStyle="1" w:styleId="269">
    <w:name w:val="列表段落2"/>
    <w:basedOn w:val="1"/>
    <w:qFormat/>
    <w:uiPriority w:val="0"/>
    <w:pPr>
      <w:ind w:firstLine="420" w:firstLineChars="200"/>
    </w:pPr>
    <w:rPr>
      <w:rFonts w:ascii="Times New Roman" w:hAnsi="Times New Roman" w:cs="Times New Roman"/>
      <w:szCs w:val="20"/>
    </w:rPr>
  </w:style>
  <w:style w:type="paragraph" w:customStyle="1" w:styleId="270">
    <w:name w:val="修订2"/>
    <w:hidden/>
    <w:semiHidden/>
    <w:qFormat/>
    <w:uiPriority w:val="99"/>
    <w:rPr>
      <w:rFonts w:ascii="Calibri" w:hAnsi="Calibri" w:eastAsia="宋体" w:cs="Arial"/>
      <w:kern w:val="2"/>
      <w:sz w:val="21"/>
      <w:szCs w:val="24"/>
      <w:lang w:val="en-US" w:eastAsia="zh-CN" w:bidi="ar-SA"/>
    </w:rPr>
  </w:style>
  <w:style w:type="paragraph" w:customStyle="1" w:styleId="271">
    <w:name w:val="修订3"/>
    <w:hidden/>
    <w:semiHidden/>
    <w:qFormat/>
    <w:uiPriority w:val="99"/>
    <w:rPr>
      <w:rFonts w:ascii="Calibri" w:hAnsi="Calibri" w:eastAsia="宋体" w:cs="Arial"/>
      <w:kern w:val="2"/>
      <w:sz w:val="21"/>
      <w:szCs w:val="24"/>
      <w:lang w:val="en-US" w:eastAsia="zh-CN" w:bidi="ar-SA"/>
    </w:rPr>
  </w:style>
  <w:style w:type="paragraph" w:customStyle="1" w:styleId="272">
    <w:name w:val="修订4"/>
    <w:hidden/>
    <w:semiHidden/>
    <w:qFormat/>
    <w:uiPriority w:val="99"/>
    <w:rPr>
      <w:rFonts w:ascii="Calibri" w:hAnsi="Calibri" w:eastAsia="宋体" w:cs="Arial"/>
      <w:kern w:val="2"/>
      <w:sz w:val="21"/>
      <w:szCs w:val="24"/>
      <w:lang w:val="en-US" w:eastAsia="zh-CN" w:bidi="ar-SA"/>
    </w:rPr>
  </w:style>
  <w:style w:type="paragraph" w:customStyle="1" w:styleId="273">
    <w:name w:val="修订5"/>
    <w:hidden/>
    <w:semiHidden/>
    <w:qFormat/>
    <w:uiPriority w:val="99"/>
    <w:rPr>
      <w:rFonts w:ascii="Calibri" w:hAnsi="Calibri" w:eastAsia="宋体" w:cs="Arial"/>
      <w:kern w:val="2"/>
      <w:sz w:val="21"/>
      <w:szCs w:val="24"/>
      <w:lang w:val="en-US" w:eastAsia="zh-CN" w:bidi="ar-SA"/>
    </w:rPr>
  </w:style>
  <w:style w:type="paragraph" w:customStyle="1" w:styleId="274">
    <w:name w:val="Fließtext"/>
    <w:basedOn w:val="1"/>
    <w:qFormat/>
    <w:uiPriority w:val="99"/>
    <w:pPr>
      <w:widowControl/>
      <w:overflowPunct w:val="0"/>
      <w:autoSpaceDE w:val="0"/>
      <w:autoSpaceDN w:val="0"/>
      <w:adjustRightInd w:val="0"/>
      <w:jc w:val="left"/>
      <w:textAlignment w:val="baseline"/>
    </w:pPr>
    <w:rPr>
      <w:rFonts w:ascii="Times New Roman" w:hAnsi="Times New Roman" w:cs="Times New Roman"/>
      <w:kern w:val="28"/>
      <w:szCs w:val="20"/>
    </w:rPr>
  </w:style>
  <w:style w:type="character" w:customStyle="1" w:styleId="275">
    <w:name w:val="未处理的提及2"/>
    <w:basedOn w:val="42"/>
    <w:semiHidden/>
    <w:unhideWhenUsed/>
    <w:qFormat/>
    <w:uiPriority w:val="99"/>
    <w:rPr>
      <w:color w:val="605E5C"/>
      <w:shd w:val="clear" w:color="auto" w:fill="E1DFDD"/>
    </w:rPr>
  </w:style>
  <w:style w:type="character" w:customStyle="1" w:styleId="276">
    <w:name w:val="投标正文 Char"/>
    <w:link w:val="277"/>
    <w:qFormat/>
    <w:uiPriority w:val="0"/>
    <w:rPr>
      <w:rFonts w:ascii="Calibri" w:hAnsi="Calibri"/>
      <w:kern w:val="2"/>
      <w:sz w:val="24"/>
      <w:szCs w:val="24"/>
    </w:rPr>
  </w:style>
  <w:style w:type="paragraph" w:customStyle="1" w:styleId="277">
    <w:name w:val="投标正文"/>
    <w:basedOn w:val="1"/>
    <w:link w:val="276"/>
    <w:qFormat/>
    <w:uiPriority w:val="0"/>
    <w:pPr>
      <w:spacing w:line="360" w:lineRule="auto"/>
      <w:ind w:left="100" w:firstLine="480" w:firstLineChars="200"/>
    </w:pPr>
    <w:rPr>
      <w:rFonts w:cs="Times New Roman"/>
      <w:sz w:val="24"/>
    </w:rPr>
  </w:style>
  <w:style w:type="character" w:customStyle="1" w:styleId="278">
    <w:name w:val="投标标题1 Char"/>
    <w:link w:val="279"/>
    <w:qFormat/>
    <w:uiPriority w:val="0"/>
    <w:rPr>
      <w:rFonts w:ascii="黑体" w:eastAsia="黑体"/>
      <w:b/>
      <w:bCs/>
      <w:kern w:val="44"/>
      <w:sz w:val="28"/>
      <w:szCs w:val="32"/>
    </w:rPr>
  </w:style>
  <w:style w:type="paragraph" w:customStyle="1" w:styleId="279">
    <w:name w:val="投标标题1"/>
    <w:basedOn w:val="3"/>
    <w:link w:val="278"/>
    <w:qFormat/>
    <w:uiPriority w:val="0"/>
    <w:pPr>
      <w:keepLines/>
      <w:tabs>
        <w:tab w:val="left" w:pos="792"/>
      </w:tabs>
      <w:spacing w:before="120" w:after="120"/>
      <w:ind w:left="144" w:hanging="144"/>
    </w:pPr>
    <w:rPr>
      <w:rFonts w:ascii="黑体" w:hAnsi="Times New Roman" w:eastAsia="黑体"/>
      <w:kern w:val="44"/>
      <w:sz w:val="28"/>
      <w:szCs w:val="32"/>
      <w:lang w:val="en-US"/>
    </w:rPr>
  </w:style>
  <w:style w:type="paragraph" w:customStyle="1" w:styleId="280">
    <w:name w:val="正文段落缩进t"/>
    <w:basedOn w:val="1"/>
    <w:qFormat/>
    <w:uiPriority w:val="99"/>
    <w:pPr>
      <w:spacing w:line="360" w:lineRule="auto"/>
      <w:ind w:firstLine="480" w:firstLineChars="200"/>
    </w:pPr>
    <w:rPr>
      <w:rFonts w:ascii="Times New Roman" w:hAnsi="Times New Roman"/>
      <w:sz w:val="24"/>
      <w:szCs w:val="21"/>
      <w:shd w:val="clear" w:color="auto" w:fill="FFFFFF"/>
    </w:rPr>
  </w:style>
  <w:style w:type="paragraph" w:customStyle="1" w:styleId="281">
    <w:name w:val="标题3t"/>
    <w:basedOn w:val="5"/>
    <w:next w:val="1"/>
    <w:qFormat/>
    <w:uiPriority w:val="0"/>
    <w:pPr>
      <w:keepNext/>
      <w:widowControl w:val="0"/>
      <w:numPr>
        <w:ilvl w:val="2"/>
        <w:numId w:val="1"/>
      </w:numPr>
      <w:autoSpaceDE/>
      <w:autoSpaceDN/>
      <w:adjustRightInd/>
      <w:spacing w:before="0" w:line="360" w:lineRule="auto"/>
      <w:jc w:val="both"/>
    </w:pPr>
    <w:rPr>
      <w:rFonts w:ascii="Times New Roman" w:hAnsi="Times New Roman" w:eastAsia="宋体" w:cs="Times New Roman"/>
      <w:b/>
      <w:bCs/>
      <w:kern w:val="2"/>
      <w:sz w:val="30"/>
      <w:szCs w:val="32"/>
    </w:rPr>
  </w:style>
  <w:style w:type="character" w:customStyle="1" w:styleId="282">
    <w:name w:val="信息标题 字符"/>
    <w:basedOn w:val="42"/>
    <w:link w:val="33"/>
    <w:qFormat/>
    <w:uiPriority w:val="0"/>
    <w:rPr>
      <w:rFonts w:ascii="Arial" w:hAnsi="Arial"/>
      <w:kern w:val="2"/>
      <w:sz w:val="24"/>
      <w:szCs w:val="22"/>
      <w:shd w:val="pct20" w:color="auto" w:fill="auto"/>
    </w:rPr>
  </w:style>
  <w:style w:type="paragraph" w:customStyle="1" w:styleId="283">
    <w:name w:val="首行缩进"/>
    <w:basedOn w:val="1"/>
    <w:next w:val="21"/>
    <w:qFormat/>
    <w:uiPriority w:val="0"/>
    <w:pPr>
      <w:adjustRightInd w:val="0"/>
      <w:spacing w:line="360" w:lineRule="auto"/>
      <w:ind w:firstLine="480" w:firstLineChars="200"/>
      <w:jc w:val="left"/>
    </w:pPr>
    <w:rPr>
      <w:rFonts w:ascii="宋体" w:hAnsi="宋体" w:cs="Times New Roman"/>
      <w:sz w:val="24"/>
      <w:szCs w:val="20"/>
    </w:rPr>
  </w:style>
  <w:style w:type="paragraph" w:customStyle="1" w:styleId="284">
    <w:name w:val="正文文字"/>
    <w:basedOn w:val="1"/>
    <w:next w:val="1"/>
    <w:link w:val="286"/>
    <w:qFormat/>
    <w:uiPriority w:val="0"/>
    <w:pPr>
      <w:spacing w:line="360" w:lineRule="auto"/>
      <w:ind w:firstLine="200" w:firstLineChars="200"/>
    </w:pPr>
    <w:rPr>
      <w:rFonts w:ascii="Times New Roman" w:hAnsi="Times New Roman" w:cs="宋体"/>
      <w:sz w:val="24"/>
      <w:szCs w:val="22"/>
    </w:rPr>
  </w:style>
  <w:style w:type="paragraph" w:customStyle="1" w:styleId="285">
    <w:name w:val="图"/>
    <w:link w:val="287"/>
    <w:qFormat/>
    <w:uiPriority w:val="0"/>
    <w:pPr>
      <w:numPr>
        <w:ilvl w:val="0"/>
        <w:numId w:val="2"/>
      </w:numPr>
      <w:tabs>
        <w:tab w:val="left" w:pos="420"/>
      </w:tabs>
      <w:spacing w:line="360" w:lineRule="auto"/>
      <w:jc w:val="center"/>
    </w:pPr>
    <w:rPr>
      <w:rFonts w:ascii="Times New Roman" w:hAnsi="Times New Roman" w:eastAsia="宋体" w:cs="宋体"/>
      <w:kern w:val="2"/>
      <w:sz w:val="21"/>
      <w:szCs w:val="24"/>
      <w:lang w:val="en-US" w:eastAsia="zh-CN" w:bidi="ar-SA"/>
    </w:rPr>
  </w:style>
  <w:style w:type="character" w:customStyle="1" w:styleId="286">
    <w:name w:val="正文文字 Char"/>
    <w:link w:val="284"/>
    <w:qFormat/>
    <w:uiPriority w:val="0"/>
    <w:rPr>
      <w:rFonts w:cs="宋体"/>
      <w:kern w:val="2"/>
      <w:sz w:val="24"/>
      <w:szCs w:val="22"/>
    </w:rPr>
  </w:style>
  <w:style w:type="character" w:customStyle="1" w:styleId="287">
    <w:name w:val="图 字符"/>
    <w:link w:val="285"/>
    <w:qFormat/>
    <w:uiPriority w:val="0"/>
    <w:rPr>
      <w:rFonts w:cs="宋体"/>
      <w:kern w:val="2"/>
      <w:sz w:val="21"/>
      <w:szCs w:val="24"/>
    </w:rPr>
  </w:style>
  <w:style w:type="character" w:customStyle="1" w:styleId="288">
    <w:name w:val="标题 5 字符"/>
    <w:basedOn w:val="42"/>
    <w:link w:val="7"/>
    <w:qFormat/>
    <w:uiPriority w:val="0"/>
    <w:rPr>
      <w:rFonts w:cs="宋体"/>
      <w:b/>
      <w:kern w:val="2"/>
      <w:sz w:val="28"/>
      <w:szCs w:val="22"/>
    </w:rPr>
  </w:style>
  <w:style w:type="character" w:customStyle="1" w:styleId="289">
    <w:name w:val="标题 6 字符"/>
    <w:basedOn w:val="42"/>
    <w:link w:val="8"/>
    <w:qFormat/>
    <w:uiPriority w:val="0"/>
    <w:rPr>
      <w:rFonts w:ascii="Arial" w:hAnsi="Arial" w:eastAsia="黑体" w:cs="宋体"/>
      <w:b/>
      <w:kern w:val="2"/>
      <w:sz w:val="24"/>
      <w:szCs w:val="22"/>
    </w:rPr>
  </w:style>
  <w:style w:type="character" w:customStyle="1" w:styleId="290">
    <w:name w:val="标题 7 字符"/>
    <w:basedOn w:val="42"/>
    <w:link w:val="9"/>
    <w:qFormat/>
    <w:uiPriority w:val="0"/>
    <w:rPr>
      <w:rFonts w:cs="宋体"/>
      <w:b/>
      <w:kern w:val="2"/>
      <w:sz w:val="24"/>
      <w:szCs w:val="22"/>
    </w:rPr>
  </w:style>
  <w:style w:type="character" w:customStyle="1" w:styleId="291">
    <w:name w:val="标题 8 字符"/>
    <w:basedOn w:val="42"/>
    <w:link w:val="10"/>
    <w:qFormat/>
    <w:uiPriority w:val="0"/>
    <w:rPr>
      <w:rFonts w:ascii="Arial" w:hAnsi="Arial" w:eastAsia="黑体" w:cs="宋体"/>
      <w:kern w:val="2"/>
      <w:sz w:val="24"/>
      <w:szCs w:val="22"/>
    </w:rPr>
  </w:style>
  <w:style w:type="character" w:customStyle="1" w:styleId="292">
    <w:name w:val="标题 9 字符"/>
    <w:basedOn w:val="42"/>
    <w:link w:val="11"/>
    <w:qFormat/>
    <w:uiPriority w:val="0"/>
    <w:rPr>
      <w:rFonts w:ascii="Arial" w:hAnsi="Arial" w:eastAsia="黑体" w:cs="宋体"/>
      <w:kern w:val="2"/>
      <w:sz w:val="21"/>
      <w:szCs w:val="22"/>
    </w:rPr>
  </w:style>
  <w:style w:type="paragraph" w:customStyle="1" w:styleId="293">
    <w:name w:val="Revision"/>
    <w:hidden/>
    <w:unhideWhenUsed/>
    <w:qFormat/>
    <w:uiPriority w:val="99"/>
    <w:rPr>
      <w:rFonts w:ascii="Calibri" w:hAnsi="Calibri" w:eastAsia="宋体" w:cs="Arial"/>
      <w:kern w:val="2"/>
      <w:sz w:val="21"/>
      <w:szCs w:val="24"/>
      <w:lang w:val="en-US" w:eastAsia="zh-CN" w:bidi="ar-SA"/>
    </w:rPr>
  </w:style>
  <w:style w:type="character" w:customStyle="1" w:styleId="294">
    <w:name w:val="标题 8 Char"/>
    <w:qFormat/>
    <w:uiPriority w:val="0"/>
    <w:rPr>
      <w:rFonts w:ascii="Arial" w:hAnsi="Arial" w:eastAsia="黑体"/>
      <w:sz w:val="24"/>
      <w:szCs w:val="24"/>
      <w:lang w:val="en-US" w:eastAsia="zh-CN" w:bidi="ar-SA"/>
    </w:rPr>
  </w:style>
  <w:style w:type="character" w:customStyle="1" w:styleId="295">
    <w:name w:val="Unresolved Mention"/>
    <w:basedOn w:val="42"/>
    <w:semiHidden/>
    <w:unhideWhenUsed/>
    <w:qFormat/>
    <w:uiPriority w:val="99"/>
    <w:rPr>
      <w:color w:val="605E5C"/>
      <w:shd w:val="clear" w:color="auto" w:fill="E1DFDD"/>
    </w:rPr>
  </w:style>
  <w:style w:type="paragraph" w:customStyle="1" w:styleId="296">
    <w:name w:val="表格文字"/>
    <w:basedOn w:val="1"/>
    <w:next w:val="2"/>
    <w:qFormat/>
    <w:uiPriority w:val="99"/>
    <w:pPr>
      <w:adjustRightInd w:val="0"/>
      <w:spacing w:line="420" w:lineRule="atLeast"/>
      <w:jc w:val="left"/>
    </w:pPr>
    <w:rPr>
      <w:rFonts w:ascii="Times New Roman" w:hAnsi="Times New Roman" w:cs="Times New Roman"/>
      <w:kern w:val="0"/>
    </w:rPr>
  </w:style>
  <w:style w:type="character" w:customStyle="1" w:styleId="297">
    <w:name w:val="BZ_正文 Char"/>
    <w:link w:val="298"/>
    <w:qFormat/>
    <w:locked/>
    <w:uiPriority w:val="0"/>
    <w:rPr>
      <w:sz w:val="24"/>
      <w:szCs w:val="24"/>
    </w:rPr>
  </w:style>
  <w:style w:type="paragraph" w:customStyle="1" w:styleId="298">
    <w:name w:val="BZ_正文"/>
    <w:basedOn w:val="1"/>
    <w:link w:val="297"/>
    <w:qFormat/>
    <w:uiPriority w:val="0"/>
    <w:pPr>
      <w:widowControl/>
      <w:spacing w:line="360" w:lineRule="auto"/>
      <w:ind w:firstLine="200" w:firstLineChars="200"/>
    </w:pPr>
    <w:rPr>
      <w:rFonts w:ascii="Times New Roman" w:hAnsi="Times New Roman" w:cs="Times New Roman"/>
      <w:kern w:val="0"/>
      <w:sz w:val="24"/>
    </w:rPr>
  </w:style>
  <w:style w:type="character" w:customStyle="1" w:styleId="299">
    <w:name w:val="标题2 Char"/>
    <w:link w:val="300"/>
    <w:qFormat/>
    <w:locked/>
    <w:uiPriority w:val="0"/>
    <w:rPr>
      <w:rFonts w:ascii="Cambria" w:hAnsi="Cambria"/>
      <w:b/>
      <w:bCs/>
      <w:kern w:val="2"/>
      <w:sz w:val="32"/>
      <w:szCs w:val="32"/>
    </w:rPr>
  </w:style>
  <w:style w:type="paragraph" w:customStyle="1" w:styleId="300">
    <w:name w:val="标题2"/>
    <w:basedOn w:val="4"/>
    <w:next w:val="1"/>
    <w:link w:val="299"/>
    <w:qFormat/>
    <w:uiPriority w:val="0"/>
    <w:pPr>
      <w:tabs>
        <w:tab w:val="left" w:pos="576"/>
        <w:tab w:val="left" w:pos="840"/>
        <w:tab w:val="left" w:pos="900"/>
        <w:tab w:val="left" w:pos="4406"/>
      </w:tabs>
      <w:adjustRightInd w:val="0"/>
      <w:snapToGrid w:val="0"/>
      <w:spacing w:before="240" w:after="240" w:line="360" w:lineRule="auto"/>
    </w:pPr>
    <w:rPr>
      <w:rFonts w:ascii="Cambria" w:hAnsi="Cambria" w:eastAsia="宋体"/>
      <w:lang w:val="en-US"/>
    </w:rPr>
  </w:style>
  <w:style w:type="paragraph" w:customStyle="1" w:styleId="301">
    <w:name w:val="p1"/>
    <w:basedOn w:val="1"/>
    <w:qFormat/>
    <w:uiPriority w:val="99"/>
    <w:pPr>
      <w:jc w:val="left"/>
    </w:pPr>
    <w:rPr>
      <w:rFonts w:ascii=".pingfang sc" w:hAnsi=".pingfang sc" w:eastAsia=".pingfang sc" w:cs="Times New Roman"/>
      <w:kern w:val="0"/>
      <w:sz w:val="24"/>
    </w:rPr>
  </w:style>
  <w:style w:type="paragraph" w:customStyle="1" w:styleId="302">
    <w:name w:val="正文3"/>
    <w:uiPriority w:val="99"/>
    <w:pPr>
      <w:widowControl w:val="0"/>
      <w:jc w:val="both"/>
    </w:pPr>
    <w:rPr>
      <w:rFonts w:ascii="Times New Roman" w:hAnsi="Times New Roman" w:eastAsia="宋体" w:cs="Times New Roman"/>
      <w:kern w:val="2"/>
      <w:sz w:val="21"/>
      <w:lang w:val="en-US" w:eastAsia="zh-CN" w:bidi="ar-SA"/>
    </w:rPr>
  </w:style>
  <w:style w:type="paragraph" w:customStyle="1" w:styleId="303">
    <w:name w:val="标题3级"/>
    <w:basedOn w:val="5"/>
    <w:qFormat/>
    <w:uiPriority w:val="99"/>
    <w:pPr>
      <w:keepLines w:val="0"/>
      <w:widowControl w:val="0"/>
      <w:autoSpaceDE/>
      <w:autoSpaceDN/>
      <w:adjustRightInd/>
      <w:spacing w:before="100" w:beforeAutospacing="1" w:after="100" w:afterAutospacing="1" w:line="360" w:lineRule="auto"/>
      <w:outlineLvl w:val="9"/>
    </w:pPr>
    <w:rPr>
      <w:rFonts w:ascii="宋体" w:hAnsi="宋体" w:eastAsia="宋体" w:cs="Times New Roman"/>
      <w:b/>
      <w:sz w:val="28"/>
      <w:szCs w:val="28"/>
    </w:rPr>
  </w:style>
  <w:style w:type="paragraph" w:customStyle="1" w:styleId="304">
    <w:name w:val="_Style 3"/>
    <w:basedOn w:val="1"/>
    <w:next w:val="1"/>
    <w:qFormat/>
    <w:uiPriority w:val="99"/>
    <w:pPr>
      <w:pBdr>
        <w:bottom w:val="single" w:color="auto" w:sz="6" w:space="1"/>
      </w:pBdr>
      <w:jc w:val="center"/>
    </w:pPr>
    <w:rPr>
      <w:rFonts w:ascii="Arial" w:hAnsi="Times New Roman" w:cs="宋体"/>
      <w:vanish/>
      <w:sz w:val="16"/>
      <w:szCs w:val="22"/>
    </w:rPr>
  </w:style>
  <w:style w:type="paragraph" w:customStyle="1" w:styleId="305">
    <w:name w:val="BodyTextIndent"/>
    <w:basedOn w:val="1"/>
    <w:qFormat/>
    <w:uiPriority w:val="99"/>
    <w:pPr>
      <w:spacing w:after="120"/>
      <w:ind w:left="420" w:leftChars="200"/>
    </w:pPr>
    <w:rPr>
      <w:rFonts w:ascii="Times New Roman" w:hAnsi="Times New Roman" w:cs="宋体"/>
      <w:color w:val="000000"/>
      <w:szCs w:val="22"/>
    </w:rPr>
  </w:style>
  <w:style w:type="paragraph" w:customStyle="1" w:styleId="306">
    <w:name w:val="列表段落3"/>
    <w:basedOn w:val="1"/>
    <w:qFormat/>
    <w:uiPriority w:val="99"/>
    <w:pPr>
      <w:ind w:firstLine="420" w:firstLineChars="200"/>
    </w:pPr>
    <w:rPr>
      <w:rFonts w:ascii="Times New Roman" w:hAnsi="Times New Roman" w:cs="宋体"/>
      <w:szCs w:val="22"/>
    </w:rPr>
  </w:style>
  <w:style w:type="paragraph" w:customStyle="1" w:styleId="307">
    <w:name w:val="p3"/>
    <w:basedOn w:val="1"/>
    <w:qFormat/>
    <w:uiPriority w:val="99"/>
    <w:pPr>
      <w:jc w:val="left"/>
    </w:pPr>
    <w:rPr>
      <w:rFonts w:ascii="Helvetica Neue" w:hAnsi="Helvetica Neue" w:eastAsia="Helvetica Neue" w:cs="Times New Roman"/>
      <w:kern w:val="0"/>
      <w:sz w:val="24"/>
    </w:rPr>
  </w:style>
  <w:style w:type="paragraph" w:customStyle="1" w:styleId="308">
    <w:name w:val="Other|1"/>
    <w:basedOn w:val="1"/>
    <w:qFormat/>
    <w:uiPriority w:val="99"/>
    <w:pPr>
      <w:ind w:firstLine="320"/>
    </w:pPr>
    <w:rPr>
      <w:rFonts w:ascii="宋体" w:hAnsi="宋体" w:cs="宋体"/>
      <w:sz w:val="18"/>
      <w:szCs w:val="18"/>
      <w:lang w:val="zh-TW" w:eastAsia="zh-TW" w:bidi="zh-TW"/>
    </w:rPr>
  </w:style>
  <w:style w:type="paragraph" w:customStyle="1" w:styleId="309">
    <w:name w:val="标准文本"/>
    <w:basedOn w:val="1"/>
    <w:qFormat/>
    <w:uiPriority w:val="99"/>
    <w:pPr>
      <w:spacing w:line="360" w:lineRule="auto"/>
      <w:ind w:firstLine="420"/>
      <w:jc w:val="left"/>
    </w:pPr>
    <w:rPr>
      <w:rFonts w:ascii="Times New Roman" w:hAnsi="Times New Roman" w:cs="宋体"/>
      <w:kern w:val="0"/>
      <w:sz w:val="24"/>
      <w:szCs w:val="22"/>
    </w:rPr>
  </w:style>
  <w:style w:type="paragraph" w:customStyle="1" w:styleId="310">
    <w:name w:val="正文样式"/>
    <w:basedOn w:val="1"/>
    <w:qFormat/>
    <w:uiPriority w:val="7"/>
    <w:pPr>
      <w:spacing w:line="360" w:lineRule="auto"/>
      <w:ind w:firstLine="480" w:firstLineChars="200"/>
    </w:pPr>
    <w:rPr>
      <w:rFonts w:ascii="Times New Roman" w:hAnsi="Times New Roman" w:cs="宋体"/>
      <w:sz w:val="24"/>
    </w:rPr>
  </w:style>
  <w:style w:type="paragraph" w:customStyle="1" w:styleId="311">
    <w:name w:val="标题 21"/>
    <w:basedOn w:val="1"/>
    <w:next w:val="1"/>
    <w:qFormat/>
    <w:uiPriority w:val="99"/>
    <w:pPr>
      <w:keepNext/>
      <w:keepLines/>
      <w:tabs>
        <w:tab w:val="left" w:pos="576"/>
        <w:tab w:val="left" w:pos="900"/>
        <w:tab w:val="left" w:pos="4406"/>
      </w:tabs>
      <w:spacing w:before="100" w:after="100" w:line="412" w:lineRule="auto"/>
      <w:ind w:left="576" w:hanging="576"/>
      <w:outlineLvl w:val="1"/>
    </w:pPr>
    <w:rPr>
      <w:rFonts w:ascii="Times New Roman" w:hAnsi="Times New Roman" w:cs="Times New Roman"/>
      <w:b/>
      <w:iCs/>
      <w:kern w:val="0"/>
      <w:sz w:val="32"/>
      <w:szCs w:val="28"/>
    </w:rPr>
  </w:style>
  <w:style w:type="paragraph" w:customStyle="1" w:styleId="312">
    <w:name w:val="自定义标题2"/>
    <w:basedOn w:val="311"/>
    <w:next w:val="1"/>
    <w:qFormat/>
    <w:uiPriority w:val="99"/>
    <w:pPr>
      <w:widowControl/>
      <w:tabs>
        <w:tab w:val="left" w:pos="575"/>
        <w:tab w:val="left" w:pos="840"/>
        <w:tab w:val="clear" w:pos="576"/>
      </w:tabs>
      <w:spacing w:before="240" w:after="60" w:line="360" w:lineRule="auto"/>
      <w:ind w:left="420" w:hanging="420"/>
    </w:pPr>
    <w:rPr>
      <w:rFonts w:ascii="宋体" w:hAnsi="宋体" w:cs="Arial"/>
      <w:bCs/>
      <w:sz w:val="24"/>
    </w:rPr>
  </w:style>
  <w:style w:type="paragraph" w:customStyle="1" w:styleId="313">
    <w:name w:val="样式3 Char"/>
    <w:basedOn w:val="1"/>
    <w:qFormat/>
    <w:uiPriority w:val="99"/>
    <w:pPr>
      <w:spacing w:line="360" w:lineRule="auto"/>
      <w:ind w:firstLine="480" w:firstLineChars="200"/>
    </w:pPr>
    <w:rPr>
      <w:rFonts w:cs="Times New Roman"/>
      <w:sz w:val="24"/>
    </w:rPr>
  </w:style>
  <w:style w:type="paragraph" w:customStyle="1" w:styleId="314">
    <w:name w:val="文档正文"/>
    <w:basedOn w:val="1"/>
    <w:qFormat/>
    <w:uiPriority w:val="99"/>
    <w:rPr>
      <w:rFonts w:ascii="宋体" w:hAnsi="宋体"/>
      <w:bCs/>
      <w:szCs w:val="21"/>
    </w:rPr>
  </w:style>
  <w:style w:type="paragraph" w:customStyle="1" w:styleId="315">
    <w:name w:val="_Style 4"/>
    <w:basedOn w:val="1"/>
    <w:next w:val="1"/>
    <w:qFormat/>
    <w:uiPriority w:val="99"/>
    <w:pPr>
      <w:pBdr>
        <w:top w:val="single" w:color="auto" w:sz="6" w:space="1"/>
      </w:pBdr>
      <w:jc w:val="center"/>
    </w:pPr>
    <w:rPr>
      <w:rFonts w:ascii="Arial" w:hAnsi="Times New Roman" w:cs="宋体"/>
      <w:vanish/>
      <w:sz w:val="16"/>
      <w:szCs w:val="22"/>
    </w:rPr>
  </w:style>
  <w:style w:type="paragraph" w:customStyle="1" w:styleId="316">
    <w:name w:val="标准"/>
    <w:basedOn w:val="1"/>
    <w:qFormat/>
    <w:uiPriority w:val="99"/>
    <w:pPr>
      <w:spacing w:line="360" w:lineRule="auto"/>
      <w:ind w:firstLine="200" w:firstLineChars="200"/>
    </w:pPr>
    <w:rPr>
      <w:rFonts w:ascii="Times New Roman" w:hAnsi="Times New Roman" w:cs="宋体"/>
      <w:szCs w:val="22"/>
    </w:rPr>
  </w:style>
  <w:style w:type="paragraph" w:customStyle="1" w:styleId="317">
    <w:name w:val="无间隔11"/>
    <w:qFormat/>
    <w:uiPriority w:val="99"/>
    <w:pPr>
      <w:adjustRightInd w:val="0"/>
      <w:snapToGrid w:val="0"/>
    </w:pPr>
    <w:rPr>
      <w:rFonts w:ascii="Tahoma" w:hAnsi="Tahoma" w:eastAsia="微软雅黑" w:cs="Times New Roman"/>
      <w:sz w:val="22"/>
      <w:szCs w:val="22"/>
      <w:lang w:val="en-US" w:eastAsia="zh-CN" w:bidi="ar-SA"/>
    </w:rPr>
  </w:style>
  <w:style w:type="paragraph" w:customStyle="1" w:styleId="318">
    <w:name w:val="正文 A"/>
    <w:qFormat/>
    <w:uiPriority w:val="99"/>
    <w:pPr>
      <w:widowControl w:val="0"/>
      <w:jc w:val="both"/>
    </w:pPr>
    <w:rPr>
      <w:rFonts w:ascii="Times New Roman" w:hAnsi="Times New Roman" w:eastAsia="Calibri" w:cs="Calibri"/>
      <w:color w:val="000000"/>
      <w:kern w:val="2"/>
      <w:sz w:val="21"/>
      <w:szCs w:val="21"/>
      <w:lang w:val="zh-TW" w:eastAsia="zh-TW" w:bidi="ar-SA"/>
    </w:rPr>
  </w:style>
  <w:style w:type="character" w:customStyle="1" w:styleId="319">
    <w:name w:val="cm-property"/>
    <w:qFormat/>
    <w:uiPriority w:val="0"/>
    <w:rPr>
      <w:color w:val="000000"/>
    </w:rPr>
  </w:style>
  <w:style w:type="character" w:customStyle="1" w:styleId="320">
    <w:name w:val="cm-atom"/>
    <w:qFormat/>
    <w:uiPriority w:val="0"/>
    <w:rPr>
      <w:color w:val="221199"/>
    </w:rPr>
  </w:style>
  <w:style w:type="character" w:customStyle="1" w:styleId="321">
    <w:name w:val="payremark-content1"/>
    <w:basedOn w:val="42"/>
    <w:qFormat/>
    <w:uiPriority w:val="0"/>
  </w:style>
  <w:style w:type="character" w:customStyle="1" w:styleId="322">
    <w:name w:val="cm-header1"/>
    <w:qFormat/>
    <w:uiPriority w:val="0"/>
    <w:rPr>
      <w:b/>
    </w:rPr>
  </w:style>
  <w:style w:type="character" w:customStyle="1" w:styleId="323">
    <w:name w:val="cm-def"/>
    <w:qFormat/>
    <w:uiPriority w:val="0"/>
    <w:rPr>
      <w:color w:val="0000FF"/>
    </w:rPr>
  </w:style>
  <w:style w:type="character" w:customStyle="1" w:styleId="324">
    <w:name w:val="cm-builtin"/>
    <w:qFormat/>
    <w:uiPriority w:val="0"/>
    <w:rPr>
      <w:color w:val="3300AA"/>
    </w:rPr>
  </w:style>
  <w:style w:type="character" w:customStyle="1" w:styleId="325">
    <w:name w:val="s2"/>
    <w:qFormat/>
    <w:uiPriority w:val="0"/>
    <w:rPr>
      <w:rFonts w:hint="default" w:ascii=".pingfang sc" w:hAnsi=".pingfang sc" w:eastAsia=".pingfang sc" w:cs=".pingfang sc"/>
      <w:sz w:val="24"/>
      <w:szCs w:val="24"/>
    </w:rPr>
  </w:style>
  <w:style w:type="character" w:customStyle="1" w:styleId="326">
    <w:name w:val="cm-meta"/>
    <w:qFormat/>
    <w:uiPriority w:val="0"/>
    <w:rPr>
      <w:color w:val="555555"/>
    </w:rPr>
  </w:style>
  <w:style w:type="character" w:customStyle="1" w:styleId="327">
    <w:name w:val="px14"/>
    <w:basedOn w:val="42"/>
    <w:qFormat/>
    <w:uiPriority w:val="99"/>
  </w:style>
  <w:style w:type="character" w:customStyle="1" w:styleId="328">
    <w:name w:val="cm-string"/>
    <w:qFormat/>
    <w:uiPriority w:val="0"/>
    <w:rPr>
      <w:color w:val="AA1111"/>
    </w:rPr>
  </w:style>
  <w:style w:type="character" w:customStyle="1" w:styleId="329">
    <w:name w:val="cm-qualifier"/>
    <w:qFormat/>
    <w:uiPriority w:val="0"/>
    <w:rPr>
      <w:color w:val="555555"/>
    </w:rPr>
  </w:style>
  <w:style w:type="character" w:customStyle="1" w:styleId="330">
    <w:name w:val="cm-strong"/>
    <w:qFormat/>
    <w:uiPriority w:val="0"/>
    <w:rPr>
      <w:b/>
    </w:rPr>
  </w:style>
  <w:style w:type="character" w:customStyle="1" w:styleId="331">
    <w:name w:val="页脚 Char"/>
    <w:qFormat/>
    <w:uiPriority w:val="99"/>
  </w:style>
  <w:style w:type="character" w:customStyle="1" w:styleId="332">
    <w:name w:val="cm-variable-2"/>
    <w:qFormat/>
    <w:uiPriority w:val="0"/>
    <w:rPr>
      <w:color w:val="0055AA"/>
    </w:rPr>
  </w:style>
  <w:style w:type="character" w:customStyle="1" w:styleId="333">
    <w:name w:val="cm-quote"/>
    <w:qFormat/>
    <w:uiPriority w:val="0"/>
    <w:rPr>
      <w:color w:val="009900"/>
    </w:rPr>
  </w:style>
  <w:style w:type="character" w:customStyle="1" w:styleId="334">
    <w:name w:val="payremark-title"/>
    <w:basedOn w:val="42"/>
    <w:qFormat/>
    <w:uiPriority w:val="0"/>
  </w:style>
  <w:style w:type="character" w:customStyle="1" w:styleId="335">
    <w:name w:val="cm-em"/>
    <w:qFormat/>
    <w:uiPriority w:val="0"/>
    <w:rPr>
      <w:i/>
    </w:rPr>
  </w:style>
  <w:style w:type="character" w:customStyle="1" w:styleId="336">
    <w:name w:val="danger1"/>
    <w:qFormat/>
    <w:uiPriority w:val="0"/>
    <w:rPr>
      <w:color w:val="FF2200"/>
    </w:rPr>
  </w:style>
  <w:style w:type="character" w:customStyle="1" w:styleId="337">
    <w:name w:val="cm-variable"/>
    <w:qFormat/>
    <w:uiPriority w:val="0"/>
    <w:rPr>
      <w:color w:val="000000"/>
    </w:rPr>
  </w:style>
  <w:style w:type="character" w:customStyle="1" w:styleId="338">
    <w:name w:val="success1"/>
    <w:qFormat/>
    <w:uiPriority w:val="0"/>
    <w:rPr>
      <w:color w:val="2DC12D"/>
    </w:rPr>
  </w:style>
  <w:style w:type="character" w:customStyle="1" w:styleId="339">
    <w:name w:val="payremark-content2"/>
    <w:basedOn w:val="42"/>
    <w:qFormat/>
    <w:uiPriority w:val="0"/>
  </w:style>
  <w:style w:type="character" w:customStyle="1" w:styleId="340">
    <w:name w:val="current"/>
    <w:qFormat/>
    <w:uiPriority w:val="0"/>
    <w:rPr>
      <w:color w:val="FFFFFF"/>
      <w:bdr w:val="single" w:color="197AFF" w:sz="4" w:space="0"/>
      <w:shd w:val="clear" w:color="auto" w:fill="197AFF"/>
    </w:rPr>
  </w:style>
  <w:style w:type="character" w:customStyle="1" w:styleId="341">
    <w:name w:val="cm-hr"/>
    <w:qFormat/>
    <w:uiPriority w:val="0"/>
    <w:rPr>
      <w:color w:val="999999"/>
    </w:rPr>
  </w:style>
  <w:style w:type="character" w:customStyle="1" w:styleId="342">
    <w:name w:val="cm-keyword"/>
    <w:qFormat/>
    <w:uiPriority w:val="0"/>
    <w:rPr>
      <w:color w:val="770088"/>
    </w:rPr>
  </w:style>
  <w:style w:type="character" w:customStyle="1" w:styleId="343">
    <w:name w:val="s1"/>
    <w:qFormat/>
    <w:uiPriority w:val="0"/>
    <w:rPr>
      <w:rFonts w:hint="default" w:ascii="Helvetica Neue" w:hAnsi="Helvetica Neue" w:eastAsia="Helvetica Neue" w:cs="Helvetica Neue"/>
      <w:sz w:val="24"/>
      <w:szCs w:val="24"/>
    </w:rPr>
  </w:style>
  <w:style w:type="character" w:customStyle="1" w:styleId="344">
    <w:name w:val="cm-attribute"/>
    <w:qFormat/>
    <w:uiPriority w:val="0"/>
    <w:rPr>
      <w:color w:val="0000CC"/>
    </w:rPr>
  </w:style>
  <w:style w:type="character" w:customStyle="1" w:styleId="345">
    <w:name w:val="cm-tag"/>
    <w:qFormat/>
    <w:uiPriority w:val="0"/>
    <w:rPr>
      <w:color w:val="117700"/>
    </w:rPr>
  </w:style>
  <w:style w:type="character" w:customStyle="1" w:styleId="346">
    <w:name w:val="cm-link"/>
    <w:qFormat/>
    <w:uiPriority w:val="0"/>
    <w:rPr>
      <w:color w:val="0000CC"/>
    </w:rPr>
  </w:style>
  <w:style w:type="character" w:customStyle="1" w:styleId="347">
    <w:name w:val="cm-variable-3"/>
    <w:qFormat/>
    <w:uiPriority w:val="0"/>
    <w:rPr>
      <w:color w:val="008855"/>
    </w:rPr>
  </w:style>
  <w:style w:type="character" w:customStyle="1" w:styleId="348">
    <w:name w:val="textcolor1"/>
    <w:qFormat/>
    <w:uiPriority w:val="0"/>
    <w:rPr>
      <w:color w:val="FF6600"/>
    </w:rPr>
  </w:style>
  <w:style w:type="character" w:customStyle="1" w:styleId="349">
    <w:name w:val="search"/>
    <w:basedOn w:val="42"/>
    <w:qFormat/>
    <w:uiPriority w:val="0"/>
  </w:style>
  <w:style w:type="character" w:customStyle="1" w:styleId="350">
    <w:name w:val="codemirror-nonmatchingbracket"/>
    <w:qFormat/>
    <w:uiPriority w:val="0"/>
    <w:rPr>
      <w:color w:val="FF2222"/>
    </w:rPr>
  </w:style>
  <w:style w:type="character" w:customStyle="1" w:styleId="351">
    <w:name w:val="danger"/>
    <w:qFormat/>
    <w:uiPriority w:val="0"/>
    <w:rPr>
      <w:color w:val="FF2200"/>
    </w:rPr>
  </w:style>
  <w:style w:type="character" w:customStyle="1" w:styleId="352">
    <w:name w:val="payremark-content"/>
    <w:basedOn w:val="42"/>
    <w:qFormat/>
    <w:uiPriority w:val="0"/>
  </w:style>
  <w:style w:type="character" w:customStyle="1" w:styleId="353">
    <w:name w:val="search1"/>
    <w:basedOn w:val="42"/>
    <w:qFormat/>
    <w:uiPriority w:val="0"/>
  </w:style>
  <w:style w:type="character" w:customStyle="1" w:styleId="354">
    <w:name w:val="cm-emstrong"/>
    <w:qFormat/>
    <w:uiPriority w:val="0"/>
    <w:rPr>
      <w:b/>
      <w:i/>
    </w:rPr>
  </w:style>
  <w:style w:type="character" w:customStyle="1" w:styleId="355">
    <w:name w:val="cm-string-2"/>
    <w:qFormat/>
    <w:uiPriority w:val="0"/>
    <w:rPr>
      <w:color w:val="FF5500"/>
    </w:rPr>
  </w:style>
  <w:style w:type="character" w:customStyle="1" w:styleId="356">
    <w:name w:val="current2"/>
    <w:qFormat/>
    <w:uiPriority w:val="0"/>
    <w:rPr>
      <w:color w:val="197AFF"/>
      <w:shd w:val="clear" w:color="auto" w:fill="EBECF0"/>
    </w:rPr>
  </w:style>
  <w:style w:type="character" w:customStyle="1" w:styleId="357">
    <w:name w:val="caret"/>
    <w:basedOn w:val="42"/>
    <w:qFormat/>
    <w:uiPriority w:val="0"/>
  </w:style>
  <w:style w:type="character" w:customStyle="1" w:styleId="358">
    <w:name w:val="payremark-title2"/>
    <w:basedOn w:val="42"/>
    <w:qFormat/>
    <w:uiPriority w:val="0"/>
  </w:style>
  <w:style w:type="character" w:customStyle="1" w:styleId="359">
    <w:name w:val="codemirror-selected1"/>
    <w:qFormat/>
    <w:uiPriority w:val="0"/>
    <w:rPr>
      <w:shd w:val="clear" w:color="auto" w:fill="D2DCF8"/>
    </w:rPr>
  </w:style>
  <w:style w:type="character" w:customStyle="1" w:styleId="360">
    <w:name w:val="cm-header"/>
    <w:qFormat/>
    <w:uiPriority w:val="0"/>
    <w:rPr>
      <w:color w:val="AA00AA"/>
    </w:rPr>
  </w:style>
  <w:style w:type="character" w:customStyle="1" w:styleId="361">
    <w:name w:val="font71"/>
    <w:qFormat/>
    <w:uiPriority w:val="0"/>
    <w:rPr>
      <w:rFonts w:hint="eastAsia" w:ascii="宋体" w:hAnsi="宋体" w:eastAsia="宋体" w:cs="宋体"/>
      <w:b/>
      <w:color w:val="FF0000"/>
      <w:sz w:val="20"/>
      <w:szCs w:val="20"/>
      <w:u w:val="none"/>
    </w:rPr>
  </w:style>
  <w:style w:type="character" w:customStyle="1" w:styleId="362">
    <w:name w:val="cm-link1"/>
    <w:qFormat/>
    <w:uiPriority w:val="0"/>
    <w:rPr>
      <w:u w:val="single"/>
    </w:rPr>
  </w:style>
  <w:style w:type="character" w:customStyle="1" w:styleId="363">
    <w:name w:val="codemirror-selected"/>
    <w:qFormat/>
    <w:uiPriority w:val="0"/>
    <w:rPr>
      <w:shd w:val="clear" w:color="auto" w:fill="D9D9D9"/>
    </w:rPr>
  </w:style>
  <w:style w:type="character" w:customStyle="1" w:styleId="364">
    <w:name w:val="error"/>
    <w:qFormat/>
    <w:uiPriority w:val="0"/>
    <w:rPr>
      <w:color w:val="FF625C"/>
    </w:rPr>
  </w:style>
  <w:style w:type="character" w:customStyle="1" w:styleId="365">
    <w:name w:val="payremark-title1"/>
    <w:basedOn w:val="42"/>
    <w:qFormat/>
    <w:uiPriority w:val="0"/>
  </w:style>
  <w:style w:type="character" w:customStyle="1" w:styleId="366">
    <w:name w:val="cm-number"/>
    <w:qFormat/>
    <w:uiPriority w:val="0"/>
    <w:rPr>
      <w:color w:val="116644"/>
    </w:rPr>
  </w:style>
  <w:style w:type="character" w:customStyle="1" w:styleId="367">
    <w:name w:val="caret4"/>
    <w:basedOn w:val="42"/>
    <w:qFormat/>
    <w:uiPriority w:val="0"/>
  </w:style>
  <w:style w:type="character" w:customStyle="1" w:styleId="368">
    <w:name w:val="codemirror-matchingbracket"/>
    <w:qFormat/>
    <w:uiPriority w:val="0"/>
    <w:rPr>
      <w:color w:val="00FF00"/>
    </w:rPr>
  </w:style>
  <w:style w:type="character" w:customStyle="1" w:styleId="369">
    <w:name w:val="cm-operator"/>
    <w:qFormat/>
    <w:uiPriority w:val="0"/>
    <w:rPr>
      <w:color w:val="000000"/>
    </w:rPr>
  </w:style>
  <w:style w:type="character" w:customStyle="1" w:styleId="370">
    <w:name w:val="font51"/>
    <w:qFormat/>
    <w:uiPriority w:val="0"/>
    <w:rPr>
      <w:rFonts w:hint="eastAsia" w:ascii="宋体" w:hAnsi="宋体" w:eastAsia="宋体" w:cs="宋体"/>
      <w:b/>
      <w:color w:val="000000"/>
      <w:sz w:val="20"/>
      <w:szCs w:val="20"/>
      <w:u w:val="none"/>
    </w:rPr>
  </w:style>
  <w:style w:type="character" w:customStyle="1" w:styleId="371">
    <w:name w:val="current1"/>
    <w:qFormat/>
    <w:uiPriority w:val="0"/>
    <w:rPr>
      <w:color w:val="FFFFFF"/>
      <w:bdr w:val="single" w:color="197AFF" w:sz="4" w:space="0"/>
      <w:shd w:val="clear" w:color="auto" w:fill="197AFF"/>
    </w:rPr>
  </w:style>
  <w:style w:type="character" w:customStyle="1" w:styleId="372">
    <w:name w:val="error1"/>
    <w:qFormat/>
    <w:uiPriority w:val="0"/>
    <w:rPr>
      <w:color w:val="FF625C"/>
    </w:rPr>
  </w:style>
  <w:style w:type="character" w:customStyle="1" w:styleId="373">
    <w:name w:val="font01"/>
    <w:qFormat/>
    <w:uiPriority w:val="0"/>
    <w:rPr>
      <w:rFonts w:hint="eastAsia" w:ascii="新宋体" w:hAnsi="新宋体" w:eastAsia="新宋体" w:cs="新宋体"/>
      <w:color w:val="000000"/>
      <w:sz w:val="21"/>
      <w:szCs w:val="21"/>
      <w:u w:val="none"/>
    </w:rPr>
  </w:style>
  <w:style w:type="character" w:customStyle="1" w:styleId="374">
    <w:name w:val="cm-error"/>
    <w:qFormat/>
    <w:uiPriority w:val="0"/>
    <w:rPr>
      <w:color w:val="FF0000"/>
    </w:rPr>
  </w:style>
  <w:style w:type="character" w:customStyle="1" w:styleId="375">
    <w:name w:val="cm-comment"/>
    <w:qFormat/>
    <w:uiPriority w:val="0"/>
    <w:rPr>
      <w:color w:val="AA5500"/>
    </w:rPr>
  </w:style>
  <w:style w:type="character" w:customStyle="1" w:styleId="376">
    <w:name w:val="hover16"/>
    <w:qFormat/>
    <w:uiPriority w:val="0"/>
    <w:rPr>
      <w:bdr w:val="single" w:color="197AFF" w:sz="4" w:space="0"/>
    </w:rPr>
  </w:style>
  <w:style w:type="character" w:customStyle="1" w:styleId="377">
    <w:name w:val="success"/>
    <w:qFormat/>
    <w:uiPriority w:val="0"/>
    <w:rPr>
      <w:color w:val="2DC12D"/>
    </w:rPr>
  </w:style>
  <w:style w:type="character" w:customStyle="1" w:styleId="378">
    <w:name w:val="hover15"/>
    <w:qFormat/>
    <w:uiPriority w:val="0"/>
    <w:rPr>
      <w:bdr w:val="single" w:color="197AFF" w:sz="4" w:space="0"/>
    </w:rPr>
  </w:style>
  <w:style w:type="character" w:customStyle="1" w:styleId="379">
    <w:name w:val="cm-bracket"/>
    <w:qFormat/>
    <w:uiPriority w:val="0"/>
    <w:rPr>
      <w:color w:val="CCCC77"/>
    </w:rPr>
  </w:style>
  <w:style w:type="paragraph" w:customStyle="1" w:styleId="380">
    <w:name w:val="纯文本2"/>
    <w:basedOn w:val="302"/>
    <w:qFormat/>
    <w:uiPriority w:val="0"/>
    <w:pPr>
      <w:widowControl/>
      <w:jc w:val="left"/>
    </w:pPr>
    <w:rPr>
      <w:rFonts w:ascii="宋体" w:hAnsi="Courier New"/>
    </w:rPr>
  </w:style>
  <w:style w:type="paragraph" w:customStyle="1" w:styleId="381">
    <w:name w:val="BodyText1I2"/>
    <w:basedOn w:val="305"/>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337678128134B22A10BFE8AEAEE4CC1"/>
        <w:style w:val=""/>
        <w:category>
          <w:name w:val="常规"/>
          <w:gallery w:val="placeholder"/>
        </w:category>
        <w:types>
          <w:type w:val="bbPlcHdr"/>
        </w:types>
        <w:behaviors>
          <w:behavior w:val="content"/>
        </w:behaviors>
        <w:description w:val=""/>
        <w:guid w:val="{188DEC4C-CB98-496C-804C-84A34CE01CAA}"/>
      </w:docPartPr>
      <w:docPartBody>
        <w:p w14:paraId="077DBCC4">
          <w:pPr>
            <w:pStyle w:val="5"/>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C5E"/>
    <w:rsid w:val="00007BD3"/>
    <w:rsid w:val="000134FF"/>
    <w:rsid w:val="0003446C"/>
    <w:rsid w:val="000374DC"/>
    <w:rsid w:val="00041D59"/>
    <w:rsid w:val="00047760"/>
    <w:rsid w:val="000531E7"/>
    <w:rsid w:val="00053B26"/>
    <w:rsid w:val="000700B2"/>
    <w:rsid w:val="00070D1C"/>
    <w:rsid w:val="00080623"/>
    <w:rsid w:val="00081D99"/>
    <w:rsid w:val="00083E29"/>
    <w:rsid w:val="00084465"/>
    <w:rsid w:val="00086036"/>
    <w:rsid w:val="00092C28"/>
    <w:rsid w:val="00093418"/>
    <w:rsid w:val="000A1219"/>
    <w:rsid w:val="000A129A"/>
    <w:rsid w:val="000A16C4"/>
    <w:rsid w:val="000A5FA1"/>
    <w:rsid w:val="000A7C64"/>
    <w:rsid w:val="000B0C51"/>
    <w:rsid w:val="000B23D4"/>
    <w:rsid w:val="000C2996"/>
    <w:rsid w:val="000C5CDB"/>
    <w:rsid w:val="000C7BFD"/>
    <w:rsid w:val="000D116D"/>
    <w:rsid w:val="000D2ED8"/>
    <w:rsid w:val="000D7A28"/>
    <w:rsid w:val="000E2D20"/>
    <w:rsid w:val="000E3093"/>
    <w:rsid w:val="000E4262"/>
    <w:rsid w:val="000E4A03"/>
    <w:rsid w:val="000E72DC"/>
    <w:rsid w:val="000F0E0D"/>
    <w:rsid w:val="000F1048"/>
    <w:rsid w:val="000F4466"/>
    <w:rsid w:val="000F7584"/>
    <w:rsid w:val="000F7F24"/>
    <w:rsid w:val="00105F0D"/>
    <w:rsid w:val="001075D1"/>
    <w:rsid w:val="00115895"/>
    <w:rsid w:val="00122549"/>
    <w:rsid w:val="00125340"/>
    <w:rsid w:val="00126F3E"/>
    <w:rsid w:val="00135402"/>
    <w:rsid w:val="00140A0B"/>
    <w:rsid w:val="001418A4"/>
    <w:rsid w:val="0014425E"/>
    <w:rsid w:val="00144EAF"/>
    <w:rsid w:val="00147658"/>
    <w:rsid w:val="00150FD1"/>
    <w:rsid w:val="001538E5"/>
    <w:rsid w:val="00153B63"/>
    <w:rsid w:val="001549C9"/>
    <w:rsid w:val="00154F4E"/>
    <w:rsid w:val="00162E2C"/>
    <w:rsid w:val="00170FA1"/>
    <w:rsid w:val="00171650"/>
    <w:rsid w:val="001749EC"/>
    <w:rsid w:val="00177919"/>
    <w:rsid w:val="001900DD"/>
    <w:rsid w:val="00193B3B"/>
    <w:rsid w:val="00194A95"/>
    <w:rsid w:val="001A3264"/>
    <w:rsid w:val="001A716F"/>
    <w:rsid w:val="001B2769"/>
    <w:rsid w:val="001B325C"/>
    <w:rsid w:val="001B4706"/>
    <w:rsid w:val="001B6DE8"/>
    <w:rsid w:val="001B745E"/>
    <w:rsid w:val="001C62D2"/>
    <w:rsid w:val="001C701B"/>
    <w:rsid w:val="001C712D"/>
    <w:rsid w:val="001D6FFF"/>
    <w:rsid w:val="001E56F3"/>
    <w:rsid w:val="001E6977"/>
    <w:rsid w:val="001E7E68"/>
    <w:rsid w:val="001F1267"/>
    <w:rsid w:val="001F2D1D"/>
    <w:rsid w:val="001F45AC"/>
    <w:rsid w:val="001F60BD"/>
    <w:rsid w:val="001F6A7B"/>
    <w:rsid w:val="00200853"/>
    <w:rsid w:val="002044AC"/>
    <w:rsid w:val="00205BFF"/>
    <w:rsid w:val="00210380"/>
    <w:rsid w:val="002227B9"/>
    <w:rsid w:val="00234FA2"/>
    <w:rsid w:val="00242A8C"/>
    <w:rsid w:val="00244F2B"/>
    <w:rsid w:val="0024742C"/>
    <w:rsid w:val="00247B53"/>
    <w:rsid w:val="00251988"/>
    <w:rsid w:val="0025734C"/>
    <w:rsid w:val="00262AFF"/>
    <w:rsid w:val="00263E9D"/>
    <w:rsid w:val="00272A65"/>
    <w:rsid w:val="0028038B"/>
    <w:rsid w:val="00281821"/>
    <w:rsid w:val="00294DA0"/>
    <w:rsid w:val="00297DBB"/>
    <w:rsid w:val="002A3368"/>
    <w:rsid w:val="002A555A"/>
    <w:rsid w:val="002B07CD"/>
    <w:rsid w:val="002B2738"/>
    <w:rsid w:val="002B38C7"/>
    <w:rsid w:val="002B7725"/>
    <w:rsid w:val="002B7EDC"/>
    <w:rsid w:val="002C0118"/>
    <w:rsid w:val="002C1B34"/>
    <w:rsid w:val="002C2CE6"/>
    <w:rsid w:val="002C6611"/>
    <w:rsid w:val="002E0952"/>
    <w:rsid w:val="002E299B"/>
    <w:rsid w:val="002E3D82"/>
    <w:rsid w:val="002F15D5"/>
    <w:rsid w:val="002F340B"/>
    <w:rsid w:val="00300157"/>
    <w:rsid w:val="003071AD"/>
    <w:rsid w:val="00310E78"/>
    <w:rsid w:val="00312076"/>
    <w:rsid w:val="00313604"/>
    <w:rsid w:val="0031380B"/>
    <w:rsid w:val="00314526"/>
    <w:rsid w:val="00334794"/>
    <w:rsid w:val="00336E43"/>
    <w:rsid w:val="00342BA3"/>
    <w:rsid w:val="00342C39"/>
    <w:rsid w:val="0034644C"/>
    <w:rsid w:val="00346657"/>
    <w:rsid w:val="00354901"/>
    <w:rsid w:val="00362D28"/>
    <w:rsid w:val="003651D5"/>
    <w:rsid w:val="00370752"/>
    <w:rsid w:val="003726C9"/>
    <w:rsid w:val="003745E5"/>
    <w:rsid w:val="003747C7"/>
    <w:rsid w:val="003756F9"/>
    <w:rsid w:val="00382E78"/>
    <w:rsid w:val="00384117"/>
    <w:rsid w:val="00391DD2"/>
    <w:rsid w:val="00393EAD"/>
    <w:rsid w:val="0039695E"/>
    <w:rsid w:val="003A4DA1"/>
    <w:rsid w:val="003B09CC"/>
    <w:rsid w:val="003B0F9F"/>
    <w:rsid w:val="003C057E"/>
    <w:rsid w:val="003C068A"/>
    <w:rsid w:val="003C0FEB"/>
    <w:rsid w:val="003C371E"/>
    <w:rsid w:val="003C3EC2"/>
    <w:rsid w:val="003C40AC"/>
    <w:rsid w:val="003C4B25"/>
    <w:rsid w:val="003C7C5A"/>
    <w:rsid w:val="003D4DBD"/>
    <w:rsid w:val="003E0B50"/>
    <w:rsid w:val="003E3D3A"/>
    <w:rsid w:val="003F0332"/>
    <w:rsid w:val="003F098C"/>
    <w:rsid w:val="003F1CED"/>
    <w:rsid w:val="003F1D18"/>
    <w:rsid w:val="003F524D"/>
    <w:rsid w:val="003F595D"/>
    <w:rsid w:val="003F5FEF"/>
    <w:rsid w:val="003F62AE"/>
    <w:rsid w:val="003F6411"/>
    <w:rsid w:val="004010F5"/>
    <w:rsid w:val="00402307"/>
    <w:rsid w:val="00404555"/>
    <w:rsid w:val="00404D15"/>
    <w:rsid w:val="004058E9"/>
    <w:rsid w:val="00407A90"/>
    <w:rsid w:val="004113CD"/>
    <w:rsid w:val="00412AFA"/>
    <w:rsid w:val="00414132"/>
    <w:rsid w:val="00416A3F"/>
    <w:rsid w:val="0041781D"/>
    <w:rsid w:val="0042121C"/>
    <w:rsid w:val="00424FE2"/>
    <w:rsid w:val="00426AA2"/>
    <w:rsid w:val="004329DE"/>
    <w:rsid w:val="00433F4A"/>
    <w:rsid w:val="00434778"/>
    <w:rsid w:val="00435DF8"/>
    <w:rsid w:val="00447BD6"/>
    <w:rsid w:val="00455C37"/>
    <w:rsid w:val="004562F9"/>
    <w:rsid w:val="0046288A"/>
    <w:rsid w:val="00465224"/>
    <w:rsid w:val="0046561E"/>
    <w:rsid w:val="004664FC"/>
    <w:rsid w:val="00470108"/>
    <w:rsid w:val="00472284"/>
    <w:rsid w:val="00474155"/>
    <w:rsid w:val="00476802"/>
    <w:rsid w:val="00480765"/>
    <w:rsid w:val="00480FA7"/>
    <w:rsid w:val="00486844"/>
    <w:rsid w:val="004871FF"/>
    <w:rsid w:val="00487425"/>
    <w:rsid w:val="00496688"/>
    <w:rsid w:val="004A09BA"/>
    <w:rsid w:val="004A2571"/>
    <w:rsid w:val="004A5145"/>
    <w:rsid w:val="004A79DB"/>
    <w:rsid w:val="004B09A5"/>
    <w:rsid w:val="004B11A0"/>
    <w:rsid w:val="004B4ECA"/>
    <w:rsid w:val="004B6D5A"/>
    <w:rsid w:val="004C1416"/>
    <w:rsid w:val="004C1C04"/>
    <w:rsid w:val="004C219A"/>
    <w:rsid w:val="004C4DD1"/>
    <w:rsid w:val="004C66D8"/>
    <w:rsid w:val="004C6865"/>
    <w:rsid w:val="004D51D4"/>
    <w:rsid w:val="004D5553"/>
    <w:rsid w:val="004D5E1E"/>
    <w:rsid w:val="004D69B4"/>
    <w:rsid w:val="004D7A27"/>
    <w:rsid w:val="004E19B3"/>
    <w:rsid w:val="004E59CE"/>
    <w:rsid w:val="0050007D"/>
    <w:rsid w:val="005006BF"/>
    <w:rsid w:val="00501606"/>
    <w:rsid w:val="00501674"/>
    <w:rsid w:val="00501E54"/>
    <w:rsid w:val="005037E9"/>
    <w:rsid w:val="00504CFA"/>
    <w:rsid w:val="00507AE0"/>
    <w:rsid w:val="00513DC0"/>
    <w:rsid w:val="005175AB"/>
    <w:rsid w:val="00520211"/>
    <w:rsid w:val="005269BC"/>
    <w:rsid w:val="00532B4A"/>
    <w:rsid w:val="00532ED8"/>
    <w:rsid w:val="005361FD"/>
    <w:rsid w:val="00546AA6"/>
    <w:rsid w:val="00546D02"/>
    <w:rsid w:val="00546EC1"/>
    <w:rsid w:val="005529D5"/>
    <w:rsid w:val="00556E71"/>
    <w:rsid w:val="00557A04"/>
    <w:rsid w:val="005607C6"/>
    <w:rsid w:val="00562536"/>
    <w:rsid w:val="0056261A"/>
    <w:rsid w:val="00567B5F"/>
    <w:rsid w:val="0057125D"/>
    <w:rsid w:val="0057360E"/>
    <w:rsid w:val="00575A5B"/>
    <w:rsid w:val="00576A85"/>
    <w:rsid w:val="00583A42"/>
    <w:rsid w:val="00583B21"/>
    <w:rsid w:val="005856C3"/>
    <w:rsid w:val="005867A1"/>
    <w:rsid w:val="00586DDA"/>
    <w:rsid w:val="00596307"/>
    <w:rsid w:val="005973BF"/>
    <w:rsid w:val="005A0308"/>
    <w:rsid w:val="005A696A"/>
    <w:rsid w:val="005B0851"/>
    <w:rsid w:val="005B6B94"/>
    <w:rsid w:val="005D0A62"/>
    <w:rsid w:val="005D4F4C"/>
    <w:rsid w:val="005D7944"/>
    <w:rsid w:val="005E2AC4"/>
    <w:rsid w:val="005E3087"/>
    <w:rsid w:val="005E5437"/>
    <w:rsid w:val="005E6C15"/>
    <w:rsid w:val="005F1E78"/>
    <w:rsid w:val="006011E6"/>
    <w:rsid w:val="00605ADC"/>
    <w:rsid w:val="00614924"/>
    <w:rsid w:val="00617169"/>
    <w:rsid w:val="006173EF"/>
    <w:rsid w:val="006203AF"/>
    <w:rsid w:val="0062565F"/>
    <w:rsid w:val="006275DF"/>
    <w:rsid w:val="00641CED"/>
    <w:rsid w:val="0064399C"/>
    <w:rsid w:val="0064770D"/>
    <w:rsid w:val="00647EC8"/>
    <w:rsid w:val="006519D8"/>
    <w:rsid w:val="0065357D"/>
    <w:rsid w:val="00656C63"/>
    <w:rsid w:val="00666547"/>
    <w:rsid w:val="00666BF5"/>
    <w:rsid w:val="00675CCC"/>
    <w:rsid w:val="00676707"/>
    <w:rsid w:val="00681E6E"/>
    <w:rsid w:val="00681F23"/>
    <w:rsid w:val="006961AC"/>
    <w:rsid w:val="006A12B2"/>
    <w:rsid w:val="006A191F"/>
    <w:rsid w:val="006A5501"/>
    <w:rsid w:val="006B78F7"/>
    <w:rsid w:val="006C1CB0"/>
    <w:rsid w:val="006C537F"/>
    <w:rsid w:val="006C542D"/>
    <w:rsid w:val="006D0F31"/>
    <w:rsid w:val="006D60F7"/>
    <w:rsid w:val="006D6C4D"/>
    <w:rsid w:val="006E0140"/>
    <w:rsid w:val="006E29FB"/>
    <w:rsid w:val="006E5B08"/>
    <w:rsid w:val="006E6218"/>
    <w:rsid w:val="006F1BF7"/>
    <w:rsid w:val="006F1EBB"/>
    <w:rsid w:val="006F5E19"/>
    <w:rsid w:val="006F6F8F"/>
    <w:rsid w:val="007007A1"/>
    <w:rsid w:val="00700F46"/>
    <w:rsid w:val="0070698D"/>
    <w:rsid w:val="007105ED"/>
    <w:rsid w:val="00710DCA"/>
    <w:rsid w:val="0071281B"/>
    <w:rsid w:val="007361A9"/>
    <w:rsid w:val="0073661F"/>
    <w:rsid w:val="007413AE"/>
    <w:rsid w:val="0074171D"/>
    <w:rsid w:val="00743351"/>
    <w:rsid w:val="00746CC7"/>
    <w:rsid w:val="00753639"/>
    <w:rsid w:val="00756F1A"/>
    <w:rsid w:val="00760D88"/>
    <w:rsid w:val="00763EF8"/>
    <w:rsid w:val="007640EE"/>
    <w:rsid w:val="007742E3"/>
    <w:rsid w:val="00783024"/>
    <w:rsid w:val="007A08FB"/>
    <w:rsid w:val="007A0A0A"/>
    <w:rsid w:val="007A3805"/>
    <w:rsid w:val="007A4559"/>
    <w:rsid w:val="007B0A17"/>
    <w:rsid w:val="007B2AAB"/>
    <w:rsid w:val="007B485D"/>
    <w:rsid w:val="007C7BC2"/>
    <w:rsid w:val="007D7448"/>
    <w:rsid w:val="007E18C5"/>
    <w:rsid w:val="007E1C74"/>
    <w:rsid w:val="007E4CEB"/>
    <w:rsid w:val="007F03DB"/>
    <w:rsid w:val="007F1967"/>
    <w:rsid w:val="007F63D7"/>
    <w:rsid w:val="00800E85"/>
    <w:rsid w:val="00801117"/>
    <w:rsid w:val="0080688A"/>
    <w:rsid w:val="00806A9D"/>
    <w:rsid w:val="00806DB2"/>
    <w:rsid w:val="00811EB5"/>
    <w:rsid w:val="0081745A"/>
    <w:rsid w:val="00820F29"/>
    <w:rsid w:val="00823637"/>
    <w:rsid w:val="0082571C"/>
    <w:rsid w:val="008257FC"/>
    <w:rsid w:val="00836A7A"/>
    <w:rsid w:val="0083797C"/>
    <w:rsid w:val="00840F4E"/>
    <w:rsid w:val="00847876"/>
    <w:rsid w:val="00847A43"/>
    <w:rsid w:val="0085196E"/>
    <w:rsid w:val="00854121"/>
    <w:rsid w:val="008610DF"/>
    <w:rsid w:val="00866146"/>
    <w:rsid w:val="00866B08"/>
    <w:rsid w:val="00866CEB"/>
    <w:rsid w:val="00870801"/>
    <w:rsid w:val="008729E0"/>
    <w:rsid w:val="00893CC8"/>
    <w:rsid w:val="008A4E0A"/>
    <w:rsid w:val="008B0CDE"/>
    <w:rsid w:val="008B499D"/>
    <w:rsid w:val="008B7962"/>
    <w:rsid w:val="008C3822"/>
    <w:rsid w:val="008C6CB2"/>
    <w:rsid w:val="008D2ACC"/>
    <w:rsid w:val="008D35BA"/>
    <w:rsid w:val="008D5358"/>
    <w:rsid w:val="008D62DB"/>
    <w:rsid w:val="008E1D74"/>
    <w:rsid w:val="008E24E2"/>
    <w:rsid w:val="008E3E2A"/>
    <w:rsid w:val="008E5FF8"/>
    <w:rsid w:val="008F1911"/>
    <w:rsid w:val="008F219F"/>
    <w:rsid w:val="00901AA5"/>
    <w:rsid w:val="0090753D"/>
    <w:rsid w:val="00911377"/>
    <w:rsid w:val="00913414"/>
    <w:rsid w:val="0092011B"/>
    <w:rsid w:val="00922265"/>
    <w:rsid w:val="00925CE1"/>
    <w:rsid w:val="0093062D"/>
    <w:rsid w:val="00930D71"/>
    <w:rsid w:val="00932628"/>
    <w:rsid w:val="009330FE"/>
    <w:rsid w:val="00933330"/>
    <w:rsid w:val="0093372B"/>
    <w:rsid w:val="009356E1"/>
    <w:rsid w:val="00936E6D"/>
    <w:rsid w:val="009408A2"/>
    <w:rsid w:val="00940949"/>
    <w:rsid w:val="00946BDA"/>
    <w:rsid w:val="00946EE8"/>
    <w:rsid w:val="009500B8"/>
    <w:rsid w:val="009509FC"/>
    <w:rsid w:val="00953B7D"/>
    <w:rsid w:val="009572A4"/>
    <w:rsid w:val="00960154"/>
    <w:rsid w:val="00966A43"/>
    <w:rsid w:val="009671A4"/>
    <w:rsid w:val="00973C24"/>
    <w:rsid w:val="009861A3"/>
    <w:rsid w:val="009942A0"/>
    <w:rsid w:val="009A0A63"/>
    <w:rsid w:val="009A3D67"/>
    <w:rsid w:val="009A4B42"/>
    <w:rsid w:val="009A600D"/>
    <w:rsid w:val="009B10BC"/>
    <w:rsid w:val="009B1205"/>
    <w:rsid w:val="009B2572"/>
    <w:rsid w:val="009B2B83"/>
    <w:rsid w:val="009B55FF"/>
    <w:rsid w:val="009C3C5E"/>
    <w:rsid w:val="009D2A29"/>
    <w:rsid w:val="009D30EC"/>
    <w:rsid w:val="009E30E1"/>
    <w:rsid w:val="009E4AFB"/>
    <w:rsid w:val="009E7DCD"/>
    <w:rsid w:val="009F23A3"/>
    <w:rsid w:val="009F6C60"/>
    <w:rsid w:val="009F7A6E"/>
    <w:rsid w:val="009F7E7F"/>
    <w:rsid w:val="00A03EEB"/>
    <w:rsid w:val="00A07AFD"/>
    <w:rsid w:val="00A11A41"/>
    <w:rsid w:val="00A12D19"/>
    <w:rsid w:val="00A137E7"/>
    <w:rsid w:val="00A13C2E"/>
    <w:rsid w:val="00A17B39"/>
    <w:rsid w:val="00A21356"/>
    <w:rsid w:val="00A241C7"/>
    <w:rsid w:val="00A24F8C"/>
    <w:rsid w:val="00A2578E"/>
    <w:rsid w:val="00A30347"/>
    <w:rsid w:val="00A316EC"/>
    <w:rsid w:val="00A319D9"/>
    <w:rsid w:val="00A40156"/>
    <w:rsid w:val="00A46787"/>
    <w:rsid w:val="00A470A5"/>
    <w:rsid w:val="00A537B9"/>
    <w:rsid w:val="00A57D97"/>
    <w:rsid w:val="00A63957"/>
    <w:rsid w:val="00A8028D"/>
    <w:rsid w:val="00A8066E"/>
    <w:rsid w:val="00A81603"/>
    <w:rsid w:val="00A8494F"/>
    <w:rsid w:val="00A87955"/>
    <w:rsid w:val="00A974C3"/>
    <w:rsid w:val="00A97EAF"/>
    <w:rsid w:val="00AA3711"/>
    <w:rsid w:val="00AA4FF6"/>
    <w:rsid w:val="00AB19F8"/>
    <w:rsid w:val="00AB45C1"/>
    <w:rsid w:val="00AB49A2"/>
    <w:rsid w:val="00AC0873"/>
    <w:rsid w:val="00AC0C2D"/>
    <w:rsid w:val="00AC57B0"/>
    <w:rsid w:val="00AC71D1"/>
    <w:rsid w:val="00AD00BD"/>
    <w:rsid w:val="00AD2370"/>
    <w:rsid w:val="00AD3A77"/>
    <w:rsid w:val="00AE72B1"/>
    <w:rsid w:val="00AF0DAE"/>
    <w:rsid w:val="00B05541"/>
    <w:rsid w:val="00B12DB5"/>
    <w:rsid w:val="00B14898"/>
    <w:rsid w:val="00B160C5"/>
    <w:rsid w:val="00B20370"/>
    <w:rsid w:val="00B2249D"/>
    <w:rsid w:val="00B22ABE"/>
    <w:rsid w:val="00B235F7"/>
    <w:rsid w:val="00B3191A"/>
    <w:rsid w:val="00B32F8A"/>
    <w:rsid w:val="00B42A91"/>
    <w:rsid w:val="00B47614"/>
    <w:rsid w:val="00B47BA0"/>
    <w:rsid w:val="00B50E75"/>
    <w:rsid w:val="00B52714"/>
    <w:rsid w:val="00B54943"/>
    <w:rsid w:val="00B67B25"/>
    <w:rsid w:val="00B70234"/>
    <w:rsid w:val="00B70589"/>
    <w:rsid w:val="00B70F07"/>
    <w:rsid w:val="00B718E8"/>
    <w:rsid w:val="00B73AD7"/>
    <w:rsid w:val="00B74763"/>
    <w:rsid w:val="00B74C49"/>
    <w:rsid w:val="00B81578"/>
    <w:rsid w:val="00B8278F"/>
    <w:rsid w:val="00B86240"/>
    <w:rsid w:val="00B86BA8"/>
    <w:rsid w:val="00B86E30"/>
    <w:rsid w:val="00B87C88"/>
    <w:rsid w:val="00B90F60"/>
    <w:rsid w:val="00B94AA8"/>
    <w:rsid w:val="00B94FF3"/>
    <w:rsid w:val="00BA1824"/>
    <w:rsid w:val="00BA2780"/>
    <w:rsid w:val="00BA5758"/>
    <w:rsid w:val="00BB0F80"/>
    <w:rsid w:val="00BB14F8"/>
    <w:rsid w:val="00BB3E2A"/>
    <w:rsid w:val="00BB535E"/>
    <w:rsid w:val="00BB7963"/>
    <w:rsid w:val="00BC02FB"/>
    <w:rsid w:val="00BC1469"/>
    <w:rsid w:val="00BC288C"/>
    <w:rsid w:val="00BC3F22"/>
    <w:rsid w:val="00BC71F8"/>
    <w:rsid w:val="00BD4772"/>
    <w:rsid w:val="00BD56E1"/>
    <w:rsid w:val="00BD57E5"/>
    <w:rsid w:val="00BD5DB1"/>
    <w:rsid w:val="00BD69A2"/>
    <w:rsid w:val="00BE0B54"/>
    <w:rsid w:val="00BE56FB"/>
    <w:rsid w:val="00BE6DF9"/>
    <w:rsid w:val="00BE79F2"/>
    <w:rsid w:val="00BF1302"/>
    <w:rsid w:val="00BF3657"/>
    <w:rsid w:val="00BF51F9"/>
    <w:rsid w:val="00BF6716"/>
    <w:rsid w:val="00BF6D84"/>
    <w:rsid w:val="00BF75CB"/>
    <w:rsid w:val="00C0371F"/>
    <w:rsid w:val="00C043EC"/>
    <w:rsid w:val="00C05386"/>
    <w:rsid w:val="00C104B0"/>
    <w:rsid w:val="00C1285B"/>
    <w:rsid w:val="00C13EF1"/>
    <w:rsid w:val="00C16EB5"/>
    <w:rsid w:val="00C20E65"/>
    <w:rsid w:val="00C21B60"/>
    <w:rsid w:val="00C26C90"/>
    <w:rsid w:val="00C2743E"/>
    <w:rsid w:val="00C3195D"/>
    <w:rsid w:val="00C31C81"/>
    <w:rsid w:val="00C31F80"/>
    <w:rsid w:val="00C34958"/>
    <w:rsid w:val="00C355E8"/>
    <w:rsid w:val="00C4051E"/>
    <w:rsid w:val="00C4325A"/>
    <w:rsid w:val="00C51D08"/>
    <w:rsid w:val="00C52C84"/>
    <w:rsid w:val="00C573A5"/>
    <w:rsid w:val="00C64409"/>
    <w:rsid w:val="00C65998"/>
    <w:rsid w:val="00C74C67"/>
    <w:rsid w:val="00C828A8"/>
    <w:rsid w:val="00C87396"/>
    <w:rsid w:val="00C95D36"/>
    <w:rsid w:val="00CA4525"/>
    <w:rsid w:val="00CB4550"/>
    <w:rsid w:val="00CD4267"/>
    <w:rsid w:val="00CE30AB"/>
    <w:rsid w:val="00CF2FA4"/>
    <w:rsid w:val="00CF3A2D"/>
    <w:rsid w:val="00CF49B2"/>
    <w:rsid w:val="00D04540"/>
    <w:rsid w:val="00D06A58"/>
    <w:rsid w:val="00D10A48"/>
    <w:rsid w:val="00D1200E"/>
    <w:rsid w:val="00D1360D"/>
    <w:rsid w:val="00D1576B"/>
    <w:rsid w:val="00D16002"/>
    <w:rsid w:val="00D22447"/>
    <w:rsid w:val="00D2290E"/>
    <w:rsid w:val="00D25C8B"/>
    <w:rsid w:val="00D25FE5"/>
    <w:rsid w:val="00D26F68"/>
    <w:rsid w:val="00D275E9"/>
    <w:rsid w:val="00D33605"/>
    <w:rsid w:val="00D35D2D"/>
    <w:rsid w:val="00D36B21"/>
    <w:rsid w:val="00D45130"/>
    <w:rsid w:val="00D45A36"/>
    <w:rsid w:val="00D45F78"/>
    <w:rsid w:val="00D47745"/>
    <w:rsid w:val="00D5032F"/>
    <w:rsid w:val="00D57D4A"/>
    <w:rsid w:val="00D627CA"/>
    <w:rsid w:val="00D64B0D"/>
    <w:rsid w:val="00D6614A"/>
    <w:rsid w:val="00D667EF"/>
    <w:rsid w:val="00D70D62"/>
    <w:rsid w:val="00D7261D"/>
    <w:rsid w:val="00D74692"/>
    <w:rsid w:val="00D75397"/>
    <w:rsid w:val="00D7602A"/>
    <w:rsid w:val="00D80A67"/>
    <w:rsid w:val="00D841A8"/>
    <w:rsid w:val="00D92E6F"/>
    <w:rsid w:val="00D93375"/>
    <w:rsid w:val="00DA3B46"/>
    <w:rsid w:val="00DA42F9"/>
    <w:rsid w:val="00DA7802"/>
    <w:rsid w:val="00DB7B8F"/>
    <w:rsid w:val="00DC2CB1"/>
    <w:rsid w:val="00DC4D13"/>
    <w:rsid w:val="00DC64D7"/>
    <w:rsid w:val="00DD54BD"/>
    <w:rsid w:val="00DD5FE3"/>
    <w:rsid w:val="00DE1F70"/>
    <w:rsid w:val="00DE4729"/>
    <w:rsid w:val="00DF04FD"/>
    <w:rsid w:val="00DF0659"/>
    <w:rsid w:val="00DF0BC8"/>
    <w:rsid w:val="00DF533B"/>
    <w:rsid w:val="00E001BB"/>
    <w:rsid w:val="00E0446C"/>
    <w:rsid w:val="00E060C5"/>
    <w:rsid w:val="00E0779B"/>
    <w:rsid w:val="00E11EB3"/>
    <w:rsid w:val="00E17533"/>
    <w:rsid w:val="00E2014C"/>
    <w:rsid w:val="00E23413"/>
    <w:rsid w:val="00E26F50"/>
    <w:rsid w:val="00E31BF0"/>
    <w:rsid w:val="00E36193"/>
    <w:rsid w:val="00E4458C"/>
    <w:rsid w:val="00E46907"/>
    <w:rsid w:val="00E7230C"/>
    <w:rsid w:val="00E74856"/>
    <w:rsid w:val="00E77472"/>
    <w:rsid w:val="00E81D71"/>
    <w:rsid w:val="00E92B2C"/>
    <w:rsid w:val="00EA04CD"/>
    <w:rsid w:val="00EA2A0F"/>
    <w:rsid w:val="00EA403D"/>
    <w:rsid w:val="00EA6F8D"/>
    <w:rsid w:val="00EA7762"/>
    <w:rsid w:val="00EB76E1"/>
    <w:rsid w:val="00EC075D"/>
    <w:rsid w:val="00EC5BB2"/>
    <w:rsid w:val="00ED00EB"/>
    <w:rsid w:val="00ED0988"/>
    <w:rsid w:val="00ED734C"/>
    <w:rsid w:val="00EE26FA"/>
    <w:rsid w:val="00EE6A19"/>
    <w:rsid w:val="00EF0664"/>
    <w:rsid w:val="00EF0F1A"/>
    <w:rsid w:val="00EF7078"/>
    <w:rsid w:val="00F054E3"/>
    <w:rsid w:val="00F07539"/>
    <w:rsid w:val="00F11964"/>
    <w:rsid w:val="00F15B23"/>
    <w:rsid w:val="00F16062"/>
    <w:rsid w:val="00F2143D"/>
    <w:rsid w:val="00F22D60"/>
    <w:rsid w:val="00F23803"/>
    <w:rsid w:val="00F328C9"/>
    <w:rsid w:val="00F334BA"/>
    <w:rsid w:val="00F36622"/>
    <w:rsid w:val="00F42911"/>
    <w:rsid w:val="00F43547"/>
    <w:rsid w:val="00F46AE9"/>
    <w:rsid w:val="00F5407D"/>
    <w:rsid w:val="00F5550A"/>
    <w:rsid w:val="00F70F52"/>
    <w:rsid w:val="00F72461"/>
    <w:rsid w:val="00F7307C"/>
    <w:rsid w:val="00F7354A"/>
    <w:rsid w:val="00F73C6A"/>
    <w:rsid w:val="00F741EF"/>
    <w:rsid w:val="00F7753F"/>
    <w:rsid w:val="00F84999"/>
    <w:rsid w:val="00F90F6B"/>
    <w:rsid w:val="00F91158"/>
    <w:rsid w:val="00FA745F"/>
    <w:rsid w:val="00FA75E7"/>
    <w:rsid w:val="00FB10EC"/>
    <w:rsid w:val="00FB1850"/>
    <w:rsid w:val="00FB54BB"/>
    <w:rsid w:val="00FB75AD"/>
    <w:rsid w:val="00FC02A4"/>
    <w:rsid w:val="00FC2F5B"/>
    <w:rsid w:val="00FC3876"/>
    <w:rsid w:val="00FC3FE4"/>
    <w:rsid w:val="00FC408D"/>
    <w:rsid w:val="00FC5117"/>
    <w:rsid w:val="00FC68DC"/>
    <w:rsid w:val="00FD25F5"/>
    <w:rsid w:val="00FD2A64"/>
    <w:rsid w:val="00FD47E0"/>
    <w:rsid w:val="00FD5038"/>
    <w:rsid w:val="00FD74CF"/>
    <w:rsid w:val="00FE48A7"/>
    <w:rsid w:val="00FF1F61"/>
    <w:rsid w:val="00FF30C4"/>
    <w:rsid w:val="00FF4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4">
    <w:name w:val="占位符文本1"/>
    <w:basedOn w:val="2"/>
    <w:semiHidden/>
    <w:qFormat/>
    <w:uiPriority w:val="99"/>
    <w:rPr>
      <w:color w:val="808080"/>
    </w:rPr>
  </w:style>
  <w:style w:type="paragraph" w:customStyle="1" w:styleId="5">
    <w:name w:val="C337678128134B22A10BFE8AEAEE4CC1"/>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zjmy</Company>
  <Pages>47</Pages>
  <Words>30404</Words>
  <Characters>31938</Characters>
  <Lines>378</Lines>
  <Paragraphs>106</Paragraphs>
  <TotalTime>15</TotalTime>
  <ScaleCrop>false</ScaleCrop>
  <LinksUpToDate>false</LinksUpToDate>
  <CharactersWithSpaces>32940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2024-05-15T11:14:00Z</dcterms:created>
  <dc:creator>yun</dc:creator>
  <cp:lastModifiedBy>腾</cp:lastModifiedBy>
  <cp:lastPrinted>2023-09-21T09:27:00Z</cp:lastPrinted>
  <dcterms:modified xsi:type="dcterms:W3CDTF">2024-10-08T09:17:08Z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A3F9027700EA4C50B5619972A2B78F1A</vt:lpwstr>
  </property>
</Properties>
</file>