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29"/>
        <w:gridCol w:w="722"/>
        <w:gridCol w:w="6959"/>
      </w:tblGrid>
      <w:tr w14:paraId="6F11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F7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A5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评分内容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20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分值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99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 w14:paraId="6679A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9C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7F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8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类似项目业绩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2A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8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8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DE80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2020年1月1日至今类似保安服务业绩进行打分，业绩须提供证明文件，证明文件以提供的合同文本为准，时间以合同签订时间为准，同一年度中同单一业主单位签订的不同保安服务合同为一个业绩。</w:t>
            </w:r>
          </w:p>
          <w:p w14:paraId="48E3E94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每提供1个有效业绩得1分，最高得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</w:tc>
      </w:tr>
      <w:tr w14:paraId="5FA29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3E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F5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项目负责人情况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CC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20C5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1.项目负责人具备国家职业资格保安员二级/技师（原保安师）及以上资格，得2分；保安员三级/高级工（原高级保安员）资格，得1分。本项按最高项计分，不重复计分。（需提供人社部颁发的资格证书扫描件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否则不得分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。）</w:t>
            </w:r>
          </w:p>
          <w:p w14:paraId="5471831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.项目负责人具备国家认可的中级及以上职称（人力资源管理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相关专业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），得2分。（需提供相关证明材料扫描件加盖公章，否则不得分。）</w:t>
            </w:r>
          </w:p>
          <w:p w14:paraId="0998E46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项目负责人具备三级及以上安全评价师资格，得2分。（需提供相关证明材料扫描件加盖公章，否则不得分。）</w:t>
            </w:r>
          </w:p>
          <w:p w14:paraId="24531ED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备注：</w:t>
            </w:r>
            <w:bookmarkStart w:id="0" w:name="_GoBack"/>
            <w:bookmarkEnd w:id="0"/>
          </w:p>
          <w:p w14:paraId="66F9848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须提供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在本单位2024年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月1日至投标截止时间为止任意一月的社保缴纳情况证明（个人参保证明以已到账为准、单位参保证明以养老保险参保为准）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否则不得分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。</w:t>
            </w:r>
          </w:p>
        </w:tc>
      </w:tr>
      <w:tr w14:paraId="74862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233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2B50D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拟投入的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人员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DB75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C26A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拟派管理团队保安人员相关综合能力情况进行打分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</w:p>
          <w:p w14:paraId="64A7403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项目组团队岗位人员综合业务能力扎实、熟练，能切实保障本项目要求的得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分；</w:t>
            </w:r>
          </w:p>
          <w:p w14:paraId="35F5B94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项目组团队岗位人员综合业务能力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比较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扎实、熟练，能保障本项目要求的得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分；</w:t>
            </w:r>
          </w:p>
          <w:p w14:paraId="660BDC7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项目组团队岗位人员综合业务能力基本符合本项目需求的得3分；</w:t>
            </w:r>
          </w:p>
          <w:p w14:paraId="5F7EC54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项目组团队岗位人员综合业务能力薄弱的得1分。</w:t>
            </w:r>
          </w:p>
          <w:p w14:paraId="3E59755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未体现相关内容不得分。</w:t>
            </w:r>
          </w:p>
        </w:tc>
      </w:tr>
      <w:tr w14:paraId="7C91D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FA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16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人员保障情况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08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5CA8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投标人为拟投入的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安保人员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已购买的商业保险（且在有效期内），保障人数大于或等于本次招标人数要求的，得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分；保障人数大于或等于本次招标要求人数50%及以上的，得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分；其余得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分。本项按最高项计分，不重复计分。需提供本单位投标保单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清晰扫描件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加盖公章。</w:t>
            </w:r>
          </w:p>
        </w:tc>
      </w:tr>
      <w:tr w14:paraId="0924E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7E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74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安保器材配备情况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B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87EC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保安设备、设施、交通工具设备投入齐全、先进，调配计划合理，保证措施具体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。</w:t>
            </w:r>
          </w:p>
          <w:p w14:paraId="70BA4BD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保安设备、设施、交通工具设备投入比较齐全、先进，调配计划比较合理，保证措施比较具体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。</w:t>
            </w:r>
          </w:p>
          <w:p w14:paraId="523FCEA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保安设备、设施、交通工具设备投入基本齐全、先进，调配计划基本合理，保证措施基本具体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。</w:t>
            </w:r>
          </w:p>
          <w:p w14:paraId="7CD290B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保安设备、设施、交通工具设备投入不齐全，调配计划不合理，保证措施不具体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。</w:t>
            </w:r>
          </w:p>
          <w:p w14:paraId="195D36D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未体现相关内容不得分。</w:t>
            </w:r>
          </w:p>
        </w:tc>
      </w:tr>
      <w:tr w14:paraId="245F6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4B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89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right="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8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针对本项目现状、保安服务的重点、难点及相应解决措施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9B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B6B0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对项目现状及保安服务的重点、难点认识全面深刻，论述完整清晰，解决措施科学、系统、可操作性强，保障措施得力，阐释清晰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0C09E5F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对项目现状及保安服务的重点、难点认识比较全面，论述比较完整清晰，解决措施比较科学、系统、可操作性较强，保障措施比较得力，阐释比较清晰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3DC45CC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对项目现状及保安服务的重点、难点认识基本全面，论述基本完整清晰，解决措施基本科学、系统、具有可操作性，保障措施基本齐全，阐释清晰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14A96FB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对项目现状及保安服务的重点、难点认识不本全面，论述不完整清晰，解决措施不科学、或可操作性不强，保障措施不齐全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2B0EA0D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未体现相关内容不得分。</w:t>
            </w:r>
          </w:p>
        </w:tc>
      </w:tr>
      <w:tr w14:paraId="42759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C3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22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right="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项目实施方案（包括质量、安全、服务等）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C7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9A50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实施方案内容全面、针对性强，方案设置合理科学，可操作性强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536BA16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实施方案比较内容全面、针对性较强，方案设置较合理科学，可操作性较强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0DD74A8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实施方案内容基本全面、具有一定的针对性，方案设置基本合理，具有一定的可操作性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1AC1389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实施方案内容不全面或不具有针对性，或方案设置不合理，或不具备可操作性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7AF8870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未体现相关内容不得分。</w:t>
            </w:r>
          </w:p>
        </w:tc>
      </w:tr>
      <w:tr w14:paraId="6F610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30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BD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right="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管理服务方案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3B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right="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CDDA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根据管理服务方案：组织机构设置（附组织机构图）、运作流程（附运作流程图）、服务管理机制（含激励机制、监督机制、自我约束机制和信息反馈渠道及处理机制等）等打分：</w:t>
            </w:r>
          </w:p>
          <w:p w14:paraId="613F3C1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管理服务方案内容全面、设置科学合理、高效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04B3674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管理服务方案内容较为全面、设置较科学合理、可操作性较强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0FB4A05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管理服务方案内容基本全面、设置基本合理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518691D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管理服务方案内容不全面、或设置不合理、或可操作性不强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50E2F4F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未体现相关内容不得分。</w:t>
            </w:r>
          </w:p>
        </w:tc>
      </w:tr>
      <w:tr w14:paraId="54482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63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1F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管理规章制度及措施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73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AEA1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根据投标人所提供的管理规章制度及措施（包括质量控制，人员管理，管理人员考核制度、奖励机制等）打分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0DA28AC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管理制度及措施科学合理，内容全面，考核内容详细、可行，奖罚措施具体，可操作性强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4F8B41F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管理制度及措施比较科学合理，内容比较全面，考核内容比价详细、可行，奖罚措施比较具体，可操作性比较强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737CFD0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管理制度及措施基本合理，内容基本全面，考核内容基本详细、可行，奖罚措施基本完整，具有一定可操作性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0E8DFD1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管理制度及措施不科学或不合理，内容不全面，考核内容不完整或不可行，奖罚措施不完整或不具有可操作性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5E9007E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未体现相关内容不得分。</w:t>
            </w:r>
          </w:p>
        </w:tc>
      </w:tr>
      <w:tr w14:paraId="72B8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28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B1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应急管理智能化建设能力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75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6B65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投标人具有国家版权局下发的应急突发情况处置应用软件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等相关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著作权，每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有一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项得2分，满分4分。</w:t>
            </w:r>
          </w:p>
          <w:p w14:paraId="3705602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备注：提供证书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原件扫描件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（加盖公章）</w:t>
            </w:r>
          </w:p>
        </w:tc>
      </w:tr>
      <w:tr w14:paraId="69AC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7A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9721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服务保障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及响应承诺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69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FB6E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根据投标人提供的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快捷便捷的服务和响应方案进行打分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</w:p>
          <w:p w14:paraId="60A91DB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服务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方案内容全面、高效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0F8B426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服务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方案内容较为全面、可操作性较强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6F444BF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服务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方案内容基本全面、基本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可行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4C187BE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服务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方案内容不全面、或可操作性不强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的得1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04AD9DA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未体现相关内容不得分。</w:t>
            </w:r>
          </w:p>
        </w:tc>
      </w:tr>
      <w:tr w14:paraId="28248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C8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left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2B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A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717B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提供增值服务承诺。根据投标人承诺提供的服务进行打分（0-2分）</w:t>
            </w:r>
          </w:p>
          <w:p w14:paraId="17572C7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注：承诺格式自拟，未提供承诺的不得分。</w:t>
            </w:r>
          </w:p>
        </w:tc>
      </w:tr>
    </w:tbl>
    <w:p w14:paraId="4336C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35E53"/>
    <w:rsid w:val="04497378"/>
    <w:rsid w:val="204021CB"/>
    <w:rsid w:val="44420AE8"/>
    <w:rsid w:val="6B090729"/>
    <w:rsid w:val="74BD44F9"/>
    <w:rsid w:val="7A4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customStyle="1" w:styleId="6">
    <w:name w:val="Table Paragraph"/>
    <w:basedOn w:val="1"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2144</Words>
  <Characters>2160</Characters>
  <Lines>0</Lines>
  <Paragraphs>0</Paragraphs>
  <TotalTime>11</TotalTime>
  <ScaleCrop>false</ScaleCrop>
  <LinksUpToDate>false</LinksUpToDate>
  <CharactersWithSpaces>2160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2025-01-10T04:45:00Z</dcterms:created>
  <dc:creator>Karen金凯伦</dc:creator>
  <cp:lastModifiedBy>Karen金凯伦</cp:lastModifiedBy>
  <dcterms:modified xsi:type="dcterms:W3CDTF">2025-01-10T06:33:40Z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87F559BB60F84AAC83A05FAC467872DB_11</vt:lpwstr>
  </property>
  <property fmtid="{D5CDD505-2E9C-101B-9397-08002B2CF9AE}" pid="4" name="KSOTemplateDocerSaveRecord">
    <vt:lpwstr>eyJoZGlkIjoiYTVkYTg4NDZmZjg3OTFlNTdiZDU0ODczYTI4MDkxMWQiLCJ1c2VySWQiOiIzMzgwMDY2MTcifQ==</vt:lpwstr>
  </property>
</Properties>
</file>