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91D74">
      <w:pPr>
        <w:spacing w:line="440" w:lineRule="exact"/>
        <w:ind w:firstLine="420"/>
        <w:jc w:val="center"/>
        <w:rPr>
          <w:rFonts w:hint="eastAsia" w:ascii="宋体" w:hAnsi="宋体" w:cs="宋体"/>
          <w:b/>
          <w:bCs/>
          <w:color w:val="auto"/>
          <w:sz w:val="72"/>
          <w:szCs w:val="72"/>
          <w:highlight w:val="none"/>
        </w:rPr>
      </w:pPr>
    </w:p>
    <w:p w14:paraId="78F16C78">
      <w:pPr>
        <w:spacing w:line="1000" w:lineRule="exact"/>
        <w:jc w:val="center"/>
        <w:rPr>
          <w:rFonts w:hint="eastAsia" w:ascii="宋体" w:hAnsi="宋体" w:cs="宋体"/>
          <w:b/>
          <w:bCs/>
          <w:color w:val="auto"/>
          <w:sz w:val="84"/>
          <w:szCs w:val="84"/>
          <w:highlight w:val="none"/>
        </w:rPr>
      </w:pPr>
      <w:r>
        <w:rPr>
          <w:rFonts w:hint="eastAsia" w:ascii="宋体" w:hAnsi="宋体" w:cs="宋体"/>
          <w:b/>
          <w:bCs/>
          <w:color w:val="auto"/>
          <w:sz w:val="84"/>
          <w:szCs w:val="84"/>
          <w:highlight w:val="none"/>
        </w:rPr>
        <w:t>温州市政府（分散）采购</w:t>
      </w:r>
    </w:p>
    <w:p w14:paraId="6835874B">
      <w:pPr>
        <w:ind w:firstLine="2357" w:firstLineChars="235"/>
        <w:rPr>
          <w:rFonts w:hint="eastAsia" w:ascii="宋体" w:hAnsi="宋体" w:cs="宋体"/>
          <w:b/>
          <w:color w:val="auto"/>
          <w:spacing w:val="140"/>
          <w:sz w:val="72"/>
          <w:highlight w:val="none"/>
        </w:rPr>
      </w:pPr>
    </w:p>
    <w:p w14:paraId="25947D81">
      <w:pPr>
        <w:ind w:firstLine="2357" w:firstLineChars="235"/>
        <w:rPr>
          <w:rFonts w:hint="eastAsia" w:ascii="宋体" w:hAnsi="宋体" w:cs="宋体"/>
          <w:b/>
          <w:color w:val="auto"/>
          <w:spacing w:val="140"/>
          <w:sz w:val="72"/>
          <w:highlight w:val="none"/>
        </w:rPr>
      </w:pPr>
    </w:p>
    <w:p w14:paraId="51850765">
      <w:pPr>
        <w:spacing w:line="360" w:lineRule="exact"/>
        <w:jc w:val="center"/>
        <w:rPr>
          <w:rFonts w:hint="eastAsia" w:ascii="宋体" w:hAnsi="宋体" w:cs="宋体"/>
          <w:b/>
          <w:color w:val="auto"/>
          <w:spacing w:val="140"/>
          <w:sz w:val="72"/>
          <w:highlight w:val="none"/>
        </w:rPr>
      </w:pPr>
    </w:p>
    <w:p w14:paraId="5FD12A49">
      <w:pPr>
        <w:spacing w:line="360" w:lineRule="exact"/>
        <w:jc w:val="center"/>
        <w:rPr>
          <w:rFonts w:hint="eastAsia" w:ascii="宋体" w:hAnsi="宋体" w:cs="宋体"/>
          <w:b/>
          <w:color w:val="auto"/>
          <w:spacing w:val="140"/>
          <w:sz w:val="72"/>
          <w:highlight w:val="none"/>
        </w:rPr>
      </w:pPr>
    </w:p>
    <w:p w14:paraId="4A7A1DCE">
      <w:pPr>
        <w:spacing w:after="120" w:line="900" w:lineRule="exact"/>
        <w:jc w:val="center"/>
        <w:rPr>
          <w:rFonts w:hint="eastAsia" w:ascii="宋体" w:hAnsi="宋体" w:cs="宋体"/>
          <w:b/>
          <w:color w:val="auto"/>
          <w:spacing w:val="140"/>
          <w:sz w:val="84"/>
          <w:szCs w:val="84"/>
          <w:highlight w:val="none"/>
        </w:rPr>
      </w:pPr>
      <w:r>
        <w:rPr>
          <w:rFonts w:hint="eastAsia" w:ascii="宋体" w:hAnsi="宋体" w:cs="宋体"/>
          <w:b/>
          <w:color w:val="auto"/>
          <w:spacing w:val="140"/>
          <w:sz w:val="84"/>
          <w:szCs w:val="84"/>
          <w:highlight w:val="none"/>
        </w:rPr>
        <w:t>招 标 文 件</w:t>
      </w:r>
    </w:p>
    <w:p w14:paraId="3C8D0D81">
      <w:pPr>
        <w:pStyle w:val="19"/>
        <w:spacing w:before="120"/>
        <w:jc w:val="center"/>
        <w:rPr>
          <w:rFonts w:hint="eastAsia" w:hAnsi="宋体" w:cs="宋体"/>
          <w:color w:val="auto"/>
          <w:sz w:val="52"/>
          <w:szCs w:val="52"/>
          <w:highlight w:val="none"/>
        </w:rPr>
      </w:pPr>
      <w:r>
        <w:rPr>
          <w:rFonts w:hint="eastAsia" w:hAnsi="宋体" w:cs="宋体"/>
          <w:b/>
          <w:color w:val="auto"/>
          <w:spacing w:val="140"/>
          <w:sz w:val="52"/>
          <w:szCs w:val="52"/>
          <w:highlight w:val="none"/>
        </w:rPr>
        <w:t>（线上电子招投标）</w:t>
      </w:r>
    </w:p>
    <w:p w14:paraId="645ED832">
      <w:pPr>
        <w:spacing w:line="400" w:lineRule="exact"/>
        <w:jc w:val="center"/>
        <w:rPr>
          <w:rFonts w:hint="eastAsia" w:ascii="宋体" w:hAnsi="宋体" w:cs="宋体"/>
          <w:b/>
          <w:color w:val="auto"/>
          <w:sz w:val="32"/>
          <w:highlight w:val="none"/>
        </w:rPr>
      </w:pPr>
    </w:p>
    <w:p w14:paraId="6CA8733E">
      <w:pPr>
        <w:spacing w:line="400" w:lineRule="exact"/>
        <w:jc w:val="center"/>
        <w:rPr>
          <w:rFonts w:hint="eastAsia" w:ascii="宋体" w:hAnsi="宋体" w:cs="宋体"/>
          <w:b/>
          <w:color w:val="auto"/>
          <w:sz w:val="32"/>
          <w:highlight w:val="none"/>
        </w:rPr>
      </w:pPr>
    </w:p>
    <w:p w14:paraId="75F7C7B5">
      <w:pPr>
        <w:rPr>
          <w:rFonts w:hint="eastAsia" w:ascii="宋体" w:hAnsi="宋体" w:cs="宋体"/>
          <w:b/>
          <w:color w:val="auto"/>
          <w:sz w:val="24"/>
          <w:highlight w:val="none"/>
        </w:rPr>
      </w:pPr>
    </w:p>
    <w:p w14:paraId="67E0698F">
      <w:pPr>
        <w:rPr>
          <w:rFonts w:hint="eastAsia" w:ascii="宋体" w:hAnsi="宋体" w:cs="宋体"/>
          <w:b/>
          <w:color w:val="auto"/>
          <w:sz w:val="24"/>
          <w:highlight w:val="none"/>
        </w:rPr>
      </w:pPr>
    </w:p>
    <w:p w14:paraId="7D243927">
      <w:pPr>
        <w:rPr>
          <w:rFonts w:hint="eastAsia" w:ascii="宋体" w:hAnsi="宋体" w:cs="宋体"/>
          <w:b/>
          <w:color w:val="auto"/>
          <w:sz w:val="24"/>
          <w:highlight w:val="none"/>
        </w:rPr>
      </w:pPr>
    </w:p>
    <w:p w14:paraId="3B3925E4">
      <w:pPr>
        <w:spacing w:line="600" w:lineRule="exact"/>
        <w:ind w:left="2312" w:leftChars="1101" w:firstLine="6"/>
        <w:rPr>
          <w:rFonts w:hint="eastAsia" w:ascii="宋体" w:hAnsi="宋体" w:eastAsia="宋体" w:cs="宋体"/>
          <w:color w:val="auto"/>
          <w:spacing w:val="30"/>
          <w:sz w:val="30"/>
          <w:highlight w:val="none"/>
          <w:lang w:eastAsia="zh-CN"/>
        </w:rPr>
      </w:pPr>
      <w:r>
        <w:rPr>
          <w:rFonts w:hint="eastAsia" w:ascii="宋体" w:hAnsi="宋体" w:cs="宋体"/>
          <w:color w:val="auto"/>
          <w:spacing w:val="30"/>
          <w:sz w:val="30"/>
          <w:highlight w:val="none"/>
        </w:rPr>
        <w:t>项 目 编 号：</w:t>
      </w:r>
      <w:r>
        <w:rPr>
          <w:rFonts w:hint="eastAsia" w:ascii="宋体" w:hAnsi="宋体" w:cs="宋体"/>
          <w:color w:val="auto"/>
          <w:spacing w:val="30"/>
          <w:sz w:val="30"/>
          <w:highlight w:val="none"/>
          <w:lang w:eastAsia="zh-CN"/>
        </w:rPr>
        <w:t>WZSLZB-YW-20241103</w:t>
      </w:r>
    </w:p>
    <w:p w14:paraId="705EB4B4">
      <w:pPr>
        <w:spacing w:line="600" w:lineRule="exact"/>
        <w:ind w:left="4836" w:leftChars="1103" w:right="817" w:rightChars="389" w:hanging="2520"/>
        <w:rPr>
          <w:rFonts w:hint="eastAsia" w:ascii="宋体" w:hAnsi="宋体" w:eastAsia="宋体" w:cs="宋体"/>
          <w:color w:val="auto"/>
          <w:spacing w:val="30"/>
          <w:sz w:val="30"/>
          <w:highlight w:val="none"/>
          <w:lang w:eastAsia="zh-CN"/>
        </w:rPr>
      </w:pPr>
      <w:r>
        <w:rPr>
          <w:rFonts w:hint="eastAsia" w:ascii="宋体" w:hAnsi="宋体" w:cs="宋体"/>
          <w:color w:val="auto"/>
          <w:spacing w:val="30"/>
          <w:sz w:val="30"/>
          <w:highlight w:val="none"/>
        </w:rPr>
        <w:t>项 目 名 称：</w:t>
      </w:r>
      <w:r>
        <w:rPr>
          <w:rFonts w:hint="eastAsia" w:ascii="宋体" w:hAnsi="宋体" w:cs="宋体"/>
          <w:color w:val="auto"/>
          <w:spacing w:val="30"/>
          <w:sz w:val="30"/>
          <w:highlight w:val="none"/>
          <w:lang w:eastAsia="zh-CN"/>
        </w:rPr>
        <w:t>2025年春节慰问物资</w:t>
      </w:r>
    </w:p>
    <w:p w14:paraId="0A474803">
      <w:pPr>
        <w:spacing w:line="600" w:lineRule="exact"/>
        <w:ind w:left="2312" w:leftChars="1101" w:firstLine="6"/>
        <w:rPr>
          <w:rFonts w:ascii="宋体" w:hAnsi="宋体" w:cs="宋体"/>
          <w:color w:val="auto"/>
          <w:spacing w:val="40"/>
          <w:sz w:val="30"/>
          <w:highlight w:val="none"/>
        </w:rPr>
      </w:pPr>
      <w:r>
        <w:rPr>
          <w:rFonts w:hint="eastAsia" w:ascii="宋体" w:hAnsi="宋体" w:cs="宋体"/>
          <w:color w:val="auto"/>
          <w:spacing w:val="30"/>
          <w:sz w:val="30"/>
          <w:highlight w:val="none"/>
        </w:rPr>
        <w:t>采 购 方 式：公开招标</w:t>
      </w:r>
    </w:p>
    <w:p w14:paraId="2499B098">
      <w:pPr>
        <w:spacing w:line="600" w:lineRule="exact"/>
        <w:ind w:firstLine="1140" w:firstLineChars="300"/>
        <w:rPr>
          <w:rFonts w:hint="eastAsia" w:ascii="宋体" w:hAnsi="宋体" w:cs="宋体"/>
          <w:color w:val="auto"/>
          <w:spacing w:val="40"/>
          <w:sz w:val="30"/>
          <w:highlight w:val="none"/>
        </w:rPr>
      </w:pPr>
    </w:p>
    <w:p w14:paraId="7FD4454F">
      <w:pPr>
        <w:spacing w:line="600" w:lineRule="exact"/>
        <w:rPr>
          <w:rFonts w:hint="eastAsia" w:ascii="宋体" w:hAnsi="宋体" w:cs="宋体"/>
          <w:color w:val="auto"/>
          <w:spacing w:val="40"/>
          <w:sz w:val="30"/>
          <w:highlight w:val="none"/>
        </w:rPr>
      </w:pPr>
    </w:p>
    <w:p w14:paraId="33BB4A0D">
      <w:pPr>
        <w:spacing w:line="600" w:lineRule="exact"/>
        <w:rPr>
          <w:rFonts w:hint="eastAsia" w:ascii="宋体" w:hAnsi="宋体" w:cs="宋体"/>
          <w:color w:val="auto"/>
          <w:spacing w:val="40"/>
          <w:sz w:val="30"/>
          <w:highlight w:val="none"/>
        </w:rPr>
      </w:pPr>
    </w:p>
    <w:p w14:paraId="120AA3D6">
      <w:pPr>
        <w:spacing w:line="600" w:lineRule="exact"/>
        <w:jc w:val="center"/>
        <w:rPr>
          <w:rFonts w:hint="eastAsia" w:ascii="宋体" w:hAnsi="宋体" w:eastAsia="宋体" w:cs="宋体"/>
          <w:b/>
          <w:color w:val="auto"/>
          <w:kern w:val="11"/>
          <w:sz w:val="30"/>
          <w:highlight w:val="none"/>
          <w:lang w:eastAsia="zh-CN"/>
        </w:rPr>
      </w:pPr>
      <w:r>
        <w:rPr>
          <w:rFonts w:hint="eastAsia" w:ascii="宋体" w:hAnsi="宋体" w:cs="宋体"/>
          <w:b/>
          <w:color w:val="auto"/>
          <w:kern w:val="11"/>
          <w:sz w:val="30"/>
          <w:highlight w:val="none"/>
        </w:rPr>
        <w:t>采购人：</w:t>
      </w:r>
      <w:r>
        <w:rPr>
          <w:rFonts w:hint="eastAsia" w:ascii="宋体" w:hAnsi="宋体" w:cs="宋体"/>
          <w:b/>
          <w:color w:val="auto"/>
          <w:kern w:val="11"/>
          <w:sz w:val="30"/>
          <w:highlight w:val="none"/>
          <w:lang w:eastAsia="zh-CN"/>
        </w:rPr>
        <w:t>温州市退役军人事务局</w:t>
      </w:r>
    </w:p>
    <w:p w14:paraId="7CA03005">
      <w:pPr>
        <w:spacing w:line="600" w:lineRule="exact"/>
        <w:jc w:val="center"/>
        <w:rPr>
          <w:rFonts w:hint="eastAsia" w:ascii="宋体" w:hAnsi="宋体" w:cs="宋体"/>
          <w:b/>
          <w:color w:val="auto"/>
          <w:kern w:val="11"/>
          <w:sz w:val="30"/>
          <w:highlight w:val="none"/>
        </w:rPr>
      </w:pPr>
      <w:r>
        <w:rPr>
          <w:rFonts w:hint="eastAsia" w:ascii="宋体" w:hAnsi="宋体" w:cs="宋体"/>
          <w:b/>
          <w:color w:val="auto"/>
          <w:kern w:val="11"/>
          <w:sz w:val="30"/>
          <w:highlight w:val="none"/>
        </w:rPr>
        <w:t>采购代理机构：温州市圣励招标代理有限公司</w:t>
      </w:r>
    </w:p>
    <w:p w14:paraId="478B8BF0">
      <w:pPr>
        <w:rPr>
          <w:rFonts w:hint="eastAsia" w:ascii="宋体" w:hAnsi="宋体" w:cs="宋体"/>
          <w:b/>
          <w:color w:val="auto"/>
          <w:spacing w:val="40"/>
          <w:sz w:val="28"/>
          <w:highlight w:val="none"/>
        </w:rPr>
      </w:pPr>
    </w:p>
    <w:p w14:paraId="4D9276D7">
      <w:pPr>
        <w:ind w:firstLine="3611" w:firstLineChars="1000"/>
        <w:rPr>
          <w:rFonts w:hint="eastAsia" w:ascii="宋体" w:hAnsi="宋体" w:cs="宋体"/>
          <w:color w:val="auto"/>
          <w:spacing w:val="40"/>
          <w:sz w:val="28"/>
          <w:highlight w:val="none"/>
        </w:rPr>
      </w:pPr>
      <w:r>
        <w:rPr>
          <w:rFonts w:hint="eastAsia" w:ascii="宋体" w:hAnsi="宋体" w:cs="宋体"/>
          <w:b/>
          <w:color w:val="auto"/>
          <w:spacing w:val="40"/>
          <w:sz w:val="28"/>
          <w:highlight w:val="none"/>
        </w:rPr>
        <w:t>二〇二四年十</w:t>
      </w:r>
      <w:r>
        <w:rPr>
          <w:rFonts w:hint="eastAsia" w:ascii="宋体" w:hAnsi="宋体" w:cs="宋体"/>
          <w:b/>
          <w:color w:val="auto"/>
          <w:spacing w:val="40"/>
          <w:sz w:val="28"/>
          <w:highlight w:val="none"/>
          <w:lang w:val="en-US" w:eastAsia="zh-CN"/>
        </w:rPr>
        <w:t>一</w:t>
      </w:r>
      <w:r>
        <w:rPr>
          <w:rFonts w:hint="eastAsia" w:ascii="宋体" w:hAnsi="宋体" w:cs="宋体"/>
          <w:b/>
          <w:color w:val="auto"/>
          <w:spacing w:val="40"/>
          <w:sz w:val="28"/>
          <w:highlight w:val="none"/>
        </w:rPr>
        <w:t>月</w:t>
      </w:r>
    </w:p>
    <w:p w14:paraId="2E6B8F04">
      <w:pPr>
        <w:spacing w:line="600" w:lineRule="exact"/>
        <w:jc w:val="center"/>
        <w:rPr>
          <w:rFonts w:hint="eastAsia" w:ascii="宋体" w:hAnsi="宋体" w:cs="宋体"/>
          <w:color w:val="auto"/>
          <w:sz w:val="36"/>
          <w:szCs w:val="36"/>
          <w:highlight w:val="none"/>
        </w:rPr>
        <w:sectPr>
          <w:headerReference r:id="rId4" w:type="first"/>
          <w:footerReference r:id="rId6" w:type="first"/>
          <w:headerReference r:id="rId3" w:type="default"/>
          <w:footerReference r:id="rId5" w:type="default"/>
          <w:pgSz w:w="11906" w:h="16838"/>
          <w:pgMar w:top="1134" w:right="1134" w:bottom="1134" w:left="1134" w:header="851" w:footer="992" w:gutter="0"/>
          <w:pgNumType w:start="1"/>
          <w:cols w:space="720" w:num="1"/>
          <w:titlePg/>
          <w:docGrid w:linePitch="312" w:charSpace="0"/>
        </w:sectPr>
      </w:pPr>
    </w:p>
    <w:p w14:paraId="6C63F2C9">
      <w:pPr>
        <w:spacing w:line="600" w:lineRule="exact"/>
        <w:jc w:val="center"/>
        <w:outlineLvl w:val="0"/>
        <w:rPr>
          <w:rFonts w:hint="eastAsia" w:ascii="宋体" w:hAnsi="宋体" w:cs="宋体"/>
          <w:color w:val="auto"/>
          <w:highlight w:val="none"/>
        </w:rPr>
      </w:pPr>
      <w:r>
        <w:rPr>
          <w:rFonts w:hint="eastAsia" w:ascii="宋体" w:hAnsi="宋体" w:cs="宋体"/>
          <w:color w:val="auto"/>
          <w:sz w:val="36"/>
          <w:szCs w:val="36"/>
          <w:highlight w:val="none"/>
        </w:rPr>
        <w:t>目   录</w:t>
      </w:r>
    </w:p>
    <w:p w14:paraId="61DE5A6D">
      <w:pPr>
        <w:pStyle w:val="26"/>
        <w:tabs>
          <w:tab w:val="right" w:leader="dot" w:pos="9638"/>
        </w:tabs>
        <w:spacing w:line="460" w:lineRule="exact"/>
        <w:rPr>
          <w:rFonts w:hint="eastAsia" w:ascii="宋体" w:hAnsi="宋体" w:cs="宋体"/>
          <w:b w:val="0"/>
          <w:color w:val="auto"/>
          <w:sz w:val="22"/>
          <w:szCs w:val="22"/>
          <w:highlight w:val="none"/>
        </w:rPr>
      </w:pPr>
      <w:r>
        <w:rPr>
          <w:rFonts w:hint="eastAsia" w:ascii="宋体" w:hAnsi="宋体" w:cs="宋体"/>
          <w:b w:val="0"/>
          <w:bCs w:val="0"/>
          <w:smallCaps/>
          <w:color w:val="auto"/>
          <w:spacing w:val="40"/>
          <w:sz w:val="22"/>
          <w:szCs w:val="22"/>
          <w:highlight w:val="none"/>
        </w:rPr>
        <w:fldChar w:fldCharType="begin"/>
      </w:r>
      <w:r>
        <w:rPr>
          <w:rFonts w:hint="eastAsia" w:ascii="宋体" w:hAnsi="宋体" w:cs="宋体"/>
          <w:b w:val="0"/>
          <w:bCs w:val="0"/>
          <w:smallCaps/>
          <w:color w:val="auto"/>
          <w:spacing w:val="40"/>
          <w:sz w:val="22"/>
          <w:szCs w:val="22"/>
          <w:highlight w:val="none"/>
        </w:rPr>
        <w:instrText xml:space="preserve"> TOC \o "1-3" \h \z \u </w:instrText>
      </w:r>
      <w:r>
        <w:rPr>
          <w:rFonts w:hint="eastAsia" w:ascii="宋体" w:hAnsi="宋体" w:cs="宋体"/>
          <w:b w:val="0"/>
          <w:bCs w:val="0"/>
          <w:smallCaps/>
          <w:color w:val="auto"/>
          <w:spacing w:val="40"/>
          <w:sz w:val="22"/>
          <w:szCs w:val="22"/>
          <w:highlight w:val="none"/>
        </w:rPr>
        <w:fldChar w:fldCharType="separate"/>
      </w:r>
      <w:r>
        <w:rPr>
          <w:rFonts w:hint="eastAsia" w:ascii="宋体" w:hAnsi="宋体" w:cs="宋体"/>
          <w:b w:val="0"/>
          <w:smallCaps/>
          <w:color w:val="auto"/>
          <w:spacing w:val="40"/>
          <w:sz w:val="22"/>
          <w:szCs w:val="22"/>
          <w:highlight w:val="none"/>
        </w:rPr>
        <w:fldChar w:fldCharType="begin"/>
      </w:r>
      <w:r>
        <w:rPr>
          <w:rFonts w:hint="eastAsia" w:ascii="宋体" w:hAnsi="宋体" w:cs="宋体"/>
          <w:b w:val="0"/>
          <w:smallCaps/>
          <w:color w:val="auto"/>
          <w:spacing w:val="40"/>
          <w:sz w:val="22"/>
          <w:szCs w:val="22"/>
          <w:highlight w:val="none"/>
        </w:rPr>
        <w:instrText xml:space="preserve"> HYPERLINK \l _Toc15977 </w:instrText>
      </w:r>
      <w:r>
        <w:rPr>
          <w:rFonts w:hint="eastAsia" w:ascii="宋体" w:hAnsi="宋体" w:cs="宋体"/>
          <w:b w:val="0"/>
          <w:smallCaps/>
          <w:color w:val="auto"/>
          <w:spacing w:val="40"/>
          <w:sz w:val="22"/>
          <w:szCs w:val="22"/>
          <w:highlight w:val="none"/>
        </w:rPr>
        <w:fldChar w:fldCharType="separate"/>
      </w:r>
      <w:r>
        <w:rPr>
          <w:rFonts w:hint="eastAsia" w:ascii="宋体" w:hAnsi="宋体" w:cs="宋体"/>
          <w:b w:val="0"/>
          <w:color w:val="auto"/>
          <w:sz w:val="22"/>
          <w:szCs w:val="22"/>
          <w:highlight w:val="none"/>
        </w:rPr>
        <w:t>第一部分   公开招标公告</w:t>
      </w:r>
      <w:r>
        <w:rPr>
          <w:rFonts w:hint="eastAsia" w:ascii="宋体" w:hAnsi="宋体" w:cs="宋体"/>
          <w:b w:val="0"/>
          <w:color w:val="auto"/>
          <w:sz w:val="22"/>
          <w:szCs w:val="22"/>
          <w:highlight w:val="none"/>
        </w:rPr>
        <w:tab/>
      </w:r>
      <w:r>
        <w:rPr>
          <w:rFonts w:hint="eastAsia" w:ascii="宋体" w:hAnsi="宋体" w:cs="宋体"/>
          <w:b w:val="0"/>
          <w:color w:val="auto"/>
          <w:sz w:val="22"/>
          <w:szCs w:val="22"/>
          <w:highlight w:val="none"/>
        </w:rPr>
        <w:fldChar w:fldCharType="begin"/>
      </w:r>
      <w:r>
        <w:rPr>
          <w:rFonts w:hint="eastAsia" w:ascii="宋体" w:hAnsi="宋体" w:cs="宋体"/>
          <w:b w:val="0"/>
          <w:color w:val="auto"/>
          <w:sz w:val="22"/>
          <w:szCs w:val="22"/>
          <w:highlight w:val="none"/>
        </w:rPr>
        <w:instrText xml:space="preserve"> PAGEREF _Toc15977 \h </w:instrText>
      </w:r>
      <w:r>
        <w:rPr>
          <w:rFonts w:hint="eastAsia" w:ascii="宋体" w:hAnsi="宋体" w:cs="宋体"/>
          <w:b w:val="0"/>
          <w:color w:val="auto"/>
          <w:sz w:val="22"/>
          <w:szCs w:val="22"/>
          <w:highlight w:val="none"/>
        </w:rPr>
        <w:fldChar w:fldCharType="separate"/>
      </w:r>
      <w:r>
        <w:rPr>
          <w:rFonts w:hint="eastAsia" w:ascii="宋体" w:hAnsi="宋体" w:cs="宋体"/>
          <w:b w:val="0"/>
          <w:color w:val="auto"/>
          <w:sz w:val="22"/>
          <w:szCs w:val="22"/>
          <w:highlight w:val="none"/>
        </w:rPr>
        <w:t>1</w:t>
      </w:r>
      <w:r>
        <w:rPr>
          <w:rFonts w:hint="eastAsia" w:ascii="宋体" w:hAnsi="宋体" w:cs="宋体"/>
          <w:b w:val="0"/>
          <w:color w:val="auto"/>
          <w:sz w:val="22"/>
          <w:szCs w:val="22"/>
          <w:highlight w:val="none"/>
        </w:rPr>
        <w:fldChar w:fldCharType="end"/>
      </w:r>
      <w:r>
        <w:rPr>
          <w:rFonts w:hint="eastAsia" w:ascii="宋体" w:hAnsi="宋体" w:cs="宋体"/>
          <w:b w:val="0"/>
          <w:smallCaps/>
          <w:color w:val="auto"/>
          <w:spacing w:val="40"/>
          <w:sz w:val="22"/>
          <w:szCs w:val="22"/>
          <w:highlight w:val="none"/>
        </w:rPr>
        <w:fldChar w:fldCharType="end"/>
      </w:r>
    </w:p>
    <w:p w14:paraId="40398F1E">
      <w:pPr>
        <w:pStyle w:val="26"/>
        <w:tabs>
          <w:tab w:val="right" w:leader="dot" w:pos="9638"/>
        </w:tabs>
        <w:spacing w:line="460" w:lineRule="exact"/>
        <w:rPr>
          <w:rFonts w:hint="eastAsia" w:ascii="宋体" w:hAnsi="宋体" w:cs="宋体"/>
          <w:b w:val="0"/>
          <w:color w:val="auto"/>
          <w:sz w:val="22"/>
          <w:szCs w:val="22"/>
          <w:highlight w:val="none"/>
        </w:rPr>
      </w:pPr>
      <w:r>
        <w:rPr>
          <w:rFonts w:hint="eastAsia" w:ascii="宋体" w:hAnsi="宋体" w:cs="宋体"/>
          <w:b w:val="0"/>
          <w:smallCaps/>
          <w:color w:val="auto"/>
          <w:spacing w:val="40"/>
          <w:sz w:val="22"/>
          <w:szCs w:val="22"/>
          <w:highlight w:val="none"/>
        </w:rPr>
        <w:fldChar w:fldCharType="begin"/>
      </w:r>
      <w:r>
        <w:rPr>
          <w:rFonts w:hint="eastAsia" w:ascii="宋体" w:hAnsi="宋体" w:cs="宋体"/>
          <w:b w:val="0"/>
          <w:smallCaps/>
          <w:color w:val="auto"/>
          <w:spacing w:val="40"/>
          <w:sz w:val="22"/>
          <w:szCs w:val="22"/>
          <w:highlight w:val="none"/>
        </w:rPr>
        <w:instrText xml:space="preserve"> HYPERLINK \l _Toc24683 </w:instrText>
      </w:r>
      <w:r>
        <w:rPr>
          <w:rFonts w:hint="eastAsia" w:ascii="宋体" w:hAnsi="宋体" w:cs="宋体"/>
          <w:b w:val="0"/>
          <w:smallCaps/>
          <w:color w:val="auto"/>
          <w:spacing w:val="40"/>
          <w:sz w:val="22"/>
          <w:szCs w:val="22"/>
          <w:highlight w:val="none"/>
        </w:rPr>
        <w:fldChar w:fldCharType="separate"/>
      </w:r>
      <w:r>
        <w:rPr>
          <w:rFonts w:hint="eastAsia" w:ascii="宋体" w:hAnsi="宋体" w:cs="宋体"/>
          <w:b w:val="0"/>
          <w:color w:val="auto"/>
          <w:sz w:val="22"/>
          <w:szCs w:val="22"/>
          <w:highlight w:val="none"/>
        </w:rPr>
        <w:t>第二部分   投标人须知</w:t>
      </w:r>
      <w:r>
        <w:rPr>
          <w:rFonts w:hint="eastAsia" w:ascii="宋体" w:hAnsi="宋体" w:cs="宋体"/>
          <w:b w:val="0"/>
          <w:color w:val="auto"/>
          <w:sz w:val="22"/>
          <w:szCs w:val="22"/>
          <w:highlight w:val="none"/>
        </w:rPr>
        <w:tab/>
      </w:r>
      <w:r>
        <w:rPr>
          <w:rFonts w:hint="eastAsia" w:ascii="宋体" w:hAnsi="宋体" w:cs="宋体"/>
          <w:b w:val="0"/>
          <w:color w:val="auto"/>
          <w:sz w:val="22"/>
          <w:szCs w:val="22"/>
          <w:highlight w:val="none"/>
        </w:rPr>
        <w:fldChar w:fldCharType="begin"/>
      </w:r>
      <w:r>
        <w:rPr>
          <w:rFonts w:hint="eastAsia" w:ascii="宋体" w:hAnsi="宋体" w:cs="宋体"/>
          <w:b w:val="0"/>
          <w:color w:val="auto"/>
          <w:sz w:val="22"/>
          <w:szCs w:val="22"/>
          <w:highlight w:val="none"/>
        </w:rPr>
        <w:instrText xml:space="preserve"> PAGEREF _Toc24683 \h </w:instrText>
      </w:r>
      <w:r>
        <w:rPr>
          <w:rFonts w:hint="eastAsia" w:ascii="宋体" w:hAnsi="宋体" w:cs="宋体"/>
          <w:b w:val="0"/>
          <w:color w:val="auto"/>
          <w:sz w:val="22"/>
          <w:szCs w:val="22"/>
          <w:highlight w:val="none"/>
        </w:rPr>
        <w:fldChar w:fldCharType="separate"/>
      </w:r>
      <w:r>
        <w:rPr>
          <w:rFonts w:hint="eastAsia" w:ascii="宋体" w:hAnsi="宋体" w:cs="宋体"/>
          <w:b w:val="0"/>
          <w:color w:val="auto"/>
          <w:sz w:val="22"/>
          <w:szCs w:val="22"/>
          <w:highlight w:val="none"/>
        </w:rPr>
        <w:t>4</w:t>
      </w:r>
      <w:r>
        <w:rPr>
          <w:rFonts w:hint="eastAsia" w:ascii="宋体" w:hAnsi="宋体" w:cs="宋体"/>
          <w:b w:val="0"/>
          <w:color w:val="auto"/>
          <w:sz w:val="22"/>
          <w:szCs w:val="22"/>
          <w:highlight w:val="none"/>
        </w:rPr>
        <w:fldChar w:fldCharType="end"/>
      </w:r>
      <w:r>
        <w:rPr>
          <w:rFonts w:hint="eastAsia" w:ascii="宋体" w:hAnsi="宋体" w:cs="宋体"/>
          <w:b w:val="0"/>
          <w:smallCaps/>
          <w:color w:val="auto"/>
          <w:spacing w:val="40"/>
          <w:sz w:val="22"/>
          <w:szCs w:val="22"/>
          <w:highlight w:val="none"/>
        </w:rPr>
        <w:fldChar w:fldCharType="end"/>
      </w:r>
    </w:p>
    <w:p w14:paraId="3ED9CD21">
      <w:pPr>
        <w:pStyle w:val="32"/>
        <w:tabs>
          <w:tab w:val="right" w:leader="dot" w:pos="9638"/>
        </w:tabs>
        <w:spacing w:line="460" w:lineRule="exact"/>
        <w:ind w:firstLine="1200" w:firstLineChars="400"/>
        <w:rPr>
          <w:rFonts w:hint="eastAsia" w:ascii="宋体" w:hAnsi="宋体" w:cs="宋体"/>
          <w:color w:val="auto"/>
          <w:sz w:val="22"/>
          <w:szCs w:val="22"/>
          <w:highlight w:val="none"/>
        </w:rPr>
      </w:pPr>
      <w:r>
        <w:rPr>
          <w:rFonts w:hint="eastAsia" w:ascii="宋体" w:hAnsi="宋体" w:cs="宋体"/>
          <w:smallCaps w:val="0"/>
          <w:color w:val="auto"/>
          <w:spacing w:val="40"/>
          <w:sz w:val="22"/>
          <w:szCs w:val="22"/>
          <w:highlight w:val="none"/>
        </w:rPr>
        <w:fldChar w:fldCharType="begin"/>
      </w:r>
      <w:r>
        <w:rPr>
          <w:rFonts w:hint="eastAsia" w:ascii="宋体" w:hAnsi="宋体" w:cs="宋体"/>
          <w:smallCaps w:val="0"/>
          <w:color w:val="auto"/>
          <w:spacing w:val="40"/>
          <w:sz w:val="22"/>
          <w:szCs w:val="22"/>
          <w:highlight w:val="none"/>
        </w:rPr>
        <w:instrText xml:space="preserve"> HYPERLINK \l _Toc12338 </w:instrText>
      </w:r>
      <w:r>
        <w:rPr>
          <w:rFonts w:hint="eastAsia" w:ascii="宋体" w:hAnsi="宋体" w:cs="宋体"/>
          <w:smallCaps w:val="0"/>
          <w:color w:val="auto"/>
          <w:spacing w:val="40"/>
          <w:sz w:val="22"/>
          <w:szCs w:val="22"/>
          <w:highlight w:val="none"/>
        </w:rPr>
        <w:fldChar w:fldCharType="separate"/>
      </w:r>
      <w:r>
        <w:rPr>
          <w:rFonts w:hint="eastAsia" w:ascii="宋体" w:hAnsi="宋体" w:cs="宋体"/>
          <w:color w:val="auto"/>
          <w:sz w:val="22"/>
          <w:szCs w:val="22"/>
          <w:highlight w:val="none"/>
        </w:rPr>
        <w:t>投标人须知前附表</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_Toc12338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4</w:t>
      </w:r>
      <w:r>
        <w:rPr>
          <w:rFonts w:hint="eastAsia" w:ascii="宋体" w:hAnsi="宋体" w:cs="宋体"/>
          <w:color w:val="auto"/>
          <w:sz w:val="22"/>
          <w:szCs w:val="22"/>
          <w:highlight w:val="none"/>
        </w:rPr>
        <w:fldChar w:fldCharType="end"/>
      </w:r>
      <w:r>
        <w:rPr>
          <w:rFonts w:hint="eastAsia" w:ascii="宋体" w:hAnsi="宋体" w:cs="宋体"/>
          <w:smallCaps w:val="0"/>
          <w:color w:val="auto"/>
          <w:spacing w:val="40"/>
          <w:sz w:val="22"/>
          <w:szCs w:val="22"/>
          <w:highlight w:val="none"/>
        </w:rPr>
        <w:fldChar w:fldCharType="end"/>
      </w:r>
    </w:p>
    <w:p w14:paraId="3B383D7C">
      <w:pPr>
        <w:pStyle w:val="32"/>
        <w:tabs>
          <w:tab w:val="right" w:leader="dot" w:pos="9638"/>
        </w:tabs>
        <w:spacing w:line="460" w:lineRule="exact"/>
        <w:ind w:firstLine="1200" w:firstLineChars="400"/>
        <w:rPr>
          <w:rFonts w:hint="eastAsia" w:ascii="宋体" w:hAnsi="宋体" w:cs="宋体"/>
          <w:color w:val="auto"/>
          <w:sz w:val="22"/>
          <w:szCs w:val="22"/>
          <w:highlight w:val="none"/>
        </w:rPr>
      </w:pPr>
      <w:r>
        <w:rPr>
          <w:rFonts w:hint="eastAsia" w:ascii="宋体" w:hAnsi="宋体" w:cs="宋体"/>
          <w:smallCaps w:val="0"/>
          <w:color w:val="auto"/>
          <w:spacing w:val="40"/>
          <w:sz w:val="22"/>
          <w:szCs w:val="22"/>
          <w:highlight w:val="none"/>
        </w:rPr>
        <w:fldChar w:fldCharType="begin"/>
      </w:r>
      <w:r>
        <w:rPr>
          <w:rFonts w:hint="eastAsia" w:ascii="宋体" w:hAnsi="宋体" w:cs="宋体"/>
          <w:smallCaps w:val="0"/>
          <w:color w:val="auto"/>
          <w:spacing w:val="40"/>
          <w:sz w:val="22"/>
          <w:szCs w:val="22"/>
          <w:highlight w:val="none"/>
        </w:rPr>
        <w:instrText xml:space="preserve"> HYPERLINK \l _Toc29734 </w:instrText>
      </w:r>
      <w:r>
        <w:rPr>
          <w:rFonts w:hint="eastAsia" w:ascii="宋体" w:hAnsi="宋体" w:cs="宋体"/>
          <w:smallCaps w:val="0"/>
          <w:color w:val="auto"/>
          <w:spacing w:val="40"/>
          <w:sz w:val="22"/>
          <w:szCs w:val="22"/>
          <w:highlight w:val="none"/>
        </w:rPr>
        <w:fldChar w:fldCharType="separate"/>
      </w:r>
      <w:r>
        <w:rPr>
          <w:rFonts w:hint="eastAsia" w:ascii="宋体" w:hAnsi="宋体" w:cs="宋体"/>
          <w:bCs/>
          <w:color w:val="auto"/>
          <w:sz w:val="22"/>
          <w:szCs w:val="22"/>
          <w:highlight w:val="none"/>
        </w:rPr>
        <w:t>一、说    明</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_Toc29734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8</w:t>
      </w:r>
      <w:r>
        <w:rPr>
          <w:rFonts w:hint="eastAsia" w:ascii="宋体" w:hAnsi="宋体" w:cs="宋体"/>
          <w:color w:val="auto"/>
          <w:sz w:val="22"/>
          <w:szCs w:val="22"/>
          <w:highlight w:val="none"/>
        </w:rPr>
        <w:fldChar w:fldCharType="end"/>
      </w:r>
      <w:r>
        <w:rPr>
          <w:rFonts w:hint="eastAsia" w:ascii="宋体" w:hAnsi="宋体" w:cs="宋体"/>
          <w:smallCaps w:val="0"/>
          <w:color w:val="auto"/>
          <w:spacing w:val="40"/>
          <w:sz w:val="22"/>
          <w:szCs w:val="22"/>
          <w:highlight w:val="none"/>
        </w:rPr>
        <w:fldChar w:fldCharType="end"/>
      </w:r>
    </w:p>
    <w:p w14:paraId="282DF7A3">
      <w:pPr>
        <w:pStyle w:val="32"/>
        <w:tabs>
          <w:tab w:val="right" w:leader="dot" w:pos="9638"/>
        </w:tabs>
        <w:spacing w:line="460" w:lineRule="exact"/>
        <w:ind w:firstLine="1200" w:firstLineChars="400"/>
        <w:rPr>
          <w:rFonts w:hint="eastAsia" w:ascii="宋体" w:hAnsi="宋体" w:cs="宋体"/>
          <w:color w:val="auto"/>
          <w:sz w:val="22"/>
          <w:szCs w:val="22"/>
          <w:highlight w:val="none"/>
        </w:rPr>
      </w:pPr>
      <w:r>
        <w:rPr>
          <w:rFonts w:hint="eastAsia" w:ascii="宋体" w:hAnsi="宋体" w:cs="宋体"/>
          <w:smallCaps w:val="0"/>
          <w:color w:val="auto"/>
          <w:spacing w:val="40"/>
          <w:sz w:val="22"/>
          <w:szCs w:val="22"/>
          <w:highlight w:val="none"/>
        </w:rPr>
        <w:fldChar w:fldCharType="begin"/>
      </w:r>
      <w:r>
        <w:rPr>
          <w:rFonts w:hint="eastAsia" w:ascii="宋体" w:hAnsi="宋体" w:cs="宋体"/>
          <w:smallCaps w:val="0"/>
          <w:color w:val="auto"/>
          <w:spacing w:val="40"/>
          <w:sz w:val="22"/>
          <w:szCs w:val="22"/>
          <w:highlight w:val="none"/>
        </w:rPr>
        <w:instrText xml:space="preserve"> HYPERLINK \l _Toc20577 </w:instrText>
      </w:r>
      <w:r>
        <w:rPr>
          <w:rFonts w:hint="eastAsia" w:ascii="宋体" w:hAnsi="宋体" w:cs="宋体"/>
          <w:smallCaps w:val="0"/>
          <w:color w:val="auto"/>
          <w:spacing w:val="40"/>
          <w:sz w:val="22"/>
          <w:szCs w:val="22"/>
          <w:highlight w:val="none"/>
        </w:rPr>
        <w:fldChar w:fldCharType="separate"/>
      </w:r>
      <w:r>
        <w:rPr>
          <w:rFonts w:hint="eastAsia" w:ascii="宋体" w:hAnsi="宋体" w:cs="宋体"/>
          <w:bCs/>
          <w:color w:val="auto"/>
          <w:sz w:val="22"/>
          <w:szCs w:val="22"/>
          <w:highlight w:val="none"/>
        </w:rPr>
        <w:t>二、招标文件</w:t>
      </w:r>
      <w:bookmarkStart w:id="144" w:name="_GoBack"/>
      <w:bookmarkEnd w:id="144"/>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_Toc20577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12</w:t>
      </w:r>
      <w:r>
        <w:rPr>
          <w:rFonts w:hint="eastAsia" w:ascii="宋体" w:hAnsi="宋体" w:cs="宋体"/>
          <w:color w:val="auto"/>
          <w:sz w:val="22"/>
          <w:szCs w:val="22"/>
          <w:highlight w:val="none"/>
        </w:rPr>
        <w:fldChar w:fldCharType="end"/>
      </w:r>
      <w:r>
        <w:rPr>
          <w:rFonts w:hint="eastAsia" w:ascii="宋体" w:hAnsi="宋体" w:cs="宋体"/>
          <w:smallCaps w:val="0"/>
          <w:color w:val="auto"/>
          <w:spacing w:val="40"/>
          <w:sz w:val="22"/>
          <w:szCs w:val="22"/>
          <w:highlight w:val="none"/>
        </w:rPr>
        <w:fldChar w:fldCharType="end"/>
      </w:r>
    </w:p>
    <w:p w14:paraId="0B8721B4">
      <w:pPr>
        <w:pStyle w:val="32"/>
        <w:tabs>
          <w:tab w:val="right" w:leader="dot" w:pos="9638"/>
        </w:tabs>
        <w:spacing w:line="460" w:lineRule="exact"/>
        <w:ind w:firstLine="1200" w:firstLineChars="400"/>
        <w:rPr>
          <w:rFonts w:hint="eastAsia" w:ascii="宋体" w:hAnsi="宋体" w:cs="宋体"/>
          <w:color w:val="auto"/>
          <w:sz w:val="22"/>
          <w:szCs w:val="22"/>
          <w:highlight w:val="none"/>
        </w:rPr>
      </w:pPr>
      <w:r>
        <w:rPr>
          <w:rFonts w:hint="eastAsia" w:ascii="宋体" w:hAnsi="宋体" w:cs="宋体"/>
          <w:smallCaps w:val="0"/>
          <w:color w:val="auto"/>
          <w:spacing w:val="40"/>
          <w:sz w:val="22"/>
          <w:szCs w:val="22"/>
          <w:highlight w:val="none"/>
        </w:rPr>
        <w:fldChar w:fldCharType="begin"/>
      </w:r>
      <w:r>
        <w:rPr>
          <w:rFonts w:hint="eastAsia" w:ascii="宋体" w:hAnsi="宋体" w:cs="宋体"/>
          <w:smallCaps w:val="0"/>
          <w:color w:val="auto"/>
          <w:spacing w:val="40"/>
          <w:sz w:val="22"/>
          <w:szCs w:val="22"/>
          <w:highlight w:val="none"/>
        </w:rPr>
        <w:instrText xml:space="preserve"> HYPERLINK \l _Toc15767 </w:instrText>
      </w:r>
      <w:r>
        <w:rPr>
          <w:rFonts w:hint="eastAsia" w:ascii="宋体" w:hAnsi="宋体" w:cs="宋体"/>
          <w:smallCaps w:val="0"/>
          <w:color w:val="auto"/>
          <w:spacing w:val="40"/>
          <w:sz w:val="22"/>
          <w:szCs w:val="22"/>
          <w:highlight w:val="none"/>
        </w:rPr>
        <w:fldChar w:fldCharType="separate"/>
      </w:r>
      <w:r>
        <w:rPr>
          <w:rFonts w:hint="eastAsia" w:ascii="宋体" w:hAnsi="宋体" w:cs="宋体"/>
          <w:bCs/>
          <w:color w:val="auto"/>
          <w:sz w:val="22"/>
          <w:szCs w:val="22"/>
          <w:highlight w:val="none"/>
        </w:rPr>
        <w:t>三、投标文件的编制</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_Toc15767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12</w:t>
      </w:r>
      <w:r>
        <w:rPr>
          <w:rFonts w:hint="eastAsia" w:ascii="宋体" w:hAnsi="宋体" w:cs="宋体"/>
          <w:color w:val="auto"/>
          <w:sz w:val="22"/>
          <w:szCs w:val="22"/>
          <w:highlight w:val="none"/>
        </w:rPr>
        <w:fldChar w:fldCharType="end"/>
      </w:r>
      <w:r>
        <w:rPr>
          <w:rFonts w:hint="eastAsia" w:ascii="宋体" w:hAnsi="宋体" w:cs="宋体"/>
          <w:smallCaps w:val="0"/>
          <w:color w:val="auto"/>
          <w:spacing w:val="40"/>
          <w:sz w:val="22"/>
          <w:szCs w:val="22"/>
          <w:highlight w:val="none"/>
        </w:rPr>
        <w:fldChar w:fldCharType="end"/>
      </w:r>
    </w:p>
    <w:p w14:paraId="29CC744C">
      <w:pPr>
        <w:pStyle w:val="32"/>
        <w:tabs>
          <w:tab w:val="right" w:leader="dot" w:pos="9638"/>
        </w:tabs>
        <w:spacing w:line="460" w:lineRule="exact"/>
        <w:ind w:firstLine="1200" w:firstLineChars="400"/>
        <w:rPr>
          <w:rFonts w:hint="eastAsia" w:ascii="宋体" w:hAnsi="宋体" w:cs="宋体"/>
          <w:color w:val="auto"/>
          <w:sz w:val="22"/>
          <w:szCs w:val="22"/>
          <w:highlight w:val="none"/>
        </w:rPr>
      </w:pPr>
      <w:r>
        <w:rPr>
          <w:rFonts w:hint="eastAsia" w:ascii="宋体" w:hAnsi="宋体" w:cs="宋体"/>
          <w:smallCaps w:val="0"/>
          <w:color w:val="auto"/>
          <w:spacing w:val="40"/>
          <w:sz w:val="22"/>
          <w:szCs w:val="22"/>
          <w:highlight w:val="none"/>
        </w:rPr>
        <w:fldChar w:fldCharType="begin"/>
      </w:r>
      <w:r>
        <w:rPr>
          <w:rFonts w:hint="eastAsia" w:ascii="宋体" w:hAnsi="宋体" w:cs="宋体"/>
          <w:smallCaps w:val="0"/>
          <w:color w:val="auto"/>
          <w:spacing w:val="40"/>
          <w:sz w:val="22"/>
          <w:szCs w:val="22"/>
          <w:highlight w:val="none"/>
        </w:rPr>
        <w:instrText xml:space="preserve"> HYPERLINK \l _Toc16821 </w:instrText>
      </w:r>
      <w:r>
        <w:rPr>
          <w:rFonts w:hint="eastAsia" w:ascii="宋体" w:hAnsi="宋体" w:cs="宋体"/>
          <w:smallCaps w:val="0"/>
          <w:color w:val="auto"/>
          <w:spacing w:val="40"/>
          <w:sz w:val="22"/>
          <w:szCs w:val="22"/>
          <w:highlight w:val="none"/>
        </w:rPr>
        <w:fldChar w:fldCharType="separate"/>
      </w:r>
      <w:r>
        <w:rPr>
          <w:rFonts w:hint="eastAsia" w:ascii="宋体" w:hAnsi="宋体" w:cs="宋体"/>
          <w:bCs/>
          <w:color w:val="auto"/>
          <w:sz w:val="22"/>
          <w:szCs w:val="22"/>
          <w:highlight w:val="none"/>
        </w:rPr>
        <w:t>四、投标文件的递交</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_Toc16821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15</w:t>
      </w:r>
      <w:r>
        <w:rPr>
          <w:rFonts w:hint="eastAsia" w:ascii="宋体" w:hAnsi="宋体" w:cs="宋体"/>
          <w:color w:val="auto"/>
          <w:sz w:val="22"/>
          <w:szCs w:val="22"/>
          <w:highlight w:val="none"/>
        </w:rPr>
        <w:fldChar w:fldCharType="end"/>
      </w:r>
      <w:r>
        <w:rPr>
          <w:rFonts w:hint="eastAsia" w:ascii="宋体" w:hAnsi="宋体" w:cs="宋体"/>
          <w:smallCaps w:val="0"/>
          <w:color w:val="auto"/>
          <w:spacing w:val="40"/>
          <w:sz w:val="22"/>
          <w:szCs w:val="22"/>
          <w:highlight w:val="none"/>
        </w:rPr>
        <w:fldChar w:fldCharType="end"/>
      </w:r>
    </w:p>
    <w:p w14:paraId="594A8D4A">
      <w:pPr>
        <w:pStyle w:val="32"/>
        <w:tabs>
          <w:tab w:val="right" w:leader="dot" w:pos="9638"/>
        </w:tabs>
        <w:spacing w:line="460" w:lineRule="exact"/>
        <w:ind w:firstLine="1200" w:firstLineChars="400"/>
        <w:rPr>
          <w:rFonts w:hint="eastAsia" w:ascii="宋体" w:hAnsi="宋体" w:cs="宋体"/>
          <w:color w:val="auto"/>
          <w:sz w:val="22"/>
          <w:szCs w:val="22"/>
          <w:highlight w:val="none"/>
        </w:rPr>
      </w:pPr>
      <w:r>
        <w:rPr>
          <w:rFonts w:hint="eastAsia" w:ascii="宋体" w:hAnsi="宋体" w:cs="宋体"/>
          <w:smallCaps w:val="0"/>
          <w:color w:val="auto"/>
          <w:spacing w:val="40"/>
          <w:sz w:val="22"/>
          <w:szCs w:val="22"/>
          <w:highlight w:val="none"/>
        </w:rPr>
        <w:fldChar w:fldCharType="begin"/>
      </w:r>
      <w:r>
        <w:rPr>
          <w:rFonts w:hint="eastAsia" w:ascii="宋体" w:hAnsi="宋体" w:cs="宋体"/>
          <w:smallCaps w:val="0"/>
          <w:color w:val="auto"/>
          <w:spacing w:val="40"/>
          <w:sz w:val="22"/>
          <w:szCs w:val="22"/>
          <w:highlight w:val="none"/>
        </w:rPr>
        <w:instrText xml:space="preserve"> HYPERLINK \l _Toc7629 </w:instrText>
      </w:r>
      <w:r>
        <w:rPr>
          <w:rFonts w:hint="eastAsia" w:ascii="宋体" w:hAnsi="宋体" w:cs="宋体"/>
          <w:smallCaps w:val="0"/>
          <w:color w:val="auto"/>
          <w:spacing w:val="40"/>
          <w:sz w:val="22"/>
          <w:szCs w:val="22"/>
          <w:highlight w:val="none"/>
        </w:rPr>
        <w:fldChar w:fldCharType="separate"/>
      </w:r>
      <w:r>
        <w:rPr>
          <w:rFonts w:hint="eastAsia" w:ascii="宋体" w:hAnsi="宋体" w:cs="宋体"/>
          <w:bCs/>
          <w:color w:val="auto"/>
          <w:sz w:val="22"/>
          <w:szCs w:val="22"/>
          <w:highlight w:val="none"/>
        </w:rPr>
        <w:t>五、开标和评标</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_Toc7629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15</w:t>
      </w:r>
      <w:r>
        <w:rPr>
          <w:rFonts w:hint="eastAsia" w:ascii="宋体" w:hAnsi="宋体" w:cs="宋体"/>
          <w:color w:val="auto"/>
          <w:sz w:val="22"/>
          <w:szCs w:val="22"/>
          <w:highlight w:val="none"/>
        </w:rPr>
        <w:fldChar w:fldCharType="end"/>
      </w:r>
      <w:r>
        <w:rPr>
          <w:rFonts w:hint="eastAsia" w:ascii="宋体" w:hAnsi="宋体" w:cs="宋体"/>
          <w:smallCaps w:val="0"/>
          <w:color w:val="auto"/>
          <w:spacing w:val="40"/>
          <w:sz w:val="22"/>
          <w:szCs w:val="22"/>
          <w:highlight w:val="none"/>
        </w:rPr>
        <w:fldChar w:fldCharType="end"/>
      </w:r>
    </w:p>
    <w:p w14:paraId="75C081FC">
      <w:pPr>
        <w:pStyle w:val="32"/>
        <w:tabs>
          <w:tab w:val="right" w:leader="dot" w:pos="9638"/>
        </w:tabs>
        <w:spacing w:line="460" w:lineRule="exact"/>
        <w:ind w:firstLine="1200" w:firstLineChars="400"/>
        <w:rPr>
          <w:rFonts w:hint="eastAsia" w:ascii="宋体" w:hAnsi="宋体" w:cs="宋体"/>
          <w:color w:val="auto"/>
          <w:sz w:val="22"/>
          <w:szCs w:val="22"/>
          <w:highlight w:val="none"/>
        </w:rPr>
      </w:pPr>
      <w:r>
        <w:rPr>
          <w:rFonts w:hint="eastAsia" w:ascii="宋体" w:hAnsi="宋体" w:cs="宋体"/>
          <w:smallCaps w:val="0"/>
          <w:color w:val="auto"/>
          <w:spacing w:val="40"/>
          <w:sz w:val="22"/>
          <w:szCs w:val="22"/>
          <w:highlight w:val="none"/>
        </w:rPr>
        <w:fldChar w:fldCharType="begin"/>
      </w:r>
      <w:r>
        <w:rPr>
          <w:rFonts w:hint="eastAsia" w:ascii="宋体" w:hAnsi="宋体" w:cs="宋体"/>
          <w:smallCaps w:val="0"/>
          <w:color w:val="auto"/>
          <w:spacing w:val="40"/>
          <w:sz w:val="22"/>
          <w:szCs w:val="22"/>
          <w:highlight w:val="none"/>
        </w:rPr>
        <w:instrText xml:space="preserve"> HYPERLINK \l _Toc11549 </w:instrText>
      </w:r>
      <w:r>
        <w:rPr>
          <w:rFonts w:hint="eastAsia" w:ascii="宋体" w:hAnsi="宋体" w:cs="宋体"/>
          <w:smallCaps w:val="0"/>
          <w:color w:val="auto"/>
          <w:spacing w:val="40"/>
          <w:sz w:val="22"/>
          <w:szCs w:val="22"/>
          <w:highlight w:val="none"/>
        </w:rPr>
        <w:fldChar w:fldCharType="separate"/>
      </w:r>
      <w:r>
        <w:rPr>
          <w:rFonts w:hint="eastAsia" w:ascii="宋体" w:hAnsi="宋体" w:cs="宋体"/>
          <w:bCs/>
          <w:color w:val="auto"/>
          <w:sz w:val="22"/>
          <w:szCs w:val="22"/>
          <w:highlight w:val="none"/>
        </w:rPr>
        <w:t>六、授予合同</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_Toc11549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17</w:t>
      </w:r>
      <w:r>
        <w:rPr>
          <w:rFonts w:hint="eastAsia" w:ascii="宋体" w:hAnsi="宋体" w:cs="宋体"/>
          <w:color w:val="auto"/>
          <w:sz w:val="22"/>
          <w:szCs w:val="22"/>
          <w:highlight w:val="none"/>
        </w:rPr>
        <w:fldChar w:fldCharType="end"/>
      </w:r>
      <w:r>
        <w:rPr>
          <w:rFonts w:hint="eastAsia" w:ascii="宋体" w:hAnsi="宋体" w:cs="宋体"/>
          <w:smallCaps w:val="0"/>
          <w:color w:val="auto"/>
          <w:spacing w:val="40"/>
          <w:sz w:val="22"/>
          <w:szCs w:val="22"/>
          <w:highlight w:val="none"/>
        </w:rPr>
        <w:fldChar w:fldCharType="end"/>
      </w:r>
    </w:p>
    <w:p w14:paraId="4362CA7C">
      <w:pPr>
        <w:pStyle w:val="32"/>
        <w:tabs>
          <w:tab w:val="right" w:leader="dot" w:pos="9638"/>
        </w:tabs>
        <w:spacing w:line="460" w:lineRule="exact"/>
        <w:ind w:firstLine="1200" w:firstLineChars="400"/>
        <w:rPr>
          <w:rFonts w:hint="eastAsia" w:ascii="宋体" w:hAnsi="宋体" w:cs="宋体"/>
          <w:color w:val="auto"/>
          <w:sz w:val="22"/>
          <w:szCs w:val="22"/>
          <w:highlight w:val="none"/>
        </w:rPr>
      </w:pPr>
      <w:r>
        <w:rPr>
          <w:rFonts w:hint="eastAsia" w:ascii="宋体" w:hAnsi="宋体" w:cs="宋体"/>
          <w:smallCaps w:val="0"/>
          <w:color w:val="auto"/>
          <w:spacing w:val="40"/>
          <w:sz w:val="22"/>
          <w:szCs w:val="22"/>
          <w:highlight w:val="none"/>
        </w:rPr>
        <w:fldChar w:fldCharType="begin"/>
      </w:r>
      <w:r>
        <w:rPr>
          <w:rFonts w:hint="eastAsia" w:ascii="宋体" w:hAnsi="宋体" w:cs="宋体"/>
          <w:smallCaps w:val="0"/>
          <w:color w:val="auto"/>
          <w:spacing w:val="40"/>
          <w:sz w:val="22"/>
          <w:szCs w:val="22"/>
          <w:highlight w:val="none"/>
        </w:rPr>
        <w:instrText xml:space="preserve"> HYPERLINK \l _Toc15763 </w:instrText>
      </w:r>
      <w:r>
        <w:rPr>
          <w:rFonts w:hint="eastAsia" w:ascii="宋体" w:hAnsi="宋体" w:cs="宋体"/>
          <w:smallCaps w:val="0"/>
          <w:color w:val="auto"/>
          <w:spacing w:val="40"/>
          <w:sz w:val="22"/>
          <w:szCs w:val="22"/>
          <w:highlight w:val="none"/>
        </w:rPr>
        <w:fldChar w:fldCharType="separate"/>
      </w:r>
      <w:r>
        <w:rPr>
          <w:rFonts w:hint="eastAsia" w:ascii="宋体" w:hAnsi="宋体" w:cs="宋体"/>
          <w:bCs/>
          <w:color w:val="auto"/>
          <w:sz w:val="22"/>
          <w:szCs w:val="22"/>
          <w:highlight w:val="none"/>
        </w:rPr>
        <w:t>七、可中止电子交易活动的情形</w:t>
      </w:r>
      <w:r>
        <w:rPr>
          <w:rFonts w:hint="eastAsia" w:ascii="宋体" w:hAnsi="宋体" w:cs="宋体"/>
          <w:color w:val="auto"/>
          <w:sz w:val="22"/>
          <w:szCs w:val="22"/>
          <w:highlight w:val="none"/>
        </w:rPr>
        <w:tab/>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PAGEREF _Toc15763 \h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19</w:t>
      </w:r>
      <w:r>
        <w:rPr>
          <w:rFonts w:hint="eastAsia" w:ascii="宋体" w:hAnsi="宋体" w:cs="宋体"/>
          <w:color w:val="auto"/>
          <w:sz w:val="22"/>
          <w:szCs w:val="22"/>
          <w:highlight w:val="none"/>
        </w:rPr>
        <w:fldChar w:fldCharType="end"/>
      </w:r>
      <w:r>
        <w:rPr>
          <w:rFonts w:hint="eastAsia" w:ascii="宋体" w:hAnsi="宋体" w:cs="宋体"/>
          <w:smallCaps w:val="0"/>
          <w:color w:val="auto"/>
          <w:spacing w:val="40"/>
          <w:sz w:val="22"/>
          <w:szCs w:val="22"/>
          <w:highlight w:val="none"/>
        </w:rPr>
        <w:fldChar w:fldCharType="end"/>
      </w:r>
    </w:p>
    <w:p w14:paraId="3A3196D4">
      <w:pPr>
        <w:pStyle w:val="26"/>
        <w:tabs>
          <w:tab w:val="right" w:leader="dot" w:pos="9638"/>
        </w:tabs>
        <w:spacing w:line="460" w:lineRule="exact"/>
        <w:rPr>
          <w:rFonts w:hint="eastAsia" w:ascii="宋体" w:hAnsi="宋体" w:cs="宋体"/>
          <w:b w:val="0"/>
          <w:bCs w:val="0"/>
          <w:color w:val="auto"/>
          <w:sz w:val="22"/>
          <w:szCs w:val="22"/>
          <w:highlight w:val="none"/>
        </w:rPr>
      </w:pPr>
      <w:r>
        <w:rPr>
          <w:rFonts w:hint="eastAsia" w:ascii="宋体" w:hAnsi="宋体" w:cs="宋体"/>
          <w:b w:val="0"/>
          <w:bCs w:val="0"/>
          <w:smallCaps/>
          <w:color w:val="auto"/>
          <w:spacing w:val="40"/>
          <w:sz w:val="22"/>
          <w:szCs w:val="22"/>
          <w:highlight w:val="none"/>
        </w:rPr>
        <w:fldChar w:fldCharType="begin"/>
      </w:r>
      <w:r>
        <w:rPr>
          <w:rFonts w:hint="eastAsia" w:ascii="宋体" w:hAnsi="宋体" w:cs="宋体"/>
          <w:b w:val="0"/>
          <w:bCs w:val="0"/>
          <w:smallCaps/>
          <w:color w:val="auto"/>
          <w:spacing w:val="40"/>
          <w:sz w:val="22"/>
          <w:szCs w:val="22"/>
          <w:highlight w:val="none"/>
        </w:rPr>
        <w:instrText xml:space="preserve"> HYPERLINK \l _Toc5487 </w:instrText>
      </w:r>
      <w:r>
        <w:rPr>
          <w:rFonts w:hint="eastAsia" w:ascii="宋体" w:hAnsi="宋体" w:cs="宋体"/>
          <w:b w:val="0"/>
          <w:bCs w:val="0"/>
          <w:smallCaps/>
          <w:color w:val="auto"/>
          <w:spacing w:val="40"/>
          <w:sz w:val="22"/>
          <w:szCs w:val="22"/>
          <w:highlight w:val="none"/>
        </w:rPr>
        <w:fldChar w:fldCharType="separate"/>
      </w:r>
      <w:r>
        <w:rPr>
          <w:rFonts w:hint="eastAsia" w:ascii="宋体" w:hAnsi="宋体" w:cs="宋体"/>
          <w:b w:val="0"/>
          <w:bCs w:val="0"/>
          <w:color w:val="auto"/>
          <w:sz w:val="22"/>
          <w:szCs w:val="22"/>
          <w:highlight w:val="none"/>
        </w:rPr>
        <w:t>第三部分   拟签订的合同文本</w:t>
      </w:r>
      <w:r>
        <w:rPr>
          <w:rFonts w:hint="eastAsia" w:ascii="宋体" w:hAnsi="宋体" w:cs="宋体"/>
          <w:b w:val="0"/>
          <w:bCs w:val="0"/>
          <w:color w:val="auto"/>
          <w:sz w:val="22"/>
          <w:szCs w:val="22"/>
          <w:highlight w:val="none"/>
        </w:rPr>
        <w:tab/>
      </w:r>
      <w:r>
        <w:rPr>
          <w:rFonts w:hint="eastAsia" w:ascii="宋体" w:hAnsi="宋体" w:cs="宋体"/>
          <w:b w:val="0"/>
          <w:bCs w:val="0"/>
          <w:color w:val="auto"/>
          <w:sz w:val="22"/>
          <w:szCs w:val="22"/>
          <w:highlight w:val="none"/>
        </w:rPr>
        <w:fldChar w:fldCharType="begin"/>
      </w:r>
      <w:r>
        <w:rPr>
          <w:rFonts w:hint="eastAsia" w:ascii="宋体" w:hAnsi="宋体" w:cs="宋体"/>
          <w:b w:val="0"/>
          <w:bCs w:val="0"/>
          <w:color w:val="auto"/>
          <w:sz w:val="22"/>
          <w:szCs w:val="22"/>
          <w:highlight w:val="none"/>
        </w:rPr>
        <w:instrText xml:space="preserve"> PAGEREF _Toc5487 \h </w:instrText>
      </w:r>
      <w:r>
        <w:rPr>
          <w:rFonts w:hint="eastAsia" w:ascii="宋体" w:hAnsi="宋体" w:cs="宋体"/>
          <w:b w:val="0"/>
          <w:bCs w:val="0"/>
          <w:color w:val="auto"/>
          <w:sz w:val="22"/>
          <w:szCs w:val="22"/>
          <w:highlight w:val="none"/>
        </w:rPr>
        <w:fldChar w:fldCharType="separate"/>
      </w:r>
      <w:r>
        <w:rPr>
          <w:rFonts w:hint="eastAsia" w:ascii="宋体" w:hAnsi="宋体" w:cs="宋体"/>
          <w:b w:val="0"/>
          <w:bCs w:val="0"/>
          <w:color w:val="auto"/>
          <w:sz w:val="22"/>
          <w:szCs w:val="22"/>
          <w:highlight w:val="none"/>
        </w:rPr>
        <w:t>20</w:t>
      </w:r>
      <w:r>
        <w:rPr>
          <w:rFonts w:hint="eastAsia" w:ascii="宋体" w:hAnsi="宋体" w:cs="宋体"/>
          <w:b w:val="0"/>
          <w:bCs w:val="0"/>
          <w:color w:val="auto"/>
          <w:sz w:val="22"/>
          <w:szCs w:val="22"/>
          <w:highlight w:val="none"/>
        </w:rPr>
        <w:fldChar w:fldCharType="end"/>
      </w:r>
      <w:r>
        <w:rPr>
          <w:rFonts w:hint="eastAsia" w:ascii="宋体" w:hAnsi="宋体" w:cs="宋体"/>
          <w:b w:val="0"/>
          <w:bCs w:val="0"/>
          <w:smallCaps/>
          <w:color w:val="auto"/>
          <w:spacing w:val="40"/>
          <w:sz w:val="22"/>
          <w:szCs w:val="22"/>
          <w:highlight w:val="none"/>
        </w:rPr>
        <w:fldChar w:fldCharType="end"/>
      </w:r>
    </w:p>
    <w:p w14:paraId="34C2BBB1">
      <w:pPr>
        <w:pStyle w:val="26"/>
        <w:tabs>
          <w:tab w:val="right" w:leader="dot" w:pos="9638"/>
        </w:tabs>
        <w:spacing w:line="460" w:lineRule="exact"/>
        <w:rPr>
          <w:rFonts w:hint="eastAsia" w:ascii="宋体" w:hAnsi="宋体" w:cs="宋体"/>
          <w:b w:val="0"/>
          <w:bCs w:val="0"/>
          <w:color w:val="auto"/>
          <w:sz w:val="22"/>
          <w:szCs w:val="22"/>
          <w:highlight w:val="none"/>
        </w:rPr>
      </w:pPr>
      <w:r>
        <w:rPr>
          <w:rFonts w:hint="eastAsia" w:ascii="宋体" w:hAnsi="宋体" w:cs="宋体"/>
          <w:b w:val="0"/>
          <w:bCs w:val="0"/>
          <w:smallCaps/>
          <w:color w:val="auto"/>
          <w:spacing w:val="40"/>
          <w:sz w:val="22"/>
          <w:szCs w:val="22"/>
          <w:highlight w:val="none"/>
        </w:rPr>
        <w:fldChar w:fldCharType="begin"/>
      </w:r>
      <w:r>
        <w:rPr>
          <w:rFonts w:hint="eastAsia" w:ascii="宋体" w:hAnsi="宋体" w:cs="宋体"/>
          <w:b w:val="0"/>
          <w:bCs w:val="0"/>
          <w:smallCaps/>
          <w:color w:val="auto"/>
          <w:spacing w:val="40"/>
          <w:sz w:val="22"/>
          <w:szCs w:val="22"/>
          <w:highlight w:val="none"/>
        </w:rPr>
        <w:instrText xml:space="preserve"> HYPERLINK \l _Toc25811 </w:instrText>
      </w:r>
      <w:r>
        <w:rPr>
          <w:rFonts w:hint="eastAsia" w:ascii="宋体" w:hAnsi="宋体" w:cs="宋体"/>
          <w:b w:val="0"/>
          <w:bCs w:val="0"/>
          <w:smallCaps/>
          <w:color w:val="auto"/>
          <w:spacing w:val="40"/>
          <w:sz w:val="22"/>
          <w:szCs w:val="22"/>
          <w:highlight w:val="none"/>
        </w:rPr>
        <w:fldChar w:fldCharType="separate"/>
      </w:r>
      <w:r>
        <w:rPr>
          <w:rFonts w:hint="eastAsia" w:ascii="宋体" w:hAnsi="宋体" w:cs="宋体"/>
          <w:b w:val="0"/>
          <w:bCs w:val="0"/>
          <w:color w:val="auto"/>
          <w:sz w:val="22"/>
          <w:szCs w:val="22"/>
          <w:highlight w:val="none"/>
        </w:rPr>
        <w:t>第四部分   附件</w:t>
      </w:r>
      <w:r>
        <w:rPr>
          <w:rFonts w:hint="eastAsia" w:ascii="宋体" w:hAnsi="宋体" w:cs="宋体"/>
          <w:b w:val="0"/>
          <w:bCs w:val="0"/>
          <w:color w:val="auto"/>
          <w:sz w:val="22"/>
          <w:szCs w:val="22"/>
          <w:highlight w:val="none"/>
        </w:rPr>
        <w:tab/>
      </w:r>
      <w:r>
        <w:rPr>
          <w:rFonts w:hint="eastAsia" w:ascii="宋体" w:hAnsi="宋体" w:cs="宋体"/>
          <w:b w:val="0"/>
          <w:bCs w:val="0"/>
          <w:color w:val="auto"/>
          <w:sz w:val="22"/>
          <w:szCs w:val="22"/>
          <w:highlight w:val="none"/>
        </w:rPr>
        <w:fldChar w:fldCharType="begin"/>
      </w:r>
      <w:r>
        <w:rPr>
          <w:rFonts w:hint="eastAsia" w:ascii="宋体" w:hAnsi="宋体" w:cs="宋体"/>
          <w:b w:val="0"/>
          <w:bCs w:val="0"/>
          <w:color w:val="auto"/>
          <w:sz w:val="22"/>
          <w:szCs w:val="22"/>
          <w:highlight w:val="none"/>
        </w:rPr>
        <w:instrText xml:space="preserve"> PAGEREF _Toc25811 \h </w:instrText>
      </w:r>
      <w:r>
        <w:rPr>
          <w:rFonts w:hint="eastAsia" w:ascii="宋体" w:hAnsi="宋体" w:cs="宋体"/>
          <w:b w:val="0"/>
          <w:bCs w:val="0"/>
          <w:color w:val="auto"/>
          <w:sz w:val="22"/>
          <w:szCs w:val="22"/>
          <w:highlight w:val="none"/>
        </w:rPr>
        <w:fldChar w:fldCharType="separate"/>
      </w:r>
      <w:r>
        <w:rPr>
          <w:rFonts w:hint="eastAsia" w:ascii="宋体" w:hAnsi="宋体" w:cs="宋体"/>
          <w:b w:val="0"/>
          <w:bCs w:val="0"/>
          <w:color w:val="auto"/>
          <w:sz w:val="22"/>
          <w:szCs w:val="22"/>
          <w:highlight w:val="none"/>
        </w:rPr>
        <w:t>26</w:t>
      </w:r>
      <w:r>
        <w:rPr>
          <w:rFonts w:hint="eastAsia" w:ascii="宋体" w:hAnsi="宋体" w:cs="宋体"/>
          <w:b w:val="0"/>
          <w:bCs w:val="0"/>
          <w:color w:val="auto"/>
          <w:sz w:val="22"/>
          <w:szCs w:val="22"/>
          <w:highlight w:val="none"/>
        </w:rPr>
        <w:fldChar w:fldCharType="end"/>
      </w:r>
      <w:r>
        <w:rPr>
          <w:rFonts w:hint="eastAsia" w:ascii="宋体" w:hAnsi="宋体" w:cs="宋体"/>
          <w:b w:val="0"/>
          <w:bCs w:val="0"/>
          <w:smallCaps/>
          <w:color w:val="auto"/>
          <w:spacing w:val="40"/>
          <w:sz w:val="22"/>
          <w:szCs w:val="22"/>
          <w:highlight w:val="none"/>
        </w:rPr>
        <w:fldChar w:fldCharType="end"/>
      </w:r>
    </w:p>
    <w:p w14:paraId="2B47D36E">
      <w:pPr>
        <w:pStyle w:val="26"/>
        <w:tabs>
          <w:tab w:val="right" w:leader="dot" w:pos="9638"/>
        </w:tabs>
        <w:spacing w:line="460" w:lineRule="exact"/>
        <w:rPr>
          <w:rFonts w:hint="eastAsia" w:ascii="宋体" w:hAnsi="宋体" w:cs="宋体"/>
          <w:b w:val="0"/>
          <w:bCs w:val="0"/>
          <w:color w:val="auto"/>
          <w:sz w:val="22"/>
          <w:szCs w:val="22"/>
          <w:highlight w:val="none"/>
        </w:rPr>
      </w:pPr>
      <w:r>
        <w:rPr>
          <w:rFonts w:hint="eastAsia" w:ascii="宋体" w:hAnsi="宋体" w:cs="宋体"/>
          <w:b w:val="0"/>
          <w:bCs w:val="0"/>
          <w:smallCaps/>
          <w:color w:val="auto"/>
          <w:spacing w:val="40"/>
          <w:sz w:val="22"/>
          <w:szCs w:val="22"/>
          <w:highlight w:val="none"/>
        </w:rPr>
        <w:fldChar w:fldCharType="begin"/>
      </w:r>
      <w:r>
        <w:rPr>
          <w:rFonts w:hint="eastAsia" w:ascii="宋体" w:hAnsi="宋体" w:cs="宋体"/>
          <w:b w:val="0"/>
          <w:bCs w:val="0"/>
          <w:smallCaps/>
          <w:color w:val="auto"/>
          <w:spacing w:val="40"/>
          <w:sz w:val="22"/>
          <w:szCs w:val="22"/>
          <w:highlight w:val="none"/>
        </w:rPr>
        <w:instrText xml:space="preserve"> HYPERLINK \l _Toc22957 </w:instrText>
      </w:r>
      <w:r>
        <w:rPr>
          <w:rFonts w:hint="eastAsia" w:ascii="宋体" w:hAnsi="宋体" w:cs="宋体"/>
          <w:b w:val="0"/>
          <w:bCs w:val="0"/>
          <w:smallCaps/>
          <w:color w:val="auto"/>
          <w:spacing w:val="40"/>
          <w:sz w:val="22"/>
          <w:szCs w:val="22"/>
          <w:highlight w:val="none"/>
        </w:rPr>
        <w:fldChar w:fldCharType="separate"/>
      </w:r>
      <w:r>
        <w:rPr>
          <w:rFonts w:hint="eastAsia" w:ascii="宋体" w:hAnsi="宋体" w:cs="宋体"/>
          <w:b w:val="0"/>
          <w:bCs w:val="0"/>
          <w:color w:val="auto"/>
          <w:sz w:val="22"/>
          <w:szCs w:val="22"/>
          <w:highlight w:val="none"/>
        </w:rPr>
        <w:t>第五部分  采购需求</w:t>
      </w:r>
      <w:r>
        <w:rPr>
          <w:rFonts w:hint="eastAsia" w:ascii="宋体" w:hAnsi="宋体" w:cs="宋体"/>
          <w:b w:val="0"/>
          <w:bCs w:val="0"/>
          <w:color w:val="auto"/>
          <w:sz w:val="22"/>
          <w:szCs w:val="22"/>
          <w:highlight w:val="none"/>
        </w:rPr>
        <w:tab/>
      </w:r>
      <w:r>
        <w:rPr>
          <w:rFonts w:hint="eastAsia" w:ascii="宋体" w:hAnsi="宋体" w:cs="宋体"/>
          <w:b w:val="0"/>
          <w:bCs w:val="0"/>
          <w:color w:val="auto"/>
          <w:sz w:val="22"/>
          <w:szCs w:val="22"/>
          <w:highlight w:val="none"/>
        </w:rPr>
        <w:fldChar w:fldCharType="begin"/>
      </w:r>
      <w:r>
        <w:rPr>
          <w:rFonts w:hint="eastAsia" w:ascii="宋体" w:hAnsi="宋体" w:cs="宋体"/>
          <w:b w:val="0"/>
          <w:bCs w:val="0"/>
          <w:color w:val="auto"/>
          <w:sz w:val="22"/>
          <w:szCs w:val="22"/>
          <w:highlight w:val="none"/>
        </w:rPr>
        <w:instrText xml:space="preserve"> PAGEREF _Toc22957 \h </w:instrText>
      </w:r>
      <w:r>
        <w:rPr>
          <w:rFonts w:hint="eastAsia" w:ascii="宋体" w:hAnsi="宋体" w:cs="宋体"/>
          <w:b w:val="0"/>
          <w:bCs w:val="0"/>
          <w:color w:val="auto"/>
          <w:sz w:val="22"/>
          <w:szCs w:val="22"/>
          <w:highlight w:val="none"/>
        </w:rPr>
        <w:fldChar w:fldCharType="separate"/>
      </w:r>
      <w:r>
        <w:rPr>
          <w:rFonts w:hint="eastAsia" w:ascii="宋体" w:hAnsi="宋体" w:cs="宋体"/>
          <w:b w:val="0"/>
          <w:bCs w:val="0"/>
          <w:color w:val="auto"/>
          <w:sz w:val="22"/>
          <w:szCs w:val="22"/>
          <w:highlight w:val="none"/>
        </w:rPr>
        <w:t>36</w:t>
      </w:r>
      <w:r>
        <w:rPr>
          <w:rFonts w:hint="eastAsia" w:ascii="宋体" w:hAnsi="宋体" w:cs="宋体"/>
          <w:b w:val="0"/>
          <w:bCs w:val="0"/>
          <w:color w:val="auto"/>
          <w:sz w:val="22"/>
          <w:szCs w:val="22"/>
          <w:highlight w:val="none"/>
        </w:rPr>
        <w:fldChar w:fldCharType="end"/>
      </w:r>
      <w:r>
        <w:rPr>
          <w:rFonts w:hint="eastAsia" w:ascii="宋体" w:hAnsi="宋体" w:cs="宋体"/>
          <w:b w:val="0"/>
          <w:bCs w:val="0"/>
          <w:smallCaps/>
          <w:color w:val="auto"/>
          <w:spacing w:val="40"/>
          <w:sz w:val="22"/>
          <w:szCs w:val="22"/>
          <w:highlight w:val="none"/>
        </w:rPr>
        <w:fldChar w:fldCharType="end"/>
      </w:r>
    </w:p>
    <w:p w14:paraId="6675F11B">
      <w:pPr>
        <w:pStyle w:val="26"/>
        <w:tabs>
          <w:tab w:val="right" w:leader="dot" w:pos="9638"/>
        </w:tabs>
        <w:spacing w:line="460" w:lineRule="exact"/>
        <w:rPr>
          <w:b w:val="0"/>
          <w:bCs w:val="0"/>
          <w:color w:val="auto"/>
          <w:sz w:val="22"/>
          <w:szCs w:val="22"/>
          <w:highlight w:val="none"/>
        </w:rPr>
      </w:pPr>
      <w:r>
        <w:rPr>
          <w:rFonts w:hint="eastAsia" w:ascii="宋体" w:hAnsi="宋体" w:cs="宋体"/>
          <w:b w:val="0"/>
          <w:bCs w:val="0"/>
          <w:smallCaps/>
          <w:color w:val="auto"/>
          <w:spacing w:val="40"/>
          <w:sz w:val="22"/>
          <w:szCs w:val="22"/>
          <w:highlight w:val="none"/>
        </w:rPr>
        <w:fldChar w:fldCharType="begin"/>
      </w:r>
      <w:r>
        <w:rPr>
          <w:rFonts w:hint="eastAsia" w:ascii="宋体" w:hAnsi="宋体" w:cs="宋体"/>
          <w:b w:val="0"/>
          <w:bCs w:val="0"/>
          <w:smallCaps/>
          <w:color w:val="auto"/>
          <w:spacing w:val="40"/>
          <w:sz w:val="22"/>
          <w:szCs w:val="22"/>
          <w:highlight w:val="none"/>
        </w:rPr>
        <w:instrText xml:space="preserve"> HYPERLINK \l _Toc23106 </w:instrText>
      </w:r>
      <w:r>
        <w:rPr>
          <w:rFonts w:hint="eastAsia" w:ascii="宋体" w:hAnsi="宋体" w:cs="宋体"/>
          <w:b w:val="0"/>
          <w:bCs w:val="0"/>
          <w:smallCaps/>
          <w:color w:val="auto"/>
          <w:spacing w:val="40"/>
          <w:sz w:val="22"/>
          <w:szCs w:val="22"/>
          <w:highlight w:val="none"/>
        </w:rPr>
        <w:fldChar w:fldCharType="separate"/>
      </w:r>
      <w:r>
        <w:rPr>
          <w:rFonts w:hint="eastAsia" w:ascii="宋体" w:hAnsi="宋体" w:cs="宋体"/>
          <w:b w:val="0"/>
          <w:bCs w:val="0"/>
          <w:color w:val="auto"/>
          <w:kern w:val="36"/>
          <w:sz w:val="22"/>
          <w:szCs w:val="22"/>
          <w:highlight w:val="none"/>
        </w:rPr>
        <w:t>第六部分  评标原则及方法</w:t>
      </w:r>
      <w:r>
        <w:rPr>
          <w:rFonts w:hint="eastAsia" w:ascii="宋体" w:hAnsi="宋体" w:cs="宋体"/>
          <w:b w:val="0"/>
          <w:bCs w:val="0"/>
          <w:color w:val="auto"/>
          <w:sz w:val="22"/>
          <w:szCs w:val="22"/>
          <w:highlight w:val="none"/>
        </w:rPr>
        <w:tab/>
      </w:r>
      <w:r>
        <w:rPr>
          <w:rFonts w:hint="eastAsia" w:ascii="宋体" w:hAnsi="宋体" w:cs="宋体"/>
          <w:b w:val="0"/>
          <w:bCs w:val="0"/>
          <w:color w:val="auto"/>
          <w:sz w:val="22"/>
          <w:szCs w:val="22"/>
          <w:highlight w:val="none"/>
        </w:rPr>
        <w:fldChar w:fldCharType="begin"/>
      </w:r>
      <w:r>
        <w:rPr>
          <w:rFonts w:hint="eastAsia" w:ascii="宋体" w:hAnsi="宋体" w:cs="宋体"/>
          <w:b w:val="0"/>
          <w:bCs w:val="0"/>
          <w:color w:val="auto"/>
          <w:sz w:val="22"/>
          <w:szCs w:val="22"/>
          <w:highlight w:val="none"/>
        </w:rPr>
        <w:instrText xml:space="preserve"> PAGEREF _Toc23106 \h </w:instrText>
      </w:r>
      <w:r>
        <w:rPr>
          <w:rFonts w:hint="eastAsia" w:ascii="宋体" w:hAnsi="宋体" w:cs="宋体"/>
          <w:b w:val="0"/>
          <w:bCs w:val="0"/>
          <w:color w:val="auto"/>
          <w:sz w:val="22"/>
          <w:szCs w:val="22"/>
          <w:highlight w:val="none"/>
        </w:rPr>
        <w:fldChar w:fldCharType="separate"/>
      </w:r>
      <w:r>
        <w:rPr>
          <w:rFonts w:hint="eastAsia" w:ascii="宋体" w:hAnsi="宋体" w:cs="宋体"/>
          <w:b w:val="0"/>
          <w:bCs w:val="0"/>
          <w:color w:val="auto"/>
          <w:sz w:val="22"/>
          <w:szCs w:val="22"/>
          <w:highlight w:val="none"/>
        </w:rPr>
        <w:t>40</w:t>
      </w:r>
      <w:r>
        <w:rPr>
          <w:rFonts w:hint="eastAsia" w:ascii="宋体" w:hAnsi="宋体" w:cs="宋体"/>
          <w:b w:val="0"/>
          <w:bCs w:val="0"/>
          <w:color w:val="auto"/>
          <w:sz w:val="22"/>
          <w:szCs w:val="22"/>
          <w:highlight w:val="none"/>
        </w:rPr>
        <w:fldChar w:fldCharType="end"/>
      </w:r>
      <w:r>
        <w:rPr>
          <w:rFonts w:hint="eastAsia" w:ascii="宋体" w:hAnsi="宋体" w:cs="宋体"/>
          <w:b w:val="0"/>
          <w:bCs w:val="0"/>
          <w:smallCaps/>
          <w:color w:val="auto"/>
          <w:spacing w:val="40"/>
          <w:sz w:val="22"/>
          <w:szCs w:val="22"/>
          <w:highlight w:val="none"/>
        </w:rPr>
        <w:fldChar w:fldCharType="end"/>
      </w:r>
    </w:p>
    <w:p w14:paraId="0AF5AEA0">
      <w:pPr>
        <w:spacing w:line="400" w:lineRule="exact"/>
        <w:rPr>
          <w:rFonts w:hint="eastAsia" w:ascii="宋体" w:hAnsi="宋体" w:cs="宋体"/>
          <w:smallCaps/>
          <w:color w:val="auto"/>
          <w:spacing w:val="40"/>
          <w:sz w:val="22"/>
          <w:szCs w:val="22"/>
          <w:highlight w:val="none"/>
        </w:rPr>
      </w:pPr>
      <w:r>
        <w:rPr>
          <w:rFonts w:hint="eastAsia" w:ascii="宋体" w:hAnsi="宋体" w:cs="宋体"/>
          <w:smallCaps/>
          <w:color w:val="auto"/>
          <w:spacing w:val="40"/>
          <w:sz w:val="22"/>
          <w:szCs w:val="22"/>
          <w:highlight w:val="none"/>
        </w:rPr>
        <w:fldChar w:fldCharType="end"/>
      </w:r>
      <w:bookmarkStart w:id="0" w:name="_Toc15977"/>
      <w:bookmarkStart w:id="1" w:name="_Toc195502576"/>
      <w:bookmarkStart w:id="2" w:name="_Toc25286"/>
      <w:bookmarkStart w:id="3" w:name="_Toc195502486"/>
      <w:bookmarkStart w:id="4" w:name="_Toc23021"/>
      <w:bookmarkStart w:id="5" w:name="_Toc4245"/>
      <w:bookmarkStart w:id="6" w:name="_Toc29406"/>
      <w:bookmarkStart w:id="7" w:name="_Toc12549"/>
      <w:bookmarkStart w:id="8" w:name="_Toc202085286"/>
      <w:bookmarkStart w:id="9" w:name="_Toc549"/>
      <w:bookmarkStart w:id="10" w:name="_Toc6791"/>
    </w:p>
    <w:p w14:paraId="28223FCB">
      <w:pPr>
        <w:jc w:val="left"/>
        <w:rPr>
          <w:rFonts w:hint="eastAsia" w:ascii="宋体" w:hAnsi="宋体" w:cs="宋体"/>
          <w:b/>
          <w:bCs/>
          <w:color w:val="auto"/>
          <w:sz w:val="28"/>
          <w:szCs w:val="28"/>
          <w:highlight w:val="none"/>
        </w:rPr>
        <w:sectPr>
          <w:footerReference r:id="rId7" w:type="default"/>
          <w:pgSz w:w="11906" w:h="16838"/>
          <w:pgMar w:top="1134" w:right="915" w:bottom="1134" w:left="1111" w:header="851" w:footer="992" w:gutter="0"/>
          <w:pgNumType w:start="1"/>
          <w:cols w:space="720" w:num="1"/>
          <w:docGrid w:linePitch="312" w:charSpace="0"/>
        </w:sectPr>
      </w:pPr>
      <w:r>
        <w:rPr>
          <w:rFonts w:hint="eastAsia" w:ascii="宋体" w:hAnsi="宋体" w:cs="宋体"/>
          <w:b/>
          <w:color w:val="auto"/>
          <w:sz w:val="24"/>
          <w:highlight w:val="none"/>
        </w:rPr>
        <w:t>注：标“▲且加下划线”为投标的实质性要求和条件，必须作出实质性响应，否则投标无效。标“★”为重要参数，加粗部分为着重提醒各供应商注意。加粗部分为着重提醒各投标人注意。各投标人必须认真阅读和理解招标文件中的每一个条款及要求，因误读招标文件而造成的后果，采购人和采购代理机构概不负责。</w:t>
      </w:r>
    </w:p>
    <w:p w14:paraId="2EAEBD64">
      <w:pPr>
        <w:jc w:val="center"/>
        <w:outlineLvl w:val="0"/>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第一部分  </w:t>
      </w:r>
      <w:bookmarkEnd w:id="0"/>
      <w:r>
        <w:rPr>
          <w:rFonts w:hint="eastAsia" w:ascii="宋体" w:hAnsi="宋体" w:cs="宋体"/>
          <w:b/>
          <w:bCs/>
          <w:color w:val="auto"/>
          <w:sz w:val="28"/>
          <w:szCs w:val="28"/>
          <w:highlight w:val="none"/>
        </w:rPr>
        <w:t xml:space="preserve"> 公开招标公告</w:t>
      </w:r>
    </w:p>
    <w:p w14:paraId="126C31E6">
      <w:pPr>
        <w:pStyle w:val="32"/>
        <w:rPr>
          <w:rFonts w:hint="eastAsia"/>
          <w:color w:val="auto"/>
          <w:highlight w:val="none"/>
        </w:rPr>
      </w:pPr>
    </w:p>
    <w:p w14:paraId="01AAD509">
      <w:pPr>
        <w:rPr>
          <w:rFonts w:hint="eastAsia" w:ascii="宋体" w:hAnsi="宋体" w:cs="宋体"/>
          <w:color w:val="auto"/>
          <w:sz w:val="22"/>
          <w:szCs w:val="22"/>
          <w:highlight w:val="none"/>
        </w:rPr>
      </w:pPr>
      <w:r>
        <w:rPr>
          <w:rFonts w:hint="eastAsia" w:ascii="宋体" w:hAnsi="宋体" w:cs="宋体"/>
          <w:color w:val="auto"/>
          <w:sz w:val="22"/>
          <w:szCs w:val="22"/>
          <w:highlight w:val="none"/>
        </w:rPr>
        <w:t>项目概况</w:t>
      </w:r>
    </w:p>
    <w:p w14:paraId="6EEFA7F9">
      <w:pPr>
        <w:adjustRightInd w:val="0"/>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eastAsia="zh-CN"/>
        </w:rPr>
        <w:t>2025年春节慰问物资</w:t>
      </w:r>
      <w:r>
        <w:rPr>
          <w:rFonts w:hint="eastAsia" w:ascii="宋体" w:hAnsi="宋体" w:cs="宋体"/>
          <w:color w:val="auto"/>
          <w:sz w:val="22"/>
          <w:szCs w:val="22"/>
          <w:highlight w:val="none"/>
        </w:rPr>
        <w:t>项目的潜在投标人应在政采云平台（https://www.zcygov.cn）获取（下载）招标文件，并于2024年</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19</w:t>
      </w:r>
      <w:r>
        <w:rPr>
          <w:rFonts w:hint="eastAsia" w:ascii="宋体" w:hAnsi="宋体" w:cs="宋体"/>
          <w:color w:val="auto"/>
          <w:sz w:val="22"/>
          <w:szCs w:val="22"/>
          <w:highlight w:val="none"/>
        </w:rPr>
        <w:t>日</w:t>
      </w:r>
      <w:r>
        <w:rPr>
          <w:rFonts w:hint="eastAsia" w:ascii="宋体" w:hAnsi="宋体" w:cs="宋体"/>
          <w:color w:val="auto"/>
          <w:sz w:val="22"/>
          <w:szCs w:val="22"/>
          <w:highlight w:val="none"/>
          <w:lang w:val="en-US" w:eastAsia="zh-CN"/>
        </w:rPr>
        <w:t>09</w:t>
      </w:r>
      <w:r>
        <w:rPr>
          <w:rFonts w:hint="eastAsia" w:ascii="宋体" w:hAnsi="宋体" w:cs="宋体"/>
          <w:color w:val="auto"/>
          <w:sz w:val="22"/>
          <w:szCs w:val="22"/>
          <w:highlight w:val="none"/>
        </w:rPr>
        <w:t>:30（北京时间）前递交（上传）投标文件。</w:t>
      </w:r>
    </w:p>
    <w:bookmarkEnd w:id="1"/>
    <w:bookmarkEnd w:id="2"/>
    <w:bookmarkEnd w:id="3"/>
    <w:bookmarkEnd w:id="4"/>
    <w:bookmarkEnd w:id="5"/>
    <w:bookmarkEnd w:id="6"/>
    <w:bookmarkEnd w:id="7"/>
    <w:bookmarkEnd w:id="8"/>
    <w:bookmarkEnd w:id="9"/>
    <w:bookmarkEnd w:id="10"/>
    <w:p w14:paraId="18CD888F">
      <w:pPr>
        <w:numPr>
          <w:ilvl w:val="0"/>
          <w:numId w:val="1"/>
        </w:numPr>
        <w:adjustRightInd w:val="0"/>
        <w:snapToGrid w:val="0"/>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项目基本情况</w:t>
      </w:r>
    </w:p>
    <w:p w14:paraId="03BCC1F0">
      <w:pPr>
        <w:adjustRightInd w:val="0"/>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WZSLZB-YW-20241103</w:t>
      </w:r>
    </w:p>
    <w:p w14:paraId="2FE12C45">
      <w:pPr>
        <w:adjustRightInd w:val="0"/>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2025年春节慰问物资</w:t>
      </w:r>
    </w:p>
    <w:p w14:paraId="1B24C368">
      <w:pPr>
        <w:adjustRightInd w:val="0"/>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预算金额（元）：</w:t>
      </w:r>
      <w:r>
        <w:rPr>
          <w:rFonts w:hint="eastAsia" w:ascii="宋体" w:hAnsi="宋体" w:cs="宋体"/>
          <w:color w:val="auto"/>
          <w:sz w:val="22"/>
          <w:szCs w:val="22"/>
          <w:highlight w:val="none"/>
          <w:lang w:eastAsia="zh-CN"/>
        </w:rPr>
        <w:t>900000</w:t>
      </w:r>
    </w:p>
    <w:p w14:paraId="5DBB1B8A">
      <w:pPr>
        <w:adjustRightInd w:val="0"/>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最高限价（元）：</w:t>
      </w:r>
      <w:r>
        <w:rPr>
          <w:rFonts w:hint="eastAsia" w:ascii="宋体" w:hAnsi="宋体" w:cs="宋体"/>
          <w:color w:val="auto"/>
          <w:sz w:val="22"/>
          <w:szCs w:val="22"/>
          <w:highlight w:val="none"/>
          <w:lang w:eastAsia="zh-CN"/>
        </w:rPr>
        <w:t>900000</w:t>
      </w:r>
    </w:p>
    <w:p w14:paraId="45E25389">
      <w:pPr>
        <w:adjustRightInd w:val="0"/>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采购需求：</w:t>
      </w:r>
    </w:p>
    <w:p w14:paraId="765901ED">
      <w:pPr>
        <w:adjustRightInd w:val="0"/>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详见第五部分采购需求</w:t>
      </w:r>
    </w:p>
    <w:p w14:paraId="39069ACC">
      <w:pPr>
        <w:adjustRightInd w:val="0"/>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简要规格描述或项目基本概况介绍、用途：详见招标文件</w:t>
      </w:r>
    </w:p>
    <w:p w14:paraId="3F65203C">
      <w:pPr>
        <w:adjustRightInd w:val="0"/>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p w14:paraId="04CB23FF">
      <w:pPr>
        <w:adjustRightInd w:val="0"/>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合同履约期限：详见招标文件</w:t>
      </w:r>
    </w:p>
    <w:p w14:paraId="4ADABC68">
      <w:pPr>
        <w:adjustRightInd w:val="0"/>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本项目</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否</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接受联合体投标。</w:t>
      </w:r>
    </w:p>
    <w:p w14:paraId="4C059177">
      <w:pPr>
        <w:numPr>
          <w:ilvl w:val="0"/>
          <w:numId w:val="1"/>
        </w:numPr>
        <w:adjustRightInd w:val="0"/>
        <w:snapToGrid w:val="0"/>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申请人的资格要求：</w:t>
      </w:r>
    </w:p>
    <w:p w14:paraId="3FBDD977">
      <w:pPr>
        <w:numPr>
          <w:ilvl w:val="0"/>
          <w:numId w:val="0"/>
        </w:numPr>
        <w:adjustRightInd w:val="0"/>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满足《中华人民共</w:t>
      </w:r>
      <w:r>
        <w:rPr>
          <w:rFonts w:hint="eastAsia" w:ascii="宋体" w:hAnsi="宋体" w:cs="宋体"/>
          <w:b w:val="0"/>
          <w:bCs w:val="0"/>
          <w:color w:val="auto"/>
          <w:sz w:val="22"/>
          <w:szCs w:val="22"/>
          <w:highlight w:val="none"/>
        </w:rPr>
        <w:t>和国政府采</w:t>
      </w:r>
      <w:r>
        <w:rPr>
          <w:rFonts w:hint="eastAsia" w:ascii="宋体" w:hAnsi="宋体" w:cs="宋体"/>
          <w:b w:val="0"/>
          <w:bCs w:val="0"/>
          <w:color w:val="auto"/>
          <w:sz w:val="22"/>
          <w:szCs w:val="22"/>
          <w:highlight w:val="none"/>
          <w:u w:val="none"/>
        </w:rPr>
        <w:t>购法》第二十二条规定；未被“信用中国”（</w:t>
      </w:r>
      <w:r>
        <w:rPr>
          <w:rFonts w:hint="eastAsia" w:ascii="宋体" w:hAnsi="宋体" w:cs="宋体"/>
          <w:b w:val="0"/>
          <w:bCs w:val="0"/>
          <w:color w:val="auto"/>
          <w:sz w:val="22"/>
          <w:szCs w:val="22"/>
          <w:highlight w:val="none"/>
          <w:u w:val="none"/>
        </w:rPr>
        <w:fldChar w:fldCharType="begin"/>
      </w:r>
      <w:r>
        <w:rPr>
          <w:rStyle w:val="46"/>
          <w:rFonts w:hint="eastAsia" w:ascii="宋体" w:hAnsi="宋体" w:cs="宋体"/>
          <w:b w:val="0"/>
          <w:bCs w:val="0"/>
          <w:color w:val="auto"/>
          <w:sz w:val="22"/>
          <w:szCs w:val="22"/>
          <w:highlight w:val="none"/>
          <w:u w:val="none"/>
        </w:rPr>
        <w:instrText xml:space="preserve"> HYPERLINK "http://www.creditchina.gov.cn/" </w:instrText>
      </w:r>
      <w:r>
        <w:rPr>
          <w:rFonts w:hint="eastAsia" w:ascii="宋体" w:hAnsi="宋体" w:cs="宋体"/>
          <w:b w:val="0"/>
          <w:bCs w:val="0"/>
          <w:color w:val="auto"/>
          <w:sz w:val="22"/>
          <w:szCs w:val="22"/>
          <w:highlight w:val="none"/>
          <w:u w:val="none"/>
        </w:rPr>
        <w:fldChar w:fldCharType="separate"/>
      </w:r>
      <w:r>
        <w:rPr>
          <w:rStyle w:val="46"/>
          <w:rFonts w:hint="eastAsia" w:ascii="宋体" w:hAnsi="宋体" w:cs="宋体"/>
          <w:b w:val="0"/>
          <w:bCs w:val="0"/>
          <w:color w:val="auto"/>
          <w:sz w:val="22"/>
          <w:szCs w:val="22"/>
          <w:highlight w:val="none"/>
          <w:u w:val="none"/>
        </w:rPr>
        <w:t>www.creditchina.gov.cn</w:t>
      </w:r>
      <w:r>
        <w:rPr>
          <w:rFonts w:hint="eastAsia" w:ascii="宋体" w:hAnsi="宋体" w:cs="宋体"/>
          <w:b w:val="0"/>
          <w:bCs w:val="0"/>
          <w:color w:val="auto"/>
          <w:sz w:val="22"/>
          <w:szCs w:val="22"/>
          <w:highlight w:val="none"/>
          <w:u w:val="none"/>
        </w:rPr>
        <w:fldChar w:fldCharType="end"/>
      </w:r>
      <w:r>
        <w:rPr>
          <w:rFonts w:hint="eastAsia" w:ascii="宋体" w:hAnsi="宋体" w:cs="宋体"/>
          <w:b w:val="0"/>
          <w:bCs w:val="0"/>
          <w:color w:val="auto"/>
          <w:sz w:val="22"/>
          <w:szCs w:val="22"/>
          <w:highlight w:val="none"/>
          <w:u w:val="none"/>
        </w:rPr>
        <w:t>）、“中国政府采购网”（</w:t>
      </w:r>
      <w:r>
        <w:rPr>
          <w:rFonts w:hint="eastAsia" w:ascii="宋体" w:hAnsi="宋体" w:cs="宋体"/>
          <w:b w:val="0"/>
          <w:bCs w:val="0"/>
          <w:color w:val="auto"/>
          <w:sz w:val="22"/>
          <w:szCs w:val="22"/>
          <w:highlight w:val="none"/>
          <w:u w:val="none"/>
        </w:rPr>
        <w:fldChar w:fldCharType="begin"/>
      </w:r>
      <w:r>
        <w:rPr>
          <w:rStyle w:val="46"/>
          <w:rFonts w:hint="eastAsia" w:ascii="宋体" w:hAnsi="宋体" w:cs="宋体"/>
          <w:b w:val="0"/>
          <w:bCs w:val="0"/>
          <w:color w:val="auto"/>
          <w:sz w:val="22"/>
          <w:szCs w:val="22"/>
          <w:highlight w:val="none"/>
          <w:u w:val="none"/>
        </w:rPr>
        <w:instrText xml:space="preserve"> HYPERLINK "http://www.ccgp.gov.cn/" </w:instrText>
      </w:r>
      <w:r>
        <w:rPr>
          <w:rFonts w:hint="eastAsia" w:ascii="宋体" w:hAnsi="宋体" w:cs="宋体"/>
          <w:b w:val="0"/>
          <w:bCs w:val="0"/>
          <w:color w:val="auto"/>
          <w:sz w:val="22"/>
          <w:szCs w:val="22"/>
          <w:highlight w:val="none"/>
          <w:u w:val="none"/>
        </w:rPr>
        <w:fldChar w:fldCharType="separate"/>
      </w:r>
      <w:r>
        <w:rPr>
          <w:rStyle w:val="46"/>
          <w:rFonts w:hint="eastAsia" w:ascii="宋体" w:hAnsi="宋体" w:cs="宋体"/>
          <w:b w:val="0"/>
          <w:bCs w:val="0"/>
          <w:color w:val="auto"/>
          <w:sz w:val="22"/>
          <w:szCs w:val="22"/>
          <w:highlight w:val="none"/>
          <w:u w:val="none"/>
        </w:rPr>
        <w:t>www.ccgp.gov.cn</w:t>
      </w:r>
      <w:r>
        <w:rPr>
          <w:rFonts w:hint="eastAsia" w:ascii="宋体" w:hAnsi="宋体" w:cs="宋体"/>
          <w:b w:val="0"/>
          <w:bCs w:val="0"/>
          <w:color w:val="auto"/>
          <w:sz w:val="22"/>
          <w:szCs w:val="22"/>
          <w:highlight w:val="none"/>
          <w:u w:val="none"/>
        </w:rPr>
        <w:fldChar w:fldCharType="end"/>
      </w:r>
      <w:r>
        <w:rPr>
          <w:rFonts w:hint="eastAsia" w:ascii="宋体" w:hAnsi="宋体" w:cs="宋体"/>
          <w:b w:val="0"/>
          <w:bCs w:val="0"/>
          <w:color w:val="auto"/>
          <w:sz w:val="22"/>
          <w:szCs w:val="22"/>
          <w:highlight w:val="none"/>
          <w:u w:val="none"/>
        </w:rPr>
        <w:t>）、“浙江政府采购网（</w:t>
      </w:r>
      <w:r>
        <w:rPr>
          <w:rFonts w:hint="eastAsia" w:ascii="宋体" w:hAnsi="宋体" w:cs="宋体"/>
          <w:b w:val="0"/>
          <w:bCs w:val="0"/>
          <w:color w:val="auto"/>
          <w:sz w:val="22"/>
          <w:szCs w:val="22"/>
          <w:highlight w:val="none"/>
          <w:u w:val="none"/>
        </w:rPr>
        <w:fldChar w:fldCharType="begin"/>
      </w:r>
      <w:r>
        <w:rPr>
          <w:rStyle w:val="46"/>
          <w:rFonts w:hint="eastAsia" w:ascii="宋体" w:hAnsi="宋体" w:cs="宋体"/>
          <w:b w:val="0"/>
          <w:bCs w:val="0"/>
          <w:color w:val="auto"/>
          <w:sz w:val="22"/>
          <w:szCs w:val="22"/>
          <w:highlight w:val="none"/>
          <w:u w:val="none"/>
        </w:rPr>
        <w:instrText xml:space="preserve"> HYPERLINK "http://www.zjzfcg.gov.cn/" </w:instrText>
      </w:r>
      <w:r>
        <w:rPr>
          <w:rFonts w:hint="eastAsia" w:ascii="宋体" w:hAnsi="宋体" w:cs="宋体"/>
          <w:b w:val="0"/>
          <w:bCs w:val="0"/>
          <w:color w:val="auto"/>
          <w:sz w:val="22"/>
          <w:szCs w:val="22"/>
          <w:highlight w:val="none"/>
          <w:u w:val="none"/>
        </w:rPr>
        <w:fldChar w:fldCharType="separate"/>
      </w:r>
      <w:r>
        <w:rPr>
          <w:rStyle w:val="46"/>
          <w:rFonts w:hint="eastAsia" w:ascii="宋体" w:hAnsi="宋体" w:cs="宋体"/>
          <w:b w:val="0"/>
          <w:bCs w:val="0"/>
          <w:color w:val="auto"/>
          <w:sz w:val="22"/>
          <w:szCs w:val="22"/>
          <w:highlight w:val="none"/>
          <w:u w:val="none"/>
        </w:rPr>
        <w:t>www.zjzfcg.gov.cn</w:t>
      </w:r>
      <w:r>
        <w:rPr>
          <w:rFonts w:hint="eastAsia" w:ascii="宋体" w:hAnsi="宋体" w:cs="宋体"/>
          <w:b w:val="0"/>
          <w:bCs w:val="0"/>
          <w:color w:val="auto"/>
          <w:sz w:val="22"/>
          <w:szCs w:val="22"/>
          <w:highlight w:val="none"/>
          <w:u w:val="none"/>
        </w:rPr>
        <w:fldChar w:fldCharType="end"/>
      </w:r>
      <w:r>
        <w:rPr>
          <w:rFonts w:hint="eastAsia" w:ascii="宋体" w:hAnsi="宋体" w:cs="宋体"/>
          <w:b w:val="0"/>
          <w:bCs w:val="0"/>
          <w:color w:val="auto"/>
          <w:sz w:val="22"/>
          <w:szCs w:val="22"/>
          <w:highlight w:val="none"/>
          <w:u w:val="none"/>
        </w:rPr>
        <w:t>）列入失信被执行人、重大税收违法案件当事人名单、政府采购严重违法失信行为记录名单。</w:t>
      </w:r>
    </w:p>
    <w:p w14:paraId="3545CE76">
      <w:pPr>
        <w:numPr>
          <w:ilvl w:val="0"/>
          <w:numId w:val="0"/>
        </w:numPr>
        <w:adjustRightInd w:val="0"/>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落实政府采购政策需满足的资格要求：本项目整体专门面向中小企业采购（残疾人福利性单位和监狱企业视同小微企业）。</w:t>
      </w:r>
    </w:p>
    <w:p w14:paraId="31887360">
      <w:pPr>
        <w:adjustRightInd w:val="0"/>
        <w:snapToGrid w:val="0"/>
        <w:spacing w:line="460" w:lineRule="exact"/>
        <w:ind w:firstLine="440" w:firstLineChars="200"/>
        <w:rPr>
          <w:rFonts w:hint="eastAsia" w:ascii="宋体" w:hAnsi="宋体" w:eastAsia="宋体" w:cs="宋体"/>
          <w:color w:val="auto"/>
          <w:highlight w:val="none"/>
          <w:lang w:val="en-US" w:eastAsia="zh-CN"/>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本项目的特定资格要求：</w:t>
      </w:r>
      <w:r>
        <w:rPr>
          <w:rFonts w:hint="eastAsia" w:ascii="宋体" w:hAnsi="宋体" w:cs="宋体"/>
          <w:color w:val="auto"/>
          <w:sz w:val="22"/>
          <w:szCs w:val="22"/>
          <w:highlight w:val="none"/>
          <w:lang w:val="en-US" w:eastAsia="zh-CN"/>
        </w:rPr>
        <w:t>无</w:t>
      </w:r>
    </w:p>
    <w:p w14:paraId="5794DA8C">
      <w:pPr>
        <w:numPr>
          <w:ilvl w:val="0"/>
          <w:numId w:val="1"/>
        </w:numPr>
        <w:adjustRightInd w:val="0"/>
        <w:snapToGrid w:val="0"/>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获取招标文件</w:t>
      </w:r>
    </w:p>
    <w:p w14:paraId="43C59027">
      <w:pPr>
        <w:spacing w:line="336" w:lineRule="auto"/>
        <w:ind w:left="440" w:hanging="440" w:hangingChars="200"/>
        <w:rPr>
          <w:rFonts w:hint="eastAsia" w:ascii="宋体" w:hAnsi="宋体" w:cs="宋体"/>
          <w:color w:val="auto"/>
          <w:sz w:val="22"/>
          <w:szCs w:val="22"/>
          <w:highlight w:val="none"/>
        </w:rPr>
      </w:pPr>
      <w:r>
        <w:rPr>
          <w:rFonts w:hint="eastAsia" w:ascii="宋体" w:hAnsi="宋体" w:cs="宋体"/>
          <w:color w:val="auto"/>
          <w:sz w:val="22"/>
          <w:szCs w:val="22"/>
          <w:highlight w:val="none"/>
        </w:rPr>
        <w:t>时间：2024年</w:t>
      </w: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28</w:t>
      </w:r>
      <w:r>
        <w:rPr>
          <w:rFonts w:hint="eastAsia" w:ascii="宋体" w:hAnsi="宋体" w:cs="宋体"/>
          <w:color w:val="auto"/>
          <w:sz w:val="22"/>
          <w:szCs w:val="22"/>
          <w:highlight w:val="none"/>
        </w:rPr>
        <w:t>日至2024年</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19</w:t>
      </w:r>
      <w:r>
        <w:rPr>
          <w:rFonts w:hint="eastAsia" w:ascii="宋体" w:hAnsi="宋体" w:cs="宋体"/>
          <w:color w:val="auto"/>
          <w:sz w:val="22"/>
          <w:szCs w:val="22"/>
          <w:highlight w:val="none"/>
        </w:rPr>
        <w:t>日，每天上午00:00至12:00，下午12:00至23:59（北京时间，线上获取法定节假日均可，线下获取文件法定节假日除外</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未按规定时间及方式获取招标文件的潜在供应商拒绝参加投标，且其提出的质疑不予受理）</w:t>
      </w:r>
    </w:p>
    <w:p w14:paraId="40F08381">
      <w:pPr>
        <w:adjustRightInd w:val="0"/>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地点（网址）：政采云平台（https://www.zcygov.cn） </w:t>
      </w:r>
    </w:p>
    <w:p w14:paraId="7F207756">
      <w:pPr>
        <w:adjustRightInd w:val="0"/>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方式：供应商登录政采云平台https://www.zcygov.cn/在线申请获取招标文件（进入“项目采购”应用，在获取招标文件菜单中选择项目，申请获取招标文件）。</w:t>
      </w:r>
    </w:p>
    <w:p w14:paraId="344E4C8D">
      <w:pPr>
        <w:adjustRightInd w:val="0"/>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售价（元）：0 </w:t>
      </w:r>
    </w:p>
    <w:p w14:paraId="0F4B9E72">
      <w:pPr>
        <w:numPr>
          <w:ilvl w:val="0"/>
          <w:numId w:val="1"/>
        </w:numPr>
        <w:adjustRightInd w:val="0"/>
        <w:snapToGrid w:val="0"/>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提交投标文件截止时间、开标时间和地点</w:t>
      </w:r>
    </w:p>
    <w:p w14:paraId="7876BE9D">
      <w:pPr>
        <w:adjustRightInd w:val="0"/>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提交投标文件截止时间：2024年</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19</w:t>
      </w:r>
      <w:r>
        <w:rPr>
          <w:rFonts w:hint="eastAsia" w:ascii="宋体" w:hAnsi="宋体" w:cs="宋体"/>
          <w:color w:val="auto"/>
          <w:sz w:val="22"/>
          <w:szCs w:val="22"/>
          <w:highlight w:val="none"/>
        </w:rPr>
        <w:t>日</w:t>
      </w:r>
      <w:r>
        <w:rPr>
          <w:rFonts w:hint="eastAsia" w:ascii="宋体" w:hAnsi="宋体" w:cs="宋体"/>
          <w:color w:val="auto"/>
          <w:sz w:val="22"/>
          <w:szCs w:val="22"/>
          <w:highlight w:val="none"/>
          <w:lang w:val="en-US" w:eastAsia="zh-CN"/>
        </w:rPr>
        <w:t>09</w:t>
      </w:r>
      <w:r>
        <w:rPr>
          <w:rFonts w:hint="eastAsia" w:ascii="宋体" w:hAnsi="宋体" w:cs="宋体"/>
          <w:color w:val="auto"/>
          <w:sz w:val="22"/>
          <w:szCs w:val="22"/>
          <w:highlight w:val="none"/>
        </w:rPr>
        <w:t>:30（北京时间）</w:t>
      </w:r>
    </w:p>
    <w:p w14:paraId="22227192">
      <w:pPr>
        <w:adjustRightInd w:val="0"/>
        <w:snapToGrid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投标地点（网址）：政府采购云平台（https://www.zcygov.cn） </w:t>
      </w:r>
    </w:p>
    <w:p w14:paraId="6DD88532">
      <w:pPr>
        <w:adjustRightInd w:val="0"/>
        <w:snapToGrid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开标时间：2024年</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19</w:t>
      </w:r>
      <w:r>
        <w:rPr>
          <w:rFonts w:hint="eastAsia" w:ascii="宋体" w:hAnsi="宋体" w:cs="宋体"/>
          <w:color w:val="auto"/>
          <w:sz w:val="22"/>
          <w:szCs w:val="22"/>
          <w:highlight w:val="none"/>
        </w:rPr>
        <w:t xml:space="preserve">日 </w:t>
      </w:r>
      <w:r>
        <w:rPr>
          <w:rFonts w:hint="eastAsia" w:ascii="宋体" w:hAnsi="宋体" w:cs="宋体"/>
          <w:color w:val="auto"/>
          <w:sz w:val="22"/>
          <w:szCs w:val="22"/>
          <w:highlight w:val="none"/>
          <w:lang w:val="en-US" w:eastAsia="zh-CN"/>
        </w:rPr>
        <w:t>09</w:t>
      </w:r>
      <w:r>
        <w:rPr>
          <w:rFonts w:hint="eastAsia" w:ascii="宋体" w:hAnsi="宋体" w:cs="宋体"/>
          <w:color w:val="auto"/>
          <w:sz w:val="22"/>
          <w:szCs w:val="22"/>
          <w:highlight w:val="none"/>
        </w:rPr>
        <w:t>:30（北京时间）</w:t>
      </w:r>
    </w:p>
    <w:p w14:paraId="524D72F3">
      <w:pPr>
        <w:pStyle w:val="32"/>
        <w:spacing w:line="460" w:lineRule="exact"/>
        <w:rPr>
          <w:rFonts w:hint="eastAsia" w:ascii="宋体" w:hAnsi="宋体" w:cs="宋体"/>
          <w:smallCaps w:val="0"/>
          <w:color w:val="auto"/>
          <w:sz w:val="22"/>
          <w:szCs w:val="22"/>
          <w:highlight w:val="none"/>
        </w:rPr>
      </w:pPr>
      <w:r>
        <w:rPr>
          <w:rFonts w:hint="eastAsia" w:ascii="宋体" w:hAnsi="宋体" w:cs="宋体"/>
          <w:smallCaps w:val="0"/>
          <w:color w:val="auto"/>
          <w:sz w:val="22"/>
          <w:szCs w:val="22"/>
          <w:highlight w:val="none"/>
        </w:rPr>
        <w:t> 开标地点（网址）：温州市</w:t>
      </w:r>
      <w:r>
        <w:rPr>
          <w:rFonts w:hint="eastAsia" w:ascii="宋体" w:hAnsi="宋体" w:cs="宋体"/>
          <w:smallCaps w:val="0"/>
          <w:color w:val="auto"/>
          <w:sz w:val="22"/>
          <w:szCs w:val="22"/>
          <w:highlight w:val="none"/>
          <w:lang w:eastAsia="zh-CN"/>
        </w:rPr>
        <w:t>鹿城区市府路新益大厦1幢601室</w:t>
      </w:r>
      <w:r>
        <w:rPr>
          <w:rFonts w:hint="eastAsia" w:ascii="宋体" w:hAnsi="宋体" w:cs="宋体"/>
          <w:smallCaps w:val="0"/>
          <w:color w:val="auto"/>
          <w:sz w:val="22"/>
          <w:szCs w:val="22"/>
          <w:highlight w:val="none"/>
        </w:rPr>
        <w:t>（政府采购云平台（https://www.zcygov.cn/））</w:t>
      </w:r>
    </w:p>
    <w:p w14:paraId="6CBC9F92">
      <w:pPr>
        <w:adjustRightInd w:val="0"/>
        <w:snapToGrid w:val="0"/>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五、公告期限 </w:t>
      </w:r>
    </w:p>
    <w:p w14:paraId="24BA660C">
      <w:pPr>
        <w:adjustRightInd w:val="0"/>
        <w:snapToGrid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自本公告发布之日起5个工作日。</w:t>
      </w:r>
    </w:p>
    <w:p w14:paraId="063FA536">
      <w:pPr>
        <w:adjustRightInd w:val="0"/>
        <w:snapToGrid w:val="0"/>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六、其他补充事宜</w:t>
      </w:r>
    </w:p>
    <w:p w14:paraId="796ABC17">
      <w:pPr>
        <w:adjustRightInd w:val="0"/>
        <w:snapToGrid w:val="0"/>
        <w:spacing w:line="4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CF22C3E">
      <w:pPr>
        <w:adjustRightInd w:val="0"/>
        <w:snapToGrid w:val="0"/>
        <w:spacing w:line="4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59162A62">
      <w:pPr>
        <w:keepNext w:val="0"/>
        <w:keepLines w:val="0"/>
        <w:pageBreakBefore w:val="0"/>
        <w:widowControl w:val="0"/>
        <w:kinsoku/>
        <w:wordWrap w:val="0"/>
        <w:overflowPunct/>
        <w:topLinePunct w:val="0"/>
        <w:autoSpaceDE/>
        <w:autoSpaceDN/>
        <w:bidi w:val="0"/>
        <w:adjustRightInd w:val="0"/>
        <w:snapToGrid w:val="0"/>
        <w:spacing w:line="460" w:lineRule="exact"/>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   3.其他事项：3.1投标人必须先在政府采购云平台进行登记注册，相关事宜请参照（《供应商网上注册操作指南》“浙江政府采购网首页-办事指南-注册-供应商注册申请”），登录政府采购云平台后台依法进行网上自主下载。3.2本项目实行电子投标，应按照本项目招标文件和政采云平台的要求编制、加密并递交投标文件。投标人在使用系统进行投标的过程中遇到涉及平台使用的任何问题，可致电政采云平台技术支持热线咨询，联系方式：400-881-7190。3.3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zfcg.czt.zj.gov.cn/bidClientTemplate/2019-05-27/12945.html。《CA管理操作指南》：https://service.zcygov.cn/#/knowledges/cm2eqWwBFdiHxlNd_otq/lwV6GXABiyELHE-oVMj3?keyword。3.4投标人通过政采云平台电子投标工具制作投标文件，电子投标工具请投标人自行前往浙江省政府采购网下载并安装，（电子交易客户端下载地址：zfcg.czt.zj.gov.cn/bidClientTemplate/2019-09-24/12975.html），电子投标操作指南详见：“https://edu.zcygov.cn/luban/e-biding”。2.5投标人可通过浙江省“电子交易/不见面开评标”学习专题提前进行专题学习，熟悉操作，避免影响采购活动（https://edu.zcygov.cn/luban/e-biding）。   </w:t>
      </w:r>
    </w:p>
    <w:p w14:paraId="14AEAF77">
      <w:pPr>
        <w:adjustRightInd w:val="0"/>
        <w:snapToGrid w:val="0"/>
        <w:spacing w:line="460" w:lineRule="exact"/>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七、对本次采购提出询问、质疑、投诉，请按以下方式联系</w:t>
      </w:r>
    </w:p>
    <w:p w14:paraId="2D69C462">
      <w:pPr>
        <w:adjustRightInd w:val="0"/>
        <w:snapToGrid w:val="0"/>
        <w:spacing w:line="460" w:lineRule="exact"/>
        <w:ind w:firstLine="66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1.采购人信息</w:t>
      </w:r>
    </w:p>
    <w:p w14:paraId="624F056A">
      <w:pPr>
        <w:adjustRightInd w:val="0"/>
        <w:snapToGrid w:val="0"/>
        <w:spacing w:line="460" w:lineRule="exact"/>
        <w:ind w:firstLine="660" w:firstLineChars="3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名    称：</w:t>
      </w:r>
      <w:r>
        <w:rPr>
          <w:rFonts w:hint="eastAsia" w:ascii="宋体" w:hAnsi="宋体" w:cs="宋体"/>
          <w:color w:val="auto"/>
          <w:sz w:val="22"/>
          <w:szCs w:val="22"/>
          <w:highlight w:val="none"/>
          <w:lang w:eastAsia="zh-CN"/>
        </w:rPr>
        <w:t>温州市退役军人事务局</w:t>
      </w:r>
    </w:p>
    <w:p w14:paraId="6A0C08D3">
      <w:pPr>
        <w:adjustRightInd w:val="0"/>
        <w:snapToGrid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地    址：</w:t>
      </w:r>
      <w:r>
        <w:rPr>
          <w:rFonts w:hint="eastAsia" w:ascii="宋体" w:hAnsi="宋体" w:cs="宋体"/>
          <w:color w:val="auto"/>
          <w:sz w:val="22"/>
          <w:szCs w:val="22"/>
          <w:highlight w:val="none"/>
          <w:lang w:eastAsia="zh-CN"/>
        </w:rPr>
        <w:t>温州大道2299号</w:t>
      </w:r>
    </w:p>
    <w:p w14:paraId="43D29621">
      <w:pPr>
        <w:adjustRightInd w:val="0"/>
        <w:snapToGrid w:val="0"/>
        <w:spacing w:line="46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项目联系人（询问）：</w:t>
      </w:r>
      <w:r>
        <w:rPr>
          <w:rFonts w:hint="eastAsia" w:ascii="宋体" w:hAnsi="宋体" w:cs="宋体"/>
          <w:color w:val="auto"/>
          <w:sz w:val="22"/>
          <w:szCs w:val="22"/>
          <w:highlight w:val="none"/>
          <w:lang w:eastAsia="zh-CN"/>
        </w:rPr>
        <w:t>詹先生</w:t>
      </w:r>
    </w:p>
    <w:p w14:paraId="4BDBB726">
      <w:pPr>
        <w:adjustRightInd w:val="0"/>
        <w:snapToGrid w:val="0"/>
        <w:spacing w:line="46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项目联系方式（询问）：</w:t>
      </w:r>
      <w:r>
        <w:rPr>
          <w:rFonts w:hint="eastAsia" w:ascii="宋体" w:hAnsi="宋体" w:cs="宋体"/>
          <w:color w:val="auto"/>
          <w:sz w:val="22"/>
          <w:szCs w:val="22"/>
          <w:highlight w:val="none"/>
          <w:lang w:eastAsia="zh-CN"/>
        </w:rPr>
        <w:t>0577-88051022</w:t>
      </w:r>
    </w:p>
    <w:p w14:paraId="768326A3">
      <w:pPr>
        <w:adjustRightInd w:val="0"/>
        <w:snapToGrid w:val="0"/>
        <w:spacing w:line="46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质疑联系人：</w:t>
      </w:r>
      <w:r>
        <w:rPr>
          <w:rFonts w:hint="eastAsia" w:ascii="宋体" w:hAnsi="宋体" w:cs="宋体"/>
          <w:color w:val="auto"/>
          <w:sz w:val="22"/>
          <w:szCs w:val="22"/>
          <w:highlight w:val="none"/>
          <w:lang w:val="en-US" w:eastAsia="zh-CN"/>
        </w:rPr>
        <w:t>张</w:t>
      </w:r>
      <w:r>
        <w:rPr>
          <w:rFonts w:hint="eastAsia" w:ascii="宋体" w:hAnsi="宋体" w:cs="宋体"/>
          <w:color w:val="auto"/>
          <w:sz w:val="22"/>
          <w:szCs w:val="22"/>
          <w:highlight w:val="none"/>
          <w:lang w:eastAsia="zh-CN"/>
        </w:rPr>
        <w:t>先生</w:t>
      </w:r>
    </w:p>
    <w:p w14:paraId="3B90F65C">
      <w:pPr>
        <w:adjustRightInd w:val="0"/>
        <w:snapToGrid w:val="0"/>
        <w:spacing w:line="460" w:lineRule="exact"/>
        <w:ind w:firstLine="660"/>
        <w:rPr>
          <w:rFonts w:hint="eastAsia"/>
          <w:color w:val="auto"/>
          <w:highlight w:val="none"/>
        </w:rPr>
      </w:pPr>
      <w:r>
        <w:rPr>
          <w:rFonts w:hint="eastAsia" w:ascii="宋体" w:hAnsi="宋体" w:cs="宋体"/>
          <w:color w:val="auto"/>
          <w:sz w:val="22"/>
          <w:szCs w:val="22"/>
          <w:highlight w:val="none"/>
        </w:rPr>
        <w:t>质疑联系方式：</w:t>
      </w:r>
      <w:r>
        <w:rPr>
          <w:rFonts w:hint="eastAsia" w:ascii="宋体" w:hAnsi="宋体" w:cs="宋体"/>
          <w:color w:val="auto"/>
          <w:sz w:val="22"/>
          <w:szCs w:val="22"/>
          <w:highlight w:val="none"/>
          <w:lang w:eastAsia="zh-CN"/>
        </w:rPr>
        <w:t>0577-88051067</w:t>
      </w:r>
    </w:p>
    <w:p w14:paraId="2448CE9E">
      <w:pPr>
        <w:adjustRightInd w:val="0"/>
        <w:snapToGrid w:val="0"/>
        <w:spacing w:line="460" w:lineRule="exact"/>
        <w:ind w:firstLine="660"/>
        <w:rPr>
          <w:rFonts w:hint="eastAsia" w:ascii="宋体" w:hAnsi="宋体" w:cs="宋体"/>
          <w:color w:val="auto"/>
          <w:sz w:val="22"/>
          <w:szCs w:val="22"/>
          <w:highlight w:val="none"/>
        </w:rPr>
      </w:pPr>
      <w:r>
        <w:rPr>
          <w:rFonts w:hint="eastAsia" w:ascii="宋体" w:hAnsi="宋体" w:cs="宋体"/>
          <w:color w:val="auto"/>
          <w:sz w:val="22"/>
          <w:szCs w:val="22"/>
          <w:highlight w:val="none"/>
        </w:rPr>
        <w:t>2.采购代理机构信息</w:t>
      </w:r>
    </w:p>
    <w:p w14:paraId="5128BA1E">
      <w:pPr>
        <w:adjustRightInd w:val="0"/>
        <w:snapToGrid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名    称：温州市圣励招标代理有限公司</w:t>
      </w:r>
    </w:p>
    <w:p w14:paraId="4BC53BAF">
      <w:pPr>
        <w:adjustRightInd w:val="0"/>
        <w:snapToGrid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地    址：鹿城区市府路新益大厦1幢601室</w:t>
      </w:r>
    </w:p>
    <w:p w14:paraId="49CAC661">
      <w:pPr>
        <w:adjustRightInd w:val="0"/>
        <w:snapToGrid w:val="0"/>
        <w:spacing w:line="46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    项目联系人（询问）：</w:t>
      </w:r>
      <w:r>
        <w:rPr>
          <w:rFonts w:hint="eastAsia" w:ascii="宋体" w:hAnsi="宋体" w:cs="宋体"/>
          <w:color w:val="auto"/>
          <w:sz w:val="22"/>
          <w:szCs w:val="22"/>
          <w:highlight w:val="none"/>
          <w:lang w:val="en-US" w:eastAsia="zh-CN"/>
        </w:rPr>
        <w:t>李先生</w:t>
      </w:r>
    </w:p>
    <w:p w14:paraId="346002AC">
      <w:pPr>
        <w:adjustRightInd w:val="0"/>
        <w:snapToGrid w:val="0"/>
        <w:spacing w:line="46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    项目联系方式（询问）：</w:t>
      </w:r>
      <w:r>
        <w:rPr>
          <w:rFonts w:hint="eastAsia" w:ascii="宋体" w:hAnsi="宋体" w:eastAsia="宋体" w:cs="宋体"/>
          <w:i w:val="0"/>
          <w:iCs w:val="0"/>
          <w:caps w:val="0"/>
          <w:color w:val="auto"/>
          <w:spacing w:val="0"/>
          <w:sz w:val="22"/>
          <w:szCs w:val="22"/>
          <w:highlight w:val="none"/>
        </w:rPr>
        <w:t>0577-88812277/</w:t>
      </w:r>
      <w:r>
        <w:rPr>
          <w:rFonts w:hint="eastAsia" w:ascii="宋体" w:hAnsi="宋体" w:cs="宋体"/>
          <w:i w:val="0"/>
          <w:iCs w:val="0"/>
          <w:caps w:val="0"/>
          <w:color w:val="auto"/>
          <w:spacing w:val="0"/>
          <w:sz w:val="22"/>
          <w:szCs w:val="22"/>
          <w:highlight w:val="none"/>
          <w:lang w:val="en-US" w:eastAsia="zh-CN"/>
        </w:rPr>
        <w:t>17276163854</w:t>
      </w:r>
    </w:p>
    <w:p w14:paraId="3B340CB3">
      <w:pPr>
        <w:adjustRightInd w:val="0"/>
        <w:snapToGrid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质疑联系人：李女士</w:t>
      </w:r>
    </w:p>
    <w:p w14:paraId="41239A05">
      <w:pPr>
        <w:adjustRightInd w:val="0"/>
        <w:snapToGrid w:val="0"/>
        <w:spacing w:line="460" w:lineRule="exact"/>
        <w:ind w:firstLine="660"/>
        <w:rPr>
          <w:rFonts w:hint="eastAsia"/>
          <w:color w:val="auto"/>
          <w:highlight w:val="none"/>
        </w:rPr>
      </w:pPr>
      <w:r>
        <w:rPr>
          <w:rFonts w:hint="eastAsia" w:ascii="宋体" w:hAnsi="宋体" w:cs="宋体"/>
          <w:color w:val="auto"/>
          <w:sz w:val="22"/>
          <w:szCs w:val="22"/>
          <w:highlight w:val="none"/>
        </w:rPr>
        <w:t>质疑联系方式：0577-88812277</w:t>
      </w:r>
    </w:p>
    <w:p w14:paraId="663D83C2">
      <w:pPr>
        <w:adjustRightInd w:val="0"/>
        <w:snapToGrid w:val="0"/>
        <w:spacing w:line="460" w:lineRule="exact"/>
        <w:ind w:firstLine="660" w:firstLineChars="300"/>
        <w:rPr>
          <w:rFonts w:hint="eastAsia" w:ascii="宋体" w:hAnsi="宋体" w:cs="宋体"/>
          <w:color w:val="auto"/>
          <w:sz w:val="22"/>
          <w:szCs w:val="22"/>
          <w:highlight w:val="none"/>
        </w:rPr>
      </w:pPr>
      <w:r>
        <w:rPr>
          <w:rFonts w:hint="eastAsia" w:ascii="宋体" w:hAnsi="宋体" w:cs="宋体"/>
          <w:color w:val="auto"/>
          <w:sz w:val="22"/>
          <w:szCs w:val="22"/>
          <w:highlight w:val="none"/>
        </w:rPr>
        <w:t>3.同级政府采购监督管理部门</w:t>
      </w:r>
    </w:p>
    <w:p w14:paraId="211228CC">
      <w:pPr>
        <w:adjustRightInd w:val="0"/>
        <w:snapToGrid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名   称：温州市财政局政府采购监管处</w:t>
      </w:r>
    </w:p>
    <w:p w14:paraId="10BF1011">
      <w:pPr>
        <w:adjustRightInd w:val="0"/>
        <w:snapToGrid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地   址：温州市鹿城区绣山路299号</w:t>
      </w:r>
    </w:p>
    <w:p w14:paraId="0885BD55">
      <w:pPr>
        <w:adjustRightInd w:val="0"/>
        <w:snapToGrid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联系人 ：项先生、蔡女士</w:t>
      </w:r>
    </w:p>
    <w:p w14:paraId="05B309BF">
      <w:pPr>
        <w:adjustRightInd w:val="0"/>
        <w:snapToGrid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监督投诉电话：0577-88532725、88521948</w:t>
      </w:r>
    </w:p>
    <w:p w14:paraId="72EF4028">
      <w:pPr>
        <w:adjustRightInd w:val="0"/>
        <w:snapToGrid w:val="0"/>
        <w:spacing w:line="4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19D83C37">
      <w:pPr>
        <w:pStyle w:val="3"/>
        <w:spacing w:line="420" w:lineRule="exact"/>
        <w:jc w:val="center"/>
        <w:rPr>
          <w:rFonts w:hint="eastAsia" w:ascii="宋体" w:hAnsi="宋体" w:cs="宋体"/>
          <w:color w:val="auto"/>
          <w:sz w:val="36"/>
          <w:szCs w:val="36"/>
          <w:highlight w:val="none"/>
        </w:rPr>
      </w:pPr>
      <w:bookmarkStart w:id="11" w:name="_Toc24683"/>
      <w:bookmarkStart w:id="12" w:name="_Toc195502487"/>
      <w:bookmarkStart w:id="13" w:name="_Toc195502577"/>
      <w:bookmarkStart w:id="14" w:name="_Toc202085287"/>
      <w:r>
        <w:rPr>
          <w:rFonts w:hint="eastAsia" w:ascii="宋体" w:hAnsi="宋体" w:cs="宋体"/>
          <w:color w:val="auto"/>
          <w:sz w:val="36"/>
          <w:szCs w:val="36"/>
          <w:highlight w:val="none"/>
        </w:rPr>
        <w:br w:type="page"/>
      </w:r>
      <w:r>
        <w:rPr>
          <w:rFonts w:hint="eastAsia" w:ascii="宋体" w:hAnsi="宋体" w:cs="宋体"/>
          <w:color w:val="auto"/>
          <w:sz w:val="36"/>
          <w:szCs w:val="36"/>
          <w:highlight w:val="none"/>
        </w:rPr>
        <w:t>第二部分   投标人须知</w:t>
      </w:r>
      <w:bookmarkEnd w:id="11"/>
      <w:bookmarkEnd w:id="12"/>
      <w:bookmarkEnd w:id="13"/>
      <w:bookmarkEnd w:id="14"/>
    </w:p>
    <w:p w14:paraId="363737D1">
      <w:pPr>
        <w:pStyle w:val="4"/>
        <w:spacing w:line="420" w:lineRule="exact"/>
        <w:jc w:val="center"/>
        <w:rPr>
          <w:rFonts w:hint="eastAsia" w:ascii="宋体" w:hAnsi="宋体" w:eastAsia="宋体" w:cs="宋体"/>
          <w:color w:val="auto"/>
          <w:sz w:val="28"/>
          <w:szCs w:val="28"/>
          <w:highlight w:val="none"/>
        </w:rPr>
      </w:pPr>
      <w:bookmarkStart w:id="15" w:name="_Toc486600281"/>
      <w:bookmarkStart w:id="16" w:name="_Toc12338"/>
      <w:bookmarkStart w:id="17" w:name="_Toc525993250"/>
      <w:r>
        <w:rPr>
          <w:rFonts w:hint="eastAsia" w:ascii="宋体" w:hAnsi="宋体" w:eastAsia="宋体" w:cs="宋体"/>
          <w:color w:val="auto"/>
          <w:sz w:val="28"/>
          <w:szCs w:val="28"/>
          <w:highlight w:val="none"/>
        </w:rPr>
        <w:t>投标人须知前附表</w:t>
      </w:r>
      <w:bookmarkEnd w:id="15"/>
      <w:bookmarkEnd w:id="16"/>
      <w:bookmarkEnd w:id="17"/>
    </w:p>
    <w:tbl>
      <w:tblPr>
        <w:tblStyle w:val="40"/>
        <w:tblW w:w="0" w:type="auto"/>
        <w:jc w:val="center"/>
        <w:tblLayout w:type="fixed"/>
        <w:tblCellMar>
          <w:top w:w="0" w:type="dxa"/>
          <w:left w:w="108" w:type="dxa"/>
          <w:bottom w:w="0" w:type="dxa"/>
          <w:right w:w="108" w:type="dxa"/>
        </w:tblCellMar>
      </w:tblPr>
      <w:tblGrid>
        <w:gridCol w:w="766"/>
        <w:gridCol w:w="1796"/>
        <w:gridCol w:w="6317"/>
      </w:tblGrid>
      <w:tr w14:paraId="5D37436B">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7E0F17A">
            <w:pPr>
              <w:spacing w:line="360" w:lineRule="exact"/>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53C1AD2E">
            <w:pPr>
              <w:spacing w:line="360" w:lineRule="exact"/>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条款名称</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763467DB">
            <w:pPr>
              <w:spacing w:line="360" w:lineRule="exact"/>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编列内容</w:t>
            </w:r>
          </w:p>
        </w:tc>
      </w:tr>
      <w:tr w14:paraId="00031FB6">
        <w:tblPrEx>
          <w:tblCellMar>
            <w:top w:w="0" w:type="dxa"/>
            <w:left w:w="108" w:type="dxa"/>
            <w:bottom w:w="0" w:type="dxa"/>
            <w:right w:w="108" w:type="dxa"/>
          </w:tblCellMar>
        </w:tblPrEx>
        <w:trPr>
          <w:trHeight w:val="575"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D6749E3">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1AEDDA4D">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采购人</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1305805F">
            <w:pPr>
              <w:autoSpaceDE w:val="0"/>
              <w:autoSpaceDN w:val="0"/>
              <w:adjustRightInd w:val="0"/>
              <w:spacing w:line="360" w:lineRule="exact"/>
              <w:jc w:val="left"/>
              <w:rPr>
                <w:rFonts w:hint="eastAsia" w:ascii="宋体" w:hAnsi="宋体" w:cs="宋体"/>
                <w:color w:val="auto"/>
                <w:sz w:val="22"/>
                <w:szCs w:val="22"/>
                <w:highlight w:val="none"/>
                <w:lang w:val="zh-CN"/>
              </w:rPr>
            </w:pPr>
            <w:r>
              <w:rPr>
                <w:rFonts w:hint="eastAsia" w:ascii="宋体" w:hAnsi="宋体" w:cs="宋体"/>
                <w:color w:val="auto"/>
                <w:kern w:val="0"/>
                <w:sz w:val="22"/>
                <w:szCs w:val="22"/>
                <w:highlight w:val="none"/>
                <w:lang w:val="zh-CN"/>
              </w:rPr>
              <w:t>温州市退役军人事务局</w:t>
            </w:r>
          </w:p>
        </w:tc>
      </w:tr>
      <w:tr w14:paraId="171B016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A4269E3">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3633B16D">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采购代理机构</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74091E48">
            <w:pPr>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温州市圣励招标代理有限公司</w:t>
            </w:r>
          </w:p>
        </w:tc>
      </w:tr>
      <w:tr w14:paraId="2E0E42A5">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393D7A3">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2C6008C">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项目名称</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16E156AE">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2025年春节慰问物资</w:t>
            </w:r>
          </w:p>
          <w:p w14:paraId="2191973C">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项目编号：WZSLZB-YW-20241103</w:t>
            </w:r>
          </w:p>
        </w:tc>
      </w:tr>
      <w:tr w14:paraId="17AB981B">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08B0FF75">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3C92BEDC">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zh-CN"/>
              </w:rPr>
              <w:t>预算金额</w:t>
            </w:r>
            <w:r>
              <w:rPr>
                <w:rFonts w:hint="eastAsia" w:ascii="宋体" w:hAnsi="宋体" w:cs="宋体"/>
                <w:color w:val="auto"/>
                <w:kern w:val="0"/>
                <w:sz w:val="22"/>
                <w:szCs w:val="22"/>
                <w:highlight w:val="none"/>
              </w:rPr>
              <w:t>及资金来源</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6C387AB9">
            <w:pPr>
              <w:autoSpaceDE w:val="0"/>
              <w:autoSpaceDN w:val="0"/>
              <w:adjustRightInd w:val="0"/>
              <w:spacing w:line="36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▲预算金额： </w:t>
            </w:r>
            <w:r>
              <w:rPr>
                <w:rFonts w:hint="eastAsia" w:ascii="宋体" w:hAnsi="宋体" w:cs="宋体"/>
                <w:color w:val="auto"/>
                <w:sz w:val="22"/>
                <w:szCs w:val="22"/>
                <w:highlight w:val="none"/>
                <w:u w:val="single"/>
                <w:lang w:eastAsia="zh-CN"/>
              </w:rPr>
              <w:t>900000</w:t>
            </w:r>
            <w:r>
              <w:rPr>
                <w:rFonts w:hint="eastAsia" w:ascii="宋体" w:hAnsi="宋体" w:cs="宋体"/>
                <w:color w:val="auto"/>
                <w:sz w:val="22"/>
                <w:szCs w:val="22"/>
                <w:highlight w:val="none"/>
                <w:u w:val="single"/>
              </w:rPr>
              <w:t>元</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单套预算</w:t>
            </w:r>
            <w:r>
              <w:rPr>
                <w:rFonts w:hint="eastAsia" w:ascii="宋体" w:hAnsi="宋体" w:cs="宋体"/>
                <w:color w:val="auto"/>
                <w:sz w:val="22"/>
                <w:szCs w:val="22"/>
                <w:highlight w:val="none"/>
                <w:u w:val="single"/>
                <w:lang w:val="en-US" w:eastAsia="zh-CN"/>
              </w:rPr>
              <w:t>金额</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540元，</w:t>
            </w:r>
            <w:r>
              <w:rPr>
                <w:rFonts w:hint="eastAsia" w:ascii="新宋体" w:hAnsi="新宋体" w:eastAsia="新宋体"/>
                <w:b w:val="0"/>
                <w:bCs/>
                <w:color w:val="auto"/>
                <w:sz w:val="22"/>
                <w:szCs w:val="22"/>
                <w:highlight w:val="none"/>
                <w:u w:val="single"/>
              </w:rPr>
              <w:t>具体采购总额以最终采购数量为准</w:t>
            </w:r>
            <w:r>
              <w:rPr>
                <w:rFonts w:hint="eastAsia" w:ascii="宋体" w:hAnsi="宋体" w:cs="宋体"/>
                <w:color w:val="auto"/>
                <w:sz w:val="22"/>
                <w:szCs w:val="22"/>
                <w:highlight w:val="none"/>
                <w:u w:val="single"/>
                <w:lang w:val="en-US" w:eastAsia="zh-CN"/>
              </w:rPr>
              <w:t>，</w:t>
            </w:r>
            <w:r>
              <w:rPr>
                <w:rFonts w:hint="eastAsia" w:ascii="宋体" w:hAnsi="宋体" w:cs="宋体"/>
                <w:color w:val="auto"/>
                <w:sz w:val="22"/>
                <w:szCs w:val="22"/>
                <w:highlight w:val="none"/>
                <w:u w:val="single"/>
              </w:rPr>
              <w:t>报价超过预算金额</w:t>
            </w:r>
            <w:r>
              <w:rPr>
                <w:rFonts w:hint="eastAsia" w:ascii="宋体" w:hAnsi="宋体" w:cs="宋体"/>
                <w:color w:val="auto"/>
                <w:sz w:val="22"/>
                <w:szCs w:val="22"/>
                <w:highlight w:val="none"/>
                <w:u w:val="single"/>
                <w:lang w:val="en-US" w:eastAsia="zh-CN"/>
              </w:rPr>
              <w:t>或</w:t>
            </w:r>
            <w:r>
              <w:rPr>
                <w:rFonts w:hint="eastAsia" w:ascii="宋体" w:hAnsi="宋体" w:cs="宋体"/>
                <w:color w:val="auto"/>
                <w:sz w:val="22"/>
                <w:szCs w:val="22"/>
                <w:highlight w:val="none"/>
                <w:u w:val="single"/>
              </w:rPr>
              <w:t>单套预算</w:t>
            </w:r>
            <w:r>
              <w:rPr>
                <w:rFonts w:hint="eastAsia" w:ascii="宋体" w:hAnsi="宋体" w:cs="宋体"/>
                <w:color w:val="auto"/>
                <w:sz w:val="22"/>
                <w:szCs w:val="22"/>
                <w:highlight w:val="none"/>
                <w:u w:val="single"/>
                <w:lang w:val="en-US" w:eastAsia="zh-CN"/>
              </w:rPr>
              <w:t>金额</w:t>
            </w:r>
            <w:r>
              <w:rPr>
                <w:rFonts w:hint="eastAsia" w:ascii="宋体" w:hAnsi="宋体" w:cs="宋体"/>
                <w:color w:val="auto"/>
                <w:sz w:val="22"/>
                <w:szCs w:val="22"/>
                <w:highlight w:val="none"/>
                <w:u w:val="single"/>
              </w:rPr>
              <w:t>的投标无效。</w:t>
            </w:r>
          </w:p>
          <w:p w14:paraId="0E72BFA2">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采购资金来源：财政拨款。</w:t>
            </w:r>
          </w:p>
        </w:tc>
      </w:tr>
      <w:tr w14:paraId="5D6BD0A3">
        <w:tblPrEx>
          <w:tblCellMar>
            <w:top w:w="0" w:type="dxa"/>
            <w:left w:w="108" w:type="dxa"/>
            <w:bottom w:w="0" w:type="dxa"/>
            <w:right w:w="108" w:type="dxa"/>
          </w:tblCellMar>
        </w:tblPrEx>
        <w:trPr>
          <w:trHeight w:val="57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80ECBAA">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55503D15">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采购需求</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680B20CD">
            <w:pPr>
              <w:spacing w:line="3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详见第五部分</w:t>
            </w:r>
          </w:p>
        </w:tc>
      </w:tr>
      <w:tr w14:paraId="72F15F29">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800CF1A">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9429B46">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投标报价</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794ED70B">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1.投标报价是指一次性报出不得更改的价格；</w:t>
            </w:r>
          </w:p>
          <w:p w14:paraId="4522D348">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w:t>
            </w:r>
            <w:r>
              <w:rPr>
                <w:rFonts w:hint="eastAsia" w:ascii="宋体" w:hAnsi="宋体" w:cs="宋体"/>
                <w:b/>
                <w:color w:val="auto"/>
                <w:sz w:val="22"/>
                <w:szCs w:val="22"/>
                <w:highlight w:val="none"/>
              </w:rPr>
              <w:t>采用人民币报价。</w:t>
            </w:r>
          </w:p>
        </w:tc>
      </w:tr>
      <w:tr w14:paraId="61128B1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162F40E">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99EDDDD">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投标费用</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4D6FC65E">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不论投标结果如何，投标人均应自行承担所有与投标有关的全部费用</w:t>
            </w:r>
          </w:p>
        </w:tc>
      </w:tr>
      <w:tr w14:paraId="5C805E71">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05DD896">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10230044">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投标人资格要求</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51A7C047">
            <w:pPr>
              <w:autoSpaceDE w:val="0"/>
              <w:autoSpaceDN w:val="0"/>
              <w:adjustRightInd w:val="0"/>
              <w:spacing w:line="360" w:lineRule="exac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详见公开招标公告</w:t>
            </w:r>
          </w:p>
        </w:tc>
      </w:tr>
      <w:tr w14:paraId="7BB94C0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61BF747">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182F3E73">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是否接受联合体投标</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467A33CC">
            <w:pPr>
              <w:autoSpaceDE w:val="0"/>
              <w:autoSpaceDN w:val="0"/>
              <w:adjustRightInd w:val="0"/>
              <w:spacing w:line="3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不</w:t>
            </w:r>
            <w:r>
              <w:rPr>
                <w:rFonts w:hint="eastAsia" w:ascii="宋体" w:hAnsi="宋体" w:cs="宋体"/>
                <w:color w:val="auto"/>
                <w:kern w:val="0"/>
                <w:sz w:val="22"/>
                <w:szCs w:val="22"/>
                <w:highlight w:val="none"/>
                <w:lang w:val="zh-CN"/>
              </w:rPr>
              <w:t>接受</w:t>
            </w:r>
          </w:p>
        </w:tc>
      </w:tr>
      <w:tr w14:paraId="06A4E76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4B9E541">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7092042">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踏勘现场</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0F974C9A">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不</w:t>
            </w:r>
            <w:r>
              <w:rPr>
                <w:rFonts w:hint="eastAsia" w:ascii="宋体" w:hAnsi="宋体" w:cs="宋体"/>
                <w:color w:val="auto"/>
                <w:kern w:val="0"/>
                <w:sz w:val="22"/>
                <w:szCs w:val="22"/>
                <w:highlight w:val="none"/>
              </w:rPr>
              <w:t>组织</w:t>
            </w:r>
          </w:p>
        </w:tc>
      </w:tr>
      <w:tr w14:paraId="50837ED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2E89DFB">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4C932304">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投标预备会</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2B2FD21C">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不召开</w:t>
            </w:r>
          </w:p>
        </w:tc>
      </w:tr>
      <w:tr w14:paraId="44E805A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229A3B6">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09AD6AAC">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分包和转包</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7FD6ADD5">
            <w:pPr>
              <w:autoSpaceDE w:val="0"/>
              <w:autoSpaceDN w:val="0"/>
              <w:spacing w:line="360" w:lineRule="exact"/>
              <w:rPr>
                <w:rFonts w:hint="eastAsia" w:ascii="宋体" w:hAnsi="宋体"/>
                <w:color w:val="auto"/>
                <w:kern w:val="0"/>
                <w:sz w:val="22"/>
                <w:highlight w:val="none"/>
                <w:lang w:val="zh-CN"/>
              </w:rPr>
            </w:pPr>
            <w:r>
              <w:rPr>
                <w:rFonts w:hint="eastAsia" w:ascii="宋体" w:hAnsi="宋体"/>
                <w:color w:val="auto"/>
                <w:kern w:val="0"/>
                <w:sz w:val="22"/>
                <w:highlight w:val="none"/>
                <w:lang w:val="zh-CN"/>
              </w:rPr>
              <w:t>（1）分包：</w:t>
            </w:r>
          </w:p>
          <w:p w14:paraId="6FF9CEB1">
            <w:pPr>
              <w:autoSpaceDE w:val="0"/>
              <w:autoSpaceDN w:val="0"/>
              <w:spacing w:line="360" w:lineRule="exact"/>
              <w:rPr>
                <w:rFonts w:hint="eastAsia" w:ascii="宋体" w:hAnsi="宋体"/>
                <w:color w:val="auto"/>
                <w:kern w:val="0"/>
                <w:sz w:val="22"/>
                <w:highlight w:val="none"/>
                <w:lang w:val="zh-CN"/>
              </w:rPr>
            </w:pPr>
            <w:r>
              <w:rPr>
                <w:rFonts w:hint="eastAsia" w:ascii="宋体" w:hAnsi="宋体"/>
                <w:color w:val="auto"/>
                <w:kern w:val="0"/>
                <w:sz w:val="22"/>
                <w:highlight w:val="none"/>
                <w:lang w:val="zh-CN"/>
              </w:rPr>
              <w:sym w:font="Wingdings" w:char="00A8"/>
            </w:r>
            <w:r>
              <w:rPr>
                <w:rFonts w:hint="eastAsia" w:ascii="宋体" w:hAnsi="宋体"/>
                <w:color w:val="auto"/>
                <w:kern w:val="0"/>
                <w:sz w:val="22"/>
                <w:highlight w:val="none"/>
                <w:lang w:val="zh-CN"/>
              </w:rPr>
              <w:t xml:space="preserve"> 同意将非主体、非关键性的工作分包。</w:t>
            </w:r>
          </w:p>
          <w:p w14:paraId="0BBE0108">
            <w:pPr>
              <w:autoSpaceDE w:val="0"/>
              <w:autoSpaceDN w:val="0"/>
              <w:spacing w:line="360" w:lineRule="exact"/>
              <w:rPr>
                <w:rFonts w:hint="eastAsia" w:ascii="宋体" w:hAnsi="宋体"/>
                <w:color w:val="auto"/>
                <w:kern w:val="0"/>
                <w:sz w:val="22"/>
                <w:highlight w:val="none"/>
                <w:lang w:val="zh-CN"/>
              </w:rPr>
            </w:pPr>
            <w:r>
              <w:rPr>
                <w:rFonts w:hint="eastAsia" w:ascii="宋体" w:hAnsi="宋体"/>
                <w:color w:val="auto"/>
                <w:kern w:val="0"/>
                <w:sz w:val="22"/>
                <w:highlight w:val="none"/>
                <w:lang w:val="zh-CN"/>
              </w:rPr>
              <w:sym w:font="Wingdings" w:char="00FE"/>
            </w:r>
            <w:r>
              <w:rPr>
                <w:rFonts w:hint="eastAsia" w:ascii="宋体" w:hAnsi="宋体"/>
                <w:color w:val="auto"/>
                <w:kern w:val="0"/>
                <w:sz w:val="22"/>
                <w:highlight w:val="none"/>
                <w:lang w:val="zh-CN"/>
              </w:rPr>
              <w:t>不同意分包。</w:t>
            </w:r>
          </w:p>
          <w:p w14:paraId="014F6E2F">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olor w:val="auto"/>
                <w:kern w:val="0"/>
                <w:sz w:val="22"/>
                <w:highlight w:val="none"/>
                <w:lang w:val="zh-CN"/>
              </w:rPr>
              <w:t>（2）转包：本项目不允许转包。</w:t>
            </w:r>
          </w:p>
        </w:tc>
      </w:tr>
      <w:tr w14:paraId="785FA329">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65C1F78">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1E967DBF">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偏离</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045112EE">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偏差允许幅度及其处理方法：允许细微偏差，不允许重大偏差。由评标委员会判断，细微偏差要求投标人在评标结束前予以澄清、说明或补正，不接受要求进行的，评标委员会有权做投标无效处理，详见评标办法。</w:t>
            </w:r>
          </w:p>
        </w:tc>
      </w:tr>
      <w:tr w14:paraId="0B10949A">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6457BA8">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462302E">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投标有效期</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19170001">
            <w:pPr>
              <w:widowControl/>
              <w:spacing w:line="360" w:lineRule="exact"/>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从提交投标文件的截止时间之日起90天。</w:t>
            </w:r>
          </w:p>
        </w:tc>
      </w:tr>
      <w:tr w14:paraId="3E21C93B">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D11753E">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713335F8">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投标保证金</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0BF5A9A3">
            <w:pPr>
              <w:autoSpaceDE w:val="0"/>
              <w:autoSpaceDN w:val="0"/>
              <w:adjustRightInd w:val="0"/>
              <w:spacing w:line="360" w:lineRule="exac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无</w:t>
            </w:r>
          </w:p>
        </w:tc>
      </w:tr>
      <w:tr w14:paraId="0F7BA4A8">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2B9F80C">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086C7174">
            <w:pPr>
              <w:snapToGrid w:val="0"/>
              <w:spacing w:line="360" w:lineRule="exact"/>
              <w:jc w:val="lef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投标文件形式、制作及组成</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1A92FB6A">
            <w:pPr>
              <w:pStyle w:val="121"/>
              <w:snapToGrid w:val="0"/>
              <w:spacing w:line="360" w:lineRule="exact"/>
              <w:rPr>
                <w:rFonts w:hint="eastAsia" w:hAnsi="宋体" w:cs="宋体"/>
                <w:b/>
                <w:bCs/>
                <w:color w:val="auto"/>
                <w:sz w:val="22"/>
                <w:szCs w:val="22"/>
                <w:highlight w:val="none"/>
              </w:rPr>
            </w:pPr>
            <w:r>
              <w:rPr>
                <w:rFonts w:hint="eastAsia" w:hAnsi="宋体" w:cs="宋体"/>
                <w:b/>
                <w:bCs/>
                <w:color w:val="auto"/>
                <w:sz w:val="22"/>
                <w:szCs w:val="22"/>
                <w:highlight w:val="none"/>
              </w:rPr>
              <w:t>本项目实行网上电子投标。</w:t>
            </w:r>
          </w:p>
          <w:p w14:paraId="6113BE42">
            <w:pPr>
              <w:pStyle w:val="121"/>
              <w:snapToGrid w:val="0"/>
              <w:spacing w:line="360" w:lineRule="exact"/>
              <w:rPr>
                <w:rFonts w:hint="eastAsia" w:hAnsi="宋体" w:cs="宋体"/>
                <w:b/>
                <w:bCs/>
                <w:color w:val="auto"/>
                <w:sz w:val="22"/>
                <w:szCs w:val="22"/>
                <w:highlight w:val="none"/>
              </w:rPr>
            </w:pPr>
            <w:r>
              <w:rPr>
                <w:rFonts w:hint="eastAsia" w:hAnsi="宋体" w:cs="宋体"/>
                <w:b/>
                <w:bCs/>
                <w:color w:val="auto"/>
                <w:sz w:val="22"/>
                <w:szCs w:val="22"/>
                <w:highlight w:val="none"/>
              </w:rPr>
              <w:t>投标人应准备电子投标文件、以介质存储的数据电文形式的备份投标文件二类：</w:t>
            </w:r>
          </w:p>
          <w:p w14:paraId="0F87408C">
            <w:pPr>
              <w:pStyle w:val="121"/>
              <w:snapToGrid w:val="0"/>
              <w:spacing w:line="360" w:lineRule="exact"/>
              <w:rPr>
                <w:rFonts w:hint="eastAsia" w:hAnsi="宋体" w:cs="宋体"/>
                <w:b/>
                <w:bCs/>
                <w:color w:val="auto"/>
                <w:sz w:val="22"/>
                <w:szCs w:val="22"/>
                <w:highlight w:val="none"/>
              </w:rPr>
            </w:pPr>
            <w:r>
              <w:rPr>
                <w:rFonts w:hint="eastAsia" w:hAnsi="宋体" w:cs="宋体"/>
                <w:b/>
                <w:bCs/>
                <w:color w:val="auto"/>
                <w:sz w:val="22"/>
                <w:szCs w:val="22"/>
                <w:highlight w:val="none"/>
              </w:rPr>
              <w:t>（1）电子投标文件：通过政采云电子交易客户端（政采云投标客户端）完成投标文件编制后生成并加密的数据电文形式的投标文件（文件扩展名为.jmbs）1份</w:t>
            </w:r>
            <w:r>
              <w:rPr>
                <w:rFonts w:hint="eastAsia" w:hAnsi="宋体" w:cs="宋体"/>
                <w:b/>
                <w:bCs/>
                <w:color w:val="auto"/>
                <w:sz w:val="22"/>
                <w:szCs w:val="22"/>
                <w:highlight w:val="none"/>
                <w:lang w:val="zh-CN"/>
              </w:rPr>
              <w:t>。</w:t>
            </w:r>
          </w:p>
          <w:p w14:paraId="20ED6FB3">
            <w:pPr>
              <w:spacing w:line="3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（2）以介质存储的数据电文形式的备份投标文件（如有）：</w:t>
            </w:r>
            <w:r>
              <w:rPr>
                <w:rStyle w:val="43"/>
                <w:rFonts w:hint="eastAsia" w:ascii="宋体" w:hAnsi="宋体" w:cs="宋体"/>
                <w:bCs/>
                <w:color w:val="auto"/>
                <w:sz w:val="22"/>
                <w:szCs w:val="22"/>
                <w:highlight w:val="none"/>
              </w:rPr>
              <w:t>与“电子投标文件”同时生成的数据电文形式的备份投标文件(文件扩展名为.bfbs)</w:t>
            </w:r>
            <w:r>
              <w:rPr>
                <w:rFonts w:hint="eastAsia" w:ascii="宋体" w:hAnsi="宋体" w:cs="宋体"/>
                <w:b/>
                <w:bCs/>
                <w:color w:val="auto"/>
                <w:sz w:val="22"/>
                <w:szCs w:val="22"/>
                <w:highlight w:val="none"/>
              </w:rPr>
              <w:t>，投标文件提交截止时间前以</w:t>
            </w:r>
            <w:r>
              <w:rPr>
                <w:rFonts w:hint="eastAsia" w:ascii="宋体" w:hAnsi="宋体" w:cs="宋体"/>
                <w:b/>
                <w:bCs/>
                <w:color w:val="auto"/>
                <w:sz w:val="22"/>
                <w:szCs w:val="22"/>
                <w:highlight w:val="none"/>
                <w:lang w:val="zh-CN"/>
              </w:rPr>
              <w:t>电子邮件方式传送至</w:t>
            </w:r>
            <w:r>
              <w:rPr>
                <w:rFonts w:hint="eastAsia" w:ascii="宋体" w:hAnsi="宋体" w:cs="宋体"/>
                <w:b/>
                <w:bCs/>
                <w:color w:val="auto"/>
                <w:sz w:val="22"/>
                <w:szCs w:val="22"/>
                <w:highlight w:val="none"/>
              </w:rPr>
              <w:t>温州市圣励招标代理有限公司</w:t>
            </w:r>
            <w:r>
              <w:rPr>
                <w:rFonts w:hint="eastAsia" w:ascii="宋体" w:hAnsi="宋体" w:cs="宋体"/>
                <w:b/>
                <w:bCs/>
                <w:color w:val="auto"/>
                <w:sz w:val="22"/>
                <w:szCs w:val="22"/>
                <w:highlight w:val="none"/>
                <w:lang w:val="zh-CN"/>
              </w:rPr>
              <w:t>电子邮箱</w:t>
            </w:r>
            <w:r>
              <w:rPr>
                <w:rFonts w:hint="eastAsia" w:ascii="宋体" w:hAnsi="宋体" w:cs="宋体"/>
                <w:b/>
                <w:bCs/>
                <w:color w:val="auto"/>
                <w:sz w:val="22"/>
                <w:szCs w:val="22"/>
                <w:highlight w:val="none"/>
              </w:rPr>
              <w:t>slzb15355937525@qq.com，</w:t>
            </w:r>
            <w:r>
              <w:rPr>
                <w:rFonts w:hint="eastAsia" w:ascii="宋体" w:hAnsi="宋体" w:cs="宋体"/>
                <w:b/>
                <w:bCs/>
                <w:color w:val="auto"/>
                <w:sz w:val="22"/>
                <w:szCs w:val="22"/>
                <w:highlight w:val="none"/>
                <w:lang w:val="zh-CN"/>
              </w:rPr>
              <w:t>递交</w:t>
            </w:r>
            <w:r>
              <w:rPr>
                <w:rFonts w:hint="eastAsia" w:ascii="宋体" w:hAnsi="宋体" w:cs="宋体"/>
                <w:b/>
                <w:bCs/>
                <w:color w:val="auto"/>
                <w:sz w:val="22"/>
                <w:szCs w:val="22"/>
                <w:highlight w:val="none"/>
              </w:rPr>
              <w:t>1</w:t>
            </w:r>
            <w:r>
              <w:rPr>
                <w:rFonts w:hint="eastAsia" w:ascii="宋体" w:hAnsi="宋体" w:cs="宋体"/>
                <w:b/>
                <w:bCs/>
                <w:color w:val="auto"/>
                <w:sz w:val="22"/>
                <w:szCs w:val="22"/>
                <w:highlight w:val="none"/>
                <w:lang w:val="zh-CN"/>
              </w:rPr>
              <w:t>份</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zh-CN"/>
              </w:rPr>
              <w:t>传送的备份投标文件需打包压缩并加密</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zh-CN"/>
              </w:rPr>
              <w:t>加密密码由投标人自行保管</w:t>
            </w:r>
            <w:r>
              <w:rPr>
                <w:rFonts w:hint="eastAsia" w:ascii="宋体" w:hAnsi="宋体" w:cs="宋体"/>
                <w:b/>
                <w:bCs/>
                <w:color w:val="auto"/>
                <w:sz w:val="22"/>
                <w:szCs w:val="22"/>
                <w:highlight w:val="none"/>
              </w:rPr>
              <w:t>，未加密导致投标信息泄露的风险由投标人自行承担</w:t>
            </w:r>
            <w:r>
              <w:rPr>
                <w:rStyle w:val="43"/>
                <w:rFonts w:hint="eastAsia" w:ascii="宋体" w:hAnsi="宋体" w:cs="宋体"/>
                <w:bCs/>
                <w:color w:val="auto"/>
                <w:sz w:val="22"/>
                <w:szCs w:val="22"/>
                <w:highlight w:val="none"/>
              </w:rPr>
              <w:t>。</w:t>
            </w:r>
          </w:p>
          <w:p w14:paraId="42EFB164">
            <w:pPr>
              <w:pStyle w:val="121"/>
              <w:snapToGrid w:val="0"/>
              <w:spacing w:line="360" w:lineRule="exact"/>
              <w:rPr>
                <w:rFonts w:hint="eastAsia" w:hAnsi="宋体" w:cs="宋体"/>
                <w:b/>
                <w:bCs/>
                <w:color w:val="auto"/>
                <w:sz w:val="22"/>
                <w:szCs w:val="22"/>
                <w:highlight w:val="none"/>
              </w:rPr>
            </w:pPr>
            <w:r>
              <w:rPr>
                <w:rFonts w:hint="eastAsia" w:hAnsi="宋体" w:cs="宋体"/>
                <w:b/>
                <w:bCs/>
                <w:color w:val="auto"/>
                <w:sz w:val="22"/>
                <w:szCs w:val="22"/>
                <w:highlight w:val="none"/>
              </w:rPr>
              <w:t>投标文件由报价文件、资格文件、商务和技术文件三部分组成。</w:t>
            </w:r>
          </w:p>
          <w:p w14:paraId="74CA7A23">
            <w:pPr>
              <w:pStyle w:val="121"/>
              <w:snapToGrid w:val="0"/>
              <w:spacing w:line="360" w:lineRule="exact"/>
              <w:rPr>
                <w:rFonts w:hint="eastAsia" w:hAnsi="宋体" w:cs="宋体"/>
                <w:color w:val="auto"/>
                <w:kern w:val="0"/>
                <w:sz w:val="22"/>
                <w:szCs w:val="22"/>
                <w:highlight w:val="none"/>
              </w:rPr>
            </w:pPr>
            <w:r>
              <w:rPr>
                <w:rFonts w:hint="eastAsia" w:hAnsi="宋体" w:cs="宋体"/>
                <w:b/>
                <w:bCs/>
                <w:color w:val="auto"/>
                <w:sz w:val="22"/>
                <w:szCs w:val="22"/>
                <w:highlight w:val="none"/>
              </w:rPr>
              <w:t>注：中标人在领取中标通知书时按采购人要求提供全套纸质投标文件</w:t>
            </w:r>
            <w:r>
              <w:rPr>
                <w:rFonts w:hint="eastAsia" w:hAnsi="宋体" w:cs="宋体"/>
                <w:b/>
                <w:bCs/>
                <w:color w:val="auto"/>
                <w:sz w:val="22"/>
                <w:szCs w:val="22"/>
                <w:highlight w:val="none"/>
                <w:lang w:val="en-US" w:eastAsia="zh-CN"/>
              </w:rPr>
              <w:t>一正三副</w:t>
            </w:r>
            <w:r>
              <w:rPr>
                <w:rFonts w:hint="eastAsia" w:hAnsi="宋体" w:cs="宋体"/>
                <w:b/>
                <w:bCs/>
                <w:color w:val="auto"/>
                <w:sz w:val="22"/>
                <w:szCs w:val="22"/>
                <w:highlight w:val="none"/>
              </w:rPr>
              <w:t>。</w:t>
            </w:r>
          </w:p>
        </w:tc>
      </w:tr>
      <w:tr w14:paraId="552606D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B5F9D06">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89B9E46">
            <w:pPr>
              <w:spacing w:line="36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电子招投标特殊情况处理方式</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280A11C9">
            <w:pPr>
              <w:spacing w:line="3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本项目原则上采用政采云电子招投标开标及评审程序，但有下情形之一的，按以下情况处理：</w:t>
            </w:r>
          </w:p>
          <w:p w14:paraId="1BA68290">
            <w:pPr>
              <w:spacing w:line="360" w:lineRule="exact"/>
              <w:jc w:val="left"/>
              <w:rPr>
                <w:rFonts w:hint="eastAsia" w:ascii="宋体" w:hAnsi="宋体" w:cs="宋体"/>
                <w:color w:val="auto"/>
                <w:sz w:val="22"/>
                <w:szCs w:val="22"/>
                <w:highlight w:val="none"/>
                <w:lang w:val="zh-CN"/>
              </w:rPr>
            </w:pPr>
            <w:r>
              <w:rPr>
                <w:rFonts w:hint="eastAsia" w:ascii="宋体" w:hAnsi="宋体" w:cs="宋体"/>
                <w:b/>
                <w:bCs/>
                <w:color w:val="auto"/>
                <w:sz w:val="22"/>
                <w:szCs w:val="22"/>
                <w:highlight w:val="none"/>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14:paraId="0CA2BA4B">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514A541">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18</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520D8AA6">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评审地点</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16AFBBFA">
            <w:pPr>
              <w:autoSpaceDE w:val="0"/>
              <w:autoSpaceDN w:val="0"/>
              <w:adjustRightInd w:val="0"/>
              <w:spacing w:line="360" w:lineRule="exact"/>
              <w:ind w:firstLine="31"/>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详见公开招标公告</w:t>
            </w:r>
          </w:p>
        </w:tc>
      </w:tr>
      <w:tr w14:paraId="25CC51A9">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6C4C98B">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19</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3E7A7239">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评标委员会的组建</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549424D4">
            <w:pPr>
              <w:autoSpaceDE w:val="0"/>
              <w:autoSpaceDN w:val="0"/>
              <w:adjustRightInd w:val="0"/>
              <w:spacing w:line="360" w:lineRule="exact"/>
              <w:ind w:firstLine="31"/>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zh-CN"/>
              </w:rPr>
              <w:t>评标委员会成员由采购人代表和有关技术、经济等方面的专家组成，有关技术、经济等方面的专家成员人数为5人及以上单数，除采购人代表外的专家将按有关规定随机抽取产生。</w:t>
            </w:r>
          </w:p>
        </w:tc>
      </w:tr>
      <w:tr w14:paraId="038D7A82">
        <w:tblPrEx>
          <w:tblCellMar>
            <w:top w:w="0" w:type="dxa"/>
            <w:left w:w="108" w:type="dxa"/>
            <w:bottom w:w="0" w:type="dxa"/>
            <w:right w:w="108" w:type="dxa"/>
          </w:tblCellMar>
        </w:tblPrEx>
        <w:trPr>
          <w:trHeight w:val="809"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057E890A">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3AA83AC2">
            <w:pPr>
              <w:spacing w:line="360" w:lineRule="exact"/>
              <w:jc w:val="center"/>
              <w:rPr>
                <w:rFonts w:hint="eastAsia" w:ascii="宋体" w:hAnsi="宋体" w:cs="宋体"/>
                <w:color w:val="auto"/>
                <w:kern w:val="0"/>
                <w:sz w:val="22"/>
                <w:szCs w:val="22"/>
                <w:highlight w:val="none"/>
              </w:rPr>
            </w:pPr>
            <w:r>
              <w:rPr>
                <w:rFonts w:hint="eastAsia" w:ascii="宋体" w:hAnsi="宋体" w:cs="宋体"/>
                <w:b/>
                <w:bCs/>
                <w:snapToGrid w:val="0"/>
                <w:color w:val="auto"/>
                <w:sz w:val="22"/>
                <w:szCs w:val="22"/>
                <w:highlight w:val="none"/>
              </w:rPr>
              <w:t>资格审查要求的资格证明材料</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2CF58500">
            <w:pPr>
              <w:autoSpaceDE w:val="0"/>
              <w:autoSpaceDN w:val="0"/>
              <w:adjustRightInd w:val="0"/>
              <w:snapToGrid w:val="0"/>
              <w:spacing w:line="360" w:lineRule="exact"/>
              <w:textAlignment w:val="bottom"/>
              <w:rPr>
                <w:rFonts w:hint="eastAsia" w:ascii="宋体" w:hAnsi="宋体" w:cs="宋体"/>
                <w:b/>
                <w:bCs/>
                <w:color w:val="auto"/>
                <w:kern w:val="0"/>
                <w:sz w:val="22"/>
                <w:szCs w:val="22"/>
                <w:highlight w:val="none"/>
                <w:lang w:val="zh-CN"/>
              </w:rPr>
            </w:pPr>
            <w:r>
              <w:rPr>
                <w:rFonts w:hint="eastAsia" w:ascii="宋体" w:hAnsi="宋体"/>
                <w:color w:val="auto"/>
                <w:sz w:val="22"/>
                <w:szCs w:val="22"/>
                <w:highlight w:val="none"/>
              </w:rPr>
              <w:t>详见投标文件的资格响应文件组成项。</w:t>
            </w:r>
          </w:p>
        </w:tc>
      </w:tr>
      <w:tr w14:paraId="71D2A11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CF7FDBB">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21</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B23C230">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sz w:val="22"/>
                <w:szCs w:val="22"/>
                <w:highlight w:val="none"/>
              </w:rPr>
              <w:t>评标办法及评分标准</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739434B9">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综合评分法，详见第六部分评标原则及方法。</w:t>
            </w:r>
          </w:p>
        </w:tc>
      </w:tr>
      <w:tr w14:paraId="515580C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D9BD51D">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22</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3E76E2A4">
            <w:pPr>
              <w:spacing w:line="360" w:lineRule="exact"/>
              <w:jc w:val="center"/>
              <w:rPr>
                <w:rFonts w:hint="eastAsia" w:ascii="宋体" w:hAnsi="宋体" w:cs="宋体"/>
                <w:b/>
                <w:bCs/>
                <w:snapToGrid w:val="0"/>
                <w:color w:val="auto"/>
                <w:sz w:val="22"/>
                <w:szCs w:val="22"/>
                <w:highlight w:val="none"/>
              </w:rPr>
            </w:pPr>
            <w:r>
              <w:rPr>
                <w:rFonts w:hint="eastAsia" w:ascii="宋体" w:hAnsi="宋体" w:cs="宋体"/>
                <w:color w:val="auto"/>
                <w:sz w:val="22"/>
                <w:szCs w:val="22"/>
                <w:highlight w:val="none"/>
              </w:rPr>
              <w:t>中标公告及中标通知书</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0E6B4127">
            <w:pPr>
              <w:autoSpaceDE w:val="0"/>
              <w:autoSpaceDN w:val="0"/>
              <w:adjustRightInd w:val="0"/>
              <w:spacing w:line="360" w:lineRule="exact"/>
              <w:ind w:firstLine="31"/>
              <w:rPr>
                <w:rFonts w:hint="eastAsia" w:ascii="宋体" w:hAnsi="宋体" w:cs="宋体"/>
                <w:b/>
                <w:bCs/>
                <w:color w:val="auto"/>
                <w:sz w:val="22"/>
                <w:szCs w:val="22"/>
                <w:highlight w:val="none"/>
                <w:lang w:val="zh-CN"/>
              </w:rPr>
            </w:pPr>
            <w:r>
              <w:rPr>
                <w:rFonts w:hint="eastAsia" w:ascii="宋体" w:hAnsi="宋体" w:cs="宋体"/>
                <w:color w:val="auto"/>
                <w:sz w:val="22"/>
                <w:szCs w:val="22"/>
                <w:highlight w:val="none"/>
              </w:rPr>
              <w:t>评标结束后中标公告发布于浙江政府采购网，并向中标人发出中标通知书。</w:t>
            </w:r>
          </w:p>
        </w:tc>
      </w:tr>
      <w:tr w14:paraId="51954C2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B072D7F">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23</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50B5CC42">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sz w:val="22"/>
                <w:szCs w:val="22"/>
                <w:highlight w:val="none"/>
              </w:rPr>
              <w:t>合同备案</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17D7194A">
            <w:pPr>
              <w:spacing w:line="3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中标人须在中标通知书发出之日起30日历天内与采购人签订合同。</w:t>
            </w:r>
          </w:p>
          <w:p w14:paraId="4E03DE33">
            <w:pPr>
              <w:spacing w:line="36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中标人与采购人签订合同后，2日历天内将合同扫描件电子版发给采购代理机构：邮箱：</w:t>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"mailto:1322521566@qq.com。"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slzb15355937525@qq.com</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rPr>
              <w:fldChar w:fldCharType="end"/>
            </w:r>
          </w:p>
        </w:tc>
      </w:tr>
      <w:tr w14:paraId="20FAE9B5">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60361FF">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24</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07C6A35B">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落实政府采购支持中小企业、监狱企业及残疾人福利性单位发展政策</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5DFC6E89">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☑专门面向中小企业采购项目</w:t>
            </w:r>
          </w:p>
          <w:p w14:paraId="1A66402F">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sym w:font="Wingdings 2" w:char="00A3"/>
            </w:r>
            <w:r>
              <w:rPr>
                <w:rFonts w:hint="eastAsia" w:ascii="宋体" w:hAnsi="宋体" w:cs="宋体"/>
                <w:color w:val="auto"/>
                <w:sz w:val="22"/>
                <w:szCs w:val="22"/>
                <w:highlight w:val="none"/>
              </w:rPr>
              <w:t>非专门面向中小企业采购项目。对小型和微型企业报价根据《政府采购促进中小企业发展管理办法》（财库〔2020〕46号）文件扣除，用扣除后的价格参与评审。</w:t>
            </w:r>
          </w:p>
          <w:p w14:paraId="0AA01080">
            <w:pPr>
              <w:spacing w:line="36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本项目的扣除比例为：小型、微型企业均扣除</w:t>
            </w:r>
            <w:r>
              <w:rPr>
                <w:rFonts w:hint="eastAsia" w:ascii="宋体" w:hAnsi="宋体" w:cs="宋体"/>
                <w:color w:val="auto"/>
                <w:sz w:val="22"/>
                <w:szCs w:val="22"/>
                <w:highlight w:val="none"/>
                <w:u w:val="single"/>
              </w:rPr>
              <w:t>10%</w:t>
            </w:r>
            <w:r>
              <w:rPr>
                <w:rFonts w:hint="eastAsia" w:ascii="宋体" w:hAnsi="宋体" w:cs="宋体"/>
                <w:color w:val="auto"/>
                <w:sz w:val="22"/>
                <w:szCs w:val="22"/>
                <w:highlight w:val="none"/>
              </w:rPr>
              <w:t>；</w:t>
            </w:r>
          </w:p>
          <w:p w14:paraId="68BF894F">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w:t>
            </w:r>
          </w:p>
          <w:p w14:paraId="5C65C9B9">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监狱企业、残疾人福利性单位视同小型、微型企业，享受价格扣除。</w:t>
            </w:r>
          </w:p>
          <w:p w14:paraId="4C3FD3DD">
            <w:pPr>
              <w:spacing w:line="360" w:lineRule="exac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残疾人福利性单位属于小型、微型企业的，不重复享受政策。</w:t>
            </w:r>
          </w:p>
        </w:tc>
      </w:tr>
      <w:tr w14:paraId="451A0141">
        <w:tblPrEx>
          <w:tblCellMar>
            <w:top w:w="0" w:type="dxa"/>
            <w:left w:w="108" w:type="dxa"/>
            <w:bottom w:w="0" w:type="dxa"/>
            <w:right w:w="108" w:type="dxa"/>
          </w:tblCellMar>
        </w:tblPrEx>
        <w:trPr>
          <w:trHeight w:val="2283"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05B67F43">
            <w:pPr>
              <w:autoSpaceDE w:val="0"/>
              <w:autoSpaceDN w:val="0"/>
              <w:adjustRightInd w:val="0"/>
              <w:snapToGrid w:val="0"/>
              <w:spacing w:line="360" w:lineRule="exact"/>
              <w:jc w:val="center"/>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25</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7BB42C0">
            <w:pPr>
              <w:spacing w:line="360" w:lineRule="exact"/>
              <w:jc w:val="center"/>
              <w:rPr>
                <w:rFonts w:hint="eastAsia" w:ascii="宋体" w:hAnsi="宋体" w:cs="宋体"/>
                <w:snapToGrid w:val="0"/>
                <w:color w:val="auto"/>
                <w:sz w:val="22"/>
                <w:szCs w:val="22"/>
                <w:highlight w:val="none"/>
              </w:rPr>
            </w:pPr>
            <w:r>
              <w:rPr>
                <w:rFonts w:hint="eastAsia" w:ascii="宋体" w:hAnsi="宋体" w:cs="宋体"/>
                <w:color w:val="auto"/>
                <w:sz w:val="22"/>
                <w:szCs w:val="22"/>
                <w:highlight w:val="none"/>
              </w:rPr>
              <w:t>所属行业</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21FB2750">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所属行业：工业；</w:t>
            </w:r>
          </w:p>
          <w:p w14:paraId="369E2030">
            <w:pPr>
              <w:spacing w:line="360" w:lineRule="exact"/>
              <w:rPr>
                <w:rFonts w:hint="eastAsia" w:ascii="宋体" w:hAnsi="宋体" w:cs="宋体"/>
                <w:color w:val="auto"/>
                <w:sz w:val="22"/>
                <w:szCs w:val="22"/>
                <w:highlight w:val="none"/>
              </w:rPr>
            </w:pPr>
            <w:r>
              <w:rPr>
                <w:rFonts w:hint="eastAsia" w:ascii="宋体" w:hAnsi="宋体" w:cs="宋体"/>
                <w:b/>
                <w:bCs/>
                <w:color w:val="auto"/>
                <w:sz w:val="22"/>
                <w:szCs w:val="22"/>
                <w:highlight w:val="none"/>
              </w:rPr>
              <w:t>中小企业划型标准：</w:t>
            </w:r>
            <w:r>
              <w:rPr>
                <w:rFonts w:hint="eastAsia" w:ascii="宋体" w:hAnsi="宋体" w:cs="宋体"/>
                <w:color w:val="auto"/>
                <w:sz w:val="22"/>
                <w:szCs w:val="22"/>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A708324">
        <w:tblPrEx>
          <w:tblCellMar>
            <w:top w:w="0" w:type="dxa"/>
            <w:left w:w="108" w:type="dxa"/>
            <w:bottom w:w="0" w:type="dxa"/>
            <w:right w:w="108" w:type="dxa"/>
          </w:tblCellMar>
        </w:tblPrEx>
        <w:trPr>
          <w:trHeight w:val="293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53773AD3">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26</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B5B28EF">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解释权</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7D3B8FBF">
            <w:pPr>
              <w:spacing w:line="360" w:lineRule="exact"/>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14:paraId="5EB16C52">
        <w:tblPrEx>
          <w:tblCellMar>
            <w:top w:w="0" w:type="dxa"/>
            <w:left w:w="108" w:type="dxa"/>
            <w:bottom w:w="0" w:type="dxa"/>
            <w:right w:w="108" w:type="dxa"/>
          </w:tblCellMar>
        </w:tblPrEx>
        <w:trPr>
          <w:trHeight w:val="3703"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D43CFF8">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27</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E25BCAD">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其它</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0B36E4EF">
            <w:pPr>
              <w:spacing w:line="3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1.公开招标公告属于本招标文件的一部分</w:t>
            </w:r>
          </w:p>
          <w:p w14:paraId="2405CC3C">
            <w:pPr>
              <w:spacing w:line="3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2.请务必确保投标文件制作客户端为最新版本，旧版本可能导致投标文件解密失败。</w:t>
            </w:r>
          </w:p>
          <w:p w14:paraId="199E37BB">
            <w:pPr>
              <w:spacing w:line="3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3.请务必确保投标文件制作时所用的 CA 锁与投标文件解密时的 CA 锁为同一把，否则可能导致投标文件解密失败。</w:t>
            </w:r>
          </w:p>
          <w:p w14:paraId="6B041D96">
            <w:pPr>
              <w:spacing w:line="3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4.在投标文件解密前，请务必检验 CA 锁与所用电脑的兼容性，部分电脑因 CA 驱动未正常安装、USB 接口兼容性差等原因可能造成投标文件解密失败。</w:t>
            </w:r>
          </w:p>
          <w:p w14:paraId="7059431C">
            <w:pPr>
              <w:spacing w:line="3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5.投标人未按招标文件规定及提醒操作的，引起的一切后果由投标人自行负责。</w:t>
            </w:r>
          </w:p>
          <w:p w14:paraId="039AE573">
            <w:pPr>
              <w:pStyle w:val="125"/>
              <w:spacing w:line="360" w:lineRule="exact"/>
              <w:rPr>
                <w:rFonts w:hint="eastAsia" w:cs="宋体"/>
                <w:color w:val="auto"/>
                <w:sz w:val="22"/>
                <w:highlight w:val="none"/>
                <w:lang w:val="en-US"/>
              </w:rPr>
            </w:pPr>
            <w:r>
              <w:rPr>
                <w:rFonts w:hint="eastAsia" w:cs="宋体"/>
                <w:b/>
                <w:color w:val="auto"/>
                <w:sz w:val="22"/>
                <w:highlight w:val="none"/>
                <w:lang w:val="en-US"/>
              </w:rPr>
              <w:t>6.投标截止时间同</w:t>
            </w:r>
            <w:r>
              <w:rPr>
                <w:rStyle w:val="43"/>
                <w:rFonts w:hint="eastAsia" w:cs="宋体"/>
                <w:color w:val="auto"/>
                <w:sz w:val="22"/>
                <w:highlight w:val="none"/>
              </w:rPr>
              <w:t>提交投标文件截止时间。</w:t>
            </w:r>
          </w:p>
        </w:tc>
      </w:tr>
      <w:tr w14:paraId="786FC5C4">
        <w:tblPrEx>
          <w:tblCellMar>
            <w:top w:w="0" w:type="dxa"/>
            <w:left w:w="108" w:type="dxa"/>
            <w:bottom w:w="0" w:type="dxa"/>
            <w:right w:w="108" w:type="dxa"/>
          </w:tblCellMar>
        </w:tblPrEx>
        <w:trPr>
          <w:trHeight w:val="391"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57C1A3F">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28</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46621695">
            <w:pPr>
              <w:spacing w:line="36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进口产品</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040230E8">
            <w:pPr>
              <w:adjustRightInd w:val="0"/>
              <w:snapToGrid w:val="0"/>
              <w:rPr>
                <w:rFonts w:hint="eastAsia" w:cs="宋体"/>
                <w:b/>
                <w:color w:val="auto"/>
                <w:sz w:val="22"/>
                <w:highlight w:val="none"/>
              </w:rPr>
            </w:pPr>
            <w:r>
              <w:rPr>
                <w:rFonts w:hint="eastAsia" w:ascii="宋体" w:hAnsi="宋体" w:cs="宋体"/>
                <w:b/>
                <w:bCs/>
                <w:color w:val="auto"/>
                <w:kern w:val="0"/>
                <w:sz w:val="22"/>
                <w:szCs w:val="22"/>
                <w:highlight w:val="none"/>
              </w:rPr>
              <w:t>本项目不允许采购进口产品。</w:t>
            </w:r>
          </w:p>
        </w:tc>
      </w:tr>
      <w:tr w14:paraId="6E4CAC7A">
        <w:tblPrEx>
          <w:tblCellMar>
            <w:top w:w="0" w:type="dxa"/>
            <w:left w:w="108" w:type="dxa"/>
            <w:bottom w:w="0" w:type="dxa"/>
            <w:right w:w="108" w:type="dxa"/>
          </w:tblCellMar>
        </w:tblPrEx>
        <w:trPr>
          <w:trHeight w:val="2233"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7DDE258">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29</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18788554">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融资意向</w:t>
            </w:r>
          </w:p>
        </w:tc>
        <w:tc>
          <w:tcPr>
            <w:tcW w:w="6317" w:type="dxa"/>
            <w:tcBorders>
              <w:top w:val="single" w:color="auto" w:sz="4" w:space="0"/>
              <w:left w:val="single" w:color="auto" w:sz="4" w:space="0"/>
              <w:bottom w:val="single" w:color="auto" w:sz="4" w:space="0"/>
              <w:right w:val="single" w:color="auto" w:sz="4" w:space="0"/>
            </w:tcBorders>
            <w:noWrap w:val="0"/>
            <w:vAlign w:val="center"/>
          </w:tcPr>
          <w:p w14:paraId="4272AB6A">
            <w:pPr>
              <w:spacing w:line="360" w:lineRule="exact"/>
              <w:rPr>
                <w:rFonts w:hint="eastAsia" w:ascii="宋体" w:hAnsi="宋体" w:cs="宋体"/>
                <w:b/>
                <w:bCs/>
                <w:color w:val="auto"/>
                <w:sz w:val="22"/>
                <w:szCs w:val="22"/>
                <w:highlight w:val="none"/>
              </w:rPr>
            </w:pPr>
            <w:r>
              <w:rPr>
                <w:rFonts w:hint="eastAsia" w:ascii="宋体" w:hAnsi="宋体" w:cs="宋体"/>
                <w:snapToGrid w:val="0"/>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11AD677E">
        <w:tblPrEx>
          <w:tblCellMar>
            <w:top w:w="0" w:type="dxa"/>
            <w:left w:w="108" w:type="dxa"/>
            <w:bottom w:w="0" w:type="dxa"/>
            <w:right w:w="108" w:type="dxa"/>
          </w:tblCellMar>
        </w:tblPrEx>
        <w:trPr>
          <w:trHeight w:val="35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C572C43">
            <w:pPr>
              <w:spacing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30</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5FBEAF59">
            <w:pPr>
              <w:spacing w:line="360" w:lineRule="exact"/>
              <w:jc w:val="center"/>
              <w:rPr>
                <w:rFonts w:hint="eastAsia" w:ascii="宋体" w:hAnsi="宋体" w:cs="宋体"/>
                <w:color w:val="auto"/>
                <w:kern w:val="0"/>
                <w:sz w:val="22"/>
                <w:szCs w:val="22"/>
                <w:highlight w:val="none"/>
              </w:rPr>
            </w:pPr>
            <w:r>
              <w:rPr>
                <w:rFonts w:hint="eastAsia" w:ascii="宋体" w:hAnsi="宋体" w:cs="宋体"/>
                <w:snapToGrid w:val="0"/>
                <w:color w:val="auto"/>
                <w:sz w:val="22"/>
                <w:szCs w:val="22"/>
                <w:highlight w:val="none"/>
              </w:rPr>
              <w:t>采购代理服务费</w:t>
            </w:r>
          </w:p>
        </w:tc>
        <w:tc>
          <w:tcPr>
            <w:tcW w:w="6317" w:type="dxa"/>
            <w:tcBorders>
              <w:top w:val="single" w:color="auto" w:sz="4" w:space="0"/>
              <w:left w:val="single" w:color="auto" w:sz="4" w:space="0"/>
              <w:bottom w:val="single" w:color="auto" w:sz="4" w:space="0"/>
              <w:right w:val="single" w:color="auto" w:sz="4" w:space="0"/>
            </w:tcBorders>
            <w:noWrap w:val="0"/>
            <w:vAlign w:val="top"/>
          </w:tcPr>
          <w:p w14:paraId="40B0DD95">
            <w:pPr>
              <w:adjustRightInd w:val="0"/>
              <w:snapToGrid w:val="0"/>
              <w:spacing w:line="360" w:lineRule="exact"/>
              <w:jc w:val="left"/>
              <w:rPr>
                <w:rFonts w:hint="eastAsia" w:ascii="宋体" w:hAnsi="宋体" w:cs="宋体"/>
                <w:color w:val="auto"/>
                <w:kern w:val="0"/>
                <w:sz w:val="22"/>
                <w:szCs w:val="22"/>
                <w:highlight w:val="none"/>
              </w:rPr>
            </w:pPr>
            <w:r>
              <w:rPr>
                <w:rFonts w:hint="eastAsia" w:ascii="宋体" w:hAnsi="宋体" w:cs="宋体"/>
                <w:color w:val="auto"/>
                <w:sz w:val="22"/>
                <w:szCs w:val="22"/>
                <w:highlight w:val="none"/>
                <w:u w:val="single"/>
              </w:rPr>
              <w:t>▲</w:t>
            </w:r>
            <w:r>
              <w:rPr>
                <w:rFonts w:hint="eastAsia" w:ascii="宋体" w:hAnsi="宋体"/>
                <w:color w:val="auto"/>
                <w:sz w:val="22"/>
                <w:szCs w:val="22"/>
                <w:highlight w:val="none"/>
                <w:u w:val="single"/>
              </w:rPr>
              <w:t>本项目采购代理服务费一次性收取人民币壹万陆仟元整（￥16000</w:t>
            </w:r>
            <w:r>
              <w:rPr>
                <w:rFonts w:ascii="宋体" w:hAnsi="宋体"/>
                <w:color w:val="auto"/>
                <w:sz w:val="22"/>
                <w:szCs w:val="22"/>
                <w:highlight w:val="none"/>
                <w:u w:val="single"/>
              </w:rPr>
              <w:t>.00</w:t>
            </w:r>
            <w:r>
              <w:rPr>
                <w:rFonts w:hint="eastAsia" w:ascii="宋体" w:hAnsi="宋体"/>
                <w:color w:val="auto"/>
                <w:sz w:val="22"/>
                <w:szCs w:val="22"/>
                <w:highlight w:val="none"/>
                <w:u w:val="single"/>
              </w:rPr>
              <w:t>），由最终中标供应商在领取中标通知书时支付，采购代理费包含在投标总价中综合考虑。</w:t>
            </w:r>
          </w:p>
        </w:tc>
      </w:tr>
    </w:tbl>
    <w:p w14:paraId="14BFCF5B">
      <w:pPr>
        <w:rPr>
          <w:rFonts w:hint="eastAsia"/>
          <w:color w:val="auto"/>
          <w:highlight w:val="none"/>
        </w:rPr>
      </w:pPr>
    </w:p>
    <w:p w14:paraId="008E873F">
      <w:pPr>
        <w:rPr>
          <w:rFonts w:hint="eastAsia"/>
          <w:color w:val="auto"/>
          <w:highlight w:val="none"/>
        </w:rPr>
      </w:pPr>
    </w:p>
    <w:p w14:paraId="4488BC7B">
      <w:pPr>
        <w:pStyle w:val="13"/>
        <w:spacing w:line="460" w:lineRule="exact"/>
        <w:jc w:val="center"/>
        <w:outlineLvl w:val="1"/>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br w:type="page"/>
      </w:r>
      <w:bookmarkStart w:id="18" w:name="_Toc29734"/>
      <w:r>
        <w:rPr>
          <w:rFonts w:hint="eastAsia" w:ascii="宋体" w:hAnsi="宋体" w:cs="宋体"/>
          <w:b/>
          <w:bCs/>
          <w:color w:val="auto"/>
          <w:sz w:val="22"/>
          <w:szCs w:val="22"/>
          <w:highlight w:val="none"/>
        </w:rPr>
        <w:t>一、说    明</w:t>
      </w:r>
      <w:bookmarkEnd w:id="18"/>
    </w:p>
    <w:p w14:paraId="79B48DEA">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   本次招标是根据《中华人民共和国政府采购法》、《中华人民共和国政府采购法实施条例》、《政府采购货物和服务招标投标管理办法》（财政部第87号令）、《浙江省政府采购项目电子交易管理暂行办法》（浙财采监〔2019〕10号）及浙江省市等有关政府采购的规范性文件组织和实施。</w:t>
      </w:r>
    </w:p>
    <w:p w14:paraId="72650C28">
      <w:pPr>
        <w:pStyle w:val="13"/>
        <w:spacing w:line="460" w:lineRule="exact"/>
        <w:rPr>
          <w:rFonts w:hint="eastAsia" w:ascii="宋体" w:hAnsi="宋体" w:cs="宋体"/>
          <w:b/>
          <w:bCs/>
          <w:color w:val="auto"/>
          <w:sz w:val="22"/>
          <w:szCs w:val="22"/>
          <w:highlight w:val="none"/>
        </w:rPr>
      </w:pPr>
      <w:bookmarkStart w:id="19" w:name="_Toc3235"/>
      <w:bookmarkStart w:id="20" w:name="_Toc19066"/>
      <w:bookmarkStart w:id="21" w:name="_Toc31546"/>
      <w:bookmarkStart w:id="22" w:name="_Toc202085289"/>
      <w:bookmarkStart w:id="23" w:name="_Toc195502489"/>
      <w:bookmarkStart w:id="24" w:name="_Toc195502579"/>
      <w:r>
        <w:rPr>
          <w:rFonts w:hint="eastAsia" w:ascii="宋体" w:hAnsi="宋体" w:cs="宋体"/>
          <w:b/>
          <w:bCs/>
          <w:color w:val="auto"/>
          <w:sz w:val="22"/>
          <w:szCs w:val="22"/>
          <w:highlight w:val="none"/>
        </w:rPr>
        <w:t>2.   定义</w:t>
      </w:r>
      <w:bookmarkEnd w:id="19"/>
      <w:bookmarkEnd w:id="20"/>
      <w:bookmarkEnd w:id="21"/>
    </w:p>
    <w:p w14:paraId="3AA203D6">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2.1 “采购人”系指招标公告中载明的本项目的采购人。</w:t>
      </w:r>
    </w:p>
    <w:p w14:paraId="5F6BF409">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2.2 “采购代理机构”系指招标公告中载明的本项目的采购代理机构。</w:t>
      </w:r>
    </w:p>
    <w:p w14:paraId="2C4AD6B7">
      <w:pPr>
        <w:spacing w:line="460" w:lineRule="exact"/>
        <w:ind w:firstLine="440" w:firstLineChars="200"/>
        <w:rPr>
          <w:rFonts w:hint="eastAsia" w:ascii="宋体" w:hAnsi="宋体" w:cs="仿宋"/>
          <w:color w:val="auto"/>
          <w:sz w:val="22"/>
          <w:highlight w:val="none"/>
        </w:rPr>
      </w:pPr>
      <w:r>
        <w:rPr>
          <w:rFonts w:hint="eastAsia" w:ascii="宋体" w:hAnsi="宋体" w:cs="仿宋"/>
          <w:color w:val="auto"/>
          <w:sz w:val="22"/>
          <w:highlight w:val="none"/>
        </w:rPr>
        <w:t>2.3 “投标人、供应商”均系指是指响应招标、参加投标竞争的法人、其他组织或者自然人。</w:t>
      </w:r>
    </w:p>
    <w:p w14:paraId="5EFB6D7D">
      <w:pPr>
        <w:pStyle w:val="32"/>
        <w:spacing w:line="460" w:lineRule="exact"/>
        <w:ind w:firstLine="220" w:firstLineChars="100"/>
        <w:rPr>
          <w:rFonts w:hint="eastAsia" w:ascii="宋体" w:hAnsi="宋体" w:cs="仿宋"/>
          <w:smallCaps w:val="0"/>
          <w:color w:val="auto"/>
          <w:sz w:val="22"/>
          <w:szCs w:val="24"/>
          <w:highlight w:val="none"/>
        </w:rPr>
      </w:pPr>
      <w:r>
        <w:rPr>
          <w:rFonts w:hint="eastAsia" w:ascii="宋体" w:hAnsi="宋体" w:cs="仿宋"/>
          <w:smallCaps w:val="0"/>
          <w:color w:val="auto"/>
          <w:sz w:val="22"/>
          <w:szCs w:val="24"/>
          <w:highlight w:val="none"/>
        </w:rPr>
        <w:t>2.4 “联合体”：是指不同的投标人通过签署联合体投标协议，以一个投标人的身份参加投标。</w:t>
      </w:r>
    </w:p>
    <w:p w14:paraId="07223DF7">
      <w:pPr>
        <w:spacing w:line="46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2.5 “负责人”系指法人企业的法定负责人，或其他组织为法律、行政法规规定代表单位行使职权的主要负责人，或自然人本人。</w:t>
      </w:r>
    </w:p>
    <w:p w14:paraId="051E5635">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2.6“电子签名”系指数据电文中以电子形式所含、所附用于识别签名人身份并表明签名人认可其中内容的数据；“公章”系指单位法定名称章。</w:t>
      </w:r>
    </w:p>
    <w:p w14:paraId="3C4C2ED4">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2.7“电子交易平台”是指本项目政府采购活动所依托的政府采购云平台（https://www.zcygov.cn/）。</w:t>
      </w:r>
    </w:p>
    <w:p w14:paraId="15F45101">
      <w:pPr>
        <w:pStyle w:val="13"/>
        <w:spacing w:line="460" w:lineRule="exact"/>
        <w:ind w:firstLine="440" w:firstLineChars="200"/>
        <w:rPr>
          <w:rFonts w:hint="eastAsia" w:ascii="宋体" w:hAnsi="宋体" w:cs="仿宋"/>
          <w:color w:val="auto"/>
          <w:sz w:val="22"/>
          <w:highlight w:val="none"/>
        </w:rPr>
      </w:pPr>
      <w:r>
        <w:rPr>
          <w:rFonts w:hint="eastAsia" w:ascii="宋体" w:hAnsi="宋体" w:cs="仿宋"/>
          <w:color w:val="auto"/>
          <w:sz w:val="22"/>
          <w:highlight w:val="none"/>
        </w:rPr>
        <w:t>2.8 “▲”</w:t>
      </w:r>
      <w:r>
        <w:rPr>
          <w:rFonts w:hint="eastAsia" w:ascii="宋体" w:hAnsi="宋体" w:cs="仿宋"/>
          <w:snapToGrid w:val="0"/>
          <w:color w:val="auto"/>
          <w:kern w:val="28"/>
          <w:sz w:val="22"/>
          <w:highlight w:val="none"/>
        </w:rPr>
        <w:t>且加下划线的条款</w:t>
      </w:r>
      <w:r>
        <w:rPr>
          <w:rFonts w:hint="eastAsia" w:ascii="宋体" w:hAnsi="宋体" w:cs="仿宋"/>
          <w:color w:val="auto"/>
          <w:sz w:val="22"/>
          <w:highlight w:val="none"/>
        </w:rPr>
        <w:t>系指实质性要求条款， “</w:t>
      </w:r>
      <w:r>
        <w:rPr>
          <w:rFonts w:hint="eastAsia" w:ascii="宋体" w:hAnsi="宋体" w:cs="仿宋"/>
          <w:color w:val="auto"/>
          <w:sz w:val="22"/>
          <w:highlight w:val="none"/>
        </w:rPr>
        <w:sym w:font="Wingdings" w:char="00FE"/>
      </w:r>
      <w:r>
        <w:rPr>
          <w:rFonts w:hint="eastAsia" w:ascii="宋体" w:hAnsi="宋体" w:cs="仿宋"/>
          <w:color w:val="auto"/>
          <w:sz w:val="22"/>
          <w:highlight w:val="none"/>
        </w:rPr>
        <w:t>” 系指适用本项目的要求，“</w:t>
      </w:r>
      <w:r>
        <w:rPr>
          <w:rFonts w:hint="eastAsia" w:ascii="宋体" w:hAnsi="宋体" w:cs="仿宋"/>
          <w:color w:val="auto"/>
          <w:sz w:val="22"/>
          <w:highlight w:val="none"/>
        </w:rPr>
        <w:sym w:font="Wingdings" w:char="00A8"/>
      </w:r>
      <w:r>
        <w:rPr>
          <w:rFonts w:hint="eastAsia" w:ascii="宋体" w:hAnsi="宋体" w:cs="仿宋"/>
          <w:color w:val="auto"/>
          <w:sz w:val="22"/>
          <w:highlight w:val="none"/>
        </w:rPr>
        <w:t>” 系指不适用本项目的要求</w:t>
      </w:r>
    </w:p>
    <w:p w14:paraId="6A8F0838">
      <w:pPr>
        <w:pStyle w:val="1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3.  合格投标人要求</w:t>
      </w:r>
    </w:p>
    <w:p w14:paraId="5E13439D">
      <w:pPr>
        <w:tabs>
          <w:tab w:val="left" w:pos="540"/>
          <w:tab w:val="left" w:pos="900"/>
        </w:tabs>
        <w:snapToGrid w:val="0"/>
        <w:spacing w:line="440" w:lineRule="exact"/>
        <w:ind w:firstLine="440" w:firstLineChars="200"/>
        <w:rPr>
          <w:rFonts w:ascii="宋体" w:hAnsi="宋体" w:cs="仿宋"/>
          <w:bCs/>
          <w:color w:val="auto"/>
          <w:sz w:val="22"/>
          <w:highlight w:val="none"/>
        </w:rPr>
      </w:pPr>
      <w:r>
        <w:rPr>
          <w:rFonts w:hint="eastAsia" w:ascii="宋体" w:hAnsi="宋体" w:cs="仿宋"/>
          <w:bCs/>
          <w:color w:val="auto"/>
          <w:sz w:val="22"/>
          <w:highlight w:val="none"/>
        </w:rPr>
        <w:t>3.1合格的投标人应满足招标文件第一部分“招标公告”对申请人的资格要求。</w:t>
      </w:r>
    </w:p>
    <w:p w14:paraId="3D376601">
      <w:pPr>
        <w:tabs>
          <w:tab w:val="left" w:pos="540"/>
          <w:tab w:val="left" w:pos="900"/>
        </w:tabs>
        <w:snapToGrid w:val="0"/>
        <w:spacing w:line="440" w:lineRule="exact"/>
        <w:ind w:firstLine="440" w:firstLineChars="200"/>
        <w:rPr>
          <w:rFonts w:ascii="宋体" w:hAnsi="宋体" w:cs="仿宋"/>
          <w:bCs/>
          <w:color w:val="auto"/>
          <w:sz w:val="22"/>
          <w:highlight w:val="none"/>
        </w:rPr>
      </w:pPr>
      <w:r>
        <w:rPr>
          <w:rFonts w:hint="eastAsia" w:ascii="宋体" w:hAnsi="宋体" w:cs="仿宋"/>
          <w:bCs/>
          <w:color w:val="auto"/>
          <w:sz w:val="22"/>
          <w:highlight w:val="none"/>
        </w:rPr>
        <w:t>3.2</w:t>
      </w:r>
      <w:r>
        <w:rPr>
          <w:rFonts w:hint="eastAsia" w:ascii="宋体" w:hAnsi="宋体" w:cs="仿宋"/>
          <w:b/>
          <w:color w:val="auto"/>
          <w:sz w:val="22"/>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0931BF73">
      <w:pPr>
        <w:tabs>
          <w:tab w:val="left" w:pos="540"/>
          <w:tab w:val="left" w:pos="900"/>
        </w:tabs>
        <w:snapToGrid w:val="0"/>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02C6869F">
      <w:pPr>
        <w:snapToGrid w:val="0"/>
        <w:spacing w:line="440" w:lineRule="exact"/>
        <w:ind w:firstLine="464" w:firstLineChars="200"/>
        <w:rPr>
          <w:rFonts w:ascii="宋体" w:hAnsi="宋体" w:cs="仿宋"/>
          <w:bCs/>
          <w:color w:val="auto"/>
          <w:spacing w:val="6"/>
          <w:sz w:val="22"/>
          <w:highlight w:val="none"/>
        </w:rPr>
      </w:pPr>
      <w:r>
        <w:rPr>
          <w:rFonts w:hint="eastAsia" w:ascii="宋体" w:hAnsi="宋体" w:cs="仿宋"/>
          <w:bCs/>
          <w:color w:val="auto"/>
          <w:spacing w:val="6"/>
          <w:sz w:val="22"/>
          <w:highlight w:val="none"/>
        </w:rPr>
        <w:t>3.4采用最低评标价法的</w:t>
      </w:r>
      <w:r>
        <w:rPr>
          <w:rFonts w:hint="eastAsia" w:ascii="宋体" w:hAnsi="宋体" w:cs="仿宋"/>
          <w:color w:val="auto"/>
          <w:sz w:val="22"/>
          <w:highlight w:val="none"/>
        </w:rPr>
        <w:t>货物类</w:t>
      </w:r>
      <w:r>
        <w:rPr>
          <w:rFonts w:hint="eastAsia" w:ascii="宋体" w:hAnsi="宋体" w:cs="仿宋"/>
          <w:bCs/>
          <w:color w:val="auto"/>
          <w:spacing w:val="6"/>
          <w:sz w:val="22"/>
          <w:highlight w:val="none"/>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0668792">
      <w:pPr>
        <w:snapToGrid w:val="0"/>
        <w:spacing w:line="440" w:lineRule="exact"/>
        <w:ind w:firstLine="464" w:firstLineChars="200"/>
        <w:rPr>
          <w:rFonts w:ascii="宋体" w:hAnsi="宋体" w:cs="仿宋"/>
          <w:bCs/>
          <w:color w:val="auto"/>
          <w:spacing w:val="6"/>
          <w:sz w:val="22"/>
          <w:highlight w:val="none"/>
        </w:rPr>
      </w:pPr>
      <w:r>
        <w:rPr>
          <w:rFonts w:hint="eastAsia" w:ascii="宋体" w:hAnsi="宋体" w:cs="仿宋"/>
          <w:bCs/>
          <w:color w:val="auto"/>
          <w:spacing w:val="6"/>
          <w:sz w:val="22"/>
          <w:highlight w:val="none"/>
        </w:rPr>
        <w:t>使用综合评分法的</w:t>
      </w:r>
      <w:r>
        <w:rPr>
          <w:rFonts w:hint="eastAsia" w:ascii="宋体" w:hAnsi="宋体" w:cs="仿宋"/>
          <w:color w:val="auto"/>
          <w:sz w:val="22"/>
          <w:highlight w:val="none"/>
        </w:rPr>
        <w:t>货物类</w:t>
      </w:r>
      <w:r>
        <w:rPr>
          <w:rFonts w:hint="eastAsia" w:ascii="宋体" w:hAnsi="宋体" w:cs="仿宋"/>
          <w:bCs/>
          <w:color w:val="auto"/>
          <w:spacing w:val="6"/>
          <w:sz w:val="22"/>
          <w:highlight w:val="none"/>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367119C">
      <w:pPr>
        <w:snapToGrid w:val="0"/>
        <w:spacing w:line="440" w:lineRule="exact"/>
        <w:ind w:firstLine="464" w:firstLineChars="200"/>
        <w:rPr>
          <w:rFonts w:ascii="宋体" w:hAnsi="宋体" w:cs="仿宋"/>
          <w:bCs/>
          <w:color w:val="auto"/>
          <w:spacing w:val="6"/>
          <w:sz w:val="22"/>
          <w:highlight w:val="none"/>
        </w:rPr>
      </w:pPr>
      <w:r>
        <w:rPr>
          <w:rFonts w:hint="eastAsia" w:ascii="宋体" w:hAnsi="宋体" w:cs="仿宋"/>
          <w:bCs/>
          <w:color w:val="auto"/>
          <w:spacing w:val="6"/>
          <w:sz w:val="22"/>
          <w:highlight w:val="none"/>
        </w:rPr>
        <w:t>非单一产品采购项目，多家投标人提供的核心产品（见</w:t>
      </w:r>
      <w:r>
        <w:rPr>
          <w:rFonts w:hint="eastAsia" w:ascii="宋体" w:hAnsi="宋体" w:cs="仿宋"/>
          <w:color w:val="auto"/>
          <w:sz w:val="22"/>
          <w:highlight w:val="none"/>
        </w:rPr>
        <w:t>投标人须知前附表</w:t>
      </w:r>
      <w:r>
        <w:rPr>
          <w:rFonts w:hint="eastAsia" w:ascii="宋体" w:hAnsi="宋体" w:cs="仿宋"/>
          <w:bCs/>
          <w:color w:val="auto"/>
          <w:spacing w:val="6"/>
          <w:sz w:val="22"/>
          <w:highlight w:val="none"/>
        </w:rPr>
        <w:t>）品牌相同的，按前两款规定处理。</w:t>
      </w:r>
    </w:p>
    <w:p w14:paraId="54593039">
      <w:pPr>
        <w:snapToGrid w:val="0"/>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3.5货物类是否允许采购进口产品、是否要求节能/环境标志产品等情况见投标人须知前附表。</w:t>
      </w:r>
    </w:p>
    <w:p w14:paraId="28EFF0DF">
      <w:pPr>
        <w:pStyle w:val="1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4.  采购项目需要落实的政府采购政策</w:t>
      </w:r>
    </w:p>
    <w:p w14:paraId="7B02FD84">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784A803">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4.2 支持绿色发展</w:t>
      </w:r>
    </w:p>
    <w:p w14:paraId="783CCC4C">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61DE96E9">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C7E2E94">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4.3支持中小企业发展</w:t>
      </w:r>
    </w:p>
    <w:p w14:paraId="75EDB416">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12EF9177">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符合中小企业划分标准的个体工商户，在政府采购活动中视同中小企业。</w:t>
      </w:r>
    </w:p>
    <w:p w14:paraId="1EBC61DE">
      <w:pPr>
        <w:widowControl/>
        <w:spacing w:line="440" w:lineRule="exact"/>
        <w:ind w:firstLine="440" w:firstLineChars="200"/>
        <w:jc w:val="left"/>
        <w:rPr>
          <w:rFonts w:ascii="宋体" w:hAnsi="宋体" w:cs="仿宋"/>
          <w:color w:val="auto"/>
          <w:sz w:val="22"/>
          <w:highlight w:val="none"/>
        </w:rPr>
      </w:pPr>
      <w:r>
        <w:rPr>
          <w:rFonts w:hint="eastAsia" w:ascii="宋体" w:hAnsi="宋体" w:cs="仿宋"/>
          <w:bCs/>
          <w:color w:val="auto"/>
          <w:sz w:val="22"/>
          <w:highlight w:val="none"/>
        </w:rPr>
        <w:t>4.3.2</w:t>
      </w:r>
      <w:r>
        <w:rPr>
          <w:rFonts w:hint="eastAsia" w:ascii="宋体" w:hAnsi="宋体" w:cs="仿宋"/>
          <w:color w:val="auto"/>
          <w:sz w:val="22"/>
          <w:highlight w:val="none"/>
        </w:rPr>
        <w:t>在政府采购活动中，投标人提供的货物、工程或者服务符合下列情形的，享受中小企业扶持政策：</w:t>
      </w:r>
    </w:p>
    <w:p w14:paraId="5BA88B6F">
      <w:pPr>
        <w:widowControl/>
        <w:spacing w:line="440" w:lineRule="exact"/>
        <w:ind w:firstLine="440" w:firstLineChars="200"/>
        <w:jc w:val="left"/>
        <w:rPr>
          <w:rFonts w:ascii="宋体" w:hAnsi="宋体" w:cs="仿宋"/>
          <w:color w:val="auto"/>
          <w:sz w:val="22"/>
          <w:highlight w:val="none"/>
        </w:rPr>
      </w:pPr>
      <w:r>
        <w:rPr>
          <w:rFonts w:hint="eastAsia" w:ascii="宋体" w:hAnsi="宋体" w:cs="仿宋"/>
          <w:color w:val="auto"/>
          <w:sz w:val="22"/>
          <w:highlight w:val="none"/>
        </w:rPr>
        <w:t>4.3.2.1在货物采购项目中，货物由中小企业制造，即货物由中小企业生产且使用该中小企业商号或者注册商标；</w:t>
      </w:r>
    </w:p>
    <w:p w14:paraId="1CD1A754">
      <w:pPr>
        <w:widowControl/>
        <w:spacing w:line="440" w:lineRule="exact"/>
        <w:ind w:firstLine="440" w:firstLineChars="200"/>
        <w:jc w:val="left"/>
        <w:rPr>
          <w:rFonts w:ascii="宋体" w:hAnsi="宋体" w:cs="仿宋"/>
          <w:color w:val="auto"/>
          <w:sz w:val="22"/>
          <w:highlight w:val="none"/>
        </w:rPr>
      </w:pPr>
      <w:r>
        <w:rPr>
          <w:rFonts w:hint="eastAsia" w:ascii="宋体" w:hAnsi="宋体" w:cs="仿宋"/>
          <w:color w:val="auto"/>
          <w:sz w:val="22"/>
          <w:highlight w:val="none"/>
        </w:rPr>
        <w:t>4.3.2.2在工程采购项目中，工程由中小企业承建，即工程施工单位为中小企业；</w:t>
      </w:r>
    </w:p>
    <w:p w14:paraId="4B4E4A6C">
      <w:pPr>
        <w:widowControl/>
        <w:spacing w:line="440" w:lineRule="exact"/>
        <w:ind w:firstLine="440" w:firstLineChars="200"/>
        <w:jc w:val="left"/>
        <w:rPr>
          <w:rFonts w:ascii="宋体" w:hAnsi="宋体" w:cs="仿宋"/>
          <w:color w:val="auto"/>
          <w:sz w:val="22"/>
          <w:highlight w:val="none"/>
        </w:rPr>
      </w:pPr>
      <w:r>
        <w:rPr>
          <w:rFonts w:hint="eastAsia" w:ascii="宋体" w:hAnsi="宋体" w:cs="仿宋"/>
          <w:color w:val="auto"/>
          <w:sz w:val="22"/>
          <w:highlight w:val="none"/>
        </w:rPr>
        <w:t>4.3.2.3在服务采购项目中，服务由中小企业承接，即提供服务的人员为中小企业依照《中华人民共和国劳动合同法》订立劳动合同的从业人员。</w:t>
      </w:r>
    </w:p>
    <w:p w14:paraId="2C77C73A">
      <w:pPr>
        <w:widowControl/>
        <w:spacing w:line="440" w:lineRule="exact"/>
        <w:ind w:firstLine="440" w:firstLineChars="200"/>
        <w:jc w:val="left"/>
        <w:rPr>
          <w:rFonts w:ascii="宋体" w:hAnsi="宋体" w:cs="仿宋"/>
          <w:color w:val="auto"/>
          <w:sz w:val="22"/>
          <w:highlight w:val="none"/>
        </w:rPr>
      </w:pPr>
      <w:r>
        <w:rPr>
          <w:rFonts w:hint="eastAsia" w:ascii="宋体" w:hAnsi="宋体" w:cs="仿宋"/>
          <w:color w:val="auto"/>
          <w:sz w:val="22"/>
          <w:highlight w:val="none"/>
        </w:rPr>
        <w:t>在货物采购项目中，投标人提供的货物既有中小企业制造货物，也有大型企业制造货物的，不享受中小企业扶持政策。</w:t>
      </w:r>
    </w:p>
    <w:p w14:paraId="44908C38">
      <w:pPr>
        <w:widowControl/>
        <w:spacing w:line="440" w:lineRule="exact"/>
        <w:ind w:firstLine="440" w:firstLineChars="200"/>
        <w:jc w:val="left"/>
        <w:rPr>
          <w:rFonts w:ascii="宋体" w:hAnsi="宋体" w:cs="仿宋"/>
          <w:color w:val="auto"/>
          <w:sz w:val="22"/>
          <w:highlight w:val="none"/>
        </w:rPr>
      </w:pPr>
      <w:r>
        <w:rPr>
          <w:rFonts w:hint="eastAsia" w:ascii="宋体" w:hAnsi="宋体" w:cs="仿宋"/>
          <w:color w:val="auto"/>
          <w:sz w:val="22"/>
          <w:highlight w:val="none"/>
        </w:rPr>
        <w:t>以联合体形式参加政府采购活动，联合体各方均为中小企业的，联合体视同中小企业。其中，联合体各方均为小微企业的，联合体视同小微企业。</w:t>
      </w:r>
    </w:p>
    <w:p w14:paraId="3DDF0D03">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4.3.3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扣除，用扣除后的价格参加评审。组成联合体或者接受分包的小微企业与联合体内其他企业、分包企业之间存在直接控股、管理关系的，不享受价格扣除优惠政策。</w:t>
      </w:r>
    </w:p>
    <w:p w14:paraId="4DDF8BEE">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4.3.4符合《关于促进残疾人就业政府采购政策的通知》（财库〔2017〕141号）规定的条件并提供《残疾人福利性单位声明函》（附件四）的残疾人福利性单位视同小型、微型企业；</w:t>
      </w:r>
    </w:p>
    <w:p w14:paraId="72550870">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1610FF81">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309C830">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4.3.7中小企业享受扶持政策获得政府采购合同的，小微企业不得将合同分包给大中型企业，中型企业不得将合同分包给大型企业。</w:t>
      </w:r>
    </w:p>
    <w:p w14:paraId="66D7670E">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6BEA689E">
      <w:pPr>
        <w:snapToGrid w:val="0"/>
        <w:spacing w:line="440" w:lineRule="exact"/>
        <w:ind w:firstLine="440" w:firstLineChars="200"/>
        <w:rPr>
          <w:rFonts w:ascii="宋体" w:hAnsi="宋体" w:cs="仿宋"/>
          <w:color w:val="auto"/>
          <w:sz w:val="22"/>
          <w:highlight w:val="none"/>
        </w:rPr>
      </w:pPr>
      <w:r>
        <w:rPr>
          <w:rFonts w:hint="eastAsia" w:ascii="宋体" w:hAnsi="宋体" w:cs="仿宋"/>
          <w:snapToGrid w:val="0"/>
          <w:color w:val="auto"/>
          <w:kern w:val="28"/>
          <w:sz w:val="22"/>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0B5AA6B">
      <w:pPr>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4.5支持创新发展</w:t>
      </w:r>
    </w:p>
    <w:p w14:paraId="36B23B1F">
      <w:pPr>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4.5.1采购人优先采购被认定为首台套产品和“制造精品”的自主创新产品。</w:t>
      </w:r>
    </w:p>
    <w:p w14:paraId="46C5FFA4">
      <w:pPr>
        <w:spacing w:line="44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4.5.2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2E95C564">
      <w:pPr>
        <w:pStyle w:val="1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5.  询问、质疑、投诉</w:t>
      </w:r>
    </w:p>
    <w:p w14:paraId="3648DE2B">
      <w:pPr>
        <w:autoSpaceDE w:val="0"/>
        <w:autoSpaceDN w:val="0"/>
        <w:spacing w:line="440" w:lineRule="exact"/>
        <w:ind w:firstLine="220" w:firstLineChars="100"/>
        <w:jc w:val="left"/>
        <w:rPr>
          <w:rFonts w:ascii="宋体" w:hAnsi="宋体" w:cs="仿宋"/>
          <w:color w:val="auto"/>
          <w:sz w:val="22"/>
          <w:highlight w:val="none"/>
          <w:lang w:val="zh-CN"/>
        </w:rPr>
      </w:pPr>
      <w:bookmarkStart w:id="25" w:name="_Toc102115981"/>
      <w:bookmarkStart w:id="26" w:name="_Toc30414"/>
      <w:r>
        <w:rPr>
          <w:rFonts w:hint="eastAsia" w:ascii="宋体" w:hAnsi="宋体" w:cs="仿宋"/>
          <w:color w:val="auto"/>
          <w:sz w:val="22"/>
          <w:highlight w:val="none"/>
        </w:rPr>
        <w:t>5</w:t>
      </w:r>
      <w:r>
        <w:rPr>
          <w:rFonts w:hint="eastAsia" w:ascii="宋体" w:hAnsi="宋体" w:cs="仿宋"/>
          <w:color w:val="auto"/>
          <w:sz w:val="22"/>
          <w:highlight w:val="none"/>
          <w:lang w:val="zh-CN"/>
        </w:rPr>
        <w:t>.1供应商询问</w:t>
      </w:r>
    </w:p>
    <w:p w14:paraId="4BADE2DE">
      <w:pPr>
        <w:autoSpaceDE w:val="0"/>
        <w:autoSpaceDN w:val="0"/>
        <w:spacing w:line="440" w:lineRule="exact"/>
        <w:ind w:firstLine="440" w:firstLineChars="200"/>
        <w:jc w:val="left"/>
        <w:rPr>
          <w:rFonts w:ascii="宋体" w:hAnsi="宋体" w:cs="仿宋"/>
          <w:color w:val="auto"/>
          <w:sz w:val="22"/>
          <w:highlight w:val="none"/>
          <w:lang w:val="zh-CN"/>
        </w:rPr>
      </w:pPr>
      <w:r>
        <w:rPr>
          <w:rFonts w:hint="eastAsia" w:ascii="宋体" w:hAnsi="宋体" w:cs="仿宋"/>
          <w:color w:val="auto"/>
          <w:sz w:val="22"/>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C77BDDC">
      <w:pPr>
        <w:autoSpaceDE w:val="0"/>
        <w:autoSpaceDN w:val="0"/>
        <w:spacing w:line="440" w:lineRule="exact"/>
        <w:ind w:firstLine="220" w:firstLineChars="100"/>
        <w:jc w:val="left"/>
        <w:rPr>
          <w:rFonts w:ascii="宋体" w:hAnsi="宋体" w:cs="仿宋"/>
          <w:color w:val="auto"/>
          <w:sz w:val="22"/>
          <w:highlight w:val="none"/>
          <w:lang w:val="zh-CN"/>
        </w:rPr>
      </w:pPr>
      <w:r>
        <w:rPr>
          <w:rFonts w:hint="eastAsia" w:ascii="宋体" w:hAnsi="宋体" w:cs="仿宋"/>
          <w:color w:val="auto"/>
          <w:sz w:val="22"/>
          <w:highlight w:val="none"/>
        </w:rPr>
        <w:t>5</w:t>
      </w:r>
      <w:r>
        <w:rPr>
          <w:rFonts w:hint="eastAsia" w:ascii="宋体" w:hAnsi="宋体" w:cs="仿宋"/>
          <w:color w:val="auto"/>
          <w:sz w:val="22"/>
          <w:highlight w:val="none"/>
          <w:lang w:val="zh-CN"/>
        </w:rPr>
        <w:t>.2供应商质疑</w:t>
      </w:r>
    </w:p>
    <w:p w14:paraId="3CDA5E89">
      <w:pPr>
        <w:pStyle w:val="19"/>
        <w:spacing w:line="440" w:lineRule="exact"/>
        <w:ind w:firstLine="440" w:firstLineChars="200"/>
        <w:rPr>
          <w:rFonts w:hAnsi="宋体" w:cs="仿宋"/>
          <w:color w:val="auto"/>
          <w:sz w:val="22"/>
          <w:szCs w:val="22"/>
          <w:highlight w:val="none"/>
        </w:rPr>
      </w:pPr>
      <w:r>
        <w:rPr>
          <w:rFonts w:hint="eastAsia" w:hAnsi="宋体" w:cs="仿宋"/>
          <w:color w:val="auto"/>
          <w:sz w:val="22"/>
          <w:szCs w:val="22"/>
          <w:highlight w:val="none"/>
        </w:rPr>
        <w:t>5</w:t>
      </w:r>
      <w:r>
        <w:rPr>
          <w:rFonts w:hint="eastAsia" w:hAnsi="宋体" w:cs="仿宋"/>
          <w:color w:val="auto"/>
          <w:sz w:val="22"/>
          <w:szCs w:val="22"/>
          <w:highlight w:val="none"/>
          <w:lang w:val="zh-CN"/>
        </w:rPr>
        <w:t>.2</w:t>
      </w:r>
      <w:r>
        <w:rPr>
          <w:rFonts w:hint="eastAsia" w:hAnsi="宋体" w:cs="仿宋"/>
          <w:color w:val="auto"/>
          <w:sz w:val="22"/>
          <w:szCs w:val="22"/>
          <w:highlight w:val="none"/>
        </w:rPr>
        <w:t>.1提出质疑的供应商应当是参与所质疑项目采购活动的供应商。潜在供应商已依法获取其可质疑的招标文件的，可以对该文件提出质疑。</w:t>
      </w:r>
    </w:p>
    <w:p w14:paraId="40BB561F">
      <w:pPr>
        <w:pStyle w:val="19"/>
        <w:spacing w:line="440" w:lineRule="exact"/>
        <w:ind w:firstLine="440" w:firstLineChars="200"/>
        <w:rPr>
          <w:rFonts w:hAnsi="宋体" w:cs="仿宋"/>
          <w:color w:val="auto"/>
          <w:sz w:val="22"/>
          <w:szCs w:val="22"/>
          <w:highlight w:val="none"/>
        </w:rPr>
      </w:pPr>
      <w:r>
        <w:rPr>
          <w:rFonts w:hint="eastAsia" w:hAnsi="宋体" w:cs="仿宋"/>
          <w:color w:val="auto"/>
          <w:sz w:val="22"/>
          <w:szCs w:val="22"/>
          <w:highlight w:val="none"/>
        </w:rPr>
        <w:t>5</w:t>
      </w:r>
      <w:r>
        <w:rPr>
          <w:rFonts w:hint="eastAsia" w:hAnsi="宋体" w:cs="仿宋"/>
          <w:color w:val="auto"/>
          <w:sz w:val="22"/>
          <w:szCs w:val="22"/>
          <w:highlight w:val="none"/>
          <w:lang w:val="zh-CN"/>
        </w:rPr>
        <w:t>.2</w:t>
      </w:r>
      <w:r>
        <w:rPr>
          <w:rFonts w:hint="eastAsia" w:hAnsi="宋体" w:cs="仿宋"/>
          <w:color w:val="auto"/>
          <w:sz w:val="22"/>
          <w:szCs w:val="22"/>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7FEED45">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5.2.2.1质疑提交形式：以书面形式向招标公告中载明的质疑联系人提交或登录政采云平台（https://www.zcygov.cn/）通过“询问质疑投诉”栏向采购机构内设的质疑联系人提交并上传书面质疑材料。</w:t>
      </w:r>
    </w:p>
    <w:p w14:paraId="3E66811E">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5.2.2.2对招标文件提出质疑的，质疑期限为供应商获得招标文件之日或者招标文件公告期限届满之日起计算。</w:t>
      </w:r>
    </w:p>
    <w:p w14:paraId="35EB411E">
      <w:pPr>
        <w:pStyle w:val="19"/>
        <w:spacing w:line="440" w:lineRule="exact"/>
        <w:ind w:firstLine="440" w:firstLineChars="200"/>
        <w:rPr>
          <w:rFonts w:hAnsi="宋体" w:cs="仿宋"/>
          <w:color w:val="auto"/>
          <w:sz w:val="22"/>
          <w:szCs w:val="22"/>
          <w:highlight w:val="none"/>
        </w:rPr>
      </w:pPr>
      <w:r>
        <w:rPr>
          <w:rFonts w:hint="eastAsia" w:hAnsi="宋体" w:cs="仿宋"/>
          <w:color w:val="auto"/>
          <w:sz w:val="22"/>
          <w:szCs w:val="22"/>
          <w:highlight w:val="none"/>
        </w:rPr>
        <w:t>5.2.2.3</w:t>
      </w:r>
      <w:r>
        <w:rPr>
          <w:rFonts w:hint="eastAsia" w:hAnsi="宋体" w:cs="仿宋"/>
          <w:b/>
          <w:bCs/>
          <w:color w:val="auto"/>
          <w:sz w:val="22"/>
          <w:szCs w:val="22"/>
          <w:highlight w:val="none"/>
        </w:rPr>
        <w:t>对采购过程提出质疑的，质疑期限为各采购程序环节结束之日起计算。对同一采购程序环节的质疑，供应商须一次性提出。</w:t>
      </w:r>
    </w:p>
    <w:p w14:paraId="24CDDB29">
      <w:pPr>
        <w:pStyle w:val="19"/>
        <w:spacing w:line="440" w:lineRule="exact"/>
        <w:ind w:firstLine="440" w:firstLineChars="200"/>
        <w:rPr>
          <w:rFonts w:hAnsi="宋体" w:cs="仿宋"/>
          <w:color w:val="auto"/>
          <w:sz w:val="22"/>
          <w:szCs w:val="22"/>
          <w:highlight w:val="none"/>
        </w:rPr>
      </w:pPr>
      <w:r>
        <w:rPr>
          <w:rFonts w:hint="eastAsia" w:hAnsi="宋体" w:cs="仿宋"/>
          <w:color w:val="auto"/>
          <w:sz w:val="22"/>
          <w:szCs w:val="22"/>
          <w:highlight w:val="none"/>
        </w:rPr>
        <w:t>5.2.2.4对采购结果提出质疑的，质疑期限自采购结果公告期限届满之日起计算。</w:t>
      </w:r>
    </w:p>
    <w:p w14:paraId="2B469B90">
      <w:pPr>
        <w:pStyle w:val="19"/>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w:t>
      </w:r>
      <w:r>
        <w:rPr>
          <w:rFonts w:hint="eastAsia" w:hAnsi="宋体" w:cs="仿宋"/>
          <w:color w:val="auto"/>
          <w:sz w:val="22"/>
          <w:szCs w:val="22"/>
          <w:highlight w:val="none"/>
        </w:rPr>
        <w:t>供应商提出质疑应当提交质疑函和必要的证明材料。质疑函应当包括下列内容：</w:t>
      </w:r>
    </w:p>
    <w:p w14:paraId="7F280393">
      <w:pPr>
        <w:pStyle w:val="19"/>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.2.3.1供应商的姓名或者名称、地址、邮编、联系人及联系电话；</w:t>
      </w:r>
    </w:p>
    <w:p w14:paraId="6E3A85AF">
      <w:pPr>
        <w:pStyle w:val="19"/>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.2.3.2质疑项目的名称、编号；</w:t>
      </w:r>
    </w:p>
    <w:p w14:paraId="1C7F3638">
      <w:pPr>
        <w:pStyle w:val="19"/>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.2.3.3具体、明确的质疑事项和与质疑事项相关的请求；</w:t>
      </w:r>
    </w:p>
    <w:p w14:paraId="0596F8FA">
      <w:pPr>
        <w:pStyle w:val="19"/>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.2.3.4事实依据；</w:t>
      </w:r>
    </w:p>
    <w:p w14:paraId="45F78FAF">
      <w:pPr>
        <w:pStyle w:val="19"/>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.2.3.5必要的法律依据；</w:t>
      </w:r>
    </w:p>
    <w:p w14:paraId="7569339D">
      <w:pPr>
        <w:spacing w:line="440" w:lineRule="exact"/>
        <w:ind w:firstLine="440" w:firstLineChars="200"/>
        <w:rPr>
          <w:rFonts w:ascii="宋体" w:hAnsi="宋体" w:cs="仿宋"/>
          <w:color w:val="auto"/>
          <w:sz w:val="22"/>
          <w:highlight w:val="none"/>
          <w:lang w:val="zh-CN"/>
        </w:rPr>
      </w:pPr>
      <w:r>
        <w:rPr>
          <w:rFonts w:hint="eastAsia" w:ascii="宋体" w:hAnsi="宋体" w:cs="仿宋"/>
          <w:color w:val="auto"/>
          <w:sz w:val="22"/>
          <w:highlight w:val="none"/>
        </w:rPr>
        <w:t>5</w:t>
      </w:r>
      <w:r>
        <w:rPr>
          <w:rFonts w:hint="eastAsia" w:ascii="宋体" w:hAnsi="宋体" w:cs="仿宋"/>
          <w:color w:val="auto"/>
          <w:sz w:val="22"/>
          <w:highlight w:val="none"/>
          <w:lang w:val="zh-CN"/>
        </w:rPr>
        <w:t>.2.3.6提出质疑的日期。</w:t>
      </w:r>
    </w:p>
    <w:p w14:paraId="2FF81616">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供应商为自然人的，应当由本人签字；供应商为法人或者其他组织的，应当由法定代表人、主要负责人，或者其授权代表签字或者盖章，并加盖公章。</w:t>
      </w:r>
    </w:p>
    <w:p w14:paraId="52DD456B">
      <w:pPr>
        <w:spacing w:line="440" w:lineRule="exact"/>
        <w:ind w:firstLine="440" w:firstLineChars="200"/>
        <w:rPr>
          <w:rFonts w:ascii="宋体" w:hAnsi="宋体" w:cs="仿宋"/>
          <w:color w:val="auto"/>
          <w:sz w:val="22"/>
          <w:highlight w:val="none"/>
        </w:rPr>
      </w:pPr>
      <w:r>
        <w:rPr>
          <w:rFonts w:hint="eastAsia" w:ascii="宋体" w:hAnsi="宋体" w:cs="仿宋"/>
          <w:color w:val="auto"/>
          <w:sz w:val="22"/>
          <w:highlight w:val="none"/>
        </w:rPr>
        <w:t>质疑函范本及制作说明详见浙江政府采购网相关格式内容。</w:t>
      </w:r>
    </w:p>
    <w:p w14:paraId="71D738D8">
      <w:pPr>
        <w:spacing w:line="440" w:lineRule="exact"/>
        <w:ind w:firstLine="440" w:firstLineChars="200"/>
        <w:rPr>
          <w:rFonts w:ascii="宋体" w:hAnsi="宋体" w:cs="仿宋"/>
          <w:color w:val="auto"/>
          <w:sz w:val="22"/>
          <w:highlight w:val="none"/>
          <w:lang w:val="zh-CN"/>
        </w:rPr>
      </w:pPr>
      <w:r>
        <w:rPr>
          <w:rFonts w:hint="eastAsia" w:ascii="宋体" w:hAnsi="宋体" w:cs="仿宋"/>
          <w:color w:val="auto"/>
          <w:sz w:val="22"/>
          <w:highlight w:val="none"/>
        </w:rPr>
        <w:t>5</w:t>
      </w:r>
      <w:r>
        <w:rPr>
          <w:rFonts w:hint="eastAsia" w:ascii="宋体" w:hAnsi="宋体" w:cs="仿宋"/>
          <w:color w:val="auto"/>
          <w:sz w:val="22"/>
          <w:highlight w:val="none"/>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4B809D36">
      <w:pPr>
        <w:spacing w:line="440" w:lineRule="exact"/>
        <w:ind w:firstLine="440" w:firstLineChars="200"/>
        <w:rPr>
          <w:rFonts w:ascii="宋体" w:hAnsi="宋体" w:cs="仿宋"/>
          <w:color w:val="auto"/>
          <w:sz w:val="22"/>
          <w:highlight w:val="none"/>
          <w:lang w:val="zh-CN"/>
        </w:rPr>
      </w:pPr>
      <w:r>
        <w:rPr>
          <w:rFonts w:hint="eastAsia" w:ascii="宋体" w:hAnsi="宋体" w:cs="仿宋"/>
          <w:color w:val="auto"/>
          <w:sz w:val="22"/>
          <w:highlight w:val="none"/>
        </w:rPr>
        <w:t>5</w:t>
      </w:r>
      <w:r>
        <w:rPr>
          <w:rFonts w:hint="eastAsia" w:ascii="宋体" w:hAnsi="宋体" w:cs="仿宋"/>
          <w:color w:val="auto"/>
          <w:sz w:val="22"/>
          <w:highlight w:val="none"/>
          <w:lang w:val="zh-CN"/>
        </w:rPr>
        <w:t>.2.5询问或者质疑事项可能影响采购结果的，采购人应当暂停签订合同，已经签订合同的，应当中止履行合同。</w:t>
      </w:r>
    </w:p>
    <w:p w14:paraId="7543C48F">
      <w:pPr>
        <w:spacing w:line="440" w:lineRule="exact"/>
        <w:ind w:firstLine="440" w:firstLineChars="200"/>
        <w:rPr>
          <w:rFonts w:ascii="宋体" w:hAnsi="宋体" w:cs="仿宋"/>
          <w:color w:val="auto"/>
          <w:sz w:val="22"/>
          <w:highlight w:val="none"/>
          <w:lang w:val="zh-CN"/>
        </w:rPr>
      </w:pPr>
      <w:r>
        <w:rPr>
          <w:rFonts w:hint="eastAsia" w:ascii="宋体" w:hAnsi="宋体" w:cs="仿宋"/>
          <w:color w:val="auto"/>
          <w:sz w:val="22"/>
          <w:highlight w:val="none"/>
        </w:rPr>
        <w:t>5</w:t>
      </w:r>
      <w:r>
        <w:rPr>
          <w:rFonts w:hint="eastAsia" w:ascii="宋体" w:hAnsi="宋体" w:cs="仿宋"/>
          <w:color w:val="auto"/>
          <w:sz w:val="22"/>
          <w:highlight w:val="none"/>
          <w:lang w:val="zh-CN"/>
        </w:rPr>
        <w:t>.3供应商投诉</w:t>
      </w:r>
    </w:p>
    <w:p w14:paraId="4BCA6B65">
      <w:pPr>
        <w:spacing w:line="440" w:lineRule="exact"/>
        <w:ind w:firstLine="440" w:firstLineChars="200"/>
        <w:rPr>
          <w:rFonts w:ascii="宋体" w:hAnsi="宋体" w:cs="仿宋"/>
          <w:color w:val="auto"/>
          <w:sz w:val="22"/>
          <w:highlight w:val="none"/>
          <w:lang w:val="zh-CN"/>
        </w:rPr>
      </w:pPr>
      <w:r>
        <w:rPr>
          <w:rFonts w:hint="eastAsia" w:ascii="宋体" w:hAnsi="宋体" w:cs="仿宋"/>
          <w:color w:val="auto"/>
          <w:sz w:val="22"/>
          <w:highlight w:val="none"/>
          <w:lang w:val="zh-CN"/>
        </w:rPr>
        <w:t>5.3.1质疑供应商对采购人、采购代理机构的答复不满意或者采购人、采购代理机构未在规定的时间内作出答复的，可以在答复期满后十五个工作日内向同级政府采购监督管理部门提出投诉。</w:t>
      </w:r>
    </w:p>
    <w:p w14:paraId="7B1D25A5">
      <w:pPr>
        <w:spacing w:line="440" w:lineRule="exact"/>
        <w:ind w:firstLine="440" w:firstLineChars="200"/>
        <w:rPr>
          <w:rFonts w:ascii="宋体" w:hAnsi="宋体" w:cs="仿宋"/>
          <w:color w:val="auto"/>
          <w:sz w:val="22"/>
          <w:highlight w:val="none"/>
          <w:lang w:val="zh-CN"/>
        </w:rPr>
      </w:pPr>
      <w:r>
        <w:rPr>
          <w:rFonts w:hint="eastAsia" w:ascii="宋体" w:hAnsi="宋体" w:cs="仿宋"/>
          <w:color w:val="auto"/>
          <w:sz w:val="22"/>
          <w:highlight w:val="none"/>
          <w:lang w:val="zh-CN"/>
        </w:rPr>
        <w:t>5.3.2供应商投诉的事项不得超出已质疑事项的范围，基于质疑答复内容提出的投诉事项除外。</w:t>
      </w:r>
    </w:p>
    <w:p w14:paraId="53D386AD">
      <w:pPr>
        <w:spacing w:line="440" w:lineRule="exact"/>
        <w:ind w:firstLine="440" w:firstLineChars="200"/>
        <w:rPr>
          <w:rFonts w:ascii="宋体" w:hAnsi="宋体" w:cs="仿宋"/>
          <w:color w:val="auto"/>
          <w:sz w:val="22"/>
          <w:highlight w:val="none"/>
          <w:lang w:val="zh-CN"/>
        </w:rPr>
      </w:pPr>
      <w:r>
        <w:rPr>
          <w:rFonts w:hint="eastAsia" w:ascii="宋体" w:hAnsi="宋体" w:cs="仿宋"/>
          <w:color w:val="auto"/>
          <w:sz w:val="22"/>
          <w:highlight w:val="none"/>
          <w:lang w:val="zh-CN"/>
        </w:rPr>
        <w:t>5.3.3供应商投诉应当有明确的请求和必要的证明材料。</w:t>
      </w:r>
    </w:p>
    <w:p w14:paraId="071F14AF">
      <w:pPr>
        <w:spacing w:line="440" w:lineRule="exact"/>
        <w:ind w:firstLine="440" w:firstLineChars="200"/>
        <w:rPr>
          <w:rFonts w:ascii="宋体" w:hAnsi="宋体" w:cs="仿宋"/>
          <w:color w:val="auto"/>
          <w:sz w:val="22"/>
          <w:highlight w:val="none"/>
          <w:lang w:val="zh-CN"/>
        </w:rPr>
      </w:pPr>
      <w:r>
        <w:rPr>
          <w:rFonts w:hint="eastAsia" w:ascii="宋体" w:hAnsi="宋体" w:cs="仿宋"/>
          <w:color w:val="auto"/>
          <w:sz w:val="22"/>
          <w:highlight w:val="none"/>
          <w:lang w:val="zh-CN"/>
        </w:rPr>
        <w:t>5.3.</w:t>
      </w:r>
      <w:r>
        <w:rPr>
          <w:rFonts w:hint="eastAsia" w:ascii="宋体" w:hAnsi="宋体" w:cs="仿宋"/>
          <w:color w:val="auto"/>
          <w:sz w:val="22"/>
          <w:highlight w:val="none"/>
        </w:rPr>
        <w:t>4</w:t>
      </w:r>
      <w:r>
        <w:rPr>
          <w:rFonts w:hint="eastAsia" w:ascii="宋体" w:hAnsi="宋体" w:cs="仿宋"/>
          <w:color w:val="auto"/>
          <w:sz w:val="22"/>
          <w:highlight w:val="none"/>
          <w:lang w:val="zh-CN"/>
        </w:rPr>
        <w:t xml:space="preserve"> 以联合体形式参加政府采购活动的，其投诉应当由组成联合体的所有供应商共同提出。</w:t>
      </w:r>
    </w:p>
    <w:p w14:paraId="79D9C48D">
      <w:pPr>
        <w:spacing w:line="440" w:lineRule="exact"/>
        <w:ind w:firstLine="440" w:firstLineChars="200"/>
        <w:rPr>
          <w:rFonts w:ascii="宋体" w:hAnsi="宋体" w:cs="仿宋"/>
          <w:color w:val="auto"/>
          <w:sz w:val="22"/>
          <w:highlight w:val="none"/>
          <w:lang w:val="zh-CN"/>
        </w:rPr>
      </w:pPr>
      <w:r>
        <w:rPr>
          <w:rFonts w:hint="eastAsia" w:ascii="宋体" w:hAnsi="宋体" w:cs="仿宋"/>
          <w:color w:val="auto"/>
          <w:sz w:val="22"/>
          <w:highlight w:val="none"/>
          <w:lang w:val="zh-CN"/>
        </w:rPr>
        <w:t>投诉书范本及制作说明详见浙江政府采购网相关格式内容。</w:t>
      </w:r>
    </w:p>
    <w:p w14:paraId="79A4DAC7">
      <w:pPr>
        <w:pStyle w:val="13"/>
        <w:spacing w:line="460" w:lineRule="exact"/>
        <w:jc w:val="center"/>
        <w:outlineLvl w:val="1"/>
        <w:rPr>
          <w:rFonts w:hint="eastAsia" w:ascii="宋体" w:hAnsi="宋体" w:cs="宋体"/>
          <w:b/>
          <w:bCs/>
          <w:color w:val="auto"/>
          <w:sz w:val="22"/>
          <w:szCs w:val="22"/>
          <w:highlight w:val="none"/>
        </w:rPr>
      </w:pPr>
      <w:bookmarkStart w:id="27" w:name="_Toc20577"/>
      <w:r>
        <w:rPr>
          <w:rFonts w:hint="eastAsia" w:ascii="宋体" w:hAnsi="宋体" w:cs="宋体"/>
          <w:b/>
          <w:bCs/>
          <w:color w:val="auto"/>
          <w:sz w:val="22"/>
          <w:szCs w:val="22"/>
          <w:highlight w:val="none"/>
        </w:rPr>
        <w:t>二、</w:t>
      </w:r>
      <w:bookmarkEnd w:id="22"/>
      <w:bookmarkEnd w:id="23"/>
      <w:bookmarkEnd w:id="24"/>
      <w:bookmarkEnd w:id="25"/>
      <w:bookmarkEnd w:id="26"/>
      <w:r>
        <w:rPr>
          <w:rFonts w:hint="eastAsia" w:ascii="宋体" w:hAnsi="宋体" w:cs="宋体"/>
          <w:b/>
          <w:bCs/>
          <w:color w:val="auto"/>
          <w:sz w:val="22"/>
          <w:szCs w:val="22"/>
          <w:highlight w:val="none"/>
        </w:rPr>
        <w:t>招标文件</w:t>
      </w:r>
      <w:bookmarkEnd w:id="27"/>
    </w:p>
    <w:p w14:paraId="62B33B58">
      <w:pPr>
        <w:pStyle w:val="13"/>
        <w:spacing w:line="460" w:lineRule="exact"/>
        <w:rPr>
          <w:rFonts w:hint="eastAsia" w:ascii="宋体" w:hAnsi="宋体" w:cs="宋体"/>
          <w:color w:val="auto"/>
          <w:sz w:val="22"/>
          <w:szCs w:val="22"/>
          <w:highlight w:val="none"/>
        </w:rPr>
      </w:pPr>
      <w:bookmarkStart w:id="28" w:name="_Toc195502490"/>
      <w:bookmarkStart w:id="29" w:name="_Toc195502580"/>
      <w:bookmarkStart w:id="30" w:name="_Toc202085290"/>
      <w:r>
        <w:rPr>
          <w:rFonts w:hint="eastAsia" w:ascii="宋体" w:hAnsi="宋体" w:cs="宋体"/>
          <w:color w:val="auto"/>
          <w:sz w:val="22"/>
          <w:szCs w:val="22"/>
          <w:highlight w:val="none"/>
        </w:rPr>
        <w:t>1． 招标文件由招标文件目录所列内容及相关资料组成。</w:t>
      </w:r>
    </w:p>
    <w:p w14:paraId="3399BB65">
      <w:pPr>
        <w:pStyle w:val="13"/>
        <w:spacing w:line="460" w:lineRule="exact"/>
        <w:rPr>
          <w:rFonts w:hint="eastAsia" w:ascii="宋体" w:hAnsi="宋体" w:cs="宋体"/>
          <w:b/>
          <w:bCs/>
          <w:color w:val="auto"/>
          <w:sz w:val="22"/>
          <w:szCs w:val="22"/>
          <w:highlight w:val="none"/>
        </w:rPr>
      </w:pPr>
      <w:r>
        <w:rPr>
          <w:rFonts w:hint="eastAsia" w:ascii="宋体" w:hAnsi="宋体" w:cs="宋体"/>
          <w:color w:val="auto"/>
          <w:sz w:val="22"/>
          <w:szCs w:val="22"/>
          <w:highlight w:val="none"/>
        </w:rPr>
        <w:t xml:space="preserve">2． </w:t>
      </w:r>
      <w:r>
        <w:rPr>
          <w:rFonts w:hint="eastAsia" w:ascii="宋体" w:hAnsi="宋体" w:cs="宋体"/>
          <w:b/>
          <w:bCs/>
          <w:color w:val="auto"/>
          <w:sz w:val="22"/>
          <w:szCs w:val="22"/>
          <w:highlight w:val="none"/>
        </w:rPr>
        <w:t>招标文件的澄清和修改</w:t>
      </w:r>
    </w:p>
    <w:p w14:paraId="545548B0">
      <w:pPr>
        <w:spacing w:line="440" w:lineRule="exact"/>
        <w:ind w:left="550" w:hanging="550" w:hangingChars="250"/>
        <w:rPr>
          <w:rFonts w:ascii="宋体" w:hAnsi="宋体" w:cs="宋体"/>
          <w:color w:val="auto"/>
          <w:sz w:val="22"/>
          <w:highlight w:val="none"/>
        </w:rPr>
      </w:pPr>
      <w:bookmarkStart w:id="31" w:name="_Toc3210"/>
      <w:bookmarkStart w:id="32" w:name="_Toc102115982"/>
      <w:r>
        <w:rPr>
          <w:rFonts w:hint="eastAsia" w:ascii="宋体" w:hAnsi="宋体" w:cs="宋体"/>
          <w:color w:val="auto"/>
          <w:sz w:val="22"/>
          <w:highlight w:val="none"/>
        </w:rPr>
        <w:t>2.1  采购人或者采购代理机构可以对已发出的招标文件进行必要的澄清或者修改。澄清或者修改应当在原公告发布媒体上发布澄清公告。澄清或者修改的内容为招标文件的组成部分。</w:t>
      </w:r>
    </w:p>
    <w:p w14:paraId="3146394F">
      <w:pPr>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2.2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潜在投标人在收到该书面通知后，应立即书面回复确认已收到该通知。</w:t>
      </w:r>
    </w:p>
    <w:p w14:paraId="7C4D8ED0">
      <w:pPr>
        <w:pStyle w:val="13"/>
        <w:spacing w:line="460" w:lineRule="exact"/>
        <w:jc w:val="center"/>
        <w:outlineLvl w:val="1"/>
        <w:rPr>
          <w:rFonts w:hint="eastAsia" w:ascii="宋体" w:hAnsi="宋体" w:cs="宋体"/>
          <w:b/>
          <w:bCs/>
          <w:color w:val="auto"/>
          <w:sz w:val="22"/>
          <w:szCs w:val="22"/>
          <w:highlight w:val="none"/>
        </w:rPr>
      </w:pPr>
      <w:bookmarkStart w:id="33" w:name="_Toc15767"/>
      <w:r>
        <w:rPr>
          <w:rFonts w:hint="eastAsia" w:ascii="宋体" w:hAnsi="宋体" w:cs="宋体"/>
          <w:b/>
          <w:bCs/>
          <w:color w:val="auto"/>
          <w:sz w:val="22"/>
          <w:szCs w:val="22"/>
          <w:highlight w:val="none"/>
        </w:rPr>
        <w:t>三、</w:t>
      </w:r>
      <w:bookmarkEnd w:id="28"/>
      <w:bookmarkEnd w:id="29"/>
      <w:bookmarkEnd w:id="30"/>
      <w:bookmarkEnd w:id="31"/>
      <w:bookmarkEnd w:id="32"/>
      <w:r>
        <w:rPr>
          <w:rFonts w:hint="eastAsia" w:ascii="宋体" w:hAnsi="宋体" w:cs="宋体"/>
          <w:b/>
          <w:bCs/>
          <w:color w:val="auto"/>
          <w:sz w:val="22"/>
          <w:szCs w:val="22"/>
          <w:highlight w:val="none"/>
        </w:rPr>
        <w:t>投标文件的编制</w:t>
      </w:r>
      <w:bookmarkEnd w:id="33"/>
    </w:p>
    <w:p w14:paraId="333AE97F">
      <w:pPr>
        <w:spacing w:line="460" w:lineRule="exact"/>
        <w:ind w:left="330" w:hanging="330" w:hangingChars="150"/>
        <w:rPr>
          <w:rFonts w:hint="eastAsia" w:ascii="宋体" w:hAnsi="宋体" w:cs="宋体"/>
          <w:color w:val="auto"/>
          <w:sz w:val="22"/>
          <w:szCs w:val="22"/>
          <w:highlight w:val="none"/>
        </w:rPr>
      </w:pPr>
      <w:r>
        <w:rPr>
          <w:rFonts w:hint="eastAsia" w:ascii="宋体" w:hAnsi="宋体" w:cs="宋体"/>
          <w:color w:val="auto"/>
          <w:sz w:val="22"/>
          <w:szCs w:val="22"/>
          <w:highlight w:val="none"/>
        </w:rPr>
        <w:t>1．供应商应认真阅读招标文件中所有事项、格式、条款和技术规范等。供应商没有按照招标文件要求提交全部资料，或者没有对招标文件各个方面做出实质性响应，是供应商的风险，由此造成的一切后果由供应商自行承担。</w:t>
      </w:r>
    </w:p>
    <w:p w14:paraId="3D55157B">
      <w:pPr>
        <w:spacing w:line="440" w:lineRule="exact"/>
        <w:ind w:left="552" w:hanging="552" w:hangingChars="250"/>
        <w:rPr>
          <w:rFonts w:ascii="宋体" w:hAnsi="宋体" w:cs="宋体"/>
          <w:b/>
          <w:color w:val="auto"/>
          <w:sz w:val="22"/>
          <w:highlight w:val="none"/>
        </w:rPr>
      </w:pPr>
      <w:r>
        <w:rPr>
          <w:rFonts w:hint="eastAsia" w:ascii="宋体" w:hAnsi="宋体" w:cs="宋体"/>
          <w:b/>
          <w:bCs/>
          <w:color w:val="auto"/>
          <w:sz w:val="22"/>
          <w:szCs w:val="22"/>
          <w:highlight w:val="none"/>
        </w:rPr>
        <w:t xml:space="preserve">2． </w:t>
      </w:r>
      <w:r>
        <w:rPr>
          <w:rFonts w:hint="eastAsia" w:ascii="宋体" w:hAnsi="宋体" w:cs="宋体"/>
          <w:color w:val="auto"/>
          <w:sz w:val="22"/>
          <w:szCs w:val="22"/>
          <w:highlight w:val="none"/>
        </w:rPr>
        <w:t xml:space="preserve"> </w:t>
      </w:r>
      <w:r>
        <w:rPr>
          <w:rFonts w:hint="eastAsia" w:ascii="宋体" w:hAnsi="宋体" w:cs="宋体"/>
          <w:b/>
          <w:color w:val="auto"/>
          <w:sz w:val="22"/>
          <w:szCs w:val="22"/>
          <w:highlight w:val="none"/>
        </w:rPr>
        <w:t>供应商应保证所提供文件资料的真实性，所有文件资料必须是针对本次投标的。如发现供应商提供了虚假文件资料，其投标文件将被拒绝，并承担相应的法律责任。</w:t>
      </w:r>
    </w:p>
    <w:p w14:paraId="7AFA012A">
      <w:pPr>
        <w:pStyle w:val="1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3.   投标文件分为电子投标文件以及备份投标文件。</w:t>
      </w:r>
    </w:p>
    <w:p w14:paraId="6823FBA3">
      <w:pPr>
        <w:pStyle w:val="13"/>
        <w:spacing w:line="460" w:lineRule="exact"/>
        <w:ind w:left="418" w:hanging="418" w:hangingChars="190"/>
        <w:rPr>
          <w:rFonts w:hint="eastAsia" w:ascii="宋体" w:hAnsi="宋体"/>
          <w:b/>
          <w:bCs/>
          <w:color w:val="auto"/>
          <w:sz w:val="22"/>
          <w:highlight w:val="none"/>
          <w:u w:val="single"/>
        </w:rPr>
      </w:pPr>
      <w:r>
        <w:rPr>
          <w:rFonts w:hint="eastAsia" w:ascii="宋体" w:hAnsi="宋体" w:cs="宋体"/>
          <w:color w:val="auto"/>
          <w:sz w:val="22"/>
          <w:szCs w:val="22"/>
          <w:highlight w:val="none"/>
        </w:rPr>
        <w:t xml:space="preserve">3.1  </w:t>
      </w:r>
      <w:r>
        <w:rPr>
          <w:rFonts w:hint="eastAsia" w:ascii="宋体" w:hAnsi="宋体"/>
          <w:color w:val="auto"/>
          <w:sz w:val="22"/>
          <w:highlight w:val="none"/>
        </w:rPr>
        <w:t>电子投标文件：投标人根据“政采云供应商项目采购-电子招投标操作指南”及本招标文件规定的格式和顺序编制电子投标文件关联定位、加密并递交。</w:t>
      </w:r>
    </w:p>
    <w:p w14:paraId="1F2BC8DB">
      <w:pPr>
        <w:pStyle w:val="13"/>
        <w:spacing w:line="460" w:lineRule="exact"/>
        <w:ind w:left="420" w:hanging="420" w:hangingChars="191"/>
        <w:rPr>
          <w:rFonts w:hint="eastAsia" w:ascii="宋体" w:hAnsi="宋体" w:cs="宋体"/>
          <w:color w:val="auto"/>
          <w:sz w:val="22"/>
          <w:szCs w:val="22"/>
          <w:highlight w:val="none"/>
        </w:rPr>
      </w:pPr>
      <w:r>
        <w:rPr>
          <w:rFonts w:hint="eastAsia" w:ascii="宋体" w:hAnsi="宋体" w:cs="宋体"/>
          <w:color w:val="auto"/>
          <w:sz w:val="22"/>
          <w:szCs w:val="22"/>
          <w:highlight w:val="none"/>
        </w:rPr>
        <w:t>3.2  备份投标文件：投标人在政采云平台传输递交投标文件后，还可以在投标截止时间前提交以介质存储的数据电文形式的备份投标文件。电子投标文件按“政采云平台项目采购-电子招投标操作指南”上传。</w:t>
      </w:r>
    </w:p>
    <w:p w14:paraId="76653A6F">
      <w:pPr>
        <w:pStyle w:val="1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4.    投标文件的效力</w:t>
      </w:r>
    </w:p>
    <w:p w14:paraId="58F3929A">
      <w:pPr>
        <w:pStyle w:val="13"/>
        <w:spacing w:line="460" w:lineRule="exact"/>
        <w:ind w:left="420" w:leftChars="200"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投标文件的启用，按先后顺位分别为电子投标文件和备份投标文件。在下一顺位的投标文件启用时，前一顺位的投标文件自动失效。</w:t>
      </w:r>
    </w:p>
    <w:p w14:paraId="0D28A798">
      <w:pPr>
        <w:pStyle w:val="1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5.   投标文件的组成：</w:t>
      </w:r>
    </w:p>
    <w:p w14:paraId="43583DAE">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5.1  投标文件由资格响应文件、商务技术响应文件、报价响应文件三部分组成：</w:t>
      </w:r>
    </w:p>
    <w:p w14:paraId="7C97912F">
      <w:pPr>
        <w:pStyle w:val="1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5.1.1</w:t>
      </w:r>
      <w:r>
        <w:rPr>
          <w:rFonts w:hint="eastAsia" w:ascii="宋体" w:hAnsi="宋体" w:cs="宋体"/>
          <w:b/>
          <w:bCs/>
          <w:color w:val="auto"/>
          <w:sz w:val="22"/>
          <w:szCs w:val="22"/>
          <w:highlight w:val="none"/>
          <w:lang w:val="en-US" w:eastAsia="zh-CN"/>
        </w:rPr>
        <w:t xml:space="preserve"> </w:t>
      </w:r>
      <w:r>
        <w:rPr>
          <w:rFonts w:hint="eastAsia" w:ascii="宋体" w:hAnsi="宋体" w:cs="宋体"/>
          <w:b/>
          <w:bCs/>
          <w:color w:val="auto"/>
          <w:sz w:val="22"/>
          <w:szCs w:val="22"/>
          <w:highlight w:val="none"/>
        </w:rPr>
        <w:t>资格响应文件</w:t>
      </w:r>
      <w:r>
        <w:rPr>
          <w:rFonts w:hint="eastAsia" w:ascii="宋体" w:hAnsi="宋体" w:cs="宋体"/>
          <w:b/>
          <w:bCs/>
          <w:color w:val="auto"/>
          <w:spacing w:val="-6"/>
          <w:sz w:val="22"/>
          <w:szCs w:val="22"/>
          <w:highlight w:val="none"/>
          <w:u w:val="single"/>
        </w:rPr>
        <w:t>（▲强制性要求，否则不能通过资格性审查的供应商，责任自负）</w:t>
      </w:r>
    </w:p>
    <w:tbl>
      <w:tblPr>
        <w:tblStyle w:val="40"/>
        <w:tblpPr w:leftFromText="180" w:rightFromText="180" w:vertAnchor="text" w:horzAnchor="page" w:tblpXSpec="center" w:tblpY="507"/>
        <w:tblOverlap w:val="never"/>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7343"/>
        <w:gridCol w:w="1280"/>
      </w:tblGrid>
      <w:tr w14:paraId="7AF1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 w:type="dxa"/>
            <w:noWrap w:val="0"/>
            <w:vAlign w:val="center"/>
          </w:tcPr>
          <w:p w14:paraId="64C75C37">
            <w:pPr>
              <w:overflowPunct w:val="0"/>
              <w:spacing w:line="430" w:lineRule="exact"/>
              <w:ind w:firstLine="104" w:firstLineChars="50"/>
              <w:jc w:val="center"/>
              <w:rPr>
                <w:rFonts w:hint="eastAsia" w:ascii="宋体" w:hAnsi="宋体" w:cs="宋体"/>
                <w:b/>
                <w:bCs/>
                <w:color w:val="auto"/>
                <w:sz w:val="22"/>
                <w:szCs w:val="22"/>
                <w:highlight w:val="none"/>
              </w:rPr>
            </w:pPr>
            <w:r>
              <w:rPr>
                <w:rFonts w:hint="eastAsia" w:ascii="宋体" w:hAnsi="宋体" w:cs="宋体"/>
                <w:b/>
                <w:bCs/>
                <w:color w:val="auto"/>
                <w:spacing w:val="-6"/>
                <w:sz w:val="22"/>
                <w:szCs w:val="22"/>
                <w:highlight w:val="none"/>
              </w:rPr>
              <w:t>序号</w:t>
            </w:r>
          </w:p>
        </w:tc>
        <w:tc>
          <w:tcPr>
            <w:tcW w:w="7343" w:type="dxa"/>
            <w:noWrap w:val="0"/>
            <w:vAlign w:val="center"/>
          </w:tcPr>
          <w:p w14:paraId="45C4933B">
            <w:pPr>
              <w:overflowPunct w:val="0"/>
              <w:spacing w:line="43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内 容</w:t>
            </w:r>
          </w:p>
        </w:tc>
        <w:tc>
          <w:tcPr>
            <w:tcW w:w="1280" w:type="dxa"/>
            <w:noWrap w:val="0"/>
            <w:vAlign w:val="center"/>
          </w:tcPr>
          <w:p w14:paraId="4682E7E1">
            <w:pPr>
              <w:tabs>
                <w:tab w:val="center" w:pos="1534"/>
              </w:tabs>
              <w:overflowPunct w:val="0"/>
              <w:spacing w:line="43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备注</w:t>
            </w:r>
          </w:p>
        </w:tc>
      </w:tr>
      <w:tr w14:paraId="290E3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 w:type="dxa"/>
            <w:noWrap w:val="0"/>
            <w:vAlign w:val="center"/>
          </w:tcPr>
          <w:p w14:paraId="5340B129">
            <w:pPr>
              <w:spacing w:line="430" w:lineRule="exact"/>
              <w:jc w:val="center"/>
              <w:rPr>
                <w:rFonts w:hint="eastAsia" w:ascii="宋体" w:hAnsi="宋体" w:cs="宋体"/>
                <w:color w:val="auto"/>
                <w:spacing w:val="-6"/>
                <w:sz w:val="22"/>
                <w:szCs w:val="22"/>
                <w:highlight w:val="none"/>
              </w:rPr>
            </w:pPr>
            <w:r>
              <w:rPr>
                <w:rFonts w:hint="eastAsia" w:ascii="宋体" w:hAnsi="宋体" w:cs="宋体"/>
                <w:color w:val="auto"/>
                <w:sz w:val="22"/>
                <w:szCs w:val="22"/>
                <w:highlight w:val="none"/>
              </w:rPr>
              <w:t>1</w:t>
            </w:r>
          </w:p>
        </w:tc>
        <w:tc>
          <w:tcPr>
            <w:tcW w:w="7343" w:type="dxa"/>
            <w:noWrap w:val="0"/>
            <w:vAlign w:val="center"/>
          </w:tcPr>
          <w:p w14:paraId="04C0E812">
            <w:pPr>
              <w:overflowPunct w:val="0"/>
              <w:spacing w:line="360" w:lineRule="atLeast"/>
              <w:rPr>
                <w:rFonts w:hint="eastAsia" w:ascii="宋体" w:hAnsi="宋体" w:cs="宋体"/>
                <w:color w:val="auto"/>
                <w:sz w:val="22"/>
                <w:szCs w:val="22"/>
                <w:highlight w:val="none"/>
              </w:rPr>
            </w:pPr>
            <w:r>
              <w:rPr>
                <w:rFonts w:hint="eastAsia" w:ascii="宋体" w:hAnsi="宋体" w:eastAsia="宋体" w:cs="宋体"/>
                <w:b w:val="0"/>
                <w:bCs w:val="0"/>
                <w:color w:val="auto"/>
                <w:sz w:val="22"/>
                <w:szCs w:val="22"/>
                <w:highlight w:val="none"/>
              </w:rPr>
              <w:t>关于符合《中华人民共和国政府采购法》第二十二条规定条件的承诺函</w:t>
            </w:r>
          </w:p>
        </w:tc>
        <w:tc>
          <w:tcPr>
            <w:tcW w:w="1280" w:type="dxa"/>
            <w:noWrap w:val="0"/>
            <w:vAlign w:val="top"/>
          </w:tcPr>
          <w:p w14:paraId="73E9F6FF">
            <w:pPr>
              <w:tabs>
                <w:tab w:val="center" w:pos="1534"/>
              </w:tabs>
              <w:overflowPunct w:val="0"/>
              <w:spacing w:line="43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附件一</w:t>
            </w:r>
          </w:p>
        </w:tc>
      </w:tr>
      <w:tr w14:paraId="22D2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 w:type="dxa"/>
            <w:noWrap w:val="0"/>
            <w:vAlign w:val="center"/>
          </w:tcPr>
          <w:p w14:paraId="498DE969">
            <w:pPr>
              <w:spacing w:line="43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2</w:t>
            </w:r>
          </w:p>
        </w:tc>
        <w:tc>
          <w:tcPr>
            <w:tcW w:w="7343" w:type="dxa"/>
            <w:noWrap w:val="0"/>
            <w:vAlign w:val="top"/>
          </w:tcPr>
          <w:p w14:paraId="669215D0">
            <w:pPr>
              <w:overflowPunct w:val="0"/>
              <w:spacing w:line="43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企业营业执照或事业法人单位法人证书、税务登记证（若多证合一提供企业营业执照或事业法人单位法人证书）</w:t>
            </w:r>
          </w:p>
        </w:tc>
        <w:tc>
          <w:tcPr>
            <w:tcW w:w="1280" w:type="dxa"/>
            <w:noWrap w:val="0"/>
            <w:vAlign w:val="center"/>
          </w:tcPr>
          <w:p w14:paraId="76F3090C">
            <w:pPr>
              <w:overflowPunct w:val="0"/>
              <w:spacing w:line="43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格式自拟</w:t>
            </w:r>
          </w:p>
        </w:tc>
      </w:tr>
      <w:tr w14:paraId="6180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 w:type="dxa"/>
            <w:noWrap w:val="0"/>
            <w:vAlign w:val="center"/>
          </w:tcPr>
          <w:p w14:paraId="73A12670">
            <w:pPr>
              <w:spacing w:line="43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3</w:t>
            </w:r>
          </w:p>
        </w:tc>
        <w:tc>
          <w:tcPr>
            <w:tcW w:w="7343" w:type="dxa"/>
            <w:noWrap w:val="0"/>
            <w:vAlign w:val="center"/>
          </w:tcPr>
          <w:p w14:paraId="5C1B4D19">
            <w:pPr>
              <w:rPr>
                <w:rFonts w:hint="eastAsia" w:ascii="宋体" w:hAnsi="宋体" w:cs="宋体"/>
                <w:color w:val="auto"/>
                <w:sz w:val="22"/>
                <w:szCs w:val="22"/>
                <w:highlight w:val="none"/>
              </w:rPr>
            </w:pPr>
            <w:r>
              <w:rPr>
                <w:rFonts w:hint="eastAsia" w:ascii="宋体" w:hAnsi="宋体" w:cs="宋体"/>
                <w:color w:val="auto"/>
                <w:sz w:val="22"/>
                <w:szCs w:val="22"/>
                <w:highlight w:val="none"/>
              </w:rPr>
              <w:t>中小企业声明函</w:t>
            </w:r>
          </w:p>
        </w:tc>
        <w:tc>
          <w:tcPr>
            <w:tcW w:w="1280" w:type="dxa"/>
            <w:noWrap w:val="0"/>
            <w:vAlign w:val="center"/>
          </w:tcPr>
          <w:p w14:paraId="420F8F30">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附件二</w:t>
            </w:r>
          </w:p>
        </w:tc>
      </w:tr>
      <w:tr w14:paraId="7C31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 w:type="dxa"/>
            <w:noWrap w:val="0"/>
            <w:vAlign w:val="center"/>
          </w:tcPr>
          <w:p w14:paraId="235B6DBB">
            <w:pPr>
              <w:spacing w:line="43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4</w:t>
            </w:r>
          </w:p>
        </w:tc>
        <w:tc>
          <w:tcPr>
            <w:tcW w:w="7343" w:type="dxa"/>
            <w:noWrap w:val="0"/>
            <w:vAlign w:val="center"/>
          </w:tcPr>
          <w:p w14:paraId="6FD4110F">
            <w:pPr>
              <w:rPr>
                <w:rFonts w:hint="eastAsia" w:ascii="宋体" w:hAnsi="宋体" w:cs="宋体"/>
                <w:color w:val="auto"/>
                <w:sz w:val="22"/>
                <w:szCs w:val="22"/>
                <w:highlight w:val="none"/>
              </w:rPr>
            </w:pPr>
            <w:r>
              <w:rPr>
                <w:rFonts w:hint="eastAsia" w:ascii="宋体" w:hAnsi="宋体" w:cs="宋体"/>
                <w:color w:val="auto"/>
                <w:sz w:val="22"/>
                <w:szCs w:val="22"/>
                <w:highlight w:val="none"/>
              </w:rPr>
              <w:t>未被“信用中国”（www.creditchina.gov.cn）、中国政府采购网（www.ccgp.gov.cn）、浙江政府采购网（www.zjzfcg.gov.cn/）、企业信用信息公示系统（网）（www.gsxt.gov.cn）列入失信被执行人、重大税收违法案件当事人名单、政府采购严重违法失信行为记录名单查询记录网页截图（采购公告发布之日至投标截止时间前）。</w:t>
            </w:r>
          </w:p>
        </w:tc>
        <w:tc>
          <w:tcPr>
            <w:tcW w:w="1280" w:type="dxa"/>
            <w:noWrap w:val="0"/>
            <w:vAlign w:val="center"/>
          </w:tcPr>
          <w:p w14:paraId="40E03BF8">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格式自拟</w:t>
            </w:r>
          </w:p>
        </w:tc>
      </w:tr>
      <w:tr w14:paraId="376A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65" w:type="dxa"/>
            <w:gridSpan w:val="3"/>
            <w:noWrap w:val="0"/>
            <w:vAlign w:val="center"/>
          </w:tcPr>
          <w:p w14:paraId="341E5CAF">
            <w:pPr>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说明：以上所需的各种实物照片、证书、证件、证明、执照需提供复印件或扫描件加盖电子公章。上述资格条件审查材料有一项不提供的，视为资格审查不通过。</w:t>
            </w:r>
          </w:p>
        </w:tc>
      </w:tr>
    </w:tbl>
    <w:p w14:paraId="563C2986">
      <w:pPr>
        <w:rPr>
          <w:vanish/>
          <w:color w:val="auto"/>
          <w:highlight w:val="none"/>
        </w:rPr>
      </w:pPr>
    </w:p>
    <w:tbl>
      <w:tblPr>
        <w:tblStyle w:val="40"/>
        <w:tblpPr w:leftFromText="180" w:rightFromText="180" w:vertAnchor="text" w:tblpX="10880" w:tblpY="2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tblGrid>
      <w:tr w14:paraId="0C18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89" w:type="dxa"/>
            <w:noWrap w:val="0"/>
            <w:vAlign w:val="top"/>
          </w:tcPr>
          <w:p w14:paraId="4ABB9B34">
            <w:pPr>
              <w:pStyle w:val="13"/>
              <w:spacing w:line="460" w:lineRule="exact"/>
              <w:rPr>
                <w:rFonts w:hint="eastAsia" w:ascii="宋体" w:hAnsi="宋体" w:cs="宋体"/>
                <w:color w:val="auto"/>
                <w:sz w:val="22"/>
                <w:szCs w:val="22"/>
                <w:highlight w:val="none"/>
              </w:rPr>
            </w:pPr>
          </w:p>
        </w:tc>
      </w:tr>
      <w:tr w14:paraId="4F1F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89" w:type="dxa"/>
            <w:noWrap w:val="0"/>
            <w:vAlign w:val="top"/>
          </w:tcPr>
          <w:p w14:paraId="541F191C">
            <w:pPr>
              <w:pStyle w:val="13"/>
              <w:spacing w:line="460" w:lineRule="exact"/>
              <w:rPr>
                <w:rFonts w:hint="eastAsia" w:ascii="宋体" w:hAnsi="宋体" w:cs="宋体"/>
                <w:color w:val="auto"/>
                <w:sz w:val="22"/>
                <w:szCs w:val="22"/>
                <w:highlight w:val="none"/>
              </w:rPr>
            </w:pPr>
          </w:p>
        </w:tc>
      </w:tr>
    </w:tbl>
    <w:p w14:paraId="1F8F7D02">
      <w:pPr>
        <w:pStyle w:val="1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5.1.2</w:t>
      </w:r>
      <w:r>
        <w:rPr>
          <w:rFonts w:hint="eastAsia" w:ascii="宋体" w:hAnsi="宋体" w:cs="宋体"/>
          <w:b/>
          <w:bCs/>
          <w:color w:val="auto"/>
          <w:sz w:val="22"/>
          <w:szCs w:val="22"/>
          <w:highlight w:val="none"/>
          <w:lang w:val="en-US" w:eastAsia="zh-CN"/>
        </w:rPr>
        <w:t xml:space="preserve"> </w:t>
      </w:r>
      <w:r>
        <w:rPr>
          <w:rFonts w:hint="eastAsia" w:ascii="宋体" w:hAnsi="宋体" w:cs="宋体"/>
          <w:b/>
          <w:bCs/>
          <w:color w:val="auto"/>
          <w:sz w:val="22"/>
          <w:szCs w:val="22"/>
          <w:highlight w:val="none"/>
        </w:rPr>
        <w:t>商务技术响应文件</w:t>
      </w:r>
    </w:p>
    <w:tbl>
      <w:tblPr>
        <w:tblStyle w:val="40"/>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7106"/>
        <w:gridCol w:w="1467"/>
      </w:tblGrid>
      <w:tr w14:paraId="019F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0793A0BD">
            <w:pPr>
              <w:spacing w:line="43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7106" w:type="dxa"/>
            <w:tcBorders>
              <w:top w:val="single" w:color="auto" w:sz="4" w:space="0"/>
              <w:left w:val="single" w:color="auto" w:sz="4" w:space="0"/>
              <w:bottom w:val="single" w:color="auto" w:sz="4" w:space="0"/>
              <w:right w:val="single" w:color="auto" w:sz="4" w:space="0"/>
            </w:tcBorders>
            <w:noWrap w:val="0"/>
            <w:vAlign w:val="center"/>
          </w:tcPr>
          <w:p w14:paraId="7F325CAF">
            <w:pPr>
              <w:spacing w:line="43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内 容</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6C00B876">
            <w:pPr>
              <w:spacing w:line="43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备注</w:t>
            </w:r>
          </w:p>
        </w:tc>
      </w:tr>
      <w:tr w14:paraId="5F69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79925DC8">
            <w:pPr>
              <w:spacing w:line="43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7106" w:type="dxa"/>
            <w:tcBorders>
              <w:top w:val="single" w:color="auto" w:sz="4" w:space="0"/>
              <w:left w:val="single" w:color="auto" w:sz="4" w:space="0"/>
              <w:bottom w:val="single" w:color="auto" w:sz="4" w:space="0"/>
              <w:right w:val="single" w:color="auto" w:sz="4" w:space="0"/>
            </w:tcBorders>
            <w:noWrap w:val="0"/>
            <w:vAlign w:val="center"/>
          </w:tcPr>
          <w:p w14:paraId="44A69546">
            <w:pPr>
              <w:tabs>
                <w:tab w:val="left" w:pos="780"/>
                <w:tab w:val="left" w:pos="5355"/>
              </w:tabs>
              <w:rPr>
                <w:rFonts w:hint="eastAsia" w:ascii="宋体" w:hAnsi="宋体" w:cs="宋体"/>
                <w:color w:val="auto"/>
                <w:sz w:val="22"/>
                <w:szCs w:val="22"/>
                <w:highlight w:val="none"/>
              </w:rPr>
            </w:pPr>
            <w:r>
              <w:rPr>
                <w:rFonts w:hint="eastAsia" w:ascii="宋体" w:hAnsi="宋体" w:cs="宋体"/>
                <w:color w:val="auto"/>
                <w:sz w:val="22"/>
                <w:szCs w:val="22"/>
                <w:highlight w:val="none"/>
              </w:rPr>
              <w:t>投标函</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33213E8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附件五</w:t>
            </w:r>
          </w:p>
        </w:tc>
      </w:tr>
      <w:tr w14:paraId="3D73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3871D5D2">
            <w:pPr>
              <w:spacing w:line="43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7106" w:type="dxa"/>
            <w:tcBorders>
              <w:top w:val="single" w:color="auto" w:sz="4" w:space="0"/>
              <w:left w:val="single" w:color="auto" w:sz="4" w:space="0"/>
              <w:bottom w:val="single" w:color="auto" w:sz="4" w:space="0"/>
              <w:right w:val="single" w:color="auto" w:sz="4" w:space="0"/>
            </w:tcBorders>
            <w:noWrap w:val="0"/>
            <w:vAlign w:val="center"/>
          </w:tcPr>
          <w:p w14:paraId="04D07C5E">
            <w:pPr>
              <w:tabs>
                <w:tab w:val="left" w:pos="780"/>
                <w:tab w:val="left" w:pos="5355"/>
              </w:tabs>
              <w:rPr>
                <w:rFonts w:hint="eastAsia" w:ascii="宋体" w:hAnsi="宋体" w:cs="宋体"/>
                <w:color w:val="auto"/>
                <w:sz w:val="22"/>
                <w:szCs w:val="22"/>
                <w:highlight w:val="none"/>
              </w:rPr>
            </w:pPr>
            <w:r>
              <w:rPr>
                <w:rFonts w:hint="eastAsia" w:ascii="宋体" w:hAnsi="宋体" w:eastAsia="宋体" w:cs="宋体"/>
                <w:color w:val="auto"/>
                <w:sz w:val="22"/>
                <w:szCs w:val="22"/>
                <w:highlight w:val="none"/>
                <w:u w:val="none"/>
              </w:rPr>
              <w:t>法定代表人授权</w:t>
            </w:r>
            <w:r>
              <w:rPr>
                <w:rFonts w:hint="eastAsia" w:ascii="宋体" w:hAnsi="宋体" w:cs="宋体"/>
                <w:color w:val="auto"/>
                <w:sz w:val="22"/>
                <w:szCs w:val="22"/>
                <w:highlight w:val="none"/>
                <w:u w:val="none"/>
                <w:lang w:val="en-US" w:eastAsia="zh-CN"/>
              </w:rPr>
              <w:t>委托</w:t>
            </w:r>
            <w:r>
              <w:rPr>
                <w:rFonts w:hint="eastAsia" w:ascii="宋体" w:hAnsi="宋体" w:eastAsia="宋体" w:cs="宋体"/>
                <w:color w:val="auto"/>
                <w:sz w:val="22"/>
                <w:szCs w:val="22"/>
                <w:highlight w:val="none"/>
                <w:u w:val="none"/>
              </w:rPr>
              <w:t>书</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4EBA590C">
            <w:pPr>
              <w:jc w:val="center"/>
              <w:rPr>
                <w:rFonts w:hint="default" w:ascii="宋体" w:hAnsi="宋体" w:cs="宋体"/>
                <w:color w:val="auto"/>
                <w:sz w:val="22"/>
                <w:szCs w:val="22"/>
                <w:highlight w:val="none"/>
                <w:lang w:val="en-US"/>
              </w:rPr>
            </w:pPr>
            <w:r>
              <w:rPr>
                <w:rFonts w:hint="eastAsia" w:ascii="宋体" w:hAnsi="宋体" w:cs="宋体"/>
                <w:color w:val="auto"/>
                <w:sz w:val="22"/>
                <w:szCs w:val="22"/>
                <w:highlight w:val="none"/>
                <w:lang w:val="en-US" w:eastAsia="zh-CN"/>
              </w:rPr>
              <w:t>附件四-1</w:t>
            </w:r>
          </w:p>
        </w:tc>
      </w:tr>
      <w:tr w14:paraId="09F7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72766FA0">
            <w:pPr>
              <w:spacing w:line="43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7106" w:type="dxa"/>
            <w:tcBorders>
              <w:top w:val="single" w:color="auto" w:sz="4" w:space="0"/>
              <w:left w:val="single" w:color="auto" w:sz="4" w:space="0"/>
              <w:bottom w:val="single" w:color="auto" w:sz="4" w:space="0"/>
              <w:right w:val="single" w:color="auto" w:sz="4" w:space="0"/>
            </w:tcBorders>
            <w:noWrap w:val="0"/>
            <w:vAlign w:val="center"/>
          </w:tcPr>
          <w:p w14:paraId="6F4B61A5">
            <w:pPr>
              <w:jc w:val="left"/>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法定代表人身份证明</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7580DDCF">
            <w:pPr>
              <w:spacing w:line="430" w:lineRule="exact"/>
              <w:jc w:val="center"/>
              <w:rPr>
                <w:rFonts w:hint="default" w:ascii="宋体" w:hAnsi="宋体" w:cs="宋体"/>
                <w:color w:val="auto"/>
                <w:sz w:val="22"/>
                <w:szCs w:val="22"/>
                <w:highlight w:val="none"/>
                <w:lang w:val="en-US"/>
              </w:rPr>
            </w:pPr>
            <w:r>
              <w:rPr>
                <w:rFonts w:hint="eastAsia" w:ascii="宋体" w:hAnsi="宋体" w:cs="宋体"/>
                <w:color w:val="auto"/>
                <w:sz w:val="22"/>
                <w:szCs w:val="22"/>
                <w:highlight w:val="none"/>
                <w:lang w:val="en-US" w:eastAsia="zh-CN"/>
              </w:rPr>
              <w:t>附件四-2</w:t>
            </w:r>
          </w:p>
        </w:tc>
      </w:tr>
      <w:tr w14:paraId="21F2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426082">
            <w:pPr>
              <w:spacing w:line="43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4</w:t>
            </w:r>
          </w:p>
        </w:tc>
        <w:tc>
          <w:tcPr>
            <w:tcW w:w="71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62FD2E">
            <w:pPr>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rPr>
              <w:t>货物成套供货清单</w:t>
            </w:r>
          </w:p>
        </w:tc>
        <w:tc>
          <w:tcPr>
            <w:tcW w:w="1467" w:type="dxa"/>
            <w:tcBorders>
              <w:left w:val="single" w:color="auto" w:sz="4" w:space="0"/>
              <w:bottom w:val="single" w:color="auto" w:sz="4" w:space="0"/>
              <w:right w:val="single" w:color="auto" w:sz="4" w:space="0"/>
            </w:tcBorders>
            <w:shd w:val="clear" w:color="auto" w:fill="auto"/>
            <w:noWrap w:val="0"/>
            <w:vAlign w:val="center"/>
          </w:tcPr>
          <w:p w14:paraId="10C97F6F">
            <w:pPr>
              <w:spacing w:line="43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附件六</w:t>
            </w:r>
          </w:p>
        </w:tc>
      </w:tr>
      <w:tr w14:paraId="4246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3AB8C7">
            <w:pPr>
              <w:spacing w:line="430" w:lineRule="exact"/>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lang w:val="en-US" w:eastAsia="zh-CN"/>
              </w:rPr>
              <w:t>5</w:t>
            </w:r>
          </w:p>
        </w:tc>
        <w:tc>
          <w:tcPr>
            <w:tcW w:w="71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0FFE59">
            <w:pPr>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rPr>
              <w:t>商务条款、技术规格偏离表</w:t>
            </w:r>
          </w:p>
        </w:tc>
        <w:tc>
          <w:tcPr>
            <w:tcW w:w="1467" w:type="dxa"/>
            <w:tcBorders>
              <w:left w:val="single" w:color="auto" w:sz="4" w:space="0"/>
              <w:bottom w:val="single" w:color="auto" w:sz="4" w:space="0"/>
              <w:right w:val="single" w:color="auto" w:sz="4" w:space="0"/>
            </w:tcBorders>
            <w:shd w:val="clear" w:color="auto" w:fill="auto"/>
            <w:noWrap w:val="0"/>
            <w:vAlign w:val="center"/>
          </w:tcPr>
          <w:p w14:paraId="2015F721">
            <w:pPr>
              <w:spacing w:line="43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附件七</w:t>
            </w:r>
          </w:p>
        </w:tc>
      </w:tr>
      <w:tr w14:paraId="2C3E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298CE1">
            <w:pPr>
              <w:spacing w:line="430" w:lineRule="exact"/>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lang w:val="en-US" w:eastAsia="zh-CN"/>
              </w:rPr>
              <w:t>6</w:t>
            </w:r>
          </w:p>
        </w:tc>
        <w:tc>
          <w:tcPr>
            <w:tcW w:w="71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993ED8">
            <w:pPr>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投标产品响应程度</w:t>
            </w:r>
          </w:p>
        </w:tc>
        <w:tc>
          <w:tcPr>
            <w:tcW w:w="1467" w:type="dxa"/>
            <w:tcBorders>
              <w:left w:val="single" w:color="auto" w:sz="4" w:space="0"/>
              <w:bottom w:val="single" w:color="auto" w:sz="4" w:space="0"/>
              <w:right w:val="single" w:color="auto" w:sz="4" w:space="0"/>
            </w:tcBorders>
            <w:shd w:val="clear" w:color="auto" w:fill="auto"/>
            <w:noWrap w:val="0"/>
            <w:vAlign w:val="center"/>
          </w:tcPr>
          <w:p w14:paraId="4E3AE1FF">
            <w:pPr>
              <w:spacing w:line="43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格式自拟</w:t>
            </w:r>
          </w:p>
        </w:tc>
      </w:tr>
      <w:tr w14:paraId="07A6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52333ADB">
            <w:pPr>
              <w:spacing w:line="43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7</w:t>
            </w:r>
          </w:p>
        </w:tc>
        <w:tc>
          <w:tcPr>
            <w:tcW w:w="71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273D86">
            <w:pPr>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同类</w:t>
            </w:r>
            <w:r>
              <w:rPr>
                <w:rFonts w:hint="eastAsia" w:ascii="宋体" w:hAnsi="宋体" w:eastAsia="宋体" w:cs="宋体"/>
                <w:b w:val="0"/>
                <w:bCs w:val="0"/>
                <w:color w:val="auto"/>
                <w:sz w:val="22"/>
                <w:szCs w:val="22"/>
                <w:highlight w:val="none"/>
              </w:rPr>
              <w:t>业绩</w:t>
            </w:r>
          </w:p>
        </w:tc>
        <w:tc>
          <w:tcPr>
            <w:tcW w:w="1467" w:type="dxa"/>
            <w:tcBorders>
              <w:left w:val="single" w:color="auto" w:sz="4" w:space="0"/>
              <w:bottom w:val="single" w:color="auto" w:sz="4" w:space="0"/>
              <w:right w:val="single" w:color="auto" w:sz="4" w:space="0"/>
            </w:tcBorders>
            <w:shd w:val="clear" w:color="auto" w:fill="auto"/>
            <w:noWrap w:val="0"/>
            <w:vAlign w:val="center"/>
          </w:tcPr>
          <w:p w14:paraId="114E4A36">
            <w:pPr>
              <w:spacing w:line="43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格式自拟</w:t>
            </w:r>
          </w:p>
        </w:tc>
      </w:tr>
      <w:tr w14:paraId="235E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32BE0454">
            <w:pPr>
              <w:spacing w:line="43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8</w:t>
            </w:r>
          </w:p>
        </w:tc>
        <w:tc>
          <w:tcPr>
            <w:tcW w:w="71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7893CE">
            <w:pPr>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rPr>
              <w:t>供应商综合实力</w:t>
            </w:r>
          </w:p>
        </w:tc>
        <w:tc>
          <w:tcPr>
            <w:tcW w:w="1467" w:type="dxa"/>
            <w:tcBorders>
              <w:left w:val="single" w:color="auto" w:sz="4" w:space="0"/>
              <w:bottom w:val="single" w:color="auto" w:sz="4" w:space="0"/>
              <w:right w:val="single" w:color="auto" w:sz="4" w:space="0"/>
            </w:tcBorders>
            <w:shd w:val="clear" w:color="auto" w:fill="auto"/>
            <w:noWrap w:val="0"/>
            <w:vAlign w:val="center"/>
          </w:tcPr>
          <w:p w14:paraId="0DC13C6D">
            <w:pPr>
              <w:spacing w:line="43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格式自拟</w:t>
            </w:r>
          </w:p>
        </w:tc>
      </w:tr>
      <w:tr w14:paraId="1B4C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6ED38732">
            <w:pPr>
              <w:spacing w:line="43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9</w:t>
            </w:r>
          </w:p>
        </w:tc>
        <w:tc>
          <w:tcPr>
            <w:tcW w:w="71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42228C">
            <w:pPr>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rPr>
              <w:t>实施方案</w:t>
            </w:r>
          </w:p>
        </w:tc>
        <w:tc>
          <w:tcPr>
            <w:tcW w:w="1467" w:type="dxa"/>
            <w:tcBorders>
              <w:left w:val="single" w:color="auto" w:sz="4" w:space="0"/>
              <w:bottom w:val="single" w:color="auto" w:sz="4" w:space="0"/>
              <w:right w:val="single" w:color="auto" w:sz="4" w:space="0"/>
            </w:tcBorders>
            <w:shd w:val="clear" w:color="auto" w:fill="auto"/>
            <w:noWrap w:val="0"/>
            <w:vAlign w:val="center"/>
          </w:tcPr>
          <w:p w14:paraId="13CD4C68">
            <w:pPr>
              <w:spacing w:line="43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格式自拟</w:t>
            </w:r>
          </w:p>
        </w:tc>
      </w:tr>
      <w:tr w14:paraId="4C27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2A836D67">
            <w:pPr>
              <w:spacing w:line="43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10</w:t>
            </w:r>
          </w:p>
        </w:tc>
        <w:tc>
          <w:tcPr>
            <w:tcW w:w="71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81A7C6">
            <w:pPr>
              <w:keepNext w:val="0"/>
              <w:keepLines w:val="0"/>
              <w:pageBreakBefore w:val="0"/>
              <w:kinsoku/>
              <w:wordWrap/>
              <w:overflowPunct/>
              <w:topLinePunct w:val="0"/>
              <w:autoSpaceDE/>
              <w:autoSpaceDN/>
              <w:bidi w:val="0"/>
              <w:adjustRightInd/>
              <w:snapToGrid/>
              <w:spacing w:line="430" w:lineRule="exact"/>
              <w:ind w:left="0" w:leftChars="0"/>
              <w:jc w:val="both"/>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rPr>
              <w:t>配送能力</w:t>
            </w:r>
          </w:p>
        </w:tc>
        <w:tc>
          <w:tcPr>
            <w:tcW w:w="1467" w:type="dxa"/>
            <w:tcBorders>
              <w:left w:val="single" w:color="auto" w:sz="4" w:space="0"/>
              <w:bottom w:val="single" w:color="auto" w:sz="4" w:space="0"/>
              <w:right w:val="single" w:color="auto" w:sz="4" w:space="0"/>
            </w:tcBorders>
            <w:shd w:val="clear" w:color="auto" w:fill="auto"/>
            <w:noWrap w:val="0"/>
            <w:vAlign w:val="center"/>
          </w:tcPr>
          <w:p w14:paraId="523058AC">
            <w:pPr>
              <w:spacing w:line="43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格式自拟</w:t>
            </w:r>
          </w:p>
        </w:tc>
      </w:tr>
      <w:tr w14:paraId="2FE8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27E960AE">
            <w:pPr>
              <w:spacing w:line="430" w:lineRule="exact"/>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11</w:t>
            </w:r>
          </w:p>
        </w:tc>
        <w:tc>
          <w:tcPr>
            <w:tcW w:w="71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9F8797">
            <w:pPr>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rPr>
              <w:t>供应商仓储情况</w:t>
            </w:r>
          </w:p>
        </w:tc>
        <w:tc>
          <w:tcPr>
            <w:tcW w:w="1467" w:type="dxa"/>
            <w:tcBorders>
              <w:left w:val="single" w:color="auto" w:sz="4" w:space="0"/>
              <w:bottom w:val="single" w:color="auto" w:sz="4" w:space="0"/>
              <w:right w:val="single" w:color="auto" w:sz="4" w:space="0"/>
            </w:tcBorders>
            <w:shd w:val="clear" w:color="auto" w:fill="auto"/>
            <w:noWrap w:val="0"/>
            <w:vAlign w:val="center"/>
          </w:tcPr>
          <w:p w14:paraId="0AAF7CA0">
            <w:pPr>
              <w:spacing w:line="43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格式自拟</w:t>
            </w:r>
          </w:p>
        </w:tc>
      </w:tr>
      <w:tr w14:paraId="18E3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33EF3696">
            <w:pPr>
              <w:spacing w:line="430" w:lineRule="exact"/>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12</w:t>
            </w:r>
          </w:p>
        </w:tc>
        <w:tc>
          <w:tcPr>
            <w:tcW w:w="71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4F83CC">
            <w:pPr>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rPr>
              <w:t>投标产品样品情况</w:t>
            </w:r>
          </w:p>
        </w:tc>
        <w:tc>
          <w:tcPr>
            <w:tcW w:w="1467" w:type="dxa"/>
            <w:tcBorders>
              <w:left w:val="single" w:color="auto" w:sz="4" w:space="0"/>
              <w:bottom w:val="single" w:color="auto" w:sz="4" w:space="0"/>
              <w:right w:val="single" w:color="auto" w:sz="4" w:space="0"/>
            </w:tcBorders>
            <w:shd w:val="clear" w:color="auto" w:fill="auto"/>
            <w:noWrap w:val="0"/>
            <w:vAlign w:val="center"/>
          </w:tcPr>
          <w:p w14:paraId="08817DF5">
            <w:pPr>
              <w:spacing w:line="43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格式自拟</w:t>
            </w:r>
          </w:p>
        </w:tc>
      </w:tr>
      <w:tr w14:paraId="4239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207F22D8">
            <w:pPr>
              <w:spacing w:line="430" w:lineRule="exact"/>
              <w:jc w:val="center"/>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13</w:t>
            </w:r>
          </w:p>
        </w:tc>
        <w:tc>
          <w:tcPr>
            <w:tcW w:w="7106" w:type="dxa"/>
            <w:tcBorders>
              <w:top w:val="single" w:color="auto" w:sz="4" w:space="0"/>
              <w:left w:val="single" w:color="auto" w:sz="4" w:space="0"/>
              <w:bottom w:val="single" w:color="auto" w:sz="4" w:space="0"/>
              <w:right w:val="single" w:color="auto" w:sz="4" w:space="0"/>
            </w:tcBorders>
            <w:noWrap w:val="0"/>
            <w:vAlign w:val="center"/>
          </w:tcPr>
          <w:p w14:paraId="6270E87C">
            <w:pPr>
              <w:jc w:val="left"/>
              <w:rPr>
                <w:rFonts w:hint="eastAsia" w:ascii="宋体" w:hAnsi="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售后服务</w:t>
            </w:r>
          </w:p>
        </w:tc>
        <w:tc>
          <w:tcPr>
            <w:tcW w:w="1467" w:type="dxa"/>
            <w:tcBorders>
              <w:left w:val="single" w:color="auto" w:sz="4" w:space="0"/>
              <w:bottom w:val="single" w:color="auto" w:sz="4" w:space="0"/>
              <w:right w:val="single" w:color="auto" w:sz="4" w:space="0"/>
            </w:tcBorders>
            <w:noWrap w:val="0"/>
            <w:vAlign w:val="center"/>
          </w:tcPr>
          <w:p w14:paraId="218ABE27">
            <w:pPr>
              <w:spacing w:line="43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格式自拟</w:t>
            </w:r>
          </w:p>
        </w:tc>
      </w:tr>
      <w:tr w14:paraId="4C49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32B5A260">
            <w:pPr>
              <w:spacing w:line="430" w:lineRule="exact"/>
              <w:jc w:val="center"/>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14</w:t>
            </w:r>
          </w:p>
        </w:tc>
        <w:tc>
          <w:tcPr>
            <w:tcW w:w="7106" w:type="dxa"/>
            <w:tcBorders>
              <w:top w:val="single" w:color="auto" w:sz="4" w:space="0"/>
              <w:left w:val="single" w:color="auto" w:sz="4" w:space="0"/>
              <w:bottom w:val="single" w:color="auto" w:sz="4" w:space="0"/>
              <w:right w:val="single" w:color="auto" w:sz="4" w:space="0"/>
            </w:tcBorders>
            <w:noWrap w:val="0"/>
            <w:vAlign w:val="center"/>
          </w:tcPr>
          <w:p w14:paraId="1B97D4F4">
            <w:pPr>
              <w:jc w:val="left"/>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外包装</w:t>
            </w:r>
          </w:p>
        </w:tc>
        <w:tc>
          <w:tcPr>
            <w:tcW w:w="1467" w:type="dxa"/>
            <w:tcBorders>
              <w:left w:val="single" w:color="auto" w:sz="4" w:space="0"/>
              <w:bottom w:val="single" w:color="auto" w:sz="4" w:space="0"/>
              <w:right w:val="single" w:color="auto" w:sz="4" w:space="0"/>
            </w:tcBorders>
            <w:noWrap w:val="0"/>
            <w:vAlign w:val="center"/>
          </w:tcPr>
          <w:p w14:paraId="0D768D15">
            <w:pPr>
              <w:spacing w:line="43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格式自拟</w:t>
            </w:r>
          </w:p>
        </w:tc>
      </w:tr>
      <w:tr w14:paraId="62E5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567" w:type="dxa"/>
            <w:gridSpan w:val="3"/>
            <w:tcBorders>
              <w:top w:val="single" w:color="auto" w:sz="4" w:space="0"/>
              <w:left w:val="single" w:color="auto" w:sz="4" w:space="0"/>
              <w:bottom w:val="single" w:color="auto" w:sz="4" w:space="0"/>
              <w:right w:val="single" w:color="auto" w:sz="4" w:space="0"/>
            </w:tcBorders>
            <w:noWrap w:val="0"/>
            <w:vAlign w:val="center"/>
          </w:tcPr>
          <w:p w14:paraId="5BAE59A7">
            <w:pPr>
              <w:spacing w:line="430" w:lineRule="exact"/>
              <w:rPr>
                <w:rFonts w:hint="eastAsia" w:ascii="宋体" w:hAnsi="宋体" w:cs="宋体"/>
                <w:color w:val="auto"/>
                <w:sz w:val="22"/>
                <w:szCs w:val="22"/>
                <w:highlight w:val="none"/>
              </w:rPr>
            </w:pPr>
            <w:r>
              <w:rPr>
                <w:rFonts w:hint="eastAsia" w:ascii="宋体" w:hAnsi="宋体" w:cs="宋体"/>
                <w:b/>
                <w:bCs/>
                <w:color w:val="auto"/>
                <w:sz w:val="22"/>
                <w:szCs w:val="22"/>
                <w:highlight w:val="none"/>
              </w:rPr>
              <w:t>注：盖章采用CA签章，法定代表人或授权代表的签字（或盖章）由法定代表人或授权代表本人签字（或盖章）。</w:t>
            </w:r>
          </w:p>
        </w:tc>
      </w:tr>
    </w:tbl>
    <w:p w14:paraId="465E9DAC">
      <w:pPr>
        <w:pStyle w:val="1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5.1.3</w:t>
      </w:r>
      <w:r>
        <w:rPr>
          <w:rFonts w:hint="eastAsia" w:ascii="宋体" w:hAnsi="宋体" w:cs="宋体"/>
          <w:b/>
          <w:bCs/>
          <w:color w:val="auto"/>
          <w:sz w:val="22"/>
          <w:szCs w:val="22"/>
          <w:highlight w:val="none"/>
          <w:lang w:val="en-US" w:eastAsia="zh-CN"/>
        </w:rPr>
        <w:t xml:space="preserve"> </w:t>
      </w:r>
      <w:r>
        <w:rPr>
          <w:rFonts w:hint="eastAsia" w:ascii="宋体" w:hAnsi="宋体" w:cs="宋体"/>
          <w:b/>
          <w:bCs/>
          <w:color w:val="auto"/>
          <w:sz w:val="22"/>
          <w:szCs w:val="22"/>
          <w:highlight w:val="none"/>
        </w:rPr>
        <w:t>报价要求响应文件</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470"/>
        <w:gridCol w:w="1437"/>
      </w:tblGrid>
      <w:tr w14:paraId="3FD8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14:paraId="0FB78A2D">
            <w:pPr>
              <w:pStyle w:val="13"/>
              <w:spacing w:line="46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序号</w:t>
            </w:r>
          </w:p>
        </w:tc>
        <w:tc>
          <w:tcPr>
            <w:tcW w:w="7470" w:type="dxa"/>
            <w:noWrap w:val="0"/>
            <w:vAlign w:val="top"/>
          </w:tcPr>
          <w:p w14:paraId="3A05B05B">
            <w:pPr>
              <w:pStyle w:val="13"/>
              <w:spacing w:line="46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内容</w:t>
            </w:r>
          </w:p>
        </w:tc>
        <w:tc>
          <w:tcPr>
            <w:tcW w:w="1437" w:type="dxa"/>
            <w:noWrap w:val="0"/>
            <w:vAlign w:val="top"/>
          </w:tcPr>
          <w:p w14:paraId="312093D7">
            <w:pPr>
              <w:pStyle w:val="13"/>
              <w:spacing w:line="46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说明</w:t>
            </w:r>
          </w:p>
        </w:tc>
      </w:tr>
      <w:tr w14:paraId="235F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14:paraId="204B7E5D">
            <w:pPr>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1</w:t>
            </w:r>
          </w:p>
        </w:tc>
        <w:tc>
          <w:tcPr>
            <w:tcW w:w="7470" w:type="dxa"/>
            <w:noWrap w:val="0"/>
            <w:vAlign w:val="center"/>
          </w:tcPr>
          <w:p w14:paraId="2090FC01">
            <w:pPr>
              <w:rPr>
                <w:rFonts w:hint="eastAsia" w:ascii="宋体" w:hAnsi="宋体" w:cs="宋体"/>
                <w:color w:val="auto"/>
                <w:sz w:val="22"/>
                <w:szCs w:val="22"/>
                <w:highlight w:val="none"/>
              </w:rPr>
            </w:pPr>
            <w:r>
              <w:rPr>
                <w:rFonts w:hint="eastAsia" w:ascii="宋体" w:hAnsi="宋体" w:cs="宋体"/>
                <w:color w:val="auto"/>
                <w:sz w:val="22"/>
                <w:szCs w:val="22"/>
                <w:highlight w:val="none"/>
              </w:rPr>
              <w:t>报价一览表</w:t>
            </w:r>
          </w:p>
        </w:tc>
        <w:tc>
          <w:tcPr>
            <w:tcW w:w="1437" w:type="dxa"/>
            <w:noWrap w:val="0"/>
            <w:vAlign w:val="center"/>
          </w:tcPr>
          <w:p w14:paraId="282310E2">
            <w:pPr>
              <w:spacing w:line="43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附件八</w:t>
            </w:r>
          </w:p>
        </w:tc>
      </w:tr>
      <w:tr w14:paraId="51BA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14:paraId="679CD7B0">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7470" w:type="dxa"/>
            <w:noWrap w:val="0"/>
            <w:vAlign w:val="center"/>
          </w:tcPr>
          <w:p w14:paraId="193E2FC7">
            <w:pPr>
              <w:rPr>
                <w:rFonts w:hint="eastAsia" w:ascii="宋体" w:hAnsi="宋体" w:cs="宋体"/>
                <w:b/>
                <w:bCs/>
                <w:color w:val="auto"/>
                <w:sz w:val="22"/>
                <w:szCs w:val="22"/>
                <w:highlight w:val="none"/>
              </w:rPr>
            </w:pPr>
            <w:r>
              <w:rPr>
                <w:rFonts w:hint="eastAsia" w:ascii="宋体" w:hAnsi="宋体" w:cs="宋体"/>
                <w:color w:val="auto"/>
                <w:sz w:val="22"/>
                <w:szCs w:val="22"/>
                <w:highlight w:val="none"/>
              </w:rPr>
              <w:t>报价明细表</w:t>
            </w:r>
          </w:p>
        </w:tc>
        <w:tc>
          <w:tcPr>
            <w:tcW w:w="1437" w:type="dxa"/>
            <w:noWrap w:val="0"/>
            <w:vAlign w:val="center"/>
          </w:tcPr>
          <w:p w14:paraId="37D3D114">
            <w:pPr>
              <w:spacing w:line="43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附件九</w:t>
            </w:r>
          </w:p>
        </w:tc>
      </w:tr>
    </w:tbl>
    <w:p w14:paraId="5BC0C2EB">
      <w:pPr>
        <w:pStyle w:val="1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5.1.4</w:t>
      </w:r>
      <w:r>
        <w:rPr>
          <w:rFonts w:hint="eastAsia" w:ascii="宋体" w:hAnsi="宋体" w:cs="宋体"/>
          <w:b/>
          <w:bCs/>
          <w:color w:val="auto"/>
          <w:sz w:val="22"/>
          <w:szCs w:val="22"/>
          <w:highlight w:val="none"/>
          <w:lang w:val="en-US" w:eastAsia="zh-CN"/>
        </w:rPr>
        <w:t xml:space="preserve"> </w:t>
      </w:r>
      <w:r>
        <w:rPr>
          <w:rFonts w:hint="eastAsia" w:ascii="宋体" w:hAnsi="宋体" w:cs="宋体"/>
          <w:b/>
          <w:bCs/>
          <w:color w:val="auto"/>
          <w:sz w:val="22"/>
          <w:szCs w:val="22"/>
          <w:highlight w:val="none"/>
        </w:rPr>
        <w:t>其他</w:t>
      </w:r>
    </w:p>
    <w:tbl>
      <w:tblPr>
        <w:tblStyle w:val="40"/>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546"/>
        <w:gridCol w:w="1354"/>
      </w:tblGrid>
      <w:tr w14:paraId="271E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07" w:type="dxa"/>
            <w:noWrap w:val="0"/>
            <w:vAlign w:val="center"/>
          </w:tcPr>
          <w:p w14:paraId="74C9E5B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7546" w:type="dxa"/>
            <w:noWrap w:val="0"/>
            <w:vAlign w:val="center"/>
          </w:tcPr>
          <w:p w14:paraId="6E533F2C">
            <w:pPr>
              <w:rPr>
                <w:rFonts w:hint="eastAsia" w:ascii="宋体" w:hAnsi="宋体" w:cs="宋体"/>
                <w:color w:val="auto"/>
                <w:sz w:val="22"/>
                <w:szCs w:val="22"/>
                <w:highlight w:val="none"/>
              </w:rPr>
            </w:pPr>
            <w:r>
              <w:rPr>
                <w:rFonts w:hint="eastAsia" w:ascii="宋体" w:hAnsi="宋体" w:cs="宋体"/>
                <w:b/>
                <w:color w:val="auto"/>
                <w:sz w:val="22"/>
                <w:szCs w:val="22"/>
                <w:highlight w:val="none"/>
              </w:rPr>
              <w:t>根据招标文件中的采购内容与技术要求、评标细则，投标供应商认为需要提供的其他文件和资料。</w:t>
            </w:r>
          </w:p>
        </w:tc>
        <w:tc>
          <w:tcPr>
            <w:tcW w:w="1354" w:type="dxa"/>
            <w:noWrap w:val="0"/>
            <w:vAlign w:val="center"/>
          </w:tcPr>
          <w:p w14:paraId="6A50498F">
            <w:pPr>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格式自拟</w:t>
            </w:r>
          </w:p>
        </w:tc>
      </w:tr>
      <w:tr w14:paraId="72C66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07" w:type="dxa"/>
            <w:noWrap w:val="0"/>
            <w:vAlign w:val="center"/>
          </w:tcPr>
          <w:p w14:paraId="25DF446B">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7546" w:type="dxa"/>
            <w:noWrap w:val="0"/>
            <w:vAlign w:val="center"/>
          </w:tcPr>
          <w:p w14:paraId="79BE7D92">
            <w:pPr>
              <w:rPr>
                <w:rFonts w:hint="eastAsia" w:ascii="宋体" w:hAnsi="宋体" w:cs="宋体"/>
                <w:color w:val="auto"/>
                <w:sz w:val="22"/>
                <w:szCs w:val="22"/>
                <w:highlight w:val="none"/>
              </w:rPr>
            </w:pPr>
            <w:r>
              <w:rPr>
                <w:rFonts w:hint="eastAsia" w:ascii="宋体" w:hAnsi="宋体" w:cs="宋体"/>
                <w:color w:val="auto"/>
                <w:sz w:val="22"/>
                <w:szCs w:val="22"/>
                <w:highlight w:val="none"/>
              </w:rPr>
              <w:t>启用备份投标文件申请书（</w:t>
            </w:r>
            <w:r>
              <w:rPr>
                <w:rFonts w:hint="eastAsia" w:ascii="宋体" w:hAnsi="宋体" w:cs="宋体"/>
                <w:caps/>
                <w:color w:val="auto"/>
                <w:sz w:val="22"/>
                <w:szCs w:val="22"/>
                <w:highlight w:val="none"/>
              </w:rPr>
              <w:t>解密截止时间之前以电子邮件方式传送至采购代理机构邮箱）</w:t>
            </w:r>
          </w:p>
        </w:tc>
        <w:tc>
          <w:tcPr>
            <w:tcW w:w="1354" w:type="dxa"/>
            <w:noWrap w:val="0"/>
            <w:vAlign w:val="center"/>
          </w:tcPr>
          <w:p w14:paraId="5B92794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格式自拟</w:t>
            </w:r>
          </w:p>
        </w:tc>
      </w:tr>
    </w:tbl>
    <w:p w14:paraId="2EE58F9B">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5.2  投标文件格式</w:t>
      </w:r>
    </w:p>
    <w:p w14:paraId="183FB49E">
      <w:pPr>
        <w:tabs>
          <w:tab w:val="left" w:pos="-180"/>
          <w:tab w:val="left" w:pos="180"/>
          <w:tab w:val="left" w:pos="360"/>
        </w:tabs>
        <w:spacing w:line="460" w:lineRule="exact"/>
        <w:ind w:firstLine="638" w:firstLineChars="290"/>
        <w:rPr>
          <w:rFonts w:hint="eastAsia" w:ascii="宋体" w:hAnsi="宋体" w:cs="宋体"/>
          <w:b/>
          <w:color w:val="auto"/>
          <w:sz w:val="22"/>
          <w:szCs w:val="22"/>
          <w:highlight w:val="none"/>
        </w:rPr>
      </w:pPr>
      <w:r>
        <w:rPr>
          <w:rFonts w:hint="eastAsia" w:ascii="宋体" w:hAnsi="宋体" w:cs="宋体"/>
          <w:color w:val="auto"/>
          <w:sz w:val="22"/>
          <w:szCs w:val="22"/>
          <w:highlight w:val="none"/>
        </w:rPr>
        <w:t>供应商应根据招标文件中所提供的格式，内容按顺序填写并制作投标文件。</w:t>
      </w:r>
      <w:r>
        <w:rPr>
          <w:rFonts w:hint="eastAsia" w:ascii="宋体" w:hAnsi="宋体" w:cs="宋体"/>
          <w:b/>
          <w:color w:val="auto"/>
          <w:sz w:val="22"/>
          <w:szCs w:val="22"/>
          <w:highlight w:val="none"/>
        </w:rPr>
        <w:t>任何未按招标文件要求制作投标文件均可能会导致对其不利的评定，该风险由供应商自行承担。</w:t>
      </w:r>
    </w:p>
    <w:p w14:paraId="61DAE87E">
      <w:pPr>
        <w:pStyle w:val="1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6．  投标报价</w:t>
      </w:r>
    </w:p>
    <w:p w14:paraId="0728745C">
      <w:pPr>
        <w:pStyle w:val="13"/>
        <w:spacing w:line="460" w:lineRule="exact"/>
        <w:rPr>
          <w:rFonts w:hint="eastAsia" w:ascii="宋体" w:hAnsi="宋体" w:cs="宋体"/>
          <w:color w:val="auto"/>
          <w:sz w:val="22"/>
          <w:szCs w:val="22"/>
          <w:highlight w:val="none"/>
        </w:rPr>
      </w:pPr>
      <w:bookmarkStart w:id="34" w:name="_Toc195502492"/>
      <w:bookmarkStart w:id="35" w:name="_Toc202085292"/>
      <w:bookmarkStart w:id="36" w:name="_Toc195502582"/>
      <w:r>
        <w:rPr>
          <w:rFonts w:hint="eastAsia" w:ascii="宋体" w:hAnsi="宋体" w:cs="宋体"/>
          <w:b/>
          <w:bCs/>
          <w:color w:val="auto"/>
          <w:sz w:val="22"/>
          <w:szCs w:val="22"/>
          <w:highlight w:val="none"/>
        </w:rPr>
        <w:t xml:space="preserve">6.1 </w:t>
      </w:r>
      <w:r>
        <w:rPr>
          <w:rFonts w:hint="eastAsia" w:ascii="宋体" w:hAnsi="宋体" w:cs="宋体"/>
          <w:color w:val="auto"/>
          <w:sz w:val="22"/>
          <w:szCs w:val="22"/>
          <w:highlight w:val="none"/>
        </w:rPr>
        <w:t xml:space="preserve"> </w:t>
      </w:r>
      <w:r>
        <w:rPr>
          <w:rFonts w:hint="eastAsia" w:ascii="宋体" w:hAnsi="宋体"/>
          <w:b/>
          <w:color w:val="auto"/>
          <w:sz w:val="22"/>
          <w:highlight w:val="none"/>
        </w:rPr>
        <w:t>投标报价包括：</w:t>
      </w:r>
      <w:r>
        <w:rPr>
          <w:rFonts w:hint="eastAsia" w:ascii="宋体" w:hAnsi="宋体" w:cs="宋体"/>
          <w:b/>
          <w:color w:val="auto"/>
          <w:sz w:val="22"/>
          <w:highlight w:val="none"/>
        </w:rPr>
        <w:t>完成本项目所需的所有费用，货物供货、运输、保险、装卸、安装调试及技术、验收（含第三方验收）、培训、售后服务、税费等的全部费用，实行固定总价包干。除发生下列因素可调整合同价外，不得以任何其他理由调整任何费用</w:t>
      </w:r>
      <w:r>
        <w:rPr>
          <w:rFonts w:hint="eastAsia" w:hAnsi="宋体" w:cs="宋体"/>
          <w:color w:val="auto"/>
          <w:sz w:val="22"/>
          <w:highlight w:val="none"/>
        </w:rPr>
        <w:t>。</w:t>
      </w:r>
    </w:p>
    <w:p w14:paraId="3CAA18B2">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ascii="宋体" w:hAnsi="宋体" w:cs="宋体"/>
          <w:color w:val="auto"/>
          <w:sz w:val="22"/>
          <w:highlight w:val="none"/>
        </w:rPr>
      </w:pPr>
      <w:r>
        <w:rPr>
          <w:rFonts w:hint="eastAsia" w:ascii="宋体" w:hAnsi="宋体" w:cs="宋体"/>
          <w:color w:val="auto"/>
          <w:sz w:val="22"/>
          <w:highlight w:val="none"/>
        </w:rPr>
        <w:t>6.2  投标人必须按附件中的投标报价一览表、投标分项报价表（均统一格式）内容填写单价、合价和总价，并由法定代表人或投标人代表签署。</w:t>
      </w:r>
    </w:p>
    <w:p w14:paraId="7C002199">
      <w:pPr>
        <w:tabs>
          <w:tab w:val="left" w:pos="-180"/>
          <w:tab w:val="left" w:pos="180"/>
          <w:tab w:val="left" w:pos="360"/>
        </w:tabs>
        <w:spacing w:line="440" w:lineRule="exact"/>
        <w:ind w:left="440" w:hanging="440" w:hangingChars="200"/>
        <w:rPr>
          <w:rFonts w:ascii="宋体" w:hAnsi="宋体" w:cs="宋体"/>
          <w:color w:val="auto"/>
          <w:sz w:val="22"/>
          <w:highlight w:val="none"/>
        </w:rPr>
      </w:pPr>
      <w:r>
        <w:rPr>
          <w:rFonts w:hint="eastAsia" w:ascii="宋体" w:hAnsi="宋体" w:cs="宋体"/>
          <w:bCs/>
          <w:color w:val="auto"/>
          <w:sz w:val="22"/>
          <w:highlight w:val="none"/>
        </w:rPr>
        <w:t>6.3</w:t>
      </w:r>
      <w:r>
        <w:rPr>
          <w:rFonts w:hint="eastAsia" w:ascii="宋体" w:hAnsi="宋体" w:cs="宋体"/>
          <w:b/>
          <w:color w:val="auto"/>
          <w:sz w:val="22"/>
          <w:highlight w:val="none"/>
        </w:rPr>
        <w:t>▲</w:t>
      </w:r>
      <w:r>
        <w:rPr>
          <w:rFonts w:hint="eastAsia" w:ascii="宋体" w:hAnsi="宋体" w:cs="宋体"/>
          <w:color w:val="auto"/>
          <w:sz w:val="22"/>
          <w:highlight w:val="none"/>
          <w:u w:val="single"/>
        </w:rPr>
        <w:t>本次投标均以人民币报价，不接受其他货币的报价，投标人如需外汇购入某些货物，须折合成人民币计入投标报价中</w:t>
      </w:r>
      <w:r>
        <w:rPr>
          <w:rFonts w:hint="eastAsia" w:ascii="宋体" w:hAnsi="宋体" w:cs="宋体"/>
          <w:color w:val="auto"/>
          <w:sz w:val="22"/>
          <w:highlight w:val="none"/>
        </w:rPr>
        <w:t>。</w:t>
      </w:r>
    </w:p>
    <w:p w14:paraId="022999D4">
      <w:pPr>
        <w:tabs>
          <w:tab w:val="left" w:pos="-180"/>
          <w:tab w:val="left" w:pos="180"/>
          <w:tab w:val="left" w:pos="360"/>
        </w:tabs>
        <w:spacing w:line="440" w:lineRule="exact"/>
        <w:rPr>
          <w:rFonts w:ascii="宋体" w:hAnsi="宋体" w:cs="宋体"/>
          <w:color w:val="auto"/>
          <w:sz w:val="22"/>
          <w:highlight w:val="none"/>
        </w:rPr>
      </w:pPr>
      <w:r>
        <w:rPr>
          <w:rFonts w:hint="eastAsia" w:ascii="宋体" w:hAnsi="宋体" w:cs="宋体"/>
          <w:color w:val="auto"/>
          <w:sz w:val="22"/>
          <w:highlight w:val="none"/>
        </w:rPr>
        <w:t>6.4</w:t>
      </w:r>
      <w:r>
        <w:rPr>
          <w:rFonts w:hint="eastAsia" w:ascii="宋体" w:hAnsi="宋体" w:cs="宋体"/>
          <w:b/>
          <w:color w:val="auto"/>
          <w:sz w:val="22"/>
          <w:highlight w:val="none"/>
        </w:rPr>
        <w:t>▲</w:t>
      </w:r>
      <w:r>
        <w:rPr>
          <w:rFonts w:hint="eastAsia" w:ascii="宋体" w:hAnsi="宋体" w:cs="宋体"/>
          <w:color w:val="auto"/>
          <w:sz w:val="22"/>
          <w:highlight w:val="none"/>
          <w:u w:val="single"/>
        </w:rPr>
        <w:t>招标采购单位不接受任何选择报价，对任何货物或服务只允许一个报价</w:t>
      </w:r>
      <w:r>
        <w:rPr>
          <w:rFonts w:hint="eastAsia" w:ascii="宋体" w:hAnsi="宋体" w:cs="宋体"/>
          <w:color w:val="auto"/>
          <w:sz w:val="22"/>
          <w:highlight w:val="none"/>
        </w:rPr>
        <w:t>。</w:t>
      </w:r>
    </w:p>
    <w:p w14:paraId="2782E4BB">
      <w:pPr>
        <w:tabs>
          <w:tab w:val="left" w:pos="-180"/>
          <w:tab w:val="left" w:pos="180"/>
          <w:tab w:val="left" w:pos="360"/>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6.5  招标采购单位要求分类报价是为了方便评标，但在任何情况下不限制采购人以其认为最合适的条款、条件签订合同的权利。</w:t>
      </w:r>
    </w:p>
    <w:p w14:paraId="69C3B4A6">
      <w:pPr>
        <w:tabs>
          <w:tab w:val="left" w:pos="-180"/>
          <w:tab w:val="left" w:pos="180"/>
          <w:tab w:val="left" w:pos="360"/>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6.6</w:t>
      </w:r>
      <w:r>
        <w:rPr>
          <w:rFonts w:hint="eastAsia" w:ascii="宋体" w:hAnsi="宋体" w:cs="宋体"/>
          <w:b/>
          <w:color w:val="auto"/>
          <w:sz w:val="22"/>
          <w:highlight w:val="none"/>
        </w:rPr>
        <w:t>▲</w:t>
      </w:r>
      <w:r>
        <w:rPr>
          <w:rFonts w:hint="eastAsia" w:ascii="宋体" w:hAnsi="宋体" w:cs="宋体"/>
          <w:color w:val="auto"/>
          <w:sz w:val="22"/>
          <w:highlight w:val="none"/>
          <w:u w:val="single"/>
        </w:rPr>
        <w:t>投标报价报出后，投标人不得以任何理由予以变更，任何包含价格调整的要求，将被认为是非实质性响应投标而予以拒绝</w:t>
      </w:r>
      <w:r>
        <w:rPr>
          <w:rFonts w:hint="eastAsia" w:ascii="宋体" w:hAnsi="宋体" w:cs="宋体"/>
          <w:color w:val="auto"/>
          <w:sz w:val="22"/>
          <w:highlight w:val="none"/>
        </w:rPr>
        <w:t>。</w:t>
      </w:r>
    </w:p>
    <w:p w14:paraId="308CE1E9">
      <w:pPr>
        <w:pStyle w:val="1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7． 投标有效期</w:t>
      </w:r>
    </w:p>
    <w:p w14:paraId="2BF4F268">
      <w:pPr>
        <w:pStyle w:val="13"/>
        <w:spacing w:line="460" w:lineRule="exact"/>
        <w:rPr>
          <w:rFonts w:hint="eastAsia" w:ascii="宋体" w:hAnsi="宋体" w:cs="宋体"/>
          <w:color w:val="auto"/>
          <w:sz w:val="22"/>
          <w:szCs w:val="22"/>
          <w:highlight w:val="none"/>
        </w:rPr>
      </w:pPr>
      <w:r>
        <w:rPr>
          <w:rFonts w:hint="eastAsia" w:ascii="宋体" w:hAnsi="宋体" w:cs="宋体"/>
          <w:b/>
          <w:bCs/>
          <w:color w:val="auto"/>
          <w:sz w:val="22"/>
          <w:szCs w:val="22"/>
          <w:highlight w:val="none"/>
        </w:rPr>
        <w:t>7.1</w:t>
      </w:r>
      <w:r>
        <w:rPr>
          <w:rFonts w:hint="eastAsia" w:ascii="宋体" w:hAnsi="宋体" w:cs="宋体"/>
          <w:b/>
          <w:color w:val="auto"/>
          <w:sz w:val="22"/>
          <w:highlight w:val="none"/>
        </w:rPr>
        <w:t>▲</w:t>
      </w:r>
      <w:r>
        <w:rPr>
          <w:rFonts w:hint="eastAsia" w:ascii="宋体" w:hAnsi="宋体" w:cs="宋体"/>
          <w:b/>
          <w:color w:val="auto"/>
          <w:sz w:val="22"/>
          <w:highlight w:val="none"/>
          <w:u w:val="single"/>
        </w:rPr>
        <w:t>自开标之日起</w:t>
      </w:r>
      <w:r>
        <w:rPr>
          <w:rFonts w:hint="eastAsia" w:ascii="宋体" w:hAnsi="宋体" w:cs="宋体"/>
          <w:b/>
          <w:bCs/>
          <w:color w:val="auto"/>
          <w:sz w:val="22"/>
          <w:highlight w:val="none"/>
          <w:u w:val="single"/>
        </w:rPr>
        <w:t>90</w:t>
      </w:r>
      <w:r>
        <w:rPr>
          <w:rFonts w:hint="eastAsia" w:ascii="宋体" w:hAnsi="宋体" w:cs="宋体"/>
          <w:b/>
          <w:color w:val="auto"/>
          <w:sz w:val="22"/>
          <w:highlight w:val="none"/>
          <w:u w:val="single"/>
        </w:rPr>
        <w:t>天内投标应保持投标有效</w:t>
      </w:r>
      <w:r>
        <w:rPr>
          <w:rFonts w:hint="eastAsia" w:ascii="宋体" w:hAnsi="宋体" w:cs="宋体"/>
          <w:b/>
          <w:color w:val="auto"/>
          <w:sz w:val="22"/>
          <w:highlight w:val="none"/>
        </w:rPr>
        <w:t>。</w:t>
      </w:r>
    </w:p>
    <w:p w14:paraId="18245CBA">
      <w:pPr>
        <w:pStyle w:val="13"/>
        <w:spacing w:line="460" w:lineRule="exact"/>
        <w:ind w:left="418" w:hanging="418" w:hangingChars="190"/>
        <w:rPr>
          <w:rFonts w:hint="eastAsia" w:ascii="宋体" w:hAnsi="宋体" w:cs="宋体"/>
          <w:color w:val="auto"/>
          <w:sz w:val="22"/>
          <w:szCs w:val="22"/>
          <w:highlight w:val="none"/>
        </w:rPr>
      </w:pPr>
      <w:bookmarkStart w:id="37" w:name="_Toc195502581"/>
      <w:bookmarkStart w:id="38" w:name="_Toc195502491"/>
      <w:bookmarkStart w:id="39" w:name="_Toc202085291"/>
      <w:r>
        <w:rPr>
          <w:rFonts w:hint="eastAsia" w:ascii="宋体" w:hAnsi="宋体" w:cs="宋体"/>
          <w:color w:val="auto"/>
          <w:sz w:val="22"/>
          <w:szCs w:val="22"/>
          <w:highlight w:val="none"/>
        </w:rPr>
        <w:t>7.2  特殊情况下，在原投标有效期截止前，采购人可与投标人协商延长投标有效期，这种要求和答复均以书面形式进行。投标人可拒绝接受延期要求，也可以接受延期要求。同意延长投标有效期的投标人不得修改投标文件。</w:t>
      </w:r>
    </w:p>
    <w:p w14:paraId="73A03165">
      <w:pPr>
        <w:pStyle w:val="13"/>
        <w:spacing w:line="460" w:lineRule="exact"/>
        <w:rPr>
          <w:rFonts w:hint="eastAsia" w:ascii="宋体" w:hAnsi="宋体" w:cs="宋体"/>
          <w:color w:val="auto"/>
          <w:sz w:val="22"/>
          <w:szCs w:val="22"/>
          <w:highlight w:val="none"/>
        </w:rPr>
      </w:pPr>
      <w:r>
        <w:rPr>
          <w:rFonts w:hint="eastAsia" w:ascii="宋体" w:hAnsi="宋体" w:cs="宋体"/>
          <w:b/>
          <w:bCs/>
          <w:color w:val="auto"/>
          <w:sz w:val="22"/>
          <w:szCs w:val="22"/>
          <w:highlight w:val="none"/>
        </w:rPr>
        <w:t>8．</w:t>
      </w:r>
      <w:r>
        <w:rPr>
          <w:rFonts w:hint="eastAsia" w:ascii="宋体" w:hAnsi="宋体" w:cs="宋体"/>
          <w:color w:val="auto"/>
          <w:sz w:val="22"/>
          <w:szCs w:val="22"/>
          <w:highlight w:val="none"/>
        </w:rPr>
        <w:t xml:space="preserve"> </w:t>
      </w:r>
      <w:r>
        <w:rPr>
          <w:rFonts w:hint="eastAsia" w:ascii="宋体" w:hAnsi="宋体"/>
          <w:b/>
          <w:bCs/>
          <w:color w:val="auto"/>
          <w:sz w:val="22"/>
          <w:highlight w:val="none"/>
        </w:rPr>
        <w:t>投标文件的签署和规定</w:t>
      </w:r>
    </w:p>
    <w:p w14:paraId="31FA088C">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8.1  投标人应根据招标文件的规定对投标文件进行电子盖章及签署。</w:t>
      </w:r>
    </w:p>
    <w:p w14:paraId="7FA05A9F">
      <w:pPr>
        <w:pStyle w:val="13"/>
        <w:spacing w:line="460" w:lineRule="exact"/>
        <w:jc w:val="center"/>
        <w:outlineLvl w:val="1"/>
        <w:rPr>
          <w:rFonts w:hint="eastAsia" w:ascii="宋体" w:hAnsi="宋体" w:cs="宋体"/>
          <w:b/>
          <w:bCs/>
          <w:color w:val="auto"/>
          <w:sz w:val="22"/>
          <w:szCs w:val="22"/>
          <w:highlight w:val="none"/>
        </w:rPr>
      </w:pPr>
      <w:bookmarkStart w:id="40" w:name="_Toc102115983"/>
      <w:bookmarkStart w:id="41" w:name="_Toc47884461"/>
      <w:bookmarkStart w:id="42" w:name="_Toc16821"/>
      <w:bookmarkStart w:id="43" w:name="_Toc26264"/>
      <w:r>
        <w:rPr>
          <w:rFonts w:hint="eastAsia" w:ascii="宋体" w:hAnsi="宋体" w:cs="宋体"/>
          <w:b/>
          <w:bCs/>
          <w:color w:val="auto"/>
          <w:sz w:val="22"/>
          <w:szCs w:val="22"/>
          <w:highlight w:val="none"/>
        </w:rPr>
        <w:t>四、投标文件的递交</w:t>
      </w:r>
      <w:bookmarkEnd w:id="37"/>
      <w:bookmarkEnd w:id="38"/>
      <w:bookmarkEnd w:id="39"/>
      <w:bookmarkEnd w:id="40"/>
      <w:bookmarkEnd w:id="41"/>
      <w:bookmarkEnd w:id="42"/>
      <w:bookmarkEnd w:id="43"/>
    </w:p>
    <w:p w14:paraId="36C393C6">
      <w:pPr>
        <w:pStyle w:val="1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   投标文件的递交</w:t>
      </w:r>
    </w:p>
    <w:p w14:paraId="2084A1A0">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投标文件必须在招标文件规定的投标文件截止时间前完成电子投标文件的传输递交。投标截止时间前未完成传输的，视为撤回投标文件。投标截止时间后送达的投标文件，将被政采云平台拒收。</w:t>
      </w:r>
    </w:p>
    <w:p w14:paraId="2D090778">
      <w:pPr>
        <w:pStyle w:val="13"/>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   投标文件的补充、修改和撤回</w:t>
      </w:r>
    </w:p>
    <w:p w14:paraId="3968ACA1">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投标人在投标截止时间前，可以补充、修改或者撤回电子投标文件。补充或者修改电子投标文件的，应当先行撤回原文件，补充、修改后重新传输递交。</w:t>
      </w:r>
    </w:p>
    <w:bookmarkEnd w:id="34"/>
    <w:bookmarkEnd w:id="35"/>
    <w:bookmarkEnd w:id="36"/>
    <w:p w14:paraId="23A55A4A">
      <w:pPr>
        <w:pStyle w:val="13"/>
        <w:spacing w:line="460" w:lineRule="exact"/>
        <w:jc w:val="center"/>
        <w:outlineLvl w:val="1"/>
        <w:rPr>
          <w:rFonts w:hint="eastAsia" w:ascii="宋体" w:hAnsi="宋体" w:cs="宋体"/>
          <w:b/>
          <w:bCs/>
          <w:color w:val="auto"/>
          <w:sz w:val="22"/>
          <w:szCs w:val="22"/>
          <w:highlight w:val="none"/>
        </w:rPr>
      </w:pPr>
      <w:bookmarkStart w:id="44" w:name="_Toc12442"/>
      <w:bookmarkStart w:id="45" w:name="_Toc102115984"/>
      <w:bookmarkStart w:id="46" w:name="_Toc47884462"/>
      <w:bookmarkStart w:id="47" w:name="_Toc7629"/>
      <w:r>
        <w:rPr>
          <w:rFonts w:hint="eastAsia" w:ascii="宋体" w:hAnsi="宋体" w:cs="宋体"/>
          <w:b/>
          <w:bCs/>
          <w:color w:val="auto"/>
          <w:sz w:val="22"/>
          <w:szCs w:val="22"/>
          <w:highlight w:val="none"/>
        </w:rPr>
        <w:t>五、</w:t>
      </w:r>
      <w:bookmarkEnd w:id="44"/>
      <w:bookmarkEnd w:id="45"/>
      <w:bookmarkEnd w:id="46"/>
      <w:r>
        <w:rPr>
          <w:rFonts w:hint="eastAsia" w:ascii="宋体" w:hAnsi="宋体" w:cs="宋体"/>
          <w:b/>
          <w:bCs/>
          <w:color w:val="auto"/>
          <w:sz w:val="22"/>
          <w:szCs w:val="22"/>
          <w:highlight w:val="none"/>
        </w:rPr>
        <w:t>开标和评标</w:t>
      </w:r>
      <w:bookmarkEnd w:id="47"/>
    </w:p>
    <w:p w14:paraId="4CFFF11E">
      <w:pPr>
        <w:spacing w:line="440" w:lineRule="exact"/>
        <w:rPr>
          <w:rFonts w:ascii="宋体" w:hAnsi="宋体" w:cs="宋体"/>
          <w:b/>
          <w:bCs/>
          <w:color w:val="auto"/>
          <w:sz w:val="22"/>
          <w:highlight w:val="none"/>
        </w:rPr>
      </w:pPr>
      <w:bookmarkStart w:id="48" w:name="_Toc3139"/>
      <w:bookmarkStart w:id="49" w:name="_Toc102115985"/>
      <w:bookmarkStart w:id="50" w:name="_Toc195502493"/>
      <w:bookmarkStart w:id="51" w:name="_Toc202085293"/>
      <w:bookmarkStart w:id="52" w:name="_Toc47884463"/>
      <w:bookmarkStart w:id="53" w:name="_Toc195502583"/>
      <w:r>
        <w:rPr>
          <w:rFonts w:hint="eastAsia" w:ascii="宋体" w:hAnsi="宋体" w:cs="宋体"/>
          <w:b/>
          <w:color w:val="auto"/>
          <w:sz w:val="22"/>
          <w:highlight w:val="none"/>
        </w:rPr>
        <w:t xml:space="preserve">1.  </w:t>
      </w:r>
      <w:r>
        <w:rPr>
          <w:rFonts w:hint="eastAsia" w:ascii="宋体" w:hAnsi="宋体" w:cs="宋体"/>
          <w:bCs/>
          <w:color w:val="auto"/>
          <w:sz w:val="22"/>
          <w:highlight w:val="none"/>
        </w:rPr>
        <w:t xml:space="preserve"> </w:t>
      </w:r>
      <w:r>
        <w:rPr>
          <w:rFonts w:hint="eastAsia" w:ascii="宋体" w:hAnsi="宋体" w:cs="宋体"/>
          <w:b/>
          <w:bCs/>
          <w:color w:val="auto"/>
          <w:sz w:val="22"/>
          <w:highlight w:val="none"/>
        </w:rPr>
        <w:t>评标委员会</w:t>
      </w:r>
    </w:p>
    <w:p w14:paraId="5456C995">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1.1  采购人和采购代理机构依法组建评标委员会，评标委员会的成员在评标过程中必须严格遵守《</w:t>
      </w:r>
      <w:r>
        <w:rPr>
          <w:rFonts w:hint="eastAsia" w:ascii="宋体" w:hAnsi="宋体" w:cs="宋体"/>
          <w:color w:val="auto"/>
          <w:sz w:val="22"/>
          <w:highlight w:val="none"/>
        </w:rPr>
        <w:t>中华人民共和国政府采购法</w:t>
      </w:r>
      <w:r>
        <w:rPr>
          <w:rFonts w:hint="eastAsia" w:ascii="宋体" w:hAnsi="宋体" w:cs="宋体"/>
          <w:bCs/>
          <w:color w:val="auto"/>
          <w:sz w:val="22"/>
          <w:highlight w:val="none"/>
        </w:rPr>
        <w:t>》等有关法律、法规的规定。</w:t>
      </w:r>
    </w:p>
    <w:p w14:paraId="50CAAF72">
      <w:pPr>
        <w:spacing w:line="440" w:lineRule="exact"/>
        <w:ind w:left="552" w:hanging="552" w:hangingChars="250"/>
        <w:rPr>
          <w:rFonts w:ascii="宋体" w:hAnsi="宋体" w:cs="宋体"/>
          <w:bCs/>
          <w:color w:val="auto"/>
          <w:sz w:val="22"/>
          <w:highlight w:val="none"/>
        </w:rPr>
      </w:pPr>
      <w:r>
        <w:rPr>
          <w:rFonts w:hint="eastAsia" w:ascii="宋体" w:hAnsi="宋体" w:cs="宋体"/>
          <w:b/>
          <w:color w:val="auto"/>
          <w:sz w:val="22"/>
          <w:highlight w:val="none"/>
        </w:rPr>
        <w:t>2.</w:t>
      </w:r>
      <w:r>
        <w:rPr>
          <w:rFonts w:hint="eastAsia" w:ascii="宋体" w:hAnsi="宋体" w:cs="宋体"/>
          <w:bCs/>
          <w:color w:val="auto"/>
          <w:sz w:val="22"/>
          <w:highlight w:val="none"/>
        </w:rPr>
        <w:t xml:space="preserve">   </w:t>
      </w:r>
      <w:r>
        <w:rPr>
          <w:rFonts w:hint="eastAsia" w:ascii="宋体" w:hAnsi="宋体" w:cs="宋体"/>
          <w:b/>
          <w:bCs/>
          <w:color w:val="auto"/>
          <w:sz w:val="22"/>
          <w:highlight w:val="none"/>
        </w:rPr>
        <w:t>评标过程的保密性</w:t>
      </w:r>
    </w:p>
    <w:p w14:paraId="6A8954D2">
      <w:pPr>
        <w:spacing w:line="440" w:lineRule="exact"/>
        <w:ind w:left="550" w:hanging="550" w:hangingChars="250"/>
        <w:rPr>
          <w:rFonts w:ascii="宋体" w:hAnsi="宋体" w:cs="宋体"/>
          <w:b/>
          <w:bCs/>
          <w:color w:val="auto"/>
          <w:sz w:val="22"/>
          <w:highlight w:val="none"/>
        </w:rPr>
      </w:pPr>
      <w:r>
        <w:rPr>
          <w:rFonts w:hint="eastAsia" w:ascii="宋体" w:hAnsi="宋体" w:cs="宋体"/>
          <w:bCs/>
          <w:color w:val="auto"/>
          <w:sz w:val="22"/>
          <w:highlight w:val="none"/>
        </w:rPr>
        <w:t>2.1  开标后直至向中标人授予合同时止，凡与评审有关的资料均不得向投标人及与评标无关人员透露，如果投标人在评标过程中试图向采购人或采购代理机构施加影响，其投标将被拒绝。</w:t>
      </w:r>
    </w:p>
    <w:p w14:paraId="580882FA">
      <w:pPr>
        <w:spacing w:line="440" w:lineRule="exact"/>
        <w:ind w:left="552" w:hanging="552" w:hangingChars="250"/>
        <w:rPr>
          <w:rFonts w:ascii="宋体" w:hAnsi="宋体" w:cs="宋体"/>
          <w:b/>
          <w:bCs/>
          <w:color w:val="auto"/>
          <w:sz w:val="22"/>
          <w:highlight w:val="none"/>
        </w:rPr>
      </w:pPr>
      <w:r>
        <w:rPr>
          <w:rFonts w:hint="eastAsia" w:ascii="宋体" w:hAnsi="宋体" w:cs="宋体"/>
          <w:b/>
          <w:bCs/>
          <w:color w:val="auto"/>
          <w:sz w:val="22"/>
          <w:highlight w:val="none"/>
        </w:rPr>
        <w:t>3.   评标前准备</w:t>
      </w:r>
    </w:p>
    <w:p w14:paraId="1295B3F3">
      <w:pPr>
        <w:spacing w:line="440" w:lineRule="exact"/>
        <w:ind w:left="550" w:hanging="550" w:hangingChars="250"/>
        <w:rPr>
          <w:rFonts w:ascii="宋体" w:hAnsi="宋体" w:cs="宋体"/>
          <w:bCs/>
          <w:color w:val="auto"/>
          <w:sz w:val="22"/>
          <w:highlight w:val="none"/>
        </w:rPr>
      </w:pPr>
      <w:r>
        <w:rPr>
          <w:rFonts w:ascii="宋体" w:hAnsi="宋体" w:cs="宋体"/>
          <w:bCs/>
          <w:color w:val="auto"/>
          <w:sz w:val="22"/>
          <w:highlight w:val="none"/>
        </w:rPr>
        <w:t xml:space="preserve">3.1  </w:t>
      </w:r>
      <w:r>
        <w:rPr>
          <w:rFonts w:hint="eastAsia" w:ascii="宋体" w:hAnsi="宋体" w:cs="宋体"/>
          <w:bCs/>
          <w:color w:val="auto"/>
          <w:sz w:val="22"/>
          <w:highlight w:val="none"/>
        </w:rPr>
        <w:t>投标文件签收及解密：由采购代理机构开始签收并开始解密投标文件。</w:t>
      </w:r>
    </w:p>
    <w:p w14:paraId="5CE1DDAE">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3</w:t>
      </w:r>
      <w:r>
        <w:rPr>
          <w:rFonts w:ascii="宋体" w:hAnsi="宋体" w:cs="宋体"/>
          <w:bCs/>
          <w:color w:val="auto"/>
          <w:sz w:val="22"/>
          <w:highlight w:val="none"/>
        </w:rPr>
        <w:t xml:space="preserve">.2  </w:t>
      </w:r>
      <w:r>
        <w:rPr>
          <w:rFonts w:hint="eastAsia" w:ascii="宋体" w:hAnsi="宋体" w:cs="宋体"/>
          <w:bCs/>
          <w:color w:val="auto"/>
          <w:sz w:val="22"/>
          <w:highlight w:val="none"/>
        </w:rPr>
        <w:t>投标文件解密：投标文件递交截止时间后，投标人登录政采云平台，用“项目采购-开标评标”功能对电子投标文件进行在线解密。在线解密电子投标文件时间为开标时间起30分钟内。</w:t>
      </w:r>
      <w:r>
        <w:rPr>
          <w:rFonts w:ascii="宋体" w:hAnsi="宋体" w:cs="宋体"/>
          <w:bCs/>
          <w:color w:val="auto"/>
          <w:sz w:val="22"/>
          <w:highlight w:val="none"/>
        </w:rPr>
        <w:t>投标文件未按时解密，</w:t>
      </w:r>
      <w:r>
        <w:rPr>
          <w:rFonts w:hint="eastAsia" w:ascii="宋体" w:hAnsi="宋体" w:cs="宋体"/>
          <w:bCs/>
          <w:color w:val="auto"/>
          <w:sz w:val="22"/>
          <w:highlight w:val="none"/>
        </w:rPr>
        <w:t>投标人</w:t>
      </w:r>
      <w:r>
        <w:rPr>
          <w:rFonts w:ascii="宋体" w:hAnsi="宋体" w:cs="宋体"/>
          <w:bCs/>
          <w:color w:val="auto"/>
          <w:sz w:val="22"/>
          <w:highlight w:val="none"/>
        </w:rPr>
        <w:t>提供了备份投标文件的，以备份投标文件作为依据，否则视为投标文件撤回。投标文件已按时解密的，备份投标文件自动失效。</w:t>
      </w:r>
    </w:p>
    <w:p w14:paraId="41E27255">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3</w:t>
      </w:r>
      <w:r>
        <w:rPr>
          <w:rFonts w:ascii="宋体" w:hAnsi="宋体" w:cs="宋体"/>
          <w:bCs/>
          <w:color w:val="auto"/>
          <w:sz w:val="22"/>
          <w:highlight w:val="none"/>
        </w:rPr>
        <w:t xml:space="preserve">.3  </w:t>
      </w:r>
      <w:r>
        <w:rPr>
          <w:rFonts w:hint="eastAsia" w:ascii="宋体" w:hAnsi="宋体" w:cs="宋体"/>
          <w:bCs/>
          <w:color w:val="auto"/>
          <w:sz w:val="22"/>
          <w:highlight w:val="none"/>
        </w:rPr>
        <w:t>投标文件解密结束。投标人在线解密投标文件完毕后，由采购代理机构结束解密投标文件。</w:t>
      </w:r>
    </w:p>
    <w:p w14:paraId="1430342B">
      <w:pPr>
        <w:spacing w:line="440" w:lineRule="exact"/>
        <w:ind w:left="552" w:hanging="552" w:hangingChars="250"/>
        <w:rPr>
          <w:rFonts w:ascii="宋体" w:hAnsi="宋体" w:cs="宋体"/>
          <w:b/>
          <w:color w:val="auto"/>
          <w:sz w:val="22"/>
          <w:highlight w:val="none"/>
        </w:rPr>
      </w:pPr>
      <w:r>
        <w:rPr>
          <w:rFonts w:ascii="宋体" w:hAnsi="宋体" w:cs="宋体"/>
          <w:b/>
          <w:color w:val="auto"/>
          <w:sz w:val="22"/>
          <w:highlight w:val="none"/>
        </w:rPr>
        <w:t xml:space="preserve">4.   </w:t>
      </w:r>
      <w:r>
        <w:rPr>
          <w:rFonts w:hint="eastAsia" w:ascii="宋体" w:hAnsi="宋体" w:cs="宋体"/>
          <w:b/>
          <w:color w:val="auto"/>
          <w:sz w:val="22"/>
          <w:highlight w:val="none"/>
        </w:rPr>
        <w:t>开标评标</w:t>
      </w:r>
    </w:p>
    <w:p w14:paraId="056526BA">
      <w:pPr>
        <w:spacing w:line="440" w:lineRule="exact"/>
        <w:ind w:left="550" w:hanging="550" w:hangingChars="250"/>
        <w:rPr>
          <w:rFonts w:ascii="宋体" w:hAnsi="宋体" w:cs="宋体"/>
          <w:bCs/>
          <w:color w:val="auto"/>
          <w:sz w:val="22"/>
          <w:highlight w:val="none"/>
        </w:rPr>
      </w:pPr>
      <w:r>
        <w:rPr>
          <w:rFonts w:ascii="宋体" w:hAnsi="宋体" w:cs="宋体"/>
          <w:bCs/>
          <w:color w:val="auto"/>
          <w:sz w:val="22"/>
          <w:highlight w:val="none"/>
        </w:rPr>
        <w:t>4.1</w:t>
      </w:r>
      <w:r>
        <w:rPr>
          <w:rFonts w:hint="eastAsia" w:ascii="宋体" w:hAnsi="宋体" w:cs="宋体"/>
          <w:bCs/>
          <w:color w:val="auto"/>
          <w:sz w:val="22"/>
          <w:highlight w:val="none"/>
        </w:rPr>
        <w:t xml:space="preserve">  资格性审查</w:t>
      </w:r>
    </w:p>
    <w:p w14:paraId="1404ECF8">
      <w:pPr>
        <w:spacing w:line="440" w:lineRule="exact"/>
        <w:ind w:left="638" w:leftChars="304"/>
        <w:rPr>
          <w:rFonts w:ascii="宋体" w:hAnsi="宋体" w:cs="宋体"/>
          <w:bCs/>
          <w:color w:val="auto"/>
          <w:sz w:val="22"/>
          <w:highlight w:val="none"/>
        </w:rPr>
      </w:pPr>
      <w:r>
        <w:rPr>
          <w:rFonts w:hint="eastAsia" w:ascii="宋体" w:hAnsi="宋体" w:cs="宋体"/>
          <w:bCs/>
          <w:color w:val="auto"/>
          <w:sz w:val="22"/>
          <w:highlight w:val="none"/>
        </w:rPr>
        <w:t>采购人或采购代理机构依据法律、法规和招标文件的规定，对各投标文件中的资格证明在线进行审查，以确定是否具备投标资格。</w:t>
      </w:r>
      <w:r>
        <w:rPr>
          <w:rFonts w:hint="eastAsia" w:ascii="宋体" w:hAnsi="宋体" w:cs="宋体"/>
          <w:b/>
          <w:color w:val="auto"/>
          <w:sz w:val="22"/>
          <w:highlight w:val="none"/>
        </w:rPr>
        <w:t>▲</w:t>
      </w:r>
      <w:r>
        <w:rPr>
          <w:rFonts w:hint="eastAsia" w:ascii="宋体" w:hAnsi="宋体" w:cs="宋体"/>
          <w:b/>
          <w:color w:val="auto"/>
          <w:sz w:val="22"/>
          <w:highlight w:val="none"/>
          <w:u w:val="single"/>
        </w:rPr>
        <w:t>只要有一项审查不合格，则该投标人的资格审查不合格，审查不合格的投标文件将不予评审。</w:t>
      </w:r>
    </w:p>
    <w:p w14:paraId="214EA5A7">
      <w:pPr>
        <w:spacing w:line="440" w:lineRule="exact"/>
        <w:ind w:left="550" w:hanging="550" w:hangingChars="250"/>
        <w:rPr>
          <w:rFonts w:ascii="宋体" w:hAnsi="宋体" w:cs="宋体"/>
          <w:bCs/>
          <w:color w:val="auto"/>
          <w:sz w:val="22"/>
          <w:highlight w:val="none"/>
        </w:rPr>
      </w:pPr>
      <w:r>
        <w:rPr>
          <w:rFonts w:ascii="宋体" w:hAnsi="宋体" w:cs="宋体"/>
          <w:bCs/>
          <w:color w:val="auto"/>
          <w:sz w:val="22"/>
          <w:highlight w:val="none"/>
        </w:rPr>
        <w:t>4.2</w:t>
      </w:r>
      <w:r>
        <w:rPr>
          <w:rFonts w:hint="eastAsia" w:ascii="宋体" w:hAnsi="宋体" w:cs="宋体"/>
          <w:bCs/>
          <w:color w:val="auto"/>
          <w:sz w:val="22"/>
          <w:highlight w:val="none"/>
        </w:rPr>
        <w:t xml:space="preserve">  符合性审查</w:t>
      </w:r>
    </w:p>
    <w:p w14:paraId="1C40946D">
      <w:pPr>
        <w:spacing w:line="440" w:lineRule="exact"/>
        <w:ind w:left="638" w:leftChars="304"/>
        <w:rPr>
          <w:rFonts w:ascii="宋体" w:hAnsi="宋体" w:cs="宋体"/>
          <w:bCs/>
          <w:color w:val="auto"/>
          <w:sz w:val="22"/>
          <w:highlight w:val="none"/>
        </w:rPr>
      </w:pPr>
      <w:r>
        <w:rPr>
          <w:rFonts w:hint="eastAsia" w:ascii="宋体" w:hAnsi="宋体" w:cs="宋体"/>
          <w:bCs/>
          <w:color w:val="auto"/>
          <w:sz w:val="22"/>
          <w:highlight w:val="none"/>
        </w:rPr>
        <w:t>评标委员会依据法律、法规和招标文件的规定，对投标文件的有效性、完整性和对招标文件的响应程度进行审查，以确定是否符合招标文件的商务、技术等实质性要求。</w:t>
      </w:r>
      <w:r>
        <w:rPr>
          <w:rFonts w:hint="eastAsia" w:ascii="宋体" w:hAnsi="宋体" w:cs="宋体"/>
          <w:b/>
          <w:color w:val="auto"/>
          <w:sz w:val="22"/>
          <w:highlight w:val="none"/>
          <w:u w:val="single"/>
        </w:rPr>
        <w:t>评标委员会决定投标的响应性只根据投标文件本身的内容，而不寻求外部的证据。</w:t>
      </w:r>
    </w:p>
    <w:p w14:paraId="2100AADF">
      <w:pPr>
        <w:spacing w:line="440" w:lineRule="exact"/>
        <w:ind w:left="539" w:hanging="539" w:hangingChars="245"/>
        <w:rPr>
          <w:rFonts w:ascii="宋体" w:hAnsi="宋体" w:cs="宋体"/>
          <w:bCs/>
          <w:color w:val="auto"/>
          <w:sz w:val="22"/>
          <w:highlight w:val="none"/>
        </w:rPr>
      </w:pPr>
      <w:r>
        <w:rPr>
          <w:rFonts w:hint="eastAsia" w:ascii="宋体" w:hAnsi="宋体" w:cs="宋体"/>
          <w:bCs/>
          <w:color w:val="auto"/>
          <w:sz w:val="22"/>
          <w:highlight w:val="none"/>
        </w:rPr>
        <w:t>4</w:t>
      </w:r>
      <w:r>
        <w:rPr>
          <w:rFonts w:ascii="宋体" w:hAnsi="宋体" w:cs="宋体"/>
          <w:bCs/>
          <w:color w:val="auto"/>
          <w:sz w:val="22"/>
          <w:highlight w:val="none"/>
        </w:rPr>
        <w:t xml:space="preserve">.3  </w:t>
      </w:r>
      <w:r>
        <w:rPr>
          <w:rFonts w:hint="eastAsia" w:ascii="宋体" w:hAnsi="宋体" w:cs="宋体"/>
          <w:bCs/>
          <w:color w:val="auto"/>
          <w:sz w:val="22"/>
          <w:highlight w:val="none"/>
        </w:rPr>
        <w:t>投标文件评审</w:t>
      </w:r>
    </w:p>
    <w:p w14:paraId="30FC8C08">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 xml:space="preserve">     评标委员会根据招标文件中规定的评标方法和标准，对符合性审查合格的投标文件进行商务、技术和价格评估，综合比较与评价，并</w:t>
      </w:r>
      <w:r>
        <w:rPr>
          <w:rFonts w:hint="eastAsia" w:ascii="宋体" w:hAnsi="宋体" w:cs="宋体"/>
          <w:color w:val="auto"/>
          <w:sz w:val="22"/>
          <w:highlight w:val="none"/>
        </w:rPr>
        <w:t>按照招标文件中制订的评标方法进行综合评定打分，并提交评审报告。</w:t>
      </w:r>
    </w:p>
    <w:p w14:paraId="4FFA4530">
      <w:pPr>
        <w:tabs>
          <w:tab w:val="left" w:pos="1365"/>
        </w:tabs>
        <w:spacing w:line="440" w:lineRule="exact"/>
        <w:ind w:left="552" w:hanging="552" w:hangingChars="250"/>
        <w:rPr>
          <w:rFonts w:ascii="宋体" w:hAnsi="宋体" w:cs="宋体"/>
          <w:b/>
          <w:color w:val="auto"/>
          <w:sz w:val="22"/>
          <w:highlight w:val="none"/>
        </w:rPr>
      </w:pPr>
      <w:r>
        <w:rPr>
          <w:rFonts w:ascii="宋体" w:hAnsi="宋体" w:cs="宋体"/>
          <w:b/>
          <w:color w:val="auto"/>
          <w:sz w:val="22"/>
          <w:highlight w:val="none"/>
        </w:rPr>
        <w:t>5</w:t>
      </w:r>
      <w:r>
        <w:rPr>
          <w:rFonts w:hint="eastAsia" w:ascii="宋体" w:hAnsi="宋体" w:cs="宋体"/>
          <w:b/>
          <w:color w:val="auto"/>
          <w:sz w:val="22"/>
          <w:highlight w:val="none"/>
        </w:rPr>
        <w:t>.   投标文件的澄清</w:t>
      </w:r>
    </w:p>
    <w:p w14:paraId="4108D580">
      <w:pPr>
        <w:tabs>
          <w:tab w:val="left" w:pos="1365"/>
        </w:tabs>
        <w:spacing w:line="440" w:lineRule="exact"/>
        <w:ind w:left="550" w:hanging="550" w:hangingChars="250"/>
        <w:rPr>
          <w:rFonts w:ascii="宋体" w:hAnsi="宋体" w:cs="宋体"/>
          <w:color w:val="auto"/>
          <w:sz w:val="22"/>
          <w:highlight w:val="none"/>
        </w:rPr>
      </w:pPr>
      <w:r>
        <w:rPr>
          <w:rFonts w:ascii="宋体" w:hAnsi="宋体" w:cs="宋体"/>
          <w:color w:val="auto"/>
          <w:sz w:val="22"/>
          <w:highlight w:val="none"/>
        </w:rPr>
        <w:t>5</w:t>
      </w:r>
      <w:r>
        <w:rPr>
          <w:rFonts w:hint="eastAsia" w:ascii="宋体" w:hAnsi="宋体" w:cs="宋体"/>
          <w:color w:val="auto"/>
          <w:sz w:val="22"/>
          <w:highlight w:val="none"/>
        </w:rPr>
        <w:t>.1  对于投标文件中含义不明确、同类问题表述不一致或者有明显文字和计算错误的内容，评标委员会应当以书面形式要求投标人作出必要的澄清、说明或者补正。</w:t>
      </w:r>
    </w:p>
    <w:p w14:paraId="48BF5D88">
      <w:pPr>
        <w:tabs>
          <w:tab w:val="left" w:pos="1365"/>
        </w:tabs>
        <w:spacing w:line="440" w:lineRule="exact"/>
        <w:ind w:left="550" w:hanging="550" w:hangingChars="250"/>
        <w:rPr>
          <w:rFonts w:ascii="宋体" w:hAnsi="宋体" w:cs="宋体"/>
          <w:color w:val="auto"/>
          <w:sz w:val="22"/>
          <w:highlight w:val="none"/>
        </w:rPr>
      </w:pPr>
      <w:r>
        <w:rPr>
          <w:rFonts w:ascii="宋体" w:hAnsi="宋体" w:cs="宋体"/>
          <w:color w:val="auto"/>
          <w:sz w:val="22"/>
          <w:highlight w:val="none"/>
        </w:rPr>
        <w:t>5</w:t>
      </w:r>
      <w:r>
        <w:rPr>
          <w:rFonts w:hint="eastAsia" w:ascii="宋体" w:hAnsi="宋体" w:cs="宋体"/>
          <w:color w:val="auto"/>
          <w:sz w:val="22"/>
          <w:highlight w:val="none"/>
        </w:rPr>
        <w:t>.2  投标人的澄清、说明或者补正应当采用电子传输形式。</w:t>
      </w:r>
      <w:r>
        <w:rPr>
          <w:rFonts w:hint="eastAsia" w:ascii="宋体" w:hAnsi="宋体" w:cs="宋体"/>
          <w:b/>
          <w:color w:val="auto"/>
          <w:sz w:val="22"/>
          <w:highlight w:val="none"/>
          <w:u w:val="single"/>
        </w:rPr>
        <w:t>投标人的澄清、说明或者补正不得超出投标文件的范围或者改变投标文件的实质性内容。</w:t>
      </w:r>
    </w:p>
    <w:p w14:paraId="2A0E1A7A">
      <w:pPr>
        <w:spacing w:line="440" w:lineRule="exact"/>
        <w:ind w:left="552" w:hanging="552" w:hangingChars="250"/>
        <w:rPr>
          <w:rFonts w:ascii="宋体" w:hAnsi="宋体" w:cs="宋体"/>
          <w:b/>
          <w:bCs/>
          <w:color w:val="auto"/>
          <w:sz w:val="22"/>
          <w:highlight w:val="none"/>
        </w:rPr>
      </w:pPr>
      <w:r>
        <w:rPr>
          <w:rFonts w:hint="eastAsia" w:ascii="宋体" w:hAnsi="宋体" w:cs="宋体"/>
          <w:b/>
          <w:bCs/>
          <w:color w:val="auto"/>
          <w:sz w:val="22"/>
          <w:highlight w:val="none"/>
        </w:rPr>
        <w:t>6.   投标价格修正</w:t>
      </w:r>
    </w:p>
    <w:p w14:paraId="69509448">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 xml:space="preserve">     评标委员会对各投标人的投标报价进行核查，核查时发现投标报价内容不清楚可要求投标人书面澄清，投标文件报价出现前后不一致的，按照下列规定修正：</w:t>
      </w:r>
    </w:p>
    <w:p w14:paraId="1E2E8B0A">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（1）投标文件中投标报价一览表内容与投标分项报价表不一致的，以投标报价一览表为准；</w:t>
      </w:r>
    </w:p>
    <w:p w14:paraId="44396AF3">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（2）大写金额与小写金额不一致的，以大写金额为准；</w:t>
      </w:r>
    </w:p>
    <w:p w14:paraId="3765335D">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（3）单价金额小数点或者百分比有明显错位的，以投标报价一览表的总价为准，并修改单价；</w:t>
      </w:r>
    </w:p>
    <w:p w14:paraId="09FD579B">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（4）总价金额与按单价汇总金额不一致的，以单价金额计算结果为准。</w:t>
      </w:r>
    </w:p>
    <w:p w14:paraId="34B005C7">
      <w:pPr>
        <w:spacing w:line="440" w:lineRule="exact"/>
        <w:ind w:left="550" w:hanging="550" w:hangingChars="250"/>
        <w:rPr>
          <w:rFonts w:ascii="宋体" w:hAnsi="宋体" w:cs="宋体"/>
          <w:b/>
          <w:bCs/>
          <w:color w:val="auto"/>
          <w:sz w:val="22"/>
          <w:highlight w:val="none"/>
          <w:u w:val="single"/>
        </w:rPr>
      </w:pPr>
      <w:r>
        <w:rPr>
          <w:rFonts w:hint="eastAsia" w:ascii="宋体" w:hAnsi="宋体" w:cs="宋体"/>
          <w:bCs/>
          <w:color w:val="auto"/>
          <w:sz w:val="22"/>
          <w:highlight w:val="none"/>
        </w:rPr>
        <w:t>（5）</w:t>
      </w:r>
      <w:r>
        <w:rPr>
          <w:rFonts w:hint="eastAsia" w:ascii="宋体" w:hAnsi="宋体" w:cs="宋体"/>
          <w:b/>
          <w:color w:val="auto"/>
          <w:sz w:val="22"/>
          <w:highlight w:val="none"/>
        </w:rPr>
        <w:t>▲</w:t>
      </w:r>
      <w:r>
        <w:rPr>
          <w:rFonts w:hint="eastAsia" w:ascii="宋体" w:hAnsi="宋体" w:cs="宋体"/>
          <w:b/>
          <w:bCs/>
          <w:color w:val="auto"/>
          <w:sz w:val="22"/>
          <w:highlight w:val="none"/>
          <w:u w:val="single"/>
        </w:rPr>
        <w:t>同时出现两种以上不一致的，按照前款规定的顺序修正。修正后的报价按照第</w:t>
      </w:r>
      <w:r>
        <w:rPr>
          <w:rFonts w:ascii="宋体" w:hAnsi="宋体" w:cs="宋体"/>
          <w:b/>
          <w:bCs/>
          <w:color w:val="auto"/>
          <w:sz w:val="22"/>
          <w:highlight w:val="none"/>
          <w:u w:val="single"/>
        </w:rPr>
        <w:t>5</w:t>
      </w:r>
      <w:r>
        <w:rPr>
          <w:rFonts w:hint="eastAsia" w:ascii="宋体" w:hAnsi="宋体" w:cs="宋体"/>
          <w:b/>
          <w:bCs/>
          <w:color w:val="auto"/>
          <w:sz w:val="22"/>
          <w:highlight w:val="none"/>
          <w:u w:val="single"/>
        </w:rPr>
        <w:t>点的规定经投标人确认后产生约束力，投标人不确认的，其投标无效</w:t>
      </w:r>
      <w:r>
        <w:rPr>
          <w:rFonts w:hint="eastAsia" w:ascii="宋体" w:hAnsi="宋体" w:cs="宋体"/>
          <w:bCs/>
          <w:color w:val="auto"/>
          <w:sz w:val="22"/>
          <w:highlight w:val="none"/>
        </w:rPr>
        <w:t>。</w:t>
      </w:r>
    </w:p>
    <w:p w14:paraId="5E6B0E56">
      <w:pPr>
        <w:spacing w:line="440" w:lineRule="exact"/>
        <w:ind w:left="541" w:hanging="541" w:hangingChars="245"/>
        <w:rPr>
          <w:rFonts w:ascii="宋体" w:hAnsi="宋体" w:cs="宋体"/>
          <w:bCs/>
          <w:color w:val="auto"/>
          <w:sz w:val="22"/>
          <w:highlight w:val="none"/>
        </w:rPr>
      </w:pPr>
      <w:r>
        <w:rPr>
          <w:rFonts w:hint="eastAsia" w:ascii="宋体" w:hAnsi="宋体" w:cs="宋体"/>
          <w:b/>
          <w:color w:val="auto"/>
          <w:sz w:val="22"/>
          <w:highlight w:val="none"/>
        </w:rPr>
        <w:t>7. ▲</w:t>
      </w:r>
      <w:r>
        <w:rPr>
          <w:rFonts w:hint="eastAsia" w:ascii="宋体" w:hAnsi="宋体" w:cs="宋体"/>
          <w:b/>
          <w:bCs/>
          <w:color w:val="auto"/>
          <w:sz w:val="22"/>
          <w:highlight w:val="none"/>
          <w:u w:val="single"/>
        </w:rPr>
        <w:t>评标委员会认定投标人存在下列情况之一的，投标无效</w:t>
      </w:r>
      <w:r>
        <w:rPr>
          <w:rFonts w:hint="eastAsia" w:ascii="宋体" w:hAnsi="宋体" w:cs="宋体"/>
          <w:b/>
          <w:bCs/>
          <w:color w:val="auto"/>
          <w:sz w:val="22"/>
          <w:highlight w:val="none"/>
        </w:rPr>
        <w:t>：</w:t>
      </w:r>
    </w:p>
    <w:p w14:paraId="1F255C7B">
      <w:pPr>
        <w:spacing w:line="440" w:lineRule="exact"/>
        <w:ind w:left="550" w:hanging="550" w:hangingChars="250"/>
        <w:rPr>
          <w:rFonts w:ascii="宋体" w:hAnsi="宋体" w:cs="宋体"/>
          <w:bCs/>
          <w:color w:val="auto"/>
          <w:sz w:val="22"/>
          <w:highlight w:val="none"/>
        </w:rPr>
      </w:pPr>
      <w:r>
        <w:rPr>
          <w:rFonts w:hint="eastAsia" w:ascii="宋体" w:hAnsi="宋体" w:cs="宋体"/>
          <w:bCs/>
          <w:color w:val="auto"/>
          <w:sz w:val="22"/>
          <w:highlight w:val="none"/>
        </w:rPr>
        <w:t>（</w:t>
      </w:r>
      <w:r>
        <w:rPr>
          <w:rFonts w:ascii="宋体" w:hAnsi="宋体" w:cs="宋体"/>
          <w:bCs/>
          <w:color w:val="auto"/>
          <w:sz w:val="22"/>
          <w:highlight w:val="none"/>
        </w:rPr>
        <w:t>1</w:t>
      </w:r>
      <w:r>
        <w:rPr>
          <w:rFonts w:hint="eastAsia" w:ascii="宋体" w:hAnsi="宋体" w:cs="宋体"/>
          <w:bCs/>
          <w:color w:val="auto"/>
          <w:sz w:val="22"/>
          <w:highlight w:val="none"/>
        </w:rPr>
        <w:t>）</w:t>
      </w:r>
      <w:r>
        <w:rPr>
          <w:rFonts w:hint="eastAsia" w:ascii="宋体" w:hAnsi="宋体" w:cs="宋体"/>
          <w:bCs/>
          <w:color w:val="auto"/>
          <w:sz w:val="22"/>
          <w:highlight w:val="none"/>
          <w:u w:val="single"/>
        </w:rPr>
        <w:t>投标文件未按招标文件要求签署、盖章的</w:t>
      </w:r>
      <w:r>
        <w:rPr>
          <w:rFonts w:hint="eastAsia" w:ascii="宋体" w:hAnsi="宋体" w:cs="宋体"/>
          <w:bCs/>
          <w:color w:val="auto"/>
          <w:sz w:val="22"/>
          <w:highlight w:val="none"/>
        </w:rPr>
        <w:t>；</w:t>
      </w:r>
    </w:p>
    <w:p w14:paraId="70A51A20">
      <w:pPr>
        <w:spacing w:line="440" w:lineRule="exact"/>
        <w:rPr>
          <w:rFonts w:ascii="宋体" w:hAnsi="宋体" w:cs="宋体"/>
          <w:bCs/>
          <w:color w:val="auto"/>
          <w:sz w:val="22"/>
          <w:highlight w:val="none"/>
        </w:rPr>
      </w:pPr>
      <w:r>
        <w:rPr>
          <w:rFonts w:hint="eastAsia" w:ascii="宋体" w:hAnsi="宋体" w:cs="宋体"/>
          <w:bCs/>
          <w:color w:val="auto"/>
          <w:sz w:val="22"/>
          <w:highlight w:val="none"/>
        </w:rPr>
        <w:t>（</w:t>
      </w:r>
      <w:r>
        <w:rPr>
          <w:rFonts w:ascii="宋体" w:hAnsi="宋体" w:cs="宋体"/>
          <w:bCs/>
          <w:color w:val="auto"/>
          <w:sz w:val="22"/>
          <w:highlight w:val="none"/>
        </w:rPr>
        <w:t>2</w:t>
      </w:r>
      <w:r>
        <w:rPr>
          <w:rFonts w:hint="eastAsia" w:ascii="宋体" w:hAnsi="宋体" w:cs="宋体"/>
          <w:bCs/>
          <w:color w:val="auto"/>
          <w:sz w:val="22"/>
          <w:highlight w:val="none"/>
        </w:rPr>
        <w:t>）</w:t>
      </w:r>
      <w:r>
        <w:rPr>
          <w:rFonts w:hint="eastAsia" w:ascii="宋体" w:hAnsi="宋体" w:cs="宋体"/>
          <w:color w:val="auto"/>
          <w:sz w:val="22"/>
          <w:highlight w:val="none"/>
          <w:u w:val="single"/>
        </w:rPr>
        <w:t>明显不符合招标文件规定的技术规格、技术标准要求或不满足主要技术参数的</w:t>
      </w:r>
      <w:r>
        <w:rPr>
          <w:rFonts w:hint="eastAsia" w:ascii="宋体" w:hAnsi="宋体" w:cs="宋体"/>
          <w:color w:val="auto"/>
          <w:sz w:val="22"/>
          <w:highlight w:val="none"/>
        </w:rPr>
        <w:t>；</w:t>
      </w:r>
    </w:p>
    <w:p w14:paraId="319AD5B5">
      <w:pPr>
        <w:spacing w:line="440" w:lineRule="exact"/>
        <w:rPr>
          <w:rFonts w:ascii="宋体" w:hAnsi="宋体" w:cs="宋体"/>
          <w:bCs/>
          <w:color w:val="auto"/>
          <w:sz w:val="22"/>
          <w:highlight w:val="none"/>
        </w:rPr>
      </w:pPr>
      <w:r>
        <w:rPr>
          <w:rFonts w:hint="eastAsia" w:ascii="宋体" w:hAnsi="宋体" w:cs="宋体"/>
          <w:bCs/>
          <w:color w:val="auto"/>
          <w:sz w:val="22"/>
          <w:highlight w:val="none"/>
        </w:rPr>
        <w:t>（</w:t>
      </w:r>
      <w:r>
        <w:rPr>
          <w:rFonts w:ascii="宋体" w:hAnsi="宋体" w:cs="宋体"/>
          <w:bCs/>
          <w:color w:val="auto"/>
          <w:sz w:val="22"/>
          <w:highlight w:val="none"/>
        </w:rPr>
        <w:t>3</w:t>
      </w:r>
      <w:r>
        <w:rPr>
          <w:rFonts w:hint="eastAsia" w:ascii="宋体" w:hAnsi="宋体" w:cs="宋体"/>
          <w:bCs/>
          <w:color w:val="auto"/>
          <w:sz w:val="22"/>
          <w:highlight w:val="none"/>
        </w:rPr>
        <w:t>）</w:t>
      </w:r>
      <w:r>
        <w:rPr>
          <w:rFonts w:hint="eastAsia" w:ascii="宋体" w:hAnsi="宋体" w:cs="宋体"/>
          <w:color w:val="auto"/>
          <w:sz w:val="22"/>
          <w:highlight w:val="none"/>
          <w:u w:val="single"/>
        </w:rPr>
        <w:t>投标文件含有采购人不能接受的附加条件的</w:t>
      </w:r>
      <w:r>
        <w:rPr>
          <w:rFonts w:hint="eastAsia" w:ascii="宋体" w:hAnsi="宋体" w:cs="宋体"/>
          <w:color w:val="auto"/>
          <w:sz w:val="22"/>
          <w:highlight w:val="none"/>
        </w:rPr>
        <w:t>；</w:t>
      </w:r>
    </w:p>
    <w:p w14:paraId="43B7703E">
      <w:pPr>
        <w:spacing w:line="440" w:lineRule="exact"/>
        <w:rPr>
          <w:rFonts w:ascii="宋体" w:hAnsi="宋体" w:cs="宋体"/>
          <w:color w:val="auto"/>
          <w:sz w:val="22"/>
          <w:highlight w:val="none"/>
        </w:rPr>
      </w:pPr>
      <w:r>
        <w:rPr>
          <w:rFonts w:hint="eastAsia" w:ascii="宋体" w:hAnsi="宋体" w:cs="宋体"/>
          <w:color w:val="auto"/>
          <w:sz w:val="22"/>
          <w:highlight w:val="none"/>
        </w:rPr>
        <w:t>（</w:t>
      </w:r>
      <w:r>
        <w:rPr>
          <w:rFonts w:ascii="宋体" w:hAnsi="宋体" w:cs="宋体"/>
          <w:color w:val="auto"/>
          <w:sz w:val="22"/>
          <w:highlight w:val="none"/>
        </w:rPr>
        <w:t>4</w:t>
      </w:r>
      <w:r>
        <w:rPr>
          <w:rFonts w:hint="eastAsia" w:ascii="宋体" w:hAnsi="宋体" w:cs="宋体"/>
          <w:color w:val="auto"/>
          <w:sz w:val="22"/>
          <w:highlight w:val="none"/>
        </w:rPr>
        <w:t>）</w:t>
      </w:r>
      <w:r>
        <w:rPr>
          <w:rFonts w:hint="eastAsia" w:ascii="宋体" w:hAnsi="宋体" w:cs="宋体"/>
          <w:color w:val="auto"/>
          <w:sz w:val="22"/>
          <w:highlight w:val="none"/>
          <w:u w:val="single"/>
        </w:rPr>
        <w:t>投标报价超过招标文件中规定的预算金额或者最高限价的</w:t>
      </w:r>
      <w:r>
        <w:rPr>
          <w:rFonts w:hint="eastAsia" w:ascii="宋体" w:hAnsi="宋体" w:cs="宋体"/>
          <w:color w:val="auto"/>
          <w:sz w:val="22"/>
          <w:highlight w:val="none"/>
        </w:rPr>
        <w:t>；</w:t>
      </w:r>
    </w:p>
    <w:p w14:paraId="2751CFBE">
      <w:pPr>
        <w:spacing w:line="440" w:lineRule="exact"/>
        <w:rPr>
          <w:rFonts w:ascii="宋体" w:hAnsi="宋体" w:cs="宋体"/>
          <w:bCs/>
          <w:color w:val="auto"/>
          <w:sz w:val="22"/>
          <w:highlight w:val="none"/>
        </w:rPr>
      </w:pPr>
      <w:r>
        <w:rPr>
          <w:rFonts w:hint="eastAsia" w:ascii="宋体" w:hAnsi="宋体" w:cs="宋体"/>
          <w:color w:val="auto"/>
          <w:sz w:val="22"/>
          <w:highlight w:val="none"/>
        </w:rPr>
        <w:t>（</w:t>
      </w:r>
      <w:r>
        <w:rPr>
          <w:rFonts w:ascii="宋体" w:hAnsi="宋体" w:cs="宋体"/>
          <w:color w:val="auto"/>
          <w:sz w:val="22"/>
          <w:highlight w:val="none"/>
        </w:rPr>
        <w:t>5</w:t>
      </w:r>
      <w:r>
        <w:rPr>
          <w:rFonts w:hint="eastAsia" w:ascii="宋体" w:hAnsi="宋体" w:cs="宋体"/>
          <w:color w:val="auto"/>
          <w:sz w:val="22"/>
          <w:highlight w:val="none"/>
        </w:rPr>
        <w:t>）</w:t>
      </w:r>
      <w:r>
        <w:rPr>
          <w:rFonts w:hint="eastAsia" w:ascii="宋体" w:hAnsi="宋体" w:cs="宋体"/>
          <w:color w:val="auto"/>
          <w:sz w:val="22"/>
          <w:highlight w:val="none"/>
          <w:u w:val="single"/>
        </w:rPr>
        <w:t>资信响应文件或商务技术响应文件中出现投标报价的</w:t>
      </w:r>
      <w:r>
        <w:rPr>
          <w:rFonts w:hint="eastAsia" w:ascii="宋体" w:hAnsi="宋体" w:cs="宋体"/>
          <w:color w:val="auto"/>
          <w:sz w:val="22"/>
          <w:highlight w:val="none"/>
        </w:rPr>
        <w:t>；</w:t>
      </w:r>
    </w:p>
    <w:p w14:paraId="02F506A3">
      <w:pPr>
        <w:spacing w:line="440" w:lineRule="exact"/>
        <w:rPr>
          <w:rFonts w:ascii="宋体" w:hAnsi="宋体" w:cs="宋体"/>
          <w:color w:val="auto"/>
          <w:sz w:val="22"/>
          <w:highlight w:val="none"/>
        </w:rPr>
      </w:pPr>
      <w:r>
        <w:rPr>
          <w:rFonts w:hint="eastAsia" w:ascii="宋体" w:hAnsi="宋体" w:cs="宋体"/>
          <w:bCs/>
          <w:color w:val="auto"/>
          <w:sz w:val="22"/>
          <w:highlight w:val="none"/>
        </w:rPr>
        <w:t>（</w:t>
      </w:r>
      <w:r>
        <w:rPr>
          <w:rFonts w:ascii="宋体" w:hAnsi="宋体" w:cs="宋体"/>
          <w:bCs/>
          <w:color w:val="auto"/>
          <w:sz w:val="22"/>
          <w:highlight w:val="none"/>
        </w:rPr>
        <w:t>6</w:t>
      </w:r>
      <w:r>
        <w:rPr>
          <w:rFonts w:hint="eastAsia" w:ascii="宋体" w:hAnsi="宋体" w:cs="宋体"/>
          <w:bCs/>
          <w:color w:val="auto"/>
          <w:sz w:val="22"/>
          <w:highlight w:val="none"/>
        </w:rPr>
        <w:t>）</w:t>
      </w:r>
      <w:r>
        <w:rPr>
          <w:rFonts w:hint="eastAsia" w:ascii="宋体" w:hAnsi="宋体" w:cs="宋体"/>
          <w:bCs/>
          <w:color w:val="auto"/>
          <w:sz w:val="22"/>
          <w:highlight w:val="none"/>
          <w:u w:val="single"/>
        </w:rPr>
        <w:t>投标文件</w:t>
      </w:r>
      <w:r>
        <w:rPr>
          <w:rFonts w:hint="eastAsia" w:ascii="宋体" w:hAnsi="宋体" w:cs="宋体"/>
          <w:color w:val="auto"/>
          <w:sz w:val="22"/>
          <w:highlight w:val="none"/>
          <w:u w:val="single"/>
        </w:rPr>
        <w:t>内容不全或关键字迹模糊无法辨认或未做好节点关联导致关键内容缺失的</w:t>
      </w:r>
      <w:r>
        <w:rPr>
          <w:rFonts w:hint="eastAsia" w:ascii="宋体" w:hAnsi="宋体" w:cs="宋体"/>
          <w:color w:val="auto"/>
          <w:sz w:val="22"/>
          <w:highlight w:val="none"/>
        </w:rPr>
        <w:t>；</w:t>
      </w:r>
    </w:p>
    <w:p w14:paraId="48E1A491">
      <w:pPr>
        <w:spacing w:line="440" w:lineRule="exact"/>
        <w:rPr>
          <w:rFonts w:ascii="宋体" w:hAnsi="宋体" w:cs="宋体"/>
          <w:color w:val="auto"/>
          <w:sz w:val="22"/>
          <w:highlight w:val="none"/>
          <w:u w:val="single"/>
        </w:rPr>
      </w:pPr>
      <w:r>
        <w:rPr>
          <w:rFonts w:hint="eastAsia" w:ascii="宋体" w:hAnsi="宋体" w:cs="宋体"/>
          <w:color w:val="auto"/>
          <w:sz w:val="22"/>
          <w:highlight w:val="none"/>
        </w:rPr>
        <w:t>（7）</w:t>
      </w:r>
      <w:r>
        <w:rPr>
          <w:rFonts w:hint="eastAsia" w:ascii="宋体" w:hAnsi="宋体" w:cs="宋体"/>
          <w:color w:val="auto"/>
          <w:sz w:val="22"/>
          <w:highlight w:val="none"/>
          <w:u w:val="single"/>
        </w:rPr>
        <w:t>仅提交备份投标文件的；</w:t>
      </w:r>
    </w:p>
    <w:p w14:paraId="08B89AE5">
      <w:pPr>
        <w:spacing w:line="440" w:lineRule="exact"/>
        <w:rPr>
          <w:rFonts w:ascii="宋体" w:hAnsi="宋体" w:cs="宋体"/>
          <w:color w:val="auto"/>
          <w:sz w:val="22"/>
          <w:highlight w:val="none"/>
        </w:rPr>
      </w:pPr>
      <w:r>
        <w:rPr>
          <w:rFonts w:hint="eastAsia" w:ascii="宋体" w:hAnsi="宋体" w:cs="宋体"/>
          <w:bCs/>
          <w:color w:val="auto"/>
          <w:sz w:val="22"/>
          <w:highlight w:val="none"/>
        </w:rPr>
        <w:t>（</w:t>
      </w:r>
      <w:r>
        <w:rPr>
          <w:rFonts w:ascii="宋体" w:hAnsi="宋体" w:cs="宋体"/>
          <w:bCs/>
          <w:color w:val="auto"/>
          <w:sz w:val="22"/>
          <w:highlight w:val="none"/>
        </w:rPr>
        <w:t>8</w:t>
      </w:r>
      <w:r>
        <w:rPr>
          <w:rFonts w:hint="eastAsia" w:ascii="宋体" w:hAnsi="宋体" w:cs="宋体"/>
          <w:bCs/>
          <w:color w:val="auto"/>
          <w:sz w:val="22"/>
          <w:highlight w:val="none"/>
        </w:rPr>
        <w:t>）</w:t>
      </w:r>
      <w:r>
        <w:rPr>
          <w:rFonts w:hint="eastAsia" w:ascii="宋体" w:hAnsi="宋体" w:cs="宋体"/>
          <w:color w:val="auto"/>
          <w:sz w:val="22"/>
          <w:highlight w:val="none"/>
          <w:u w:val="single"/>
        </w:rPr>
        <w:t>法律、法规和招标文件中规定的其它无效情形</w:t>
      </w:r>
      <w:r>
        <w:rPr>
          <w:rFonts w:hint="eastAsia" w:ascii="宋体" w:hAnsi="宋体" w:cs="宋体"/>
          <w:color w:val="auto"/>
          <w:sz w:val="22"/>
          <w:highlight w:val="none"/>
        </w:rPr>
        <w:t>。</w:t>
      </w:r>
    </w:p>
    <w:p w14:paraId="61C3214B">
      <w:pPr>
        <w:tabs>
          <w:tab w:val="left" w:pos="1365"/>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8.   评标过程中遇到特殊情况，由评标委员会遵循公开、公正原则，采取投票方式按照少数服从多数原则决定。</w:t>
      </w:r>
    </w:p>
    <w:p w14:paraId="36A9C067">
      <w:pPr>
        <w:tabs>
          <w:tab w:val="left" w:pos="1365"/>
        </w:tabs>
        <w:spacing w:line="440" w:lineRule="exact"/>
        <w:ind w:left="440" w:hanging="440" w:hangingChars="200"/>
        <w:rPr>
          <w:rFonts w:ascii="宋体" w:hAnsi="宋体" w:cs="宋体"/>
          <w:color w:val="auto"/>
          <w:sz w:val="22"/>
          <w:highlight w:val="none"/>
        </w:rPr>
      </w:pPr>
      <w:r>
        <w:rPr>
          <w:rFonts w:hint="eastAsia" w:ascii="宋体" w:hAnsi="宋体" w:cs="宋体"/>
          <w:color w:val="auto"/>
          <w:sz w:val="22"/>
          <w:highlight w:val="none"/>
        </w:rPr>
        <w:t>9.   优化评审管理</w:t>
      </w:r>
    </w:p>
    <w:p w14:paraId="42326DCD">
      <w:pPr>
        <w:tabs>
          <w:tab w:val="left" w:pos="1365"/>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9.1  根据浙财采监〔2022〕8号文相关的规定，评审小组成员个人主观打分偏离所有评审小组成员主观打分平均值30%以上的，由评审委员会启动评分畸高、畸低行为认定程序。</w:t>
      </w:r>
    </w:p>
    <w:p w14:paraId="5F611C77">
      <w:pPr>
        <w:tabs>
          <w:tab w:val="left" w:pos="1365"/>
        </w:tabs>
        <w:spacing w:line="440" w:lineRule="exact"/>
        <w:ind w:left="440" w:hanging="440" w:hangingChars="200"/>
        <w:rPr>
          <w:rFonts w:ascii="宋体" w:hAnsi="宋体" w:cs="宋体"/>
          <w:color w:val="auto"/>
          <w:sz w:val="22"/>
          <w:highlight w:val="none"/>
        </w:rPr>
      </w:pPr>
      <w:r>
        <w:rPr>
          <w:rFonts w:hint="eastAsia" w:ascii="宋体" w:hAnsi="宋体" w:cs="宋体"/>
          <w:color w:val="auto"/>
          <w:sz w:val="22"/>
          <w:highlight w:val="none"/>
        </w:rPr>
        <w:t>10． 推荐中标候选人</w:t>
      </w:r>
    </w:p>
    <w:p w14:paraId="3309BB03">
      <w:pPr>
        <w:tabs>
          <w:tab w:val="left" w:pos="1365"/>
        </w:tabs>
        <w:spacing w:line="440" w:lineRule="exact"/>
        <w:ind w:left="440" w:hanging="440" w:hangingChars="200"/>
        <w:rPr>
          <w:rFonts w:ascii="宋体" w:hAnsi="宋体" w:cs="宋体"/>
          <w:color w:val="auto"/>
          <w:sz w:val="22"/>
          <w:highlight w:val="none"/>
        </w:rPr>
      </w:pPr>
      <w:r>
        <w:rPr>
          <w:rFonts w:hint="eastAsia" w:ascii="宋体" w:hAnsi="宋体" w:cs="宋体"/>
          <w:color w:val="auto"/>
          <w:sz w:val="22"/>
          <w:highlight w:val="none"/>
        </w:rPr>
        <w:t>10.1 本次招标由评标委员会推</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名中标候选人。</w:t>
      </w:r>
    </w:p>
    <w:p w14:paraId="45FAE2FF">
      <w:pPr>
        <w:tabs>
          <w:tab w:val="left" w:pos="1365"/>
        </w:tabs>
        <w:spacing w:line="440" w:lineRule="exact"/>
        <w:ind w:left="550" w:hanging="550" w:hangingChars="250"/>
        <w:rPr>
          <w:rFonts w:hint="eastAsia" w:ascii="宋体" w:hAnsi="宋体" w:cs="宋体"/>
          <w:color w:val="auto"/>
          <w:sz w:val="22"/>
          <w:highlight w:val="none"/>
        </w:rPr>
      </w:pPr>
      <w:r>
        <w:rPr>
          <w:rFonts w:hint="eastAsia" w:ascii="宋体" w:hAnsi="宋体" w:cs="宋体"/>
          <w:color w:val="auto"/>
          <w:sz w:val="22"/>
          <w:highlight w:val="none"/>
        </w:rPr>
        <w:t>10.2 评标委员会依据投标文件满足招标文件全部实质性要求，且按照评审因素的量化指标评审得分（即技术资信分与价格分之和）由高到低顺序排序，得分前</w:t>
      </w:r>
      <w:r>
        <w:rPr>
          <w:rFonts w:hint="eastAsia" w:ascii="宋体" w:hAnsi="宋体" w:cs="宋体"/>
          <w:color w:val="auto"/>
          <w:sz w:val="22"/>
          <w:highlight w:val="none"/>
          <w:lang w:val="en-US" w:eastAsia="zh-CN"/>
        </w:rPr>
        <w:t>二</w:t>
      </w:r>
      <w:r>
        <w:rPr>
          <w:rFonts w:hint="eastAsia" w:ascii="宋体" w:hAnsi="宋体" w:cs="宋体"/>
          <w:color w:val="auto"/>
          <w:sz w:val="22"/>
          <w:highlight w:val="none"/>
        </w:rPr>
        <w:t>名的投标人推荐为该项目的第一一和第二中标候选人（得分相</w:t>
      </w:r>
      <w:r>
        <w:rPr>
          <w:rFonts w:hint="eastAsia" w:ascii="宋体" w:hAnsi="宋体" w:cs="宋体"/>
          <w:color w:val="auto"/>
          <w:sz w:val="22"/>
          <w:highlight w:val="none"/>
          <w:lang w:val="en-US" w:eastAsia="zh-CN"/>
        </w:rPr>
        <w:tab/>
      </w:r>
      <w:r>
        <w:rPr>
          <w:rFonts w:hint="eastAsia" w:ascii="宋体" w:hAnsi="宋体" w:cs="宋体"/>
          <w:color w:val="auto"/>
          <w:sz w:val="22"/>
          <w:highlight w:val="none"/>
        </w:rPr>
        <w:t>同的，按投标报价由低到高排序；得分且投标报价相同的并列）。</w:t>
      </w:r>
    </w:p>
    <w:p w14:paraId="40A00575">
      <w:pPr>
        <w:pStyle w:val="15"/>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kern w:val="2"/>
          <w:sz w:val="22"/>
          <w:szCs w:val="24"/>
          <w:highlight w:val="none"/>
          <w:lang w:val="en-US" w:eastAsia="zh-CN" w:bidi="ar-SA"/>
        </w:rPr>
      </w:pPr>
      <w:r>
        <w:rPr>
          <w:rFonts w:hint="eastAsia" w:ascii="宋体" w:hAnsi="宋体" w:cs="宋体"/>
          <w:color w:val="auto"/>
          <w:sz w:val="22"/>
          <w:highlight w:val="none"/>
        </w:rPr>
        <w:t>10.</w:t>
      </w:r>
      <w:r>
        <w:rPr>
          <w:rFonts w:hint="eastAsia" w:ascii="宋体" w:hAnsi="宋体" w:cs="宋体"/>
          <w:color w:val="auto"/>
          <w:sz w:val="22"/>
          <w:highlight w:val="none"/>
          <w:lang w:val="en-US" w:eastAsia="zh-CN"/>
        </w:rPr>
        <w:t>3</w:t>
      </w:r>
      <w:r>
        <w:rPr>
          <w:rFonts w:hint="eastAsia" w:ascii="宋体" w:hAnsi="宋体" w:cs="宋体"/>
          <w:color w:val="auto"/>
          <w:sz w:val="22"/>
          <w:highlight w:val="none"/>
        </w:rPr>
        <w:t xml:space="preserve"> </w:t>
      </w:r>
      <w:r>
        <w:rPr>
          <w:rFonts w:hint="eastAsia" w:ascii="宋体" w:hAnsi="宋体" w:eastAsia="宋体" w:cs="宋体"/>
          <w:color w:val="auto"/>
          <w:kern w:val="2"/>
          <w:sz w:val="22"/>
          <w:szCs w:val="24"/>
          <w:highlight w:val="none"/>
          <w:lang w:val="en-US" w:eastAsia="zh-CN" w:bidi="ar-SA"/>
        </w:rPr>
        <w:t xml:space="preserve"> 排名第一的中标</w:t>
      </w:r>
      <w:r>
        <w:rPr>
          <w:rFonts w:hint="eastAsia" w:ascii="宋体" w:hAnsi="宋体" w:cs="宋体"/>
          <w:color w:val="auto"/>
          <w:kern w:val="2"/>
          <w:sz w:val="22"/>
          <w:szCs w:val="24"/>
          <w:highlight w:val="none"/>
          <w:lang w:val="en-US" w:eastAsia="zh-CN" w:bidi="ar-SA"/>
        </w:rPr>
        <w:t>候选人</w:t>
      </w:r>
      <w:r>
        <w:rPr>
          <w:rFonts w:hint="eastAsia" w:ascii="宋体" w:hAnsi="宋体" w:eastAsia="宋体" w:cs="宋体"/>
          <w:color w:val="auto"/>
          <w:kern w:val="2"/>
          <w:sz w:val="22"/>
          <w:szCs w:val="24"/>
          <w:highlight w:val="none"/>
          <w:lang w:val="en-US" w:eastAsia="zh-CN" w:bidi="ar-SA"/>
        </w:rPr>
        <w:t>放弃中标；因不可抗力或自身原因提出不能履行合同；或者招标文件规定或合同约定应当提交履约保证金而在规定的期限内未能提交的；或未能在规定时间内与采购人签订合同的；或在规定时间内借故否认已经承诺的条件而拒签合同的；或已签合同却拒绝按合同约定履约的；或者因排名第一的</w:t>
      </w:r>
      <w:r>
        <w:rPr>
          <w:rFonts w:hint="eastAsia" w:ascii="宋体" w:hAnsi="宋体" w:cs="宋体"/>
          <w:color w:val="auto"/>
          <w:kern w:val="2"/>
          <w:sz w:val="22"/>
          <w:szCs w:val="24"/>
          <w:highlight w:val="none"/>
          <w:lang w:val="en-US" w:eastAsia="zh-CN" w:bidi="ar-SA"/>
        </w:rPr>
        <w:t>候选人</w:t>
      </w:r>
      <w:r>
        <w:rPr>
          <w:rFonts w:hint="eastAsia" w:ascii="宋体" w:hAnsi="宋体" w:eastAsia="宋体" w:cs="宋体"/>
          <w:color w:val="auto"/>
          <w:kern w:val="2"/>
          <w:sz w:val="22"/>
          <w:szCs w:val="24"/>
          <w:highlight w:val="none"/>
          <w:lang w:val="en-US" w:eastAsia="zh-CN" w:bidi="ar-SA"/>
        </w:rPr>
        <w:t>在本次采购活动中存在违法违规行为或其他原因被取消中标资格的，采购人可确定由排名第二的</w:t>
      </w:r>
      <w:r>
        <w:rPr>
          <w:rFonts w:hint="eastAsia" w:ascii="宋体" w:hAnsi="宋体" w:cs="宋体"/>
          <w:color w:val="auto"/>
          <w:kern w:val="2"/>
          <w:sz w:val="22"/>
          <w:szCs w:val="24"/>
          <w:highlight w:val="none"/>
          <w:lang w:val="en-US" w:eastAsia="zh-CN" w:bidi="ar-SA"/>
        </w:rPr>
        <w:t>候选人</w:t>
      </w:r>
      <w:r>
        <w:rPr>
          <w:rFonts w:hint="eastAsia" w:ascii="宋体" w:hAnsi="宋体" w:eastAsia="宋体" w:cs="宋体"/>
          <w:color w:val="auto"/>
          <w:kern w:val="2"/>
          <w:sz w:val="22"/>
          <w:szCs w:val="24"/>
          <w:highlight w:val="none"/>
          <w:lang w:val="en-US" w:eastAsia="zh-CN" w:bidi="ar-SA"/>
        </w:rPr>
        <w:t>为中标供应商，也可以重新开展政府采购活动。</w:t>
      </w:r>
    </w:p>
    <w:p w14:paraId="4897B6E0">
      <w:pPr>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11.  投标截止时间止及评审期间，如出现有效投标人＜3家时，本项目废标，并重新组织招标。</w:t>
      </w:r>
    </w:p>
    <w:p w14:paraId="53D49279">
      <w:pPr>
        <w:spacing w:line="440" w:lineRule="exact"/>
        <w:rPr>
          <w:rFonts w:ascii="宋体" w:hAnsi="宋体" w:cs="宋体"/>
          <w:b/>
          <w:color w:val="auto"/>
          <w:sz w:val="22"/>
          <w:highlight w:val="none"/>
        </w:rPr>
      </w:pPr>
      <w:r>
        <w:rPr>
          <w:rFonts w:hint="eastAsia" w:ascii="宋体" w:hAnsi="宋体" w:cs="宋体"/>
          <w:b/>
          <w:color w:val="auto"/>
          <w:sz w:val="22"/>
          <w:highlight w:val="none"/>
        </w:rPr>
        <w:t>12.  评标细则详见第六部分“评标原则及方法”。</w:t>
      </w:r>
    </w:p>
    <w:p w14:paraId="4913F067">
      <w:pPr>
        <w:spacing w:line="440" w:lineRule="exact"/>
        <w:rPr>
          <w:rFonts w:ascii="宋体" w:hAnsi="宋体" w:cs="宋体"/>
          <w:b/>
          <w:color w:val="auto"/>
          <w:sz w:val="22"/>
          <w:highlight w:val="none"/>
        </w:rPr>
      </w:pPr>
      <w:r>
        <w:rPr>
          <w:rFonts w:hint="eastAsia" w:ascii="宋体" w:hAnsi="宋体" w:cs="宋体"/>
          <w:b/>
          <w:color w:val="auto"/>
          <w:sz w:val="22"/>
          <w:highlight w:val="none"/>
        </w:rPr>
        <w:t>13.  未尽事宜遵循相关法律法规及规范性文件执行。</w:t>
      </w:r>
    </w:p>
    <w:p w14:paraId="5C4158EA">
      <w:pPr>
        <w:pStyle w:val="13"/>
        <w:spacing w:line="460" w:lineRule="exact"/>
        <w:jc w:val="center"/>
        <w:outlineLvl w:val="1"/>
        <w:rPr>
          <w:rFonts w:hint="eastAsia" w:ascii="宋体" w:hAnsi="宋体" w:cs="宋体"/>
          <w:b/>
          <w:bCs/>
          <w:color w:val="auto"/>
          <w:sz w:val="22"/>
          <w:szCs w:val="22"/>
          <w:highlight w:val="none"/>
        </w:rPr>
      </w:pPr>
      <w:bookmarkStart w:id="54" w:name="_Toc11549"/>
      <w:r>
        <w:rPr>
          <w:rFonts w:hint="eastAsia" w:ascii="宋体" w:hAnsi="宋体" w:cs="宋体"/>
          <w:b/>
          <w:bCs/>
          <w:color w:val="auto"/>
          <w:sz w:val="22"/>
          <w:szCs w:val="22"/>
          <w:highlight w:val="none"/>
        </w:rPr>
        <w:t>六、授予合同</w:t>
      </w:r>
      <w:bookmarkEnd w:id="48"/>
      <w:bookmarkEnd w:id="49"/>
      <w:bookmarkEnd w:id="50"/>
      <w:bookmarkEnd w:id="51"/>
      <w:bookmarkEnd w:id="52"/>
      <w:bookmarkEnd w:id="53"/>
      <w:bookmarkEnd w:id="54"/>
    </w:p>
    <w:p w14:paraId="499C382E">
      <w:pPr>
        <w:tabs>
          <w:tab w:val="left" w:pos="1365"/>
        </w:tabs>
        <w:spacing w:line="440" w:lineRule="exact"/>
        <w:ind w:left="552" w:hanging="552" w:hangingChars="250"/>
        <w:rPr>
          <w:rFonts w:ascii="宋体" w:hAnsi="宋体" w:cs="宋体"/>
          <w:b/>
          <w:color w:val="auto"/>
          <w:sz w:val="22"/>
          <w:highlight w:val="none"/>
        </w:rPr>
      </w:pPr>
      <w:bookmarkStart w:id="55" w:name="_Toc102115986"/>
      <w:bookmarkStart w:id="56" w:name="_Toc95395551"/>
      <w:bookmarkStart w:id="57" w:name="_Toc99389644"/>
      <w:bookmarkStart w:id="58" w:name="_Toc17832"/>
      <w:r>
        <w:rPr>
          <w:rFonts w:hint="eastAsia" w:ascii="宋体" w:hAnsi="宋体" w:cs="宋体"/>
          <w:b/>
          <w:color w:val="auto"/>
          <w:sz w:val="22"/>
          <w:highlight w:val="none"/>
        </w:rPr>
        <w:t>1.   确定中标人</w:t>
      </w:r>
    </w:p>
    <w:p w14:paraId="219C60D5">
      <w:pPr>
        <w:tabs>
          <w:tab w:val="left" w:pos="1365"/>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1.1  采购代理机构应当在评标结束后2个工作日内将评标报告送采购人。</w:t>
      </w:r>
    </w:p>
    <w:p w14:paraId="381728B6">
      <w:pPr>
        <w:tabs>
          <w:tab w:val="left" w:pos="1365"/>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1.2  采购人应当自收到评标报告之日起5个工作日内，在评标报告确定的中标候选人名单中按顺序确定中标人。中标候选人并列的，由采购人采取随机抽取的方式确定。</w:t>
      </w:r>
    </w:p>
    <w:p w14:paraId="71DCD666">
      <w:pPr>
        <w:tabs>
          <w:tab w:val="left" w:pos="1365"/>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1.3  采购人在收到评标报告5个工作日内未按评标报告推荐的中标候选人顺序确定中标人，又不能说明合法理由的，视同按评标报告推荐的顺序确定排名第一的中标候选人为中标人。</w:t>
      </w:r>
    </w:p>
    <w:p w14:paraId="01B2BC4A">
      <w:pPr>
        <w:spacing w:line="440" w:lineRule="exact"/>
        <w:rPr>
          <w:rFonts w:ascii="宋体" w:hAnsi="宋体" w:cs="宋体"/>
          <w:b/>
          <w:bCs/>
          <w:color w:val="auto"/>
          <w:sz w:val="22"/>
          <w:highlight w:val="none"/>
        </w:rPr>
      </w:pPr>
      <w:r>
        <w:rPr>
          <w:rFonts w:hint="eastAsia" w:ascii="宋体" w:hAnsi="宋体" w:cs="宋体"/>
          <w:b/>
          <w:color w:val="auto"/>
          <w:sz w:val="22"/>
          <w:highlight w:val="none"/>
        </w:rPr>
        <w:t xml:space="preserve">2. </w:t>
      </w:r>
      <w:r>
        <w:rPr>
          <w:rFonts w:hint="eastAsia" w:ascii="宋体" w:hAnsi="宋体" w:cs="宋体"/>
          <w:bCs/>
          <w:color w:val="auto"/>
          <w:sz w:val="22"/>
          <w:highlight w:val="none"/>
        </w:rPr>
        <w:t xml:space="preserve">  </w:t>
      </w:r>
      <w:r>
        <w:rPr>
          <w:rFonts w:hint="eastAsia" w:ascii="宋体" w:hAnsi="宋体" w:cs="宋体"/>
          <w:b/>
          <w:bCs/>
          <w:color w:val="auto"/>
          <w:sz w:val="22"/>
          <w:highlight w:val="none"/>
        </w:rPr>
        <w:t>中标公告</w:t>
      </w:r>
    </w:p>
    <w:p w14:paraId="2B0DECA5">
      <w:pPr>
        <w:spacing w:line="440" w:lineRule="exact"/>
        <w:ind w:left="550" w:hanging="550" w:hangingChars="250"/>
        <w:rPr>
          <w:rFonts w:ascii="宋体" w:hAnsi="宋体" w:cs="宋体"/>
          <w:b/>
          <w:bCs/>
          <w:color w:val="auto"/>
          <w:sz w:val="22"/>
          <w:highlight w:val="none"/>
        </w:rPr>
      </w:pPr>
      <w:r>
        <w:rPr>
          <w:rFonts w:hint="eastAsia" w:ascii="宋体" w:hAnsi="宋体" w:cs="宋体"/>
          <w:bCs/>
          <w:color w:val="auto"/>
          <w:sz w:val="22"/>
          <w:highlight w:val="none"/>
        </w:rPr>
        <w:t>2.1  采购人或者采购代理机构应当自中标人确定之日起2个工作日内，在省级以上财政部门指定的媒体上公告中标结果，招标文件应当随中标结果同时公告。</w:t>
      </w:r>
    </w:p>
    <w:p w14:paraId="0BB99C49">
      <w:pPr>
        <w:spacing w:line="440" w:lineRule="exact"/>
        <w:ind w:left="442" w:hanging="442" w:hangingChars="200"/>
        <w:rPr>
          <w:rFonts w:ascii="宋体" w:hAnsi="宋体" w:cs="宋体"/>
          <w:bCs/>
          <w:color w:val="auto"/>
          <w:sz w:val="22"/>
          <w:highlight w:val="none"/>
        </w:rPr>
      </w:pPr>
      <w:r>
        <w:rPr>
          <w:rFonts w:hint="eastAsia" w:ascii="宋体" w:hAnsi="宋体" w:cs="宋体"/>
          <w:b/>
          <w:color w:val="auto"/>
          <w:sz w:val="22"/>
          <w:highlight w:val="none"/>
        </w:rPr>
        <w:t xml:space="preserve">3. </w:t>
      </w:r>
      <w:r>
        <w:rPr>
          <w:rFonts w:hint="eastAsia" w:ascii="宋体" w:hAnsi="宋体" w:cs="宋体"/>
          <w:bCs/>
          <w:color w:val="auto"/>
          <w:sz w:val="22"/>
          <w:highlight w:val="none"/>
        </w:rPr>
        <w:t xml:space="preserve">  </w:t>
      </w:r>
      <w:r>
        <w:rPr>
          <w:rFonts w:hint="eastAsia" w:ascii="宋体" w:hAnsi="宋体" w:cs="宋体"/>
          <w:b/>
          <w:bCs/>
          <w:color w:val="auto"/>
          <w:sz w:val="22"/>
          <w:highlight w:val="none"/>
        </w:rPr>
        <w:t>中标通知书</w:t>
      </w:r>
    </w:p>
    <w:p w14:paraId="636405CB">
      <w:pPr>
        <w:spacing w:line="440" w:lineRule="exact"/>
        <w:ind w:left="440" w:hanging="440" w:hangingChars="200"/>
        <w:rPr>
          <w:rFonts w:ascii="宋体" w:hAnsi="宋体" w:cs="宋体"/>
          <w:bCs/>
          <w:color w:val="auto"/>
          <w:sz w:val="22"/>
          <w:highlight w:val="none"/>
        </w:rPr>
      </w:pPr>
      <w:r>
        <w:rPr>
          <w:rFonts w:hint="eastAsia" w:ascii="宋体" w:hAnsi="宋体" w:cs="宋体"/>
          <w:bCs/>
          <w:color w:val="auto"/>
          <w:sz w:val="22"/>
          <w:highlight w:val="none"/>
        </w:rPr>
        <w:t>3.1  在公告中标结果的同时</w:t>
      </w:r>
      <w:r>
        <w:rPr>
          <w:rFonts w:hint="eastAsia" w:ascii="宋体" w:hAnsi="宋体" w:cs="宋体"/>
          <w:color w:val="auto"/>
          <w:sz w:val="22"/>
          <w:highlight w:val="none"/>
        </w:rPr>
        <w:t>，采购人或采购代理机构向中标人发出中标通知书。</w:t>
      </w:r>
    </w:p>
    <w:p w14:paraId="3B654A9E">
      <w:pPr>
        <w:spacing w:line="440" w:lineRule="exact"/>
        <w:ind w:left="440" w:hanging="440" w:hangingChars="200"/>
        <w:rPr>
          <w:rFonts w:ascii="宋体" w:hAnsi="宋体" w:cs="宋体"/>
          <w:bCs/>
          <w:color w:val="auto"/>
          <w:sz w:val="22"/>
          <w:highlight w:val="none"/>
        </w:rPr>
      </w:pPr>
      <w:r>
        <w:rPr>
          <w:rFonts w:hint="eastAsia" w:ascii="宋体" w:hAnsi="宋体" w:cs="宋体"/>
          <w:bCs/>
          <w:color w:val="auto"/>
          <w:sz w:val="22"/>
          <w:highlight w:val="none"/>
        </w:rPr>
        <w:t xml:space="preserve">3.2  </w:t>
      </w:r>
      <w:r>
        <w:rPr>
          <w:rFonts w:hint="eastAsia" w:ascii="宋体" w:hAnsi="宋体" w:cs="宋体"/>
          <w:color w:val="auto"/>
          <w:sz w:val="22"/>
          <w:highlight w:val="none"/>
        </w:rPr>
        <w:t>中标通知书是合同的一个组成部分,对采购人和中标人均具有同等法律效力。</w:t>
      </w:r>
    </w:p>
    <w:p w14:paraId="7831AE33">
      <w:pPr>
        <w:spacing w:line="440" w:lineRule="exact"/>
        <w:ind w:left="442" w:hanging="442" w:hangingChars="200"/>
        <w:rPr>
          <w:rFonts w:ascii="宋体" w:hAnsi="宋体" w:cs="宋体"/>
          <w:bCs/>
          <w:color w:val="auto"/>
          <w:sz w:val="22"/>
          <w:highlight w:val="none"/>
        </w:rPr>
      </w:pPr>
      <w:r>
        <w:rPr>
          <w:rFonts w:hint="eastAsia" w:ascii="宋体" w:hAnsi="宋体" w:cs="宋体"/>
          <w:b/>
          <w:color w:val="auto"/>
          <w:sz w:val="22"/>
          <w:highlight w:val="none"/>
        </w:rPr>
        <w:t xml:space="preserve">4. </w:t>
      </w:r>
      <w:r>
        <w:rPr>
          <w:rFonts w:hint="eastAsia" w:ascii="宋体" w:hAnsi="宋体" w:cs="宋体"/>
          <w:bCs/>
          <w:color w:val="auto"/>
          <w:sz w:val="22"/>
          <w:highlight w:val="none"/>
        </w:rPr>
        <w:t xml:space="preserve">  </w:t>
      </w:r>
      <w:r>
        <w:rPr>
          <w:rFonts w:hint="eastAsia" w:ascii="宋体" w:hAnsi="宋体" w:cs="宋体"/>
          <w:b/>
          <w:bCs/>
          <w:color w:val="auto"/>
          <w:sz w:val="22"/>
          <w:highlight w:val="none"/>
        </w:rPr>
        <w:t>签订合同</w:t>
      </w:r>
    </w:p>
    <w:p w14:paraId="56440F79">
      <w:pPr>
        <w:spacing w:line="440" w:lineRule="exact"/>
        <w:ind w:left="440" w:hanging="440" w:hangingChars="200"/>
        <w:rPr>
          <w:rFonts w:ascii="宋体" w:hAnsi="宋体" w:cs="宋体"/>
          <w:bCs/>
          <w:color w:val="auto"/>
          <w:sz w:val="22"/>
          <w:highlight w:val="none"/>
        </w:rPr>
      </w:pPr>
      <w:r>
        <w:rPr>
          <w:rFonts w:hint="eastAsia" w:ascii="宋体" w:hAnsi="宋体" w:cs="宋体"/>
          <w:bCs/>
          <w:color w:val="auto"/>
          <w:sz w:val="22"/>
          <w:highlight w:val="none"/>
        </w:rPr>
        <w:t>4.1 采购人应当自中标通知书发出之日起</w:t>
      </w:r>
      <w:r>
        <w:rPr>
          <w:rFonts w:ascii="宋体" w:hAnsi="宋体" w:cs="宋体"/>
          <w:bCs/>
          <w:color w:val="auto"/>
          <w:sz w:val="22"/>
          <w:highlight w:val="none"/>
        </w:rPr>
        <w:t>30</w:t>
      </w:r>
      <w:r>
        <w:rPr>
          <w:rFonts w:hint="eastAsia" w:ascii="宋体" w:hAnsi="宋体" w:cs="宋体"/>
          <w:bCs/>
          <w:color w:val="auto"/>
          <w:sz w:val="22"/>
          <w:highlight w:val="none"/>
        </w:rPr>
        <w:t>日内，按照招标文件和中标人投标文件的规定，与中标人签订书面合同。所签订的合同不得对招标文件确定的事项和中标人投标文件作实质性修改。</w:t>
      </w:r>
    </w:p>
    <w:p w14:paraId="54FE8CB8">
      <w:pPr>
        <w:spacing w:line="440" w:lineRule="exact"/>
        <w:ind w:left="550" w:hanging="550" w:hangingChars="250"/>
        <w:rPr>
          <w:rFonts w:ascii="宋体" w:hAnsi="宋体" w:cs="宋体"/>
          <w:bCs/>
          <w:color w:val="auto"/>
          <w:sz w:val="22"/>
          <w:highlight w:val="none"/>
        </w:rPr>
      </w:pPr>
      <w:r>
        <w:rPr>
          <w:rFonts w:hint="eastAsia" w:ascii="宋体" w:hAnsi="宋体" w:cs="宋体"/>
          <w:color w:val="auto"/>
          <w:sz w:val="22"/>
          <w:highlight w:val="none"/>
        </w:rPr>
        <w:t xml:space="preserve">4.2  </w:t>
      </w:r>
      <w:r>
        <w:rPr>
          <w:rFonts w:hint="eastAsia" w:ascii="宋体" w:hAnsi="宋体" w:cs="宋体"/>
          <w:color w:val="auto"/>
          <w:spacing w:val="6"/>
          <w:sz w:val="22"/>
          <w:highlight w:val="none"/>
        </w:rPr>
        <w:t>在签订合同前，采购人有权在中标总价不变的前提下要求中标人对商务报价中的不平衡报价和缺漏项进行调整，如果中标人无合理理由拒绝调整，其中标资格将被取消，且将导致其它进一步的赔偿和处罚。</w:t>
      </w:r>
    </w:p>
    <w:p w14:paraId="6F0C9948">
      <w:pPr>
        <w:spacing w:line="440" w:lineRule="exact"/>
        <w:ind w:left="421" w:leftChars="-9" w:hanging="440" w:hangingChars="200"/>
        <w:rPr>
          <w:rFonts w:ascii="宋体" w:hAnsi="宋体" w:cs="宋体"/>
          <w:color w:val="auto"/>
          <w:sz w:val="22"/>
          <w:highlight w:val="none"/>
        </w:rPr>
      </w:pPr>
      <w:r>
        <w:rPr>
          <w:rFonts w:hint="eastAsia" w:ascii="宋体" w:hAnsi="宋体" w:cs="宋体"/>
          <w:color w:val="auto"/>
          <w:sz w:val="22"/>
          <w:highlight w:val="none"/>
        </w:rPr>
        <w:t>4.3  招标文件、中标人的投标文件、投标修改文件、评标过程中有关澄清文件及经投标人和评委双方签字的询标纪要和中标通知书均作为合同附件。</w:t>
      </w:r>
    </w:p>
    <w:p w14:paraId="169C9B86">
      <w:pPr>
        <w:spacing w:line="440" w:lineRule="exact"/>
        <w:ind w:left="440" w:hanging="440" w:hangingChars="200"/>
        <w:rPr>
          <w:rFonts w:ascii="宋体" w:hAnsi="宋体" w:cs="宋体"/>
          <w:bCs/>
          <w:color w:val="auto"/>
          <w:sz w:val="22"/>
          <w:highlight w:val="none"/>
        </w:rPr>
      </w:pPr>
      <w:r>
        <w:rPr>
          <w:rFonts w:hint="eastAsia" w:ascii="宋体" w:hAnsi="宋体" w:cs="宋体"/>
          <w:bCs/>
          <w:color w:val="auto"/>
          <w:sz w:val="22"/>
          <w:highlight w:val="none"/>
        </w:rPr>
        <w:t>4.4  采购人不得向中标人提出任何不合理的要求作为签订合同的条件。</w:t>
      </w:r>
    </w:p>
    <w:p w14:paraId="2AAD8F96">
      <w:pPr>
        <w:spacing w:line="440" w:lineRule="exact"/>
        <w:ind w:left="440" w:hanging="440" w:hangingChars="200"/>
        <w:rPr>
          <w:rFonts w:ascii="宋体" w:hAnsi="宋体" w:cs="宋体"/>
          <w:bCs/>
          <w:color w:val="auto"/>
          <w:sz w:val="22"/>
          <w:highlight w:val="none"/>
        </w:rPr>
      </w:pPr>
      <w:r>
        <w:rPr>
          <w:rFonts w:hint="eastAsia" w:ascii="宋体" w:hAnsi="宋体" w:cs="宋体"/>
          <w:color w:val="auto"/>
          <w:sz w:val="22"/>
          <w:highlight w:val="none"/>
        </w:rPr>
        <w:t>4.5  拒签合同的违约责任</w:t>
      </w:r>
    </w:p>
    <w:p w14:paraId="56260228">
      <w:pPr>
        <w:spacing w:line="440" w:lineRule="exact"/>
        <w:ind w:left="420" w:leftChars="200"/>
        <w:rPr>
          <w:rFonts w:ascii="宋体" w:hAnsi="宋体" w:cs="宋体"/>
          <w:color w:val="auto"/>
          <w:spacing w:val="6"/>
          <w:sz w:val="22"/>
          <w:highlight w:val="none"/>
        </w:rPr>
      </w:pPr>
      <w:r>
        <w:rPr>
          <w:rFonts w:hint="eastAsia" w:ascii="宋体" w:hAnsi="宋体" w:cs="宋体"/>
          <w:color w:val="auto"/>
          <w:spacing w:val="6"/>
          <w:sz w:val="22"/>
          <w:highlight w:val="none"/>
        </w:rPr>
        <w:t>中标人接到中标通知书后，在规定时间内借故否认已经承诺的条件而拒签合同的，以违约处理。</w:t>
      </w:r>
    </w:p>
    <w:p w14:paraId="6E44100A">
      <w:pPr>
        <w:spacing w:line="440" w:lineRule="exact"/>
        <w:ind w:left="571" w:hanging="571" w:hangingChars="245"/>
        <w:rPr>
          <w:rFonts w:ascii="宋体" w:hAnsi="宋体" w:cs="宋体"/>
          <w:b/>
          <w:color w:val="auto"/>
          <w:spacing w:val="6"/>
          <w:sz w:val="22"/>
          <w:highlight w:val="none"/>
          <w:shd w:val="pct10" w:color="auto" w:fill="FFFFFF"/>
        </w:rPr>
      </w:pPr>
      <w:r>
        <w:rPr>
          <w:rFonts w:hint="eastAsia" w:ascii="宋体" w:hAnsi="宋体" w:cs="宋体"/>
          <w:b/>
          <w:color w:val="auto"/>
          <w:spacing w:val="6"/>
          <w:sz w:val="22"/>
          <w:highlight w:val="none"/>
        </w:rPr>
        <w:t>4.6  合同一式</w:t>
      </w:r>
      <w:r>
        <w:rPr>
          <w:rFonts w:hint="eastAsia" w:ascii="宋体" w:hAnsi="宋体" w:cs="宋体"/>
          <w:b/>
          <w:color w:val="auto"/>
          <w:spacing w:val="6"/>
          <w:sz w:val="22"/>
          <w:highlight w:val="none"/>
          <w:lang w:val="en-US" w:eastAsia="zh-CN"/>
        </w:rPr>
        <w:t>五</w:t>
      </w:r>
      <w:r>
        <w:rPr>
          <w:rFonts w:hint="eastAsia" w:ascii="宋体" w:hAnsi="宋体" w:cs="宋体"/>
          <w:b/>
          <w:color w:val="auto"/>
          <w:spacing w:val="6"/>
          <w:sz w:val="22"/>
          <w:highlight w:val="none"/>
        </w:rPr>
        <w:t>份，其中采购人二份，中标人二份</w:t>
      </w:r>
      <w:r>
        <w:rPr>
          <w:rFonts w:hint="eastAsia" w:ascii="宋体" w:hAnsi="宋体" w:cs="宋体"/>
          <w:b/>
          <w:color w:val="auto"/>
          <w:spacing w:val="6"/>
          <w:sz w:val="22"/>
          <w:highlight w:val="none"/>
          <w:lang w:eastAsia="zh-CN"/>
        </w:rPr>
        <w:t>，</w:t>
      </w:r>
      <w:r>
        <w:rPr>
          <w:rFonts w:hint="eastAsia" w:ascii="宋体" w:hAnsi="宋体" w:cs="宋体"/>
          <w:b/>
          <w:color w:val="auto"/>
          <w:spacing w:val="6"/>
          <w:sz w:val="22"/>
          <w:highlight w:val="none"/>
          <w:lang w:val="en-US" w:eastAsia="zh-CN"/>
        </w:rPr>
        <w:t>采购代理机构备案一份</w:t>
      </w:r>
      <w:r>
        <w:rPr>
          <w:rFonts w:hint="eastAsia" w:ascii="宋体" w:hAnsi="宋体" w:cs="宋体"/>
          <w:b/>
          <w:color w:val="auto"/>
          <w:spacing w:val="6"/>
          <w:sz w:val="22"/>
          <w:highlight w:val="none"/>
        </w:rPr>
        <w:t>。</w:t>
      </w:r>
      <w:r>
        <w:rPr>
          <w:rFonts w:hint="eastAsia" w:ascii="宋体" w:hAnsi="宋体" w:cs="宋体"/>
          <w:b/>
          <w:color w:val="auto"/>
          <w:spacing w:val="6"/>
          <w:sz w:val="22"/>
          <w:szCs w:val="22"/>
          <w:highlight w:val="none"/>
        </w:rPr>
        <w:t>中标供应商在采购合同签订后应及时将合同交采购代理机构备案。</w:t>
      </w:r>
    </w:p>
    <w:p w14:paraId="0EF26DF1">
      <w:pPr>
        <w:spacing w:line="440" w:lineRule="exact"/>
        <w:rPr>
          <w:rFonts w:ascii="宋体" w:hAnsi="宋体" w:cs="宋体"/>
          <w:b/>
          <w:color w:val="auto"/>
          <w:spacing w:val="6"/>
          <w:sz w:val="22"/>
          <w:highlight w:val="none"/>
        </w:rPr>
      </w:pPr>
      <w:r>
        <w:rPr>
          <w:rFonts w:hint="eastAsia" w:ascii="宋体" w:hAnsi="宋体" w:cs="宋体"/>
          <w:b/>
          <w:bCs/>
          <w:color w:val="auto"/>
          <w:spacing w:val="6"/>
          <w:sz w:val="22"/>
          <w:highlight w:val="none"/>
        </w:rPr>
        <w:t>5.</w:t>
      </w:r>
      <w:r>
        <w:rPr>
          <w:rFonts w:hint="eastAsia" w:ascii="宋体" w:hAnsi="宋体" w:cs="宋体"/>
          <w:color w:val="auto"/>
          <w:spacing w:val="6"/>
          <w:sz w:val="22"/>
          <w:highlight w:val="none"/>
        </w:rPr>
        <w:t xml:space="preserve">   </w:t>
      </w:r>
      <w:r>
        <w:rPr>
          <w:rFonts w:hint="eastAsia" w:ascii="宋体" w:hAnsi="宋体" w:cs="宋体"/>
          <w:b/>
          <w:color w:val="auto"/>
          <w:spacing w:val="6"/>
          <w:sz w:val="22"/>
          <w:highlight w:val="none"/>
          <w:u w:val="single"/>
        </w:rPr>
        <w:t>履约保证金</w:t>
      </w:r>
    </w:p>
    <w:p w14:paraId="22E1CF5F">
      <w:pPr>
        <w:spacing w:line="360" w:lineRule="auto"/>
        <w:ind w:left="580" w:hanging="580" w:hangingChars="250"/>
        <w:rPr>
          <w:rFonts w:ascii="宋体" w:hAnsi="宋体" w:cs="宋体"/>
          <w:color w:val="auto"/>
          <w:spacing w:val="6"/>
          <w:sz w:val="22"/>
          <w:highlight w:val="none"/>
        </w:rPr>
      </w:pPr>
      <w:r>
        <w:rPr>
          <w:rFonts w:hint="eastAsia" w:ascii="宋体" w:hAnsi="宋体" w:cs="宋体"/>
          <w:color w:val="auto"/>
          <w:spacing w:val="6"/>
          <w:sz w:val="22"/>
          <w:highlight w:val="none"/>
        </w:rPr>
        <w:t xml:space="preserve">5.1  </w:t>
      </w:r>
      <w:r>
        <w:rPr>
          <w:rFonts w:hint="eastAsia" w:ascii="宋体" w:hAnsi="宋体" w:cs="宋体"/>
          <w:color w:val="auto"/>
          <w:sz w:val="22"/>
          <w:highlight w:val="none"/>
        </w:rPr>
        <w:t>中标人在收到中标通知书后，签订合同后</w:t>
      </w:r>
      <w:r>
        <w:rPr>
          <w:rFonts w:ascii="宋体" w:hAnsi="宋体" w:cs="宋体"/>
          <w:color w:val="auto"/>
          <w:sz w:val="22"/>
          <w:highlight w:val="none"/>
        </w:rPr>
        <w:t>5</w:t>
      </w:r>
      <w:r>
        <w:rPr>
          <w:rFonts w:hint="eastAsia" w:ascii="宋体" w:hAnsi="宋体" w:cs="宋体"/>
          <w:color w:val="auto"/>
          <w:sz w:val="22"/>
          <w:highlight w:val="none"/>
        </w:rPr>
        <w:t>个工作日内，中标人须向采购人提交履约保证。</w:t>
      </w:r>
      <w:r>
        <w:rPr>
          <w:rFonts w:hint="eastAsia" w:ascii="宋体" w:hAnsi="宋体" w:cs="宋体"/>
          <w:color w:val="auto"/>
          <w:spacing w:val="6"/>
          <w:sz w:val="22"/>
          <w:szCs w:val="22"/>
          <w:highlight w:val="none"/>
        </w:rPr>
        <w:t>（与采购人在合同中另有约定的除外）。</w:t>
      </w:r>
    </w:p>
    <w:p w14:paraId="6982A3E0">
      <w:pPr>
        <w:spacing w:line="440" w:lineRule="exact"/>
        <w:ind w:left="464" w:hanging="464" w:hangingChars="200"/>
        <w:rPr>
          <w:rFonts w:ascii="宋体" w:hAnsi="宋体" w:cs="宋体"/>
          <w:color w:val="auto"/>
          <w:spacing w:val="6"/>
          <w:sz w:val="22"/>
          <w:highlight w:val="none"/>
        </w:rPr>
      </w:pPr>
      <w:r>
        <w:rPr>
          <w:rFonts w:hint="eastAsia" w:ascii="宋体" w:hAnsi="宋体" w:cs="宋体"/>
          <w:color w:val="auto"/>
          <w:spacing w:val="6"/>
          <w:sz w:val="22"/>
          <w:highlight w:val="none"/>
        </w:rPr>
        <w:t>5.2  履约保证金用于补偿采购人因中标人不能履行其合同义务而蒙受的损失。</w:t>
      </w:r>
    </w:p>
    <w:p w14:paraId="4D204A51">
      <w:pPr>
        <w:spacing w:line="440" w:lineRule="exact"/>
        <w:ind w:left="580" w:hanging="580" w:hangingChars="250"/>
        <w:rPr>
          <w:rFonts w:ascii="宋体" w:hAnsi="宋体" w:cs="宋体"/>
          <w:color w:val="auto"/>
          <w:spacing w:val="6"/>
          <w:sz w:val="22"/>
          <w:highlight w:val="none"/>
        </w:rPr>
      </w:pPr>
      <w:r>
        <w:rPr>
          <w:rFonts w:hint="eastAsia" w:ascii="宋体" w:hAnsi="宋体" w:cs="宋体"/>
          <w:color w:val="auto"/>
          <w:spacing w:val="6"/>
          <w:sz w:val="22"/>
          <w:highlight w:val="none"/>
        </w:rPr>
        <w:t xml:space="preserve">5.3  </w:t>
      </w:r>
      <w:r>
        <w:rPr>
          <w:rFonts w:hint="eastAsia" w:ascii="宋体" w:hAnsi="宋体" w:cs="宋体"/>
          <w:color w:val="auto"/>
          <w:sz w:val="22"/>
          <w:highlight w:val="none"/>
        </w:rPr>
        <w:t>履约保证金自合同签订之日起至项目验收合格之日起有效。项目验收结束后，采购人应及时将履约保证金无息退还给中标人。</w:t>
      </w:r>
    </w:p>
    <w:p w14:paraId="19A81205">
      <w:pPr>
        <w:spacing w:line="440" w:lineRule="exact"/>
        <w:ind w:left="442" w:hanging="442" w:hangingChars="200"/>
        <w:rPr>
          <w:rFonts w:ascii="宋体" w:hAnsi="宋体" w:cs="宋体"/>
          <w:b/>
          <w:bCs/>
          <w:color w:val="auto"/>
          <w:sz w:val="22"/>
          <w:highlight w:val="none"/>
        </w:rPr>
      </w:pPr>
      <w:r>
        <w:rPr>
          <w:rFonts w:hint="eastAsia" w:ascii="宋体" w:hAnsi="宋体" w:cs="宋体"/>
          <w:b/>
          <w:bCs/>
          <w:color w:val="auto"/>
          <w:sz w:val="22"/>
          <w:highlight w:val="none"/>
        </w:rPr>
        <w:t>6.   合同履行时更改采购数量的权力</w:t>
      </w:r>
    </w:p>
    <w:p w14:paraId="36570B13">
      <w:pPr>
        <w:tabs>
          <w:tab w:val="left" w:pos="1365"/>
        </w:tabs>
        <w:spacing w:line="440" w:lineRule="exact"/>
        <w:ind w:left="550" w:hanging="550" w:hangingChars="250"/>
        <w:rPr>
          <w:rFonts w:ascii="宋体" w:hAnsi="宋体" w:cs="宋体"/>
          <w:color w:val="auto"/>
          <w:sz w:val="22"/>
          <w:highlight w:val="none"/>
        </w:rPr>
      </w:pPr>
      <w:r>
        <w:rPr>
          <w:rFonts w:hint="eastAsia" w:ascii="宋体" w:hAnsi="宋体" w:cs="宋体"/>
          <w:color w:val="auto"/>
          <w:sz w:val="22"/>
          <w:highlight w:val="none"/>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p>
    <w:p w14:paraId="77285FDB">
      <w:pPr>
        <w:pStyle w:val="13"/>
        <w:spacing w:line="460" w:lineRule="exact"/>
        <w:jc w:val="center"/>
        <w:outlineLvl w:val="1"/>
        <w:rPr>
          <w:rFonts w:hint="eastAsia" w:ascii="宋体" w:hAnsi="宋体" w:cs="宋体"/>
          <w:b/>
          <w:bCs/>
          <w:color w:val="auto"/>
          <w:sz w:val="22"/>
          <w:szCs w:val="22"/>
          <w:highlight w:val="none"/>
        </w:rPr>
      </w:pPr>
      <w:bookmarkStart w:id="59" w:name="_Toc15763"/>
      <w:r>
        <w:rPr>
          <w:rFonts w:hint="eastAsia" w:ascii="宋体" w:hAnsi="宋体" w:cs="宋体"/>
          <w:b/>
          <w:bCs/>
          <w:color w:val="auto"/>
          <w:sz w:val="22"/>
          <w:szCs w:val="22"/>
          <w:highlight w:val="none"/>
        </w:rPr>
        <w:t>七、可中止电子交易活动的情形</w:t>
      </w:r>
      <w:bookmarkEnd w:id="55"/>
      <w:bookmarkEnd w:id="56"/>
      <w:bookmarkEnd w:id="57"/>
      <w:bookmarkEnd w:id="58"/>
      <w:bookmarkEnd w:id="59"/>
    </w:p>
    <w:p w14:paraId="0AB4F267">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采购过程中出现以下情形，导致电子交易平台无法正常运行，或者无法保证电子交易的公平、公正和安全时，采购代理机构可中止电子交易活动：</w:t>
      </w:r>
    </w:p>
    <w:p w14:paraId="43B0C676">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   电子交易平台发生故障而无法登录访问的；</w:t>
      </w:r>
    </w:p>
    <w:p w14:paraId="79953A60">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   电子交易平台应用或数据库出现错误，不能进行正常操作的；</w:t>
      </w:r>
    </w:p>
    <w:p w14:paraId="36E66D46">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   电子交易平台发现严重安全漏洞，有潜在泄密危险的；</w:t>
      </w:r>
    </w:p>
    <w:p w14:paraId="6A173C56">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4.   病毒发作导致不能进行正常操作的；</w:t>
      </w:r>
    </w:p>
    <w:p w14:paraId="01384855">
      <w:pPr>
        <w:pStyle w:val="13"/>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   其他无法保证电子交易的公平、公正和安全的情况。</w:t>
      </w:r>
    </w:p>
    <w:p w14:paraId="2108353F">
      <w:pPr>
        <w:pStyle w:val="13"/>
        <w:spacing w:line="460" w:lineRule="exact"/>
        <w:rPr>
          <w:rFonts w:hint="eastAsia" w:ascii="宋体" w:hAnsi="宋体" w:cs="宋体"/>
          <w:color w:val="auto"/>
          <w:sz w:val="22"/>
          <w:szCs w:val="22"/>
          <w:highlight w:val="none"/>
        </w:rPr>
      </w:pPr>
      <w:bookmarkStart w:id="60" w:name="_Toc29091"/>
      <w:bookmarkStart w:id="61" w:name="_Toc2054"/>
      <w:bookmarkStart w:id="62" w:name="_Toc13187"/>
      <w:bookmarkStart w:id="63" w:name="_Toc4008"/>
      <w:r>
        <w:rPr>
          <w:rFonts w:hint="eastAsia" w:ascii="宋体" w:hAnsi="宋体" w:cs="宋体"/>
          <w:color w:val="auto"/>
          <w:sz w:val="22"/>
          <w:szCs w:val="22"/>
          <w:highlight w:val="none"/>
        </w:rPr>
        <w:t>出现前款规定情形，不影响采购公平、公正性的，采购代理机构可以待上述情形消除后继续组织电子交易活动；影响或可能影响采购公平、公正性的，应当重新采购。</w:t>
      </w:r>
      <w:bookmarkEnd w:id="60"/>
      <w:bookmarkEnd w:id="61"/>
      <w:bookmarkEnd w:id="62"/>
      <w:bookmarkEnd w:id="63"/>
    </w:p>
    <w:p w14:paraId="73AC2986">
      <w:pPr>
        <w:pStyle w:val="14"/>
        <w:rPr>
          <w:rFonts w:hint="eastAsia" w:ascii="宋体" w:hAnsi="宋体" w:cs="宋体"/>
          <w:color w:val="auto"/>
          <w:sz w:val="22"/>
          <w:szCs w:val="22"/>
          <w:highlight w:val="none"/>
        </w:rPr>
      </w:pPr>
    </w:p>
    <w:p w14:paraId="44BCAE6F">
      <w:pPr>
        <w:rPr>
          <w:rFonts w:hint="eastAsia" w:ascii="宋体" w:hAnsi="宋体" w:cs="宋体"/>
          <w:color w:val="auto"/>
          <w:sz w:val="22"/>
          <w:szCs w:val="22"/>
          <w:highlight w:val="none"/>
        </w:rPr>
      </w:pPr>
    </w:p>
    <w:p w14:paraId="6EFC90B1">
      <w:pPr>
        <w:pStyle w:val="32"/>
        <w:rPr>
          <w:rFonts w:hint="eastAsia" w:ascii="宋体" w:hAnsi="宋体" w:cs="宋体"/>
          <w:color w:val="auto"/>
          <w:sz w:val="22"/>
          <w:szCs w:val="22"/>
          <w:highlight w:val="none"/>
        </w:rPr>
      </w:pPr>
    </w:p>
    <w:p w14:paraId="7BFC185A">
      <w:pPr>
        <w:rPr>
          <w:rFonts w:hint="eastAsia" w:ascii="宋体" w:hAnsi="宋体" w:cs="宋体"/>
          <w:color w:val="auto"/>
          <w:sz w:val="22"/>
          <w:szCs w:val="22"/>
          <w:highlight w:val="none"/>
        </w:rPr>
      </w:pPr>
    </w:p>
    <w:p w14:paraId="23A580F2">
      <w:pPr>
        <w:pStyle w:val="32"/>
        <w:rPr>
          <w:rFonts w:hint="eastAsia" w:ascii="宋体" w:hAnsi="宋体" w:cs="宋体"/>
          <w:color w:val="auto"/>
          <w:sz w:val="22"/>
          <w:szCs w:val="22"/>
          <w:highlight w:val="none"/>
        </w:rPr>
      </w:pPr>
    </w:p>
    <w:p w14:paraId="1FB816DB">
      <w:pPr>
        <w:rPr>
          <w:rFonts w:hint="eastAsia" w:ascii="宋体" w:hAnsi="宋体" w:cs="宋体"/>
          <w:color w:val="auto"/>
          <w:sz w:val="22"/>
          <w:szCs w:val="22"/>
          <w:highlight w:val="none"/>
        </w:rPr>
      </w:pPr>
    </w:p>
    <w:p w14:paraId="07BD8560">
      <w:pPr>
        <w:pStyle w:val="32"/>
        <w:rPr>
          <w:rFonts w:hint="eastAsia" w:ascii="宋体" w:hAnsi="宋体" w:cs="宋体"/>
          <w:color w:val="auto"/>
          <w:sz w:val="22"/>
          <w:szCs w:val="22"/>
          <w:highlight w:val="none"/>
        </w:rPr>
      </w:pPr>
    </w:p>
    <w:p w14:paraId="7F83ED7B">
      <w:pPr>
        <w:pStyle w:val="32"/>
        <w:ind w:left="0" w:leftChars="0" w:firstLine="0" w:firstLineChars="0"/>
        <w:rPr>
          <w:rFonts w:hint="eastAsia" w:ascii="宋体" w:hAnsi="宋体" w:cs="宋体"/>
          <w:color w:val="auto"/>
          <w:sz w:val="22"/>
          <w:szCs w:val="22"/>
          <w:highlight w:val="none"/>
        </w:rPr>
      </w:pPr>
    </w:p>
    <w:p w14:paraId="176333FD">
      <w:pPr>
        <w:pStyle w:val="16"/>
        <w:ind w:left="0" w:right="-252"/>
        <w:rPr>
          <w:rFonts w:hint="eastAsia" w:cs="宋体"/>
          <w:color w:val="auto"/>
          <w:sz w:val="22"/>
          <w:szCs w:val="22"/>
          <w:highlight w:val="none"/>
        </w:rPr>
      </w:pPr>
    </w:p>
    <w:p w14:paraId="468BCE89">
      <w:pPr>
        <w:rPr>
          <w:rFonts w:hint="eastAsia" w:ascii="宋体" w:hAnsi="宋体" w:cs="宋体"/>
          <w:b/>
          <w:color w:val="auto"/>
          <w:sz w:val="32"/>
          <w:highlight w:val="none"/>
        </w:rPr>
      </w:pPr>
      <w:bookmarkStart w:id="64" w:name="_Toc5487"/>
      <w:r>
        <w:rPr>
          <w:rFonts w:hint="eastAsia" w:ascii="宋体" w:hAnsi="宋体" w:cs="宋体"/>
          <w:b/>
          <w:color w:val="auto"/>
          <w:sz w:val="32"/>
          <w:highlight w:val="none"/>
        </w:rPr>
        <w:br w:type="page"/>
      </w:r>
    </w:p>
    <w:p w14:paraId="75A6A930">
      <w:pPr>
        <w:spacing w:line="400" w:lineRule="exact"/>
        <w:jc w:val="center"/>
        <w:outlineLvl w:val="0"/>
        <w:rPr>
          <w:rFonts w:ascii="宋体" w:hAnsi="宋体" w:cs="宋体"/>
          <w:b/>
          <w:bCs/>
          <w:color w:val="auto"/>
          <w:szCs w:val="21"/>
          <w:highlight w:val="none"/>
        </w:rPr>
      </w:pPr>
      <w:r>
        <w:rPr>
          <w:rFonts w:hint="eastAsia" w:ascii="宋体" w:hAnsi="宋体" w:cs="宋体"/>
          <w:b/>
          <w:color w:val="auto"/>
          <w:sz w:val="32"/>
          <w:highlight w:val="none"/>
        </w:rPr>
        <w:t>第三部分   拟签订的合同文本</w:t>
      </w:r>
      <w:bookmarkEnd w:id="64"/>
    </w:p>
    <w:p w14:paraId="38DA641E">
      <w:pPr>
        <w:tabs>
          <w:tab w:val="left" w:pos="1365"/>
        </w:tabs>
        <w:spacing w:line="460" w:lineRule="exact"/>
        <w:rPr>
          <w:rFonts w:ascii="新宋体" w:hAnsi="新宋体" w:eastAsia="新宋体"/>
          <w:color w:val="auto"/>
          <w:sz w:val="22"/>
          <w:szCs w:val="22"/>
          <w:highlight w:val="none"/>
        </w:rPr>
      </w:pPr>
    </w:p>
    <w:p w14:paraId="117BE347">
      <w:pPr>
        <w:tabs>
          <w:tab w:val="left" w:pos="1365"/>
        </w:tabs>
        <w:spacing w:line="460" w:lineRule="exact"/>
        <w:rPr>
          <w:rFonts w:ascii="新宋体" w:hAnsi="新宋体" w:eastAsia="新宋体"/>
          <w:color w:val="auto"/>
          <w:sz w:val="22"/>
          <w:szCs w:val="22"/>
          <w:highlight w:val="none"/>
        </w:rPr>
      </w:pPr>
    </w:p>
    <w:p w14:paraId="41524B60">
      <w:pPr>
        <w:spacing w:line="400" w:lineRule="exact"/>
        <w:rPr>
          <w:rFonts w:ascii="新宋体" w:hAnsi="新宋体" w:eastAsia="新宋体"/>
          <w:color w:val="auto"/>
          <w:sz w:val="22"/>
          <w:szCs w:val="22"/>
          <w:highlight w:val="none"/>
        </w:rPr>
      </w:pPr>
    </w:p>
    <w:p w14:paraId="20F3D9E7">
      <w:pPr>
        <w:spacing w:line="400" w:lineRule="exact"/>
        <w:rPr>
          <w:rFonts w:ascii="新宋体" w:hAnsi="新宋体" w:eastAsia="新宋体"/>
          <w:color w:val="auto"/>
          <w:sz w:val="22"/>
          <w:szCs w:val="22"/>
          <w:highlight w:val="none"/>
        </w:rPr>
      </w:pPr>
    </w:p>
    <w:p w14:paraId="5105408B">
      <w:pPr>
        <w:pStyle w:val="14"/>
        <w:ind w:firstLine="210"/>
        <w:rPr>
          <w:color w:val="auto"/>
          <w:highlight w:val="none"/>
        </w:rPr>
      </w:pPr>
    </w:p>
    <w:p w14:paraId="3663126F">
      <w:pPr>
        <w:spacing w:line="440" w:lineRule="exact"/>
        <w:ind w:left="550" w:hanging="550" w:hangingChars="250"/>
        <w:rPr>
          <w:rFonts w:ascii="新宋体" w:hAnsi="新宋体" w:eastAsia="新宋体"/>
          <w:color w:val="auto"/>
          <w:sz w:val="22"/>
          <w:szCs w:val="22"/>
          <w:highlight w:val="none"/>
        </w:rPr>
      </w:pPr>
    </w:p>
    <w:p w14:paraId="17438383">
      <w:pPr>
        <w:spacing w:line="440" w:lineRule="exact"/>
        <w:ind w:left="550" w:hanging="550" w:hangingChars="250"/>
        <w:rPr>
          <w:rFonts w:ascii="新宋体" w:hAnsi="新宋体" w:eastAsia="新宋体"/>
          <w:color w:val="auto"/>
          <w:sz w:val="22"/>
          <w:szCs w:val="22"/>
          <w:highlight w:val="none"/>
        </w:rPr>
      </w:pPr>
    </w:p>
    <w:p w14:paraId="57ABA28E">
      <w:pPr>
        <w:spacing w:line="600" w:lineRule="exact"/>
        <w:jc w:val="center"/>
        <w:rPr>
          <w:rFonts w:ascii="新宋体" w:hAnsi="新宋体" w:eastAsia="新宋体"/>
          <w:b/>
          <w:bCs/>
          <w:color w:val="auto"/>
          <w:sz w:val="52"/>
          <w:szCs w:val="52"/>
          <w:highlight w:val="none"/>
        </w:rPr>
      </w:pPr>
      <w:r>
        <w:rPr>
          <w:rFonts w:hint="eastAsia" w:ascii="新宋体" w:hAnsi="新宋体" w:eastAsia="新宋体"/>
          <w:b/>
          <w:color w:val="auto"/>
          <w:sz w:val="52"/>
          <w:szCs w:val="52"/>
          <w:highlight w:val="none"/>
        </w:rPr>
        <w:t>采 购 合 同</w:t>
      </w:r>
    </w:p>
    <w:p w14:paraId="7D387C1E">
      <w:pPr>
        <w:spacing w:line="440" w:lineRule="exact"/>
        <w:ind w:left="550" w:hanging="550" w:hangingChars="250"/>
        <w:rPr>
          <w:rFonts w:ascii="新宋体" w:hAnsi="新宋体" w:eastAsia="新宋体"/>
          <w:color w:val="auto"/>
          <w:sz w:val="22"/>
          <w:szCs w:val="22"/>
          <w:highlight w:val="none"/>
        </w:rPr>
      </w:pPr>
    </w:p>
    <w:p w14:paraId="7C3A7F14">
      <w:pPr>
        <w:spacing w:line="440" w:lineRule="exact"/>
        <w:ind w:left="550" w:hanging="550" w:hangingChars="250"/>
        <w:rPr>
          <w:rFonts w:ascii="新宋体" w:hAnsi="新宋体" w:eastAsia="新宋体"/>
          <w:color w:val="auto"/>
          <w:sz w:val="22"/>
          <w:szCs w:val="22"/>
          <w:highlight w:val="none"/>
        </w:rPr>
      </w:pPr>
    </w:p>
    <w:p w14:paraId="4AC72B00">
      <w:pPr>
        <w:spacing w:line="440" w:lineRule="exact"/>
        <w:ind w:left="550" w:hanging="550" w:hangingChars="250"/>
        <w:rPr>
          <w:rFonts w:ascii="新宋体" w:hAnsi="新宋体" w:eastAsia="新宋体"/>
          <w:color w:val="auto"/>
          <w:sz w:val="22"/>
          <w:szCs w:val="22"/>
          <w:highlight w:val="none"/>
        </w:rPr>
      </w:pPr>
    </w:p>
    <w:p w14:paraId="0FB143CE">
      <w:pPr>
        <w:spacing w:line="440" w:lineRule="exact"/>
        <w:ind w:left="550" w:hanging="550" w:hangingChars="250"/>
        <w:rPr>
          <w:rFonts w:ascii="新宋体" w:hAnsi="新宋体" w:eastAsia="新宋体"/>
          <w:color w:val="auto"/>
          <w:sz w:val="22"/>
          <w:szCs w:val="22"/>
          <w:highlight w:val="none"/>
        </w:rPr>
      </w:pPr>
    </w:p>
    <w:p w14:paraId="486CA9FB">
      <w:pPr>
        <w:spacing w:line="600" w:lineRule="exact"/>
        <w:ind w:left="4400" w:leftChars="1162" w:hanging="1960" w:hangingChars="700"/>
        <w:rPr>
          <w:rFonts w:hint="eastAsia" w:ascii="新宋体" w:hAnsi="新宋体" w:eastAsia="新宋体"/>
          <w:color w:val="auto"/>
          <w:sz w:val="28"/>
          <w:highlight w:val="none"/>
          <w:u w:val="single"/>
          <w:lang w:eastAsia="zh-CN"/>
        </w:rPr>
      </w:pPr>
      <w:r>
        <w:rPr>
          <w:rFonts w:hint="eastAsia" w:ascii="新宋体" w:hAnsi="新宋体" w:eastAsia="新宋体"/>
          <w:color w:val="auto"/>
          <w:sz w:val="28"/>
          <w:highlight w:val="none"/>
        </w:rPr>
        <w:t>项 目 名 称：</w:t>
      </w:r>
      <w:r>
        <w:rPr>
          <w:rFonts w:hint="eastAsia" w:ascii="新宋体" w:hAnsi="新宋体" w:eastAsia="新宋体"/>
          <w:color w:val="auto"/>
          <w:sz w:val="28"/>
          <w:highlight w:val="none"/>
          <w:u w:val="single"/>
          <w:lang w:eastAsia="zh-CN"/>
        </w:rPr>
        <w:t>2025年春节慰问物资</w:t>
      </w:r>
    </w:p>
    <w:p w14:paraId="599A00FC">
      <w:pPr>
        <w:snapToGrid w:val="0"/>
        <w:jc w:val="left"/>
        <w:rPr>
          <w:color w:val="auto"/>
          <w:highlight w:val="none"/>
        </w:rPr>
      </w:pPr>
    </w:p>
    <w:p w14:paraId="3756367C">
      <w:pPr>
        <w:spacing w:line="600" w:lineRule="exact"/>
        <w:ind w:left="4061" w:leftChars="1134" w:hanging="1680" w:hangingChars="600"/>
        <w:rPr>
          <w:rFonts w:ascii="新宋体" w:hAnsi="新宋体" w:eastAsia="新宋体"/>
          <w:color w:val="auto"/>
          <w:sz w:val="28"/>
          <w:highlight w:val="none"/>
        </w:rPr>
      </w:pPr>
      <w:r>
        <w:rPr>
          <w:rFonts w:hint="eastAsia" w:ascii="新宋体" w:hAnsi="新宋体" w:eastAsia="新宋体"/>
          <w:color w:val="auto"/>
          <w:sz w:val="28"/>
          <w:highlight w:val="none"/>
        </w:rPr>
        <w:t>项 目 地 点：</w:t>
      </w:r>
    </w:p>
    <w:p w14:paraId="052C97DB">
      <w:pPr>
        <w:spacing w:line="600" w:lineRule="exact"/>
        <w:ind w:firstLine="2413" w:firstLineChars="862"/>
        <w:rPr>
          <w:rFonts w:ascii="新宋体" w:hAnsi="新宋体" w:eastAsia="新宋体"/>
          <w:color w:val="auto"/>
          <w:sz w:val="28"/>
          <w:highlight w:val="none"/>
        </w:rPr>
      </w:pPr>
      <w:r>
        <w:rPr>
          <w:rFonts w:hint="eastAsia" w:ascii="新宋体" w:hAnsi="新宋体" w:eastAsia="新宋体"/>
          <w:color w:val="auto"/>
          <w:sz w:val="28"/>
          <w:highlight w:val="none"/>
        </w:rPr>
        <w:t>合 同 编 号：</w:t>
      </w:r>
    </w:p>
    <w:p w14:paraId="270042F0">
      <w:pPr>
        <w:spacing w:line="600" w:lineRule="exact"/>
        <w:ind w:firstLine="4373" w:firstLineChars="1562"/>
        <w:rPr>
          <w:rFonts w:ascii="新宋体" w:hAnsi="新宋体" w:eastAsia="新宋体"/>
          <w:color w:val="auto"/>
          <w:sz w:val="28"/>
          <w:highlight w:val="none"/>
        </w:rPr>
      </w:pPr>
    </w:p>
    <w:p w14:paraId="72168091">
      <w:pPr>
        <w:spacing w:line="600" w:lineRule="exact"/>
        <w:ind w:firstLine="2413" w:firstLineChars="862"/>
        <w:rPr>
          <w:rFonts w:ascii="新宋体" w:hAnsi="新宋体" w:eastAsia="新宋体"/>
          <w:color w:val="auto"/>
          <w:sz w:val="28"/>
          <w:highlight w:val="none"/>
        </w:rPr>
      </w:pPr>
    </w:p>
    <w:p w14:paraId="19B830FE">
      <w:pPr>
        <w:spacing w:line="600" w:lineRule="exact"/>
        <w:ind w:firstLine="2413" w:firstLineChars="862"/>
        <w:rPr>
          <w:rFonts w:ascii="新宋体" w:hAnsi="新宋体" w:eastAsia="新宋体"/>
          <w:color w:val="auto"/>
          <w:sz w:val="28"/>
          <w:highlight w:val="none"/>
        </w:rPr>
      </w:pPr>
    </w:p>
    <w:p w14:paraId="60116ACD">
      <w:pPr>
        <w:spacing w:line="600" w:lineRule="exact"/>
        <w:ind w:firstLine="2413" w:firstLineChars="862"/>
        <w:rPr>
          <w:rFonts w:ascii="新宋体" w:hAnsi="新宋体" w:eastAsia="新宋体"/>
          <w:color w:val="auto"/>
          <w:sz w:val="28"/>
          <w:highlight w:val="none"/>
        </w:rPr>
      </w:pPr>
      <w:r>
        <w:rPr>
          <w:rFonts w:hint="eastAsia" w:ascii="新宋体" w:hAnsi="新宋体" w:eastAsia="新宋体"/>
          <w:color w:val="auto"/>
          <w:sz w:val="28"/>
          <w:highlight w:val="none"/>
        </w:rPr>
        <w:t>委   托   方：</w:t>
      </w:r>
      <w:r>
        <w:rPr>
          <w:rFonts w:hint="eastAsia" w:ascii="新宋体" w:hAnsi="新宋体" w:eastAsia="新宋体"/>
          <w:color w:val="auto"/>
          <w:sz w:val="28"/>
          <w:highlight w:val="none"/>
          <w:u w:val="single"/>
        </w:rPr>
        <w:t xml:space="preserve"> </w:t>
      </w:r>
      <w:r>
        <w:rPr>
          <w:rFonts w:hint="eastAsia" w:ascii="新宋体" w:hAnsi="新宋体" w:eastAsia="新宋体"/>
          <w:color w:val="auto"/>
          <w:sz w:val="28"/>
          <w:highlight w:val="none"/>
          <w:u w:val="single"/>
          <w:lang w:eastAsia="zh-CN"/>
        </w:rPr>
        <w:t>温州市退役军人事务局</w:t>
      </w:r>
      <w:r>
        <w:rPr>
          <w:rFonts w:hint="eastAsia" w:ascii="新宋体" w:hAnsi="新宋体" w:eastAsia="新宋体"/>
          <w:color w:val="auto"/>
          <w:sz w:val="28"/>
          <w:highlight w:val="none"/>
          <w:u w:val="single"/>
        </w:rPr>
        <w:t xml:space="preserve"> </w:t>
      </w:r>
    </w:p>
    <w:p w14:paraId="37477D26">
      <w:pPr>
        <w:spacing w:line="600" w:lineRule="exact"/>
        <w:ind w:firstLine="2413" w:firstLineChars="862"/>
        <w:rPr>
          <w:rFonts w:ascii="新宋体" w:hAnsi="新宋体" w:eastAsia="新宋体"/>
          <w:color w:val="auto"/>
          <w:sz w:val="28"/>
          <w:highlight w:val="none"/>
        </w:rPr>
      </w:pPr>
      <w:r>
        <w:rPr>
          <w:rFonts w:hint="eastAsia" w:ascii="新宋体" w:hAnsi="新宋体" w:eastAsia="新宋体"/>
          <w:color w:val="auto"/>
          <w:sz w:val="28"/>
          <w:highlight w:val="none"/>
        </w:rPr>
        <w:t>承   包   方：</w:t>
      </w:r>
    </w:p>
    <w:p w14:paraId="2BDE6597">
      <w:pPr>
        <w:spacing w:line="600" w:lineRule="exact"/>
        <w:ind w:left="701" w:leftChars="334" w:firstLine="1680" w:firstLineChars="600"/>
        <w:rPr>
          <w:rFonts w:ascii="新宋体" w:hAnsi="新宋体" w:eastAsia="新宋体"/>
          <w:color w:val="auto"/>
          <w:sz w:val="22"/>
          <w:szCs w:val="22"/>
          <w:highlight w:val="none"/>
        </w:rPr>
      </w:pPr>
      <w:r>
        <w:rPr>
          <w:rFonts w:hint="eastAsia" w:ascii="新宋体" w:hAnsi="新宋体" w:eastAsia="新宋体"/>
          <w:color w:val="auto"/>
          <w:sz w:val="28"/>
          <w:highlight w:val="none"/>
        </w:rPr>
        <w:t>签  订 日 期：</w:t>
      </w:r>
    </w:p>
    <w:p w14:paraId="2D07A9B2">
      <w:pPr>
        <w:spacing w:line="600" w:lineRule="exact"/>
        <w:ind w:left="550" w:hanging="550" w:hangingChars="250"/>
        <w:rPr>
          <w:rFonts w:ascii="新宋体" w:hAnsi="新宋体" w:eastAsia="新宋体"/>
          <w:color w:val="auto"/>
          <w:sz w:val="22"/>
          <w:szCs w:val="22"/>
          <w:highlight w:val="none"/>
        </w:rPr>
      </w:pPr>
    </w:p>
    <w:p w14:paraId="77E41359">
      <w:pPr>
        <w:spacing w:line="600" w:lineRule="exact"/>
        <w:ind w:left="550" w:hanging="550" w:hangingChars="250"/>
        <w:rPr>
          <w:rFonts w:ascii="新宋体" w:hAnsi="新宋体" w:eastAsia="新宋体"/>
          <w:color w:val="auto"/>
          <w:sz w:val="22"/>
          <w:szCs w:val="22"/>
          <w:highlight w:val="none"/>
        </w:rPr>
      </w:pPr>
    </w:p>
    <w:p w14:paraId="4107ABC5">
      <w:pPr>
        <w:spacing w:line="600" w:lineRule="exact"/>
        <w:ind w:left="550" w:hanging="550" w:hangingChars="250"/>
        <w:rPr>
          <w:rFonts w:ascii="新宋体" w:hAnsi="新宋体" w:eastAsia="新宋体"/>
          <w:color w:val="auto"/>
          <w:sz w:val="22"/>
          <w:szCs w:val="22"/>
          <w:highlight w:val="none"/>
        </w:rPr>
      </w:pPr>
    </w:p>
    <w:p w14:paraId="486104F3">
      <w:pPr>
        <w:rPr>
          <w:rFonts w:hint="eastAsia" w:ascii="宋体" w:hAnsi="宋体" w:cs="宋体"/>
          <w:color w:val="auto"/>
          <w:sz w:val="22"/>
          <w:szCs w:val="22"/>
          <w:highlight w:val="none"/>
        </w:rPr>
      </w:pPr>
      <w:r>
        <w:rPr>
          <w:rFonts w:hint="eastAsia" w:ascii="宋体" w:hAnsi="宋体" w:cs="宋体"/>
          <w:color w:val="auto"/>
          <w:sz w:val="22"/>
          <w:szCs w:val="22"/>
          <w:highlight w:val="none"/>
        </w:rPr>
        <w:br w:type="page"/>
      </w:r>
    </w:p>
    <w:p w14:paraId="569C5963">
      <w:pPr>
        <w:spacing w:line="360" w:lineRule="auto"/>
        <w:ind w:left="0" w:leftChars="0" w:firstLine="638" w:firstLineChars="290"/>
        <w:rPr>
          <w:rFonts w:hint="eastAsia" w:ascii="宋体" w:hAnsi="宋体" w:cs="宋体"/>
          <w:color w:val="auto"/>
          <w:sz w:val="22"/>
          <w:szCs w:val="22"/>
          <w:highlight w:val="none"/>
        </w:rPr>
      </w:pPr>
      <w:r>
        <w:rPr>
          <w:rFonts w:hint="eastAsia" w:ascii="宋体" w:hAnsi="宋体" w:cs="宋体"/>
          <w:color w:val="auto"/>
          <w:sz w:val="22"/>
          <w:szCs w:val="22"/>
          <w:highlight w:val="none"/>
        </w:rPr>
        <w:t>甲方：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（采购人）</w:t>
      </w:r>
    </w:p>
    <w:p w14:paraId="693D9957">
      <w:pPr>
        <w:spacing w:line="360" w:lineRule="auto"/>
        <w:ind w:left="0" w:leftChars="0" w:firstLine="638" w:firstLineChars="29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乙方: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（中标供应商）</w:t>
      </w:r>
    </w:p>
    <w:p w14:paraId="6361F3B8">
      <w:pPr>
        <w:spacing w:line="360" w:lineRule="auto"/>
        <w:ind w:firstLine="660" w:firstLineChars="300"/>
        <w:rPr>
          <w:rFonts w:hint="eastAsia" w:ascii="宋体" w:hAnsi="宋体" w:cs="宋体"/>
          <w:color w:val="auto"/>
          <w:sz w:val="22"/>
          <w:szCs w:val="22"/>
          <w:highlight w:val="none"/>
        </w:rPr>
      </w:pP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（项目名称、编号）在国内以公开招标方式进行采购，经评标委员会评定</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（中标人名称）为中标人。双方本着诚信及互利互惠的原则，同意按照下面条款和条件，签署本合同。</w:t>
      </w:r>
    </w:p>
    <w:p w14:paraId="0318C95D">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一、本合同签订依据</w:t>
      </w:r>
    </w:p>
    <w:p w14:paraId="6ABF8C81">
      <w:pPr>
        <w:spacing w:line="360" w:lineRule="auto"/>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《中华人民共和国民法典》</w:t>
      </w:r>
    </w:p>
    <w:p w14:paraId="66502359">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二、合同文件的优先次序</w:t>
      </w:r>
    </w:p>
    <w:p w14:paraId="13341311">
      <w:pPr>
        <w:spacing w:line="360" w:lineRule="auto"/>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合同文件如存在歧义或不一致则根据以下优先次序来判断：</w:t>
      </w:r>
    </w:p>
    <w:p w14:paraId="3445DF1A">
      <w:pPr>
        <w:spacing w:line="360" w:lineRule="auto"/>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1、合同书及合同补充条款或说明 </w:t>
      </w:r>
    </w:p>
    <w:p w14:paraId="6CE08205">
      <w:pPr>
        <w:spacing w:line="360" w:lineRule="auto"/>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2、中标通知书</w:t>
      </w:r>
    </w:p>
    <w:p w14:paraId="433B0F56">
      <w:pPr>
        <w:spacing w:line="360" w:lineRule="auto"/>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3、承诺书（含询标记录和优惠条款）</w:t>
      </w:r>
    </w:p>
    <w:p w14:paraId="30D21022">
      <w:pPr>
        <w:spacing w:line="360" w:lineRule="auto"/>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4、招标文件</w:t>
      </w:r>
    </w:p>
    <w:p w14:paraId="254AD6B9">
      <w:pPr>
        <w:spacing w:line="360" w:lineRule="auto"/>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5、投标文件</w:t>
      </w:r>
    </w:p>
    <w:p w14:paraId="77B63A62">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三、采购内容</w:t>
      </w:r>
    </w:p>
    <w:p w14:paraId="114AA292">
      <w:pPr>
        <w:spacing w:line="360" w:lineRule="auto"/>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1、产品名称、规格及数量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16"/>
        <w:gridCol w:w="1065"/>
        <w:gridCol w:w="1065"/>
        <w:gridCol w:w="1065"/>
        <w:gridCol w:w="1065"/>
        <w:gridCol w:w="1065"/>
        <w:gridCol w:w="1065"/>
      </w:tblGrid>
      <w:tr w14:paraId="198FD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top"/>
          </w:tcPr>
          <w:p w14:paraId="258CF20D">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1416" w:type="dxa"/>
            <w:noWrap w:val="0"/>
            <w:vAlign w:val="top"/>
          </w:tcPr>
          <w:p w14:paraId="27C3BD0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产品名称</w:t>
            </w:r>
          </w:p>
        </w:tc>
        <w:tc>
          <w:tcPr>
            <w:tcW w:w="1065" w:type="dxa"/>
            <w:noWrap w:val="0"/>
            <w:vAlign w:val="top"/>
          </w:tcPr>
          <w:p w14:paraId="5B91C72D">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单价</w:t>
            </w:r>
          </w:p>
        </w:tc>
        <w:tc>
          <w:tcPr>
            <w:tcW w:w="1065" w:type="dxa"/>
            <w:noWrap w:val="0"/>
            <w:vAlign w:val="top"/>
          </w:tcPr>
          <w:p w14:paraId="2E2B4D03">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数量</w:t>
            </w:r>
          </w:p>
        </w:tc>
        <w:tc>
          <w:tcPr>
            <w:tcW w:w="1065" w:type="dxa"/>
            <w:noWrap w:val="0"/>
            <w:vAlign w:val="top"/>
          </w:tcPr>
          <w:p w14:paraId="44333E9C">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合价</w:t>
            </w:r>
          </w:p>
        </w:tc>
        <w:tc>
          <w:tcPr>
            <w:tcW w:w="1065" w:type="dxa"/>
            <w:noWrap w:val="0"/>
            <w:vAlign w:val="top"/>
          </w:tcPr>
          <w:p w14:paraId="268B26A1">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是否进口</w:t>
            </w:r>
          </w:p>
        </w:tc>
        <w:tc>
          <w:tcPr>
            <w:tcW w:w="1065" w:type="dxa"/>
            <w:noWrap w:val="0"/>
            <w:vAlign w:val="top"/>
          </w:tcPr>
          <w:p w14:paraId="64BF4C9A">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交货周期</w:t>
            </w:r>
          </w:p>
        </w:tc>
        <w:tc>
          <w:tcPr>
            <w:tcW w:w="1065" w:type="dxa"/>
            <w:noWrap w:val="0"/>
            <w:vAlign w:val="top"/>
          </w:tcPr>
          <w:p w14:paraId="55BA2D5B">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14:paraId="0705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top"/>
          </w:tcPr>
          <w:p w14:paraId="36904BEE">
            <w:pPr>
              <w:spacing w:line="360" w:lineRule="auto"/>
              <w:rPr>
                <w:rFonts w:hint="eastAsia" w:ascii="宋体" w:hAnsi="宋体" w:cs="宋体"/>
                <w:color w:val="auto"/>
                <w:sz w:val="22"/>
                <w:szCs w:val="22"/>
                <w:highlight w:val="none"/>
              </w:rPr>
            </w:pPr>
          </w:p>
        </w:tc>
        <w:tc>
          <w:tcPr>
            <w:tcW w:w="1416" w:type="dxa"/>
            <w:noWrap w:val="0"/>
            <w:vAlign w:val="top"/>
          </w:tcPr>
          <w:p w14:paraId="28547426">
            <w:pPr>
              <w:spacing w:line="360" w:lineRule="auto"/>
              <w:rPr>
                <w:rFonts w:hint="eastAsia" w:ascii="宋体" w:hAnsi="宋体" w:cs="宋体"/>
                <w:color w:val="auto"/>
                <w:sz w:val="22"/>
                <w:szCs w:val="22"/>
                <w:highlight w:val="none"/>
              </w:rPr>
            </w:pPr>
          </w:p>
        </w:tc>
        <w:tc>
          <w:tcPr>
            <w:tcW w:w="1065" w:type="dxa"/>
            <w:noWrap w:val="0"/>
            <w:vAlign w:val="top"/>
          </w:tcPr>
          <w:p w14:paraId="4E258A34">
            <w:pPr>
              <w:spacing w:line="360" w:lineRule="auto"/>
              <w:rPr>
                <w:rFonts w:hint="eastAsia" w:ascii="宋体" w:hAnsi="宋体" w:cs="宋体"/>
                <w:color w:val="auto"/>
                <w:sz w:val="22"/>
                <w:szCs w:val="22"/>
                <w:highlight w:val="none"/>
              </w:rPr>
            </w:pPr>
          </w:p>
        </w:tc>
        <w:tc>
          <w:tcPr>
            <w:tcW w:w="1065" w:type="dxa"/>
            <w:noWrap w:val="0"/>
            <w:vAlign w:val="top"/>
          </w:tcPr>
          <w:p w14:paraId="324142F5">
            <w:pPr>
              <w:spacing w:line="360" w:lineRule="auto"/>
              <w:rPr>
                <w:rFonts w:hint="eastAsia" w:ascii="宋体" w:hAnsi="宋体" w:cs="宋体"/>
                <w:color w:val="auto"/>
                <w:sz w:val="22"/>
                <w:szCs w:val="22"/>
                <w:highlight w:val="none"/>
              </w:rPr>
            </w:pPr>
          </w:p>
        </w:tc>
        <w:tc>
          <w:tcPr>
            <w:tcW w:w="1065" w:type="dxa"/>
            <w:noWrap w:val="0"/>
            <w:vAlign w:val="top"/>
          </w:tcPr>
          <w:p w14:paraId="5E1B7293">
            <w:pPr>
              <w:spacing w:line="360" w:lineRule="auto"/>
              <w:rPr>
                <w:rFonts w:hint="eastAsia" w:ascii="宋体" w:hAnsi="宋体" w:cs="宋体"/>
                <w:color w:val="auto"/>
                <w:sz w:val="22"/>
                <w:szCs w:val="22"/>
                <w:highlight w:val="none"/>
              </w:rPr>
            </w:pPr>
          </w:p>
        </w:tc>
        <w:tc>
          <w:tcPr>
            <w:tcW w:w="1065" w:type="dxa"/>
            <w:noWrap w:val="0"/>
            <w:vAlign w:val="top"/>
          </w:tcPr>
          <w:p w14:paraId="6D017932">
            <w:pPr>
              <w:spacing w:line="360" w:lineRule="auto"/>
              <w:rPr>
                <w:rFonts w:hint="eastAsia" w:ascii="宋体" w:hAnsi="宋体" w:cs="宋体"/>
                <w:color w:val="auto"/>
                <w:sz w:val="22"/>
                <w:szCs w:val="22"/>
                <w:highlight w:val="none"/>
              </w:rPr>
            </w:pPr>
          </w:p>
        </w:tc>
        <w:tc>
          <w:tcPr>
            <w:tcW w:w="1065" w:type="dxa"/>
            <w:noWrap w:val="0"/>
            <w:vAlign w:val="top"/>
          </w:tcPr>
          <w:p w14:paraId="58F9C54A">
            <w:pPr>
              <w:spacing w:line="360" w:lineRule="auto"/>
              <w:rPr>
                <w:rFonts w:hint="eastAsia" w:ascii="宋体" w:hAnsi="宋体" w:cs="宋体"/>
                <w:color w:val="auto"/>
                <w:sz w:val="22"/>
                <w:szCs w:val="22"/>
                <w:highlight w:val="none"/>
              </w:rPr>
            </w:pPr>
          </w:p>
        </w:tc>
        <w:tc>
          <w:tcPr>
            <w:tcW w:w="1065" w:type="dxa"/>
            <w:noWrap w:val="0"/>
            <w:vAlign w:val="top"/>
          </w:tcPr>
          <w:p w14:paraId="5C6DF253">
            <w:pPr>
              <w:spacing w:line="360" w:lineRule="auto"/>
              <w:rPr>
                <w:rFonts w:hint="eastAsia" w:ascii="宋体" w:hAnsi="宋体" w:cs="宋体"/>
                <w:color w:val="auto"/>
                <w:sz w:val="22"/>
                <w:szCs w:val="22"/>
                <w:highlight w:val="none"/>
              </w:rPr>
            </w:pPr>
          </w:p>
        </w:tc>
      </w:tr>
      <w:tr w14:paraId="56FA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top"/>
          </w:tcPr>
          <w:p w14:paraId="3AB8D1A9">
            <w:pPr>
              <w:spacing w:line="360" w:lineRule="auto"/>
              <w:rPr>
                <w:rFonts w:hint="eastAsia" w:ascii="宋体" w:hAnsi="宋体" w:cs="宋体"/>
                <w:color w:val="auto"/>
                <w:sz w:val="22"/>
                <w:szCs w:val="22"/>
                <w:highlight w:val="none"/>
              </w:rPr>
            </w:pPr>
          </w:p>
        </w:tc>
        <w:tc>
          <w:tcPr>
            <w:tcW w:w="1416" w:type="dxa"/>
            <w:noWrap w:val="0"/>
            <w:vAlign w:val="top"/>
          </w:tcPr>
          <w:p w14:paraId="684783E5">
            <w:pPr>
              <w:spacing w:line="360" w:lineRule="auto"/>
              <w:rPr>
                <w:rFonts w:hint="eastAsia" w:ascii="宋体" w:hAnsi="宋体" w:cs="宋体"/>
                <w:color w:val="auto"/>
                <w:sz w:val="22"/>
                <w:szCs w:val="22"/>
                <w:highlight w:val="none"/>
              </w:rPr>
            </w:pPr>
          </w:p>
        </w:tc>
        <w:tc>
          <w:tcPr>
            <w:tcW w:w="1065" w:type="dxa"/>
            <w:noWrap w:val="0"/>
            <w:vAlign w:val="top"/>
          </w:tcPr>
          <w:p w14:paraId="41209C6C">
            <w:pPr>
              <w:spacing w:line="360" w:lineRule="auto"/>
              <w:rPr>
                <w:rFonts w:hint="eastAsia" w:ascii="宋体" w:hAnsi="宋体" w:cs="宋体"/>
                <w:color w:val="auto"/>
                <w:sz w:val="22"/>
                <w:szCs w:val="22"/>
                <w:highlight w:val="none"/>
              </w:rPr>
            </w:pPr>
          </w:p>
        </w:tc>
        <w:tc>
          <w:tcPr>
            <w:tcW w:w="1065" w:type="dxa"/>
            <w:noWrap w:val="0"/>
            <w:vAlign w:val="top"/>
          </w:tcPr>
          <w:p w14:paraId="2745CCBF">
            <w:pPr>
              <w:spacing w:line="360" w:lineRule="auto"/>
              <w:rPr>
                <w:rFonts w:hint="eastAsia" w:ascii="宋体" w:hAnsi="宋体" w:cs="宋体"/>
                <w:color w:val="auto"/>
                <w:sz w:val="22"/>
                <w:szCs w:val="22"/>
                <w:highlight w:val="none"/>
              </w:rPr>
            </w:pPr>
          </w:p>
        </w:tc>
        <w:tc>
          <w:tcPr>
            <w:tcW w:w="1065" w:type="dxa"/>
            <w:noWrap w:val="0"/>
            <w:vAlign w:val="top"/>
          </w:tcPr>
          <w:p w14:paraId="4BC17D12">
            <w:pPr>
              <w:spacing w:line="360" w:lineRule="auto"/>
              <w:rPr>
                <w:rFonts w:hint="eastAsia" w:ascii="宋体" w:hAnsi="宋体" w:cs="宋体"/>
                <w:color w:val="auto"/>
                <w:sz w:val="22"/>
                <w:szCs w:val="22"/>
                <w:highlight w:val="none"/>
              </w:rPr>
            </w:pPr>
          </w:p>
        </w:tc>
        <w:tc>
          <w:tcPr>
            <w:tcW w:w="1065" w:type="dxa"/>
            <w:noWrap w:val="0"/>
            <w:vAlign w:val="top"/>
          </w:tcPr>
          <w:p w14:paraId="18E54237">
            <w:pPr>
              <w:spacing w:line="360" w:lineRule="auto"/>
              <w:rPr>
                <w:rFonts w:hint="eastAsia" w:ascii="宋体" w:hAnsi="宋体" w:cs="宋体"/>
                <w:color w:val="auto"/>
                <w:sz w:val="22"/>
                <w:szCs w:val="22"/>
                <w:highlight w:val="none"/>
              </w:rPr>
            </w:pPr>
          </w:p>
        </w:tc>
        <w:tc>
          <w:tcPr>
            <w:tcW w:w="1065" w:type="dxa"/>
            <w:noWrap w:val="0"/>
            <w:vAlign w:val="top"/>
          </w:tcPr>
          <w:p w14:paraId="3AD34210">
            <w:pPr>
              <w:spacing w:line="360" w:lineRule="auto"/>
              <w:rPr>
                <w:rFonts w:hint="eastAsia" w:ascii="宋体" w:hAnsi="宋体" w:cs="宋体"/>
                <w:color w:val="auto"/>
                <w:sz w:val="22"/>
                <w:szCs w:val="22"/>
                <w:highlight w:val="none"/>
              </w:rPr>
            </w:pPr>
          </w:p>
        </w:tc>
        <w:tc>
          <w:tcPr>
            <w:tcW w:w="1065" w:type="dxa"/>
            <w:noWrap w:val="0"/>
            <w:vAlign w:val="top"/>
          </w:tcPr>
          <w:p w14:paraId="3561016C">
            <w:pPr>
              <w:spacing w:line="360" w:lineRule="auto"/>
              <w:rPr>
                <w:rFonts w:hint="eastAsia" w:ascii="宋体" w:hAnsi="宋体" w:cs="宋体"/>
                <w:color w:val="auto"/>
                <w:sz w:val="22"/>
                <w:szCs w:val="22"/>
                <w:highlight w:val="none"/>
              </w:rPr>
            </w:pPr>
          </w:p>
        </w:tc>
      </w:tr>
      <w:tr w14:paraId="049A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2" w:type="dxa"/>
            <w:gridSpan w:val="8"/>
            <w:noWrap w:val="0"/>
            <w:vAlign w:val="top"/>
          </w:tcPr>
          <w:p w14:paraId="7BA8BD16">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合同额：大写：                              小写：</w:t>
            </w:r>
          </w:p>
        </w:tc>
      </w:tr>
    </w:tbl>
    <w:p w14:paraId="2ECD24B3">
      <w:pPr>
        <w:spacing w:line="360" w:lineRule="auto"/>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此表为物资单套单价，总采购金额不超过玖拾万元整，最终以实际采购数量结算。</w:t>
      </w:r>
    </w:p>
    <w:p w14:paraId="3AE78263">
      <w:pPr>
        <w:spacing w:line="360" w:lineRule="auto"/>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2、标准和计量单位</w:t>
      </w:r>
    </w:p>
    <w:p w14:paraId="1394E447">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（1）本合同项下交付的货物应符合技术规格所述的标准。如在招标文件中无相应说明，则以国家颁布的最新版本标准或行业（部）标准或相应的国际标准执行，没有国家或行业（部）标准的则按企业标准执行。</w:t>
      </w:r>
    </w:p>
    <w:p w14:paraId="19F35515">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 除非技术规格中另有规定，计量单位均采用中华人民共和国法定计量单位。</w:t>
      </w:r>
    </w:p>
    <w:p w14:paraId="3D7F7562">
      <w:pPr>
        <w:spacing w:line="360" w:lineRule="auto"/>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3、专利权</w:t>
      </w:r>
    </w:p>
    <w:p w14:paraId="1D17B661">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乙方应保证，甲方在使用该货物或货物的任何一部分时，免受第三方提出的侵犯其专利权、商标权、著作权或其它知识产权的起诉。乙方应承担由此可能产生的一切法律责任和费用。</w:t>
      </w:r>
    </w:p>
    <w:p w14:paraId="77EEB794">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四、交货</w:t>
      </w:r>
    </w:p>
    <w:p w14:paraId="3CB26A57">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1、包装要求</w:t>
      </w:r>
    </w:p>
    <w:p w14:paraId="30D33F97">
      <w:pPr>
        <w:spacing w:line="360" w:lineRule="auto"/>
        <w:ind w:firstLine="539" w:firstLineChars="245"/>
        <w:rPr>
          <w:rFonts w:hint="eastAsia" w:ascii="宋体" w:hAnsi="宋体" w:cs="宋体"/>
          <w:color w:val="auto"/>
          <w:sz w:val="22"/>
          <w:szCs w:val="22"/>
          <w:highlight w:val="none"/>
        </w:rPr>
      </w:pPr>
      <w:bookmarkStart w:id="65" w:name="OLE_LINK4"/>
      <w:r>
        <w:rPr>
          <w:rFonts w:hint="eastAsia" w:ascii="宋体" w:hAnsi="宋体" w:cs="宋体"/>
          <w:color w:val="auto"/>
          <w:sz w:val="22"/>
          <w:szCs w:val="22"/>
          <w:highlight w:val="none"/>
        </w:rPr>
        <w:t>（1）除合同另有规定外，乙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乙方应承担由于包装或防护措施不妥而引起货物锈蚀、损坏和丢失的任何损失的责任或费用。</w:t>
      </w:r>
    </w:p>
    <w:p w14:paraId="3D4AEA03">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（2）每一包装箱内必须附有装箱清单、合格证和齐全的技术资料等。</w:t>
      </w:r>
      <w:bookmarkEnd w:id="65"/>
    </w:p>
    <w:p w14:paraId="1AC706A9">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（3）乙方应在每一包装箱的四侧用不褪色的油漆以醒目的中文字样标注“收货人”“货物名称”“小心轻放”、“防潮”、“此端朝上，请勿倒置”等字样和其他国际贸易中使用的适当标志。</w:t>
      </w:r>
    </w:p>
    <w:p w14:paraId="211411AD">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2、交货方式</w:t>
      </w:r>
    </w:p>
    <w:p w14:paraId="725C238D">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（1）现场交货：乙方负责办理运输和保险，将货物运抵甲方指定的现场并落地就位。有关运输和保险的一切费用由乙方承担。所有货物运抵现场的日期为交货日期。</w:t>
      </w:r>
    </w:p>
    <w:p w14:paraId="138E7C31">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（2）在现场交货条件下，乙方在货物发运前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天，将要发运货物的合同号、货物名称、规格、数量、包装箱件数、重量、包装箱尺寸（长×宽×高）和货物的卸车，贮存的特殊要求以及运输工具名称以及启运日期，以传真形式通知甲方。</w:t>
      </w:r>
    </w:p>
    <w:p w14:paraId="194DAA1D">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（3）如因乙方延误将上述内容用传真形式通知甲方，由此引起的一切损失应由乙方承担。</w:t>
      </w:r>
    </w:p>
    <w:p w14:paraId="3AC7E0AE">
      <w:pPr>
        <w:spacing w:line="360" w:lineRule="auto"/>
        <w:ind w:firstLine="541" w:firstLineChars="245"/>
        <w:rPr>
          <w:rFonts w:hint="eastAsia" w:ascii="宋体" w:hAnsi="宋体" w:cs="宋体"/>
          <w:b/>
          <w:color w:val="auto"/>
          <w:sz w:val="22"/>
          <w:szCs w:val="22"/>
          <w:highlight w:val="none"/>
        </w:rPr>
      </w:pPr>
      <w:r>
        <w:rPr>
          <w:rFonts w:hint="eastAsia" w:ascii="宋体" w:hAnsi="宋体" w:cs="宋体"/>
          <w:b/>
          <w:color w:val="auto"/>
          <w:sz w:val="22"/>
          <w:szCs w:val="22"/>
          <w:highlight w:val="none"/>
        </w:rPr>
        <w:t>3、交付日期：</w:t>
      </w:r>
      <w:r>
        <w:rPr>
          <w:rFonts w:hint="eastAsia" w:ascii="宋体" w:hAnsi="宋体" w:cs="宋体"/>
          <w:bCs/>
          <w:color w:val="auto"/>
          <w:sz w:val="22"/>
          <w:szCs w:val="22"/>
          <w:highlight w:val="none"/>
        </w:rPr>
        <w:t>乙方在合同签订后</w:t>
      </w:r>
      <w:r>
        <w:rPr>
          <w:rFonts w:hint="eastAsia" w:ascii="宋体" w:hAnsi="宋体" w:cs="宋体"/>
          <w:bCs/>
          <w:color w:val="auto"/>
          <w:sz w:val="22"/>
          <w:szCs w:val="22"/>
          <w:highlight w:val="none"/>
          <w:lang w:val="en-US" w:eastAsia="zh-CN"/>
        </w:rPr>
        <w:t xml:space="preserve">  </w:t>
      </w:r>
      <w:r>
        <w:rPr>
          <w:rFonts w:hint="eastAsia" w:ascii="宋体" w:hAnsi="宋体" w:cs="宋体"/>
          <w:bCs/>
          <w:color w:val="auto"/>
          <w:sz w:val="22"/>
          <w:szCs w:val="22"/>
          <w:highlight w:val="none"/>
        </w:rPr>
        <w:t>天内完成所有货物的备货工作，经甲方通知后，发放至指定分发单位。</w:t>
      </w:r>
    </w:p>
    <w:p w14:paraId="18260292">
      <w:pPr>
        <w:spacing w:line="360" w:lineRule="auto"/>
        <w:ind w:firstLine="541" w:firstLineChars="245"/>
        <w:rPr>
          <w:rFonts w:hint="eastAsia" w:ascii="宋体" w:hAnsi="宋体" w:cs="宋体"/>
          <w:b/>
          <w:color w:val="auto"/>
          <w:sz w:val="22"/>
          <w:szCs w:val="22"/>
          <w:highlight w:val="none"/>
        </w:rPr>
      </w:pPr>
      <w:r>
        <w:rPr>
          <w:rFonts w:hint="eastAsia" w:ascii="宋体" w:hAnsi="宋体" w:cs="宋体"/>
          <w:b/>
          <w:color w:val="auto"/>
          <w:sz w:val="22"/>
          <w:szCs w:val="22"/>
          <w:highlight w:val="none"/>
        </w:rPr>
        <w:t xml:space="preserve">4、交货地点：业主指定地点 </w:t>
      </w:r>
    </w:p>
    <w:p w14:paraId="583FC4E3">
      <w:pPr>
        <w:spacing w:line="360" w:lineRule="auto"/>
        <w:ind w:firstLine="541" w:firstLineChars="245"/>
        <w:rPr>
          <w:rFonts w:hint="eastAsia" w:ascii="宋体" w:hAnsi="宋体" w:cs="宋体"/>
          <w:b/>
          <w:color w:val="auto"/>
          <w:sz w:val="22"/>
          <w:szCs w:val="22"/>
          <w:highlight w:val="none"/>
        </w:rPr>
      </w:pPr>
      <w:bookmarkStart w:id="66" w:name="OLE_LINK6"/>
      <w:r>
        <w:rPr>
          <w:rFonts w:hint="eastAsia" w:ascii="宋体" w:hAnsi="宋体" w:cs="宋体"/>
          <w:b/>
          <w:color w:val="auto"/>
          <w:sz w:val="22"/>
          <w:szCs w:val="22"/>
          <w:highlight w:val="none"/>
        </w:rPr>
        <w:t>5、技术文件和资料</w:t>
      </w:r>
    </w:p>
    <w:p w14:paraId="7D281113">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（1）提供技术文件和资料的种类和数量在本招标文件《招标内容及要求》中规定，甲乙双方可根据招标要求和需要订立具体的技术文件和资料交付时间和数量。</w:t>
      </w:r>
    </w:p>
    <w:p w14:paraId="03F1B3F3">
      <w:pPr>
        <w:spacing w:line="360" w:lineRule="auto"/>
        <w:ind w:firstLine="539" w:firstLineChars="245"/>
        <w:rPr>
          <w:rFonts w:hint="eastAsia" w:ascii="宋体" w:hAnsi="宋体" w:cs="宋体"/>
          <w:b/>
          <w:color w:val="auto"/>
          <w:sz w:val="22"/>
          <w:szCs w:val="22"/>
          <w:highlight w:val="none"/>
        </w:rPr>
      </w:pPr>
      <w:r>
        <w:rPr>
          <w:rFonts w:hint="eastAsia" w:ascii="宋体" w:hAnsi="宋体" w:cs="宋体"/>
          <w:color w:val="auto"/>
          <w:sz w:val="22"/>
          <w:szCs w:val="22"/>
          <w:highlight w:val="none"/>
        </w:rPr>
        <w:t>（2）如果甲方确认乙方提供的技术文件和资料不完整，或在运输途中丢失，乙方应在收到甲方通知后3天内将这些文件、资料补齐。</w:t>
      </w:r>
      <w:bookmarkEnd w:id="66"/>
    </w:p>
    <w:p w14:paraId="1A0E28C7">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五、付款方式与结算</w:t>
      </w:r>
    </w:p>
    <w:p w14:paraId="7C23FD30">
      <w:pPr>
        <w:widowControl/>
        <w:spacing w:line="360" w:lineRule="auto"/>
        <w:ind w:firstLine="440" w:firstLineChars="200"/>
        <w:rPr>
          <w:rFonts w:hint="eastAsia" w:ascii="宋体" w:hAnsi="宋体" w:cs="宋体"/>
          <w:color w:val="auto"/>
          <w:sz w:val="22"/>
          <w:szCs w:val="22"/>
          <w:highlight w:val="none"/>
        </w:rPr>
      </w:pPr>
      <w:r>
        <w:rPr>
          <w:rFonts w:hint="eastAsia" w:ascii="宋体" w:hAnsi="宋体"/>
          <w:color w:val="auto"/>
          <w:sz w:val="22"/>
          <w:szCs w:val="22"/>
          <w:highlight w:val="none"/>
        </w:rPr>
        <w:t>本项目不收取履约保证金。</w:t>
      </w:r>
    </w:p>
    <w:p w14:paraId="6081BB2A">
      <w:pPr>
        <w:spacing w:line="360" w:lineRule="auto"/>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甲方</w:t>
      </w:r>
      <w:r>
        <w:rPr>
          <w:rFonts w:hint="eastAsia" w:ascii="宋体" w:hAnsi="宋体" w:cs="宋体"/>
          <w:color w:val="auto"/>
          <w:sz w:val="22"/>
          <w:szCs w:val="22"/>
          <w:highlight w:val="none"/>
          <w:lang w:val="en-US" w:eastAsia="zh-CN"/>
        </w:rPr>
        <w:t>在合同签订后</w:t>
      </w:r>
      <w:r>
        <w:rPr>
          <w:rFonts w:hint="eastAsia" w:ascii="宋体" w:hAnsi="宋体" w:cs="宋体"/>
          <w:color w:val="auto"/>
          <w:sz w:val="22"/>
          <w:szCs w:val="22"/>
          <w:highlight w:val="none"/>
        </w:rPr>
        <w:t>7个工作日内，向乙方支付合同价50%的预付款，待乙方完成所有货物送货完成后，经甲方验收合格后7个工作日内，甲方向乙方支付合同剩余</w:t>
      </w:r>
      <w:r>
        <w:rPr>
          <w:rFonts w:hint="eastAsia" w:ascii="宋体" w:hAnsi="宋体" w:cs="宋体"/>
          <w:color w:val="auto"/>
          <w:sz w:val="22"/>
          <w:szCs w:val="22"/>
          <w:highlight w:val="none"/>
          <w:lang w:val="en-US" w:eastAsia="zh-CN"/>
        </w:rPr>
        <w:t>金额</w:t>
      </w:r>
      <w:r>
        <w:rPr>
          <w:rFonts w:hint="eastAsia" w:ascii="宋体" w:hAnsi="宋体" w:cs="宋体"/>
          <w:color w:val="auto"/>
          <w:sz w:val="22"/>
          <w:szCs w:val="22"/>
          <w:highlight w:val="none"/>
        </w:rPr>
        <w:t>。（每笔款项支付前卖方必须开具与支付金额相等的正规有效的增值税普通发票）。</w:t>
      </w:r>
    </w:p>
    <w:p w14:paraId="417AF3B7">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六、质量要求</w:t>
      </w:r>
    </w:p>
    <w:p w14:paraId="0BEC349D">
      <w:pPr>
        <w:spacing w:line="360" w:lineRule="auto"/>
        <w:ind w:firstLine="541" w:firstLineChars="245"/>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乙方所提供的产品必须符合国家有关的生产规范、标准。</w:t>
      </w:r>
    </w:p>
    <w:p w14:paraId="5CB1CD3F">
      <w:pPr>
        <w:spacing w:line="360" w:lineRule="auto"/>
        <w:ind w:firstLine="442" w:firstLineChars="200"/>
        <w:rPr>
          <w:rFonts w:hint="eastAsia" w:ascii="宋体" w:hAnsi="宋体" w:cs="宋体"/>
          <w:color w:val="auto"/>
          <w:sz w:val="22"/>
          <w:szCs w:val="22"/>
          <w:highlight w:val="none"/>
        </w:rPr>
      </w:pPr>
      <w:r>
        <w:rPr>
          <w:rFonts w:hint="eastAsia" w:ascii="宋体" w:hAnsi="宋体" w:cs="宋体"/>
          <w:b/>
          <w:bCs/>
          <w:color w:val="auto"/>
          <w:sz w:val="22"/>
          <w:szCs w:val="22"/>
          <w:highlight w:val="none"/>
        </w:rPr>
        <w:t>七、抽检</w:t>
      </w:r>
    </w:p>
    <w:p w14:paraId="2AD3E5A7">
      <w:pPr>
        <w:spacing w:line="360" w:lineRule="auto"/>
        <w:ind w:firstLine="541" w:firstLineChars="245"/>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甲方有权在乙方所有货物完成备货工作后，随机抽取3套送第三方检验，检验费用以及检验后供货数量补足费用由乙方承担，如抽检不通过，乙方须承担二次抽检送检费用，若二次抽检送检仍不合格，甲方有权拒绝验收。</w:t>
      </w:r>
    </w:p>
    <w:p w14:paraId="2413C019">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八、验收</w:t>
      </w:r>
    </w:p>
    <w:p w14:paraId="22B76833">
      <w:pPr>
        <w:spacing w:line="360" w:lineRule="auto"/>
        <w:ind w:firstLine="539" w:firstLineChars="245"/>
        <w:rPr>
          <w:rFonts w:hint="eastAsia" w:ascii="宋体" w:hAnsi="宋体" w:cs="宋体"/>
          <w:b/>
          <w:color w:val="auto"/>
          <w:sz w:val="22"/>
          <w:szCs w:val="22"/>
          <w:highlight w:val="none"/>
        </w:rPr>
      </w:pPr>
      <w:r>
        <w:rPr>
          <w:rFonts w:hint="eastAsia" w:ascii="宋体" w:hAnsi="宋体" w:cs="宋体"/>
          <w:color w:val="auto"/>
          <w:sz w:val="22"/>
          <w:szCs w:val="22"/>
          <w:highlight w:val="none"/>
        </w:rPr>
        <w:t>1、验收应在甲方和乙方双方共同参加下进行，若乙方不配合验收，甲方有权自行组织验收。</w:t>
      </w:r>
      <w:r>
        <w:rPr>
          <w:rFonts w:hint="eastAsia" w:ascii="宋体" w:hAnsi="宋体" w:cs="宋体"/>
          <w:b/>
          <w:color w:val="auto"/>
          <w:sz w:val="22"/>
          <w:szCs w:val="22"/>
          <w:highlight w:val="none"/>
        </w:rPr>
        <w:t> </w:t>
      </w:r>
    </w:p>
    <w:p w14:paraId="413BD2E1">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验收按国家有关的规定、规范进行。验收时如发现所交付的货物有短缺、次品、损坏等情形者，甲方应做出详尽的现场记录，或由甲方和乙方双方签署备忘录。此现场记录或备忘录可用作补充、缺失和更换损坏部件的有效证据。由此产生的有关费用由乙方承担。</w:t>
      </w:r>
    </w:p>
    <w:p w14:paraId="0DC70B24">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3、如果合同货物运输过程中因事故造成货物短缺、损坏，乙方应及时安排换货，以保证合同货物成功完整交付。换货的相关费用由乙方承担。</w:t>
      </w:r>
    </w:p>
    <w:p w14:paraId="45A5D575">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九、双方责任</w:t>
      </w:r>
    </w:p>
    <w:p w14:paraId="3E2959E5">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1、甲方</w:t>
      </w:r>
    </w:p>
    <w:p w14:paraId="26BAD12F">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（1）按合同规定向乙方支付货款。</w:t>
      </w:r>
    </w:p>
    <w:p w14:paraId="16A0C5B6">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（2）组织对货物的验收。</w:t>
      </w:r>
    </w:p>
    <w:p w14:paraId="5F9A7E41">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2、乙方</w:t>
      </w:r>
    </w:p>
    <w:p w14:paraId="347C1060">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（1）按合同要求提供货物和服务。</w:t>
      </w:r>
    </w:p>
    <w:p w14:paraId="6ED64889">
      <w:pPr>
        <w:spacing w:line="360" w:lineRule="auto"/>
        <w:ind w:firstLine="539" w:firstLineChars="245"/>
        <w:rPr>
          <w:rFonts w:hint="eastAsia" w:ascii="宋体" w:hAnsi="宋体" w:cs="宋体"/>
          <w:b/>
          <w:color w:val="auto"/>
          <w:sz w:val="22"/>
          <w:szCs w:val="22"/>
          <w:highlight w:val="none"/>
        </w:rPr>
      </w:pPr>
      <w:r>
        <w:rPr>
          <w:rFonts w:hint="eastAsia" w:ascii="宋体" w:hAnsi="宋体" w:cs="宋体"/>
          <w:color w:val="auto"/>
          <w:sz w:val="22"/>
          <w:szCs w:val="22"/>
          <w:highlight w:val="none"/>
        </w:rPr>
        <w:t>（2）对所提供的货物和服务质量问题无条件负责处理。</w:t>
      </w:r>
    </w:p>
    <w:p w14:paraId="572AF305">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十、乙方履约延误</w:t>
      </w:r>
    </w:p>
    <w:p w14:paraId="30A20487">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1、乙方应按照合同规定的时间交货和提供服务。</w:t>
      </w:r>
    </w:p>
    <w:p w14:paraId="5DFEF9FE">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在履行合同过程中，如果乙方遇到妨碍按时交货和提供服务的情况时，应在2个工作日内以书面形式将延误的事实、可能拖延的时间和原因通知甲方。甲方在收到乙方通知后，应尽快对情况进行分析评价，并确定是否同意延长交货时间以及是否收取误期赔偿费。延期应通过合同补充条款方式由双方认可。</w:t>
      </w:r>
    </w:p>
    <w:p w14:paraId="6E741417">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3、除了合同条款中不可抗力的情况外，除非延误是取得同意而不收取赔偿费，乙方延误交货或提供服务将按合同条款第十一条规定被收取误期赔偿费。</w:t>
      </w:r>
    </w:p>
    <w:p w14:paraId="6034E465">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4、所有提供的货物及验收都应服从甲方的统一安排。</w:t>
      </w:r>
    </w:p>
    <w:p w14:paraId="4542966F">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十一、误期赔偿费</w:t>
      </w:r>
    </w:p>
    <w:p w14:paraId="0623DA7E">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计收，直至交货或提供服务为止。误期赔偿费最高限额为合同价的百分之十（10%）。一旦延到误期赔偿费的最高限额，甲方可考虑终止合同。</w:t>
      </w:r>
    </w:p>
    <w:p w14:paraId="58A2DDF9">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十二、不可抗力</w:t>
      </w:r>
    </w:p>
    <w:p w14:paraId="0BAE09FC">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如果双方中任何一方由于战争、严重火灾、水灾、破坏性台风和地震以及其它经双方同意属不可抗力的事故，致使合同履行受阻时，履行合同期限应予延长，延长时限应相当于事故所影响的时间，或双方协商解决。</w:t>
      </w:r>
    </w:p>
    <w:p w14:paraId="5718147A">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十三、税费</w:t>
      </w:r>
    </w:p>
    <w:p w14:paraId="4BAA9CC5">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1、根据现行税法对乙方征收的与本合同有关的一切税费均由乙方承担。</w:t>
      </w:r>
    </w:p>
    <w:p w14:paraId="1515BA6E">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2、在中国境外发生的与本合同执行有关的一切税费由乙方承担。</w:t>
      </w:r>
    </w:p>
    <w:p w14:paraId="39474791">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十四、违约终止合同</w:t>
      </w:r>
    </w:p>
    <w:p w14:paraId="0DC79336">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1、甲方在乙方违约的情况下，如果发生下列情况之一，可考虑终止部分或全部合同：</w:t>
      </w:r>
    </w:p>
    <w:p w14:paraId="296A9535">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（1）乙方未能在合同规定的期限内或甲方同意延长的期限内提供全部或部分货物；</w:t>
      </w:r>
    </w:p>
    <w:p w14:paraId="6202429D">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乙方未能履行合同规定的其他任何义务。乙方在收到甲方发出的违约通知后30天内，或经甲方书面认可延长的时间内未能纠正其过失。甲方可向乙方发出书面通知，终止部分或全部合同，在这种情况下，并不影响甲方向乙方提出的索赔。</w:t>
      </w:r>
    </w:p>
    <w:p w14:paraId="6E20CD35">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 如果甲方根据上述的规定，终止了全部或部分合同，甲方可以依其认为适当的条件和方法购买与未交货物类似的货物或服务，乙方应承担甲方因购买类似货物或服务而产生的额外支出。但是，乙方应继续执行合同中未终止的部分。</w:t>
      </w:r>
    </w:p>
    <w:p w14:paraId="6CCC09F0">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十五、履约保证金的罚没</w:t>
      </w:r>
    </w:p>
    <w:p w14:paraId="652AE950">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1、如乙方未能履行合同规定的任何义务，甲方有权从履约保证金中得到补偿。</w:t>
      </w:r>
    </w:p>
    <w:p w14:paraId="741E903B">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2、如果乙方毫无理由地拖延交货或拒绝履行合同规定的任何义务，履约保证金将被没收，并加收违约赔偿金。</w:t>
      </w:r>
    </w:p>
    <w:p w14:paraId="28472799">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3、乙方提供的货物须和报价文件中所承诺的货物规格、数量、型号等相符（合同中另有规定除外）如不符，除追究乙方责任外，其履约保证金将被没收。</w:t>
      </w:r>
    </w:p>
    <w:p w14:paraId="344E790D">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十六、争端的解决</w:t>
      </w:r>
    </w:p>
    <w:p w14:paraId="1E99842E">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1、合同实施或与合同有关的一切争端，甲乙双方应通过友好协商解决，如果协商仍得不到解决，任何一方可向履行合同所在地或合同签约地的仲裁机构申请调解或仲裁。</w:t>
      </w:r>
    </w:p>
    <w:p w14:paraId="5A98D9DB">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2、仲裁裁决应为最终裁决，对双方均有约束力。</w:t>
      </w:r>
    </w:p>
    <w:p w14:paraId="6C3597D1">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3、仲裁费用的承担以仲裁机构裁决为准。</w:t>
      </w:r>
    </w:p>
    <w:p w14:paraId="5826723B">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4、在仲裁期间，除正在执行仲裁的部分外，本合同的其他部分应继续执行。</w:t>
      </w:r>
    </w:p>
    <w:p w14:paraId="5A020711">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十七、转让和分包及货物不可替代</w:t>
      </w:r>
    </w:p>
    <w:p w14:paraId="4D3CD30F">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1、未经甲方事先书面同意，乙方不得部分转让或全部转让和分包其履行合同的义务。</w:t>
      </w:r>
    </w:p>
    <w:p w14:paraId="02CF4DCC">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2、货物不可替代，乙方在没有取得甲方的书面授权的情况下，不得将合同货物的生产制造转交其他生产厂商或以其他厂商的货物替代。</w:t>
      </w:r>
    </w:p>
    <w:p w14:paraId="6A1D87CE">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十八、适用法律</w:t>
      </w:r>
    </w:p>
    <w:p w14:paraId="4C15241E">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本合同按照中华人民共和国的法律进行解释。</w:t>
      </w:r>
    </w:p>
    <w:p w14:paraId="14A863C1">
      <w:pPr>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十九、合同生效及其他</w:t>
      </w:r>
    </w:p>
    <w:p w14:paraId="61E6D50B">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1、合同应在双方签字盖章并在甲方收到乙方提供的履约保证金后开始生效。</w:t>
      </w:r>
    </w:p>
    <w:p w14:paraId="0AAE6094">
      <w:pPr>
        <w:spacing w:line="360" w:lineRule="auto"/>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2、如需修改或补充合同内容，经协商，双方应签署书面修改或补充协议，该协议将作为本合同的一个组成部分。</w:t>
      </w:r>
    </w:p>
    <w:p w14:paraId="0A8D13EF">
      <w:pPr>
        <w:spacing w:line="360" w:lineRule="auto"/>
        <w:ind w:firstLine="539" w:firstLineChars="245"/>
        <w:rPr>
          <w:rFonts w:hint="eastAsia" w:ascii="宋体" w:hAnsi="宋体" w:cs="宋体"/>
          <w:b/>
          <w:bCs/>
          <w:color w:val="auto"/>
          <w:sz w:val="22"/>
          <w:szCs w:val="22"/>
          <w:highlight w:val="none"/>
        </w:rPr>
      </w:pPr>
      <w:r>
        <w:rPr>
          <w:rFonts w:hint="eastAsia" w:ascii="宋体" w:hAnsi="宋体" w:cs="宋体"/>
          <w:color w:val="auto"/>
          <w:sz w:val="22"/>
          <w:szCs w:val="22"/>
          <w:highlight w:val="none"/>
        </w:rPr>
        <w:t xml:space="preserve">3、 </w:t>
      </w:r>
      <w:r>
        <w:rPr>
          <w:rFonts w:hint="eastAsia" w:ascii="宋体" w:hAnsi="宋体" w:cs="宋体"/>
          <w:b/>
          <w:bCs/>
          <w:color w:val="auto"/>
          <w:sz w:val="22"/>
          <w:szCs w:val="22"/>
          <w:highlight w:val="none"/>
        </w:rPr>
        <w:t>合同壹式伍份，双方各贰份，壹份送采购代理公司备案。</w:t>
      </w:r>
    </w:p>
    <w:p w14:paraId="6246E856">
      <w:pPr>
        <w:tabs>
          <w:tab w:val="left" w:pos="360"/>
        </w:tabs>
        <w:spacing w:line="360" w:lineRule="auto"/>
        <w:ind w:left="0" w:leftChars="0" w:firstLine="638" w:firstLineChars="290"/>
        <w:rPr>
          <w:rFonts w:hint="eastAsia" w:ascii="宋体" w:hAnsi="宋体" w:cs="宋体"/>
          <w:color w:val="auto"/>
          <w:sz w:val="22"/>
          <w:szCs w:val="22"/>
          <w:highlight w:val="none"/>
        </w:rPr>
      </w:pPr>
      <w:r>
        <w:rPr>
          <w:rFonts w:hint="eastAsia" w:ascii="宋体" w:hAnsi="宋体" w:cs="宋体"/>
          <w:color w:val="auto"/>
          <w:sz w:val="22"/>
          <w:szCs w:val="22"/>
          <w:highlight w:val="none"/>
        </w:rPr>
        <w:t>甲方：（印章）                       乙方：（印章）</w:t>
      </w:r>
    </w:p>
    <w:p w14:paraId="3DEFC1BF">
      <w:pPr>
        <w:tabs>
          <w:tab w:val="left" w:pos="360"/>
        </w:tabs>
        <w:spacing w:line="360" w:lineRule="auto"/>
        <w:ind w:left="0" w:leftChars="0" w:firstLine="638" w:firstLineChars="290"/>
        <w:rPr>
          <w:rFonts w:hint="eastAsia" w:ascii="宋体" w:hAnsi="宋体" w:cs="宋体"/>
          <w:color w:val="auto"/>
          <w:sz w:val="22"/>
          <w:szCs w:val="22"/>
          <w:highlight w:val="none"/>
        </w:rPr>
      </w:pPr>
      <w:r>
        <w:rPr>
          <w:rFonts w:hint="eastAsia" w:ascii="宋体" w:hAnsi="宋体" w:cs="宋体"/>
          <w:color w:val="auto"/>
          <w:sz w:val="22"/>
          <w:szCs w:val="22"/>
          <w:highlight w:val="none"/>
        </w:rPr>
        <w:t>授权代表:（签字）                    授权代表:（签字）</w:t>
      </w:r>
    </w:p>
    <w:p w14:paraId="64B1573D">
      <w:pPr>
        <w:tabs>
          <w:tab w:val="left" w:pos="360"/>
        </w:tabs>
        <w:spacing w:line="360" w:lineRule="auto"/>
        <w:ind w:left="0" w:leftChars="0" w:firstLine="638" w:firstLineChars="290"/>
        <w:rPr>
          <w:rFonts w:hint="eastAsia" w:ascii="宋体" w:hAnsi="宋体" w:cs="宋体"/>
          <w:color w:val="auto"/>
          <w:sz w:val="22"/>
          <w:szCs w:val="22"/>
          <w:highlight w:val="none"/>
        </w:rPr>
      </w:pPr>
      <w:r>
        <w:rPr>
          <w:rFonts w:hint="eastAsia" w:ascii="宋体" w:hAnsi="宋体" w:cs="宋体"/>
          <w:color w:val="auto"/>
          <w:sz w:val="22"/>
          <w:szCs w:val="22"/>
          <w:highlight w:val="none"/>
        </w:rPr>
        <w:t>地址：                               地址：</w:t>
      </w:r>
    </w:p>
    <w:p w14:paraId="39891B2D">
      <w:pPr>
        <w:tabs>
          <w:tab w:val="left" w:pos="360"/>
        </w:tabs>
        <w:spacing w:line="360" w:lineRule="auto"/>
        <w:ind w:left="0" w:leftChars="0" w:firstLine="638" w:firstLineChars="290"/>
        <w:rPr>
          <w:rFonts w:hint="eastAsia" w:ascii="宋体" w:hAnsi="宋体" w:cs="宋体"/>
          <w:color w:val="auto"/>
          <w:sz w:val="22"/>
          <w:szCs w:val="22"/>
          <w:highlight w:val="none"/>
        </w:rPr>
      </w:pPr>
      <w:r>
        <w:rPr>
          <w:rFonts w:hint="eastAsia" w:ascii="宋体" w:hAnsi="宋体" w:cs="宋体"/>
          <w:color w:val="auto"/>
          <w:sz w:val="22"/>
          <w:szCs w:val="22"/>
          <w:highlight w:val="none"/>
        </w:rPr>
        <w:t>邮政编码：                           邮政编码：</w:t>
      </w:r>
    </w:p>
    <w:p w14:paraId="07A09A1E">
      <w:pPr>
        <w:tabs>
          <w:tab w:val="left" w:pos="360"/>
        </w:tabs>
        <w:spacing w:line="360" w:lineRule="auto"/>
        <w:ind w:left="0" w:leftChars="0" w:firstLine="638" w:firstLineChars="290"/>
        <w:rPr>
          <w:rFonts w:hint="eastAsia" w:ascii="宋体" w:hAnsi="宋体" w:cs="宋体"/>
          <w:color w:val="auto"/>
          <w:sz w:val="22"/>
          <w:szCs w:val="22"/>
          <w:highlight w:val="none"/>
        </w:rPr>
      </w:pPr>
      <w:r>
        <w:rPr>
          <w:rFonts w:hint="eastAsia" w:ascii="宋体" w:hAnsi="宋体" w:cs="宋体"/>
          <w:color w:val="auto"/>
          <w:sz w:val="22"/>
          <w:szCs w:val="22"/>
          <w:highlight w:val="none"/>
        </w:rPr>
        <w:t>电话：                               电话：</w:t>
      </w:r>
    </w:p>
    <w:p w14:paraId="7E9B636D">
      <w:pPr>
        <w:tabs>
          <w:tab w:val="left" w:pos="360"/>
        </w:tabs>
        <w:spacing w:line="360" w:lineRule="auto"/>
        <w:ind w:left="0" w:leftChars="0" w:firstLine="638" w:firstLineChars="290"/>
        <w:rPr>
          <w:rFonts w:hint="eastAsia" w:ascii="宋体" w:hAnsi="宋体" w:cs="宋体"/>
          <w:color w:val="auto"/>
          <w:sz w:val="22"/>
          <w:szCs w:val="22"/>
          <w:highlight w:val="none"/>
        </w:rPr>
      </w:pPr>
      <w:r>
        <w:rPr>
          <w:rFonts w:hint="eastAsia" w:ascii="宋体" w:hAnsi="宋体" w:cs="宋体"/>
          <w:color w:val="auto"/>
          <w:sz w:val="22"/>
          <w:szCs w:val="22"/>
          <w:highlight w:val="none"/>
        </w:rPr>
        <w:t>传真：                               传真：</w:t>
      </w:r>
    </w:p>
    <w:p w14:paraId="225CA4DC">
      <w:pPr>
        <w:tabs>
          <w:tab w:val="left" w:pos="360"/>
        </w:tabs>
        <w:spacing w:line="360" w:lineRule="auto"/>
        <w:ind w:left="0" w:leftChars="0" w:firstLine="638" w:firstLineChars="290"/>
        <w:rPr>
          <w:rFonts w:hint="eastAsia" w:ascii="宋体" w:hAnsi="宋体" w:cs="宋体"/>
          <w:color w:val="auto"/>
          <w:sz w:val="22"/>
          <w:szCs w:val="22"/>
          <w:highlight w:val="none"/>
        </w:rPr>
      </w:pPr>
      <w:r>
        <w:rPr>
          <w:rFonts w:hint="eastAsia" w:ascii="宋体" w:hAnsi="宋体" w:cs="宋体"/>
          <w:color w:val="auto"/>
          <w:sz w:val="22"/>
          <w:szCs w:val="22"/>
          <w:highlight w:val="none"/>
        </w:rPr>
        <w:t>开户银行：                           开户银行：</w:t>
      </w:r>
    </w:p>
    <w:p w14:paraId="464D3C5F">
      <w:pPr>
        <w:tabs>
          <w:tab w:val="left" w:pos="360"/>
        </w:tabs>
        <w:spacing w:line="360" w:lineRule="auto"/>
        <w:ind w:left="0" w:leftChars="0" w:firstLine="638" w:firstLineChars="290"/>
        <w:rPr>
          <w:rFonts w:hint="eastAsia" w:ascii="宋体" w:hAnsi="宋体" w:cs="宋体"/>
          <w:color w:val="auto"/>
          <w:sz w:val="22"/>
          <w:szCs w:val="22"/>
          <w:highlight w:val="none"/>
        </w:rPr>
      </w:pPr>
      <w:r>
        <w:rPr>
          <w:rFonts w:hint="eastAsia" w:ascii="宋体" w:hAnsi="宋体" w:cs="宋体"/>
          <w:color w:val="auto"/>
          <w:sz w:val="22"/>
          <w:szCs w:val="22"/>
          <w:highlight w:val="none"/>
        </w:rPr>
        <w:t>帐号：                               帐号：</w:t>
      </w:r>
    </w:p>
    <w:p w14:paraId="2B772CC4">
      <w:pPr>
        <w:spacing w:line="460" w:lineRule="exact"/>
        <w:ind w:left="0" w:leftChars="0" w:firstLine="638" w:firstLineChars="29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时间:                                时间：   </w:t>
      </w:r>
    </w:p>
    <w:p w14:paraId="1CA598E2">
      <w:pPr>
        <w:pStyle w:val="39"/>
        <w:rPr>
          <w:color w:val="auto"/>
          <w:highlight w:val="none"/>
        </w:rPr>
      </w:pPr>
    </w:p>
    <w:p w14:paraId="098BA08E">
      <w:pPr>
        <w:widowControl/>
        <w:adjustRightInd w:val="0"/>
        <w:snapToGrid w:val="0"/>
        <w:spacing w:line="460" w:lineRule="exact"/>
        <w:rPr>
          <w:rFonts w:hint="eastAsia" w:ascii="宋体" w:hAnsi="宋体" w:cs="宋体"/>
          <w:b/>
          <w:bCs/>
          <w:color w:val="auto"/>
          <w:sz w:val="22"/>
          <w:szCs w:val="22"/>
          <w:highlight w:val="none"/>
        </w:rPr>
      </w:pPr>
      <w:bookmarkStart w:id="67" w:name="_Toc520741237"/>
      <w:r>
        <w:rPr>
          <w:rFonts w:hint="eastAsia" w:ascii="宋体" w:hAnsi="宋体" w:cs="宋体"/>
          <w:b/>
          <w:bCs/>
          <w:color w:val="auto"/>
          <w:sz w:val="22"/>
          <w:szCs w:val="22"/>
          <w:highlight w:val="none"/>
        </w:rPr>
        <w:t>注：1、本合同作为示范文本，具体以中标供应商与招标人所签订正式合同为准。</w:t>
      </w:r>
    </w:p>
    <w:p w14:paraId="66590F62">
      <w:pPr>
        <w:widowControl/>
        <w:snapToGrid w:val="0"/>
        <w:spacing w:line="460" w:lineRule="exact"/>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2、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bookmarkEnd w:id="67"/>
    <w:p w14:paraId="11687ED9">
      <w:pPr>
        <w:rPr>
          <w:rFonts w:hint="eastAsia"/>
          <w:color w:val="auto"/>
          <w:highlight w:val="none"/>
        </w:rPr>
      </w:pPr>
    </w:p>
    <w:p w14:paraId="73D6EB2B">
      <w:pPr>
        <w:spacing w:line="400" w:lineRule="exact"/>
        <w:jc w:val="center"/>
        <w:outlineLvl w:val="0"/>
        <w:rPr>
          <w:rFonts w:hint="eastAsia" w:ascii="宋体" w:hAnsi="宋体" w:cs="宋体"/>
          <w:b/>
          <w:bCs/>
          <w:color w:val="auto"/>
          <w:sz w:val="36"/>
          <w:szCs w:val="36"/>
          <w:highlight w:val="none"/>
        </w:rPr>
      </w:pPr>
      <w:bookmarkStart w:id="68" w:name="_Toc195502496"/>
      <w:bookmarkStart w:id="69" w:name="_Toc195502586"/>
      <w:bookmarkStart w:id="70" w:name="_Toc202085296"/>
      <w:bookmarkStart w:id="71" w:name="_Toc25811"/>
      <w:bookmarkStart w:id="72" w:name="_Toc14682749"/>
      <w:bookmarkStart w:id="73" w:name="_Toc28793"/>
      <w:bookmarkStart w:id="74" w:name="_Toc30488974"/>
      <w:bookmarkStart w:id="75" w:name="_Toc195502495"/>
      <w:bookmarkStart w:id="76" w:name="_Toc202085295"/>
      <w:bookmarkStart w:id="77" w:name="_Toc195502585"/>
      <w:r>
        <w:rPr>
          <w:rFonts w:hint="eastAsia" w:ascii="宋体" w:hAnsi="宋体" w:cs="宋体"/>
          <w:b/>
          <w:bCs/>
          <w:color w:val="auto"/>
          <w:sz w:val="36"/>
          <w:szCs w:val="36"/>
          <w:highlight w:val="none"/>
        </w:rPr>
        <w:br w:type="page"/>
      </w:r>
      <w:r>
        <w:rPr>
          <w:rFonts w:hint="eastAsia" w:ascii="宋体" w:hAnsi="宋体" w:cs="宋体"/>
          <w:b/>
          <w:bCs/>
          <w:color w:val="auto"/>
          <w:sz w:val="36"/>
          <w:szCs w:val="36"/>
          <w:highlight w:val="none"/>
        </w:rPr>
        <w:t>第四部分   附件</w:t>
      </w:r>
      <w:bookmarkEnd w:id="68"/>
      <w:bookmarkEnd w:id="69"/>
      <w:bookmarkEnd w:id="70"/>
      <w:bookmarkEnd w:id="71"/>
      <w:bookmarkStart w:id="78" w:name="_Toc13450"/>
      <w:bookmarkStart w:id="79" w:name="_Toc1638"/>
      <w:bookmarkStart w:id="80" w:name="_Toc3245"/>
      <w:bookmarkStart w:id="81" w:name="_Toc92728072"/>
      <w:bookmarkStart w:id="82" w:name="_Toc25743580"/>
      <w:bookmarkStart w:id="83" w:name="_Toc486931326"/>
      <w:bookmarkStart w:id="84" w:name="_Toc433019960"/>
      <w:bookmarkStart w:id="85" w:name="_Toc394479571"/>
      <w:bookmarkStart w:id="86" w:name="_Toc339979561"/>
      <w:bookmarkStart w:id="87" w:name="_Toc373927644"/>
      <w:bookmarkStart w:id="88" w:name="_Toc5438"/>
      <w:bookmarkStart w:id="89" w:name="_Toc12233"/>
      <w:bookmarkStart w:id="90" w:name="_Toc416956603"/>
      <w:bookmarkStart w:id="91" w:name="_Toc486931331"/>
      <w:bookmarkStart w:id="92" w:name="_Toc415749683"/>
      <w:bookmarkStart w:id="93" w:name="_Toc20069"/>
      <w:bookmarkStart w:id="94" w:name="_Toc29350"/>
    </w:p>
    <w:p w14:paraId="08DDDA62">
      <w:pPr>
        <w:spacing w:line="400" w:lineRule="exact"/>
        <w:jc w:val="center"/>
        <w:outlineLvl w:val="1"/>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附件一  关于符合《中华人民共和国政府采购法》第二十二条规定条件的承诺函</w:t>
      </w:r>
      <w:bookmarkEnd w:id="78"/>
      <w:bookmarkEnd w:id="79"/>
      <w:bookmarkEnd w:id="80"/>
      <w:bookmarkEnd w:id="81"/>
    </w:p>
    <w:p w14:paraId="0EC6EACB">
      <w:pPr>
        <w:rPr>
          <w:rFonts w:hint="eastAsia"/>
          <w:color w:val="auto"/>
          <w:highlight w:val="none"/>
        </w:rPr>
      </w:pPr>
    </w:p>
    <w:p w14:paraId="0D07F846">
      <w:pPr>
        <w:spacing w:line="360" w:lineRule="auto"/>
        <w:rPr>
          <w:rFonts w:hint="eastAsia" w:ascii="宋体" w:hAnsi="宋体" w:cs="宋体"/>
          <w:bCs/>
          <w:color w:val="auto"/>
          <w:sz w:val="22"/>
          <w:szCs w:val="22"/>
          <w:highlight w:val="none"/>
          <w:u w:val="single"/>
        </w:rPr>
      </w:pPr>
      <w:r>
        <w:rPr>
          <w:rFonts w:hint="eastAsia" w:ascii="宋体" w:hAnsi="宋体" w:cs="宋体"/>
          <w:bCs/>
          <w:color w:val="auto"/>
          <w:sz w:val="22"/>
          <w:szCs w:val="22"/>
          <w:highlight w:val="none"/>
          <w:u w:val="single"/>
          <w:lang w:eastAsia="zh-CN"/>
        </w:rPr>
        <w:t>温州市退役军人事务局</w:t>
      </w:r>
      <w:r>
        <w:rPr>
          <w:rFonts w:hint="eastAsia" w:ascii="宋体" w:hAnsi="宋体" w:cs="宋体"/>
          <w:bCs/>
          <w:color w:val="auto"/>
          <w:sz w:val="22"/>
          <w:szCs w:val="22"/>
          <w:highlight w:val="none"/>
          <w:u w:val="single"/>
        </w:rPr>
        <w:t>、温州市圣励招标代理有限公司：</w:t>
      </w:r>
    </w:p>
    <w:p w14:paraId="78268434">
      <w:pPr>
        <w:spacing w:line="360" w:lineRule="auto"/>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我公司参与</w:t>
      </w:r>
      <w:r>
        <w:rPr>
          <w:rFonts w:hint="eastAsia" w:ascii="宋体" w:hAnsi="宋体" w:cs="宋体"/>
          <w:bCs/>
          <w:color w:val="auto"/>
          <w:sz w:val="22"/>
          <w:szCs w:val="22"/>
          <w:highlight w:val="none"/>
          <w:u w:val="single"/>
        </w:rPr>
        <w:t xml:space="preserve">      （项目名称）      </w:t>
      </w:r>
      <w:r>
        <w:rPr>
          <w:rFonts w:hint="eastAsia" w:ascii="宋体" w:hAnsi="宋体" w:cs="宋体"/>
          <w:bCs/>
          <w:color w:val="auto"/>
          <w:sz w:val="22"/>
          <w:szCs w:val="22"/>
          <w:highlight w:val="none"/>
        </w:rPr>
        <w:t>（项目编号：</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）投标，</w:t>
      </w:r>
    </w:p>
    <w:p w14:paraId="29A0F9C1">
      <w:pPr>
        <w:spacing w:line="360" w:lineRule="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郑重承诺具备以下条件：</w:t>
      </w:r>
    </w:p>
    <w:p w14:paraId="0F479A12">
      <w:pPr>
        <w:spacing w:line="5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1.具有独立承担民事责任的能力；</w:t>
      </w:r>
    </w:p>
    <w:p w14:paraId="23342550">
      <w:pPr>
        <w:spacing w:line="5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2.具有良好的商业信誉和健全的财务会计制度；</w:t>
      </w:r>
    </w:p>
    <w:p w14:paraId="001FECFA">
      <w:pPr>
        <w:spacing w:line="5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3.具有履行合同所必需的设备和专业技术能力； </w:t>
      </w:r>
    </w:p>
    <w:p w14:paraId="65612E6F">
      <w:pPr>
        <w:spacing w:line="5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4.有依法缴纳税收和社会保障资金的良好记录； </w:t>
      </w:r>
    </w:p>
    <w:p w14:paraId="2AB9B4C0">
      <w:pPr>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 参加政府采购活动前三年内，在经营活动中没有重大违法记录（包括行贿犯罪记录）；</w:t>
      </w:r>
    </w:p>
    <w:p w14:paraId="35575C9F">
      <w:pPr>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w:t>
      </w:r>
      <w:r>
        <w:rPr>
          <w:rFonts w:hint="eastAsia" w:ascii="宋体" w:hAnsi="宋体" w:cs="宋体"/>
          <w:color w:val="auto"/>
          <w:sz w:val="22"/>
          <w:szCs w:val="22"/>
          <w:highlight w:val="none"/>
          <w:lang w:val="zh-CN"/>
        </w:rPr>
        <w:t>未被列入信用中国网</w:t>
      </w:r>
      <w:r>
        <w:rPr>
          <w:rFonts w:hint="eastAsia" w:ascii="宋体" w:hAnsi="宋体" w:cs="宋体"/>
          <w:color w:val="auto"/>
          <w:sz w:val="22"/>
          <w:szCs w:val="22"/>
          <w:highlight w:val="none"/>
        </w:rPr>
        <w:t>（www.creditchina.gov.cn）</w:t>
      </w:r>
      <w:r>
        <w:rPr>
          <w:rFonts w:hint="eastAsia" w:ascii="宋体" w:hAnsi="宋体" w:cs="宋体"/>
          <w:color w:val="auto"/>
          <w:sz w:val="22"/>
          <w:szCs w:val="22"/>
          <w:highlight w:val="none"/>
          <w:lang w:val="zh-CN"/>
        </w:rPr>
        <w:t>渠道信用记录失信被执行人、重大税收违法案件当事人名单</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未列入中国政府采购网</w:t>
      </w:r>
      <w:r>
        <w:rPr>
          <w:rFonts w:hint="eastAsia" w:ascii="宋体" w:hAnsi="宋体" w:cs="宋体"/>
          <w:color w:val="auto"/>
          <w:sz w:val="22"/>
          <w:szCs w:val="22"/>
          <w:highlight w:val="none"/>
        </w:rPr>
        <w:t>（http://www.ccgp.gov.cn）</w:t>
      </w:r>
      <w:r>
        <w:rPr>
          <w:rFonts w:hint="eastAsia" w:ascii="宋体" w:hAnsi="宋体" w:cs="宋体"/>
          <w:color w:val="auto"/>
          <w:sz w:val="22"/>
          <w:szCs w:val="22"/>
          <w:highlight w:val="none"/>
          <w:lang w:val="zh-CN"/>
        </w:rPr>
        <w:t>政府采购严重违法失信行为记录名单的投标人</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中国裁判文书网</w:t>
      </w:r>
      <w:r>
        <w:rPr>
          <w:rFonts w:hint="eastAsia" w:ascii="宋体" w:hAnsi="宋体" w:cs="宋体"/>
          <w:color w:val="auto"/>
          <w:sz w:val="22"/>
          <w:szCs w:val="22"/>
          <w:highlight w:val="none"/>
        </w:rPr>
        <w:t>（http://wenshu.court.gov.cn/）</w:t>
      </w:r>
      <w:r>
        <w:rPr>
          <w:rFonts w:hint="eastAsia" w:ascii="宋体" w:hAnsi="宋体" w:cs="宋体"/>
          <w:color w:val="auto"/>
          <w:sz w:val="22"/>
          <w:szCs w:val="22"/>
          <w:highlight w:val="none"/>
          <w:lang w:val="zh-CN"/>
        </w:rPr>
        <w:t>中投标人近三年无行贿犯罪记录</w:t>
      </w:r>
      <w:r>
        <w:rPr>
          <w:rFonts w:hint="eastAsia" w:ascii="宋体" w:hAnsi="宋体" w:cs="宋体"/>
          <w:color w:val="auto"/>
          <w:sz w:val="22"/>
          <w:szCs w:val="22"/>
          <w:highlight w:val="none"/>
        </w:rPr>
        <w:t>：以采购代理机构在开标当日查询记录为准。</w:t>
      </w:r>
    </w:p>
    <w:p w14:paraId="542C45C2">
      <w:pPr>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7.未被建设行政主管部门限制参加投标或有不良行为记录公示但已满期限的；</w:t>
      </w:r>
    </w:p>
    <w:p w14:paraId="16FEA676">
      <w:pPr>
        <w:snapToGrid w:val="0"/>
        <w:spacing w:line="460" w:lineRule="exact"/>
        <w:ind w:firstLine="440" w:firstLineChars="200"/>
        <w:rPr>
          <w:rFonts w:hint="eastAsia" w:ascii="宋体" w:hAnsi="宋体" w:cs="宋体"/>
          <w:b/>
          <w:color w:val="auto"/>
          <w:sz w:val="22"/>
          <w:szCs w:val="22"/>
          <w:highlight w:val="none"/>
        </w:rPr>
      </w:pPr>
      <w:r>
        <w:rPr>
          <w:rFonts w:hint="eastAsia" w:ascii="宋体" w:hAnsi="宋体" w:cs="宋体"/>
          <w:color w:val="auto"/>
          <w:sz w:val="22"/>
          <w:szCs w:val="22"/>
          <w:highlight w:val="none"/>
        </w:rPr>
        <w:t>8.不存在招标文件及相关法律法规规定的限制投标情形。</w:t>
      </w:r>
    </w:p>
    <w:p w14:paraId="44D36EAF">
      <w:pPr>
        <w:snapToGrid w:val="0"/>
        <w:spacing w:line="4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如提供虚假材料可取消我单位任何资格（投标/中标/签订合同），且将由采购单位/采购代理机构如实报告当地政府采购监管部门。经查证属实的话，将会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我单位已知晓政府采购相关法律规定，对此无任何异议。</w:t>
      </w:r>
    </w:p>
    <w:p w14:paraId="2ACD6A3D">
      <w:pPr>
        <w:snapToGrid w:val="0"/>
        <w:spacing w:line="4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特此承诺！</w:t>
      </w:r>
    </w:p>
    <w:p w14:paraId="232E323C">
      <w:pPr>
        <w:tabs>
          <w:tab w:val="left" w:pos="9180"/>
        </w:tabs>
        <w:spacing w:line="440" w:lineRule="exact"/>
        <w:ind w:firstLine="440" w:firstLineChars="200"/>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注：（1）参加政府采购活动的时间是指供应商参加本项目的政府采购活动时间为准（具体以投标截止时间为准）。</w:t>
      </w:r>
    </w:p>
    <w:p w14:paraId="01DE6C8A">
      <w:pPr>
        <w:tabs>
          <w:tab w:val="left" w:pos="9180"/>
        </w:tabs>
        <w:spacing w:line="440" w:lineRule="exact"/>
        <w:ind w:firstLine="880" w:firstLineChars="400"/>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（2）本承诺函必须提供。</w:t>
      </w:r>
    </w:p>
    <w:p w14:paraId="799B3874">
      <w:pPr>
        <w:spacing w:line="480" w:lineRule="auto"/>
        <w:ind w:firstLine="3960" w:firstLineChars="180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       供应商全称（盖章）：</w:t>
      </w:r>
    </w:p>
    <w:p w14:paraId="4D572D30">
      <w:pPr>
        <w:spacing w:line="480" w:lineRule="auto"/>
        <w:ind w:firstLine="5940" w:firstLineChars="2700"/>
        <w:rPr>
          <w:rFonts w:hint="eastAsia" w:ascii="宋体" w:hAnsi="宋体" w:cs="宋体"/>
          <w:color w:val="auto"/>
          <w:sz w:val="22"/>
          <w:szCs w:val="22"/>
          <w:highlight w:val="none"/>
        </w:rPr>
      </w:pPr>
      <w:r>
        <w:rPr>
          <w:rFonts w:hint="eastAsia" w:ascii="宋体" w:hAnsi="宋体" w:cs="宋体"/>
          <w:bCs/>
          <w:color w:val="auto"/>
          <w:sz w:val="22"/>
          <w:szCs w:val="22"/>
          <w:highlight w:val="none"/>
        </w:rPr>
        <w:t>日   期：</w:t>
      </w:r>
    </w:p>
    <w:bookmarkEnd w:id="82"/>
    <w:p w14:paraId="16D43085">
      <w:pPr>
        <w:pStyle w:val="4"/>
        <w:keepNext w:val="0"/>
        <w:keepLines w:val="0"/>
        <w:pageBreakBefore/>
        <w:tabs>
          <w:tab w:val="left" w:pos="840"/>
        </w:tabs>
        <w:adjustRightInd w:val="0"/>
        <w:snapToGrid w:val="0"/>
        <w:spacing w:before="312" w:beforeLines="100" w:after="312" w:afterLines="100" w:line="240" w:lineRule="auto"/>
        <w:jc w:val="center"/>
        <w:rPr>
          <w:rFonts w:hint="eastAsia" w:hAnsi="宋体"/>
          <w:color w:val="auto"/>
          <w:sz w:val="28"/>
          <w:szCs w:val="36"/>
          <w:highlight w:val="none"/>
        </w:rPr>
      </w:pPr>
      <w:bookmarkStart w:id="95" w:name="_Toc21022"/>
      <w:bookmarkStart w:id="96" w:name="_Toc95922743"/>
      <w:bookmarkStart w:id="97" w:name="_Toc14365"/>
      <w:bookmarkStart w:id="98" w:name="_Toc518546796"/>
      <w:bookmarkStart w:id="99" w:name="_Toc384303169"/>
      <w:bookmarkStart w:id="100" w:name="_Toc453158717"/>
      <w:bookmarkStart w:id="101" w:name="_Toc433808007"/>
      <w:bookmarkStart w:id="102" w:name="_Toc486931335"/>
      <w:bookmarkStart w:id="103" w:name="_Toc204398773"/>
      <w:bookmarkStart w:id="104" w:name="_Toc2708"/>
      <w:r>
        <w:rPr>
          <w:rFonts w:hint="eastAsia" w:hAnsi="宋体"/>
          <w:color w:val="auto"/>
          <w:sz w:val="24"/>
          <w:szCs w:val="24"/>
          <w:highlight w:val="none"/>
        </w:rPr>
        <w:t>附件二   中小企业声明函</w:t>
      </w:r>
      <w:bookmarkEnd w:id="95"/>
      <w:bookmarkEnd w:id="96"/>
      <w:bookmarkEnd w:id="97"/>
    </w:p>
    <w:p w14:paraId="48CE7C6E">
      <w:pPr>
        <w:spacing w:line="460" w:lineRule="exact"/>
        <w:jc w:val="center"/>
        <w:rPr>
          <w:rFonts w:hint="eastAsia" w:ascii="宋体" w:hAnsi="宋体" w:cs="宋体"/>
          <w:b/>
          <w:color w:val="auto"/>
          <w:sz w:val="24"/>
          <w:highlight w:val="none"/>
        </w:rPr>
      </w:pPr>
      <w:r>
        <w:rPr>
          <w:rFonts w:hint="eastAsia" w:ascii="宋体" w:hAnsi="宋体" w:cs="宋体"/>
          <w:b/>
          <w:color w:val="auto"/>
          <w:sz w:val="24"/>
          <w:highlight w:val="none"/>
        </w:rPr>
        <w:t>中小企业声明函（货物）</w:t>
      </w:r>
    </w:p>
    <w:p w14:paraId="1BEFD70E">
      <w:pPr>
        <w:pStyle w:val="13"/>
        <w:spacing w:line="440" w:lineRule="exact"/>
        <w:rPr>
          <w:rFonts w:hint="eastAsia" w:ascii="宋体" w:hAnsi="宋体" w:cs="宋体"/>
          <w:b/>
          <w:color w:val="auto"/>
          <w:sz w:val="22"/>
          <w:szCs w:val="22"/>
          <w:highlight w:val="none"/>
        </w:rPr>
      </w:pPr>
    </w:p>
    <w:p w14:paraId="7DD0191E">
      <w:pPr>
        <w:pStyle w:val="13"/>
        <w:spacing w:before="55" w:line="480" w:lineRule="exact"/>
        <w:ind w:right="-1" w:firstLine="660" w:firstLineChars="300"/>
        <w:rPr>
          <w:rFonts w:hint="eastAsia" w:ascii="宋体" w:hAnsi="宋体" w:cs="宋体"/>
          <w:color w:val="auto"/>
          <w:sz w:val="22"/>
          <w:szCs w:val="22"/>
          <w:highlight w:val="none"/>
        </w:rPr>
      </w:pPr>
      <w:r>
        <w:rPr>
          <w:rFonts w:hint="eastAsia" w:ascii="宋体" w:hAnsi="宋体" w:cs="宋体"/>
          <w:color w:val="auto"/>
          <w:sz w:val="22"/>
          <w:szCs w:val="22"/>
          <w:highlight w:val="none"/>
        </w:rPr>
        <w:t>本公司（联合体）郑重声明，根据《政府采购促进中小企业发展管理办法》（财库﹝2020﹞46号）的规定，本公司（联合体）参加</w:t>
      </w:r>
      <w:r>
        <w:rPr>
          <w:rFonts w:hint="eastAsia" w:ascii="宋体" w:hAnsi="宋体" w:cs="宋体"/>
          <w:color w:val="auto"/>
          <w:sz w:val="22"/>
          <w:szCs w:val="22"/>
          <w:highlight w:val="none"/>
          <w:u w:val="single"/>
        </w:rPr>
        <w:t>（单位名称）</w:t>
      </w:r>
      <w:r>
        <w:rPr>
          <w:rFonts w:hint="eastAsia" w:ascii="宋体" w:hAnsi="宋体" w:cs="宋体"/>
          <w:color w:val="auto"/>
          <w:sz w:val="22"/>
          <w:szCs w:val="22"/>
          <w:highlight w:val="none"/>
        </w:rPr>
        <w:t>的</w:t>
      </w:r>
      <w:r>
        <w:rPr>
          <w:rFonts w:hint="eastAsia" w:ascii="宋体" w:hAnsi="宋体" w:cs="宋体"/>
          <w:color w:val="auto"/>
          <w:sz w:val="22"/>
          <w:szCs w:val="22"/>
          <w:highlight w:val="none"/>
          <w:u w:val="single"/>
        </w:rPr>
        <w:t>（项目名称）</w:t>
      </w:r>
      <w:r>
        <w:rPr>
          <w:rFonts w:hint="eastAsia" w:ascii="宋体" w:hAnsi="宋体" w:cs="宋体"/>
          <w:color w:val="auto"/>
          <w:sz w:val="22"/>
          <w:szCs w:val="22"/>
          <w:highlight w:val="none"/>
        </w:rPr>
        <w:t>采购活动，提供的货物全部由符合政策要求的中小企业制造。相关企业（含联合体中的中小企业、签订分包意向协议的中小企业）的具体情况如下：</w:t>
      </w:r>
    </w:p>
    <w:p w14:paraId="3F6C5CDD">
      <w:pPr>
        <w:tabs>
          <w:tab w:val="left" w:pos="1183"/>
          <w:tab w:val="left" w:pos="1484"/>
          <w:tab w:val="left" w:pos="3825"/>
        </w:tabs>
        <w:spacing w:line="48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u w:val="single"/>
        </w:rPr>
        <w:t>（标的名称）</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rPr>
        <w:t xml:space="preserve">    行业</w:t>
      </w:r>
      <w:r>
        <w:rPr>
          <w:rFonts w:hint="eastAsia" w:ascii="宋体" w:hAnsi="宋体" w:cs="宋体"/>
          <w:color w:val="auto"/>
          <w:sz w:val="22"/>
          <w:szCs w:val="22"/>
          <w:highlight w:val="none"/>
        </w:rPr>
        <w:t>；制造商为</w:t>
      </w:r>
      <w:r>
        <w:rPr>
          <w:rFonts w:hint="eastAsia" w:ascii="宋体" w:hAnsi="宋体" w:cs="宋体"/>
          <w:color w:val="auto"/>
          <w:sz w:val="22"/>
          <w:szCs w:val="22"/>
          <w:highlight w:val="none"/>
          <w:u w:val="single"/>
        </w:rPr>
        <w:t>（企业名称）</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人，营业收入为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万元，属于</w:t>
      </w:r>
      <w:r>
        <w:rPr>
          <w:rFonts w:hint="eastAsia" w:ascii="宋体" w:hAnsi="宋体" w:cs="宋体"/>
          <w:color w:val="auto"/>
          <w:sz w:val="22"/>
          <w:szCs w:val="22"/>
          <w:highlight w:val="none"/>
          <w:u w:val="single"/>
        </w:rPr>
        <w:t>（中型企业、小型企业、微型企业）</w:t>
      </w:r>
      <w:r>
        <w:rPr>
          <w:rFonts w:hint="eastAsia" w:ascii="宋体" w:hAnsi="宋体" w:cs="宋体"/>
          <w:color w:val="auto"/>
          <w:sz w:val="22"/>
          <w:szCs w:val="22"/>
          <w:highlight w:val="none"/>
        </w:rPr>
        <w:t>；</w:t>
      </w:r>
    </w:p>
    <w:p w14:paraId="207C83BB">
      <w:pPr>
        <w:pStyle w:val="13"/>
        <w:spacing w:before="55" w:line="480" w:lineRule="exact"/>
        <w:ind w:right="415"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u w:val="single"/>
        </w:rPr>
        <w:t>（标的名称）</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rPr>
        <w:t xml:space="preserve">    行业</w:t>
      </w:r>
      <w:r>
        <w:rPr>
          <w:rFonts w:hint="eastAsia" w:ascii="宋体" w:hAnsi="宋体" w:cs="宋体"/>
          <w:color w:val="auto"/>
          <w:sz w:val="22"/>
          <w:szCs w:val="22"/>
          <w:highlight w:val="none"/>
        </w:rPr>
        <w:t>；制造商为</w:t>
      </w:r>
      <w:r>
        <w:rPr>
          <w:rFonts w:hint="eastAsia" w:ascii="宋体" w:hAnsi="宋体" w:cs="宋体"/>
          <w:color w:val="auto"/>
          <w:sz w:val="22"/>
          <w:szCs w:val="22"/>
          <w:highlight w:val="none"/>
          <w:u w:val="single"/>
        </w:rPr>
        <w:t>（企业名称）</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ab/>
      </w:r>
      <w:r>
        <w:rPr>
          <w:rFonts w:hint="eastAsia" w:ascii="宋体" w:hAnsi="宋体" w:cs="宋体"/>
          <w:color w:val="auto"/>
          <w:sz w:val="22"/>
          <w:szCs w:val="22"/>
          <w:highlight w:val="none"/>
        </w:rPr>
        <w:t>人，营业收入为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ab/>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万元，属于</w:t>
      </w:r>
      <w:r>
        <w:rPr>
          <w:rFonts w:hint="eastAsia" w:ascii="宋体" w:hAnsi="宋体" w:cs="宋体"/>
          <w:color w:val="auto"/>
          <w:sz w:val="22"/>
          <w:szCs w:val="22"/>
          <w:highlight w:val="none"/>
          <w:u w:val="single"/>
        </w:rPr>
        <w:t>（中型企业、小型企业、微型企业）</w:t>
      </w:r>
      <w:r>
        <w:rPr>
          <w:rFonts w:hint="eastAsia" w:ascii="宋体" w:hAnsi="宋体" w:cs="宋体"/>
          <w:color w:val="auto"/>
          <w:sz w:val="22"/>
          <w:szCs w:val="22"/>
          <w:highlight w:val="none"/>
        </w:rPr>
        <w:t>；</w:t>
      </w:r>
    </w:p>
    <w:p w14:paraId="1CD19671">
      <w:pPr>
        <w:pStyle w:val="13"/>
        <w:spacing w:line="480" w:lineRule="exact"/>
        <w:ind w:left="860"/>
        <w:rPr>
          <w:rFonts w:hint="eastAsia" w:ascii="宋体" w:hAnsi="宋体" w:cs="宋体"/>
          <w:color w:val="auto"/>
          <w:sz w:val="22"/>
          <w:szCs w:val="22"/>
          <w:highlight w:val="none"/>
        </w:rPr>
      </w:pPr>
      <w:r>
        <w:rPr>
          <w:rFonts w:hint="eastAsia" w:ascii="宋体" w:hAnsi="宋体" w:cs="宋体"/>
          <w:color w:val="auto"/>
          <w:sz w:val="22"/>
          <w:szCs w:val="22"/>
          <w:highlight w:val="none"/>
        </w:rPr>
        <w:t>……</w:t>
      </w:r>
    </w:p>
    <w:p w14:paraId="650645F6">
      <w:pPr>
        <w:pStyle w:val="13"/>
        <w:spacing w:before="105" w:line="480" w:lineRule="exact"/>
        <w:ind w:right="417" w:firstLine="645"/>
        <w:rPr>
          <w:rFonts w:hint="eastAsia" w:ascii="宋体" w:hAnsi="宋体" w:cs="宋体"/>
          <w:color w:val="auto"/>
          <w:sz w:val="22"/>
          <w:szCs w:val="22"/>
          <w:highlight w:val="none"/>
        </w:rPr>
      </w:pPr>
      <w:r>
        <w:rPr>
          <w:rFonts w:hint="eastAsia" w:ascii="宋体" w:hAnsi="宋体" w:cs="宋体"/>
          <w:color w:val="auto"/>
          <w:sz w:val="22"/>
          <w:szCs w:val="22"/>
          <w:highlight w:val="none"/>
        </w:rPr>
        <w:t>以上企业，不属于大企业的分支机构，不存在控股股东为大企业的情形，也不存在与大企业的负责人为同一人的情形。</w:t>
      </w:r>
    </w:p>
    <w:p w14:paraId="309233F6">
      <w:pPr>
        <w:pStyle w:val="13"/>
        <w:spacing w:line="480" w:lineRule="exact"/>
        <w:ind w:right="372" w:firstLine="645"/>
        <w:rPr>
          <w:rFonts w:hint="eastAsia" w:ascii="宋体" w:hAnsi="宋体" w:cs="宋体"/>
          <w:color w:val="auto"/>
          <w:sz w:val="22"/>
          <w:szCs w:val="22"/>
          <w:highlight w:val="none"/>
        </w:rPr>
      </w:pPr>
      <w:r>
        <w:rPr>
          <w:rFonts w:hint="eastAsia" w:ascii="宋体" w:hAnsi="宋体" w:cs="宋体"/>
          <w:color w:val="auto"/>
          <w:sz w:val="22"/>
          <w:szCs w:val="22"/>
          <w:highlight w:val="none"/>
        </w:rPr>
        <w:t>本企业对上述声明内容的真实性负责。如有虚假，将依法承担相应责任。</w:t>
      </w:r>
    </w:p>
    <w:p w14:paraId="5BE54003">
      <w:pPr>
        <w:pStyle w:val="13"/>
        <w:spacing w:before="105" w:line="480" w:lineRule="exact"/>
        <w:ind w:right="417" w:firstLine="2860" w:firstLineChars="1300"/>
        <w:rPr>
          <w:rFonts w:hint="eastAsia" w:ascii="宋体" w:hAnsi="宋体" w:cs="宋体"/>
          <w:color w:val="auto"/>
          <w:sz w:val="22"/>
          <w:szCs w:val="22"/>
          <w:highlight w:val="none"/>
        </w:rPr>
      </w:pPr>
    </w:p>
    <w:p w14:paraId="678394BC">
      <w:pPr>
        <w:pStyle w:val="13"/>
        <w:spacing w:before="105" w:line="480" w:lineRule="exact"/>
        <w:ind w:right="417" w:firstLine="3740" w:firstLineChars="1700"/>
        <w:rPr>
          <w:rFonts w:hint="eastAsia" w:ascii="宋体" w:hAnsi="宋体" w:cs="宋体"/>
          <w:color w:val="auto"/>
          <w:sz w:val="22"/>
          <w:szCs w:val="22"/>
          <w:highlight w:val="none"/>
        </w:rPr>
      </w:pPr>
      <w:r>
        <w:rPr>
          <w:rFonts w:hint="eastAsia" w:ascii="宋体" w:hAnsi="宋体" w:cs="宋体"/>
          <w:color w:val="auto"/>
          <w:sz w:val="22"/>
          <w:szCs w:val="22"/>
          <w:highlight w:val="none"/>
        </w:rPr>
        <w:t>企业名称（盖章）：</w:t>
      </w:r>
    </w:p>
    <w:p w14:paraId="757A9B39">
      <w:pPr>
        <w:pStyle w:val="13"/>
        <w:spacing w:before="105" w:line="480" w:lineRule="exact"/>
        <w:ind w:right="417" w:firstLine="3740" w:firstLineChars="1700"/>
        <w:rPr>
          <w:rFonts w:hint="eastAsia" w:ascii="宋体" w:hAnsi="宋体" w:cs="宋体"/>
          <w:color w:val="auto"/>
          <w:sz w:val="22"/>
          <w:szCs w:val="22"/>
          <w:highlight w:val="none"/>
        </w:rPr>
      </w:pPr>
      <w:r>
        <w:rPr>
          <w:rFonts w:hint="eastAsia" w:ascii="宋体" w:hAnsi="宋体" w:cs="宋体"/>
          <w:color w:val="auto"/>
          <w:sz w:val="22"/>
          <w:szCs w:val="22"/>
          <w:highlight w:val="none"/>
        </w:rPr>
        <w:t>日期：</w:t>
      </w:r>
    </w:p>
    <w:p w14:paraId="55756877">
      <w:pPr>
        <w:pStyle w:val="15"/>
        <w:ind w:left="0" w:leftChars="0"/>
        <w:rPr>
          <w:rFonts w:hint="eastAsia" w:ascii="宋体" w:hAnsi="宋体" w:cs="宋体"/>
          <w:color w:val="auto"/>
          <w:sz w:val="22"/>
          <w:szCs w:val="22"/>
          <w:highlight w:val="none"/>
        </w:rPr>
      </w:pPr>
      <w:r>
        <w:rPr>
          <w:rFonts w:hint="eastAsia" w:ascii="宋体" w:hAnsi="宋体" w:cs="宋体"/>
          <w:color w:val="auto"/>
          <w:sz w:val="22"/>
          <w:szCs w:val="22"/>
          <w:highlight w:val="none"/>
        </w:rPr>
        <w:t>注：1、从业人员、营业收入、资产总额填报上一年度数据，无上一年度数据的新成立企业可不填报；</w:t>
      </w:r>
    </w:p>
    <w:p w14:paraId="54F4C242">
      <w:pPr>
        <w:pStyle w:val="15"/>
        <w:ind w:left="0" w:leftChars="0"/>
        <w:rPr>
          <w:rFonts w:hint="eastAsia" w:ascii="宋体" w:hAnsi="宋体" w:cs="宋体"/>
          <w:color w:val="auto"/>
          <w:sz w:val="22"/>
          <w:szCs w:val="22"/>
          <w:highlight w:val="none"/>
        </w:rPr>
      </w:pPr>
      <w:r>
        <w:rPr>
          <w:rFonts w:hint="eastAsia" w:ascii="宋体" w:hAnsi="宋体" w:cs="宋体"/>
          <w:color w:val="auto"/>
          <w:sz w:val="22"/>
          <w:szCs w:val="22"/>
          <w:highlight w:val="none"/>
        </w:rPr>
        <w:t>2、中小微型企业划分标准参照国家统计局印发的《统计上大中小微型企业划分办法（2017）》。</w:t>
      </w:r>
    </w:p>
    <w:p w14:paraId="63234D1F">
      <w:pPr>
        <w:pStyle w:val="15"/>
        <w:ind w:left="0" w:leftChars="0"/>
        <w:rPr>
          <w:rFonts w:hint="eastAsia" w:ascii="宋体" w:hAnsi="宋体" w:cs="宋体"/>
          <w:color w:val="auto"/>
          <w:sz w:val="22"/>
          <w:szCs w:val="22"/>
          <w:highlight w:val="none"/>
        </w:rPr>
      </w:pPr>
      <w:r>
        <w:rPr>
          <w:rFonts w:hint="eastAsia" w:ascii="宋体" w:hAnsi="宋体" w:cs="宋体"/>
          <w:color w:val="auto"/>
          <w:sz w:val="22"/>
          <w:szCs w:val="22"/>
          <w:highlight w:val="none"/>
        </w:rPr>
        <w:t>3、供应商提供声明函内容不实的，属于提供虚假材料谋取中标、成交，依照《中华人民共和国政府采购法》等国家有关规定追究相应责任。</w:t>
      </w:r>
    </w:p>
    <w:p w14:paraId="73A249A8">
      <w:pPr>
        <w:pStyle w:val="4"/>
        <w:keepNext w:val="0"/>
        <w:keepLines w:val="0"/>
        <w:pageBreakBefore/>
        <w:tabs>
          <w:tab w:val="left" w:pos="840"/>
        </w:tabs>
        <w:adjustRightInd w:val="0"/>
        <w:snapToGrid w:val="0"/>
        <w:spacing w:before="312" w:beforeLines="100" w:after="312" w:afterLines="100" w:line="240" w:lineRule="auto"/>
        <w:jc w:val="center"/>
        <w:rPr>
          <w:rFonts w:hint="eastAsia" w:hAnsi="宋体"/>
          <w:color w:val="auto"/>
          <w:sz w:val="24"/>
          <w:szCs w:val="24"/>
          <w:highlight w:val="none"/>
        </w:rPr>
      </w:pPr>
      <w:bookmarkStart w:id="105" w:name="_Toc13574"/>
      <w:bookmarkStart w:id="106" w:name="_Toc23763"/>
      <w:r>
        <w:rPr>
          <w:rFonts w:hint="eastAsia" w:hAnsi="宋体"/>
          <w:color w:val="auto"/>
          <w:sz w:val="24"/>
          <w:szCs w:val="24"/>
          <w:highlight w:val="none"/>
        </w:rPr>
        <w:t>附件</w:t>
      </w:r>
      <w:bookmarkStart w:id="107" w:name="OLE_LINK14"/>
      <w:bookmarkStart w:id="108" w:name="OLE_LINK13"/>
      <w:r>
        <w:rPr>
          <w:rFonts w:hint="eastAsia" w:hAnsi="宋体"/>
          <w:color w:val="auto"/>
          <w:sz w:val="24"/>
          <w:szCs w:val="24"/>
          <w:highlight w:val="none"/>
        </w:rPr>
        <w:t>三   残疾人福利性单位声明函</w:t>
      </w:r>
      <w:bookmarkEnd w:id="98"/>
      <w:bookmarkEnd w:id="105"/>
      <w:bookmarkEnd w:id="106"/>
    </w:p>
    <w:bookmarkEnd w:id="107"/>
    <w:bookmarkEnd w:id="108"/>
    <w:p w14:paraId="07D35892">
      <w:pPr>
        <w:spacing w:line="588" w:lineRule="exact"/>
        <w:rPr>
          <w:rFonts w:ascii="仿宋_GB2312" w:eastAsia="仿宋_GB2312"/>
          <w:b/>
          <w:color w:val="auto"/>
          <w:spacing w:val="6"/>
          <w:sz w:val="30"/>
          <w:szCs w:val="30"/>
          <w:highlight w:val="none"/>
        </w:rPr>
      </w:pPr>
    </w:p>
    <w:p w14:paraId="43F0F7E3">
      <w:pPr>
        <w:spacing w:line="588"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DEF4F7">
      <w:pPr>
        <w:spacing w:line="588"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本单位对上述声明的真实性负责。如有虚假，将依法承担相应责任。</w:t>
      </w:r>
    </w:p>
    <w:p w14:paraId="2FFD18E9">
      <w:pPr>
        <w:spacing w:line="588" w:lineRule="exact"/>
        <w:ind w:firstLine="464" w:firstLineChars="200"/>
        <w:rPr>
          <w:rFonts w:hint="eastAsia" w:ascii="宋体" w:hAnsi="宋体" w:cs="宋体"/>
          <w:color w:val="auto"/>
          <w:spacing w:val="6"/>
          <w:sz w:val="22"/>
          <w:szCs w:val="22"/>
          <w:highlight w:val="none"/>
        </w:rPr>
      </w:pPr>
    </w:p>
    <w:p w14:paraId="476A0CA5">
      <w:pPr>
        <w:spacing w:line="588" w:lineRule="exact"/>
        <w:ind w:firstLine="464" w:firstLineChars="200"/>
        <w:rPr>
          <w:rFonts w:hint="eastAsia" w:ascii="宋体" w:hAnsi="宋体" w:cs="宋体"/>
          <w:color w:val="auto"/>
          <w:spacing w:val="6"/>
          <w:sz w:val="22"/>
          <w:szCs w:val="22"/>
          <w:highlight w:val="none"/>
        </w:rPr>
      </w:pPr>
    </w:p>
    <w:p w14:paraId="19874332">
      <w:pPr>
        <w:rPr>
          <w:rFonts w:hint="eastAsia" w:ascii="宋体" w:hAnsi="宋体" w:cs="宋体"/>
          <w:color w:val="auto"/>
          <w:sz w:val="22"/>
          <w:szCs w:val="22"/>
          <w:highlight w:val="none"/>
        </w:rPr>
      </w:pPr>
      <w:r>
        <w:rPr>
          <w:rFonts w:hint="eastAsia" w:ascii="宋体" w:hAnsi="宋体" w:cs="宋体"/>
          <w:color w:val="auto"/>
          <w:spacing w:val="6"/>
          <w:sz w:val="22"/>
          <w:szCs w:val="22"/>
          <w:highlight w:val="none"/>
        </w:rPr>
        <w:t xml:space="preserve">                        </w:t>
      </w:r>
    </w:p>
    <w:p w14:paraId="45781762">
      <w:pPr>
        <w:spacing w:before="312" w:beforeLines="100" w:after="312" w:afterLines="100" w:line="400" w:lineRule="atLeast"/>
        <w:ind w:left="4620" w:leftChars="2200"/>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06C43446">
      <w:pPr>
        <w:spacing w:before="312" w:beforeLines="100" w:after="312" w:afterLines="100" w:line="400" w:lineRule="atLeas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法定代表人或授权代表（签字或盖章）：</w:t>
      </w:r>
    </w:p>
    <w:p w14:paraId="3A49B372">
      <w:pPr>
        <w:spacing w:before="312" w:beforeLines="100" w:after="312" w:afterLines="100" w:line="400" w:lineRule="atLeast"/>
        <w:ind w:firstLine="4840" w:firstLineChars="22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53EAEBC7">
      <w:pPr>
        <w:rPr>
          <w:rFonts w:hint="eastAsia" w:ascii="宋体" w:hAnsi="宋体" w:cs="宋体"/>
          <w:color w:val="auto"/>
          <w:sz w:val="22"/>
          <w:szCs w:val="22"/>
          <w:highlight w:val="none"/>
        </w:rPr>
      </w:pPr>
    </w:p>
    <w:p w14:paraId="20FBDB28">
      <w:pPr>
        <w:rPr>
          <w:rFonts w:hint="eastAsia" w:ascii="宋体" w:hAnsi="宋体" w:cs="宋体"/>
          <w:color w:val="auto"/>
          <w:sz w:val="22"/>
          <w:szCs w:val="22"/>
          <w:highlight w:val="none"/>
        </w:rPr>
      </w:pPr>
    </w:p>
    <w:p w14:paraId="4FDB7A4D">
      <w:pPr>
        <w:rPr>
          <w:rFonts w:hint="eastAsia" w:ascii="宋体" w:hAnsi="宋体" w:cs="宋体"/>
          <w:color w:val="auto"/>
          <w:sz w:val="22"/>
          <w:szCs w:val="22"/>
          <w:highlight w:val="none"/>
        </w:rPr>
      </w:pPr>
    </w:p>
    <w:p w14:paraId="304B0EFD">
      <w:pPr>
        <w:numPr>
          <w:ilvl w:val="0"/>
          <w:numId w:val="2"/>
        </w:numPr>
        <w:tabs>
          <w:tab w:val="left" w:pos="420"/>
          <w:tab w:val="clear" w:pos="1244"/>
        </w:tabs>
        <w:spacing w:before="100" w:beforeAutospacing="1" w:after="100" w:afterAutospacing="1" w:line="432" w:lineRule="auto"/>
        <w:ind w:hanging="1244"/>
        <w:rPr>
          <w:rFonts w:hint="eastAsia" w:ascii="宋体" w:hAnsi="宋体" w:cs="宋体"/>
          <w:b/>
          <w:color w:val="auto"/>
          <w:sz w:val="22"/>
          <w:szCs w:val="22"/>
          <w:highlight w:val="none"/>
        </w:rPr>
      </w:pPr>
      <w:r>
        <w:rPr>
          <w:rFonts w:hint="eastAsia" w:ascii="宋体" w:hAnsi="宋体" w:cs="宋体"/>
          <w:b/>
          <w:color w:val="auto"/>
          <w:sz w:val="22"/>
          <w:szCs w:val="22"/>
          <w:highlight w:val="none"/>
        </w:rPr>
        <w:t>残疾人福利性单位视同小型、微型企业，享受价格扣除。</w:t>
      </w:r>
    </w:p>
    <w:p w14:paraId="19E3EEE7">
      <w:pPr>
        <w:numPr>
          <w:ilvl w:val="0"/>
          <w:numId w:val="2"/>
        </w:numPr>
        <w:tabs>
          <w:tab w:val="left" w:pos="420"/>
          <w:tab w:val="clear" w:pos="1244"/>
        </w:tabs>
        <w:spacing w:before="100" w:beforeAutospacing="1" w:after="100" w:afterAutospacing="1" w:line="432" w:lineRule="auto"/>
        <w:ind w:hanging="1244"/>
        <w:rPr>
          <w:rFonts w:hint="eastAsia" w:ascii="宋体" w:hAnsi="宋体" w:cs="宋体"/>
          <w:b/>
          <w:color w:val="auto"/>
          <w:sz w:val="22"/>
          <w:szCs w:val="22"/>
          <w:highlight w:val="none"/>
        </w:rPr>
      </w:pPr>
      <w:r>
        <w:rPr>
          <w:rFonts w:hint="eastAsia" w:ascii="宋体" w:hAnsi="宋体" w:cs="宋体"/>
          <w:b/>
          <w:color w:val="auto"/>
          <w:sz w:val="22"/>
          <w:szCs w:val="22"/>
          <w:highlight w:val="none"/>
        </w:rPr>
        <w:t>残疾人福利性单位属于小型、微型企业的，不重复享受政策。</w:t>
      </w:r>
    </w:p>
    <w:p w14:paraId="40B8D83B">
      <w:pPr>
        <w:numPr>
          <w:ilvl w:val="0"/>
          <w:numId w:val="2"/>
        </w:numPr>
        <w:tabs>
          <w:tab w:val="left" w:pos="420"/>
          <w:tab w:val="clear" w:pos="1244"/>
        </w:tabs>
        <w:spacing w:before="100" w:beforeAutospacing="1" w:after="100" w:afterAutospacing="1" w:line="432" w:lineRule="auto"/>
        <w:ind w:hanging="1244"/>
        <w:rPr>
          <w:rFonts w:hint="eastAsia" w:ascii="宋体" w:hAnsi="宋体" w:cs="宋体"/>
          <w:b/>
          <w:color w:val="auto"/>
          <w:sz w:val="22"/>
          <w:szCs w:val="22"/>
          <w:highlight w:val="none"/>
        </w:rPr>
      </w:pPr>
      <w:r>
        <w:rPr>
          <w:rFonts w:hint="eastAsia" w:ascii="宋体" w:hAnsi="宋体" w:cs="宋体"/>
          <w:b/>
          <w:color w:val="auto"/>
          <w:sz w:val="22"/>
          <w:szCs w:val="22"/>
          <w:highlight w:val="none"/>
        </w:rPr>
        <w:t>如</w:t>
      </w:r>
      <w:r>
        <w:rPr>
          <w:rFonts w:hint="eastAsia" w:ascii="宋体" w:hAnsi="宋体" w:cs="宋体"/>
          <w:b/>
          <w:color w:val="auto"/>
          <w:sz w:val="22"/>
          <w:szCs w:val="22"/>
          <w:highlight w:val="none"/>
          <w:lang w:eastAsia="zh-CN"/>
        </w:rPr>
        <w:t>中标</w:t>
      </w:r>
      <w:r>
        <w:rPr>
          <w:rFonts w:hint="eastAsia" w:ascii="宋体" w:hAnsi="宋体" w:cs="宋体"/>
          <w:b/>
          <w:color w:val="auto"/>
          <w:sz w:val="22"/>
          <w:szCs w:val="22"/>
          <w:highlight w:val="none"/>
        </w:rPr>
        <w:t>人声明为残疾人福利性单位，本声明函将随</w:t>
      </w:r>
      <w:r>
        <w:rPr>
          <w:rFonts w:hint="eastAsia" w:ascii="宋体" w:hAnsi="宋体" w:cs="宋体"/>
          <w:b/>
          <w:color w:val="auto"/>
          <w:sz w:val="22"/>
          <w:szCs w:val="22"/>
          <w:highlight w:val="none"/>
          <w:lang w:eastAsia="zh-CN"/>
        </w:rPr>
        <w:t>中标</w:t>
      </w:r>
      <w:r>
        <w:rPr>
          <w:rFonts w:hint="eastAsia" w:ascii="宋体" w:hAnsi="宋体" w:cs="宋体"/>
          <w:b/>
          <w:color w:val="auto"/>
          <w:sz w:val="22"/>
          <w:szCs w:val="22"/>
          <w:highlight w:val="none"/>
        </w:rPr>
        <w:t>结果同时公告，接受社会监督。</w:t>
      </w:r>
    </w:p>
    <w:p w14:paraId="05F6A36F">
      <w:pPr>
        <w:rPr>
          <w:rFonts w:hint="eastAsia"/>
          <w:color w:val="auto"/>
          <w:highlight w:val="none"/>
        </w:rPr>
      </w:pPr>
    </w:p>
    <w:bookmarkEnd w:id="99"/>
    <w:bookmarkEnd w:id="100"/>
    <w:bookmarkEnd w:id="101"/>
    <w:bookmarkEnd w:id="102"/>
    <w:bookmarkEnd w:id="103"/>
    <w:bookmarkEnd w:id="104"/>
    <w:p w14:paraId="24E38EA8">
      <w:pPr>
        <w:spacing w:before="312" w:beforeLines="100" w:after="312" w:afterLines="100" w:line="400" w:lineRule="atLeast"/>
        <w:ind w:firstLine="4620" w:firstLineChars="2200"/>
        <w:rPr>
          <w:rFonts w:hint="eastAsia" w:ascii="宋体" w:hAnsi="宋体"/>
          <w:color w:val="auto"/>
          <w:szCs w:val="21"/>
          <w:highlight w:val="none"/>
        </w:rPr>
      </w:pPr>
      <w:bookmarkStart w:id="109" w:name="_Toc384303170"/>
      <w:bookmarkStart w:id="110" w:name="_Toc453158718"/>
      <w:bookmarkStart w:id="111" w:name="_Toc433808008"/>
      <w:bookmarkStart w:id="112" w:name="_Toc486931336"/>
    </w:p>
    <w:bookmarkEnd w:id="109"/>
    <w:bookmarkEnd w:id="110"/>
    <w:bookmarkEnd w:id="111"/>
    <w:bookmarkEnd w:id="112"/>
    <w:p w14:paraId="20BEC580">
      <w:pPr>
        <w:pStyle w:val="4"/>
        <w:keepNext w:val="0"/>
        <w:keepLines w:val="0"/>
        <w:pageBreakBefore/>
        <w:tabs>
          <w:tab w:val="left" w:pos="840"/>
        </w:tabs>
        <w:adjustRightInd w:val="0"/>
        <w:snapToGrid w:val="0"/>
        <w:spacing w:before="312" w:beforeLines="100" w:after="312" w:afterLines="100" w:line="240" w:lineRule="auto"/>
        <w:jc w:val="center"/>
        <w:rPr>
          <w:rFonts w:hint="eastAsia" w:hAnsi="宋体"/>
          <w:color w:val="auto"/>
          <w:sz w:val="24"/>
          <w:szCs w:val="24"/>
          <w:highlight w:val="none"/>
        </w:rPr>
      </w:pPr>
      <w:bookmarkStart w:id="113" w:name="_Toc18385"/>
      <w:bookmarkStart w:id="114" w:name="_Toc3337"/>
      <w:r>
        <w:rPr>
          <w:rFonts w:hint="eastAsia" w:hAnsi="宋体"/>
          <w:color w:val="auto"/>
          <w:sz w:val="24"/>
          <w:szCs w:val="24"/>
          <w:highlight w:val="none"/>
        </w:rPr>
        <w:t>附件四-1  法定代表人授权委托书</w:t>
      </w:r>
      <w:bookmarkEnd w:id="83"/>
      <w:bookmarkEnd w:id="113"/>
      <w:bookmarkEnd w:id="114"/>
    </w:p>
    <w:p w14:paraId="031122FA">
      <w:pPr>
        <w:spacing w:line="460" w:lineRule="exact"/>
        <w:ind w:firstLine="440" w:firstLineChars="200"/>
        <w:rPr>
          <w:rFonts w:hint="eastAsia" w:ascii="宋体" w:hAnsi="宋体"/>
          <w:bCs/>
          <w:color w:val="auto"/>
          <w:sz w:val="22"/>
          <w:szCs w:val="22"/>
          <w:highlight w:val="none"/>
        </w:rPr>
      </w:pPr>
      <w:r>
        <w:rPr>
          <w:rFonts w:hint="eastAsia" w:ascii="宋体" w:hAnsi="宋体"/>
          <w:bCs/>
          <w:color w:val="auto"/>
          <w:sz w:val="22"/>
          <w:szCs w:val="22"/>
          <w:highlight w:val="none"/>
          <w:lang w:eastAsia="zh-CN"/>
        </w:rPr>
        <w:t>温州市退役军人事务局</w:t>
      </w:r>
      <w:r>
        <w:rPr>
          <w:rFonts w:hint="eastAsia" w:ascii="宋体" w:hAnsi="宋体"/>
          <w:bCs/>
          <w:color w:val="auto"/>
          <w:sz w:val="22"/>
          <w:szCs w:val="22"/>
          <w:highlight w:val="none"/>
        </w:rPr>
        <w:t>：</w:t>
      </w:r>
    </w:p>
    <w:p w14:paraId="71601640">
      <w:pPr>
        <w:snapToGrid w:val="0"/>
        <w:spacing w:before="156" w:beforeLines="50" w:after="50" w:line="46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温州市圣励招标代理有限公司：</w:t>
      </w:r>
    </w:p>
    <w:p w14:paraId="21DDC65E">
      <w:pPr>
        <w:spacing w:line="460" w:lineRule="exact"/>
        <w:ind w:left="420" w:leftChars="200"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本授权委托书声明：我</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（法人代表姓名）系</w:t>
      </w:r>
      <w:r>
        <w:rPr>
          <w:rFonts w:hint="eastAsia" w:ascii="宋体" w:hAnsi="宋体"/>
          <w:color w:val="auto"/>
          <w:sz w:val="22"/>
          <w:szCs w:val="22"/>
          <w:highlight w:val="none"/>
          <w:u w:val="single"/>
        </w:rPr>
        <w:t xml:space="preserve">                         （供应商名称）</w:t>
      </w:r>
      <w:r>
        <w:rPr>
          <w:rFonts w:hint="eastAsia" w:ascii="宋体" w:hAnsi="宋体"/>
          <w:color w:val="auto"/>
          <w:sz w:val="22"/>
          <w:szCs w:val="22"/>
          <w:highlight w:val="none"/>
        </w:rPr>
        <w:t>的法定代表人，现授权委托本单位正式职工</w:t>
      </w:r>
      <w:r>
        <w:rPr>
          <w:rFonts w:hint="eastAsia" w:ascii="宋体" w:hAnsi="宋体"/>
          <w:color w:val="auto"/>
          <w:sz w:val="22"/>
          <w:szCs w:val="22"/>
          <w:highlight w:val="none"/>
          <w:u w:val="single"/>
        </w:rPr>
        <w:t xml:space="preserve">    （授权代表姓名）    </w:t>
      </w:r>
      <w:r>
        <w:rPr>
          <w:rFonts w:hint="eastAsia" w:ascii="宋体" w:hAnsi="宋体"/>
          <w:color w:val="auto"/>
          <w:sz w:val="22"/>
          <w:szCs w:val="22"/>
          <w:highlight w:val="none"/>
        </w:rPr>
        <w:t>为我公司法定代表人授权代表，参加贵处组织的</w:t>
      </w:r>
      <w:r>
        <w:rPr>
          <w:rFonts w:hint="eastAsia" w:ascii="宋体" w:hAnsi="宋体"/>
          <w:color w:val="auto"/>
          <w:sz w:val="22"/>
          <w:szCs w:val="22"/>
          <w:highlight w:val="none"/>
          <w:u w:val="single"/>
        </w:rPr>
        <w:t xml:space="preserve">（项目编号）    </w:t>
      </w:r>
      <w:r>
        <w:rPr>
          <w:rFonts w:hint="eastAsia" w:ascii="宋体" w:hAnsi="宋体"/>
          <w:color w:val="auto"/>
          <w:sz w:val="22"/>
          <w:szCs w:val="22"/>
          <w:highlight w:val="none"/>
        </w:rPr>
        <w:t xml:space="preserve">项目投标，全权处理本次招投标活动中的一切事宜，并代表我方全权办理针对上述项目的投标、开标、评标、签约等具体事务和签署相关文件。   </w:t>
      </w:r>
    </w:p>
    <w:p w14:paraId="1615CD06">
      <w:pPr>
        <w:spacing w:line="460" w:lineRule="exact"/>
        <w:ind w:left="420" w:leftChars="200"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我方对被授权人的签名负全部责任。</w:t>
      </w:r>
    </w:p>
    <w:p w14:paraId="205C11BE">
      <w:pPr>
        <w:spacing w:line="460" w:lineRule="exact"/>
        <w:ind w:left="420" w:leftChars="200"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在撤销授权的书面通知以前，本授权委托书一直有效。被授权人在授权委托书有效期内签署的所有文件不因授权的撤销而失效。</w:t>
      </w:r>
    </w:p>
    <w:p w14:paraId="2423946A">
      <w:pPr>
        <w:spacing w:line="46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授权代表无转委托权，特此委托。</w:t>
      </w:r>
    </w:p>
    <w:p w14:paraId="07C72EC2">
      <w:pPr>
        <w:spacing w:line="460" w:lineRule="exact"/>
        <w:ind w:firstLine="440" w:firstLineChars="200"/>
        <w:rPr>
          <w:rFonts w:hint="eastAsia" w:ascii="宋体" w:hAnsi="宋体"/>
          <w:color w:val="auto"/>
          <w:sz w:val="22"/>
          <w:szCs w:val="22"/>
          <w:highlight w:val="none"/>
        </w:rPr>
      </w:pPr>
    </w:p>
    <w:p w14:paraId="738AFE55">
      <w:pPr>
        <w:spacing w:before="312" w:beforeLines="100" w:after="312" w:afterLines="100" w:line="460" w:lineRule="exact"/>
        <w:ind w:firstLine="440" w:firstLineChars="200"/>
        <w:rPr>
          <w:rFonts w:ascii="宋体" w:hAnsi="宋体"/>
          <w:color w:val="auto"/>
          <w:sz w:val="22"/>
          <w:szCs w:val="22"/>
          <w:highlight w:val="none"/>
        </w:rPr>
      </w:pPr>
    </w:p>
    <w:p w14:paraId="73169ADA">
      <w:pPr>
        <w:spacing w:before="312" w:beforeLines="100" w:after="312" w:afterLines="100" w:line="460" w:lineRule="exact"/>
        <w:ind w:left="2100" w:firstLine="440" w:firstLineChars="200"/>
        <w:jc w:val="center"/>
        <w:rPr>
          <w:rFonts w:hint="eastAsia" w:ascii="宋体" w:hAnsi="宋体"/>
          <w:color w:val="auto"/>
          <w:sz w:val="22"/>
          <w:szCs w:val="22"/>
          <w:highlight w:val="none"/>
          <w:u w:val="single"/>
        </w:rPr>
      </w:pPr>
      <w:r>
        <w:rPr>
          <w:rFonts w:hint="eastAsia" w:ascii="宋体" w:hAnsi="宋体"/>
          <w:color w:val="auto"/>
          <w:sz w:val="22"/>
          <w:szCs w:val="22"/>
          <w:highlight w:val="none"/>
        </w:rPr>
        <w:t>授权代表：</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性别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年龄：</w:t>
      </w:r>
      <w:r>
        <w:rPr>
          <w:rFonts w:hint="eastAsia" w:ascii="宋体" w:hAnsi="宋体"/>
          <w:color w:val="auto"/>
          <w:sz w:val="22"/>
          <w:szCs w:val="22"/>
          <w:highlight w:val="none"/>
          <w:u w:val="single"/>
        </w:rPr>
        <w:t xml:space="preserve">        </w:t>
      </w:r>
    </w:p>
    <w:p w14:paraId="274EAA69">
      <w:pPr>
        <w:spacing w:before="312" w:beforeLines="100" w:after="312" w:afterLines="100" w:line="460" w:lineRule="exact"/>
        <w:ind w:left="2100" w:leftChars="1000" w:firstLine="1980" w:firstLineChars="900"/>
        <w:rPr>
          <w:rFonts w:ascii="宋体" w:hAnsi="宋体"/>
          <w:color w:val="auto"/>
          <w:sz w:val="22"/>
          <w:szCs w:val="22"/>
          <w:highlight w:val="none"/>
          <w:u w:val="single"/>
        </w:rPr>
      </w:pPr>
      <w:r>
        <w:rPr>
          <w:rFonts w:ascii="宋体" w:hAnsi="宋体"/>
          <w:color w:val="auto"/>
          <w:sz w:val="22"/>
          <w:szCs w:val="22"/>
          <w:highlight w:val="none"/>
        </w:rPr>
        <mc:AlternateContent>
          <mc:Choice Requires="wps">
            <w:drawing>
              <wp:anchor distT="0" distB="0" distL="114300" distR="114300" simplePos="0" relativeHeight="251662336" behindDoc="0" locked="0" layoutInCell="1" allowOverlap="1">
                <wp:simplePos x="0" y="0"/>
                <wp:positionH relativeFrom="column">
                  <wp:posOffset>-281305</wp:posOffset>
                </wp:positionH>
                <wp:positionV relativeFrom="paragraph">
                  <wp:posOffset>-1037590</wp:posOffset>
                </wp:positionV>
                <wp:extent cx="2324100" cy="3533775"/>
                <wp:effectExtent l="4445" t="4445" r="14605" b="5080"/>
                <wp:wrapNone/>
                <wp:docPr id="4" name="文本框 3"/>
                <wp:cNvGraphicFramePr/>
                <a:graphic xmlns:a="http://schemas.openxmlformats.org/drawingml/2006/main">
                  <a:graphicData uri="http://schemas.microsoft.com/office/word/2010/wordprocessingShape">
                    <wps:wsp>
                      <wps:cNvSpPr txBox="1"/>
                      <wps:spPr>
                        <a:xfrm>
                          <a:off x="0" y="0"/>
                          <a:ext cx="2324100" cy="3533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5D59E89"/>
                          <w:p w14:paraId="1D613029"/>
                          <w:p w14:paraId="783AAD39"/>
                          <w:p w14:paraId="66E3EC32"/>
                          <w:p w14:paraId="15D2A506">
                            <w:pPr>
                              <w:rPr>
                                <w:rFonts w:hint="eastAsia"/>
                              </w:rPr>
                            </w:pPr>
                          </w:p>
                          <w:p w14:paraId="60468722">
                            <w:pPr>
                              <w:rPr>
                                <w:rFonts w:hint="eastAsia"/>
                              </w:rPr>
                            </w:pPr>
                          </w:p>
                          <w:p w14:paraId="6DCAABAB">
                            <w:pPr>
                              <w:rPr>
                                <w:rFonts w:hint="eastAsia"/>
                              </w:rPr>
                            </w:pPr>
                          </w:p>
                          <w:p w14:paraId="009AB715">
                            <w:pPr>
                              <w:rPr>
                                <w:rFonts w:hint="eastAsia"/>
                              </w:rPr>
                            </w:pPr>
                          </w:p>
                          <w:p w14:paraId="588B29F2">
                            <w:pPr>
                              <w:rPr>
                                <w:rFonts w:hint="eastAsia"/>
                              </w:rPr>
                            </w:pPr>
                          </w:p>
                          <w:p w14:paraId="59BD3C7F">
                            <w:pPr>
                              <w:jc w:val="center"/>
                              <w:rPr>
                                <w:rFonts w:hint="eastAsia"/>
                              </w:rPr>
                            </w:pPr>
                            <w:r>
                              <w:rPr>
                                <w:rFonts w:hint="eastAsia"/>
                              </w:rPr>
                              <w:t>授权代表身份证扫描件</w:t>
                            </w:r>
                            <w:r>
                              <w:t>（</w:t>
                            </w:r>
                            <w:r>
                              <w:rPr>
                                <w:rFonts w:hint="eastAsia"/>
                              </w:rPr>
                              <w:t>正反两面</w:t>
                            </w:r>
                            <w:r>
                              <w:t>）</w:t>
                            </w:r>
                          </w:p>
                        </w:txbxContent>
                      </wps:txbx>
                      <wps:bodyPr wrap="square" upright="1"/>
                    </wps:wsp>
                  </a:graphicData>
                </a:graphic>
              </wp:anchor>
            </w:drawing>
          </mc:Choice>
          <mc:Fallback>
            <w:pict>
              <v:shape id="文本框 3" o:spid="_x0000_s1026" o:spt="202" type="#_x0000_t202" style="position:absolute;left:0pt;margin-left:-22.15pt;margin-top:-81.7pt;height:278.25pt;width:183pt;z-index:251662336;mso-width-relative:page;mso-height-relative:page;" fillcolor="#FFFFFF" filled="t" stroked="t" coordsize="21600,21600" o:gfxdata="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oC129sA&#10;AAAMAQAADwAAAAAAAAABACAAAAAiAAAAZHJzL2Rvd25yZXYueG1sUEsBAhQAFAAAAAgAh07iQJ/E&#10;y/scAgAAUwQAAA4AAAAAAAAAAQAgAAAAKgEAAGRycy9lMm9Eb2MueG1sUEsFBgAAAAAGAAYAWQEA&#10;ALgFAAAAAA==&#10;">
                <v:fill on="t" focussize="0,0"/>
                <v:stroke color="#000000" joinstyle="miter"/>
                <v:imagedata o:title=""/>
                <o:lock v:ext="edit" aspectratio="f"/>
                <v:textbox>
                  <w:txbxContent>
                    <w:p w14:paraId="75D59E89"/>
                    <w:p w14:paraId="1D613029"/>
                    <w:p w14:paraId="783AAD39"/>
                    <w:p w14:paraId="66E3EC32"/>
                    <w:p w14:paraId="15D2A506">
                      <w:pPr>
                        <w:rPr>
                          <w:rFonts w:hint="eastAsia"/>
                        </w:rPr>
                      </w:pPr>
                    </w:p>
                    <w:p w14:paraId="60468722">
                      <w:pPr>
                        <w:rPr>
                          <w:rFonts w:hint="eastAsia"/>
                        </w:rPr>
                      </w:pPr>
                    </w:p>
                    <w:p w14:paraId="6DCAABAB">
                      <w:pPr>
                        <w:rPr>
                          <w:rFonts w:hint="eastAsia"/>
                        </w:rPr>
                      </w:pPr>
                    </w:p>
                    <w:p w14:paraId="009AB715">
                      <w:pPr>
                        <w:rPr>
                          <w:rFonts w:hint="eastAsia"/>
                        </w:rPr>
                      </w:pPr>
                    </w:p>
                    <w:p w14:paraId="588B29F2">
                      <w:pPr>
                        <w:rPr>
                          <w:rFonts w:hint="eastAsia"/>
                        </w:rPr>
                      </w:pPr>
                    </w:p>
                    <w:p w14:paraId="59BD3C7F">
                      <w:pPr>
                        <w:jc w:val="center"/>
                        <w:rPr>
                          <w:rFonts w:hint="eastAsia"/>
                        </w:rPr>
                      </w:pPr>
                      <w:r>
                        <w:rPr>
                          <w:rFonts w:hint="eastAsia"/>
                        </w:rPr>
                        <w:t>授权代表身份证扫描件</w:t>
                      </w:r>
                      <w:r>
                        <w:t>（</w:t>
                      </w:r>
                      <w:r>
                        <w:rPr>
                          <w:rFonts w:hint="eastAsia"/>
                        </w:rPr>
                        <w:t>正反两面</w:t>
                      </w:r>
                      <w:r>
                        <w:t>）</w:t>
                      </w:r>
                    </w:p>
                  </w:txbxContent>
                </v:textbox>
              </v:shape>
            </w:pict>
          </mc:Fallback>
        </mc:AlternateContent>
      </w:r>
      <w:r>
        <w:rPr>
          <w:rFonts w:hint="eastAsia" w:ascii="宋体" w:hAnsi="宋体"/>
          <w:color w:val="auto"/>
          <w:sz w:val="22"/>
          <w:szCs w:val="22"/>
          <w:highlight w:val="none"/>
        </w:rPr>
        <w:t>身份证号码：</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职务：</w:t>
      </w:r>
      <w:r>
        <w:rPr>
          <w:rFonts w:hint="eastAsia" w:ascii="宋体" w:hAnsi="宋体"/>
          <w:color w:val="auto"/>
          <w:sz w:val="22"/>
          <w:szCs w:val="22"/>
          <w:highlight w:val="none"/>
          <w:u w:val="single"/>
        </w:rPr>
        <w:t xml:space="preserve">         </w:t>
      </w:r>
    </w:p>
    <w:p w14:paraId="1BEDF835">
      <w:pPr>
        <w:spacing w:before="312" w:beforeLines="100" w:after="312" w:afterLines="100" w:line="460" w:lineRule="exact"/>
        <w:ind w:left="2100" w:leftChars="1000" w:firstLine="1980" w:firstLineChars="900"/>
        <w:rPr>
          <w:rFonts w:hint="eastAsia" w:ascii="宋体" w:hAnsi="宋体"/>
          <w:color w:val="auto"/>
          <w:sz w:val="22"/>
          <w:szCs w:val="22"/>
          <w:highlight w:val="none"/>
          <w:u w:val="single"/>
        </w:rPr>
      </w:pPr>
      <w:r>
        <w:rPr>
          <w:rFonts w:hint="eastAsia" w:ascii="宋体" w:hAnsi="宋体"/>
          <w:color w:val="auto"/>
          <w:sz w:val="22"/>
          <w:szCs w:val="22"/>
          <w:highlight w:val="none"/>
        </w:rPr>
        <w:t>详细通讯地址：</w:t>
      </w:r>
      <w:r>
        <w:rPr>
          <w:rFonts w:hint="eastAsia" w:ascii="宋体" w:hAnsi="宋体"/>
          <w:color w:val="auto"/>
          <w:sz w:val="22"/>
          <w:szCs w:val="22"/>
          <w:highlight w:val="none"/>
          <w:u w:val="single"/>
        </w:rPr>
        <w:t xml:space="preserve">              </w:t>
      </w:r>
      <w:r>
        <w:rPr>
          <w:rFonts w:hint="eastAsia"/>
          <w:color w:val="auto"/>
          <w:sz w:val="22"/>
          <w:szCs w:val="22"/>
          <w:highlight w:val="none"/>
        </w:rPr>
        <w:t>邮政编码：</w:t>
      </w:r>
      <w:r>
        <w:rPr>
          <w:rFonts w:hint="eastAsia" w:ascii="宋体" w:hAnsi="宋体"/>
          <w:color w:val="auto"/>
          <w:sz w:val="22"/>
          <w:szCs w:val="22"/>
          <w:highlight w:val="none"/>
          <w:u w:val="single"/>
        </w:rPr>
        <w:t xml:space="preserve">         </w:t>
      </w:r>
    </w:p>
    <w:p w14:paraId="4DA82AED">
      <w:pPr>
        <w:spacing w:before="312" w:beforeLines="100" w:after="312" w:afterLines="100" w:line="460" w:lineRule="exact"/>
        <w:ind w:firstLine="3960" w:firstLineChars="1800"/>
        <w:rPr>
          <w:color w:val="auto"/>
          <w:sz w:val="22"/>
          <w:szCs w:val="22"/>
          <w:highlight w:val="none"/>
          <w:u w:val="single"/>
        </w:rPr>
      </w:pPr>
      <w:r>
        <w:rPr>
          <w:rFonts w:hint="eastAsia"/>
          <w:color w:val="auto"/>
          <w:sz w:val="22"/>
          <w:szCs w:val="22"/>
          <w:highlight w:val="none"/>
        </w:rPr>
        <w:t>电话：</w:t>
      </w:r>
      <w:r>
        <w:rPr>
          <w:rFonts w:hint="eastAsia"/>
          <w:color w:val="auto"/>
          <w:sz w:val="22"/>
          <w:szCs w:val="22"/>
          <w:highlight w:val="none"/>
          <w:u w:val="single"/>
        </w:rPr>
        <w:t xml:space="preserve">            </w:t>
      </w:r>
      <w:r>
        <w:rPr>
          <w:rFonts w:hint="eastAsia"/>
          <w:color w:val="auto"/>
          <w:sz w:val="22"/>
          <w:szCs w:val="22"/>
          <w:highlight w:val="none"/>
        </w:rPr>
        <w:t>传真：</w:t>
      </w:r>
      <w:r>
        <w:rPr>
          <w:rFonts w:hint="eastAsia"/>
          <w:color w:val="auto"/>
          <w:sz w:val="22"/>
          <w:szCs w:val="22"/>
          <w:highlight w:val="none"/>
          <w:u w:val="single"/>
        </w:rPr>
        <w:t xml:space="preserve">            </w:t>
      </w:r>
      <w:r>
        <w:rPr>
          <w:rFonts w:hint="eastAsia"/>
          <w:color w:val="auto"/>
          <w:sz w:val="22"/>
          <w:szCs w:val="22"/>
          <w:highlight w:val="none"/>
        </w:rPr>
        <w:t>邮箱：</w:t>
      </w:r>
      <w:r>
        <w:rPr>
          <w:rFonts w:hint="eastAsia"/>
          <w:color w:val="auto"/>
          <w:sz w:val="22"/>
          <w:szCs w:val="22"/>
          <w:highlight w:val="none"/>
          <w:u w:val="single"/>
        </w:rPr>
        <w:t xml:space="preserve">          </w:t>
      </w:r>
    </w:p>
    <w:p w14:paraId="20419D6F">
      <w:pPr>
        <w:spacing w:before="312" w:beforeLines="100" w:after="312" w:afterLines="100" w:line="460" w:lineRule="exact"/>
        <w:ind w:left="1" w:firstLine="440" w:firstLineChars="200"/>
        <w:rPr>
          <w:rFonts w:hint="eastAsia" w:ascii="宋体" w:hAnsi="宋体"/>
          <w:color w:val="auto"/>
          <w:sz w:val="22"/>
          <w:szCs w:val="22"/>
          <w:highlight w:val="none"/>
        </w:rPr>
      </w:pPr>
      <w:r>
        <w:rPr>
          <w:rFonts w:hint="eastAsia"/>
          <w:color w:val="auto"/>
          <w:sz w:val="22"/>
          <w:szCs w:val="22"/>
          <w:highlight w:val="none"/>
        </w:rPr>
        <w:t xml:space="preserve">                                </w:t>
      </w:r>
      <w:r>
        <w:rPr>
          <w:rFonts w:hint="eastAsia" w:ascii="宋体" w:hAnsi="宋体"/>
          <w:color w:val="auto"/>
          <w:sz w:val="22"/>
          <w:szCs w:val="22"/>
          <w:highlight w:val="none"/>
        </w:rPr>
        <w:t>供应商：</w:t>
      </w:r>
      <w:r>
        <w:rPr>
          <w:rFonts w:hint="eastAsia" w:ascii="宋体" w:hAnsi="宋体"/>
          <w:color w:val="auto"/>
          <w:sz w:val="22"/>
          <w:szCs w:val="22"/>
          <w:highlight w:val="none"/>
          <w:u w:val="single"/>
        </w:rPr>
        <w:t xml:space="preserve">                            （盖章）</w:t>
      </w:r>
    </w:p>
    <w:p w14:paraId="76CCBEE7">
      <w:pPr>
        <w:spacing w:before="312" w:beforeLines="100" w:after="312" w:afterLines="100" w:line="460" w:lineRule="exact"/>
        <w:ind w:left="2100" w:right="420" w:firstLine="1980" w:firstLineChars="900"/>
        <w:rPr>
          <w:rFonts w:hint="eastAsia" w:ascii="宋体" w:hAnsi="宋体"/>
          <w:color w:val="auto"/>
          <w:sz w:val="22"/>
          <w:szCs w:val="22"/>
          <w:highlight w:val="none"/>
        </w:rPr>
      </w:pPr>
      <w:r>
        <w:rPr>
          <w:rFonts w:hint="eastAsia" w:ascii="宋体" w:hAnsi="宋体"/>
          <w:color w:val="auto"/>
          <w:sz w:val="22"/>
          <w:szCs w:val="22"/>
          <w:highlight w:val="none"/>
        </w:rPr>
        <w:t>法定代表人：</w:t>
      </w:r>
      <w:r>
        <w:rPr>
          <w:rFonts w:hint="eastAsia" w:ascii="宋体" w:hAnsi="宋体"/>
          <w:color w:val="auto"/>
          <w:sz w:val="22"/>
          <w:szCs w:val="22"/>
          <w:highlight w:val="none"/>
          <w:u w:val="single"/>
        </w:rPr>
        <w:t xml:space="preserve">                 （签字或盖章）</w:t>
      </w:r>
    </w:p>
    <w:p w14:paraId="1E34A6E4">
      <w:pPr>
        <w:spacing w:before="312" w:beforeLines="100" w:after="312" w:afterLines="100" w:line="460" w:lineRule="exact"/>
        <w:ind w:firstLine="440" w:firstLineChars="200"/>
        <w:jc w:val="right"/>
        <w:rPr>
          <w:rFonts w:hint="eastAsia" w:ascii="宋体" w:hAnsi="宋体"/>
          <w:color w:val="auto"/>
          <w:sz w:val="22"/>
          <w:szCs w:val="22"/>
          <w:highlight w:val="none"/>
        </w:rPr>
      </w:pPr>
      <w:r>
        <w:rPr>
          <w:rFonts w:hint="eastAsia" w:ascii="宋体" w:hAnsi="宋体"/>
          <w:color w:val="auto"/>
          <w:sz w:val="22"/>
          <w:szCs w:val="22"/>
          <w:highlight w:val="none"/>
        </w:rPr>
        <w:t>授权委托日期：</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年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月</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日</w:t>
      </w:r>
    </w:p>
    <w:p w14:paraId="24CF1B4B">
      <w:pPr>
        <w:tabs>
          <w:tab w:val="left" w:pos="4532"/>
        </w:tabs>
        <w:spacing w:line="360" w:lineRule="auto"/>
        <w:rPr>
          <w:rFonts w:hint="eastAsia"/>
          <w:b/>
          <w:color w:val="auto"/>
          <w:highlight w:val="none"/>
        </w:rPr>
      </w:pPr>
    </w:p>
    <w:p w14:paraId="21CD26B1">
      <w:pPr>
        <w:pStyle w:val="4"/>
        <w:keepNext w:val="0"/>
        <w:keepLines w:val="0"/>
        <w:pageBreakBefore/>
        <w:tabs>
          <w:tab w:val="left" w:pos="840"/>
        </w:tabs>
        <w:adjustRightInd w:val="0"/>
        <w:snapToGrid w:val="0"/>
        <w:spacing w:before="312" w:beforeLines="100" w:after="312" w:afterLines="100" w:line="240" w:lineRule="auto"/>
        <w:jc w:val="center"/>
        <w:rPr>
          <w:rFonts w:hint="eastAsia" w:hAnsi="宋体"/>
          <w:color w:val="auto"/>
          <w:sz w:val="24"/>
          <w:szCs w:val="24"/>
          <w:highlight w:val="none"/>
        </w:rPr>
      </w:pPr>
      <w:bookmarkStart w:id="115" w:name="_Toc32147"/>
      <w:bookmarkStart w:id="116" w:name="_Toc486931327"/>
      <w:bookmarkStart w:id="117" w:name="_Toc7497"/>
      <w:r>
        <w:rPr>
          <w:rFonts w:hint="eastAsia" w:hAnsi="宋体"/>
          <w:color w:val="auto"/>
          <w:sz w:val="24"/>
          <w:szCs w:val="24"/>
          <w:highlight w:val="none"/>
        </w:rPr>
        <w:t>附件四-2  法定代表人身份证明</w:t>
      </w:r>
      <w:bookmarkEnd w:id="115"/>
      <w:bookmarkEnd w:id="116"/>
      <w:bookmarkEnd w:id="117"/>
    </w:p>
    <w:p w14:paraId="22B82540">
      <w:pPr>
        <w:rPr>
          <w:rFonts w:hint="eastAsia"/>
          <w:color w:val="auto"/>
          <w:highlight w:val="none"/>
        </w:rPr>
      </w:pPr>
    </w:p>
    <w:p w14:paraId="65B57758">
      <w:pPr>
        <w:spacing w:line="400" w:lineRule="exact"/>
        <w:rPr>
          <w:rFonts w:ascii="Arial" w:hAnsi="Arial" w:cs="Arial"/>
          <w:color w:val="auto"/>
          <w:sz w:val="22"/>
          <w:szCs w:val="22"/>
          <w:highlight w:val="none"/>
        </w:rPr>
      </w:pPr>
      <w:r>
        <w:rPr>
          <w:rFonts w:hint="eastAsia" w:ascii="Arial" w:hAnsi="Arial" w:cs="Arial"/>
          <w:color w:val="auto"/>
          <w:sz w:val="22"/>
          <w:szCs w:val="22"/>
          <w:highlight w:val="none"/>
        </w:rPr>
        <w:t>申</w:t>
      </w:r>
      <w:r>
        <w:rPr>
          <w:rFonts w:ascii="Arial" w:hAnsi="Arial" w:cs="Arial"/>
          <w:color w:val="auto"/>
          <w:sz w:val="22"/>
          <w:szCs w:val="22"/>
          <w:highlight w:val="none"/>
        </w:rPr>
        <w:t xml:space="preserve"> </w:t>
      </w:r>
      <w:r>
        <w:rPr>
          <w:rFonts w:hint="eastAsia" w:ascii="Arial" w:hAnsi="Arial" w:cs="Arial"/>
          <w:color w:val="auto"/>
          <w:sz w:val="22"/>
          <w:szCs w:val="22"/>
          <w:highlight w:val="none"/>
        </w:rPr>
        <w:t>请</w:t>
      </w:r>
      <w:r>
        <w:rPr>
          <w:rFonts w:ascii="Arial" w:hAnsi="Arial" w:cs="Arial"/>
          <w:color w:val="auto"/>
          <w:sz w:val="22"/>
          <w:szCs w:val="22"/>
          <w:highlight w:val="none"/>
        </w:rPr>
        <w:t xml:space="preserve"> </w:t>
      </w:r>
      <w:r>
        <w:rPr>
          <w:rFonts w:hint="eastAsia" w:ascii="Arial" w:hAnsi="Arial" w:cs="Arial"/>
          <w:color w:val="auto"/>
          <w:sz w:val="22"/>
          <w:szCs w:val="22"/>
          <w:highlight w:val="none"/>
        </w:rPr>
        <w:t>人：</w:t>
      </w:r>
      <w:r>
        <w:rPr>
          <w:rFonts w:ascii="Arial" w:hAnsi="Arial" w:cs="Arial"/>
          <w:color w:val="auto"/>
          <w:sz w:val="22"/>
          <w:szCs w:val="22"/>
          <w:highlight w:val="none"/>
          <w:u w:val="single"/>
        </w:rPr>
        <w:t xml:space="preserve">                                                       </w:t>
      </w:r>
    </w:p>
    <w:p w14:paraId="0AA53B4D">
      <w:pPr>
        <w:spacing w:line="400" w:lineRule="exact"/>
        <w:rPr>
          <w:rFonts w:ascii="Arial" w:hAnsi="Arial" w:cs="Arial"/>
          <w:color w:val="auto"/>
          <w:sz w:val="22"/>
          <w:szCs w:val="22"/>
          <w:highlight w:val="none"/>
          <w:u w:val="single"/>
        </w:rPr>
      </w:pPr>
      <w:r>
        <w:rPr>
          <w:rFonts w:hint="eastAsia" w:ascii="Arial" w:hAnsi="Arial" w:cs="Arial"/>
          <w:color w:val="auto"/>
          <w:sz w:val="22"/>
          <w:szCs w:val="22"/>
          <w:highlight w:val="none"/>
        </w:rPr>
        <w:t>单位性质：</w:t>
      </w:r>
      <w:r>
        <w:rPr>
          <w:rFonts w:ascii="Arial" w:hAnsi="Arial" w:cs="Arial"/>
          <w:color w:val="auto"/>
          <w:sz w:val="22"/>
          <w:szCs w:val="22"/>
          <w:highlight w:val="none"/>
          <w:u w:val="single"/>
        </w:rPr>
        <w:t xml:space="preserve">                                                       </w:t>
      </w:r>
    </w:p>
    <w:p w14:paraId="723B230A">
      <w:pPr>
        <w:spacing w:line="400" w:lineRule="exact"/>
        <w:rPr>
          <w:rFonts w:ascii="Arial" w:hAnsi="Arial" w:cs="Arial"/>
          <w:color w:val="auto"/>
          <w:sz w:val="22"/>
          <w:szCs w:val="22"/>
          <w:highlight w:val="none"/>
        </w:rPr>
      </w:pPr>
      <w:r>
        <w:rPr>
          <w:rFonts w:hint="eastAsia" w:ascii="Arial" w:hAnsi="Arial" w:cs="Arial"/>
          <w:color w:val="auto"/>
          <w:sz w:val="22"/>
          <w:szCs w:val="22"/>
          <w:highlight w:val="none"/>
        </w:rPr>
        <w:t>地</w:t>
      </w:r>
      <w:r>
        <w:rPr>
          <w:rFonts w:ascii="Arial" w:hAnsi="Arial" w:cs="Arial"/>
          <w:color w:val="auto"/>
          <w:sz w:val="22"/>
          <w:szCs w:val="22"/>
          <w:highlight w:val="none"/>
        </w:rPr>
        <w:t xml:space="preserve">    </w:t>
      </w:r>
      <w:r>
        <w:rPr>
          <w:rFonts w:hint="eastAsia" w:ascii="Arial" w:hAnsi="Arial" w:cs="Arial"/>
          <w:color w:val="auto"/>
          <w:sz w:val="22"/>
          <w:szCs w:val="22"/>
          <w:highlight w:val="none"/>
        </w:rPr>
        <w:t>址：</w:t>
      </w:r>
      <w:r>
        <w:rPr>
          <w:rFonts w:ascii="Arial" w:hAnsi="Arial" w:cs="Arial"/>
          <w:color w:val="auto"/>
          <w:sz w:val="22"/>
          <w:szCs w:val="22"/>
          <w:highlight w:val="none"/>
          <w:u w:val="single"/>
        </w:rPr>
        <w:t xml:space="preserve">                                                       </w:t>
      </w:r>
    </w:p>
    <w:p w14:paraId="75450107">
      <w:pPr>
        <w:spacing w:line="400" w:lineRule="exact"/>
        <w:rPr>
          <w:rFonts w:ascii="Arial" w:hAnsi="Arial" w:cs="Arial"/>
          <w:color w:val="auto"/>
          <w:sz w:val="22"/>
          <w:szCs w:val="22"/>
          <w:highlight w:val="none"/>
        </w:rPr>
      </w:pPr>
      <w:r>
        <w:rPr>
          <w:rFonts w:hint="eastAsia" w:ascii="Arial" w:hAnsi="Arial" w:cs="Arial"/>
          <w:color w:val="auto"/>
          <w:sz w:val="22"/>
          <w:szCs w:val="22"/>
          <w:highlight w:val="none"/>
        </w:rPr>
        <w:t>成立时间：</w:t>
      </w:r>
      <w:r>
        <w:rPr>
          <w:rFonts w:ascii="Arial" w:hAnsi="Arial" w:cs="Arial"/>
          <w:color w:val="auto"/>
          <w:sz w:val="22"/>
          <w:szCs w:val="22"/>
          <w:highlight w:val="none"/>
          <w:u w:val="single"/>
        </w:rPr>
        <w:t xml:space="preserve">          </w:t>
      </w:r>
      <w:r>
        <w:rPr>
          <w:rFonts w:hint="eastAsia" w:ascii="Arial" w:hAnsi="Arial" w:cs="Arial"/>
          <w:color w:val="auto"/>
          <w:sz w:val="22"/>
          <w:szCs w:val="22"/>
          <w:highlight w:val="none"/>
        </w:rPr>
        <w:t>年</w:t>
      </w:r>
      <w:r>
        <w:rPr>
          <w:rFonts w:ascii="Arial" w:hAnsi="Arial" w:cs="Arial"/>
          <w:color w:val="auto"/>
          <w:sz w:val="22"/>
          <w:szCs w:val="22"/>
          <w:highlight w:val="none"/>
          <w:u w:val="single"/>
        </w:rPr>
        <w:t xml:space="preserve">          </w:t>
      </w:r>
      <w:r>
        <w:rPr>
          <w:rFonts w:hint="eastAsia" w:ascii="Arial" w:hAnsi="Arial" w:cs="Arial"/>
          <w:color w:val="auto"/>
          <w:sz w:val="22"/>
          <w:szCs w:val="22"/>
          <w:highlight w:val="none"/>
        </w:rPr>
        <w:t>月</w:t>
      </w:r>
      <w:r>
        <w:rPr>
          <w:rFonts w:ascii="Arial" w:hAnsi="Arial" w:cs="Arial"/>
          <w:color w:val="auto"/>
          <w:sz w:val="22"/>
          <w:szCs w:val="22"/>
          <w:highlight w:val="none"/>
          <w:u w:val="single"/>
        </w:rPr>
        <w:t xml:space="preserve">          </w:t>
      </w:r>
      <w:r>
        <w:rPr>
          <w:rFonts w:hint="eastAsia" w:ascii="Arial" w:hAnsi="Arial" w:cs="Arial"/>
          <w:color w:val="auto"/>
          <w:sz w:val="22"/>
          <w:szCs w:val="22"/>
          <w:highlight w:val="none"/>
        </w:rPr>
        <w:t>日</w:t>
      </w:r>
    </w:p>
    <w:p w14:paraId="7C0960F5">
      <w:pPr>
        <w:spacing w:line="400" w:lineRule="exact"/>
        <w:rPr>
          <w:rFonts w:ascii="Arial" w:hAnsi="Arial" w:cs="Arial"/>
          <w:color w:val="auto"/>
          <w:sz w:val="22"/>
          <w:szCs w:val="22"/>
          <w:highlight w:val="none"/>
        </w:rPr>
      </w:pPr>
      <w:r>
        <w:rPr>
          <w:rFonts w:hint="eastAsia" w:ascii="Arial" w:hAnsi="Arial" w:cs="Arial"/>
          <w:color w:val="auto"/>
          <w:sz w:val="22"/>
          <w:szCs w:val="22"/>
          <w:highlight w:val="none"/>
        </w:rPr>
        <w:t>经营期限：</w:t>
      </w:r>
      <w:r>
        <w:rPr>
          <w:rFonts w:ascii="Arial" w:hAnsi="Arial" w:cs="Arial"/>
          <w:color w:val="auto"/>
          <w:sz w:val="22"/>
          <w:szCs w:val="22"/>
          <w:highlight w:val="none"/>
          <w:u w:val="single"/>
        </w:rPr>
        <w:t xml:space="preserve">                                                       </w:t>
      </w:r>
    </w:p>
    <w:p w14:paraId="1D02AE32">
      <w:pPr>
        <w:spacing w:line="400" w:lineRule="exact"/>
        <w:rPr>
          <w:rFonts w:ascii="Arial" w:hAnsi="Arial" w:cs="Arial"/>
          <w:color w:val="auto"/>
          <w:sz w:val="22"/>
          <w:szCs w:val="22"/>
          <w:highlight w:val="none"/>
        </w:rPr>
      </w:pPr>
      <w:r>
        <w:rPr>
          <w:rFonts w:hint="eastAsia" w:ascii="Arial" w:hAnsi="Arial" w:cs="Arial"/>
          <w:color w:val="auto"/>
          <w:sz w:val="22"/>
          <w:szCs w:val="22"/>
          <w:highlight w:val="none"/>
        </w:rPr>
        <w:t>姓</w:t>
      </w:r>
      <w:r>
        <w:rPr>
          <w:rFonts w:ascii="Arial" w:hAnsi="Arial" w:cs="Arial"/>
          <w:color w:val="auto"/>
          <w:sz w:val="22"/>
          <w:szCs w:val="22"/>
          <w:highlight w:val="none"/>
        </w:rPr>
        <w:t xml:space="preserve">    </w:t>
      </w:r>
      <w:r>
        <w:rPr>
          <w:rFonts w:hint="eastAsia" w:ascii="Arial" w:hAnsi="Arial" w:cs="Arial"/>
          <w:color w:val="auto"/>
          <w:sz w:val="22"/>
          <w:szCs w:val="22"/>
          <w:highlight w:val="none"/>
        </w:rPr>
        <w:t>名：</w:t>
      </w:r>
      <w:r>
        <w:rPr>
          <w:rFonts w:ascii="Arial" w:hAnsi="Arial" w:cs="Arial"/>
          <w:color w:val="auto"/>
          <w:sz w:val="22"/>
          <w:szCs w:val="22"/>
          <w:highlight w:val="none"/>
          <w:u w:val="single"/>
        </w:rPr>
        <w:t xml:space="preserve">             </w:t>
      </w:r>
      <w:r>
        <w:rPr>
          <w:rFonts w:hint="eastAsia" w:ascii="Arial" w:hAnsi="Arial" w:cs="Arial"/>
          <w:color w:val="auto"/>
          <w:sz w:val="22"/>
          <w:szCs w:val="22"/>
          <w:highlight w:val="none"/>
        </w:rPr>
        <w:t>性</w:t>
      </w:r>
      <w:r>
        <w:rPr>
          <w:rFonts w:ascii="Arial" w:hAnsi="Arial" w:cs="Arial"/>
          <w:color w:val="auto"/>
          <w:sz w:val="22"/>
          <w:szCs w:val="22"/>
          <w:highlight w:val="none"/>
        </w:rPr>
        <w:t xml:space="preserve">    </w:t>
      </w:r>
      <w:r>
        <w:rPr>
          <w:rFonts w:hint="eastAsia" w:ascii="Arial" w:hAnsi="Arial" w:cs="Arial"/>
          <w:color w:val="auto"/>
          <w:sz w:val="22"/>
          <w:szCs w:val="22"/>
          <w:highlight w:val="none"/>
        </w:rPr>
        <w:t>别：</w:t>
      </w:r>
      <w:r>
        <w:rPr>
          <w:rFonts w:ascii="Arial" w:hAnsi="Arial" w:cs="Arial"/>
          <w:color w:val="auto"/>
          <w:sz w:val="22"/>
          <w:szCs w:val="22"/>
          <w:highlight w:val="none"/>
          <w:u w:val="single"/>
        </w:rPr>
        <w:t xml:space="preserve">               </w:t>
      </w:r>
    </w:p>
    <w:p w14:paraId="72E9609A">
      <w:pPr>
        <w:spacing w:line="400" w:lineRule="exact"/>
        <w:rPr>
          <w:rFonts w:ascii="Arial" w:hAnsi="Arial" w:cs="Arial"/>
          <w:color w:val="auto"/>
          <w:sz w:val="22"/>
          <w:szCs w:val="22"/>
          <w:highlight w:val="none"/>
        </w:rPr>
      </w:pPr>
      <w:r>
        <w:rPr>
          <w:rFonts w:hint="eastAsia" w:ascii="Arial" w:hAnsi="Arial" w:cs="Arial"/>
          <w:color w:val="auto"/>
          <w:sz w:val="22"/>
          <w:szCs w:val="22"/>
          <w:highlight w:val="none"/>
        </w:rPr>
        <w:t>年</w:t>
      </w:r>
      <w:r>
        <w:rPr>
          <w:rFonts w:ascii="Arial" w:hAnsi="Arial" w:cs="Arial"/>
          <w:color w:val="auto"/>
          <w:sz w:val="22"/>
          <w:szCs w:val="22"/>
          <w:highlight w:val="none"/>
        </w:rPr>
        <w:t xml:space="preserve">    </w:t>
      </w:r>
      <w:r>
        <w:rPr>
          <w:rFonts w:hint="eastAsia" w:ascii="Arial" w:hAnsi="Arial" w:cs="Arial"/>
          <w:color w:val="auto"/>
          <w:sz w:val="22"/>
          <w:szCs w:val="22"/>
          <w:highlight w:val="none"/>
        </w:rPr>
        <w:t>龄：</w:t>
      </w:r>
      <w:r>
        <w:rPr>
          <w:rFonts w:ascii="Arial" w:hAnsi="Arial" w:cs="Arial"/>
          <w:color w:val="auto"/>
          <w:sz w:val="22"/>
          <w:szCs w:val="22"/>
          <w:highlight w:val="none"/>
          <w:u w:val="single"/>
        </w:rPr>
        <w:t xml:space="preserve">             </w:t>
      </w:r>
      <w:r>
        <w:rPr>
          <w:rFonts w:hint="eastAsia" w:ascii="Arial" w:hAnsi="Arial" w:cs="Arial"/>
          <w:color w:val="auto"/>
          <w:sz w:val="22"/>
          <w:szCs w:val="22"/>
          <w:highlight w:val="none"/>
        </w:rPr>
        <w:t>职</w:t>
      </w:r>
      <w:r>
        <w:rPr>
          <w:rFonts w:ascii="Arial" w:hAnsi="Arial" w:cs="Arial"/>
          <w:color w:val="auto"/>
          <w:sz w:val="22"/>
          <w:szCs w:val="22"/>
          <w:highlight w:val="none"/>
        </w:rPr>
        <w:t xml:space="preserve">    </w:t>
      </w:r>
      <w:r>
        <w:rPr>
          <w:rFonts w:hint="eastAsia" w:ascii="Arial" w:hAnsi="Arial" w:cs="Arial"/>
          <w:color w:val="auto"/>
          <w:sz w:val="22"/>
          <w:szCs w:val="22"/>
          <w:highlight w:val="none"/>
        </w:rPr>
        <w:t>务：</w:t>
      </w:r>
      <w:r>
        <w:rPr>
          <w:rFonts w:ascii="Arial" w:hAnsi="Arial" w:cs="Arial"/>
          <w:color w:val="auto"/>
          <w:sz w:val="22"/>
          <w:szCs w:val="22"/>
          <w:highlight w:val="none"/>
          <w:u w:val="single"/>
        </w:rPr>
        <w:t xml:space="preserve">               </w:t>
      </w:r>
    </w:p>
    <w:p w14:paraId="206CE368">
      <w:pPr>
        <w:spacing w:line="400" w:lineRule="exact"/>
        <w:rPr>
          <w:rFonts w:ascii="Arial" w:hAnsi="Arial" w:cs="Arial"/>
          <w:color w:val="auto"/>
          <w:sz w:val="22"/>
          <w:szCs w:val="22"/>
          <w:highlight w:val="none"/>
          <w:u w:val="single"/>
        </w:rPr>
      </w:pPr>
      <w:r>
        <w:rPr>
          <w:rFonts w:hint="eastAsia" w:ascii="Arial" w:hAnsi="Arial" w:cs="Arial"/>
          <w:color w:val="auto"/>
          <w:sz w:val="22"/>
          <w:szCs w:val="22"/>
          <w:highlight w:val="none"/>
        </w:rPr>
        <w:t>电    话：</w:t>
      </w:r>
      <w:r>
        <w:rPr>
          <w:rFonts w:hint="eastAsia" w:ascii="Arial" w:hAnsi="Arial" w:cs="Arial"/>
          <w:color w:val="auto"/>
          <w:sz w:val="22"/>
          <w:szCs w:val="22"/>
          <w:highlight w:val="none"/>
          <w:u w:val="single"/>
        </w:rPr>
        <w:t xml:space="preserve">             </w:t>
      </w:r>
      <w:r>
        <w:rPr>
          <w:rFonts w:hint="eastAsia" w:ascii="Arial" w:hAnsi="Arial" w:cs="Arial"/>
          <w:color w:val="auto"/>
          <w:sz w:val="22"/>
          <w:szCs w:val="22"/>
          <w:highlight w:val="none"/>
        </w:rPr>
        <w:t>邮    箱：</w:t>
      </w:r>
      <w:r>
        <w:rPr>
          <w:rFonts w:hint="eastAsia" w:ascii="Arial" w:hAnsi="Arial" w:cs="Arial"/>
          <w:color w:val="auto"/>
          <w:sz w:val="22"/>
          <w:szCs w:val="22"/>
          <w:highlight w:val="none"/>
          <w:u w:val="single"/>
        </w:rPr>
        <w:t xml:space="preserve">               </w:t>
      </w:r>
    </w:p>
    <w:p w14:paraId="19EA718B">
      <w:pPr>
        <w:spacing w:line="400" w:lineRule="exact"/>
        <w:rPr>
          <w:rFonts w:ascii="Arial" w:hAnsi="Arial" w:cs="Arial"/>
          <w:color w:val="auto"/>
          <w:sz w:val="22"/>
          <w:szCs w:val="22"/>
          <w:highlight w:val="none"/>
        </w:rPr>
      </w:pPr>
      <w:r>
        <w:rPr>
          <w:rFonts w:hint="eastAsia" w:ascii="Arial" w:hAnsi="Arial" w:cs="Arial"/>
          <w:color w:val="auto"/>
          <w:sz w:val="22"/>
          <w:szCs w:val="22"/>
          <w:highlight w:val="none"/>
        </w:rPr>
        <w:t>系</w:t>
      </w:r>
      <w:r>
        <w:rPr>
          <w:rFonts w:ascii="Arial" w:hAnsi="Arial" w:cs="Arial"/>
          <w:color w:val="auto"/>
          <w:sz w:val="22"/>
          <w:szCs w:val="22"/>
          <w:highlight w:val="none"/>
          <w:u w:val="single"/>
        </w:rPr>
        <w:t xml:space="preserve">                                </w:t>
      </w:r>
      <w:r>
        <w:rPr>
          <w:rFonts w:hint="eastAsia" w:ascii="Arial" w:hAnsi="Arial" w:cs="Arial"/>
          <w:color w:val="auto"/>
          <w:sz w:val="22"/>
          <w:szCs w:val="22"/>
          <w:highlight w:val="none"/>
        </w:rPr>
        <w:t>（申请人名称）的法定代表人。</w:t>
      </w:r>
    </w:p>
    <w:p w14:paraId="3CD70C4D">
      <w:pPr>
        <w:spacing w:line="400" w:lineRule="exact"/>
        <w:rPr>
          <w:rFonts w:ascii="Arial" w:hAnsi="Arial" w:cs="Arial"/>
          <w:color w:val="auto"/>
          <w:sz w:val="22"/>
          <w:szCs w:val="22"/>
          <w:highlight w:val="none"/>
        </w:rPr>
      </w:pPr>
      <w:r>
        <w:rPr>
          <w:rFonts w:hint="eastAsia" w:ascii="Arial" w:hAnsi="Arial" w:cs="Arial"/>
          <w:color w:val="auto"/>
          <w:sz w:val="22"/>
          <w:szCs w:val="22"/>
          <w:highlight w:val="none"/>
        </w:rPr>
        <w:t>特此证明。</w:t>
      </w:r>
    </w:p>
    <w:p w14:paraId="31E0ED5A">
      <w:pPr>
        <w:spacing w:line="360" w:lineRule="exact"/>
        <w:rPr>
          <w:rFonts w:ascii="Arial" w:hAnsi="Arial" w:cs="Arial"/>
          <w:color w:val="auto"/>
          <w:sz w:val="22"/>
          <w:szCs w:val="22"/>
          <w:highlight w:val="none"/>
        </w:rPr>
      </w:pPr>
    </w:p>
    <w:p w14:paraId="4B706A58">
      <w:pPr>
        <w:spacing w:line="360" w:lineRule="auto"/>
        <w:rPr>
          <w:rFonts w:ascii="宋体" w:hAnsi="宋体"/>
          <w:color w:val="auto"/>
          <w:sz w:val="22"/>
          <w:szCs w:val="22"/>
          <w:highlight w:val="none"/>
        </w:rPr>
      </w:pPr>
      <w:r>
        <w:rPr>
          <w:rFonts w:hint="eastAsia" w:ascii="宋体" w:hAnsi="宋体"/>
          <w:color w:val="auto"/>
          <w:sz w:val="22"/>
          <w:szCs w:val="22"/>
          <w:highlight w:val="none"/>
        </w:rPr>
        <mc:AlternateContent>
          <mc:Choice Requires="wps">
            <w:drawing>
              <wp:anchor distT="0" distB="0" distL="114300" distR="114300" simplePos="0" relativeHeight="251661312" behindDoc="0" locked="0" layoutInCell="1" allowOverlap="1">
                <wp:simplePos x="0" y="0"/>
                <wp:positionH relativeFrom="column">
                  <wp:posOffset>2533650</wp:posOffset>
                </wp:positionH>
                <wp:positionV relativeFrom="paragraph">
                  <wp:posOffset>124460</wp:posOffset>
                </wp:positionV>
                <wp:extent cx="3529330" cy="2581275"/>
                <wp:effectExtent l="5080" t="5080" r="8890" b="4445"/>
                <wp:wrapNone/>
                <wp:docPr id="2" name="文本框 4"/>
                <wp:cNvGraphicFramePr/>
                <a:graphic xmlns:a="http://schemas.openxmlformats.org/drawingml/2006/main">
                  <a:graphicData uri="http://schemas.microsoft.com/office/word/2010/wordprocessingShape">
                    <wps:wsp>
                      <wps:cNvSpPr txBox="1"/>
                      <wps:spPr>
                        <a:xfrm>
                          <a:off x="0" y="0"/>
                          <a:ext cx="3529330" cy="2581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9D5AEB3">
                            <w:pPr>
                              <w:jc w:val="center"/>
                              <w:rPr>
                                <w:rFonts w:hint="eastAsia" w:ascii="新宋体" w:hAnsi="新宋体" w:eastAsia="新宋体"/>
                                <w:sz w:val="22"/>
                              </w:rPr>
                            </w:pPr>
                          </w:p>
                          <w:p w14:paraId="144C28B9">
                            <w:pPr>
                              <w:jc w:val="center"/>
                              <w:rPr>
                                <w:rFonts w:hint="eastAsia" w:ascii="新宋体" w:hAnsi="新宋体" w:eastAsia="新宋体"/>
                                <w:sz w:val="22"/>
                              </w:rPr>
                            </w:pPr>
                          </w:p>
                          <w:p w14:paraId="2481D6C3">
                            <w:pPr>
                              <w:jc w:val="center"/>
                              <w:rPr>
                                <w:rFonts w:hint="eastAsia" w:ascii="新宋体" w:hAnsi="新宋体" w:eastAsia="新宋体"/>
                                <w:sz w:val="22"/>
                              </w:rPr>
                            </w:pPr>
                          </w:p>
                          <w:p w14:paraId="37466B30">
                            <w:pPr>
                              <w:jc w:val="center"/>
                              <w:rPr>
                                <w:rFonts w:hint="eastAsia" w:ascii="新宋体" w:hAnsi="新宋体" w:eastAsia="新宋体"/>
                                <w:sz w:val="22"/>
                              </w:rPr>
                            </w:pPr>
                          </w:p>
                          <w:p w14:paraId="5A283FEF">
                            <w:pPr>
                              <w:jc w:val="center"/>
                              <w:rPr>
                                <w:rFonts w:hint="eastAsia" w:ascii="新宋体" w:hAnsi="新宋体" w:eastAsia="新宋体"/>
                                <w:sz w:val="22"/>
                              </w:rPr>
                            </w:pPr>
                          </w:p>
                          <w:p w14:paraId="45144A5C">
                            <w:pPr>
                              <w:jc w:val="center"/>
                              <w:rPr>
                                <w:rFonts w:hint="eastAsia" w:ascii="新宋体" w:hAnsi="新宋体" w:eastAsia="新宋体"/>
                                <w:sz w:val="22"/>
                              </w:rPr>
                            </w:pPr>
                          </w:p>
                          <w:p w14:paraId="7C5673F6">
                            <w:pPr>
                              <w:jc w:val="center"/>
                              <w:rPr>
                                <w:rFonts w:hint="eastAsia" w:ascii="新宋体" w:hAnsi="新宋体" w:eastAsia="新宋体"/>
                                <w:sz w:val="22"/>
                              </w:rPr>
                            </w:pPr>
                            <w:r>
                              <w:rPr>
                                <w:rFonts w:hint="eastAsia" w:ascii="新宋体" w:hAnsi="新宋体" w:eastAsia="新宋体"/>
                                <w:sz w:val="22"/>
                              </w:rPr>
                              <w:t>法定代表人身份证扫描件粘贴处（正反两面）：</w:t>
                            </w:r>
                          </w:p>
                          <w:p w14:paraId="752EF60A">
                            <w:pPr>
                              <w:jc w:val="center"/>
                              <w:rPr>
                                <w:rFonts w:hint="eastAsia" w:ascii="新宋体" w:hAnsi="新宋体" w:eastAsia="新宋体"/>
                                <w:sz w:val="22"/>
                              </w:rPr>
                            </w:pPr>
                          </w:p>
                          <w:p w14:paraId="2639AD18">
                            <w:pPr>
                              <w:jc w:val="center"/>
                              <w:rPr>
                                <w:rFonts w:hint="eastAsia" w:ascii="新宋体" w:hAnsi="新宋体" w:eastAsia="新宋体"/>
                                <w:sz w:val="22"/>
                              </w:rPr>
                            </w:pPr>
                          </w:p>
                          <w:p w14:paraId="4F227555">
                            <w:pPr>
                              <w:jc w:val="center"/>
                              <w:rPr>
                                <w:rFonts w:hint="eastAsia" w:ascii="新宋体" w:hAnsi="新宋体" w:eastAsia="新宋体"/>
                                <w:sz w:val="22"/>
                              </w:rPr>
                            </w:pPr>
                          </w:p>
                          <w:p w14:paraId="5DD2F086">
                            <w:pPr>
                              <w:jc w:val="center"/>
                              <w:rPr>
                                <w:rFonts w:hint="eastAsia" w:ascii="新宋体" w:hAnsi="新宋体" w:eastAsia="新宋体"/>
                                <w:sz w:val="22"/>
                              </w:rPr>
                            </w:pPr>
                          </w:p>
                          <w:p w14:paraId="7350EBE0">
                            <w:pPr>
                              <w:jc w:val="center"/>
                              <w:rPr>
                                <w:rFonts w:hint="eastAsia" w:ascii="新宋体" w:hAnsi="新宋体" w:eastAsia="新宋体"/>
                                <w:sz w:val="22"/>
                              </w:rPr>
                            </w:pPr>
                          </w:p>
                          <w:p w14:paraId="1D289449">
                            <w:pPr>
                              <w:jc w:val="center"/>
                              <w:rPr>
                                <w:rFonts w:hint="eastAsia" w:ascii="新宋体" w:hAnsi="新宋体" w:eastAsia="新宋体"/>
                                <w:sz w:val="22"/>
                              </w:rPr>
                            </w:pPr>
                          </w:p>
                          <w:p w14:paraId="521E434A">
                            <w:pPr>
                              <w:jc w:val="center"/>
                              <w:rPr>
                                <w:rFonts w:hint="eastAsia" w:ascii="新宋体" w:hAnsi="新宋体" w:eastAsia="新宋体"/>
                                <w:sz w:val="22"/>
                              </w:rPr>
                            </w:pPr>
                          </w:p>
                          <w:p w14:paraId="4D6FA649">
                            <w:pPr>
                              <w:jc w:val="center"/>
                              <w:rPr>
                                <w:rFonts w:hint="eastAsia" w:ascii="新宋体" w:hAnsi="新宋体" w:eastAsia="新宋体"/>
                                <w:sz w:val="22"/>
                              </w:rPr>
                            </w:pPr>
                          </w:p>
                          <w:p w14:paraId="1552B9D1">
                            <w:pPr>
                              <w:jc w:val="center"/>
                              <w:rPr>
                                <w:rFonts w:hint="eastAsia" w:ascii="新宋体" w:hAnsi="新宋体" w:eastAsia="新宋体"/>
                                <w:sz w:val="22"/>
                              </w:rPr>
                            </w:pPr>
                          </w:p>
                          <w:p w14:paraId="2A8A142A">
                            <w:pPr>
                              <w:jc w:val="center"/>
                            </w:pPr>
                          </w:p>
                          <w:p w14:paraId="51DE7D9E">
                            <w:pPr>
                              <w:rPr>
                                <w:rFonts w:hint="eastAsia"/>
                              </w:rPr>
                            </w:pPr>
                          </w:p>
                          <w:p w14:paraId="4FA15546">
                            <w:pPr>
                              <w:rPr>
                                <w:rFonts w:hint="eastAsia"/>
                              </w:rPr>
                            </w:pPr>
                          </w:p>
                          <w:p w14:paraId="10716B6A">
                            <w:pPr>
                              <w:rPr>
                                <w:rFonts w:hint="eastAsia"/>
                              </w:rPr>
                            </w:pPr>
                          </w:p>
                          <w:p w14:paraId="6C9A8497">
                            <w:pPr>
                              <w:rPr>
                                <w:rFonts w:hint="eastAsia"/>
                              </w:rPr>
                            </w:pPr>
                          </w:p>
                          <w:p w14:paraId="4137EC84">
                            <w:pPr>
                              <w:rPr>
                                <w:rFonts w:hint="eastAsia"/>
                              </w:rPr>
                            </w:pPr>
                          </w:p>
                          <w:p w14:paraId="3484441D">
                            <w:pPr>
                              <w:rPr>
                                <w:rFonts w:hint="eastAsia"/>
                              </w:rPr>
                            </w:pPr>
                          </w:p>
                        </w:txbxContent>
                      </wps:txbx>
                      <wps:bodyPr wrap="square" upright="1"/>
                    </wps:wsp>
                  </a:graphicData>
                </a:graphic>
              </wp:anchor>
            </w:drawing>
          </mc:Choice>
          <mc:Fallback>
            <w:pict>
              <v:shape id="文本框 4" o:spid="_x0000_s1026" o:spt="202" type="#_x0000_t202" style="position:absolute;left:0pt;margin-left:199.5pt;margin-top:9.8pt;height:203.25pt;width:277.9pt;z-index:251661312;mso-width-relative:page;mso-height-relative:page;" fillcolor="#FFFFFF" filled="t" stroked="t" coordsize="21600,21600" o:gfxdata="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yiD+fZAAAA&#10;CgEAAA8AAAAAAAAAAQAgAAAAIgAAAGRycy9kb3ducmV2LnhtbFBLAQIUABQAAAAIAIdO4kBFZ8+7&#10;HAIAAFMEAAAOAAAAAAAAAAEAIAAAACgBAABkcnMvZTJvRG9jLnhtbFBLBQYAAAAABgAGAFkBAAC2&#10;BQAAAAA=&#10;">
                <v:fill on="t" focussize="0,0"/>
                <v:stroke color="#000000" joinstyle="miter"/>
                <v:imagedata o:title=""/>
                <o:lock v:ext="edit" aspectratio="f"/>
                <v:textbox>
                  <w:txbxContent>
                    <w:p w14:paraId="19D5AEB3">
                      <w:pPr>
                        <w:jc w:val="center"/>
                        <w:rPr>
                          <w:rFonts w:hint="eastAsia" w:ascii="新宋体" w:hAnsi="新宋体" w:eastAsia="新宋体"/>
                          <w:sz w:val="22"/>
                        </w:rPr>
                      </w:pPr>
                    </w:p>
                    <w:p w14:paraId="144C28B9">
                      <w:pPr>
                        <w:jc w:val="center"/>
                        <w:rPr>
                          <w:rFonts w:hint="eastAsia" w:ascii="新宋体" w:hAnsi="新宋体" w:eastAsia="新宋体"/>
                          <w:sz w:val="22"/>
                        </w:rPr>
                      </w:pPr>
                    </w:p>
                    <w:p w14:paraId="2481D6C3">
                      <w:pPr>
                        <w:jc w:val="center"/>
                        <w:rPr>
                          <w:rFonts w:hint="eastAsia" w:ascii="新宋体" w:hAnsi="新宋体" w:eastAsia="新宋体"/>
                          <w:sz w:val="22"/>
                        </w:rPr>
                      </w:pPr>
                    </w:p>
                    <w:p w14:paraId="37466B30">
                      <w:pPr>
                        <w:jc w:val="center"/>
                        <w:rPr>
                          <w:rFonts w:hint="eastAsia" w:ascii="新宋体" w:hAnsi="新宋体" w:eastAsia="新宋体"/>
                          <w:sz w:val="22"/>
                        </w:rPr>
                      </w:pPr>
                    </w:p>
                    <w:p w14:paraId="5A283FEF">
                      <w:pPr>
                        <w:jc w:val="center"/>
                        <w:rPr>
                          <w:rFonts w:hint="eastAsia" w:ascii="新宋体" w:hAnsi="新宋体" w:eastAsia="新宋体"/>
                          <w:sz w:val="22"/>
                        </w:rPr>
                      </w:pPr>
                    </w:p>
                    <w:p w14:paraId="45144A5C">
                      <w:pPr>
                        <w:jc w:val="center"/>
                        <w:rPr>
                          <w:rFonts w:hint="eastAsia" w:ascii="新宋体" w:hAnsi="新宋体" w:eastAsia="新宋体"/>
                          <w:sz w:val="22"/>
                        </w:rPr>
                      </w:pPr>
                    </w:p>
                    <w:p w14:paraId="7C5673F6">
                      <w:pPr>
                        <w:jc w:val="center"/>
                        <w:rPr>
                          <w:rFonts w:hint="eastAsia" w:ascii="新宋体" w:hAnsi="新宋体" w:eastAsia="新宋体"/>
                          <w:sz w:val="22"/>
                        </w:rPr>
                      </w:pPr>
                      <w:r>
                        <w:rPr>
                          <w:rFonts w:hint="eastAsia" w:ascii="新宋体" w:hAnsi="新宋体" w:eastAsia="新宋体"/>
                          <w:sz w:val="22"/>
                        </w:rPr>
                        <w:t>法定代表人身份证扫描件粘贴处（正反两面）：</w:t>
                      </w:r>
                    </w:p>
                    <w:p w14:paraId="752EF60A">
                      <w:pPr>
                        <w:jc w:val="center"/>
                        <w:rPr>
                          <w:rFonts w:hint="eastAsia" w:ascii="新宋体" w:hAnsi="新宋体" w:eastAsia="新宋体"/>
                          <w:sz w:val="22"/>
                        </w:rPr>
                      </w:pPr>
                    </w:p>
                    <w:p w14:paraId="2639AD18">
                      <w:pPr>
                        <w:jc w:val="center"/>
                        <w:rPr>
                          <w:rFonts w:hint="eastAsia" w:ascii="新宋体" w:hAnsi="新宋体" w:eastAsia="新宋体"/>
                          <w:sz w:val="22"/>
                        </w:rPr>
                      </w:pPr>
                    </w:p>
                    <w:p w14:paraId="4F227555">
                      <w:pPr>
                        <w:jc w:val="center"/>
                        <w:rPr>
                          <w:rFonts w:hint="eastAsia" w:ascii="新宋体" w:hAnsi="新宋体" w:eastAsia="新宋体"/>
                          <w:sz w:val="22"/>
                        </w:rPr>
                      </w:pPr>
                    </w:p>
                    <w:p w14:paraId="5DD2F086">
                      <w:pPr>
                        <w:jc w:val="center"/>
                        <w:rPr>
                          <w:rFonts w:hint="eastAsia" w:ascii="新宋体" w:hAnsi="新宋体" w:eastAsia="新宋体"/>
                          <w:sz w:val="22"/>
                        </w:rPr>
                      </w:pPr>
                    </w:p>
                    <w:p w14:paraId="7350EBE0">
                      <w:pPr>
                        <w:jc w:val="center"/>
                        <w:rPr>
                          <w:rFonts w:hint="eastAsia" w:ascii="新宋体" w:hAnsi="新宋体" w:eastAsia="新宋体"/>
                          <w:sz w:val="22"/>
                        </w:rPr>
                      </w:pPr>
                    </w:p>
                    <w:p w14:paraId="1D289449">
                      <w:pPr>
                        <w:jc w:val="center"/>
                        <w:rPr>
                          <w:rFonts w:hint="eastAsia" w:ascii="新宋体" w:hAnsi="新宋体" w:eastAsia="新宋体"/>
                          <w:sz w:val="22"/>
                        </w:rPr>
                      </w:pPr>
                    </w:p>
                    <w:p w14:paraId="521E434A">
                      <w:pPr>
                        <w:jc w:val="center"/>
                        <w:rPr>
                          <w:rFonts w:hint="eastAsia" w:ascii="新宋体" w:hAnsi="新宋体" w:eastAsia="新宋体"/>
                          <w:sz w:val="22"/>
                        </w:rPr>
                      </w:pPr>
                    </w:p>
                    <w:p w14:paraId="4D6FA649">
                      <w:pPr>
                        <w:jc w:val="center"/>
                        <w:rPr>
                          <w:rFonts w:hint="eastAsia" w:ascii="新宋体" w:hAnsi="新宋体" w:eastAsia="新宋体"/>
                          <w:sz w:val="22"/>
                        </w:rPr>
                      </w:pPr>
                    </w:p>
                    <w:p w14:paraId="1552B9D1">
                      <w:pPr>
                        <w:jc w:val="center"/>
                        <w:rPr>
                          <w:rFonts w:hint="eastAsia" w:ascii="新宋体" w:hAnsi="新宋体" w:eastAsia="新宋体"/>
                          <w:sz w:val="22"/>
                        </w:rPr>
                      </w:pPr>
                    </w:p>
                    <w:p w14:paraId="2A8A142A">
                      <w:pPr>
                        <w:jc w:val="center"/>
                      </w:pPr>
                    </w:p>
                    <w:p w14:paraId="51DE7D9E">
                      <w:pPr>
                        <w:rPr>
                          <w:rFonts w:hint="eastAsia"/>
                        </w:rPr>
                      </w:pPr>
                    </w:p>
                    <w:p w14:paraId="4FA15546">
                      <w:pPr>
                        <w:rPr>
                          <w:rFonts w:hint="eastAsia"/>
                        </w:rPr>
                      </w:pPr>
                    </w:p>
                    <w:p w14:paraId="10716B6A">
                      <w:pPr>
                        <w:rPr>
                          <w:rFonts w:hint="eastAsia"/>
                        </w:rPr>
                      </w:pPr>
                    </w:p>
                    <w:p w14:paraId="6C9A8497">
                      <w:pPr>
                        <w:rPr>
                          <w:rFonts w:hint="eastAsia"/>
                        </w:rPr>
                      </w:pPr>
                    </w:p>
                    <w:p w14:paraId="4137EC84">
                      <w:pPr>
                        <w:rPr>
                          <w:rFonts w:hint="eastAsia"/>
                        </w:rPr>
                      </w:pPr>
                    </w:p>
                    <w:p w14:paraId="3484441D">
                      <w:pPr>
                        <w:rPr>
                          <w:rFonts w:hint="eastAsia"/>
                        </w:rPr>
                      </w:pPr>
                    </w:p>
                  </w:txbxContent>
                </v:textbox>
              </v:shape>
            </w:pict>
          </mc:Fallback>
        </mc:AlternateContent>
      </w:r>
      <w:r>
        <w:rPr>
          <w:rFonts w:hint="eastAsia" w:ascii="宋体" w:hAnsi="宋体"/>
          <w:color w:val="auto"/>
          <w:sz w:val="22"/>
          <w:szCs w:val="22"/>
          <w:highlight w:val="none"/>
        </w:rPr>
        <w:t>附：</w:t>
      </w:r>
    </w:p>
    <w:p w14:paraId="511E5F96">
      <w:pPr>
        <w:rPr>
          <w:rFonts w:ascii="Arial" w:hAnsi="Arial" w:cs="Arial"/>
          <w:color w:val="auto"/>
          <w:sz w:val="22"/>
          <w:szCs w:val="22"/>
          <w:highlight w:val="none"/>
        </w:rPr>
      </w:pPr>
    </w:p>
    <w:p w14:paraId="0D906576">
      <w:pPr>
        <w:rPr>
          <w:rFonts w:ascii="Arial" w:hAnsi="Arial" w:cs="Arial"/>
          <w:color w:val="auto"/>
          <w:sz w:val="22"/>
          <w:szCs w:val="22"/>
          <w:highlight w:val="none"/>
        </w:rPr>
      </w:pPr>
    </w:p>
    <w:p w14:paraId="28E8F44D">
      <w:pPr>
        <w:rPr>
          <w:rFonts w:ascii="Arial" w:hAnsi="Arial" w:cs="Arial"/>
          <w:color w:val="auto"/>
          <w:sz w:val="22"/>
          <w:szCs w:val="22"/>
          <w:highlight w:val="none"/>
        </w:rPr>
      </w:pPr>
    </w:p>
    <w:p w14:paraId="41D88148">
      <w:pPr>
        <w:wordWrap w:val="0"/>
        <w:jc w:val="right"/>
        <w:rPr>
          <w:rFonts w:ascii="Arial" w:hAnsi="Arial" w:cs="Arial"/>
          <w:color w:val="auto"/>
          <w:sz w:val="22"/>
          <w:szCs w:val="22"/>
          <w:highlight w:val="none"/>
        </w:rPr>
      </w:pPr>
      <w:r>
        <w:rPr>
          <w:rFonts w:ascii="Arial" w:hAnsi="Arial" w:cs="Arial"/>
          <w:color w:val="auto"/>
          <w:sz w:val="22"/>
          <w:szCs w:val="22"/>
          <w:highlight w:val="none"/>
        </w:rPr>
        <w:t xml:space="preserve">         </w:t>
      </w:r>
    </w:p>
    <w:p w14:paraId="3023E11C">
      <w:pPr>
        <w:tabs>
          <w:tab w:val="left" w:pos="4532"/>
        </w:tabs>
        <w:spacing w:line="360" w:lineRule="auto"/>
        <w:rPr>
          <w:rFonts w:hint="eastAsia" w:ascii="Arial" w:hAnsi="Arial" w:cs="Arial"/>
          <w:color w:val="auto"/>
          <w:sz w:val="22"/>
          <w:szCs w:val="22"/>
          <w:highlight w:val="none"/>
        </w:rPr>
      </w:pPr>
    </w:p>
    <w:p w14:paraId="18990A8C">
      <w:pPr>
        <w:rPr>
          <w:color w:val="auto"/>
          <w:sz w:val="22"/>
          <w:szCs w:val="22"/>
          <w:highlight w:val="none"/>
        </w:rPr>
      </w:pPr>
    </w:p>
    <w:p w14:paraId="6E7EF5AD">
      <w:pPr>
        <w:rPr>
          <w:color w:val="auto"/>
          <w:sz w:val="22"/>
          <w:szCs w:val="22"/>
          <w:highlight w:val="none"/>
        </w:rPr>
      </w:pPr>
    </w:p>
    <w:p w14:paraId="70B234B1">
      <w:pPr>
        <w:rPr>
          <w:color w:val="auto"/>
          <w:sz w:val="22"/>
          <w:szCs w:val="22"/>
          <w:highlight w:val="none"/>
        </w:rPr>
      </w:pPr>
    </w:p>
    <w:p w14:paraId="4C6AF8BD">
      <w:pPr>
        <w:rPr>
          <w:color w:val="auto"/>
          <w:sz w:val="22"/>
          <w:szCs w:val="22"/>
          <w:highlight w:val="none"/>
        </w:rPr>
      </w:pPr>
    </w:p>
    <w:p w14:paraId="404DFB40">
      <w:pPr>
        <w:rPr>
          <w:color w:val="auto"/>
          <w:sz w:val="22"/>
          <w:szCs w:val="22"/>
          <w:highlight w:val="none"/>
        </w:rPr>
      </w:pPr>
    </w:p>
    <w:p w14:paraId="0586B52D">
      <w:pPr>
        <w:tabs>
          <w:tab w:val="left" w:pos="720"/>
          <w:tab w:val="left" w:pos="900"/>
        </w:tabs>
        <w:spacing w:line="360" w:lineRule="auto"/>
        <w:ind w:firstLine="4844" w:firstLineChars="2202"/>
        <w:rPr>
          <w:rFonts w:hint="eastAsia" w:ascii="宋体" w:hAnsi="宋体"/>
          <w:color w:val="auto"/>
          <w:sz w:val="22"/>
          <w:szCs w:val="22"/>
          <w:highlight w:val="none"/>
        </w:rPr>
      </w:pPr>
    </w:p>
    <w:p w14:paraId="513F3D6D">
      <w:pPr>
        <w:tabs>
          <w:tab w:val="left" w:pos="720"/>
          <w:tab w:val="left" w:pos="900"/>
        </w:tabs>
        <w:spacing w:line="360" w:lineRule="auto"/>
        <w:ind w:firstLine="4844" w:firstLineChars="2202"/>
        <w:rPr>
          <w:rFonts w:hint="eastAsia" w:ascii="宋体" w:hAnsi="宋体"/>
          <w:color w:val="auto"/>
          <w:sz w:val="22"/>
          <w:szCs w:val="22"/>
          <w:highlight w:val="none"/>
        </w:rPr>
      </w:pPr>
    </w:p>
    <w:p w14:paraId="752D5863">
      <w:pPr>
        <w:tabs>
          <w:tab w:val="left" w:pos="720"/>
          <w:tab w:val="left" w:pos="900"/>
        </w:tabs>
        <w:spacing w:line="360" w:lineRule="auto"/>
        <w:ind w:firstLine="4844" w:firstLineChars="2202"/>
        <w:rPr>
          <w:rFonts w:hint="eastAsia" w:ascii="宋体" w:hAnsi="宋体"/>
          <w:color w:val="auto"/>
          <w:sz w:val="22"/>
          <w:szCs w:val="22"/>
          <w:highlight w:val="none"/>
        </w:rPr>
      </w:pPr>
    </w:p>
    <w:p w14:paraId="6FC4F9C2">
      <w:pPr>
        <w:tabs>
          <w:tab w:val="left" w:pos="720"/>
          <w:tab w:val="left" w:pos="900"/>
        </w:tabs>
        <w:spacing w:line="360" w:lineRule="auto"/>
        <w:ind w:firstLine="4844" w:firstLineChars="2202"/>
        <w:rPr>
          <w:rFonts w:ascii="宋体" w:hAnsi="宋体"/>
          <w:color w:val="auto"/>
          <w:sz w:val="22"/>
          <w:szCs w:val="22"/>
          <w:highlight w:val="none"/>
          <w:u w:val="single"/>
        </w:rPr>
      </w:pPr>
      <w:r>
        <w:rPr>
          <w:rFonts w:hint="eastAsia" w:ascii="宋体" w:hAnsi="宋体"/>
          <w:color w:val="auto"/>
          <w:sz w:val="22"/>
          <w:szCs w:val="22"/>
          <w:highlight w:val="none"/>
        </w:rPr>
        <w:t>供应商：</w:t>
      </w:r>
      <w:r>
        <w:rPr>
          <w:rFonts w:ascii="宋体" w:hAnsi="宋体"/>
          <w:color w:val="auto"/>
          <w:sz w:val="22"/>
          <w:szCs w:val="22"/>
          <w:highlight w:val="none"/>
          <w:u w:val="single"/>
        </w:rPr>
        <w:t xml:space="preserve">             （盖公章）</w:t>
      </w:r>
    </w:p>
    <w:p w14:paraId="2B70ED54">
      <w:pPr>
        <w:tabs>
          <w:tab w:val="left" w:pos="720"/>
          <w:tab w:val="left" w:pos="900"/>
        </w:tabs>
        <w:spacing w:line="360" w:lineRule="auto"/>
        <w:ind w:firstLine="4844" w:firstLineChars="2202"/>
        <w:jc w:val="center"/>
        <w:outlineLvl w:val="9"/>
        <w:rPr>
          <w:rFonts w:ascii="宋体" w:hAnsi="宋体"/>
          <w:color w:val="auto"/>
          <w:sz w:val="22"/>
          <w:szCs w:val="22"/>
          <w:highlight w:val="none"/>
        </w:rPr>
      </w:pPr>
      <w:r>
        <w:rPr>
          <w:rFonts w:hint="eastAsia" w:ascii="宋体" w:hAnsi="宋体"/>
          <w:color w:val="auto"/>
          <w:sz w:val="22"/>
          <w:szCs w:val="22"/>
          <w:highlight w:val="none"/>
        </w:rPr>
        <w:t>日</w:t>
      </w:r>
      <w:r>
        <w:rPr>
          <w:rFonts w:ascii="宋体" w:hAnsi="宋体"/>
          <w:color w:val="auto"/>
          <w:sz w:val="22"/>
          <w:szCs w:val="22"/>
          <w:highlight w:val="none"/>
        </w:rPr>
        <w:t xml:space="preserve">    期：</w:t>
      </w:r>
      <w:r>
        <w:rPr>
          <w:rFonts w:ascii="宋体" w:hAnsi="宋体"/>
          <w:color w:val="auto"/>
          <w:sz w:val="22"/>
          <w:szCs w:val="22"/>
          <w:highlight w:val="none"/>
          <w:u w:val="single"/>
        </w:rPr>
        <w:t xml:space="preserve">      </w:t>
      </w:r>
      <w:r>
        <w:rPr>
          <w:rFonts w:ascii="宋体" w:hAnsi="宋体"/>
          <w:color w:val="auto"/>
          <w:sz w:val="22"/>
          <w:szCs w:val="22"/>
          <w:highlight w:val="none"/>
        </w:rPr>
        <w:t>年</w:t>
      </w:r>
      <w:r>
        <w:rPr>
          <w:rFonts w:ascii="宋体" w:hAnsi="宋体"/>
          <w:color w:val="auto"/>
          <w:sz w:val="22"/>
          <w:szCs w:val="22"/>
          <w:highlight w:val="none"/>
          <w:u w:val="single"/>
        </w:rPr>
        <w:t xml:space="preserve">     </w:t>
      </w:r>
      <w:r>
        <w:rPr>
          <w:rFonts w:ascii="宋体" w:hAnsi="宋体"/>
          <w:color w:val="auto"/>
          <w:sz w:val="22"/>
          <w:szCs w:val="22"/>
          <w:highlight w:val="none"/>
        </w:rPr>
        <w:t>月</w:t>
      </w:r>
      <w:r>
        <w:rPr>
          <w:rFonts w:ascii="宋体" w:hAnsi="宋体"/>
          <w:color w:val="auto"/>
          <w:sz w:val="22"/>
          <w:szCs w:val="22"/>
          <w:highlight w:val="none"/>
          <w:u w:val="single"/>
        </w:rPr>
        <w:t xml:space="preserve">     </w:t>
      </w:r>
      <w:r>
        <w:rPr>
          <w:rFonts w:ascii="宋体" w:hAnsi="宋体"/>
          <w:color w:val="auto"/>
          <w:sz w:val="22"/>
          <w:szCs w:val="22"/>
          <w:highlight w:val="none"/>
        </w:rPr>
        <w:t>日</w:t>
      </w:r>
    </w:p>
    <w:p w14:paraId="21788AE7">
      <w:pPr>
        <w:spacing w:line="240" w:lineRule="auto"/>
        <w:ind w:firstLine="0" w:firstLineChars="0"/>
        <w:jc w:val="left"/>
        <w:rPr>
          <w:rFonts w:hint="eastAsia"/>
          <w:color w:val="auto"/>
          <w:sz w:val="22"/>
          <w:szCs w:val="22"/>
          <w:highlight w:val="none"/>
        </w:rPr>
      </w:pPr>
      <w:r>
        <w:rPr>
          <w:rFonts w:hint="eastAsia"/>
          <w:color w:val="auto"/>
          <w:sz w:val="22"/>
          <w:szCs w:val="22"/>
          <w:highlight w:val="none"/>
        </w:rPr>
        <w:br w:type="page"/>
      </w:r>
    </w:p>
    <w:p w14:paraId="53A947EA">
      <w:pPr>
        <w:tabs>
          <w:tab w:val="left" w:pos="720"/>
          <w:tab w:val="left" w:pos="900"/>
        </w:tabs>
        <w:spacing w:line="360" w:lineRule="auto"/>
        <w:ind w:firstLine="0" w:firstLineChars="0"/>
        <w:jc w:val="center"/>
        <w:outlineLvl w:val="1"/>
        <w:rPr>
          <w:rFonts w:hint="eastAsia" w:hAnsi="宋体"/>
          <w:color w:val="auto"/>
          <w:sz w:val="28"/>
          <w:szCs w:val="36"/>
          <w:highlight w:val="none"/>
        </w:rPr>
      </w:pPr>
      <w:bookmarkStart w:id="118" w:name="_Toc4577"/>
      <w:bookmarkStart w:id="119" w:name="_Toc13320"/>
      <w:r>
        <w:rPr>
          <w:rFonts w:hint="eastAsia" w:hAnsi="宋体"/>
          <w:color w:val="auto"/>
          <w:sz w:val="24"/>
          <w:szCs w:val="24"/>
          <w:highlight w:val="none"/>
        </w:rPr>
        <w:t>附件五   投 标 函</w:t>
      </w:r>
      <w:bookmarkEnd w:id="118"/>
      <w:bookmarkEnd w:id="119"/>
    </w:p>
    <w:p w14:paraId="665FFF3D">
      <w:pPr>
        <w:spacing w:line="360" w:lineRule="auto"/>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lang w:eastAsia="zh-CN"/>
        </w:rPr>
        <w:t>温州市退役军人事务局</w:t>
      </w:r>
      <w:r>
        <w:rPr>
          <w:rFonts w:hint="eastAsia" w:ascii="宋体" w:hAnsi="宋体" w:cs="宋体"/>
          <w:b/>
          <w:bCs/>
          <w:color w:val="auto"/>
          <w:sz w:val="22"/>
          <w:szCs w:val="22"/>
          <w:highlight w:val="none"/>
          <w:u w:val="single"/>
        </w:rPr>
        <w:t>：</w:t>
      </w:r>
    </w:p>
    <w:p w14:paraId="016C94CA">
      <w:pPr>
        <w:spacing w:line="460" w:lineRule="exact"/>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）的采购邀请，我方</w:t>
      </w: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rPr>
        <w:t>作为供应商正式授权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（授权代表全名，职务）代表我方处理有关本次投标的一切事宜。</w:t>
      </w:r>
    </w:p>
    <w:p w14:paraId="2A0808C1">
      <w:pPr>
        <w:spacing w:line="460" w:lineRule="exact"/>
        <w:ind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在此提交的投标文件中，包括按“招标文件”要求编制的报价文件、资格证明文件、商务技术文件等三部分内容。</w:t>
      </w:r>
    </w:p>
    <w:p w14:paraId="256B9091">
      <w:p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我方己完全明白招标文件的所有条款要求，并重申以下几点：</w:t>
      </w:r>
    </w:p>
    <w:p w14:paraId="46E15668">
      <w:pPr>
        <w:spacing w:line="460" w:lineRule="exact"/>
        <w:ind w:left="660" w:hanging="660" w:hangingChars="300"/>
        <w:rPr>
          <w:rFonts w:hint="eastAsia" w:ascii="宋体" w:hAnsi="宋体" w:cs="宋体"/>
          <w:color w:val="auto"/>
          <w:sz w:val="22"/>
          <w:szCs w:val="22"/>
          <w:highlight w:val="none"/>
        </w:rPr>
      </w:pPr>
      <w:r>
        <w:rPr>
          <w:rFonts w:hint="eastAsia" w:ascii="宋体" w:hAnsi="宋体" w:cs="宋体"/>
          <w:color w:val="auto"/>
          <w:sz w:val="22"/>
          <w:szCs w:val="22"/>
          <w:highlight w:val="none"/>
        </w:rPr>
        <w:t>（一）本投标文件的有效期自响应截止日起</w:t>
      </w:r>
      <w:r>
        <w:rPr>
          <w:rFonts w:hint="eastAsia" w:ascii="宋体" w:hAnsi="宋体" w:cs="宋体"/>
          <w:b/>
          <w:color w:val="auto"/>
          <w:sz w:val="22"/>
          <w:szCs w:val="22"/>
          <w:highlight w:val="none"/>
        </w:rPr>
        <w:t xml:space="preserve"> </w:t>
      </w:r>
      <w:r>
        <w:rPr>
          <w:rFonts w:hint="eastAsia" w:ascii="宋体" w:hAnsi="宋体" w:cs="宋体"/>
          <w:b/>
          <w:color w:val="auto"/>
          <w:sz w:val="22"/>
          <w:szCs w:val="22"/>
          <w:highlight w:val="none"/>
          <w:u w:val="single"/>
        </w:rPr>
        <w:t xml:space="preserve"> 90  </w:t>
      </w:r>
      <w:r>
        <w:rPr>
          <w:rFonts w:hint="eastAsia" w:ascii="宋体" w:hAnsi="宋体" w:cs="宋体"/>
          <w:color w:val="auto"/>
          <w:sz w:val="22"/>
          <w:szCs w:val="22"/>
          <w:highlight w:val="none"/>
        </w:rPr>
        <w:t>天内有效，如</w:t>
      </w:r>
      <w:r>
        <w:rPr>
          <w:rFonts w:hint="eastAsia" w:ascii="宋体" w:hAnsi="宋体" w:cs="宋体"/>
          <w:color w:val="auto"/>
          <w:sz w:val="22"/>
          <w:szCs w:val="22"/>
          <w:highlight w:val="none"/>
          <w:lang w:eastAsia="zh-CN"/>
        </w:rPr>
        <w:t>中标</w:t>
      </w:r>
      <w:r>
        <w:rPr>
          <w:rFonts w:hint="eastAsia" w:ascii="宋体" w:hAnsi="宋体" w:cs="宋体"/>
          <w:color w:val="auto"/>
          <w:sz w:val="22"/>
          <w:szCs w:val="22"/>
          <w:highlight w:val="none"/>
        </w:rPr>
        <w:t>，有效期将延至合同终止日为止；</w:t>
      </w:r>
    </w:p>
    <w:p w14:paraId="1C4F9CD4">
      <w:pPr>
        <w:spacing w:line="460" w:lineRule="exact"/>
        <w:ind w:left="660" w:hanging="660" w:hangingChars="300"/>
        <w:rPr>
          <w:rFonts w:hint="eastAsia" w:ascii="宋体" w:hAnsi="宋体" w:cs="宋体"/>
          <w:color w:val="auto"/>
          <w:sz w:val="22"/>
          <w:szCs w:val="22"/>
          <w:highlight w:val="none"/>
        </w:rPr>
      </w:pPr>
      <w:r>
        <w:rPr>
          <w:rFonts w:hint="eastAsia" w:ascii="宋体" w:hAnsi="宋体" w:cs="宋体"/>
          <w:color w:val="auto"/>
          <w:sz w:val="22"/>
          <w:szCs w:val="22"/>
          <w:highlight w:val="none"/>
        </w:rPr>
        <w:t>（二）我方已详细研究了招标文件的所有内容包括修改书（如有）和所有已提供的参考资料以及有关附件，我方完全理解并同意放弃在此方面提出含糊意见或误解的一切权力；</w:t>
      </w:r>
    </w:p>
    <w:p w14:paraId="4C0568D5">
      <w:pPr>
        <w:spacing w:line="460" w:lineRule="exact"/>
        <w:ind w:left="660" w:hanging="660" w:hangingChars="300"/>
        <w:rPr>
          <w:rFonts w:hint="eastAsia" w:ascii="宋体" w:hAnsi="宋体" w:cs="宋体"/>
          <w:color w:val="auto"/>
          <w:sz w:val="22"/>
          <w:szCs w:val="22"/>
          <w:highlight w:val="none"/>
        </w:rPr>
      </w:pPr>
      <w:r>
        <w:rPr>
          <w:rFonts w:hint="eastAsia" w:ascii="宋体" w:hAnsi="宋体" w:cs="宋体"/>
          <w:color w:val="auto"/>
          <w:sz w:val="22"/>
          <w:szCs w:val="22"/>
          <w:highlight w:val="none"/>
        </w:rPr>
        <w:t>（三）我方明白并承诺在规定的开标时间之后，在投标有效期内不撤回投标文件；</w:t>
      </w:r>
    </w:p>
    <w:p w14:paraId="6DD8E9C7">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（四）我方同意提供按照贵方可能要求的与投标有关的一切数据或资料；</w:t>
      </w:r>
    </w:p>
    <w:p w14:paraId="53A33C3F">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（五）我方理解贵方不一定接受最低报价。</w:t>
      </w:r>
    </w:p>
    <w:p w14:paraId="3B396898">
      <w:pPr>
        <w:spacing w:line="460" w:lineRule="exact"/>
        <w:ind w:left="660" w:hanging="660" w:hangingChars="300"/>
        <w:rPr>
          <w:rFonts w:hint="eastAsia" w:ascii="宋体" w:hAnsi="宋体" w:cs="宋体"/>
          <w:color w:val="auto"/>
          <w:sz w:val="22"/>
          <w:szCs w:val="22"/>
          <w:highlight w:val="none"/>
        </w:rPr>
      </w:pPr>
      <w:r>
        <w:rPr>
          <w:rFonts w:hint="eastAsia" w:ascii="宋体" w:hAnsi="宋体" w:cs="宋体"/>
          <w:color w:val="auto"/>
          <w:sz w:val="22"/>
          <w:szCs w:val="22"/>
          <w:highlight w:val="none"/>
        </w:rPr>
        <w:t>（六）我方如果</w:t>
      </w:r>
      <w:r>
        <w:rPr>
          <w:rFonts w:hint="eastAsia" w:ascii="宋体" w:hAnsi="宋体" w:cs="宋体"/>
          <w:color w:val="auto"/>
          <w:sz w:val="22"/>
          <w:szCs w:val="22"/>
          <w:highlight w:val="none"/>
          <w:lang w:eastAsia="zh-CN"/>
        </w:rPr>
        <w:t>中标</w:t>
      </w:r>
      <w:r>
        <w:rPr>
          <w:rFonts w:hint="eastAsia" w:ascii="宋体" w:hAnsi="宋体" w:cs="宋体"/>
          <w:color w:val="auto"/>
          <w:sz w:val="22"/>
          <w:szCs w:val="22"/>
          <w:highlight w:val="none"/>
        </w:rPr>
        <w:t>，将保证履行招标文件以及招标文件修改书（如有）中的全部责任和义务，按质、按量、按期完成《合同书》中的全部任务。</w:t>
      </w:r>
    </w:p>
    <w:p w14:paraId="73C4508D">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（七）所有与本采购有关的函件请发往下列地址：</w:t>
      </w:r>
    </w:p>
    <w:p w14:paraId="2BEC5824">
      <w:pPr>
        <w:spacing w:line="46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地址</w:t>
      </w:r>
      <w:r>
        <w:rPr>
          <w:rFonts w:hint="eastAsia" w:ascii="宋体" w:hAnsi="宋体" w:cs="宋体"/>
          <w:color w:val="auto"/>
          <w:sz w:val="22"/>
          <w:szCs w:val="22"/>
          <w:highlight w:val="none"/>
          <w:u w:val="single"/>
        </w:rPr>
        <w:t xml:space="preserve">                           </w:t>
      </w:r>
    </w:p>
    <w:p w14:paraId="3839CC10">
      <w:pPr>
        <w:spacing w:line="46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电话</w:t>
      </w:r>
      <w:r>
        <w:rPr>
          <w:rFonts w:hint="eastAsia" w:ascii="宋体" w:hAnsi="宋体" w:cs="宋体"/>
          <w:color w:val="auto"/>
          <w:sz w:val="22"/>
          <w:szCs w:val="22"/>
          <w:highlight w:val="none"/>
          <w:u w:val="single"/>
        </w:rPr>
        <w:t xml:space="preserve">                           </w:t>
      </w:r>
    </w:p>
    <w:p w14:paraId="0CD7CBAC">
      <w:pPr>
        <w:spacing w:line="460" w:lineRule="exact"/>
        <w:ind w:firstLine="435"/>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p>
    <w:p w14:paraId="05BFCDB0">
      <w:pPr>
        <w:spacing w:line="460" w:lineRule="exact"/>
        <w:ind w:firstLine="770" w:firstLineChars="35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电子邮件</w:t>
      </w:r>
      <w:r>
        <w:rPr>
          <w:rFonts w:hint="eastAsia" w:ascii="宋体" w:hAnsi="宋体" w:cs="宋体"/>
          <w:color w:val="auto"/>
          <w:sz w:val="22"/>
          <w:szCs w:val="22"/>
          <w:highlight w:val="none"/>
          <w:u w:val="single"/>
        </w:rPr>
        <w:t xml:space="preserve">                       </w:t>
      </w:r>
    </w:p>
    <w:p w14:paraId="59DC65BD">
      <w:pPr>
        <w:spacing w:line="360" w:lineRule="auto"/>
        <w:ind w:left="1276"/>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6BC36FD7">
      <w:pPr>
        <w:spacing w:line="480" w:lineRule="auto"/>
        <w:rPr>
          <w:rFonts w:hint="eastAsia" w:ascii="宋体" w:hAnsi="宋体" w:cs="宋体"/>
          <w:color w:val="auto"/>
          <w:sz w:val="22"/>
          <w:szCs w:val="22"/>
          <w:highlight w:val="none"/>
        </w:rPr>
      </w:pPr>
    </w:p>
    <w:p w14:paraId="0E1E06B1">
      <w:pPr>
        <w:spacing w:before="312" w:beforeLines="100" w:after="312" w:afterLines="100" w:line="400" w:lineRule="atLeast"/>
        <w:ind w:left="4620" w:leftChars="2200"/>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226BA729">
      <w:pPr>
        <w:spacing w:before="312" w:beforeLines="100" w:after="312" w:afterLines="100" w:line="400" w:lineRule="atLeast"/>
        <w:ind w:left="4620" w:leftChars="22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2F85D1FC">
      <w:pPr>
        <w:spacing w:before="312" w:beforeLines="100" w:after="312" w:afterLines="100" w:line="400" w:lineRule="atLeast"/>
        <w:ind w:left="4620" w:leftChars="2200"/>
        <w:rPr>
          <w:rFonts w:hint="eastAsia" w:ascii="宋体" w:hAnsi="宋体" w:cs="宋体"/>
          <w:color w:val="auto"/>
          <w:sz w:val="22"/>
          <w:szCs w:val="22"/>
          <w:highlight w:val="none"/>
        </w:rPr>
        <w:sectPr>
          <w:footerReference r:id="rId8" w:type="default"/>
          <w:pgSz w:w="11906" w:h="16838"/>
          <w:pgMar w:top="1134" w:right="1134" w:bottom="1134" w:left="1134" w:header="680" w:footer="992" w:gutter="0"/>
          <w:pgNumType w:start="1"/>
          <w:cols w:space="720" w:num="1"/>
          <w:docGrid w:type="lines" w:linePitch="312" w:charSpace="0"/>
        </w:sectPr>
      </w:pPr>
      <w:r>
        <w:rPr>
          <w:rFonts w:hint="eastAsia" w:ascii="宋体" w:hAnsi="宋体" w:cs="宋体"/>
          <w:color w:val="auto"/>
          <w:sz w:val="22"/>
          <w:szCs w:val="22"/>
          <w:highlight w:val="none"/>
        </w:rPr>
        <w:t>日期：    年   月    日</w:t>
      </w:r>
    </w:p>
    <w:p w14:paraId="20170DC2">
      <w:pPr>
        <w:spacing w:line="440" w:lineRule="exact"/>
        <w:ind w:left="-720"/>
        <w:jc w:val="center"/>
        <w:outlineLvl w:val="1"/>
        <w:rPr>
          <w:rFonts w:hint="eastAsia" w:ascii="黑体" w:hAnsi="黑体" w:eastAsia="黑体" w:cs="黑体"/>
          <w:b/>
          <w:bCs/>
          <w:color w:val="auto"/>
          <w:sz w:val="24"/>
          <w:highlight w:val="none"/>
        </w:rPr>
      </w:pPr>
      <w:bookmarkStart w:id="120" w:name="_Toc9952"/>
      <w:bookmarkStart w:id="121" w:name="_Toc10310"/>
      <w:bookmarkStart w:id="122" w:name="_Toc13679"/>
      <w:r>
        <w:rPr>
          <w:rFonts w:hint="eastAsia" w:ascii="黑体" w:hAnsi="黑体" w:eastAsia="黑体" w:cs="黑体"/>
          <w:b/>
          <w:bCs/>
          <w:color w:val="auto"/>
          <w:sz w:val="24"/>
          <w:highlight w:val="none"/>
        </w:rPr>
        <w:t>附件六-1   货物成套供货清单（或详细配置清单）</w:t>
      </w:r>
      <w:bookmarkEnd w:id="120"/>
      <w:bookmarkEnd w:id="121"/>
      <w:bookmarkEnd w:id="122"/>
    </w:p>
    <w:p w14:paraId="4B3A21E9">
      <w:pPr>
        <w:spacing w:line="440" w:lineRule="exact"/>
        <w:rPr>
          <w:rFonts w:ascii="宋体" w:hAnsi="宋体" w:cs="宋体"/>
          <w:b/>
          <w:bCs/>
          <w:color w:val="auto"/>
          <w:sz w:val="22"/>
          <w:highlight w:val="none"/>
        </w:rPr>
      </w:pPr>
      <w:r>
        <w:rPr>
          <w:rFonts w:hint="eastAsia" w:ascii="宋体" w:hAnsi="宋体" w:cs="宋体"/>
          <w:b/>
          <w:bCs/>
          <w:color w:val="auto"/>
          <w:sz w:val="22"/>
          <w:highlight w:val="none"/>
        </w:rPr>
        <w:t>项目名称：                                                     项目编号：</w:t>
      </w:r>
    </w:p>
    <w:tbl>
      <w:tblPr>
        <w:tblStyle w:val="4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211"/>
        <w:gridCol w:w="1905"/>
        <w:gridCol w:w="691"/>
        <w:gridCol w:w="865"/>
        <w:gridCol w:w="1385"/>
        <w:gridCol w:w="1385"/>
        <w:gridCol w:w="1038"/>
      </w:tblGrid>
      <w:tr w14:paraId="25E6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shd w:val="clear" w:color="auto" w:fill="D9D9D9"/>
            <w:noWrap w:val="0"/>
            <w:vAlign w:val="center"/>
          </w:tcPr>
          <w:p w14:paraId="35DF663E">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序号</w:t>
            </w:r>
          </w:p>
        </w:tc>
        <w:tc>
          <w:tcPr>
            <w:tcW w:w="652" w:type="pct"/>
            <w:shd w:val="clear" w:color="auto" w:fill="D9D9D9"/>
            <w:noWrap w:val="0"/>
            <w:vAlign w:val="center"/>
          </w:tcPr>
          <w:p w14:paraId="1A10CE1F">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名  称</w:t>
            </w:r>
          </w:p>
        </w:tc>
        <w:tc>
          <w:tcPr>
            <w:tcW w:w="1026" w:type="pct"/>
            <w:shd w:val="clear" w:color="auto" w:fill="D9D9D9"/>
            <w:noWrap w:val="0"/>
            <w:vAlign w:val="center"/>
          </w:tcPr>
          <w:p w14:paraId="17BF43E1">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品牌、规格型号</w:t>
            </w:r>
          </w:p>
        </w:tc>
        <w:tc>
          <w:tcPr>
            <w:tcW w:w="372" w:type="pct"/>
            <w:shd w:val="clear" w:color="auto" w:fill="D9D9D9"/>
            <w:noWrap w:val="0"/>
            <w:vAlign w:val="center"/>
          </w:tcPr>
          <w:p w14:paraId="0F12546B">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单位</w:t>
            </w:r>
          </w:p>
        </w:tc>
        <w:tc>
          <w:tcPr>
            <w:tcW w:w="466" w:type="pct"/>
            <w:shd w:val="clear" w:color="auto" w:fill="D9D9D9"/>
            <w:noWrap w:val="0"/>
            <w:vAlign w:val="center"/>
          </w:tcPr>
          <w:p w14:paraId="5E4C5EA3">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数量</w:t>
            </w:r>
          </w:p>
        </w:tc>
        <w:tc>
          <w:tcPr>
            <w:tcW w:w="746" w:type="pct"/>
            <w:shd w:val="clear" w:color="auto" w:fill="D9D9D9"/>
            <w:noWrap w:val="0"/>
            <w:vAlign w:val="center"/>
          </w:tcPr>
          <w:p w14:paraId="57B5D1F2">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原产地</w:t>
            </w:r>
          </w:p>
        </w:tc>
        <w:tc>
          <w:tcPr>
            <w:tcW w:w="746" w:type="pct"/>
            <w:shd w:val="clear" w:color="auto" w:fill="D9D9D9"/>
            <w:noWrap w:val="0"/>
            <w:vAlign w:val="center"/>
          </w:tcPr>
          <w:p w14:paraId="5FFA65F7">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制造商</w:t>
            </w:r>
          </w:p>
        </w:tc>
        <w:tc>
          <w:tcPr>
            <w:tcW w:w="559" w:type="pct"/>
            <w:shd w:val="clear" w:color="auto" w:fill="D9D9D9"/>
            <w:noWrap w:val="0"/>
            <w:vAlign w:val="center"/>
          </w:tcPr>
          <w:p w14:paraId="30EA0661">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质保期</w:t>
            </w:r>
          </w:p>
        </w:tc>
      </w:tr>
      <w:tr w14:paraId="6519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noWrap w:val="0"/>
            <w:vAlign w:val="center"/>
          </w:tcPr>
          <w:p w14:paraId="6337B4CF">
            <w:pPr>
              <w:spacing w:line="380" w:lineRule="exact"/>
              <w:jc w:val="center"/>
              <w:rPr>
                <w:rFonts w:ascii="宋体" w:hAnsi="宋体" w:cs="宋体"/>
                <w:b/>
                <w:bCs/>
                <w:color w:val="auto"/>
                <w:sz w:val="22"/>
                <w:highlight w:val="none"/>
              </w:rPr>
            </w:pPr>
          </w:p>
        </w:tc>
        <w:tc>
          <w:tcPr>
            <w:tcW w:w="652" w:type="pct"/>
            <w:noWrap w:val="0"/>
            <w:vAlign w:val="center"/>
          </w:tcPr>
          <w:p w14:paraId="403BEEF0">
            <w:pPr>
              <w:spacing w:line="380" w:lineRule="exact"/>
              <w:jc w:val="center"/>
              <w:rPr>
                <w:rFonts w:ascii="宋体" w:hAnsi="宋体" w:cs="宋体"/>
                <w:b/>
                <w:bCs/>
                <w:color w:val="auto"/>
                <w:sz w:val="22"/>
                <w:highlight w:val="none"/>
              </w:rPr>
            </w:pPr>
          </w:p>
        </w:tc>
        <w:tc>
          <w:tcPr>
            <w:tcW w:w="1026" w:type="pct"/>
            <w:noWrap w:val="0"/>
            <w:vAlign w:val="center"/>
          </w:tcPr>
          <w:p w14:paraId="7C3959CE">
            <w:pPr>
              <w:spacing w:line="380" w:lineRule="exact"/>
              <w:jc w:val="center"/>
              <w:rPr>
                <w:rFonts w:ascii="宋体" w:hAnsi="宋体" w:cs="宋体"/>
                <w:b/>
                <w:bCs/>
                <w:color w:val="auto"/>
                <w:sz w:val="22"/>
                <w:highlight w:val="none"/>
              </w:rPr>
            </w:pPr>
          </w:p>
        </w:tc>
        <w:tc>
          <w:tcPr>
            <w:tcW w:w="372" w:type="pct"/>
            <w:noWrap w:val="0"/>
            <w:vAlign w:val="center"/>
          </w:tcPr>
          <w:p w14:paraId="60BFA9E6">
            <w:pPr>
              <w:spacing w:line="380" w:lineRule="exact"/>
              <w:jc w:val="center"/>
              <w:rPr>
                <w:rFonts w:ascii="宋体" w:hAnsi="宋体" w:cs="宋体"/>
                <w:b/>
                <w:bCs/>
                <w:color w:val="auto"/>
                <w:sz w:val="22"/>
                <w:highlight w:val="none"/>
              </w:rPr>
            </w:pPr>
          </w:p>
        </w:tc>
        <w:tc>
          <w:tcPr>
            <w:tcW w:w="466" w:type="pct"/>
            <w:noWrap w:val="0"/>
            <w:vAlign w:val="center"/>
          </w:tcPr>
          <w:p w14:paraId="5F4485CA">
            <w:pPr>
              <w:spacing w:line="380" w:lineRule="exact"/>
              <w:jc w:val="center"/>
              <w:rPr>
                <w:rFonts w:ascii="宋体" w:hAnsi="宋体" w:cs="宋体"/>
                <w:b/>
                <w:bCs/>
                <w:color w:val="auto"/>
                <w:sz w:val="22"/>
                <w:highlight w:val="none"/>
              </w:rPr>
            </w:pPr>
          </w:p>
        </w:tc>
        <w:tc>
          <w:tcPr>
            <w:tcW w:w="746" w:type="pct"/>
            <w:noWrap w:val="0"/>
            <w:vAlign w:val="center"/>
          </w:tcPr>
          <w:p w14:paraId="1BFE8052">
            <w:pPr>
              <w:spacing w:line="380" w:lineRule="exact"/>
              <w:jc w:val="center"/>
              <w:rPr>
                <w:rFonts w:ascii="宋体" w:hAnsi="宋体" w:cs="宋体"/>
                <w:b/>
                <w:bCs/>
                <w:color w:val="auto"/>
                <w:sz w:val="22"/>
                <w:highlight w:val="none"/>
              </w:rPr>
            </w:pPr>
          </w:p>
        </w:tc>
        <w:tc>
          <w:tcPr>
            <w:tcW w:w="746" w:type="pct"/>
            <w:noWrap w:val="0"/>
            <w:vAlign w:val="center"/>
          </w:tcPr>
          <w:p w14:paraId="31591844">
            <w:pPr>
              <w:spacing w:line="380" w:lineRule="exact"/>
              <w:jc w:val="center"/>
              <w:rPr>
                <w:rFonts w:ascii="宋体" w:hAnsi="宋体" w:cs="宋体"/>
                <w:b/>
                <w:bCs/>
                <w:color w:val="auto"/>
                <w:sz w:val="22"/>
                <w:highlight w:val="none"/>
              </w:rPr>
            </w:pPr>
          </w:p>
        </w:tc>
        <w:tc>
          <w:tcPr>
            <w:tcW w:w="559" w:type="pct"/>
            <w:noWrap w:val="0"/>
            <w:vAlign w:val="center"/>
          </w:tcPr>
          <w:p w14:paraId="36732702">
            <w:pPr>
              <w:spacing w:line="380" w:lineRule="exact"/>
              <w:jc w:val="center"/>
              <w:rPr>
                <w:rFonts w:ascii="宋体" w:hAnsi="宋体" w:cs="宋体"/>
                <w:b/>
                <w:bCs/>
                <w:color w:val="auto"/>
                <w:sz w:val="22"/>
                <w:highlight w:val="none"/>
              </w:rPr>
            </w:pPr>
          </w:p>
        </w:tc>
      </w:tr>
      <w:tr w14:paraId="4C5C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noWrap w:val="0"/>
            <w:vAlign w:val="center"/>
          </w:tcPr>
          <w:p w14:paraId="5F7994F0">
            <w:pPr>
              <w:spacing w:line="380" w:lineRule="exact"/>
              <w:jc w:val="center"/>
              <w:rPr>
                <w:rFonts w:ascii="宋体" w:hAnsi="宋体" w:cs="宋体"/>
                <w:b/>
                <w:bCs/>
                <w:color w:val="auto"/>
                <w:sz w:val="22"/>
                <w:highlight w:val="none"/>
              </w:rPr>
            </w:pPr>
          </w:p>
        </w:tc>
        <w:tc>
          <w:tcPr>
            <w:tcW w:w="652" w:type="pct"/>
            <w:noWrap w:val="0"/>
            <w:vAlign w:val="center"/>
          </w:tcPr>
          <w:p w14:paraId="6D593B56">
            <w:pPr>
              <w:spacing w:line="380" w:lineRule="exact"/>
              <w:jc w:val="center"/>
              <w:rPr>
                <w:rFonts w:ascii="宋体" w:hAnsi="宋体" w:cs="宋体"/>
                <w:b/>
                <w:bCs/>
                <w:color w:val="auto"/>
                <w:sz w:val="22"/>
                <w:highlight w:val="none"/>
              </w:rPr>
            </w:pPr>
          </w:p>
        </w:tc>
        <w:tc>
          <w:tcPr>
            <w:tcW w:w="1026" w:type="pct"/>
            <w:noWrap w:val="0"/>
            <w:vAlign w:val="center"/>
          </w:tcPr>
          <w:p w14:paraId="15D43CE9">
            <w:pPr>
              <w:spacing w:line="380" w:lineRule="exact"/>
              <w:jc w:val="center"/>
              <w:rPr>
                <w:rFonts w:ascii="宋体" w:hAnsi="宋体" w:cs="宋体"/>
                <w:b/>
                <w:bCs/>
                <w:color w:val="auto"/>
                <w:sz w:val="22"/>
                <w:highlight w:val="none"/>
              </w:rPr>
            </w:pPr>
          </w:p>
        </w:tc>
        <w:tc>
          <w:tcPr>
            <w:tcW w:w="372" w:type="pct"/>
            <w:noWrap w:val="0"/>
            <w:vAlign w:val="center"/>
          </w:tcPr>
          <w:p w14:paraId="7EB304F0">
            <w:pPr>
              <w:spacing w:line="380" w:lineRule="exact"/>
              <w:jc w:val="center"/>
              <w:rPr>
                <w:rFonts w:ascii="宋体" w:hAnsi="宋体" w:cs="宋体"/>
                <w:b/>
                <w:bCs/>
                <w:color w:val="auto"/>
                <w:sz w:val="22"/>
                <w:highlight w:val="none"/>
              </w:rPr>
            </w:pPr>
          </w:p>
        </w:tc>
        <w:tc>
          <w:tcPr>
            <w:tcW w:w="466" w:type="pct"/>
            <w:noWrap w:val="0"/>
            <w:vAlign w:val="center"/>
          </w:tcPr>
          <w:p w14:paraId="4733320F">
            <w:pPr>
              <w:spacing w:line="380" w:lineRule="exact"/>
              <w:jc w:val="center"/>
              <w:rPr>
                <w:rFonts w:ascii="宋体" w:hAnsi="宋体" w:cs="宋体"/>
                <w:b/>
                <w:bCs/>
                <w:color w:val="auto"/>
                <w:sz w:val="22"/>
                <w:highlight w:val="none"/>
              </w:rPr>
            </w:pPr>
          </w:p>
        </w:tc>
        <w:tc>
          <w:tcPr>
            <w:tcW w:w="746" w:type="pct"/>
            <w:noWrap w:val="0"/>
            <w:vAlign w:val="center"/>
          </w:tcPr>
          <w:p w14:paraId="6654670F">
            <w:pPr>
              <w:spacing w:line="380" w:lineRule="exact"/>
              <w:jc w:val="center"/>
              <w:rPr>
                <w:rFonts w:ascii="宋体" w:hAnsi="宋体" w:cs="宋体"/>
                <w:b/>
                <w:bCs/>
                <w:color w:val="auto"/>
                <w:sz w:val="22"/>
                <w:highlight w:val="none"/>
              </w:rPr>
            </w:pPr>
          </w:p>
        </w:tc>
        <w:tc>
          <w:tcPr>
            <w:tcW w:w="746" w:type="pct"/>
            <w:noWrap w:val="0"/>
            <w:vAlign w:val="center"/>
          </w:tcPr>
          <w:p w14:paraId="146490AE">
            <w:pPr>
              <w:spacing w:line="380" w:lineRule="exact"/>
              <w:jc w:val="center"/>
              <w:rPr>
                <w:rFonts w:ascii="宋体" w:hAnsi="宋体" w:cs="宋体"/>
                <w:b/>
                <w:bCs/>
                <w:color w:val="auto"/>
                <w:sz w:val="22"/>
                <w:highlight w:val="none"/>
              </w:rPr>
            </w:pPr>
          </w:p>
        </w:tc>
        <w:tc>
          <w:tcPr>
            <w:tcW w:w="559" w:type="pct"/>
            <w:noWrap w:val="0"/>
            <w:vAlign w:val="center"/>
          </w:tcPr>
          <w:p w14:paraId="3A91EFBD">
            <w:pPr>
              <w:spacing w:line="380" w:lineRule="exact"/>
              <w:jc w:val="center"/>
              <w:rPr>
                <w:rFonts w:ascii="宋体" w:hAnsi="宋体" w:cs="宋体"/>
                <w:b/>
                <w:bCs/>
                <w:color w:val="auto"/>
                <w:sz w:val="22"/>
                <w:highlight w:val="none"/>
              </w:rPr>
            </w:pPr>
          </w:p>
        </w:tc>
      </w:tr>
      <w:tr w14:paraId="5BF4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noWrap w:val="0"/>
            <w:vAlign w:val="center"/>
          </w:tcPr>
          <w:p w14:paraId="00F5FF24">
            <w:pPr>
              <w:spacing w:line="380" w:lineRule="exact"/>
              <w:jc w:val="center"/>
              <w:rPr>
                <w:rFonts w:ascii="宋体" w:hAnsi="宋体" w:cs="宋体"/>
                <w:b/>
                <w:bCs/>
                <w:color w:val="auto"/>
                <w:sz w:val="22"/>
                <w:highlight w:val="none"/>
              </w:rPr>
            </w:pPr>
          </w:p>
        </w:tc>
        <w:tc>
          <w:tcPr>
            <w:tcW w:w="652" w:type="pct"/>
            <w:noWrap w:val="0"/>
            <w:vAlign w:val="center"/>
          </w:tcPr>
          <w:p w14:paraId="21DEEE86">
            <w:pPr>
              <w:spacing w:line="380" w:lineRule="exact"/>
              <w:jc w:val="center"/>
              <w:rPr>
                <w:rFonts w:ascii="宋体" w:hAnsi="宋体" w:cs="宋体"/>
                <w:b/>
                <w:bCs/>
                <w:color w:val="auto"/>
                <w:sz w:val="22"/>
                <w:highlight w:val="none"/>
              </w:rPr>
            </w:pPr>
          </w:p>
        </w:tc>
        <w:tc>
          <w:tcPr>
            <w:tcW w:w="1026" w:type="pct"/>
            <w:noWrap w:val="0"/>
            <w:vAlign w:val="center"/>
          </w:tcPr>
          <w:p w14:paraId="3A977011">
            <w:pPr>
              <w:spacing w:line="380" w:lineRule="exact"/>
              <w:jc w:val="center"/>
              <w:rPr>
                <w:rFonts w:ascii="宋体" w:hAnsi="宋体" w:cs="宋体"/>
                <w:b/>
                <w:bCs/>
                <w:color w:val="auto"/>
                <w:sz w:val="22"/>
                <w:highlight w:val="none"/>
              </w:rPr>
            </w:pPr>
          </w:p>
        </w:tc>
        <w:tc>
          <w:tcPr>
            <w:tcW w:w="372" w:type="pct"/>
            <w:noWrap w:val="0"/>
            <w:vAlign w:val="center"/>
          </w:tcPr>
          <w:p w14:paraId="38B7AB0A">
            <w:pPr>
              <w:spacing w:line="380" w:lineRule="exact"/>
              <w:jc w:val="center"/>
              <w:rPr>
                <w:rFonts w:ascii="宋体" w:hAnsi="宋体" w:cs="宋体"/>
                <w:b/>
                <w:bCs/>
                <w:color w:val="auto"/>
                <w:sz w:val="22"/>
                <w:highlight w:val="none"/>
              </w:rPr>
            </w:pPr>
          </w:p>
        </w:tc>
        <w:tc>
          <w:tcPr>
            <w:tcW w:w="466" w:type="pct"/>
            <w:noWrap w:val="0"/>
            <w:vAlign w:val="center"/>
          </w:tcPr>
          <w:p w14:paraId="3DC84B6E">
            <w:pPr>
              <w:spacing w:line="380" w:lineRule="exact"/>
              <w:jc w:val="center"/>
              <w:rPr>
                <w:rFonts w:ascii="宋体" w:hAnsi="宋体" w:cs="宋体"/>
                <w:b/>
                <w:bCs/>
                <w:color w:val="auto"/>
                <w:sz w:val="22"/>
                <w:highlight w:val="none"/>
              </w:rPr>
            </w:pPr>
          </w:p>
        </w:tc>
        <w:tc>
          <w:tcPr>
            <w:tcW w:w="746" w:type="pct"/>
            <w:noWrap w:val="0"/>
            <w:vAlign w:val="center"/>
          </w:tcPr>
          <w:p w14:paraId="6232AD5E">
            <w:pPr>
              <w:spacing w:line="380" w:lineRule="exact"/>
              <w:jc w:val="center"/>
              <w:rPr>
                <w:rFonts w:ascii="宋体" w:hAnsi="宋体" w:cs="宋体"/>
                <w:b/>
                <w:bCs/>
                <w:color w:val="auto"/>
                <w:sz w:val="22"/>
                <w:highlight w:val="none"/>
              </w:rPr>
            </w:pPr>
          </w:p>
        </w:tc>
        <w:tc>
          <w:tcPr>
            <w:tcW w:w="746" w:type="pct"/>
            <w:noWrap w:val="0"/>
            <w:vAlign w:val="center"/>
          </w:tcPr>
          <w:p w14:paraId="0B879935">
            <w:pPr>
              <w:spacing w:line="380" w:lineRule="exact"/>
              <w:jc w:val="center"/>
              <w:rPr>
                <w:rFonts w:ascii="宋体" w:hAnsi="宋体" w:cs="宋体"/>
                <w:b/>
                <w:bCs/>
                <w:color w:val="auto"/>
                <w:sz w:val="22"/>
                <w:highlight w:val="none"/>
              </w:rPr>
            </w:pPr>
          </w:p>
        </w:tc>
        <w:tc>
          <w:tcPr>
            <w:tcW w:w="559" w:type="pct"/>
            <w:noWrap w:val="0"/>
            <w:vAlign w:val="center"/>
          </w:tcPr>
          <w:p w14:paraId="6DA60973">
            <w:pPr>
              <w:spacing w:line="380" w:lineRule="exact"/>
              <w:jc w:val="center"/>
              <w:rPr>
                <w:rFonts w:ascii="宋体" w:hAnsi="宋体" w:cs="宋体"/>
                <w:b/>
                <w:bCs/>
                <w:color w:val="auto"/>
                <w:sz w:val="22"/>
                <w:highlight w:val="none"/>
              </w:rPr>
            </w:pPr>
          </w:p>
        </w:tc>
      </w:tr>
      <w:tr w14:paraId="316F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noWrap w:val="0"/>
            <w:vAlign w:val="center"/>
          </w:tcPr>
          <w:p w14:paraId="1162D8A2">
            <w:pPr>
              <w:spacing w:line="380" w:lineRule="exact"/>
              <w:jc w:val="center"/>
              <w:rPr>
                <w:rFonts w:ascii="宋体" w:hAnsi="宋体" w:cs="宋体"/>
                <w:b/>
                <w:bCs/>
                <w:color w:val="auto"/>
                <w:sz w:val="22"/>
                <w:highlight w:val="none"/>
              </w:rPr>
            </w:pPr>
          </w:p>
        </w:tc>
        <w:tc>
          <w:tcPr>
            <w:tcW w:w="652" w:type="pct"/>
            <w:noWrap w:val="0"/>
            <w:vAlign w:val="center"/>
          </w:tcPr>
          <w:p w14:paraId="1EF0B959">
            <w:pPr>
              <w:spacing w:line="380" w:lineRule="exact"/>
              <w:jc w:val="center"/>
              <w:rPr>
                <w:rFonts w:ascii="宋体" w:hAnsi="宋体" w:cs="宋体"/>
                <w:b/>
                <w:bCs/>
                <w:color w:val="auto"/>
                <w:sz w:val="22"/>
                <w:highlight w:val="none"/>
              </w:rPr>
            </w:pPr>
          </w:p>
        </w:tc>
        <w:tc>
          <w:tcPr>
            <w:tcW w:w="1026" w:type="pct"/>
            <w:noWrap w:val="0"/>
            <w:vAlign w:val="center"/>
          </w:tcPr>
          <w:p w14:paraId="01BC9DBD">
            <w:pPr>
              <w:spacing w:line="380" w:lineRule="exact"/>
              <w:jc w:val="center"/>
              <w:rPr>
                <w:rFonts w:ascii="宋体" w:hAnsi="宋体" w:cs="宋体"/>
                <w:b/>
                <w:bCs/>
                <w:color w:val="auto"/>
                <w:sz w:val="22"/>
                <w:highlight w:val="none"/>
              </w:rPr>
            </w:pPr>
          </w:p>
        </w:tc>
        <w:tc>
          <w:tcPr>
            <w:tcW w:w="372" w:type="pct"/>
            <w:noWrap w:val="0"/>
            <w:vAlign w:val="center"/>
          </w:tcPr>
          <w:p w14:paraId="518EF93B">
            <w:pPr>
              <w:spacing w:line="380" w:lineRule="exact"/>
              <w:jc w:val="center"/>
              <w:rPr>
                <w:rFonts w:ascii="宋体" w:hAnsi="宋体" w:cs="宋体"/>
                <w:b/>
                <w:bCs/>
                <w:color w:val="auto"/>
                <w:sz w:val="22"/>
                <w:highlight w:val="none"/>
              </w:rPr>
            </w:pPr>
          </w:p>
        </w:tc>
        <w:tc>
          <w:tcPr>
            <w:tcW w:w="466" w:type="pct"/>
            <w:noWrap w:val="0"/>
            <w:vAlign w:val="center"/>
          </w:tcPr>
          <w:p w14:paraId="602D9E41">
            <w:pPr>
              <w:spacing w:line="380" w:lineRule="exact"/>
              <w:jc w:val="center"/>
              <w:rPr>
                <w:rFonts w:ascii="宋体" w:hAnsi="宋体" w:cs="宋体"/>
                <w:b/>
                <w:bCs/>
                <w:color w:val="auto"/>
                <w:sz w:val="22"/>
                <w:highlight w:val="none"/>
              </w:rPr>
            </w:pPr>
          </w:p>
        </w:tc>
        <w:tc>
          <w:tcPr>
            <w:tcW w:w="746" w:type="pct"/>
            <w:noWrap w:val="0"/>
            <w:vAlign w:val="center"/>
          </w:tcPr>
          <w:p w14:paraId="35D4E458">
            <w:pPr>
              <w:spacing w:line="380" w:lineRule="exact"/>
              <w:jc w:val="center"/>
              <w:rPr>
                <w:rFonts w:ascii="宋体" w:hAnsi="宋体" w:cs="宋体"/>
                <w:b/>
                <w:bCs/>
                <w:color w:val="auto"/>
                <w:sz w:val="22"/>
                <w:highlight w:val="none"/>
              </w:rPr>
            </w:pPr>
          </w:p>
        </w:tc>
        <w:tc>
          <w:tcPr>
            <w:tcW w:w="746" w:type="pct"/>
            <w:noWrap w:val="0"/>
            <w:vAlign w:val="center"/>
          </w:tcPr>
          <w:p w14:paraId="20824908">
            <w:pPr>
              <w:spacing w:line="380" w:lineRule="exact"/>
              <w:jc w:val="center"/>
              <w:rPr>
                <w:rFonts w:ascii="宋体" w:hAnsi="宋体" w:cs="宋体"/>
                <w:b/>
                <w:bCs/>
                <w:color w:val="auto"/>
                <w:sz w:val="22"/>
                <w:highlight w:val="none"/>
              </w:rPr>
            </w:pPr>
          </w:p>
        </w:tc>
        <w:tc>
          <w:tcPr>
            <w:tcW w:w="559" w:type="pct"/>
            <w:noWrap w:val="0"/>
            <w:vAlign w:val="center"/>
          </w:tcPr>
          <w:p w14:paraId="2660A212">
            <w:pPr>
              <w:spacing w:line="380" w:lineRule="exact"/>
              <w:jc w:val="center"/>
              <w:rPr>
                <w:rFonts w:ascii="宋体" w:hAnsi="宋体" w:cs="宋体"/>
                <w:b/>
                <w:bCs/>
                <w:color w:val="auto"/>
                <w:sz w:val="22"/>
                <w:highlight w:val="none"/>
              </w:rPr>
            </w:pPr>
          </w:p>
        </w:tc>
      </w:tr>
      <w:tr w14:paraId="46D8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noWrap w:val="0"/>
            <w:vAlign w:val="center"/>
          </w:tcPr>
          <w:p w14:paraId="2B4A40DA">
            <w:pPr>
              <w:spacing w:line="380" w:lineRule="exact"/>
              <w:jc w:val="center"/>
              <w:rPr>
                <w:rFonts w:ascii="宋体" w:hAnsi="宋体" w:cs="宋体"/>
                <w:b/>
                <w:bCs/>
                <w:color w:val="auto"/>
                <w:sz w:val="22"/>
                <w:highlight w:val="none"/>
              </w:rPr>
            </w:pPr>
          </w:p>
        </w:tc>
        <w:tc>
          <w:tcPr>
            <w:tcW w:w="652" w:type="pct"/>
            <w:noWrap w:val="0"/>
            <w:vAlign w:val="center"/>
          </w:tcPr>
          <w:p w14:paraId="5EBD65A3">
            <w:pPr>
              <w:spacing w:line="380" w:lineRule="exact"/>
              <w:jc w:val="center"/>
              <w:rPr>
                <w:rFonts w:ascii="宋体" w:hAnsi="宋体" w:cs="宋体"/>
                <w:b/>
                <w:bCs/>
                <w:color w:val="auto"/>
                <w:sz w:val="22"/>
                <w:highlight w:val="none"/>
              </w:rPr>
            </w:pPr>
          </w:p>
        </w:tc>
        <w:tc>
          <w:tcPr>
            <w:tcW w:w="1026" w:type="pct"/>
            <w:noWrap w:val="0"/>
            <w:vAlign w:val="center"/>
          </w:tcPr>
          <w:p w14:paraId="41270CE4">
            <w:pPr>
              <w:spacing w:line="380" w:lineRule="exact"/>
              <w:jc w:val="center"/>
              <w:rPr>
                <w:rFonts w:ascii="宋体" w:hAnsi="宋体" w:cs="宋体"/>
                <w:b/>
                <w:bCs/>
                <w:color w:val="auto"/>
                <w:sz w:val="22"/>
                <w:highlight w:val="none"/>
              </w:rPr>
            </w:pPr>
          </w:p>
        </w:tc>
        <w:tc>
          <w:tcPr>
            <w:tcW w:w="372" w:type="pct"/>
            <w:noWrap w:val="0"/>
            <w:vAlign w:val="center"/>
          </w:tcPr>
          <w:p w14:paraId="67CDF370">
            <w:pPr>
              <w:spacing w:line="380" w:lineRule="exact"/>
              <w:jc w:val="center"/>
              <w:rPr>
                <w:rFonts w:ascii="宋体" w:hAnsi="宋体" w:cs="宋体"/>
                <w:b/>
                <w:bCs/>
                <w:color w:val="auto"/>
                <w:sz w:val="22"/>
                <w:highlight w:val="none"/>
              </w:rPr>
            </w:pPr>
          </w:p>
        </w:tc>
        <w:tc>
          <w:tcPr>
            <w:tcW w:w="466" w:type="pct"/>
            <w:noWrap w:val="0"/>
            <w:vAlign w:val="center"/>
          </w:tcPr>
          <w:p w14:paraId="2904E51F">
            <w:pPr>
              <w:spacing w:line="380" w:lineRule="exact"/>
              <w:jc w:val="center"/>
              <w:rPr>
                <w:rFonts w:ascii="宋体" w:hAnsi="宋体" w:cs="宋体"/>
                <w:b/>
                <w:bCs/>
                <w:color w:val="auto"/>
                <w:sz w:val="22"/>
                <w:highlight w:val="none"/>
              </w:rPr>
            </w:pPr>
          </w:p>
        </w:tc>
        <w:tc>
          <w:tcPr>
            <w:tcW w:w="746" w:type="pct"/>
            <w:noWrap w:val="0"/>
            <w:vAlign w:val="center"/>
          </w:tcPr>
          <w:p w14:paraId="2F80DAAC">
            <w:pPr>
              <w:spacing w:line="380" w:lineRule="exact"/>
              <w:jc w:val="center"/>
              <w:rPr>
                <w:rFonts w:ascii="宋体" w:hAnsi="宋体" w:cs="宋体"/>
                <w:b/>
                <w:bCs/>
                <w:color w:val="auto"/>
                <w:sz w:val="22"/>
                <w:highlight w:val="none"/>
              </w:rPr>
            </w:pPr>
          </w:p>
        </w:tc>
        <w:tc>
          <w:tcPr>
            <w:tcW w:w="746" w:type="pct"/>
            <w:noWrap w:val="0"/>
            <w:vAlign w:val="center"/>
          </w:tcPr>
          <w:p w14:paraId="4A69F9DC">
            <w:pPr>
              <w:spacing w:line="380" w:lineRule="exact"/>
              <w:jc w:val="center"/>
              <w:rPr>
                <w:rFonts w:ascii="宋体" w:hAnsi="宋体" w:cs="宋体"/>
                <w:b/>
                <w:bCs/>
                <w:color w:val="auto"/>
                <w:sz w:val="22"/>
                <w:highlight w:val="none"/>
              </w:rPr>
            </w:pPr>
          </w:p>
        </w:tc>
        <w:tc>
          <w:tcPr>
            <w:tcW w:w="559" w:type="pct"/>
            <w:noWrap w:val="0"/>
            <w:vAlign w:val="center"/>
          </w:tcPr>
          <w:p w14:paraId="2791F949">
            <w:pPr>
              <w:spacing w:line="380" w:lineRule="exact"/>
              <w:jc w:val="center"/>
              <w:rPr>
                <w:rFonts w:ascii="宋体" w:hAnsi="宋体" w:cs="宋体"/>
                <w:b/>
                <w:bCs/>
                <w:color w:val="auto"/>
                <w:sz w:val="22"/>
                <w:highlight w:val="none"/>
              </w:rPr>
            </w:pPr>
          </w:p>
        </w:tc>
      </w:tr>
      <w:tr w14:paraId="0FC1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noWrap w:val="0"/>
            <w:vAlign w:val="center"/>
          </w:tcPr>
          <w:p w14:paraId="51D2BA5A">
            <w:pPr>
              <w:spacing w:line="380" w:lineRule="exact"/>
              <w:jc w:val="center"/>
              <w:rPr>
                <w:rFonts w:ascii="宋体" w:hAnsi="宋体" w:cs="宋体"/>
                <w:b/>
                <w:bCs/>
                <w:color w:val="auto"/>
                <w:sz w:val="22"/>
                <w:highlight w:val="none"/>
              </w:rPr>
            </w:pPr>
          </w:p>
        </w:tc>
        <w:tc>
          <w:tcPr>
            <w:tcW w:w="652" w:type="pct"/>
            <w:noWrap w:val="0"/>
            <w:vAlign w:val="center"/>
          </w:tcPr>
          <w:p w14:paraId="57D739F7">
            <w:pPr>
              <w:spacing w:line="380" w:lineRule="exact"/>
              <w:jc w:val="center"/>
              <w:rPr>
                <w:rFonts w:ascii="宋体" w:hAnsi="宋体" w:cs="宋体"/>
                <w:b/>
                <w:bCs/>
                <w:color w:val="auto"/>
                <w:sz w:val="22"/>
                <w:highlight w:val="none"/>
              </w:rPr>
            </w:pPr>
          </w:p>
        </w:tc>
        <w:tc>
          <w:tcPr>
            <w:tcW w:w="1026" w:type="pct"/>
            <w:noWrap w:val="0"/>
            <w:vAlign w:val="center"/>
          </w:tcPr>
          <w:p w14:paraId="6CDF1ADC">
            <w:pPr>
              <w:spacing w:line="380" w:lineRule="exact"/>
              <w:jc w:val="center"/>
              <w:rPr>
                <w:rFonts w:ascii="宋体" w:hAnsi="宋体" w:cs="宋体"/>
                <w:b/>
                <w:bCs/>
                <w:color w:val="auto"/>
                <w:sz w:val="22"/>
                <w:highlight w:val="none"/>
              </w:rPr>
            </w:pPr>
          </w:p>
        </w:tc>
        <w:tc>
          <w:tcPr>
            <w:tcW w:w="372" w:type="pct"/>
            <w:noWrap w:val="0"/>
            <w:vAlign w:val="center"/>
          </w:tcPr>
          <w:p w14:paraId="4A64321C">
            <w:pPr>
              <w:spacing w:line="380" w:lineRule="exact"/>
              <w:jc w:val="center"/>
              <w:rPr>
                <w:rFonts w:ascii="宋体" w:hAnsi="宋体" w:cs="宋体"/>
                <w:b/>
                <w:bCs/>
                <w:color w:val="auto"/>
                <w:sz w:val="22"/>
                <w:highlight w:val="none"/>
              </w:rPr>
            </w:pPr>
          </w:p>
        </w:tc>
        <w:tc>
          <w:tcPr>
            <w:tcW w:w="466" w:type="pct"/>
            <w:noWrap w:val="0"/>
            <w:vAlign w:val="center"/>
          </w:tcPr>
          <w:p w14:paraId="29F93FFB">
            <w:pPr>
              <w:spacing w:line="380" w:lineRule="exact"/>
              <w:jc w:val="center"/>
              <w:rPr>
                <w:rFonts w:ascii="宋体" w:hAnsi="宋体" w:cs="宋体"/>
                <w:b/>
                <w:bCs/>
                <w:color w:val="auto"/>
                <w:sz w:val="22"/>
                <w:highlight w:val="none"/>
              </w:rPr>
            </w:pPr>
          </w:p>
        </w:tc>
        <w:tc>
          <w:tcPr>
            <w:tcW w:w="746" w:type="pct"/>
            <w:noWrap w:val="0"/>
            <w:vAlign w:val="center"/>
          </w:tcPr>
          <w:p w14:paraId="2B577B2A">
            <w:pPr>
              <w:spacing w:line="380" w:lineRule="exact"/>
              <w:jc w:val="center"/>
              <w:rPr>
                <w:rFonts w:ascii="宋体" w:hAnsi="宋体" w:cs="宋体"/>
                <w:b/>
                <w:bCs/>
                <w:color w:val="auto"/>
                <w:sz w:val="22"/>
                <w:highlight w:val="none"/>
              </w:rPr>
            </w:pPr>
          </w:p>
        </w:tc>
        <w:tc>
          <w:tcPr>
            <w:tcW w:w="746" w:type="pct"/>
            <w:noWrap w:val="0"/>
            <w:vAlign w:val="center"/>
          </w:tcPr>
          <w:p w14:paraId="59B95976">
            <w:pPr>
              <w:spacing w:line="380" w:lineRule="exact"/>
              <w:jc w:val="center"/>
              <w:rPr>
                <w:rFonts w:ascii="宋体" w:hAnsi="宋体" w:cs="宋体"/>
                <w:b/>
                <w:bCs/>
                <w:color w:val="auto"/>
                <w:sz w:val="22"/>
                <w:highlight w:val="none"/>
              </w:rPr>
            </w:pPr>
          </w:p>
        </w:tc>
        <w:tc>
          <w:tcPr>
            <w:tcW w:w="559" w:type="pct"/>
            <w:noWrap w:val="0"/>
            <w:vAlign w:val="center"/>
          </w:tcPr>
          <w:p w14:paraId="2EE28056">
            <w:pPr>
              <w:spacing w:line="380" w:lineRule="exact"/>
              <w:jc w:val="center"/>
              <w:rPr>
                <w:rFonts w:ascii="宋体" w:hAnsi="宋体" w:cs="宋体"/>
                <w:b/>
                <w:bCs/>
                <w:color w:val="auto"/>
                <w:sz w:val="22"/>
                <w:highlight w:val="none"/>
              </w:rPr>
            </w:pPr>
          </w:p>
        </w:tc>
      </w:tr>
      <w:tr w14:paraId="192A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noWrap w:val="0"/>
            <w:vAlign w:val="center"/>
          </w:tcPr>
          <w:p w14:paraId="224B0306">
            <w:pPr>
              <w:spacing w:line="380" w:lineRule="exact"/>
              <w:jc w:val="center"/>
              <w:rPr>
                <w:rFonts w:ascii="宋体" w:hAnsi="宋体" w:cs="宋体"/>
                <w:b/>
                <w:bCs/>
                <w:color w:val="auto"/>
                <w:sz w:val="22"/>
                <w:highlight w:val="none"/>
              </w:rPr>
            </w:pPr>
          </w:p>
        </w:tc>
        <w:tc>
          <w:tcPr>
            <w:tcW w:w="652" w:type="pct"/>
            <w:noWrap w:val="0"/>
            <w:vAlign w:val="center"/>
          </w:tcPr>
          <w:p w14:paraId="2F356182">
            <w:pPr>
              <w:spacing w:line="380" w:lineRule="exact"/>
              <w:jc w:val="center"/>
              <w:rPr>
                <w:rFonts w:ascii="宋体" w:hAnsi="宋体" w:cs="宋体"/>
                <w:b/>
                <w:bCs/>
                <w:color w:val="auto"/>
                <w:sz w:val="22"/>
                <w:highlight w:val="none"/>
              </w:rPr>
            </w:pPr>
          </w:p>
        </w:tc>
        <w:tc>
          <w:tcPr>
            <w:tcW w:w="1026" w:type="pct"/>
            <w:noWrap w:val="0"/>
            <w:vAlign w:val="center"/>
          </w:tcPr>
          <w:p w14:paraId="48CCDF74">
            <w:pPr>
              <w:spacing w:line="380" w:lineRule="exact"/>
              <w:jc w:val="center"/>
              <w:rPr>
                <w:rFonts w:ascii="宋体" w:hAnsi="宋体" w:cs="宋体"/>
                <w:b/>
                <w:bCs/>
                <w:color w:val="auto"/>
                <w:sz w:val="22"/>
                <w:highlight w:val="none"/>
              </w:rPr>
            </w:pPr>
          </w:p>
        </w:tc>
        <w:tc>
          <w:tcPr>
            <w:tcW w:w="372" w:type="pct"/>
            <w:noWrap w:val="0"/>
            <w:vAlign w:val="center"/>
          </w:tcPr>
          <w:p w14:paraId="035059AD">
            <w:pPr>
              <w:spacing w:line="380" w:lineRule="exact"/>
              <w:jc w:val="center"/>
              <w:rPr>
                <w:rFonts w:ascii="宋体" w:hAnsi="宋体" w:cs="宋体"/>
                <w:b/>
                <w:bCs/>
                <w:color w:val="auto"/>
                <w:sz w:val="22"/>
                <w:highlight w:val="none"/>
              </w:rPr>
            </w:pPr>
          </w:p>
        </w:tc>
        <w:tc>
          <w:tcPr>
            <w:tcW w:w="466" w:type="pct"/>
            <w:noWrap w:val="0"/>
            <w:vAlign w:val="center"/>
          </w:tcPr>
          <w:p w14:paraId="323003AE">
            <w:pPr>
              <w:spacing w:line="380" w:lineRule="exact"/>
              <w:jc w:val="center"/>
              <w:rPr>
                <w:rFonts w:ascii="宋体" w:hAnsi="宋体" w:cs="宋体"/>
                <w:b/>
                <w:bCs/>
                <w:color w:val="auto"/>
                <w:sz w:val="22"/>
                <w:highlight w:val="none"/>
              </w:rPr>
            </w:pPr>
          </w:p>
        </w:tc>
        <w:tc>
          <w:tcPr>
            <w:tcW w:w="746" w:type="pct"/>
            <w:noWrap w:val="0"/>
            <w:vAlign w:val="center"/>
          </w:tcPr>
          <w:p w14:paraId="7F605C48">
            <w:pPr>
              <w:spacing w:line="380" w:lineRule="exact"/>
              <w:jc w:val="center"/>
              <w:rPr>
                <w:rFonts w:ascii="宋体" w:hAnsi="宋体" w:cs="宋体"/>
                <w:b/>
                <w:bCs/>
                <w:color w:val="auto"/>
                <w:sz w:val="22"/>
                <w:highlight w:val="none"/>
              </w:rPr>
            </w:pPr>
          </w:p>
        </w:tc>
        <w:tc>
          <w:tcPr>
            <w:tcW w:w="746" w:type="pct"/>
            <w:noWrap w:val="0"/>
            <w:vAlign w:val="center"/>
          </w:tcPr>
          <w:p w14:paraId="7513132A">
            <w:pPr>
              <w:spacing w:line="380" w:lineRule="exact"/>
              <w:jc w:val="center"/>
              <w:rPr>
                <w:rFonts w:ascii="宋体" w:hAnsi="宋体" w:cs="宋体"/>
                <w:b/>
                <w:bCs/>
                <w:color w:val="auto"/>
                <w:sz w:val="22"/>
                <w:highlight w:val="none"/>
              </w:rPr>
            </w:pPr>
          </w:p>
        </w:tc>
        <w:tc>
          <w:tcPr>
            <w:tcW w:w="559" w:type="pct"/>
            <w:noWrap w:val="0"/>
            <w:vAlign w:val="center"/>
          </w:tcPr>
          <w:p w14:paraId="7D31711C">
            <w:pPr>
              <w:spacing w:line="380" w:lineRule="exact"/>
              <w:jc w:val="center"/>
              <w:rPr>
                <w:rFonts w:ascii="宋体" w:hAnsi="宋体" w:cs="宋体"/>
                <w:b/>
                <w:bCs/>
                <w:color w:val="auto"/>
                <w:sz w:val="22"/>
                <w:highlight w:val="none"/>
              </w:rPr>
            </w:pPr>
          </w:p>
        </w:tc>
      </w:tr>
    </w:tbl>
    <w:p w14:paraId="23BDB820">
      <w:pPr>
        <w:spacing w:line="380" w:lineRule="exact"/>
        <w:ind w:firstLine="5963" w:firstLineChars="2700"/>
        <w:rPr>
          <w:rFonts w:ascii="宋体" w:hAnsi="宋体" w:cs="宋体"/>
          <w:b/>
          <w:bCs/>
          <w:color w:val="auto"/>
          <w:sz w:val="22"/>
          <w:highlight w:val="none"/>
        </w:rPr>
      </w:pPr>
    </w:p>
    <w:p w14:paraId="3685C4E2">
      <w:pPr>
        <w:spacing w:line="440" w:lineRule="exact"/>
        <w:ind w:left="-720"/>
        <w:jc w:val="center"/>
        <w:outlineLvl w:val="1"/>
        <w:rPr>
          <w:rFonts w:hint="eastAsia" w:ascii="黑体" w:hAnsi="黑体" w:eastAsia="黑体" w:cs="黑体"/>
          <w:b/>
          <w:bCs/>
          <w:color w:val="auto"/>
          <w:sz w:val="24"/>
          <w:highlight w:val="none"/>
        </w:rPr>
      </w:pPr>
      <w:bookmarkStart w:id="123" w:name="_Toc8296"/>
      <w:bookmarkStart w:id="124" w:name="_Toc10011"/>
      <w:bookmarkStart w:id="125" w:name="_Toc26698"/>
      <w:r>
        <w:rPr>
          <w:rFonts w:hint="eastAsia" w:ascii="黑体" w:hAnsi="黑体" w:eastAsia="黑体" w:cs="黑体"/>
          <w:b/>
          <w:bCs/>
          <w:color w:val="auto"/>
          <w:sz w:val="24"/>
          <w:highlight w:val="none"/>
        </w:rPr>
        <w:t>附件六-2  随机备品备件、易损易耗件和专用工具清单（如有）</w:t>
      </w:r>
      <w:bookmarkEnd w:id="123"/>
      <w:bookmarkEnd w:id="124"/>
      <w:bookmarkEnd w:id="125"/>
    </w:p>
    <w:tbl>
      <w:tblPr>
        <w:tblStyle w:val="4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2253"/>
        <w:gridCol w:w="1421"/>
        <w:gridCol w:w="899"/>
        <w:gridCol w:w="2264"/>
        <w:gridCol w:w="1518"/>
      </w:tblGrid>
      <w:tr w14:paraId="2349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9" w:type="pct"/>
            <w:noWrap w:val="0"/>
            <w:vAlign w:val="center"/>
          </w:tcPr>
          <w:p w14:paraId="0A763126">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序号</w:t>
            </w:r>
          </w:p>
        </w:tc>
        <w:tc>
          <w:tcPr>
            <w:tcW w:w="1213" w:type="pct"/>
            <w:noWrap w:val="0"/>
            <w:vAlign w:val="center"/>
          </w:tcPr>
          <w:p w14:paraId="20197ADC">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名  称</w:t>
            </w:r>
          </w:p>
        </w:tc>
        <w:tc>
          <w:tcPr>
            <w:tcW w:w="765" w:type="pct"/>
            <w:noWrap w:val="0"/>
            <w:vAlign w:val="center"/>
          </w:tcPr>
          <w:p w14:paraId="64F9F83E">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型号规格</w:t>
            </w:r>
          </w:p>
        </w:tc>
        <w:tc>
          <w:tcPr>
            <w:tcW w:w="484" w:type="pct"/>
            <w:noWrap w:val="0"/>
            <w:vAlign w:val="center"/>
          </w:tcPr>
          <w:p w14:paraId="5A418656">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数量</w:t>
            </w:r>
          </w:p>
        </w:tc>
        <w:tc>
          <w:tcPr>
            <w:tcW w:w="1219" w:type="pct"/>
            <w:noWrap w:val="0"/>
            <w:vAlign w:val="center"/>
          </w:tcPr>
          <w:p w14:paraId="6BCCA298">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原产地/制造商</w:t>
            </w:r>
          </w:p>
        </w:tc>
        <w:tc>
          <w:tcPr>
            <w:tcW w:w="817" w:type="pct"/>
            <w:noWrap w:val="0"/>
            <w:vAlign w:val="center"/>
          </w:tcPr>
          <w:p w14:paraId="5D85A6A0">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备注</w:t>
            </w:r>
          </w:p>
        </w:tc>
      </w:tr>
      <w:tr w14:paraId="78C7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9" w:type="pct"/>
            <w:noWrap w:val="0"/>
            <w:vAlign w:val="center"/>
          </w:tcPr>
          <w:p w14:paraId="3C8F27CA">
            <w:pPr>
              <w:spacing w:line="380" w:lineRule="exact"/>
              <w:jc w:val="center"/>
              <w:rPr>
                <w:rFonts w:ascii="宋体" w:hAnsi="宋体" w:cs="宋体"/>
                <w:b/>
                <w:bCs/>
                <w:color w:val="auto"/>
                <w:sz w:val="22"/>
                <w:highlight w:val="none"/>
              </w:rPr>
            </w:pPr>
          </w:p>
        </w:tc>
        <w:tc>
          <w:tcPr>
            <w:tcW w:w="1213" w:type="pct"/>
            <w:noWrap w:val="0"/>
            <w:vAlign w:val="center"/>
          </w:tcPr>
          <w:p w14:paraId="51A0834B">
            <w:pPr>
              <w:spacing w:line="380" w:lineRule="exact"/>
              <w:jc w:val="center"/>
              <w:rPr>
                <w:rFonts w:ascii="宋体" w:hAnsi="宋体" w:cs="宋体"/>
                <w:b/>
                <w:bCs/>
                <w:color w:val="auto"/>
                <w:sz w:val="22"/>
                <w:highlight w:val="none"/>
              </w:rPr>
            </w:pPr>
          </w:p>
        </w:tc>
        <w:tc>
          <w:tcPr>
            <w:tcW w:w="765" w:type="pct"/>
            <w:noWrap w:val="0"/>
            <w:vAlign w:val="center"/>
          </w:tcPr>
          <w:p w14:paraId="64B24C3D">
            <w:pPr>
              <w:spacing w:line="380" w:lineRule="exact"/>
              <w:jc w:val="center"/>
              <w:rPr>
                <w:rFonts w:ascii="宋体" w:hAnsi="宋体" w:cs="宋体"/>
                <w:b/>
                <w:bCs/>
                <w:color w:val="auto"/>
                <w:sz w:val="22"/>
                <w:highlight w:val="none"/>
              </w:rPr>
            </w:pPr>
          </w:p>
        </w:tc>
        <w:tc>
          <w:tcPr>
            <w:tcW w:w="484" w:type="pct"/>
            <w:noWrap w:val="0"/>
            <w:vAlign w:val="center"/>
          </w:tcPr>
          <w:p w14:paraId="548CDB47">
            <w:pPr>
              <w:spacing w:line="380" w:lineRule="exact"/>
              <w:jc w:val="center"/>
              <w:rPr>
                <w:rFonts w:ascii="宋体" w:hAnsi="宋体" w:cs="宋体"/>
                <w:b/>
                <w:bCs/>
                <w:color w:val="auto"/>
                <w:sz w:val="22"/>
                <w:highlight w:val="none"/>
              </w:rPr>
            </w:pPr>
          </w:p>
        </w:tc>
        <w:tc>
          <w:tcPr>
            <w:tcW w:w="1219" w:type="pct"/>
            <w:noWrap w:val="0"/>
            <w:vAlign w:val="center"/>
          </w:tcPr>
          <w:p w14:paraId="2F0816E4">
            <w:pPr>
              <w:spacing w:line="380" w:lineRule="exact"/>
              <w:jc w:val="center"/>
              <w:rPr>
                <w:rFonts w:ascii="宋体" w:hAnsi="宋体" w:cs="宋体"/>
                <w:b/>
                <w:bCs/>
                <w:color w:val="auto"/>
                <w:sz w:val="22"/>
                <w:highlight w:val="none"/>
              </w:rPr>
            </w:pPr>
          </w:p>
        </w:tc>
        <w:tc>
          <w:tcPr>
            <w:tcW w:w="817" w:type="pct"/>
            <w:noWrap w:val="0"/>
            <w:vAlign w:val="center"/>
          </w:tcPr>
          <w:p w14:paraId="16A1C3C1">
            <w:pPr>
              <w:spacing w:line="380" w:lineRule="exact"/>
              <w:jc w:val="center"/>
              <w:rPr>
                <w:rFonts w:ascii="宋体" w:hAnsi="宋体" w:cs="宋体"/>
                <w:b/>
                <w:bCs/>
                <w:color w:val="auto"/>
                <w:sz w:val="22"/>
                <w:highlight w:val="none"/>
              </w:rPr>
            </w:pPr>
          </w:p>
        </w:tc>
      </w:tr>
      <w:tr w14:paraId="430E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9" w:type="pct"/>
            <w:noWrap w:val="0"/>
            <w:vAlign w:val="center"/>
          </w:tcPr>
          <w:p w14:paraId="571ED9D9">
            <w:pPr>
              <w:spacing w:line="380" w:lineRule="exact"/>
              <w:jc w:val="center"/>
              <w:rPr>
                <w:rFonts w:ascii="宋体" w:hAnsi="宋体" w:cs="宋体"/>
                <w:b/>
                <w:bCs/>
                <w:color w:val="auto"/>
                <w:sz w:val="22"/>
                <w:highlight w:val="none"/>
              </w:rPr>
            </w:pPr>
          </w:p>
        </w:tc>
        <w:tc>
          <w:tcPr>
            <w:tcW w:w="1213" w:type="pct"/>
            <w:noWrap w:val="0"/>
            <w:vAlign w:val="center"/>
          </w:tcPr>
          <w:p w14:paraId="004CA858">
            <w:pPr>
              <w:spacing w:line="380" w:lineRule="exact"/>
              <w:jc w:val="center"/>
              <w:rPr>
                <w:rFonts w:ascii="宋体" w:hAnsi="宋体" w:cs="宋体"/>
                <w:b/>
                <w:bCs/>
                <w:color w:val="auto"/>
                <w:sz w:val="22"/>
                <w:highlight w:val="none"/>
              </w:rPr>
            </w:pPr>
          </w:p>
        </w:tc>
        <w:tc>
          <w:tcPr>
            <w:tcW w:w="765" w:type="pct"/>
            <w:noWrap w:val="0"/>
            <w:vAlign w:val="center"/>
          </w:tcPr>
          <w:p w14:paraId="25A06001">
            <w:pPr>
              <w:spacing w:line="380" w:lineRule="exact"/>
              <w:jc w:val="center"/>
              <w:rPr>
                <w:rFonts w:ascii="宋体" w:hAnsi="宋体" w:cs="宋体"/>
                <w:b/>
                <w:bCs/>
                <w:color w:val="auto"/>
                <w:sz w:val="22"/>
                <w:highlight w:val="none"/>
              </w:rPr>
            </w:pPr>
          </w:p>
        </w:tc>
        <w:tc>
          <w:tcPr>
            <w:tcW w:w="484" w:type="pct"/>
            <w:noWrap w:val="0"/>
            <w:vAlign w:val="center"/>
          </w:tcPr>
          <w:p w14:paraId="50AD1475">
            <w:pPr>
              <w:spacing w:line="380" w:lineRule="exact"/>
              <w:jc w:val="center"/>
              <w:rPr>
                <w:rFonts w:ascii="宋体" w:hAnsi="宋体" w:cs="宋体"/>
                <w:b/>
                <w:bCs/>
                <w:color w:val="auto"/>
                <w:sz w:val="22"/>
                <w:highlight w:val="none"/>
              </w:rPr>
            </w:pPr>
          </w:p>
        </w:tc>
        <w:tc>
          <w:tcPr>
            <w:tcW w:w="1219" w:type="pct"/>
            <w:noWrap w:val="0"/>
            <w:vAlign w:val="center"/>
          </w:tcPr>
          <w:p w14:paraId="7221EDDC">
            <w:pPr>
              <w:spacing w:line="380" w:lineRule="exact"/>
              <w:jc w:val="center"/>
              <w:rPr>
                <w:rFonts w:ascii="宋体" w:hAnsi="宋体" w:cs="宋体"/>
                <w:b/>
                <w:bCs/>
                <w:color w:val="auto"/>
                <w:sz w:val="22"/>
                <w:highlight w:val="none"/>
              </w:rPr>
            </w:pPr>
          </w:p>
        </w:tc>
        <w:tc>
          <w:tcPr>
            <w:tcW w:w="817" w:type="pct"/>
            <w:noWrap w:val="0"/>
            <w:vAlign w:val="center"/>
          </w:tcPr>
          <w:p w14:paraId="41E80412">
            <w:pPr>
              <w:spacing w:line="380" w:lineRule="exact"/>
              <w:jc w:val="center"/>
              <w:rPr>
                <w:rFonts w:ascii="宋体" w:hAnsi="宋体" w:cs="宋体"/>
                <w:b/>
                <w:bCs/>
                <w:color w:val="auto"/>
                <w:sz w:val="22"/>
                <w:highlight w:val="none"/>
              </w:rPr>
            </w:pPr>
          </w:p>
        </w:tc>
      </w:tr>
      <w:tr w14:paraId="6C79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9" w:type="pct"/>
            <w:noWrap w:val="0"/>
            <w:vAlign w:val="center"/>
          </w:tcPr>
          <w:p w14:paraId="298AA068">
            <w:pPr>
              <w:spacing w:line="380" w:lineRule="exact"/>
              <w:jc w:val="center"/>
              <w:rPr>
                <w:rFonts w:ascii="宋体" w:hAnsi="宋体" w:cs="宋体"/>
                <w:b/>
                <w:bCs/>
                <w:color w:val="auto"/>
                <w:sz w:val="22"/>
                <w:highlight w:val="none"/>
              </w:rPr>
            </w:pPr>
          </w:p>
        </w:tc>
        <w:tc>
          <w:tcPr>
            <w:tcW w:w="1213" w:type="pct"/>
            <w:noWrap w:val="0"/>
            <w:vAlign w:val="center"/>
          </w:tcPr>
          <w:p w14:paraId="04239ADB">
            <w:pPr>
              <w:spacing w:line="380" w:lineRule="exact"/>
              <w:jc w:val="center"/>
              <w:rPr>
                <w:rFonts w:ascii="宋体" w:hAnsi="宋体" w:cs="宋体"/>
                <w:b/>
                <w:bCs/>
                <w:color w:val="auto"/>
                <w:sz w:val="22"/>
                <w:highlight w:val="none"/>
              </w:rPr>
            </w:pPr>
          </w:p>
        </w:tc>
        <w:tc>
          <w:tcPr>
            <w:tcW w:w="765" w:type="pct"/>
            <w:noWrap w:val="0"/>
            <w:vAlign w:val="center"/>
          </w:tcPr>
          <w:p w14:paraId="6E6CF116">
            <w:pPr>
              <w:spacing w:line="380" w:lineRule="exact"/>
              <w:jc w:val="center"/>
              <w:rPr>
                <w:rFonts w:ascii="宋体" w:hAnsi="宋体" w:cs="宋体"/>
                <w:b/>
                <w:bCs/>
                <w:color w:val="auto"/>
                <w:sz w:val="22"/>
                <w:highlight w:val="none"/>
              </w:rPr>
            </w:pPr>
          </w:p>
        </w:tc>
        <w:tc>
          <w:tcPr>
            <w:tcW w:w="484" w:type="pct"/>
            <w:noWrap w:val="0"/>
            <w:vAlign w:val="center"/>
          </w:tcPr>
          <w:p w14:paraId="65BA5E94">
            <w:pPr>
              <w:spacing w:line="380" w:lineRule="exact"/>
              <w:jc w:val="center"/>
              <w:rPr>
                <w:rFonts w:ascii="宋体" w:hAnsi="宋体" w:cs="宋体"/>
                <w:b/>
                <w:bCs/>
                <w:color w:val="auto"/>
                <w:sz w:val="22"/>
                <w:highlight w:val="none"/>
              </w:rPr>
            </w:pPr>
          </w:p>
        </w:tc>
        <w:tc>
          <w:tcPr>
            <w:tcW w:w="1219" w:type="pct"/>
            <w:noWrap w:val="0"/>
            <w:vAlign w:val="center"/>
          </w:tcPr>
          <w:p w14:paraId="23DBCDCA">
            <w:pPr>
              <w:spacing w:line="380" w:lineRule="exact"/>
              <w:jc w:val="center"/>
              <w:rPr>
                <w:rFonts w:ascii="宋体" w:hAnsi="宋体" w:cs="宋体"/>
                <w:b/>
                <w:bCs/>
                <w:color w:val="auto"/>
                <w:sz w:val="22"/>
                <w:highlight w:val="none"/>
              </w:rPr>
            </w:pPr>
          </w:p>
        </w:tc>
        <w:tc>
          <w:tcPr>
            <w:tcW w:w="817" w:type="pct"/>
            <w:noWrap w:val="0"/>
            <w:vAlign w:val="center"/>
          </w:tcPr>
          <w:p w14:paraId="07563E30">
            <w:pPr>
              <w:spacing w:line="380" w:lineRule="exact"/>
              <w:jc w:val="center"/>
              <w:rPr>
                <w:rFonts w:ascii="宋体" w:hAnsi="宋体" w:cs="宋体"/>
                <w:b/>
                <w:bCs/>
                <w:color w:val="auto"/>
                <w:sz w:val="22"/>
                <w:highlight w:val="none"/>
              </w:rPr>
            </w:pPr>
          </w:p>
        </w:tc>
      </w:tr>
      <w:tr w14:paraId="5BA3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9" w:type="pct"/>
            <w:noWrap w:val="0"/>
            <w:vAlign w:val="center"/>
          </w:tcPr>
          <w:p w14:paraId="10B45DBB">
            <w:pPr>
              <w:spacing w:line="380" w:lineRule="exact"/>
              <w:jc w:val="center"/>
              <w:rPr>
                <w:rFonts w:ascii="宋体" w:hAnsi="宋体" w:cs="宋体"/>
                <w:b/>
                <w:bCs/>
                <w:color w:val="auto"/>
                <w:sz w:val="22"/>
                <w:highlight w:val="none"/>
              </w:rPr>
            </w:pPr>
          </w:p>
        </w:tc>
        <w:tc>
          <w:tcPr>
            <w:tcW w:w="1213" w:type="pct"/>
            <w:noWrap w:val="0"/>
            <w:vAlign w:val="center"/>
          </w:tcPr>
          <w:p w14:paraId="05B3BFD0">
            <w:pPr>
              <w:spacing w:line="380" w:lineRule="exact"/>
              <w:jc w:val="center"/>
              <w:rPr>
                <w:rFonts w:ascii="宋体" w:hAnsi="宋体" w:cs="宋体"/>
                <w:b/>
                <w:bCs/>
                <w:color w:val="auto"/>
                <w:sz w:val="22"/>
                <w:highlight w:val="none"/>
              </w:rPr>
            </w:pPr>
          </w:p>
        </w:tc>
        <w:tc>
          <w:tcPr>
            <w:tcW w:w="765" w:type="pct"/>
            <w:noWrap w:val="0"/>
            <w:vAlign w:val="center"/>
          </w:tcPr>
          <w:p w14:paraId="0A9E0BCF">
            <w:pPr>
              <w:spacing w:line="380" w:lineRule="exact"/>
              <w:jc w:val="center"/>
              <w:rPr>
                <w:rFonts w:ascii="宋体" w:hAnsi="宋体" w:cs="宋体"/>
                <w:b/>
                <w:bCs/>
                <w:color w:val="auto"/>
                <w:sz w:val="22"/>
                <w:highlight w:val="none"/>
              </w:rPr>
            </w:pPr>
          </w:p>
        </w:tc>
        <w:tc>
          <w:tcPr>
            <w:tcW w:w="484" w:type="pct"/>
            <w:noWrap w:val="0"/>
            <w:vAlign w:val="center"/>
          </w:tcPr>
          <w:p w14:paraId="32A78110">
            <w:pPr>
              <w:spacing w:line="380" w:lineRule="exact"/>
              <w:jc w:val="center"/>
              <w:rPr>
                <w:rFonts w:ascii="宋体" w:hAnsi="宋体" w:cs="宋体"/>
                <w:b/>
                <w:bCs/>
                <w:color w:val="auto"/>
                <w:sz w:val="22"/>
                <w:highlight w:val="none"/>
              </w:rPr>
            </w:pPr>
          </w:p>
        </w:tc>
        <w:tc>
          <w:tcPr>
            <w:tcW w:w="1219" w:type="pct"/>
            <w:noWrap w:val="0"/>
            <w:vAlign w:val="center"/>
          </w:tcPr>
          <w:p w14:paraId="4A3F82BB">
            <w:pPr>
              <w:spacing w:line="380" w:lineRule="exact"/>
              <w:jc w:val="center"/>
              <w:rPr>
                <w:rFonts w:ascii="宋体" w:hAnsi="宋体" w:cs="宋体"/>
                <w:b/>
                <w:bCs/>
                <w:color w:val="auto"/>
                <w:sz w:val="22"/>
                <w:highlight w:val="none"/>
              </w:rPr>
            </w:pPr>
          </w:p>
        </w:tc>
        <w:tc>
          <w:tcPr>
            <w:tcW w:w="817" w:type="pct"/>
            <w:noWrap w:val="0"/>
            <w:vAlign w:val="center"/>
          </w:tcPr>
          <w:p w14:paraId="140C81C5">
            <w:pPr>
              <w:spacing w:line="380" w:lineRule="exact"/>
              <w:jc w:val="center"/>
              <w:rPr>
                <w:rFonts w:ascii="宋体" w:hAnsi="宋体" w:cs="宋体"/>
                <w:b/>
                <w:bCs/>
                <w:color w:val="auto"/>
                <w:sz w:val="22"/>
                <w:highlight w:val="none"/>
              </w:rPr>
            </w:pPr>
          </w:p>
        </w:tc>
      </w:tr>
      <w:tr w14:paraId="2B1E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9" w:type="pct"/>
            <w:noWrap w:val="0"/>
            <w:vAlign w:val="center"/>
          </w:tcPr>
          <w:p w14:paraId="638BDF93">
            <w:pPr>
              <w:spacing w:line="380" w:lineRule="exact"/>
              <w:jc w:val="center"/>
              <w:rPr>
                <w:rFonts w:ascii="宋体" w:hAnsi="宋体" w:cs="宋体"/>
                <w:b/>
                <w:bCs/>
                <w:color w:val="auto"/>
                <w:sz w:val="22"/>
                <w:highlight w:val="none"/>
              </w:rPr>
            </w:pPr>
          </w:p>
        </w:tc>
        <w:tc>
          <w:tcPr>
            <w:tcW w:w="1213" w:type="pct"/>
            <w:noWrap w:val="0"/>
            <w:vAlign w:val="center"/>
          </w:tcPr>
          <w:p w14:paraId="32FAE902">
            <w:pPr>
              <w:spacing w:line="380" w:lineRule="exact"/>
              <w:jc w:val="center"/>
              <w:rPr>
                <w:rFonts w:ascii="宋体" w:hAnsi="宋体" w:cs="宋体"/>
                <w:b/>
                <w:bCs/>
                <w:color w:val="auto"/>
                <w:sz w:val="22"/>
                <w:highlight w:val="none"/>
              </w:rPr>
            </w:pPr>
          </w:p>
        </w:tc>
        <w:tc>
          <w:tcPr>
            <w:tcW w:w="765" w:type="pct"/>
            <w:noWrap w:val="0"/>
            <w:vAlign w:val="center"/>
          </w:tcPr>
          <w:p w14:paraId="2A2C05E3">
            <w:pPr>
              <w:spacing w:line="380" w:lineRule="exact"/>
              <w:jc w:val="center"/>
              <w:rPr>
                <w:rFonts w:ascii="宋体" w:hAnsi="宋体" w:cs="宋体"/>
                <w:b/>
                <w:bCs/>
                <w:color w:val="auto"/>
                <w:sz w:val="22"/>
                <w:highlight w:val="none"/>
              </w:rPr>
            </w:pPr>
          </w:p>
        </w:tc>
        <w:tc>
          <w:tcPr>
            <w:tcW w:w="484" w:type="pct"/>
            <w:noWrap w:val="0"/>
            <w:vAlign w:val="center"/>
          </w:tcPr>
          <w:p w14:paraId="77666B8B">
            <w:pPr>
              <w:spacing w:line="380" w:lineRule="exact"/>
              <w:jc w:val="center"/>
              <w:rPr>
                <w:rFonts w:ascii="宋体" w:hAnsi="宋体" w:cs="宋体"/>
                <w:b/>
                <w:bCs/>
                <w:color w:val="auto"/>
                <w:sz w:val="22"/>
                <w:highlight w:val="none"/>
              </w:rPr>
            </w:pPr>
          </w:p>
        </w:tc>
        <w:tc>
          <w:tcPr>
            <w:tcW w:w="1219" w:type="pct"/>
            <w:noWrap w:val="0"/>
            <w:vAlign w:val="center"/>
          </w:tcPr>
          <w:p w14:paraId="1190DA2F">
            <w:pPr>
              <w:spacing w:line="380" w:lineRule="exact"/>
              <w:jc w:val="center"/>
              <w:rPr>
                <w:rFonts w:ascii="宋体" w:hAnsi="宋体" w:cs="宋体"/>
                <w:b/>
                <w:bCs/>
                <w:color w:val="auto"/>
                <w:sz w:val="22"/>
                <w:highlight w:val="none"/>
              </w:rPr>
            </w:pPr>
          </w:p>
        </w:tc>
        <w:tc>
          <w:tcPr>
            <w:tcW w:w="817" w:type="pct"/>
            <w:noWrap w:val="0"/>
            <w:vAlign w:val="center"/>
          </w:tcPr>
          <w:p w14:paraId="72E0B647">
            <w:pPr>
              <w:spacing w:line="380" w:lineRule="exact"/>
              <w:jc w:val="center"/>
              <w:rPr>
                <w:rFonts w:ascii="宋体" w:hAnsi="宋体" w:cs="宋体"/>
                <w:b/>
                <w:bCs/>
                <w:color w:val="auto"/>
                <w:sz w:val="22"/>
                <w:highlight w:val="none"/>
              </w:rPr>
            </w:pPr>
          </w:p>
        </w:tc>
      </w:tr>
      <w:tr w14:paraId="2402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9" w:type="pct"/>
            <w:noWrap w:val="0"/>
            <w:vAlign w:val="center"/>
          </w:tcPr>
          <w:p w14:paraId="42A15A92">
            <w:pPr>
              <w:spacing w:line="380" w:lineRule="exact"/>
              <w:jc w:val="center"/>
              <w:rPr>
                <w:rFonts w:ascii="宋体" w:hAnsi="宋体" w:cs="宋体"/>
                <w:b/>
                <w:bCs/>
                <w:color w:val="auto"/>
                <w:sz w:val="22"/>
                <w:highlight w:val="none"/>
              </w:rPr>
            </w:pPr>
          </w:p>
        </w:tc>
        <w:tc>
          <w:tcPr>
            <w:tcW w:w="1213" w:type="pct"/>
            <w:noWrap w:val="0"/>
            <w:vAlign w:val="center"/>
          </w:tcPr>
          <w:p w14:paraId="0D048B73">
            <w:pPr>
              <w:spacing w:line="380" w:lineRule="exact"/>
              <w:jc w:val="center"/>
              <w:rPr>
                <w:rFonts w:ascii="宋体" w:hAnsi="宋体" w:cs="宋体"/>
                <w:b/>
                <w:bCs/>
                <w:color w:val="auto"/>
                <w:sz w:val="22"/>
                <w:highlight w:val="none"/>
              </w:rPr>
            </w:pPr>
          </w:p>
        </w:tc>
        <w:tc>
          <w:tcPr>
            <w:tcW w:w="765" w:type="pct"/>
            <w:noWrap w:val="0"/>
            <w:vAlign w:val="center"/>
          </w:tcPr>
          <w:p w14:paraId="09327E48">
            <w:pPr>
              <w:spacing w:line="380" w:lineRule="exact"/>
              <w:jc w:val="center"/>
              <w:rPr>
                <w:rFonts w:ascii="宋体" w:hAnsi="宋体" w:cs="宋体"/>
                <w:b/>
                <w:bCs/>
                <w:color w:val="auto"/>
                <w:sz w:val="22"/>
                <w:highlight w:val="none"/>
              </w:rPr>
            </w:pPr>
          </w:p>
        </w:tc>
        <w:tc>
          <w:tcPr>
            <w:tcW w:w="484" w:type="pct"/>
            <w:noWrap w:val="0"/>
            <w:vAlign w:val="center"/>
          </w:tcPr>
          <w:p w14:paraId="5AD22B68">
            <w:pPr>
              <w:spacing w:line="380" w:lineRule="exact"/>
              <w:jc w:val="center"/>
              <w:rPr>
                <w:rFonts w:ascii="宋体" w:hAnsi="宋体" w:cs="宋体"/>
                <w:b/>
                <w:bCs/>
                <w:color w:val="auto"/>
                <w:sz w:val="22"/>
                <w:highlight w:val="none"/>
              </w:rPr>
            </w:pPr>
          </w:p>
        </w:tc>
        <w:tc>
          <w:tcPr>
            <w:tcW w:w="1219" w:type="pct"/>
            <w:noWrap w:val="0"/>
            <w:vAlign w:val="center"/>
          </w:tcPr>
          <w:p w14:paraId="2B1A219C">
            <w:pPr>
              <w:spacing w:line="380" w:lineRule="exact"/>
              <w:jc w:val="center"/>
              <w:rPr>
                <w:rFonts w:ascii="宋体" w:hAnsi="宋体" w:cs="宋体"/>
                <w:b/>
                <w:bCs/>
                <w:color w:val="auto"/>
                <w:sz w:val="22"/>
                <w:highlight w:val="none"/>
              </w:rPr>
            </w:pPr>
          </w:p>
        </w:tc>
        <w:tc>
          <w:tcPr>
            <w:tcW w:w="817" w:type="pct"/>
            <w:noWrap w:val="0"/>
            <w:vAlign w:val="center"/>
          </w:tcPr>
          <w:p w14:paraId="526D50BD">
            <w:pPr>
              <w:spacing w:line="380" w:lineRule="exact"/>
              <w:jc w:val="center"/>
              <w:rPr>
                <w:rFonts w:ascii="宋体" w:hAnsi="宋体" w:cs="宋体"/>
                <w:b/>
                <w:bCs/>
                <w:color w:val="auto"/>
                <w:sz w:val="22"/>
                <w:highlight w:val="none"/>
              </w:rPr>
            </w:pPr>
          </w:p>
        </w:tc>
      </w:tr>
      <w:tr w14:paraId="3C42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9" w:type="pct"/>
            <w:noWrap w:val="0"/>
            <w:vAlign w:val="center"/>
          </w:tcPr>
          <w:p w14:paraId="3E61189D">
            <w:pPr>
              <w:spacing w:line="380" w:lineRule="exact"/>
              <w:jc w:val="center"/>
              <w:rPr>
                <w:rFonts w:ascii="宋体" w:hAnsi="宋体" w:cs="宋体"/>
                <w:b/>
                <w:bCs/>
                <w:color w:val="auto"/>
                <w:sz w:val="22"/>
                <w:highlight w:val="none"/>
              </w:rPr>
            </w:pPr>
          </w:p>
        </w:tc>
        <w:tc>
          <w:tcPr>
            <w:tcW w:w="1213" w:type="pct"/>
            <w:noWrap w:val="0"/>
            <w:vAlign w:val="center"/>
          </w:tcPr>
          <w:p w14:paraId="4351D42A">
            <w:pPr>
              <w:spacing w:line="380" w:lineRule="exact"/>
              <w:jc w:val="center"/>
              <w:rPr>
                <w:rFonts w:ascii="宋体" w:hAnsi="宋体" w:cs="宋体"/>
                <w:b/>
                <w:bCs/>
                <w:color w:val="auto"/>
                <w:sz w:val="22"/>
                <w:highlight w:val="none"/>
              </w:rPr>
            </w:pPr>
          </w:p>
        </w:tc>
        <w:tc>
          <w:tcPr>
            <w:tcW w:w="765" w:type="pct"/>
            <w:noWrap w:val="0"/>
            <w:vAlign w:val="center"/>
          </w:tcPr>
          <w:p w14:paraId="5F327046">
            <w:pPr>
              <w:spacing w:line="380" w:lineRule="exact"/>
              <w:jc w:val="center"/>
              <w:rPr>
                <w:rFonts w:ascii="宋体" w:hAnsi="宋体" w:cs="宋体"/>
                <w:b/>
                <w:bCs/>
                <w:color w:val="auto"/>
                <w:sz w:val="22"/>
                <w:highlight w:val="none"/>
              </w:rPr>
            </w:pPr>
          </w:p>
        </w:tc>
        <w:tc>
          <w:tcPr>
            <w:tcW w:w="484" w:type="pct"/>
            <w:noWrap w:val="0"/>
            <w:vAlign w:val="center"/>
          </w:tcPr>
          <w:p w14:paraId="03DF11AC">
            <w:pPr>
              <w:spacing w:line="380" w:lineRule="exact"/>
              <w:jc w:val="center"/>
              <w:rPr>
                <w:rFonts w:ascii="宋体" w:hAnsi="宋体" w:cs="宋体"/>
                <w:b/>
                <w:bCs/>
                <w:color w:val="auto"/>
                <w:sz w:val="22"/>
                <w:highlight w:val="none"/>
              </w:rPr>
            </w:pPr>
          </w:p>
        </w:tc>
        <w:tc>
          <w:tcPr>
            <w:tcW w:w="1219" w:type="pct"/>
            <w:noWrap w:val="0"/>
            <w:vAlign w:val="center"/>
          </w:tcPr>
          <w:p w14:paraId="21A1EFD5">
            <w:pPr>
              <w:spacing w:line="380" w:lineRule="exact"/>
              <w:jc w:val="center"/>
              <w:rPr>
                <w:rFonts w:ascii="宋体" w:hAnsi="宋体" w:cs="宋体"/>
                <w:b/>
                <w:bCs/>
                <w:color w:val="auto"/>
                <w:sz w:val="22"/>
                <w:highlight w:val="none"/>
              </w:rPr>
            </w:pPr>
          </w:p>
        </w:tc>
        <w:tc>
          <w:tcPr>
            <w:tcW w:w="817" w:type="pct"/>
            <w:noWrap w:val="0"/>
            <w:vAlign w:val="center"/>
          </w:tcPr>
          <w:p w14:paraId="6970E602">
            <w:pPr>
              <w:spacing w:line="380" w:lineRule="exact"/>
              <w:jc w:val="center"/>
              <w:rPr>
                <w:rFonts w:ascii="宋体" w:hAnsi="宋体" w:cs="宋体"/>
                <w:b/>
                <w:bCs/>
                <w:color w:val="auto"/>
                <w:sz w:val="22"/>
                <w:highlight w:val="none"/>
              </w:rPr>
            </w:pPr>
          </w:p>
        </w:tc>
      </w:tr>
    </w:tbl>
    <w:p w14:paraId="61D0090F">
      <w:pPr>
        <w:spacing w:line="440" w:lineRule="exact"/>
        <w:jc w:val="left"/>
        <w:rPr>
          <w:rFonts w:ascii="宋体" w:hAnsi="宋体" w:cs="宋体"/>
          <w:b/>
          <w:bCs/>
          <w:color w:val="auto"/>
          <w:sz w:val="22"/>
          <w:highlight w:val="none"/>
        </w:rPr>
      </w:pPr>
      <w:r>
        <w:rPr>
          <w:rFonts w:hint="eastAsia" w:ascii="宋体" w:hAnsi="宋体" w:cs="宋体"/>
          <w:b/>
          <w:bCs/>
          <w:color w:val="auto"/>
          <w:sz w:val="22"/>
          <w:highlight w:val="none"/>
        </w:rPr>
        <w:t>注：供应商可按以上表格形式进行复制、附在技术标内。</w:t>
      </w:r>
    </w:p>
    <w:p w14:paraId="19737297">
      <w:pPr>
        <w:spacing w:line="44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355431FD">
      <w:pPr>
        <w:spacing w:line="44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供应商代表（签字）：</w:t>
      </w:r>
    </w:p>
    <w:p w14:paraId="3E9FDF8F">
      <w:pPr>
        <w:ind w:firstLine="4400" w:firstLineChars="2000"/>
        <w:rPr>
          <w:rFonts w:ascii="宋体" w:hAnsi="宋体" w:cs="宋体"/>
          <w:b/>
          <w:bCs/>
          <w:color w:val="auto"/>
          <w:sz w:val="24"/>
          <w:highlight w:val="none"/>
        </w:rPr>
      </w:pPr>
      <w:bookmarkStart w:id="126" w:name="_Toc16247"/>
      <w:bookmarkStart w:id="127" w:name="_Toc2549"/>
      <w:r>
        <w:rPr>
          <w:rFonts w:hint="eastAsia" w:ascii="宋体" w:hAnsi="宋体" w:cs="宋体"/>
          <w:color w:val="auto"/>
          <w:sz w:val="22"/>
          <w:szCs w:val="22"/>
          <w:highlight w:val="none"/>
        </w:rPr>
        <w:t>日期：     年    月    日</w:t>
      </w:r>
      <w:r>
        <w:rPr>
          <w:rFonts w:hint="eastAsia" w:ascii="宋体" w:hAnsi="宋体" w:cs="宋体"/>
          <w:color w:val="auto"/>
          <w:spacing w:val="20"/>
          <w:szCs w:val="21"/>
          <w:highlight w:val="none"/>
        </w:rPr>
        <w:br w:type="page"/>
      </w:r>
      <w:bookmarkEnd w:id="126"/>
      <w:bookmarkEnd w:id="127"/>
    </w:p>
    <w:p w14:paraId="0BF074A4">
      <w:pPr>
        <w:spacing w:line="440" w:lineRule="exact"/>
        <w:ind w:left="-720"/>
        <w:jc w:val="center"/>
        <w:outlineLvl w:val="1"/>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附件七  商务条款、技术规格偏离表</w:t>
      </w:r>
    </w:p>
    <w:p w14:paraId="258F5DAF">
      <w:pPr>
        <w:spacing w:line="560" w:lineRule="exact"/>
        <w:rPr>
          <w:rFonts w:ascii="宋体" w:hAnsi="宋体" w:cs="宋体"/>
          <w:b/>
          <w:bCs/>
          <w:color w:val="auto"/>
          <w:sz w:val="22"/>
          <w:highlight w:val="none"/>
        </w:rPr>
      </w:pPr>
      <w:r>
        <w:rPr>
          <w:rFonts w:hint="eastAsia" w:ascii="宋体" w:hAnsi="宋体" w:cs="宋体"/>
          <w:b/>
          <w:color w:val="auto"/>
          <w:sz w:val="22"/>
          <w:highlight w:val="none"/>
        </w:rPr>
        <w:t>项目名称：                                                项目编号：</w:t>
      </w:r>
    </w:p>
    <w:tbl>
      <w:tblPr>
        <w:tblStyle w:val="4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284"/>
        <w:gridCol w:w="1976"/>
        <w:gridCol w:w="1876"/>
        <w:gridCol w:w="1757"/>
        <w:gridCol w:w="1501"/>
      </w:tblGrid>
      <w:tr w14:paraId="3143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78" w:type="pct"/>
            <w:tcBorders>
              <w:top w:val="single" w:color="auto" w:sz="4" w:space="0"/>
              <w:left w:val="single" w:color="auto" w:sz="4" w:space="0"/>
              <w:bottom w:val="single" w:color="auto" w:sz="4" w:space="0"/>
              <w:right w:val="single" w:color="auto" w:sz="4" w:space="0"/>
            </w:tcBorders>
            <w:shd w:val="clear" w:color="auto" w:fill="B3B3B3"/>
            <w:noWrap w:val="0"/>
            <w:vAlign w:val="top"/>
          </w:tcPr>
          <w:p w14:paraId="448F443A">
            <w:pPr>
              <w:spacing w:line="380" w:lineRule="exact"/>
              <w:jc w:val="center"/>
              <w:rPr>
                <w:rFonts w:ascii="宋体" w:hAnsi="宋体" w:cs="宋体"/>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shd w:val="clear" w:color="auto" w:fill="B3B3B3"/>
            <w:noWrap w:val="0"/>
            <w:vAlign w:val="center"/>
          </w:tcPr>
          <w:p w14:paraId="1CC9FF7A">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序号</w:t>
            </w:r>
          </w:p>
        </w:tc>
        <w:tc>
          <w:tcPr>
            <w:tcW w:w="1064" w:type="pct"/>
            <w:tcBorders>
              <w:top w:val="single" w:color="auto" w:sz="4" w:space="0"/>
              <w:left w:val="single" w:color="auto" w:sz="4" w:space="0"/>
              <w:bottom w:val="single" w:color="auto" w:sz="4" w:space="0"/>
              <w:right w:val="single" w:color="auto" w:sz="4" w:space="0"/>
            </w:tcBorders>
            <w:shd w:val="clear" w:color="auto" w:fill="B3B3B3"/>
            <w:noWrap w:val="0"/>
            <w:vAlign w:val="center"/>
          </w:tcPr>
          <w:p w14:paraId="30E3F0F2">
            <w:pPr>
              <w:spacing w:line="380" w:lineRule="exact"/>
              <w:jc w:val="center"/>
              <w:rPr>
                <w:rFonts w:hint="eastAsia" w:ascii="宋体" w:hAnsi="宋体" w:cs="宋体"/>
                <w:b/>
                <w:color w:val="auto"/>
                <w:sz w:val="22"/>
                <w:highlight w:val="none"/>
              </w:rPr>
            </w:pPr>
            <w:r>
              <w:rPr>
                <w:rFonts w:hint="eastAsia" w:ascii="宋体" w:hAnsi="宋体" w:cs="宋体"/>
                <w:b/>
                <w:color w:val="auto"/>
                <w:sz w:val="22"/>
                <w:highlight w:val="none"/>
              </w:rPr>
              <w:t>招标文件</w:t>
            </w:r>
          </w:p>
          <w:p w14:paraId="4DD87E23">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条目号</w:t>
            </w:r>
          </w:p>
        </w:tc>
        <w:tc>
          <w:tcPr>
            <w:tcW w:w="1010" w:type="pct"/>
            <w:tcBorders>
              <w:top w:val="single" w:color="auto" w:sz="4" w:space="0"/>
              <w:left w:val="single" w:color="auto" w:sz="4" w:space="0"/>
              <w:bottom w:val="single" w:color="auto" w:sz="4" w:space="0"/>
              <w:right w:val="single" w:color="auto" w:sz="4" w:space="0"/>
            </w:tcBorders>
            <w:shd w:val="clear" w:color="auto" w:fill="B3B3B3"/>
            <w:noWrap w:val="0"/>
            <w:vAlign w:val="center"/>
          </w:tcPr>
          <w:p w14:paraId="2E0876B4">
            <w:pPr>
              <w:spacing w:line="380" w:lineRule="exact"/>
              <w:jc w:val="center"/>
              <w:rPr>
                <w:rFonts w:hint="eastAsia" w:ascii="宋体" w:hAnsi="宋体" w:cs="宋体"/>
                <w:b/>
                <w:color w:val="auto"/>
                <w:sz w:val="22"/>
                <w:highlight w:val="none"/>
              </w:rPr>
            </w:pPr>
            <w:r>
              <w:rPr>
                <w:rFonts w:hint="eastAsia" w:ascii="宋体" w:hAnsi="宋体" w:cs="宋体"/>
                <w:b/>
                <w:color w:val="auto"/>
                <w:sz w:val="22"/>
                <w:highlight w:val="none"/>
              </w:rPr>
              <w:t>招标文件</w:t>
            </w:r>
          </w:p>
          <w:p w14:paraId="75CF508A">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规范要求</w:t>
            </w:r>
          </w:p>
        </w:tc>
        <w:tc>
          <w:tcPr>
            <w:tcW w:w="946" w:type="pct"/>
            <w:tcBorders>
              <w:top w:val="single" w:color="auto" w:sz="4" w:space="0"/>
              <w:left w:val="single" w:color="auto" w:sz="4" w:space="0"/>
              <w:bottom w:val="single" w:color="auto" w:sz="4" w:space="0"/>
              <w:right w:val="single" w:color="auto" w:sz="4" w:space="0"/>
            </w:tcBorders>
            <w:shd w:val="clear" w:color="auto" w:fill="B3B3B3"/>
            <w:noWrap w:val="0"/>
            <w:vAlign w:val="center"/>
          </w:tcPr>
          <w:p w14:paraId="1C6A8C8F">
            <w:pPr>
              <w:spacing w:line="380" w:lineRule="exact"/>
              <w:jc w:val="center"/>
              <w:rPr>
                <w:rFonts w:hint="eastAsia" w:ascii="宋体" w:hAnsi="宋体" w:cs="宋体"/>
                <w:b/>
                <w:color w:val="auto"/>
                <w:sz w:val="22"/>
                <w:highlight w:val="none"/>
              </w:rPr>
            </w:pPr>
            <w:r>
              <w:rPr>
                <w:rFonts w:hint="eastAsia" w:ascii="宋体" w:hAnsi="宋体" w:cs="宋体"/>
                <w:b/>
                <w:color w:val="auto"/>
                <w:sz w:val="22"/>
                <w:highlight w:val="none"/>
              </w:rPr>
              <w:t>投标文件</w:t>
            </w:r>
          </w:p>
          <w:p w14:paraId="474E2DBF">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对应规范</w:t>
            </w:r>
          </w:p>
        </w:tc>
        <w:tc>
          <w:tcPr>
            <w:tcW w:w="808" w:type="pct"/>
            <w:tcBorders>
              <w:top w:val="single" w:color="auto" w:sz="4" w:space="0"/>
              <w:left w:val="single" w:color="auto" w:sz="4" w:space="0"/>
              <w:bottom w:val="single" w:color="auto" w:sz="4" w:space="0"/>
              <w:right w:val="single" w:color="auto" w:sz="4" w:space="0"/>
            </w:tcBorders>
            <w:shd w:val="clear" w:color="auto" w:fill="B3B3B3"/>
            <w:noWrap w:val="0"/>
            <w:vAlign w:val="center"/>
          </w:tcPr>
          <w:p w14:paraId="76C85030">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说明</w:t>
            </w:r>
          </w:p>
        </w:tc>
      </w:tr>
      <w:tr w14:paraId="0443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478" w:type="pct"/>
            <w:vMerge w:val="restart"/>
            <w:tcBorders>
              <w:top w:val="single" w:color="auto" w:sz="4" w:space="0"/>
              <w:left w:val="single" w:color="auto" w:sz="4" w:space="0"/>
              <w:bottom w:val="single" w:color="auto" w:sz="4" w:space="0"/>
              <w:right w:val="single" w:color="auto" w:sz="4" w:space="0"/>
            </w:tcBorders>
            <w:noWrap w:val="0"/>
            <w:vAlign w:val="center"/>
          </w:tcPr>
          <w:p w14:paraId="3D12F1FF">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商</w:t>
            </w:r>
          </w:p>
          <w:p w14:paraId="02E11830">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务</w:t>
            </w:r>
          </w:p>
          <w:p w14:paraId="75968F2A">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条</w:t>
            </w:r>
          </w:p>
          <w:p w14:paraId="647B4F46">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款</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00C02F04">
            <w:pPr>
              <w:spacing w:line="380" w:lineRule="exact"/>
              <w:jc w:val="center"/>
              <w:rPr>
                <w:rFonts w:ascii="宋体" w:hAnsi="宋体" w:cs="宋体"/>
                <w:color w:val="auto"/>
                <w:sz w:val="22"/>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00E0815E">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4366D823">
            <w:pPr>
              <w:spacing w:line="380" w:lineRule="exact"/>
              <w:jc w:val="center"/>
              <w:rPr>
                <w:rFonts w:ascii="宋体" w:hAnsi="宋体" w:cs="宋体"/>
                <w:color w:val="auto"/>
                <w:sz w:val="22"/>
                <w:highlight w:val="none"/>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3A5C207D">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3F63C731">
            <w:pPr>
              <w:spacing w:line="380" w:lineRule="exact"/>
              <w:jc w:val="center"/>
              <w:rPr>
                <w:rFonts w:ascii="宋体" w:hAnsi="宋体" w:cs="宋体"/>
                <w:color w:val="auto"/>
                <w:sz w:val="22"/>
                <w:highlight w:val="none"/>
              </w:rPr>
            </w:pPr>
          </w:p>
        </w:tc>
      </w:tr>
      <w:tr w14:paraId="4C15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noWrap w:val="0"/>
            <w:vAlign w:val="center"/>
          </w:tcPr>
          <w:p w14:paraId="772B3EE8">
            <w:pPr>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187D1436">
            <w:pPr>
              <w:spacing w:line="380" w:lineRule="exact"/>
              <w:jc w:val="center"/>
              <w:rPr>
                <w:rFonts w:ascii="宋体" w:hAnsi="宋体" w:cs="宋体"/>
                <w:color w:val="auto"/>
                <w:sz w:val="22"/>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310D893A">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67BFC6FC">
            <w:pPr>
              <w:spacing w:line="380" w:lineRule="exact"/>
              <w:jc w:val="center"/>
              <w:rPr>
                <w:rFonts w:ascii="宋体" w:hAnsi="宋体" w:cs="宋体"/>
                <w:color w:val="auto"/>
                <w:sz w:val="22"/>
                <w:highlight w:val="none"/>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5B269AEA">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7D1E0D6B">
            <w:pPr>
              <w:spacing w:line="380" w:lineRule="exact"/>
              <w:jc w:val="center"/>
              <w:rPr>
                <w:rFonts w:ascii="宋体" w:hAnsi="宋体" w:cs="宋体"/>
                <w:color w:val="auto"/>
                <w:sz w:val="22"/>
                <w:highlight w:val="none"/>
              </w:rPr>
            </w:pPr>
          </w:p>
        </w:tc>
      </w:tr>
      <w:tr w14:paraId="68EA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noWrap w:val="0"/>
            <w:vAlign w:val="center"/>
          </w:tcPr>
          <w:p w14:paraId="72EAC291">
            <w:pPr>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7B11A711">
            <w:pPr>
              <w:spacing w:line="380" w:lineRule="exact"/>
              <w:jc w:val="center"/>
              <w:rPr>
                <w:rFonts w:ascii="宋体" w:hAnsi="宋体" w:cs="宋体"/>
                <w:color w:val="auto"/>
                <w:sz w:val="22"/>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53673D55">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12FF71B4">
            <w:pPr>
              <w:spacing w:line="380" w:lineRule="exact"/>
              <w:jc w:val="center"/>
              <w:rPr>
                <w:rFonts w:ascii="宋体" w:hAnsi="宋体" w:cs="宋体"/>
                <w:color w:val="auto"/>
                <w:sz w:val="22"/>
                <w:highlight w:val="none"/>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01E40A26">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4EB9DA71">
            <w:pPr>
              <w:spacing w:line="380" w:lineRule="exact"/>
              <w:jc w:val="center"/>
              <w:rPr>
                <w:rFonts w:ascii="宋体" w:hAnsi="宋体" w:cs="宋体"/>
                <w:color w:val="auto"/>
                <w:sz w:val="22"/>
                <w:highlight w:val="none"/>
              </w:rPr>
            </w:pPr>
          </w:p>
        </w:tc>
      </w:tr>
      <w:tr w14:paraId="6ECA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noWrap w:val="0"/>
            <w:vAlign w:val="center"/>
          </w:tcPr>
          <w:p w14:paraId="7B49AC50">
            <w:pPr>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215B08B1">
            <w:pPr>
              <w:spacing w:line="380" w:lineRule="exact"/>
              <w:jc w:val="center"/>
              <w:rPr>
                <w:rFonts w:ascii="宋体" w:hAnsi="宋体" w:cs="宋体"/>
                <w:color w:val="auto"/>
                <w:sz w:val="22"/>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786A65A8">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5638FC17">
            <w:pPr>
              <w:spacing w:line="380" w:lineRule="exact"/>
              <w:jc w:val="center"/>
              <w:rPr>
                <w:rFonts w:ascii="宋体" w:hAnsi="宋体" w:cs="宋体"/>
                <w:color w:val="auto"/>
                <w:sz w:val="22"/>
                <w:highlight w:val="none"/>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39A5A941">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09AE34E4">
            <w:pPr>
              <w:spacing w:line="380" w:lineRule="exact"/>
              <w:jc w:val="center"/>
              <w:rPr>
                <w:rFonts w:ascii="宋体" w:hAnsi="宋体" w:cs="宋体"/>
                <w:color w:val="auto"/>
                <w:sz w:val="22"/>
                <w:highlight w:val="none"/>
              </w:rPr>
            </w:pPr>
          </w:p>
        </w:tc>
      </w:tr>
      <w:tr w14:paraId="1837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noWrap w:val="0"/>
            <w:vAlign w:val="center"/>
          </w:tcPr>
          <w:p w14:paraId="514E2342">
            <w:pPr>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02A9CB82">
            <w:pPr>
              <w:spacing w:line="380" w:lineRule="exact"/>
              <w:jc w:val="center"/>
              <w:rPr>
                <w:rFonts w:ascii="宋体" w:hAnsi="宋体" w:cs="宋体"/>
                <w:color w:val="auto"/>
                <w:sz w:val="22"/>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30254B4B">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08EFD0E8">
            <w:pPr>
              <w:spacing w:line="380" w:lineRule="exact"/>
              <w:jc w:val="center"/>
              <w:rPr>
                <w:rFonts w:ascii="宋体" w:hAnsi="宋体" w:cs="宋体"/>
                <w:color w:val="auto"/>
                <w:sz w:val="22"/>
                <w:highlight w:val="none"/>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1C52EB95">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2D441E47">
            <w:pPr>
              <w:spacing w:line="380" w:lineRule="exact"/>
              <w:jc w:val="center"/>
              <w:rPr>
                <w:rFonts w:ascii="宋体" w:hAnsi="宋体" w:cs="宋体"/>
                <w:color w:val="auto"/>
                <w:sz w:val="22"/>
                <w:highlight w:val="none"/>
              </w:rPr>
            </w:pPr>
          </w:p>
        </w:tc>
      </w:tr>
      <w:tr w14:paraId="1F223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478" w:type="pct"/>
            <w:vMerge w:val="restart"/>
            <w:tcBorders>
              <w:top w:val="single" w:color="auto" w:sz="4" w:space="0"/>
              <w:left w:val="single" w:color="auto" w:sz="4" w:space="0"/>
              <w:bottom w:val="single" w:color="auto" w:sz="4" w:space="0"/>
              <w:right w:val="single" w:color="auto" w:sz="4" w:space="0"/>
            </w:tcBorders>
            <w:noWrap w:val="0"/>
            <w:vAlign w:val="center"/>
          </w:tcPr>
          <w:p w14:paraId="703225F9">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技</w:t>
            </w:r>
          </w:p>
          <w:p w14:paraId="79171729">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术</w:t>
            </w:r>
          </w:p>
          <w:p w14:paraId="29ABF227">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规</w:t>
            </w:r>
          </w:p>
          <w:p w14:paraId="54825ADB">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格</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2D96D3A1">
            <w:pPr>
              <w:spacing w:line="380" w:lineRule="exact"/>
              <w:jc w:val="center"/>
              <w:rPr>
                <w:rFonts w:ascii="宋体" w:hAnsi="宋体" w:cs="宋体"/>
                <w:color w:val="auto"/>
                <w:sz w:val="22"/>
                <w:highlight w:val="none"/>
              </w:rPr>
            </w:pPr>
          </w:p>
          <w:p w14:paraId="23457853">
            <w:pPr>
              <w:spacing w:line="380" w:lineRule="exact"/>
              <w:jc w:val="center"/>
              <w:rPr>
                <w:rFonts w:ascii="宋体" w:hAnsi="宋体" w:cs="宋体"/>
                <w:color w:val="auto"/>
                <w:sz w:val="22"/>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2A73D5B4">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76A4AED9">
            <w:pPr>
              <w:spacing w:line="380" w:lineRule="exact"/>
              <w:jc w:val="center"/>
              <w:rPr>
                <w:rFonts w:ascii="宋体" w:hAnsi="宋体" w:cs="宋体"/>
                <w:color w:val="auto"/>
                <w:sz w:val="22"/>
                <w:highlight w:val="none"/>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76D3EB5E">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3D8B0958">
            <w:pPr>
              <w:spacing w:line="380" w:lineRule="exact"/>
              <w:jc w:val="center"/>
              <w:rPr>
                <w:rFonts w:ascii="宋体" w:hAnsi="宋体" w:cs="宋体"/>
                <w:color w:val="auto"/>
                <w:sz w:val="22"/>
                <w:highlight w:val="none"/>
              </w:rPr>
            </w:pPr>
          </w:p>
        </w:tc>
      </w:tr>
      <w:tr w14:paraId="0358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noWrap w:val="0"/>
            <w:vAlign w:val="center"/>
          </w:tcPr>
          <w:p w14:paraId="5E842ED3">
            <w:pPr>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69155578">
            <w:pPr>
              <w:spacing w:line="380" w:lineRule="exact"/>
              <w:jc w:val="center"/>
              <w:rPr>
                <w:rFonts w:ascii="宋体" w:hAnsi="宋体" w:cs="宋体"/>
                <w:color w:val="auto"/>
                <w:sz w:val="22"/>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60180D39">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72B3C761">
            <w:pPr>
              <w:spacing w:line="380" w:lineRule="exact"/>
              <w:jc w:val="center"/>
              <w:rPr>
                <w:rFonts w:ascii="宋体" w:hAnsi="宋体" w:cs="宋体"/>
                <w:color w:val="auto"/>
                <w:sz w:val="22"/>
                <w:highlight w:val="none"/>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79BBB3AD">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1F9E16EC">
            <w:pPr>
              <w:spacing w:line="380" w:lineRule="exact"/>
              <w:jc w:val="center"/>
              <w:rPr>
                <w:rFonts w:ascii="宋体" w:hAnsi="宋体" w:cs="宋体"/>
                <w:color w:val="auto"/>
                <w:sz w:val="22"/>
                <w:highlight w:val="none"/>
              </w:rPr>
            </w:pPr>
          </w:p>
        </w:tc>
      </w:tr>
      <w:tr w14:paraId="0559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noWrap w:val="0"/>
            <w:vAlign w:val="center"/>
          </w:tcPr>
          <w:p w14:paraId="2057ACF9">
            <w:pPr>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46D189C5">
            <w:pPr>
              <w:spacing w:line="380" w:lineRule="exact"/>
              <w:jc w:val="center"/>
              <w:rPr>
                <w:rFonts w:ascii="宋体" w:hAnsi="宋体" w:cs="宋体"/>
                <w:color w:val="auto"/>
                <w:sz w:val="22"/>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199BF19F">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062FDB67">
            <w:pPr>
              <w:spacing w:line="380" w:lineRule="exact"/>
              <w:jc w:val="center"/>
              <w:rPr>
                <w:rFonts w:ascii="宋体" w:hAnsi="宋体" w:cs="宋体"/>
                <w:color w:val="auto"/>
                <w:sz w:val="22"/>
                <w:highlight w:val="none"/>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6EF82D2F">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55A28E1C">
            <w:pPr>
              <w:spacing w:line="380" w:lineRule="exact"/>
              <w:jc w:val="center"/>
              <w:rPr>
                <w:rFonts w:ascii="宋体" w:hAnsi="宋体" w:cs="宋体"/>
                <w:color w:val="auto"/>
                <w:sz w:val="22"/>
                <w:highlight w:val="none"/>
              </w:rPr>
            </w:pPr>
          </w:p>
        </w:tc>
      </w:tr>
      <w:tr w14:paraId="7931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noWrap w:val="0"/>
            <w:vAlign w:val="center"/>
          </w:tcPr>
          <w:p w14:paraId="024E2FE9">
            <w:pPr>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7EC71FCE">
            <w:pPr>
              <w:spacing w:line="380" w:lineRule="exact"/>
              <w:jc w:val="center"/>
              <w:rPr>
                <w:rFonts w:ascii="宋体" w:hAnsi="宋体" w:cs="宋体"/>
                <w:color w:val="auto"/>
                <w:sz w:val="22"/>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2A4EA3D5">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025D714C">
            <w:pPr>
              <w:spacing w:line="380" w:lineRule="exact"/>
              <w:jc w:val="center"/>
              <w:rPr>
                <w:rFonts w:ascii="宋体" w:hAnsi="宋体" w:cs="宋体"/>
                <w:color w:val="auto"/>
                <w:sz w:val="22"/>
                <w:highlight w:val="none"/>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0091DAD9">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25D74048">
            <w:pPr>
              <w:spacing w:line="380" w:lineRule="exact"/>
              <w:jc w:val="center"/>
              <w:rPr>
                <w:rFonts w:ascii="宋体" w:hAnsi="宋体" w:cs="宋体"/>
                <w:color w:val="auto"/>
                <w:sz w:val="22"/>
                <w:highlight w:val="none"/>
              </w:rPr>
            </w:pPr>
          </w:p>
        </w:tc>
      </w:tr>
      <w:tr w14:paraId="3E04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noWrap w:val="0"/>
            <w:vAlign w:val="center"/>
          </w:tcPr>
          <w:p w14:paraId="281DA3F7">
            <w:pPr>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noWrap w:val="0"/>
            <w:vAlign w:val="center"/>
          </w:tcPr>
          <w:p w14:paraId="5AD0555C">
            <w:pPr>
              <w:spacing w:line="380" w:lineRule="exact"/>
              <w:jc w:val="center"/>
              <w:rPr>
                <w:rFonts w:ascii="宋体" w:hAnsi="宋体" w:cs="宋体"/>
                <w:color w:val="auto"/>
                <w:sz w:val="22"/>
                <w:highlight w:val="none"/>
              </w:rPr>
            </w:pPr>
          </w:p>
        </w:tc>
        <w:tc>
          <w:tcPr>
            <w:tcW w:w="1064" w:type="pct"/>
            <w:tcBorders>
              <w:top w:val="single" w:color="auto" w:sz="4" w:space="0"/>
              <w:left w:val="single" w:color="auto" w:sz="4" w:space="0"/>
              <w:bottom w:val="single" w:color="auto" w:sz="4" w:space="0"/>
              <w:right w:val="single" w:color="auto" w:sz="4" w:space="0"/>
            </w:tcBorders>
            <w:noWrap w:val="0"/>
            <w:vAlign w:val="center"/>
          </w:tcPr>
          <w:p w14:paraId="40BBFCEE">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noWrap w:val="0"/>
            <w:vAlign w:val="center"/>
          </w:tcPr>
          <w:p w14:paraId="5CEEC5A1">
            <w:pPr>
              <w:spacing w:line="380" w:lineRule="exact"/>
              <w:jc w:val="center"/>
              <w:rPr>
                <w:rFonts w:ascii="宋体" w:hAnsi="宋体" w:cs="宋体"/>
                <w:color w:val="auto"/>
                <w:sz w:val="22"/>
                <w:highlight w:val="none"/>
              </w:rPr>
            </w:pPr>
          </w:p>
        </w:tc>
        <w:tc>
          <w:tcPr>
            <w:tcW w:w="946" w:type="pct"/>
            <w:tcBorders>
              <w:top w:val="single" w:color="auto" w:sz="4" w:space="0"/>
              <w:left w:val="single" w:color="auto" w:sz="4" w:space="0"/>
              <w:bottom w:val="single" w:color="auto" w:sz="4" w:space="0"/>
              <w:right w:val="single" w:color="auto" w:sz="4" w:space="0"/>
            </w:tcBorders>
            <w:noWrap w:val="0"/>
            <w:vAlign w:val="center"/>
          </w:tcPr>
          <w:p w14:paraId="3ED6BBD6">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noWrap w:val="0"/>
            <w:vAlign w:val="center"/>
          </w:tcPr>
          <w:p w14:paraId="6F46A4B9">
            <w:pPr>
              <w:spacing w:line="380" w:lineRule="exact"/>
              <w:jc w:val="center"/>
              <w:rPr>
                <w:rFonts w:ascii="宋体" w:hAnsi="宋体" w:cs="宋体"/>
                <w:color w:val="auto"/>
                <w:sz w:val="22"/>
                <w:highlight w:val="none"/>
              </w:rPr>
            </w:pPr>
          </w:p>
        </w:tc>
      </w:tr>
    </w:tbl>
    <w:p w14:paraId="31FEA643">
      <w:pPr>
        <w:pStyle w:val="19"/>
        <w:spacing w:line="440" w:lineRule="exact"/>
        <w:ind w:left="537" w:hanging="537" w:hangingChars="243"/>
        <w:rPr>
          <w:rFonts w:hAnsi="宋体" w:cs="宋体"/>
          <w:b/>
          <w:color w:val="auto"/>
          <w:sz w:val="22"/>
          <w:szCs w:val="22"/>
          <w:highlight w:val="none"/>
        </w:rPr>
      </w:pPr>
      <w:r>
        <w:rPr>
          <w:rFonts w:hint="eastAsia" w:hAnsi="宋体" w:cs="宋体"/>
          <w:b/>
          <w:color w:val="auto"/>
          <w:sz w:val="22"/>
          <w:szCs w:val="22"/>
          <w:highlight w:val="none"/>
        </w:rPr>
        <w:t>注： 如有偏离，必须在偏离表中进行详细对比说明并注明正偏离和负偏离，如不说明偏离情况，视为完全响应招标文件要求无偏离。</w:t>
      </w:r>
    </w:p>
    <w:p w14:paraId="2D992DC7">
      <w:pPr>
        <w:spacing w:line="44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0DB2FF10">
      <w:pPr>
        <w:spacing w:line="44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供应商代表（签字）：</w:t>
      </w:r>
    </w:p>
    <w:p w14:paraId="62EB8C97">
      <w:pPr>
        <w:spacing w:line="440" w:lineRule="exact"/>
        <w:ind w:firstLine="4400" w:firstLineChars="2000"/>
        <w:rPr>
          <w:rFonts w:ascii="宋体" w:hAnsi="宋体" w:cs="宋体"/>
          <w:color w:val="auto"/>
          <w:sz w:val="22"/>
          <w:highlight w:val="none"/>
        </w:rPr>
      </w:pPr>
      <w:r>
        <w:rPr>
          <w:rFonts w:hint="eastAsia" w:ascii="宋体" w:hAnsi="宋体" w:cs="宋体"/>
          <w:color w:val="auto"/>
          <w:sz w:val="22"/>
          <w:szCs w:val="22"/>
          <w:highlight w:val="none"/>
        </w:rPr>
        <w:t>日期：     年    月    日</w:t>
      </w:r>
    </w:p>
    <w:bookmarkEnd w:id="84"/>
    <w:bookmarkEnd w:id="85"/>
    <w:bookmarkEnd w:id="86"/>
    <w:bookmarkEnd w:id="87"/>
    <w:bookmarkEnd w:id="88"/>
    <w:bookmarkEnd w:id="89"/>
    <w:bookmarkEnd w:id="90"/>
    <w:bookmarkEnd w:id="91"/>
    <w:bookmarkEnd w:id="92"/>
    <w:p w14:paraId="1946497B">
      <w:pPr>
        <w:spacing w:before="312" w:beforeLines="100" w:after="312" w:afterLines="100" w:line="400" w:lineRule="atLeast"/>
        <w:rPr>
          <w:rFonts w:hint="eastAsia" w:ascii="宋体" w:hAnsi="宋体" w:cs="Arial Unicode MS"/>
          <w:color w:val="auto"/>
          <w:sz w:val="22"/>
          <w:highlight w:val="none"/>
        </w:rPr>
      </w:pPr>
    </w:p>
    <w:p w14:paraId="66AA8DCF">
      <w:pPr>
        <w:pStyle w:val="4"/>
        <w:keepNext w:val="0"/>
        <w:keepLines w:val="0"/>
        <w:pageBreakBefore/>
        <w:tabs>
          <w:tab w:val="left" w:pos="840"/>
        </w:tabs>
        <w:adjustRightInd w:val="0"/>
        <w:snapToGrid w:val="0"/>
        <w:spacing w:before="240" w:beforeLines="100" w:after="240" w:afterLines="100" w:line="240" w:lineRule="auto"/>
        <w:jc w:val="center"/>
        <w:rPr>
          <w:rFonts w:hint="eastAsia" w:ascii="黑体" w:hAnsi="黑体" w:cs="黑体"/>
          <w:color w:val="auto"/>
          <w:sz w:val="24"/>
          <w:szCs w:val="24"/>
          <w:highlight w:val="none"/>
        </w:rPr>
      </w:pPr>
      <w:bookmarkStart w:id="128" w:name="_Toc15346"/>
      <w:bookmarkStart w:id="129" w:name="_Toc14659"/>
      <w:bookmarkStart w:id="130" w:name="_Toc3276"/>
      <w:bookmarkStart w:id="131" w:name="_Toc10607"/>
      <w:r>
        <w:rPr>
          <w:rFonts w:hint="eastAsia" w:ascii="黑体" w:hAnsi="黑体" w:cs="黑体"/>
          <w:color w:val="auto"/>
          <w:sz w:val="24"/>
          <w:szCs w:val="24"/>
          <w:highlight w:val="none"/>
        </w:rPr>
        <w:t>附件</w:t>
      </w:r>
      <w:r>
        <w:rPr>
          <w:rFonts w:hint="eastAsia" w:ascii="黑体" w:hAnsi="黑体" w:cs="黑体"/>
          <w:color w:val="auto"/>
          <w:sz w:val="24"/>
          <w:szCs w:val="24"/>
          <w:highlight w:val="none"/>
          <w:lang w:val="en-US" w:eastAsia="zh-CN"/>
        </w:rPr>
        <w:t>八</w:t>
      </w:r>
      <w:r>
        <w:rPr>
          <w:rFonts w:hint="eastAsia" w:ascii="黑体" w:hAnsi="黑体" w:cs="黑体"/>
          <w:color w:val="auto"/>
          <w:sz w:val="24"/>
          <w:szCs w:val="24"/>
          <w:highlight w:val="none"/>
        </w:rPr>
        <w:t xml:space="preserve">  </w:t>
      </w:r>
      <w:bookmarkEnd w:id="128"/>
      <w:bookmarkEnd w:id="129"/>
      <w:r>
        <w:rPr>
          <w:rFonts w:hint="eastAsia" w:ascii="黑体" w:hAnsi="黑体" w:cs="黑体"/>
          <w:color w:val="auto"/>
          <w:sz w:val="24"/>
          <w:szCs w:val="24"/>
          <w:highlight w:val="none"/>
        </w:rPr>
        <w:t>报价一览表</w:t>
      </w:r>
      <w:bookmarkEnd w:id="130"/>
      <w:bookmarkEnd w:id="131"/>
    </w:p>
    <w:p w14:paraId="608E21BD">
      <w:pPr>
        <w:rPr>
          <w:rFonts w:hint="default" w:eastAsia="宋体"/>
          <w:b/>
          <w:bCs/>
          <w:color w:val="auto"/>
          <w:highlight w:val="none"/>
          <w:lang w:val="en-US" w:eastAsia="zh-CN"/>
        </w:rPr>
      </w:pPr>
      <w:r>
        <w:rPr>
          <w:rFonts w:hint="eastAsia" w:ascii="黑体" w:hAnsi="黑体" w:cs="黑体"/>
          <w:b/>
          <w:bCs/>
          <w:color w:val="auto"/>
          <w:sz w:val="24"/>
          <w:szCs w:val="24"/>
          <w:highlight w:val="none"/>
          <w:lang w:val="en-US" w:eastAsia="zh-CN"/>
        </w:rPr>
        <w:t>项目名称：                                          项目编号：</w:t>
      </w:r>
    </w:p>
    <w:tbl>
      <w:tblPr>
        <w:tblStyle w:val="4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078"/>
        <w:gridCol w:w="5025"/>
        <w:gridCol w:w="1383"/>
      </w:tblGrid>
      <w:tr w14:paraId="3030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8" w:type="pct"/>
            <w:noWrap w:val="0"/>
            <w:vAlign w:val="center"/>
          </w:tcPr>
          <w:p w14:paraId="341724D6">
            <w:pPr>
              <w:spacing w:line="38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序号</w:t>
            </w:r>
          </w:p>
        </w:tc>
        <w:tc>
          <w:tcPr>
            <w:tcW w:w="1119" w:type="pct"/>
            <w:noWrap w:val="0"/>
            <w:vAlign w:val="center"/>
          </w:tcPr>
          <w:p w14:paraId="2D78E33F">
            <w:pPr>
              <w:spacing w:line="38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项目名称</w:t>
            </w:r>
          </w:p>
        </w:tc>
        <w:tc>
          <w:tcPr>
            <w:tcW w:w="2706" w:type="pct"/>
            <w:noWrap w:val="0"/>
            <w:vAlign w:val="center"/>
          </w:tcPr>
          <w:p w14:paraId="276BDA72">
            <w:pPr>
              <w:spacing w:line="38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投标报价</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单套</w:t>
            </w:r>
            <w:r>
              <w:rPr>
                <w:rFonts w:hint="eastAsia" w:ascii="宋体" w:hAnsi="宋体" w:cs="宋体"/>
                <w:bCs/>
                <w:color w:val="auto"/>
                <w:sz w:val="22"/>
                <w:szCs w:val="22"/>
                <w:highlight w:val="none"/>
                <w:lang w:eastAsia="zh-CN"/>
              </w:rPr>
              <w:t>）</w:t>
            </w:r>
          </w:p>
        </w:tc>
        <w:tc>
          <w:tcPr>
            <w:tcW w:w="745" w:type="pct"/>
            <w:noWrap w:val="0"/>
            <w:vAlign w:val="center"/>
          </w:tcPr>
          <w:p w14:paraId="008721DB">
            <w:pPr>
              <w:spacing w:line="38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备注</w:t>
            </w:r>
          </w:p>
        </w:tc>
      </w:tr>
      <w:tr w14:paraId="707E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28" w:type="pct"/>
            <w:vMerge w:val="restart"/>
            <w:noWrap w:val="0"/>
            <w:vAlign w:val="center"/>
          </w:tcPr>
          <w:p w14:paraId="6E641C15">
            <w:pPr>
              <w:spacing w:line="38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1119" w:type="pct"/>
            <w:vMerge w:val="restart"/>
            <w:noWrap w:val="0"/>
            <w:vAlign w:val="center"/>
          </w:tcPr>
          <w:p w14:paraId="422A0D72">
            <w:pPr>
              <w:spacing w:line="38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lang w:eastAsia="zh-CN"/>
              </w:rPr>
              <w:t>2025年春节慰问物资</w:t>
            </w:r>
          </w:p>
        </w:tc>
        <w:tc>
          <w:tcPr>
            <w:tcW w:w="2706" w:type="pct"/>
            <w:noWrap w:val="0"/>
            <w:vAlign w:val="center"/>
          </w:tcPr>
          <w:p w14:paraId="15AF64AF">
            <w:pPr>
              <w:spacing w:line="380" w:lineRule="exact"/>
              <w:rPr>
                <w:rFonts w:ascii="宋体" w:hAnsi="宋体" w:cs="宋体"/>
                <w:bCs/>
                <w:color w:val="auto"/>
                <w:sz w:val="22"/>
                <w:szCs w:val="22"/>
                <w:highlight w:val="none"/>
              </w:rPr>
            </w:pPr>
            <w:r>
              <w:rPr>
                <w:rFonts w:hint="eastAsia" w:ascii="宋体" w:hAnsi="宋体" w:cs="宋体"/>
                <w:bCs/>
                <w:color w:val="auto"/>
                <w:sz w:val="22"/>
                <w:szCs w:val="22"/>
                <w:highlight w:val="none"/>
              </w:rPr>
              <w:t>大写：人民币</w:t>
            </w:r>
          </w:p>
        </w:tc>
        <w:tc>
          <w:tcPr>
            <w:tcW w:w="745" w:type="pct"/>
            <w:vMerge w:val="restart"/>
            <w:noWrap w:val="0"/>
            <w:vAlign w:val="center"/>
          </w:tcPr>
          <w:p w14:paraId="4A88BDD0">
            <w:pPr>
              <w:spacing w:line="380" w:lineRule="exact"/>
              <w:rPr>
                <w:rFonts w:ascii="宋体" w:hAnsi="宋体" w:cs="宋体"/>
                <w:bCs/>
                <w:color w:val="auto"/>
                <w:sz w:val="22"/>
                <w:szCs w:val="22"/>
                <w:highlight w:val="none"/>
              </w:rPr>
            </w:pPr>
          </w:p>
        </w:tc>
      </w:tr>
      <w:tr w14:paraId="2CA6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428" w:type="pct"/>
            <w:vMerge w:val="continue"/>
            <w:noWrap w:val="0"/>
            <w:vAlign w:val="top"/>
          </w:tcPr>
          <w:p w14:paraId="566FEE4A">
            <w:pPr>
              <w:rPr>
                <w:rFonts w:ascii="宋体" w:hAnsi="宋体" w:cs="宋体"/>
                <w:color w:val="auto"/>
                <w:highlight w:val="none"/>
              </w:rPr>
            </w:pPr>
          </w:p>
        </w:tc>
        <w:tc>
          <w:tcPr>
            <w:tcW w:w="1119" w:type="pct"/>
            <w:vMerge w:val="continue"/>
            <w:noWrap w:val="0"/>
            <w:vAlign w:val="top"/>
          </w:tcPr>
          <w:p w14:paraId="51BE25B5">
            <w:pPr>
              <w:rPr>
                <w:rFonts w:ascii="宋体" w:hAnsi="宋体" w:cs="宋体"/>
                <w:color w:val="auto"/>
                <w:highlight w:val="none"/>
              </w:rPr>
            </w:pPr>
          </w:p>
        </w:tc>
        <w:tc>
          <w:tcPr>
            <w:tcW w:w="2706" w:type="pct"/>
            <w:noWrap w:val="0"/>
            <w:vAlign w:val="center"/>
          </w:tcPr>
          <w:p w14:paraId="6FB87760">
            <w:pPr>
              <w:spacing w:line="380" w:lineRule="exact"/>
              <w:rPr>
                <w:rFonts w:ascii="宋体" w:hAnsi="宋体" w:cs="宋体"/>
                <w:bCs/>
                <w:color w:val="auto"/>
                <w:sz w:val="22"/>
                <w:szCs w:val="22"/>
                <w:highlight w:val="none"/>
              </w:rPr>
            </w:pPr>
            <w:r>
              <w:rPr>
                <w:rFonts w:hint="eastAsia" w:ascii="宋体" w:hAnsi="宋体" w:cs="宋体"/>
                <w:bCs/>
                <w:color w:val="auto"/>
                <w:sz w:val="22"/>
                <w:szCs w:val="22"/>
                <w:highlight w:val="none"/>
              </w:rPr>
              <w:t>小写：¥</w:t>
            </w:r>
          </w:p>
        </w:tc>
        <w:tc>
          <w:tcPr>
            <w:tcW w:w="745" w:type="pct"/>
            <w:vMerge w:val="continue"/>
            <w:noWrap w:val="0"/>
            <w:vAlign w:val="center"/>
          </w:tcPr>
          <w:p w14:paraId="375E60EB">
            <w:pPr>
              <w:spacing w:line="380" w:lineRule="exact"/>
              <w:rPr>
                <w:rFonts w:ascii="宋体" w:hAnsi="宋体" w:cs="宋体"/>
                <w:bCs/>
                <w:color w:val="auto"/>
                <w:sz w:val="22"/>
                <w:szCs w:val="22"/>
                <w:highlight w:val="none"/>
              </w:rPr>
            </w:pPr>
          </w:p>
        </w:tc>
      </w:tr>
    </w:tbl>
    <w:p w14:paraId="77409BDC">
      <w:pPr>
        <w:spacing w:line="360" w:lineRule="auto"/>
        <w:ind w:firstLine="371" w:firstLineChars="177"/>
        <w:rPr>
          <w:rFonts w:hint="eastAsia" w:ascii="宋体" w:hAnsi="宋体" w:cs="宋体"/>
          <w:color w:val="auto"/>
          <w:szCs w:val="21"/>
          <w:highlight w:val="none"/>
        </w:rPr>
      </w:pPr>
    </w:p>
    <w:p w14:paraId="1EA4CD07">
      <w:pPr>
        <w:spacing w:line="360" w:lineRule="auto"/>
        <w:ind w:firstLine="389" w:firstLineChars="177"/>
        <w:rPr>
          <w:rFonts w:hint="eastAsia" w:ascii="宋体" w:hAnsi="宋体" w:cs="宋体"/>
          <w:color w:val="auto"/>
          <w:sz w:val="22"/>
          <w:szCs w:val="22"/>
          <w:highlight w:val="none"/>
        </w:rPr>
      </w:pPr>
      <w:r>
        <w:rPr>
          <w:rFonts w:hint="eastAsia" w:ascii="宋体" w:hAnsi="宋体" w:cs="宋体"/>
          <w:color w:val="auto"/>
          <w:sz w:val="22"/>
          <w:szCs w:val="22"/>
          <w:highlight w:val="none"/>
        </w:rPr>
        <w:t>投标人名称：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（加盖公章）  </w:t>
      </w:r>
    </w:p>
    <w:p w14:paraId="3170E700">
      <w:pPr>
        <w:spacing w:line="360" w:lineRule="auto"/>
        <w:ind w:firstLine="389" w:firstLineChars="177"/>
        <w:rPr>
          <w:rFonts w:hint="eastAsia" w:ascii="宋体" w:hAnsi="宋体" w:cs="宋体"/>
          <w:color w:val="auto"/>
          <w:sz w:val="22"/>
          <w:szCs w:val="22"/>
          <w:highlight w:val="none"/>
        </w:rPr>
      </w:pPr>
      <w:r>
        <w:rPr>
          <w:rFonts w:hint="eastAsia" w:ascii="宋体" w:hAnsi="宋体" w:cs="宋体"/>
          <w:color w:val="auto"/>
          <w:sz w:val="22"/>
          <w:szCs w:val="22"/>
          <w:highlight w:val="none"/>
        </w:rPr>
        <w:t>投标人代表：</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（签字）</w:t>
      </w:r>
    </w:p>
    <w:p w14:paraId="386B2982">
      <w:pPr>
        <w:spacing w:line="360" w:lineRule="exact"/>
        <w:ind w:firstLine="440" w:firstLineChars="200"/>
        <w:rPr>
          <w:rFonts w:hint="eastAsia" w:ascii="宋体" w:hAnsi="宋体" w:cs="Arial Unicode MS"/>
          <w:b/>
          <w:bCs/>
          <w:color w:val="auto"/>
          <w:sz w:val="22"/>
          <w:szCs w:val="22"/>
          <w:highlight w:val="none"/>
        </w:rPr>
      </w:pPr>
      <w:r>
        <w:rPr>
          <w:rFonts w:hint="eastAsia" w:ascii="宋体" w:hAnsi="宋体" w:cs="宋体"/>
          <w:color w:val="auto"/>
          <w:sz w:val="22"/>
          <w:szCs w:val="22"/>
          <w:highlight w:val="none"/>
        </w:rPr>
        <w:t>日期：</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3AFE5AB8">
      <w:pPr>
        <w:spacing w:line="360" w:lineRule="exact"/>
        <w:ind w:firstLine="221" w:firstLineChars="100"/>
        <w:rPr>
          <w:rFonts w:hint="eastAsia" w:ascii="宋体" w:hAnsi="宋体" w:cs="Arial Unicode MS"/>
          <w:color w:val="auto"/>
          <w:sz w:val="22"/>
          <w:szCs w:val="22"/>
          <w:highlight w:val="none"/>
        </w:rPr>
      </w:pPr>
      <w:r>
        <w:rPr>
          <w:rFonts w:hint="eastAsia" w:ascii="宋体" w:hAnsi="宋体" w:cs="Arial Unicode MS"/>
          <w:b/>
          <w:bCs/>
          <w:color w:val="auto"/>
          <w:sz w:val="22"/>
          <w:szCs w:val="22"/>
          <w:highlight w:val="none"/>
        </w:rPr>
        <w:t>注：</w:t>
      </w:r>
    </w:p>
    <w:p w14:paraId="2F1C2121">
      <w:pPr>
        <w:spacing w:line="360" w:lineRule="auto"/>
        <w:ind w:left="525" w:leftChars="142" w:hanging="227" w:hangingChars="103"/>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1.此栏内报价应与“报价</w:t>
      </w:r>
      <w:r>
        <w:rPr>
          <w:rFonts w:hint="eastAsia" w:ascii="宋体" w:hAnsi="宋体" w:cs="宋体"/>
          <w:b/>
          <w:bCs/>
          <w:color w:val="auto"/>
          <w:sz w:val="22"/>
          <w:szCs w:val="22"/>
          <w:highlight w:val="none"/>
          <w:lang w:val="en-US" w:eastAsia="zh-CN"/>
        </w:rPr>
        <w:t>明细</w:t>
      </w:r>
      <w:r>
        <w:rPr>
          <w:rFonts w:hint="eastAsia" w:ascii="宋体" w:hAnsi="宋体" w:cs="宋体"/>
          <w:b/>
          <w:bCs/>
          <w:color w:val="auto"/>
          <w:sz w:val="22"/>
          <w:szCs w:val="22"/>
          <w:highlight w:val="none"/>
        </w:rPr>
        <w:t>表”总计价相一致。</w:t>
      </w:r>
    </w:p>
    <w:p w14:paraId="1B3D69AF">
      <w:pPr>
        <w:spacing w:line="360" w:lineRule="auto"/>
        <w:ind w:left="535" w:leftChars="-171" w:hanging="894" w:hangingChars="405"/>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      2.报价均为含税价。</w:t>
      </w:r>
    </w:p>
    <w:p w14:paraId="1249FFA4">
      <w:pPr>
        <w:spacing w:line="360" w:lineRule="auto"/>
        <w:ind w:left="535" w:leftChars="-171" w:hanging="894" w:hangingChars="405"/>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      3.采购代理服务费应计入报价内。</w:t>
      </w:r>
    </w:p>
    <w:p w14:paraId="253D8AA2">
      <w:pPr>
        <w:spacing w:line="360" w:lineRule="auto"/>
        <w:ind w:left="218" w:leftChars="104" w:firstLine="0" w:firstLineChars="0"/>
        <w:rPr>
          <w:rFonts w:hint="eastAsia" w:ascii="新宋体" w:hAnsi="新宋体" w:eastAsia="新宋体" w:cs="新宋体"/>
          <w:b/>
          <w:color w:val="auto"/>
          <w:sz w:val="22"/>
          <w:szCs w:val="22"/>
          <w:highlight w:val="none"/>
          <w:u w:val="single"/>
        </w:rPr>
      </w:pPr>
      <w:r>
        <w:rPr>
          <w:rFonts w:hint="eastAsia" w:ascii="宋体" w:hAnsi="宋体" w:cs="宋体"/>
          <w:b/>
          <w:color w:val="auto"/>
          <w:sz w:val="22"/>
          <w:szCs w:val="22"/>
          <w:highlight w:val="none"/>
          <w:u w:val="single"/>
        </w:rPr>
        <w:t>▲</w:t>
      </w:r>
      <w:r>
        <w:rPr>
          <w:rFonts w:hint="eastAsia" w:ascii="新宋体" w:hAnsi="新宋体" w:eastAsia="新宋体" w:cs="新宋体"/>
          <w:b/>
          <w:color w:val="auto"/>
          <w:sz w:val="22"/>
          <w:szCs w:val="22"/>
          <w:highlight w:val="none"/>
          <w:u w:val="single"/>
        </w:rPr>
        <w:t>4、本项目单套预算为人民币</w:t>
      </w:r>
      <w:r>
        <w:rPr>
          <w:rFonts w:hint="eastAsia" w:ascii="新宋体" w:hAnsi="新宋体" w:eastAsia="新宋体" w:cs="新宋体"/>
          <w:b/>
          <w:color w:val="auto"/>
          <w:sz w:val="22"/>
          <w:szCs w:val="22"/>
          <w:highlight w:val="none"/>
          <w:u w:val="single"/>
          <w:lang w:val="en-US" w:eastAsia="zh-CN"/>
        </w:rPr>
        <w:t>伍佰肆拾</w:t>
      </w:r>
      <w:r>
        <w:rPr>
          <w:rFonts w:hint="eastAsia" w:ascii="新宋体" w:hAnsi="新宋体" w:eastAsia="新宋体" w:cs="新宋体"/>
          <w:b/>
          <w:color w:val="auto"/>
          <w:sz w:val="22"/>
          <w:szCs w:val="22"/>
          <w:highlight w:val="none"/>
          <w:u w:val="single"/>
        </w:rPr>
        <w:t>元整（¥</w:t>
      </w:r>
      <w:r>
        <w:rPr>
          <w:rFonts w:hint="eastAsia" w:ascii="新宋体" w:hAnsi="新宋体" w:eastAsia="新宋体" w:cs="新宋体"/>
          <w:b/>
          <w:color w:val="auto"/>
          <w:sz w:val="22"/>
          <w:szCs w:val="22"/>
          <w:highlight w:val="none"/>
          <w:u w:val="single"/>
          <w:lang w:val="en-US" w:eastAsia="zh-CN"/>
        </w:rPr>
        <w:t>54</w:t>
      </w:r>
      <w:r>
        <w:rPr>
          <w:rFonts w:hint="eastAsia" w:ascii="新宋体" w:hAnsi="新宋体" w:eastAsia="新宋体" w:cs="新宋体"/>
          <w:b/>
          <w:color w:val="auto"/>
          <w:sz w:val="22"/>
          <w:szCs w:val="22"/>
          <w:highlight w:val="none"/>
          <w:u w:val="single"/>
        </w:rPr>
        <w:t>0.00元），具体采购总额以最终采购数量为准。如投标供应商报价超</w:t>
      </w:r>
      <w:r>
        <w:rPr>
          <w:rFonts w:hint="eastAsia" w:ascii="新宋体" w:hAnsi="新宋体" w:eastAsia="新宋体" w:cs="新宋体"/>
          <w:b/>
          <w:i w:val="0"/>
          <w:iCs w:val="0"/>
          <w:color w:val="auto"/>
          <w:sz w:val="22"/>
          <w:szCs w:val="22"/>
          <w:highlight w:val="none"/>
          <w:u w:val="single"/>
        </w:rPr>
        <w:t>过单套预算的按无效标处理。本项目总采购金额不超过玖拾万元整（¥9</w:t>
      </w:r>
      <w:r>
        <w:rPr>
          <w:rFonts w:hint="eastAsia" w:ascii="新宋体" w:hAnsi="新宋体" w:eastAsia="新宋体" w:cs="新宋体"/>
          <w:b/>
          <w:i w:val="0"/>
          <w:iCs w:val="0"/>
          <w:color w:val="auto"/>
          <w:sz w:val="22"/>
          <w:szCs w:val="22"/>
          <w:highlight w:val="none"/>
          <w:u w:val="single"/>
          <w:lang w:val="en-US" w:eastAsia="zh-CN"/>
        </w:rPr>
        <w:t>0</w:t>
      </w:r>
      <w:r>
        <w:rPr>
          <w:rFonts w:hint="eastAsia" w:ascii="新宋体" w:hAnsi="新宋体" w:eastAsia="新宋体" w:cs="新宋体"/>
          <w:b/>
          <w:i w:val="0"/>
          <w:iCs w:val="0"/>
          <w:color w:val="auto"/>
          <w:sz w:val="22"/>
          <w:szCs w:val="22"/>
          <w:highlight w:val="none"/>
          <w:u w:val="single"/>
        </w:rPr>
        <w:t>0000.00元）。</w:t>
      </w:r>
    </w:p>
    <w:p w14:paraId="26BF8FEC">
      <w:pPr>
        <w:spacing w:line="380" w:lineRule="exact"/>
        <w:ind w:left="303"/>
        <w:rPr>
          <w:rFonts w:hint="eastAsia" w:ascii="宋体" w:hAnsi="宋体" w:cs="宋体"/>
          <w:b/>
          <w:bCs/>
          <w:color w:val="auto"/>
          <w:sz w:val="22"/>
          <w:szCs w:val="22"/>
          <w:highlight w:val="none"/>
        </w:rPr>
      </w:pPr>
    </w:p>
    <w:p w14:paraId="00D6B6AD">
      <w:pPr>
        <w:spacing w:before="240" w:beforeLines="100" w:after="240" w:afterLines="100" w:line="400" w:lineRule="atLeast"/>
        <w:ind w:left="4620" w:leftChars="2200"/>
        <w:rPr>
          <w:rFonts w:hint="eastAsia" w:ascii="宋体" w:hAnsi="宋体"/>
          <w:color w:val="auto"/>
          <w:sz w:val="22"/>
          <w:szCs w:val="22"/>
          <w:highlight w:val="none"/>
        </w:rPr>
      </w:pPr>
    </w:p>
    <w:p w14:paraId="2C3A113F">
      <w:pPr>
        <w:spacing w:before="240" w:beforeLines="100" w:after="240" w:afterLines="100" w:line="400" w:lineRule="atLeast"/>
        <w:ind w:left="4620" w:leftChars="2200" w:firstLine="220" w:firstLineChars="100"/>
        <w:rPr>
          <w:rFonts w:ascii="宋体" w:hAnsi="宋体"/>
          <w:color w:val="auto"/>
          <w:sz w:val="22"/>
          <w:szCs w:val="22"/>
          <w:highlight w:val="none"/>
        </w:rPr>
      </w:pPr>
      <w:r>
        <w:rPr>
          <w:rFonts w:hint="eastAsia" w:ascii="宋体" w:hAnsi="宋体"/>
          <w:color w:val="auto"/>
          <w:sz w:val="22"/>
          <w:szCs w:val="22"/>
          <w:highlight w:val="none"/>
        </w:rPr>
        <w:t>供应商全称（盖章）：</w:t>
      </w:r>
    </w:p>
    <w:p w14:paraId="2956DF2A">
      <w:pPr>
        <w:spacing w:before="240" w:beforeLines="100" w:after="240" w:afterLines="100" w:line="400" w:lineRule="atLeast"/>
        <w:ind w:firstLine="4840" w:firstLineChars="2200"/>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14:paraId="6B6907F6">
      <w:pPr>
        <w:spacing w:before="240" w:beforeLines="100" w:after="240" w:afterLines="100" w:line="400" w:lineRule="atLeast"/>
        <w:ind w:left="4620" w:leftChars="2200" w:firstLine="220" w:firstLineChars="100"/>
        <w:rPr>
          <w:rFonts w:hint="eastAsia" w:ascii="宋体" w:hAnsi="宋体"/>
          <w:color w:val="auto"/>
          <w:sz w:val="22"/>
          <w:szCs w:val="22"/>
          <w:highlight w:val="none"/>
        </w:rPr>
      </w:pPr>
      <w:r>
        <w:rPr>
          <w:rFonts w:hint="eastAsia" w:ascii="宋体" w:hAnsi="宋体"/>
          <w:color w:val="auto"/>
          <w:sz w:val="22"/>
          <w:szCs w:val="22"/>
          <w:highlight w:val="none"/>
        </w:rPr>
        <w:t>日期：    年   月    日</w:t>
      </w:r>
    </w:p>
    <w:p w14:paraId="6AD778E6">
      <w:pPr>
        <w:spacing w:line="360" w:lineRule="auto"/>
        <w:jc w:val="center"/>
        <w:outlineLvl w:val="1"/>
        <w:rPr>
          <w:rFonts w:hint="eastAsia" w:ascii="宋体" w:hAnsi="宋体" w:cs="宋体"/>
          <w:color w:val="auto"/>
          <w:spacing w:val="20"/>
          <w:szCs w:val="21"/>
          <w:highlight w:val="none"/>
        </w:rPr>
      </w:pPr>
      <w:r>
        <w:rPr>
          <w:rFonts w:hint="eastAsia" w:ascii="宋体" w:hAnsi="宋体"/>
          <w:color w:val="auto"/>
          <w:szCs w:val="21"/>
          <w:highlight w:val="none"/>
        </w:rPr>
        <w:br w:type="page"/>
      </w:r>
      <w:r>
        <w:rPr>
          <w:rFonts w:hint="eastAsia" w:ascii="黑体" w:hAnsi="黑体" w:eastAsia="黑体" w:cs="黑体"/>
          <w:b/>
          <w:bCs/>
          <w:color w:val="auto"/>
          <w:sz w:val="24"/>
          <w:highlight w:val="none"/>
        </w:rPr>
        <w:t>附件</w:t>
      </w:r>
      <w:r>
        <w:rPr>
          <w:rFonts w:hint="eastAsia" w:ascii="黑体" w:hAnsi="黑体" w:eastAsia="黑体" w:cs="黑体"/>
          <w:b/>
          <w:bCs/>
          <w:color w:val="auto"/>
          <w:sz w:val="24"/>
          <w:highlight w:val="none"/>
          <w:lang w:val="en-US" w:eastAsia="zh-CN"/>
        </w:rPr>
        <w:t>九</w:t>
      </w:r>
      <w:r>
        <w:rPr>
          <w:rFonts w:hint="eastAsia" w:ascii="黑体" w:hAnsi="黑体" w:eastAsia="黑体" w:cs="黑体"/>
          <w:b/>
          <w:bCs/>
          <w:color w:val="auto"/>
          <w:sz w:val="24"/>
          <w:highlight w:val="none"/>
        </w:rPr>
        <w:t xml:space="preserve">  报价明细表</w:t>
      </w:r>
    </w:p>
    <w:p w14:paraId="20F83D58">
      <w:pPr>
        <w:spacing w:line="360" w:lineRule="auto"/>
        <w:jc w:val="center"/>
        <w:rPr>
          <w:rFonts w:hint="eastAsia" w:ascii="宋体" w:hAnsi="宋体" w:cs="宋体"/>
          <w:color w:val="auto"/>
          <w:sz w:val="22"/>
          <w:szCs w:val="22"/>
          <w:highlight w:val="none"/>
        </w:rPr>
      </w:pPr>
    </w:p>
    <w:p w14:paraId="2AE3E42A">
      <w:pPr>
        <w:spacing w:line="380" w:lineRule="exact"/>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 xml:space="preserve">项目名称： </w:t>
      </w:r>
      <w:r>
        <w:rPr>
          <w:rFonts w:hint="eastAsia" w:ascii="新宋体" w:hAnsi="新宋体" w:eastAsia="新宋体"/>
          <w:color w:val="auto"/>
          <w:sz w:val="22"/>
          <w:szCs w:val="22"/>
          <w:highlight w:val="none"/>
        </w:rPr>
        <w:t xml:space="preserve">                                                </w:t>
      </w:r>
      <w:r>
        <w:rPr>
          <w:rFonts w:hint="eastAsia" w:ascii="新宋体" w:hAnsi="新宋体" w:eastAsia="新宋体"/>
          <w:b/>
          <w:bCs/>
          <w:color w:val="auto"/>
          <w:sz w:val="22"/>
          <w:szCs w:val="22"/>
          <w:highlight w:val="none"/>
        </w:rPr>
        <w:t>项目编号：</w:t>
      </w:r>
    </w:p>
    <w:tbl>
      <w:tblPr>
        <w:tblStyle w:val="40"/>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704"/>
        <w:gridCol w:w="1565"/>
        <w:gridCol w:w="1388"/>
        <w:gridCol w:w="1181"/>
        <w:gridCol w:w="1055"/>
        <w:gridCol w:w="1323"/>
        <w:gridCol w:w="952"/>
      </w:tblGrid>
      <w:tr w14:paraId="145E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669" w:type="dxa"/>
            <w:tcBorders>
              <w:top w:val="single" w:color="auto" w:sz="12" w:space="0"/>
              <w:left w:val="single" w:color="auto" w:sz="12" w:space="0"/>
              <w:bottom w:val="single" w:color="auto" w:sz="12" w:space="0"/>
            </w:tcBorders>
            <w:noWrap w:val="0"/>
            <w:vAlign w:val="center"/>
          </w:tcPr>
          <w:p w14:paraId="09439D82">
            <w:pPr>
              <w:ind w:right="-11"/>
              <w:jc w:val="center"/>
              <w:rPr>
                <w:rFonts w:hint="eastAsia" w:ascii="Arial" w:hAnsi="Arial" w:cs="Arial"/>
                <w:b/>
                <w:bCs/>
                <w:color w:val="auto"/>
                <w:sz w:val="22"/>
                <w:szCs w:val="22"/>
                <w:highlight w:val="none"/>
              </w:rPr>
            </w:pPr>
            <w:r>
              <w:rPr>
                <w:rFonts w:hint="eastAsia" w:ascii="Arial" w:hAnsi="Arial" w:cs="Arial"/>
                <w:b/>
                <w:bCs/>
                <w:color w:val="auto"/>
                <w:sz w:val="22"/>
                <w:szCs w:val="22"/>
                <w:highlight w:val="none"/>
              </w:rPr>
              <w:t>项目</w:t>
            </w:r>
          </w:p>
        </w:tc>
        <w:tc>
          <w:tcPr>
            <w:tcW w:w="1704" w:type="dxa"/>
            <w:tcBorders>
              <w:top w:val="single" w:color="auto" w:sz="12" w:space="0"/>
              <w:bottom w:val="single" w:color="auto" w:sz="12" w:space="0"/>
            </w:tcBorders>
            <w:noWrap w:val="0"/>
            <w:vAlign w:val="center"/>
          </w:tcPr>
          <w:p w14:paraId="1ECD69CA">
            <w:pPr>
              <w:ind w:right="-11"/>
              <w:jc w:val="center"/>
              <w:rPr>
                <w:rFonts w:hint="eastAsia" w:ascii="Arial" w:hAnsi="Arial" w:cs="Arial"/>
                <w:b/>
                <w:bCs/>
                <w:color w:val="auto"/>
                <w:sz w:val="22"/>
                <w:szCs w:val="22"/>
                <w:highlight w:val="none"/>
              </w:rPr>
            </w:pPr>
            <w:r>
              <w:rPr>
                <w:rFonts w:hint="eastAsia" w:ascii="新宋体" w:hAnsi="新宋体" w:eastAsia="新宋体"/>
                <w:b/>
                <w:bCs/>
                <w:color w:val="auto"/>
                <w:sz w:val="22"/>
                <w:szCs w:val="22"/>
                <w:highlight w:val="none"/>
              </w:rPr>
              <w:t>项目内容</w:t>
            </w:r>
            <w:r>
              <w:rPr>
                <w:rFonts w:hint="eastAsia" w:ascii="新宋体" w:hAnsi="新宋体" w:eastAsia="新宋体"/>
                <w:b/>
                <w:color w:val="auto"/>
                <w:sz w:val="22"/>
                <w:szCs w:val="22"/>
                <w:highlight w:val="none"/>
                <w:u w:val="single"/>
              </w:rPr>
              <w:t>（</w:t>
            </w:r>
            <w:r>
              <w:rPr>
                <w:rFonts w:hint="eastAsia" w:ascii="新宋体" w:hAnsi="新宋体" w:eastAsia="新宋体"/>
                <w:b/>
                <w:bCs/>
                <w:color w:val="auto"/>
                <w:sz w:val="22"/>
                <w:szCs w:val="22"/>
                <w:highlight w:val="none"/>
                <w:u w:val="single"/>
              </w:rPr>
              <w:t>按采购清单逐项列出</w:t>
            </w:r>
            <w:r>
              <w:rPr>
                <w:rFonts w:hint="eastAsia" w:ascii="新宋体" w:hAnsi="新宋体" w:eastAsia="新宋体"/>
                <w:b/>
                <w:color w:val="auto"/>
                <w:sz w:val="22"/>
                <w:szCs w:val="22"/>
                <w:highlight w:val="none"/>
                <w:u w:val="single"/>
              </w:rPr>
              <w:t>）</w:t>
            </w:r>
          </w:p>
        </w:tc>
        <w:tc>
          <w:tcPr>
            <w:tcW w:w="1565" w:type="dxa"/>
            <w:tcBorders>
              <w:top w:val="single" w:color="auto" w:sz="12" w:space="0"/>
              <w:bottom w:val="single" w:color="auto" w:sz="12" w:space="0"/>
            </w:tcBorders>
            <w:noWrap w:val="0"/>
            <w:vAlign w:val="center"/>
          </w:tcPr>
          <w:p w14:paraId="678A065C">
            <w:pPr>
              <w:ind w:right="-11"/>
              <w:jc w:val="center"/>
              <w:rPr>
                <w:rFonts w:hint="eastAsia" w:ascii="Arial" w:hAnsi="Arial" w:cs="Arial"/>
                <w:b/>
                <w:bCs/>
                <w:color w:val="auto"/>
                <w:sz w:val="22"/>
                <w:szCs w:val="22"/>
                <w:highlight w:val="none"/>
              </w:rPr>
            </w:pPr>
            <w:r>
              <w:rPr>
                <w:rFonts w:hint="eastAsia" w:ascii="Arial" w:hAnsi="Arial" w:cs="Arial"/>
                <w:b/>
                <w:bCs/>
                <w:color w:val="auto"/>
                <w:sz w:val="22"/>
                <w:szCs w:val="22"/>
                <w:highlight w:val="none"/>
              </w:rPr>
              <w:t>型号、规格</w:t>
            </w:r>
          </w:p>
        </w:tc>
        <w:tc>
          <w:tcPr>
            <w:tcW w:w="1388" w:type="dxa"/>
            <w:tcBorders>
              <w:top w:val="single" w:color="auto" w:sz="12" w:space="0"/>
              <w:bottom w:val="single" w:color="auto" w:sz="12" w:space="0"/>
            </w:tcBorders>
            <w:noWrap w:val="0"/>
            <w:vAlign w:val="center"/>
          </w:tcPr>
          <w:p w14:paraId="694B1C97">
            <w:pPr>
              <w:spacing w:line="380" w:lineRule="exact"/>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数量</w:t>
            </w:r>
          </w:p>
        </w:tc>
        <w:tc>
          <w:tcPr>
            <w:tcW w:w="1181" w:type="dxa"/>
            <w:tcBorders>
              <w:top w:val="single" w:color="auto" w:sz="12" w:space="0"/>
              <w:bottom w:val="single" w:color="auto" w:sz="12" w:space="0"/>
            </w:tcBorders>
            <w:noWrap w:val="0"/>
            <w:vAlign w:val="center"/>
          </w:tcPr>
          <w:p w14:paraId="6BFF0B38">
            <w:pPr>
              <w:spacing w:line="380" w:lineRule="exact"/>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产地</w:t>
            </w:r>
          </w:p>
        </w:tc>
        <w:tc>
          <w:tcPr>
            <w:tcW w:w="1055" w:type="dxa"/>
            <w:tcBorders>
              <w:top w:val="single" w:color="auto" w:sz="12" w:space="0"/>
              <w:bottom w:val="single" w:color="auto" w:sz="12" w:space="0"/>
            </w:tcBorders>
            <w:noWrap w:val="0"/>
            <w:vAlign w:val="center"/>
          </w:tcPr>
          <w:p w14:paraId="19A5F05C">
            <w:pPr>
              <w:spacing w:line="380" w:lineRule="exact"/>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单价</w:t>
            </w:r>
          </w:p>
        </w:tc>
        <w:tc>
          <w:tcPr>
            <w:tcW w:w="1323" w:type="dxa"/>
            <w:tcBorders>
              <w:top w:val="single" w:color="auto" w:sz="12" w:space="0"/>
              <w:bottom w:val="single" w:color="auto" w:sz="12" w:space="0"/>
            </w:tcBorders>
            <w:noWrap w:val="0"/>
            <w:vAlign w:val="center"/>
          </w:tcPr>
          <w:p w14:paraId="4986778B">
            <w:pPr>
              <w:spacing w:line="380" w:lineRule="exact"/>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合价</w:t>
            </w:r>
          </w:p>
        </w:tc>
        <w:tc>
          <w:tcPr>
            <w:tcW w:w="952" w:type="dxa"/>
            <w:tcBorders>
              <w:top w:val="single" w:color="auto" w:sz="12" w:space="0"/>
              <w:bottom w:val="single" w:color="auto" w:sz="12" w:space="0"/>
              <w:right w:val="single" w:color="auto" w:sz="12" w:space="0"/>
            </w:tcBorders>
            <w:noWrap w:val="0"/>
            <w:vAlign w:val="center"/>
          </w:tcPr>
          <w:p w14:paraId="60393287">
            <w:pPr>
              <w:spacing w:line="380" w:lineRule="exact"/>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备注</w:t>
            </w:r>
          </w:p>
        </w:tc>
      </w:tr>
      <w:tr w14:paraId="4230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69" w:type="dxa"/>
            <w:tcBorders>
              <w:left w:val="single" w:color="auto" w:sz="12" w:space="0"/>
            </w:tcBorders>
            <w:noWrap w:val="0"/>
            <w:vAlign w:val="center"/>
          </w:tcPr>
          <w:p w14:paraId="62CC27FA">
            <w:pPr>
              <w:spacing w:line="36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704" w:type="dxa"/>
            <w:noWrap w:val="0"/>
            <w:vAlign w:val="center"/>
          </w:tcPr>
          <w:p w14:paraId="4F568CC0">
            <w:pPr>
              <w:jc w:val="center"/>
              <w:rPr>
                <w:rFonts w:hint="eastAsia" w:ascii="Arial" w:hAnsi="Arial" w:cs="Arial"/>
                <w:color w:val="auto"/>
                <w:sz w:val="22"/>
                <w:szCs w:val="22"/>
                <w:highlight w:val="none"/>
              </w:rPr>
            </w:pPr>
            <w:r>
              <w:rPr>
                <w:rFonts w:hint="eastAsia" w:ascii="宋体" w:hAnsi="宋体" w:cs="宋体"/>
                <w:b w:val="0"/>
                <w:bCs/>
                <w:color w:val="auto"/>
                <w:sz w:val="22"/>
                <w:szCs w:val="22"/>
                <w:highlight w:val="none"/>
                <w:u w:val="none"/>
              </w:rPr>
              <w:t>肉松</w:t>
            </w:r>
          </w:p>
        </w:tc>
        <w:tc>
          <w:tcPr>
            <w:tcW w:w="1565" w:type="dxa"/>
            <w:noWrap w:val="0"/>
            <w:vAlign w:val="center"/>
          </w:tcPr>
          <w:p w14:paraId="438741BC">
            <w:pPr>
              <w:jc w:val="center"/>
              <w:rPr>
                <w:rFonts w:ascii="Arial" w:hAnsi="Arial" w:cs="Arial"/>
                <w:color w:val="auto"/>
                <w:sz w:val="22"/>
                <w:szCs w:val="22"/>
                <w:highlight w:val="none"/>
              </w:rPr>
            </w:pPr>
          </w:p>
        </w:tc>
        <w:tc>
          <w:tcPr>
            <w:tcW w:w="1388" w:type="dxa"/>
            <w:noWrap w:val="0"/>
            <w:vAlign w:val="center"/>
          </w:tcPr>
          <w:p w14:paraId="33599EED">
            <w:pPr>
              <w:spacing w:line="360" w:lineRule="auto"/>
              <w:jc w:val="center"/>
              <w:textAlignment w:val="center"/>
              <w:rPr>
                <w:rFonts w:ascii="Arial" w:hAnsi="Arial" w:cs="Arial"/>
                <w:color w:val="auto"/>
                <w:sz w:val="22"/>
                <w:szCs w:val="22"/>
                <w:highlight w:val="none"/>
              </w:rPr>
            </w:pPr>
            <w:r>
              <w:rPr>
                <w:rFonts w:hint="eastAsia" w:ascii="宋体" w:hAnsi="宋体" w:cs="宋体"/>
                <w:color w:val="auto"/>
                <w:sz w:val="22"/>
                <w:szCs w:val="22"/>
                <w:highlight w:val="none"/>
              </w:rPr>
              <w:t>1份</w:t>
            </w:r>
          </w:p>
        </w:tc>
        <w:tc>
          <w:tcPr>
            <w:tcW w:w="1181" w:type="dxa"/>
            <w:noWrap w:val="0"/>
            <w:vAlign w:val="center"/>
          </w:tcPr>
          <w:p w14:paraId="2353B46F">
            <w:pPr>
              <w:jc w:val="center"/>
              <w:rPr>
                <w:rFonts w:ascii="Arial" w:hAnsi="Arial" w:cs="Arial"/>
                <w:color w:val="auto"/>
                <w:sz w:val="22"/>
                <w:szCs w:val="22"/>
                <w:highlight w:val="none"/>
              </w:rPr>
            </w:pPr>
          </w:p>
        </w:tc>
        <w:tc>
          <w:tcPr>
            <w:tcW w:w="1055" w:type="dxa"/>
            <w:noWrap w:val="0"/>
            <w:vAlign w:val="center"/>
          </w:tcPr>
          <w:p w14:paraId="7B2F5366">
            <w:pPr>
              <w:ind w:right="-11"/>
              <w:jc w:val="center"/>
              <w:rPr>
                <w:rFonts w:hint="eastAsia" w:ascii="Arial" w:hAnsi="Arial" w:cs="Arial"/>
                <w:color w:val="auto"/>
                <w:sz w:val="22"/>
                <w:szCs w:val="22"/>
                <w:highlight w:val="none"/>
              </w:rPr>
            </w:pPr>
          </w:p>
        </w:tc>
        <w:tc>
          <w:tcPr>
            <w:tcW w:w="1323" w:type="dxa"/>
            <w:noWrap w:val="0"/>
            <w:vAlign w:val="center"/>
          </w:tcPr>
          <w:p w14:paraId="1DFA6425">
            <w:pPr>
              <w:ind w:right="-11"/>
              <w:jc w:val="center"/>
              <w:rPr>
                <w:rFonts w:hint="eastAsia" w:ascii="Arial" w:hAnsi="Arial" w:cs="Arial"/>
                <w:color w:val="auto"/>
                <w:sz w:val="22"/>
                <w:szCs w:val="22"/>
                <w:highlight w:val="none"/>
              </w:rPr>
            </w:pPr>
          </w:p>
        </w:tc>
        <w:tc>
          <w:tcPr>
            <w:tcW w:w="952" w:type="dxa"/>
            <w:tcBorders>
              <w:right w:val="single" w:color="auto" w:sz="12" w:space="0"/>
            </w:tcBorders>
            <w:noWrap w:val="0"/>
            <w:vAlign w:val="center"/>
          </w:tcPr>
          <w:p w14:paraId="0A6695D3">
            <w:pPr>
              <w:ind w:right="-11"/>
              <w:jc w:val="center"/>
              <w:rPr>
                <w:rFonts w:hint="eastAsia" w:ascii="Arial" w:hAnsi="Arial" w:cs="Arial"/>
                <w:color w:val="auto"/>
                <w:sz w:val="22"/>
                <w:szCs w:val="22"/>
                <w:highlight w:val="none"/>
              </w:rPr>
            </w:pPr>
          </w:p>
        </w:tc>
      </w:tr>
      <w:tr w14:paraId="0502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69" w:type="dxa"/>
            <w:tcBorders>
              <w:left w:val="single" w:color="auto" w:sz="12" w:space="0"/>
            </w:tcBorders>
            <w:noWrap w:val="0"/>
            <w:vAlign w:val="center"/>
          </w:tcPr>
          <w:p w14:paraId="22C7FE5C">
            <w:pPr>
              <w:spacing w:line="36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704" w:type="dxa"/>
            <w:noWrap w:val="0"/>
            <w:vAlign w:val="center"/>
          </w:tcPr>
          <w:p w14:paraId="68AE180D">
            <w:pPr>
              <w:jc w:val="center"/>
              <w:rPr>
                <w:rFonts w:hint="eastAsia" w:ascii="Arial" w:hAnsi="Arial" w:cs="Arial"/>
                <w:color w:val="auto"/>
                <w:sz w:val="22"/>
                <w:szCs w:val="22"/>
                <w:highlight w:val="none"/>
              </w:rPr>
            </w:pPr>
            <w:r>
              <w:rPr>
                <w:rFonts w:hint="eastAsia" w:ascii="宋体" w:hAnsi="宋体" w:cs="宋体"/>
                <w:b w:val="0"/>
                <w:bCs/>
                <w:color w:val="auto"/>
                <w:sz w:val="22"/>
                <w:szCs w:val="22"/>
                <w:highlight w:val="none"/>
                <w:u w:val="none"/>
              </w:rPr>
              <w:t>红枣</w:t>
            </w:r>
          </w:p>
        </w:tc>
        <w:tc>
          <w:tcPr>
            <w:tcW w:w="1565" w:type="dxa"/>
            <w:noWrap w:val="0"/>
            <w:vAlign w:val="center"/>
          </w:tcPr>
          <w:p w14:paraId="23E2AED3">
            <w:pPr>
              <w:jc w:val="center"/>
              <w:rPr>
                <w:rFonts w:ascii="Arial" w:hAnsi="Arial" w:cs="Arial"/>
                <w:color w:val="auto"/>
                <w:sz w:val="22"/>
                <w:szCs w:val="22"/>
                <w:highlight w:val="none"/>
              </w:rPr>
            </w:pPr>
          </w:p>
        </w:tc>
        <w:tc>
          <w:tcPr>
            <w:tcW w:w="1388" w:type="dxa"/>
            <w:noWrap w:val="0"/>
            <w:vAlign w:val="center"/>
          </w:tcPr>
          <w:p w14:paraId="00D6D760">
            <w:pPr>
              <w:spacing w:line="360" w:lineRule="auto"/>
              <w:jc w:val="center"/>
              <w:textAlignment w:val="center"/>
              <w:rPr>
                <w:rFonts w:ascii="Arial" w:hAnsi="Arial" w:cs="Arial"/>
                <w:color w:val="auto"/>
                <w:sz w:val="22"/>
                <w:szCs w:val="22"/>
                <w:highlight w:val="none"/>
              </w:rPr>
            </w:pPr>
            <w:r>
              <w:rPr>
                <w:rFonts w:hint="eastAsia" w:ascii="宋体" w:hAnsi="宋体" w:cs="宋体"/>
                <w:color w:val="auto"/>
                <w:sz w:val="22"/>
                <w:szCs w:val="22"/>
                <w:highlight w:val="none"/>
              </w:rPr>
              <w:t>1份</w:t>
            </w:r>
          </w:p>
        </w:tc>
        <w:tc>
          <w:tcPr>
            <w:tcW w:w="1181" w:type="dxa"/>
            <w:noWrap w:val="0"/>
            <w:vAlign w:val="center"/>
          </w:tcPr>
          <w:p w14:paraId="4FCC17F1">
            <w:pPr>
              <w:jc w:val="center"/>
              <w:rPr>
                <w:rFonts w:ascii="Arial" w:hAnsi="Arial" w:cs="Arial"/>
                <w:color w:val="auto"/>
                <w:sz w:val="22"/>
                <w:szCs w:val="22"/>
                <w:highlight w:val="none"/>
              </w:rPr>
            </w:pPr>
          </w:p>
        </w:tc>
        <w:tc>
          <w:tcPr>
            <w:tcW w:w="1055" w:type="dxa"/>
            <w:noWrap w:val="0"/>
            <w:vAlign w:val="center"/>
          </w:tcPr>
          <w:p w14:paraId="6D825558">
            <w:pPr>
              <w:ind w:right="-11"/>
              <w:jc w:val="center"/>
              <w:rPr>
                <w:rFonts w:hint="eastAsia" w:ascii="Arial" w:hAnsi="Arial" w:cs="Arial"/>
                <w:color w:val="auto"/>
                <w:sz w:val="22"/>
                <w:szCs w:val="22"/>
                <w:highlight w:val="none"/>
              </w:rPr>
            </w:pPr>
          </w:p>
        </w:tc>
        <w:tc>
          <w:tcPr>
            <w:tcW w:w="1323" w:type="dxa"/>
            <w:noWrap w:val="0"/>
            <w:vAlign w:val="center"/>
          </w:tcPr>
          <w:p w14:paraId="02A5B3D2">
            <w:pPr>
              <w:ind w:right="-11"/>
              <w:jc w:val="center"/>
              <w:rPr>
                <w:rFonts w:hint="eastAsia" w:ascii="Arial" w:hAnsi="Arial" w:cs="Arial"/>
                <w:color w:val="auto"/>
                <w:sz w:val="22"/>
                <w:szCs w:val="22"/>
                <w:highlight w:val="none"/>
              </w:rPr>
            </w:pPr>
          </w:p>
        </w:tc>
        <w:tc>
          <w:tcPr>
            <w:tcW w:w="952" w:type="dxa"/>
            <w:tcBorders>
              <w:right w:val="single" w:color="auto" w:sz="12" w:space="0"/>
            </w:tcBorders>
            <w:noWrap w:val="0"/>
            <w:vAlign w:val="center"/>
          </w:tcPr>
          <w:p w14:paraId="2A7ABF39">
            <w:pPr>
              <w:ind w:right="-11"/>
              <w:jc w:val="center"/>
              <w:rPr>
                <w:rFonts w:hint="eastAsia" w:ascii="Arial" w:hAnsi="Arial" w:cs="Arial"/>
                <w:color w:val="auto"/>
                <w:sz w:val="22"/>
                <w:szCs w:val="22"/>
                <w:highlight w:val="none"/>
              </w:rPr>
            </w:pPr>
          </w:p>
        </w:tc>
      </w:tr>
      <w:tr w14:paraId="445A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69" w:type="dxa"/>
            <w:tcBorders>
              <w:left w:val="single" w:color="auto" w:sz="12" w:space="0"/>
            </w:tcBorders>
            <w:noWrap w:val="0"/>
            <w:vAlign w:val="center"/>
          </w:tcPr>
          <w:p w14:paraId="572790F7">
            <w:pPr>
              <w:spacing w:line="36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704" w:type="dxa"/>
            <w:noWrap w:val="0"/>
            <w:vAlign w:val="center"/>
          </w:tcPr>
          <w:p w14:paraId="55A0277D">
            <w:pPr>
              <w:jc w:val="center"/>
              <w:rPr>
                <w:rFonts w:hint="eastAsia" w:ascii="Arial" w:hAnsi="Arial" w:cs="Arial"/>
                <w:color w:val="auto"/>
                <w:sz w:val="22"/>
                <w:szCs w:val="22"/>
                <w:highlight w:val="none"/>
              </w:rPr>
            </w:pPr>
            <w:r>
              <w:rPr>
                <w:rFonts w:hint="eastAsia" w:ascii="宋体" w:hAnsi="宋体" w:cs="宋体"/>
                <w:b w:val="0"/>
                <w:bCs/>
                <w:color w:val="auto"/>
                <w:sz w:val="22"/>
                <w:szCs w:val="22"/>
                <w:highlight w:val="none"/>
                <w:u w:val="none"/>
              </w:rPr>
              <w:t>牛肉片</w:t>
            </w:r>
          </w:p>
        </w:tc>
        <w:tc>
          <w:tcPr>
            <w:tcW w:w="1565" w:type="dxa"/>
            <w:noWrap w:val="0"/>
            <w:vAlign w:val="center"/>
          </w:tcPr>
          <w:p w14:paraId="160969AF">
            <w:pPr>
              <w:jc w:val="center"/>
              <w:rPr>
                <w:rFonts w:ascii="Arial" w:hAnsi="Arial" w:cs="Arial"/>
                <w:color w:val="auto"/>
                <w:sz w:val="22"/>
                <w:szCs w:val="22"/>
                <w:highlight w:val="none"/>
              </w:rPr>
            </w:pPr>
          </w:p>
        </w:tc>
        <w:tc>
          <w:tcPr>
            <w:tcW w:w="1388" w:type="dxa"/>
            <w:noWrap w:val="0"/>
            <w:vAlign w:val="center"/>
          </w:tcPr>
          <w:p w14:paraId="1537B00F">
            <w:pPr>
              <w:spacing w:line="360" w:lineRule="auto"/>
              <w:jc w:val="center"/>
              <w:textAlignment w:val="center"/>
              <w:rPr>
                <w:rFonts w:ascii="Arial" w:hAnsi="Arial" w:cs="Arial"/>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份</w:t>
            </w:r>
          </w:p>
        </w:tc>
        <w:tc>
          <w:tcPr>
            <w:tcW w:w="1181" w:type="dxa"/>
            <w:noWrap w:val="0"/>
            <w:vAlign w:val="center"/>
          </w:tcPr>
          <w:p w14:paraId="4A3FF5D5">
            <w:pPr>
              <w:jc w:val="center"/>
              <w:rPr>
                <w:rFonts w:ascii="Arial" w:hAnsi="Arial" w:cs="Arial"/>
                <w:color w:val="auto"/>
                <w:sz w:val="22"/>
                <w:szCs w:val="22"/>
                <w:highlight w:val="none"/>
              </w:rPr>
            </w:pPr>
          </w:p>
        </w:tc>
        <w:tc>
          <w:tcPr>
            <w:tcW w:w="1055" w:type="dxa"/>
            <w:noWrap w:val="0"/>
            <w:vAlign w:val="center"/>
          </w:tcPr>
          <w:p w14:paraId="2ED12D06">
            <w:pPr>
              <w:ind w:right="-11"/>
              <w:jc w:val="center"/>
              <w:rPr>
                <w:rFonts w:hint="eastAsia" w:ascii="Arial" w:hAnsi="Arial" w:cs="Arial"/>
                <w:color w:val="auto"/>
                <w:sz w:val="22"/>
                <w:szCs w:val="22"/>
                <w:highlight w:val="none"/>
              </w:rPr>
            </w:pPr>
          </w:p>
        </w:tc>
        <w:tc>
          <w:tcPr>
            <w:tcW w:w="1323" w:type="dxa"/>
            <w:noWrap w:val="0"/>
            <w:vAlign w:val="center"/>
          </w:tcPr>
          <w:p w14:paraId="56CE63CC">
            <w:pPr>
              <w:ind w:right="-11"/>
              <w:jc w:val="center"/>
              <w:rPr>
                <w:rFonts w:hint="eastAsia" w:ascii="Arial" w:hAnsi="Arial" w:cs="Arial"/>
                <w:color w:val="auto"/>
                <w:sz w:val="22"/>
                <w:szCs w:val="22"/>
                <w:highlight w:val="none"/>
              </w:rPr>
            </w:pPr>
          </w:p>
        </w:tc>
        <w:tc>
          <w:tcPr>
            <w:tcW w:w="952" w:type="dxa"/>
            <w:tcBorders>
              <w:right w:val="single" w:color="auto" w:sz="12" w:space="0"/>
            </w:tcBorders>
            <w:noWrap w:val="0"/>
            <w:vAlign w:val="center"/>
          </w:tcPr>
          <w:p w14:paraId="5B94E02E">
            <w:pPr>
              <w:ind w:right="-11"/>
              <w:jc w:val="center"/>
              <w:rPr>
                <w:rFonts w:hint="eastAsia" w:ascii="Arial" w:hAnsi="Arial" w:cs="Arial"/>
                <w:color w:val="auto"/>
                <w:sz w:val="22"/>
                <w:szCs w:val="22"/>
                <w:highlight w:val="none"/>
              </w:rPr>
            </w:pPr>
          </w:p>
        </w:tc>
      </w:tr>
      <w:tr w14:paraId="08ED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69" w:type="dxa"/>
            <w:tcBorders>
              <w:left w:val="single" w:color="auto" w:sz="12" w:space="0"/>
            </w:tcBorders>
            <w:noWrap w:val="0"/>
            <w:vAlign w:val="center"/>
          </w:tcPr>
          <w:p w14:paraId="443565EA">
            <w:pPr>
              <w:spacing w:line="360" w:lineRule="auto"/>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704" w:type="dxa"/>
            <w:noWrap w:val="0"/>
            <w:vAlign w:val="center"/>
          </w:tcPr>
          <w:p w14:paraId="75001889">
            <w:pPr>
              <w:jc w:val="center"/>
              <w:rPr>
                <w:rFonts w:hint="eastAsia" w:ascii="Arial" w:hAnsi="Arial" w:cs="Arial"/>
                <w:color w:val="auto"/>
                <w:sz w:val="22"/>
                <w:szCs w:val="22"/>
                <w:highlight w:val="none"/>
              </w:rPr>
            </w:pPr>
            <w:r>
              <w:rPr>
                <w:rFonts w:hint="eastAsia" w:ascii="宋体" w:hAnsi="宋体" w:cs="宋体"/>
                <w:b w:val="0"/>
                <w:bCs/>
                <w:color w:val="auto"/>
                <w:sz w:val="22"/>
                <w:szCs w:val="22"/>
                <w:highlight w:val="none"/>
                <w:u w:val="none"/>
                <w:lang w:val="en-US" w:eastAsia="zh-CN"/>
              </w:rPr>
              <w:t>鸭舌</w:t>
            </w:r>
          </w:p>
        </w:tc>
        <w:tc>
          <w:tcPr>
            <w:tcW w:w="1565" w:type="dxa"/>
            <w:noWrap w:val="0"/>
            <w:vAlign w:val="center"/>
          </w:tcPr>
          <w:p w14:paraId="018F5E5C">
            <w:pPr>
              <w:jc w:val="center"/>
              <w:rPr>
                <w:rFonts w:ascii="Arial" w:hAnsi="Arial" w:cs="Arial"/>
                <w:color w:val="auto"/>
                <w:sz w:val="22"/>
                <w:szCs w:val="22"/>
                <w:highlight w:val="none"/>
              </w:rPr>
            </w:pPr>
          </w:p>
        </w:tc>
        <w:tc>
          <w:tcPr>
            <w:tcW w:w="1388" w:type="dxa"/>
            <w:noWrap w:val="0"/>
            <w:vAlign w:val="center"/>
          </w:tcPr>
          <w:p w14:paraId="03E6A314">
            <w:pPr>
              <w:spacing w:line="360" w:lineRule="auto"/>
              <w:jc w:val="center"/>
              <w:textAlignment w:val="center"/>
              <w:rPr>
                <w:rFonts w:ascii="Arial" w:hAnsi="Arial" w:cs="Arial"/>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份</w:t>
            </w:r>
          </w:p>
        </w:tc>
        <w:tc>
          <w:tcPr>
            <w:tcW w:w="1181" w:type="dxa"/>
            <w:noWrap w:val="0"/>
            <w:vAlign w:val="center"/>
          </w:tcPr>
          <w:p w14:paraId="5EDF8FCE">
            <w:pPr>
              <w:rPr>
                <w:rFonts w:ascii="Arial" w:hAnsi="Arial" w:cs="Arial"/>
                <w:color w:val="auto"/>
                <w:sz w:val="22"/>
                <w:szCs w:val="22"/>
                <w:highlight w:val="none"/>
              </w:rPr>
            </w:pPr>
          </w:p>
        </w:tc>
        <w:tc>
          <w:tcPr>
            <w:tcW w:w="1055" w:type="dxa"/>
            <w:noWrap w:val="0"/>
            <w:vAlign w:val="center"/>
          </w:tcPr>
          <w:p w14:paraId="11131117">
            <w:pPr>
              <w:ind w:right="-11"/>
              <w:jc w:val="center"/>
              <w:rPr>
                <w:rFonts w:hint="eastAsia" w:ascii="Arial" w:hAnsi="Arial" w:cs="Arial"/>
                <w:color w:val="auto"/>
                <w:sz w:val="22"/>
                <w:szCs w:val="22"/>
                <w:highlight w:val="none"/>
              </w:rPr>
            </w:pPr>
          </w:p>
        </w:tc>
        <w:tc>
          <w:tcPr>
            <w:tcW w:w="1323" w:type="dxa"/>
            <w:noWrap w:val="0"/>
            <w:vAlign w:val="center"/>
          </w:tcPr>
          <w:p w14:paraId="45D4118E">
            <w:pPr>
              <w:ind w:right="-11"/>
              <w:jc w:val="center"/>
              <w:rPr>
                <w:rFonts w:hint="eastAsia" w:ascii="Arial" w:hAnsi="Arial" w:cs="Arial"/>
                <w:color w:val="auto"/>
                <w:sz w:val="22"/>
                <w:szCs w:val="22"/>
                <w:highlight w:val="none"/>
              </w:rPr>
            </w:pPr>
          </w:p>
        </w:tc>
        <w:tc>
          <w:tcPr>
            <w:tcW w:w="952" w:type="dxa"/>
            <w:tcBorders>
              <w:right w:val="single" w:color="auto" w:sz="12" w:space="0"/>
            </w:tcBorders>
            <w:noWrap w:val="0"/>
            <w:vAlign w:val="center"/>
          </w:tcPr>
          <w:p w14:paraId="3BC96BCC">
            <w:pPr>
              <w:ind w:right="-11"/>
              <w:jc w:val="center"/>
              <w:rPr>
                <w:rFonts w:hint="eastAsia" w:ascii="Arial" w:hAnsi="Arial" w:cs="Arial"/>
                <w:color w:val="auto"/>
                <w:sz w:val="22"/>
                <w:szCs w:val="22"/>
                <w:highlight w:val="none"/>
              </w:rPr>
            </w:pPr>
          </w:p>
        </w:tc>
      </w:tr>
      <w:tr w14:paraId="10BC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69" w:type="dxa"/>
            <w:tcBorders>
              <w:left w:val="single" w:color="auto" w:sz="12" w:space="0"/>
            </w:tcBorders>
            <w:noWrap w:val="0"/>
            <w:vAlign w:val="center"/>
          </w:tcPr>
          <w:p w14:paraId="7B6E7A8B">
            <w:pPr>
              <w:spacing w:line="360" w:lineRule="auto"/>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1704" w:type="dxa"/>
            <w:noWrap w:val="0"/>
            <w:vAlign w:val="center"/>
          </w:tcPr>
          <w:p w14:paraId="63DB7773">
            <w:pPr>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混合坚果礼盒</w:t>
            </w:r>
          </w:p>
          <w:p w14:paraId="6F7BBF97">
            <w:pPr>
              <w:pStyle w:val="32"/>
              <w:rPr>
                <w:rFonts w:hint="default"/>
                <w:color w:val="auto"/>
                <w:highlight w:val="none"/>
                <w:lang w:val="en-US" w:eastAsia="zh-CN"/>
              </w:rPr>
            </w:pPr>
            <w:r>
              <w:rPr>
                <w:rFonts w:hint="eastAsia" w:ascii="宋体" w:hAnsi="宋体" w:cs="宋体"/>
                <w:color w:val="auto"/>
                <w:sz w:val="22"/>
                <w:szCs w:val="22"/>
                <w:highlight w:val="none"/>
                <w:lang w:val="en-US" w:eastAsia="zh-CN"/>
              </w:rPr>
              <w:t>（核心产品）</w:t>
            </w:r>
          </w:p>
        </w:tc>
        <w:tc>
          <w:tcPr>
            <w:tcW w:w="1565" w:type="dxa"/>
            <w:noWrap w:val="0"/>
            <w:vAlign w:val="center"/>
          </w:tcPr>
          <w:p w14:paraId="1AE72C6D">
            <w:pPr>
              <w:jc w:val="center"/>
              <w:rPr>
                <w:rFonts w:ascii="Arial" w:hAnsi="Arial" w:cs="Arial"/>
                <w:color w:val="auto"/>
                <w:sz w:val="22"/>
                <w:szCs w:val="22"/>
                <w:highlight w:val="none"/>
              </w:rPr>
            </w:pPr>
          </w:p>
        </w:tc>
        <w:tc>
          <w:tcPr>
            <w:tcW w:w="1388" w:type="dxa"/>
            <w:noWrap w:val="0"/>
            <w:vAlign w:val="center"/>
          </w:tcPr>
          <w:p w14:paraId="4DFE4082">
            <w:pPr>
              <w:spacing w:line="360" w:lineRule="auto"/>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份</w:t>
            </w:r>
          </w:p>
        </w:tc>
        <w:tc>
          <w:tcPr>
            <w:tcW w:w="1181" w:type="dxa"/>
            <w:noWrap w:val="0"/>
            <w:vAlign w:val="center"/>
          </w:tcPr>
          <w:p w14:paraId="36C82784">
            <w:pPr>
              <w:rPr>
                <w:rFonts w:ascii="Arial" w:hAnsi="Arial" w:cs="Arial"/>
                <w:color w:val="auto"/>
                <w:sz w:val="22"/>
                <w:szCs w:val="22"/>
                <w:highlight w:val="none"/>
              </w:rPr>
            </w:pPr>
          </w:p>
        </w:tc>
        <w:tc>
          <w:tcPr>
            <w:tcW w:w="1055" w:type="dxa"/>
            <w:noWrap w:val="0"/>
            <w:vAlign w:val="center"/>
          </w:tcPr>
          <w:p w14:paraId="6AE06700">
            <w:pPr>
              <w:ind w:right="-11"/>
              <w:jc w:val="center"/>
              <w:rPr>
                <w:rFonts w:hint="eastAsia" w:ascii="Arial" w:hAnsi="Arial" w:cs="Arial"/>
                <w:color w:val="auto"/>
                <w:sz w:val="22"/>
                <w:szCs w:val="22"/>
                <w:highlight w:val="none"/>
              </w:rPr>
            </w:pPr>
          </w:p>
        </w:tc>
        <w:tc>
          <w:tcPr>
            <w:tcW w:w="1323" w:type="dxa"/>
            <w:noWrap w:val="0"/>
            <w:vAlign w:val="center"/>
          </w:tcPr>
          <w:p w14:paraId="4D89A2D6">
            <w:pPr>
              <w:ind w:right="-11"/>
              <w:jc w:val="center"/>
              <w:rPr>
                <w:rFonts w:hint="eastAsia" w:ascii="Arial" w:hAnsi="Arial" w:cs="Arial"/>
                <w:color w:val="auto"/>
                <w:sz w:val="22"/>
                <w:szCs w:val="22"/>
                <w:highlight w:val="none"/>
              </w:rPr>
            </w:pPr>
          </w:p>
        </w:tc>
        <w:tc>
          <w:tcPr>
            <w:tcW w:w="952" w:type="dxa"/>
            <w:tcBorders>
              <w:right w:val="single" w:color="auto" w:sz="12" w:space="0"/>
            </w:tcBorders>
            <w:noWrap w:val="0"/>
            <w:vAlign w:val="center"/>
          </w:tcPr>
          <w:p w14:paraId="42B72285">
            <w:pPr>
              <w:ind w:right="-11"/>
              <w:jc w:val="center"/>
              <w:rPr>
                <w:rFonts w:hint="eastAsia" w:ascii="Arial" w:hAnsi="Arial" w:cs="Arial"/>
                <w:color w:val="auto"/>
                <w:sz w:val="22"/>
                <w:szCs w:val="22"/>
                <w:highlight w:val="none"/>
              </w:rPr>
            </w:pPr>
          </w:p>
        </w:tc>
      </w:tr>
      <w:tr w14:paraId="0B8D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3938" w:type="dxa"/>
            <w:gridSpan w:val="3"/>
            <w:tcBorders>
              <w:top w:val="single" w:color="auto" w:sz="12" w:space="0"/>
              <w:left w:val="single" w:color="auto" w:sz="12" w:space="0"/>
            </w:tcBorders>
            <w:noWrap w:val="0"/>
            <w:vAlign w:val="center"/>
          </w:tcPr>
          <w:p w14:paraId="6A81ED68">
            <w:pPr>
              <w:ind w:right="-11"/>
              <w:rPr>
                <w:rFonts w:hint="eastAsia" w:ascii="Arial" w:hAnsi="Arial" w:cs="Arial"/>
                <w:color w:val="auto"/>
                <w:sz w:val="22"/>
                <w:szCs w:val="22"/>
                <w:highlight w:val="none"/>
              </w:rPr>
            </w:pPr>
            <w:r>
              <w:rPr>
                <w:rFonts w:hint="eastAsia" w:ascii="Arial" w:hAnsi="Arial" w:cs="Arial"/>
                <w:color w:val="auto"/>
                <w:sz w:val="22"/>
                <w:szCs w:val="22"/>
                <w:highlight w:val="none"/>
              </w:rPr>
              <w:t>运杂及保险费（含卸货）</w:t>
            </w:r>
          </w:p>
        </w:tc>
        <w:tc>
          <w:tcPr>
            <w:tcW w:w="5899" w:type="dxa"/>
            <w:gridSpan w:val="5"/>
            <w:tcBorders>
              <w:top w:val="single" w:color="auto" w:sz="12" w:space="0"/>
              <w:right w:val="single" w:color="auto" w:sz="12" w:space="0"/>
            </w:tcBorders>
            <w:noWrap w:val="0"/>
            <w:vAlign w:val="center"/>
          </w:tcPr>
          <w:p w14:paraId="1BA94550">
            <w:pPr>
              <w:spacing w:line="340" w:lineRule="exact"/>
              <w:jc w:val="center"/>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含</w:t>
            </w:r>
          </w:p>
        </w:tc>
      </w:tr>
      <w:tr w14:paraId="05D2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3938" w:type="dxa"/>
            <w:gridSpan w:val="3"/>
            <w:tcBorders>
              <w:left w:val="single" w:color="auto" w:sz="12" w:space="0"/>
            </w:tcBorders>
            <w:noWrap w:val="0"/>
            <w:vAlign w:val="center"/>
          </w:tcPr>
          <w:p w14:paraId="4BE15979">
            <w:pPr>
              <w:ind w:right="-11"/>
              <w:rPr>
                <w:rFonts w:hint="eastAsia" w:ascii="Arial" w:hAnsi="Arial" w:cs="Arial"/>
                <w:color w:val="auto"/>
                <w:sz w:val="22"/>
                <w:szCs w:val="22"/>
                <w:highlight w:val="none"/>
              </w:rPr>
            </w:pPr>
            <w:r>
              <w:rPr>
                <w:rFonts w:hint="eastAsia" w:ascii="新宋体" w:hAnsi="新宋体" w:eastAsia="新宋体"/>
                <w:bCs/>
                <w:color w:val="auto"/>
                <w:sz w:val="22"/>
                <w:szCs w:val="22"/>
                <w:highlight w:val="none"/>
              </w:rPr>
              <w:t>税金</w:t>
            </w:r>
          </w:p>
        </w:tc>
        <w:tc>
          <w:tcPr>
            <w:tcW w:w="5899" w:type="dxa"/>
            <w:gridSpan w:val="5"/>
            <w:tcBorders>
              <w:right w:val="single" w:color="auto" w:sz="12" w:space="0"/>
            </w:tcBorders>
            <w:noWrap w:val="0"/>
            <w:vAlign w:val="center"/>
          </w:tcPr>
          <w:p w14:paraId="358F5729">
            <w:pPr>
              <w:spacing w:line="340" w:lineRule="exact"/>
              <w:jc w:val="center"/>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含</w:t>
            </w:r>
          </w:p>
        </w:tc>
      </w:tr>
      <w:tr w14:paraId="6999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3938" w:type="dxa"/>
            <w:gridSpan w:val="3"/>
            <w:tcBorders>
              <w:left w:val="single" w:color="auto" w:sz="12" w:space="0"/>
            </w:tcBorders>
            <w:noWrap w:val="0"/>
            <w:vAlign w:val="center"/>
          </w:tcPr>
          <w:p w14:paraId="2CBECA4E">
            <w:pPr>
              <w:ind w:right="-11"/>
              <w:rPr>
                <w:rFonts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采购代理服务费</w:t>
            </w:r>
          </w:p>
        </w:tc>
        <w:tc>
          <w:tcPr>
            <w:tcW w:w="5899" w:type="dxa"/>
            <w:gridSpan w:val="5"/>
            <w:tcBorders>
              <w:right w:val="single" w:color="auto" w:sz="12" w:space="0"/>
            </w:tcBorders>
            <w:noWrap w:val="0"/>
            <w:vAlign w:val="center"/>
          </w:tcPr>
          <w:p w14:paraId="2D3A8F62">
            <w:pPr>
              <w:spacing w:line="340" w:lineRule="exact"/>
              <w:jc w:val="center"/>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含</w:t>
            </w:r>
          </w:p>
        </w:tc>
      </w:tr>
      <w:tr w14:paraId="418E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3938" w:type="dxa"/>
            <w:gridSpan w:val="3"/>
            <w:tcBorders>
              <w:left w:val="single" w:color="auto" w:sz="12" w:space="0"/>
            </w:tcBorders>
            <w:noWrap w:val="0"/>
            <w:vAlign w:val="center"/>
          </w:tcPr>
          <w:p w14:paraId="3382DDFD">
            <w:pPr>
              <w:ind w:right="-11"/>
              <w:rPr>
                <w:rFonts w:hint="eastAsia" w:ascii="Arial" w:hAnsi="Arial" w:cs="Arial"/>
                <w:color w:val="auto"/>
                <w:sz w:val="22"/>
                <w:szCs w:val="22"/>
                <w:highlight w:val="none"/>
              </w:rPr>
            </w:pPr>
            <w:r>
              <w:rPr>
                <w:rFonts w:hint="eastAsia" w:ascii="Arial" w:hAnsi="Arial" w:cs="Arial"/>
                <w:color w:val="auto"/>
                <w:sz w:val="22"/>
                <w:szCs w:val="22"/>
                <w:highlight w:val="none"/>
              </w:rPr>
              <w:t>其他相关费用（含产品外包装、验收费等）</w:t>
            </w:r>
          </w:p>
        </w:tc>
        <w:tc>
          <w:tcPr>
            <w:tcW w:w="5899" w:type="dxa"/>
            <w:gridSpan w:val="5"/>
            <w:tcBorders>
              <w:right w:val="single" w:color="auto" w:sz="12" w:space="0"/>
            </w:tcBorders>
            <w:noWrap w:val="0"/>
            <w:vAlign w:val="center"/>
          </w:tcPr>
          <w:p w14:paraId="126E0038">
            <w:pPr>
              <w:spacing w:line="340" w:lineRule="exact"/>
              <w:jc w:val="center"/>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含</w:t>
            </w:r>
          </w:p>
        </w:tc>
      </w:tr>
      <w:tr w14:paraId="43E3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3938" w:type="dxa"/>
            <w:gridSpan w:val="3"/>
            <w:tcBorders>
              <w:left w:val="single" w:color="auto" w:sz="12" w:space="0"/>
              <w:bottom w:val="single" w:color="auto" w:sz="12" w:space="0"/>
            </w:tcBorders>
            <w:noWrap w:val="0"/>
            <w:vAlign w:val="center"/>
          </w:tcPr>
          <w:p w14:paraId="4B5AF0CD">
            <w:pPr>
              <w:ind w:right="-11"/>
              <w:rPr>
                <w:rFonts w:hint="eastAsia" w:ascii="Arial" w:hAnsi="Arial" w:cs="Arial"/>
                <w:color w:val="auto"/>
                <w:sz w:val="22"/>
                <w:szCs w:val="22"/>
                <w:highlight w:val="none"/>
              </w:rPr>
            </w:pPr>
            <w:r>
              <w:rPr>
                <w:rFonts w:hint="eastAsia" w:ascii="Arial" w:hAnsi="Arial" w:cs="Arial"/>
                <w:color w:val="auto"/>
                <w:sz w:val="22"/>
                <w:szCs w:val="22"/>
                <w:highlight w:val="none"/>
              </w:rPr>
              <w:t>总计价</w:t>
            </w:r>
          </w:p>
        </w:tc>
        <w:tc>
          <w:tcPr>
            <w:tcW w:w="5899" w:type="dxa"/>
            <w:gridSpan w:val="5"/>
            <w:tcBorders>
              <w:bottom w:val="single" w:color="auto" w:sz="12" w:space="0"/>
              <w:right w:val="single" w:color="auto" w:sz="12" w:space="0"/>
            </w:tcBorders>
            <w:noWrap w:val="0"/>
            <w:vAlign w:val="top"/>
          </w:tcPr>
          <w:p w14:paraId="570B699B">
            <w:pPr>
              <w:spacing w:line="340" w:lineRule="exact"/>
              <w:rPr>
                <w:rFonts w:hint="eastAsia" w:ascii="新宋体" w:hAnsi="新宋体" w:eastAsia="新宋体"/>
                <w:bCs/>
                <w:color w:val="auto"/>
                <w:sz w:val="22"/>
                <w:szCs w:val="22"/>
                <w:highlight w:val="none"/>
              </w:rPr>
            </w:pPr>
          </w:p>
        </w:tc>
      </w:tr>
    </w:tbl>
    <w:p w14:paraId="190C17D5">
      <w:pPr>
        <w:pStyle w:val="39"/>
        <w:ind w:hanging="480"/>
        <w:rPr>
          <w:rFonts w:hint="eastAsia"/>
          <w:color w:val="auto"/>
          <w:highlight w:val="none"/>
        </w:rPr>
      </w:pPr>
    </w:p>
    <w:p w14:paraId="0B2A64F5">
      <w:pPr>
        <w:spacing w:line="380" w:lineRule="exact"/>
        <w:rPr>
          <w:rFonts w:hint="eastAsia" w:ascii="新宋体" w:hAnsi="新宋体" w:eastAsia="新宋体"/>
          <w:color w:val="auto"/>
          <w:sz w:val="22"/>
          <w:szCs w:val="22"/>
          <w:highlight w:val="none"/>
        </w:rPr>
      </w:pPr>
      <w:r>
        <w:rPr>
          <w:rFonts w:hint="eastAsia" w:ascii="新宋体" w:hAnsi="新宋体" w:eastAsia="新宋体"/>
          <w:b/>
          <w:bCs/>
          <w:color w:val="auto"/>
          <w:sz w:val="22"/>
          <w:szCs w:val="22"/>
          <w:highlight w:val="none"/>
        </w:rPr>
        <w:t>说明：</w:t>
      </w:r>
      <w:r>
        <w:rPr>
          <w:rFonts w:hint="eastAsia" w:ascii="新宋体" w:hAnsi="新宋体" w:eastAsia="新宋体"/>
          <w:color w:val="auto"/>
          <w:sz w:val="22"/>
          <w:szCs w:val="22"/>
          <w:highlight w:val="none"/>
        </w:rPr>
        <w:t>1.不提供详细报价</w:t>
      </w:r>
      <w:r>
        <w:rPr>
          <w:rFonts w:hint="eastAsia" w:ascii="新宋体" w:hAnsi="新宋体" w:eastAsia="新宋体"/>
          <w:color w:val="auto"/>
          <w:sz w:val="22"/>
          <w:szCs w:val="22"/>
          <w:highlight w:val="none"/>
          <w:lang w:val="en-US" w:eastAsia="zh-CN"/>
        </w:rPr>
        <w:t>明细表</w:t>
      </w:r>
      <w:r>
        <w:rPr>
          <w:rFonts w:hint="eastAsia" w:ascii="新宋体" w:hAnsi="新宋体" w:eastAsia="新宋体"/>
          <w:color w:val="auto"/>
          <w:sz w:val="22"/>
          <w:szCs w:val="22"/>
          <w:highlight w:val="none"/>
        </w:rPr>
        <w:t>将视为没有实质性响应招标文件。</w:t>
      </w:r>
    </w:p>
    <w:p w14:paraId="211E5D81">
      <w:pPr>
        <w:spacing w:line="380" w:lineRule="exact"/>
        <w:ind w:firstLine="72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2.此表总计价应与“报价一览表”</w:t>
      </w:r>
      <w:r>
        <w:rPr>
          <w:rFonts w:hint="eastAsia" w:ascii="宋体" w:hAnsi="宋体" w:cs="宋体"/>
          <w:bCs/>
          <w:color w:val="auto"/>
          <w:sz w:val="22"/>
          <w:szCs w:val="22"/>
          <w:highlight w:val="none"/>
        </w:rPr>
        <w:t>投标报价</w:t>
      </w:r>
      <w:r>
        <w:rPr>
          <w:rFonts w:hint="eastAsia" w:ascii="新宋体" w:hAnsi="新宋体" w:eastAsia="新宋体"/>
          <w:color w:val="auto"/>
          <w:sz w:val="22"/>
          <w:szCs w:val="22"/>
          <w:highlight w:val="none"/>
        </w:rPr>
        <w:t>相一致。</w:t>
      </w:r>
    </w:p>
    <w:p w14:paraId="0A3924F9">
      <w:pPr>
        <w:spacing w:line="380" w:lineRule="exact"/>
        <w:ind w:firstLine="72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3.如果免费请在该备注栏内注明“免”，如果含在产品价格中则填“含”，如无此项内容则填“无”，不留空白。</w:t>
      </w:r>
    </w:p>
    <w:p w14:paraId="7B3F4E0E">
      <w:pPr>
        <w:spacing w:line="380" w:lineRule="exact"/>
        <w:ind w:firstLine="720"/>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 xml:space="preserve">               </w:t>
      </w:r>
      <w:r>
        <w:rPr>
          <w:rFonts w:hint="eastAsia" w:ascii="新宋体" w:hAnsi="新宋体" w:eastAsia="新宋体"/>
          <w:color w:val="auto"/>
          <w:sz w:val="22"/>
          <w:szCs w:val="22"/>
          <w:highlight w:val="none"/>
        </w:rPr>
        <w:t>投标供应商全称（盖章）：</w:t>
      </w:r>
    </w:p>
    <w:p w14:paraId="55209970">
      <w:pPr>
        <w:spacing w:line="46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投标供应商代表（签字）：</w:t>
      </w:r>
    </w:p>
    <w:p w14:paraId="09345F0C">
      <w:pPr>
        <w:spacing w:line="46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日期：    年   月   日</w:t>
      </w:r>
    </w:p>
    <w:p w14:paraId="52EB1F2D">
      <w:pPr>
        <w:spacing w:before="240" w:beforeLines="100" w:after="240" w:afterLines="100" w:line="400" w:lineRule="atLeast"/>
        <w:ind w:left="4620" w:leftChars="2200"/>
        <w:rPr>
          <w:rFonts w:hint="eastAsia" w:ascii="宋体" w:hAnsi="宋体" w:cs="宋体"/>
          <w:b/>
          <w:bCs/>
          <w:color w:val="auto"/>
          <w:kern w:val="0"/>
          <w:sz w:val="22"/>
          <w:szCs w:val="22"/>
          <w:highlight w:val="none"/>
        </w:rPr>
        <w:sectPr>
          <w:headerReference r:id="rId9" w:type="default"/>
          <w:footerReference r:id="rId10" w:type="default"/>
          <w:pgSz w:w="11906" w:h="16838"/>
          <w:pgMar w:top="1418" w:right="1418" w:bottom="1418" w:left="1418" w:header="680" w:footer="992" w:gutter="0"/>
          <w:cols w:space="720" w:num="1"/>
          <w:docGrid w:linePitch="312" w:charSpace="0"/>
        </w:sectPr>
      </w:pPr>
    </w:p>
    <w:bookmarkEnd w:id="93"/>
    <w:bookmarkEnd w:id="94"/>
    <w:p w14:paraId="54CB6CEA">
      <w:pPr>
        <w:keepNext w:val="0"/>
        <w:keepLines/>
        <w:pageBreakBefore w:val="0"/>
        <w:widowControl w:val="0"/>
        <w:numPr>
          <w:ilvl w:val="0"/>
          <w:numId w:val="3"/>
        </w:numPr>
        <w:kinsoku/>
        <w:wordWrap/>
        <w:overflowPunct/>
        <w:topLinePunct w:val="0"/>
        <w:autoSpaceDE/>
        <w:autoSpaceDN/>
        <w:bidi w:val="0"/>
        <w:adjustRightInd/>
        <w:spacing w:line="460" w:lineRule="exact"/>
        <w:jc w:val="center"/>
        <w:outlineLvl w:val="0"/>
        <w:rPr>
          <w:rFonts w:hint="eastAsia" w:ascii="宋体" w:hAnsi="宋体" w:cs="宋体"/>
          <w:b/>
          <w:bCs/>
          <w:color w:val="auto"/>
          <w:sz w:val="32"/>
          <w:highlight w:val="none"/>
        </w:rPr>
      </w:pPr>
      <w:bookmarkStart w:id="132" w:name="_Toc22957"/>
      <w:bookmarkStart w:id="133" w:name="_Toc10485"/>
      <w:r>
        <w:rPr>
          <w:rFonts w:hint="eastAsia" w:ascii="宋体" w:hAnsi="宋体" w:cs="宋体"/>
          <w:b/>
          <w:bCs/>
          <w:color w:val="auto"/>
          <w:sz w:val="32"/>
          <w:highlight w:val="none"/>
        </w:rPr>
        <w:t xml:space="preserve">   采购需求</w:t>
      </w:r>
      <w:bookmarkEnd w:id="132"/>
      <w:bookmarkEnd w:id="133"/>
      <w:bookmarkStart w:id="134" w:name="_Toc196474520"/>
      <w:bookmarkStart w:id="135" w:name="_Toc174420629"/>
    </w:p>
    <w:p w14:paraId="222E2F30">
      <w:pPr>
        <w:keepNext w:val="0"/>
        <w:keepLines/>
        <w:pageBreakBefore w:val="0"/>
        <w:widowControl w:val="0"/>
        <w:kinsoku/>
        <w:wordWrap/>
        <w:overflowPunct/>
        <w:topLinePunct w:val="0"/>
        <w:autoSpaceDE/>
        <w:autoSpaceDN/>
        <w:bidi w:val="0"/>
        <w:adjustRightInd/>
        <w:spacing w:line="460" w:lineRule="exact"/>
        <w:rPr>
          <w:rFonts w:hint="eastAsia" w:ascii="宋体" w:hAnsi="宋体"/>
          <w:b/>
          <w:color w:val="auto"/>
          <w:sz w:val="22"/>
          <w:szCs w:val="22"/>
          <w:highlight w:val="none"/>
        </w:rPr>
      </w:pPr>
      <w:r>
        <w:rPr>
          <w:rFonts w:hint="eastAsia" w:ascii="宋体" w:hAnsi="宋体"/>
          <w:b/>
          <w:color w:val="auto"/>
          <w:sz w:val="22"/>
          <w:szCs w:val="22"/>
          <w:highlight w:val="none"/>
        </w:rPr>
        <w:t>一、采购说明：</w:t>
      </w:r>
    </w:p>
    <w:p w14:paraId="00753605">
      <w:pPr>
        <w:keepNext w:val="0"/>
        <w:keepLines/>
        <w:pageBreakBefore w:val="0"/>
        <w:widowControl w:val="0"/>
        <w:kinsoku/>
        <w:wordWrap/>
        <w:overflowPunct/>
        <w:topLinePunct w:val="0"/>
        <w:autoSpaceDE/>
        <w:autoSpaceDN/>
        <w:bidi w:val="0"/>
        <w:adjustRightInd/>
        <w:snapToGrid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1.本次项目为1个标段，供应商应对标段内的所有采购内容进行投标，但不得将标段进行拆分投标或只对其中的部分内容进行投标，否则其投标文件将不予接受。</w:t>
      </w:r>
    </w:p>
    <w:p w14:paraId="72395BA3">
      <w:pPr>
        <w:keepNext w:val="0"/>
        <w:keepLines/>
        <w:pageBreakBefore w:val="0"/>
        <w:widowControl w:val="0"/>
        <w:kinsoku/>
        <w:wordWrap/>
        <w:overflowPunct/>
        <w:topLinePunct w:val="0"/>
        <w:autoSpaceDE/>
        <w:autoSpaceDN/>
        <w:bidi w:val="0"/>
        <w:adjustRightInd/>
        <w:snapToGrid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2.本技术规范要求提出的是最低限度的基本技术要求，并未对所有技术细节作出规定，供应商应提供符合本技术要求和国家标准、行业标准的优质产品。</w:t>
      </w:r>
    </w:p>
    <w:p w14:paraId="711E8EEF">
      <w:pPr>
        <w:keepNext w:val="0"/>
        <w:keepLines/>
        <w:pageBreakBefore w:val="0"/>
        <w:widowControl w:val="0"/>
        <w:kinsoku/>
        <w:wordWrap/>
        <w:overflowPunct/>
        <w:topLinePunct w:val="0"/>
        <w:autoSpaceDE/>
        <w:autoSpaceDN/>
        <w:bidi w:val="0"/>
        <w:adjustRightInd/>
        <w:snapToGrid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3.供应商产品与本技术要求不一致时，供应商应在投标文件中予以说明，并由评标委员会鉴定供应商产品能否达到要求。如供应商没有在投标文件中提出异议，则视为供应商提供的产品完全按照本招标文件要求。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7E423C67">
      <w:pPr>
        <w:keepNext w:val="0"/>
        <w:keepLines/>
        <w:pageBreakBefore w:val="0"/>
        <w:widowControl w:val="0"/>
        <w:kinsoku/>
        <w:wordWrap/>
        <w:overflowPunct/>
        <w:topLinePunct w:val="0"/>
        <w:autoSpaceDE/>
        <w:autoSpaceDN/>
        <w:bidi w:val="0"/>
        <w:adjustRightInd/>
        <w:snapToGrid w:val="0"/>
        <w:spacing w:line="460" w:lineRule="exact"/>
        <w:rPr>
          <w:rFonts w:hint="eastAsia" w:ascii="宋体" w:hAnsi="宋体" w:cs="宋体"/>
          <w:color w:val="auto"/>
          <w:sz w:val="22"/>
          <w:szCs w:val="22"/>
          <w:highlight w:val="none"/>
        </w:rPr>
      </w:pPr>
      <w:r>
        <w:rPr>
          <w:rFonts w:hint="eastAsia" w:ascii="宋体" w:hAnsi="宋体"/>
          <w:color w:val="auto"/>
          <w:sz w:val="22"/>
          <w:szCs w:val="22"/>
          <w:highlight w:val="none"/>
        </w:rPr>
        <w:t>4.供应商提供的产品应标明所执行的质量标准，若同一标准已颁发新标准，则按最新标准执行。若同一产品同时有几个标准（国际标准、国家标准、行业标准、企业标准等），则按最高层次的标准执行。</w:t>
      </w:r>
    </w:p>
    <w:p w14:paraId="7F1DEE25">
      <w:pPr>
        <w:keepNext w:val="0"/>
        <w:keepLines/>
        <w:pageBreakBefore w:val="0"/>
        <w:widowControl w:val="0"/>
        <w:kinsoku/>
        <w:wordWrap/>
        <w:overflowPunct/>
        <w:topLinePunct w:val="0"/>
        <w:autoSpaceDE/>
        <w:autoSpaceDN/>
        <w:bidi w:val="0"/>
        <w:adjustRightInd/>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供应商应提供所投所有设备及其附件的设计、采购、制造、检测、试验、至最终目的地的运输和保险、现场仓储以及安装、验收、技术服务及培训、相关文件的提交、质保期维护等，在投标文件相应的部分明确。</w:t>
      </w:r>
    </w:p>
    <w:p w14:paraId="049E78C2">
      <w:pPr>
        <w:keepNext w:val="0"/>
        <w:keepLines/>
        <w:pageBreakBefore w:val="0"/>
        <w:widowControl w:val="0"/>
        <w:kinsoku/>
        <w:wordWrap/>
        <w:overflowPunct/>
        <w:topLinePunct w:val="0"/>
        <w:autoSpaceDE/>
        <w:autoSpaceDN/>
        <w:bidi w:val="0"/>
        <w:adjustRightInd/>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6.供应商所投设备及主要部件的名称、品牌、型号、技术参数、性能、数量、单价、合价厂商、产地、质保期等应在投标文件中明确，对采购文件的技术条款及要求应予以实质性响应，如有偏离应在偏离表中注明。</w:t>
      </w:r>
    </w:p>
    <w:p w14:paraId="7F961B23">
      <w:pPr>
        <w:keepNext w:val="0"/>
        <w:keepLines/>
        <w:pageBreakBefore w:val="0"/>
        <w:widowControl w:val="0"/>
        <w:kinsoku/>
        <w:wordWrap/>
        <w:overflowPunct/>
        <w:topLinePunct w:val="0"/>
        <w:autoSpaceDE/>
        <w:autoSpaceDN/>
        <w:bidi w:val="0"/>
        <w:adjustRightInd/>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7.供应商须按国家有关规定及标准完成本次采购服务各项工作，并保证供应商提供相关数据与说明，报价文件须对本项目采购内容及具体要求作出实质性回应。</w:t>
      </w:r>
    </w:p>
    <w:p w14:paraId="3E081E81">
      <w:pPr>
        <w:keepNext w:val="0"/>
        <w:keepLines/>
        <w:pageBreakBefore w:val="0"/>
        <w:widowControl w:val="0"/>
        <w:kinsoku/>
        <w:wordWrap/>
        <w:overflowPunct/>
        <w:topLinePunct w:val="0"/>
        <w:autoSpaceDE/>
        <w:autoSpaceDN/>
        <w:bidi w:val="0"/>
        <w:adjustRightInd/>
        <w:spacing w:line="460" w:lineRule="exact"/>
        <w:rPr>
          <w:rFonts w:hint="eastAsia" w:ascii="宋体" w:hAnsi="宋体"/>
          <w:b/>
          <w:bCs/>
          <w:color w:val="auto"/>
          <w:kern w:val="0"/>
          <w:sz w:val="22"/>
          <w:szCs w:val="22"/>
          <w:highlight w:val="none"/>
        </w:rPr>
      </w:pPr>
      <w:r>
        <w:rPr>
          <w:rFonts w:hint="eastAsia" w:ascii="宋体" w:hAnsi="宋体"/>
          <w:b/>
          <w:bCs/>
          <w:color w:val="auto"/>
          <w:kern w:val="0"/>
          <w:sz w:val="22"/>
          <w:szCs w:val="22"/>
          <w:highlight w:val="none"/>
          <w:lang w:val="en-US" w:eastAsia="zh-CN"/>
        </w:rPr>
        <w:t>二</w:t>
      </w:r>
      <w:r>
        <w:rPr>
          <w:rFonts w:hint="eastAsia" w:ascii="宋体" w:hAnsi="宋体"/>
          <w:b/>
          <w:bCs/>
          <w:color w:val="auto"/>
          <w:kern w:val="0"/>
          <w:sz w:val="22"/>
          <w:szCs w:val="22"/>
          <w:highlight w:val="none"/>
        </w:rPr>
        <w:t>、</w:t>
      </w:r>
      <w:r>
        <w:rPr>
          <w:rFonts w:hint="eastAsia" w:ascii="宋体" w:hAnsi="宋体"/>
          <w:b/>
          <w:color w:val="auto"/>
          <w:spacing w:val="-6"/>
          <w:sz w:val="22"/>
          <w:szCs w:val="22"/>
          <w:highlight w:val="none"/>
        </w:rPr>
        <w:t>商务</w:t>
      </w:r>
      <w:r>
        <w:rPr>
          <w:rFonts w:hint="eastAsia" w:ascii="宋体" w:hAnsi="宋体"/>
          <w:b/>
          <w:color w:val="auto"/>
          <w:spacing w:val="-6"/>
          <w:sz w:val="22"/>
          <w:szCs w:val="22"/>
          <w:highlight w:val="none"/>
          <w:lang w:val="en-US" w:eastAsia="zh-CN"/>
        </w:rPr>
        <w:t>条款</w:t>
      </w:r>
      <w:r>
        <w:rPr>
          <w:rFonts w:hint="eastAsia" w:ascii="宋体" w:hAnsi="宋体"/>
          <w:b/>
          <w:color w:val="auto"/>
          <w:spacing w:val="-6"/>
          <w:sz w:val="22"/>
          <w:szCs w:val="22"/>
          <w:highlight w:val="none"/>
        </w:rPr>
        <w:t>要求</w:t>
      </w:r>
    </w:p>
    <w:tbl>
      <w:tblPr>
        <w:tblStyle w:val="4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7526"/>
      </w:tblGrid>
      <w:tr w14:paraId="2464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881" w:type="pct"/>
            <w:noWrap w:val="0"/>
            <w:vAlign w:val="center"/>
          </w:tcPr>
          <w:p w14:paraId="73A6B875">
            <w:pPr>
              <w:keepNext w:val="0"/>
              <w:keepLines/>
              <w:pageBreakBefore w:val="0"/>
              <w:widowControl w:val="0"/>
              <w:kinsoku/>
              <w:wordWrap/>
              <w:overflowPunct/>
              <w:topLinePunct w:val="0"/>
              <w:autoSpaceDE/>
              <w:autoSpaceDN/>
              <w:bidi w:val="0"/>
              <w:adjustRightInd/>
              <w:spacing w:line="46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支付方式</w:t>
            </w:r>
          </w:p>
        </w:tc>
        <w:tc>
          <w:tcPr>
            <w:tcW w:w="4118" w:type="pct"/>
            <w:noWrap w:val="0"/>
            <w:vAlign w:val="center"/>
          </w:tcPr>
          <w:p w14:paraId="5F74F8DA">
            <w:pPr>
              <w:keepNext w:val="0"/>
              <w:keepLines w:val="0"/>
              <w:pageBreakBefore w:val="0"/>
              <w:widowControl/>
              <w:kinsoku/>
              <w:wordWrap/>
              <w:overflowPunct/>
              <w:topLinePunct w:val="0"/>
              <w:autoSpaceDE/>
              <w:autoSpaceDN/>
              <w:bidi w:val="0"/>
              <w:adjustRightInd/>
              <w:spacing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本项目不收取履约保证金。</w:t>
            </w:r>
          </w:p>
          <w:p w14:paraId="1AF99101">
            <w:pPr>
              <w:keepNext w:val="0"/>
              <w:keepLines w:val="0"/>
              <w:pageBreakBefore w:val="0"/>
              <w:widowControl/>
              <w:kinsoku/>
              <w:wordWrap/>
              <w:overflowPunct/>
              <w:topLinePunct w:val="0"/>
              <w:autoSpaceDE/>
              <w:autoSpaceDN/>
              <w:bidi w:val="0"/>
              <w:adjustRightInd/>
              <w:spacing w:line="360" w:lineRule="auto"/>
              <w:ind w:firstLine="0" w:firstLineChars="0"/>
              <w:rPr>
                <w:rFonts w:hint="eastAsia" w:ascii="宋体" w:hAnsi="宋体"/>
                <w:color w:val="auto"/>
                <w:sz w:val="22"/>
                <w:szCs w:val="22"/>
                <w:highlight w:val="none"/>
                <w:u w:val="singl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采购人在合同签订后</w:t>
            </w:r>
            <w:r>
              <w:rPr>
                <w:rFonts w:hint="eastAsia" w:ascii="宋体" w:hAnsi="宋体" w:cs="宋体"/>
                <w:color w:val="auto"/>
                <w:sz w:val="22"/>
                <w:szCs w:val="22"/>
                <w:highlight w:val="none"/>
                <w:u w:val="single"/>
              </w:rPr>
              <w:t>7个工作日内，向</w:t>
            </w:r>
            <w:r>
              <w:rPr>
                <w:rFonts w:hint="eastAsia" w:ascii="宋体" w:hAnsi="宋体" w:cs="宋体"/>
                <w:color w:val="auto"/>
                <w:sz w:val="22"/>
                <w:szCs w:val="22"/>
                <w:highlight w:val="none"/>
                <w:u w:val="single"/>
                <w:lang w:val="en-US" w:eastAsia="zh-CN"/>
              </w:rPr>
              <w:t>中标人</w:t>
            </w:r>
            <w:r>
              <w:rPr>
                <w:rFonts w:hint="eastAsia" w:ascii="宋体" w:hAnsi="宋体" w:cs="宋体"/>
                <w:color w:val="auto"/>
                <w:sz w:val="22"/>
                <w:szCs w:val="22"/>
                <w:highlight w:val="none"/>
                <w:u w:val="single"/>
              </w:rPr>
              <w:t>支付合同价50%的预付款，待</w:t>
            </w:r>
            <w:r>
              <w:rPr>
                <w:rFonts w:hint="eastAsia" w:ascii="宋体" w:hAnsi="宋体" w:cs="宋体"/>
                <w:color w:val="auto"/>
                <w:sz w:val="22"/>
                <w:szCs w:val="22"/>
                <w:highlight w:val="none"/>
                <w:u w:val="single"/>
                <w:lang w:val="en-US" w:eastAsia="zh-CN"/>
              </w:rPr>
              <w:t>中标人</w:t>
            </w:r>
            <w:r>
              <w:rPr>
                <w:rFonts w:hint="eastAsia" w:ascii="宋体" w:hAnsi="宋体" w:cs="宋体"/>
                <w:color w:val="auto"/>
                <w:sz w:val="22"/>
                <w:szCs w:val="22"/>
                <w:highlight w:val="none"/>
                <w:u w:val="single"/>
              </w:rPr>
              <w:t>完成所有货物送货完成后，经</w:t>
            </w:r>
            <w:r>
              <w:rPr>
                <w:rFonts w:hint="eastAsia" w:ascii="宋体" w:hAnsi="宋体" w:cs="宋体"/>
                <w:color w:val="auto"/>
                <w:sz w:val="22"/>
                <w:szCs w:val="22"/>
                <w:highlight w:val="none"/>
                <w:u w:val="single"/>
                <w:lang w:val="en-US" w:eastAsia="zh-CN"/>
              </w:rPr>
              <w:t>采购人</w:t>
            </w:r>
            <w:r>
              <w:rPr>
                <w:rFonts w:hint="eastAsia" w:ascii="宋体" w:hAnsi="宋体" w:cs="宋体"/>
                <w:color w:val="auto"/>
                <w:sz w:val="22"/>
                <w:szCs w:val="22"/>
                <w:highlight w:val="none"/>
                <w:u w:val="single"/>
              </w:rPr>
              <w:t>验收合格后7个工作日内，</w:t>
            </w:r>
            <w:r>
              <w:rPr>
                <w:rFonts w:hint="eastAsia" w:ascii="宋体" w:hAnsi="宋体" w:cs="宋体"/>
                <w:color w:val="auto"/>
                <w:sz w:val="22"/>
                <w:szCs w:val="22"/>
                <w:highlight w:val="none"/>
                <w:u w:val="single"/>
                <w:lang w:val="en-US" w:eastAsia="zh-CN"/>
              </w:rPr>
              <w:t>采购人</w:t>
            </w:r>
            <w:r>
              <w:rPr>
                <w:rFonts w:hint="eastAsia" w:ascii="宋体" w:hAnsi="宋体" w:cs="宋体"/>
                <w:color w:val="auto"/>
                <w:sz w:val="22"/>
                <w:szCs w:val="22"/>
                <w:highlight w:val="none"/>
                <w:u w:val="single"/>
              </w:rPr>
              <w:t>向</w:t>
            </w:r>
            <w:r>
              <w:rPr>
                <w:rFonts w:hint="eastAsia" w:ascii="宋体" w:hAnsi="宋体" w:cs="宋体"/>
                <w:color w:val="auto"/>
                <w:sz w:val="22"/>
                <w:szCs w:val="22"/>
                <w:highlight w:val="none"/>
                <w:u w:val="single"/>
                <w:lang w:val="en-US" w:eastAsia="zh-CN"/>
              </w:rPr>
              <w:t>中标人</w:t>
            </w:r>
            <w:r>
              <w:rPr>
                <w:rFonts w:hint="eastAsia" w:ascii="宋体" w:hAnsi="宋体" w:cs="宋体"/>
                <w:color w:val="auto"/>
                <w:sz w:val="22"/>
                <w:szCs w:val="22"/>
                <w:highlight w:val="none"/>
                <w:u w:val="single"/>
              </w:rPr>
              <w:t>支付合同剩余</w:t>
            </w:r>
            <w:r>
              <w:rPr>
                <w:rFonts w:hint="eastAsia" w:ascii="宋体" w:hAnsi="宋体" w:cs="宋体"/>
                <w:color w:val="auto"/>
                <w:sz w:val="22"/>
                <w:szCs w:val="22"/>
                <w:highlight w:val="none"/>
                <w:u w:val="single"/>
                <w:lang w:val="en-US" w:eastAsia="zh-CN"/>
              </w:rPr>
              <w:t>金额</w:t>
            </w:r>
            <w:r>
              <w:rPr>
                <w:rFonts w:hint="eastAsia" w:ascii="宋体" w:hAnsi="宋体" w:cs="宋体"/>
                <w:color w:val="auto"/>
                <w:sz w:val="22"/>
                <w:szCs w:val="22"/>
                <w:highlight w:val="none"/>
                <w:u w:val="single"/>
              </w:rPr>
              <w:t>。（每笔款项支付前</w:t>
            </w:r>
            <w:r>
              <w:rPr>
                <w:rFonts w:hint="eastAsia" w:ascii="宋体" w:hAnsi="宋体" w:cs="宋体"/>
                <w:color w:val="auto"/>
                <w:sz w:val="22"/>
                <w:szCs w:val="22"/>
                <w:highlight w:val="none"/>
                <w:u w:val="single"/>
                <w:lang w:val="en-US" w:eastAsia="zh-CN"/>
              </w:rPr>
              <w:t>中标人</w:t>
            </w:r>
            <w:r>
              <w:rPr>
                <w:rFonts w:hint="eastAsia" w:ascii="宋体" w:hAnsi="宋体" w:cs="宋体"/>
                <w:color w:val="auto"/>
                <w:sz w:val="22"/>
                <w:szCs w:val="22"/>
                <w:highlight w:val="none"/>
                <w:u w:val="single"/>
              </w:rPr>
              <w:t>必须开具与支付金额相等的正规有效的增值税普通发票）。</w:t>
            </w:r>
          </w:p>
        </w:tc>
      </w:tr>
      <w:tr w14:paraId="4D15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81" w:type="pct"/>
            <w:shd w:val="clear" w:color="auto" w:fill="FFFFFF"/>
            <w:noWrap w:val="0"/>
            <w:vAlign w:val="center"/>
          </w:tcPr>
          <w:p w14:paraId="26E215F7">
            <w:pPr>
              <w:keepNext w:val="0"/>
              <w:keepLines/>
              <w:pageBreakBefore w:val="0"/>
              <w:widowControl w:val="0"/>
              <w:kinsoku/>
              <w:wordWrap/>
              <w:overflowPunct/>
              <w:topLinePunct w:val="0"/>
              <w:autoSpaceDE/>
              <w:autoSpaceDN/>
              <w:bidi w:val="0"/>
              <w:adjustRightInd/>
              <w:spacing w:line="460" w:lineRule="exact"/>
              <w:jc w:val="center"/>
              <w:rPr>
                <w:rFonts w:hint="eastAsia" w:ascii="宋体" w:hAnsi="宋体"/>
                <w:b/>
                <w:color w:val="auto"/>
                <w:sz w:val="22"/>
                <w:szCs w:val="22"/>
                <w:highlight w:val="none"/>
              </w:rPr>
            </w:pPr>
            <w:r>
              <w:rPr>
                <w:rFonts w:hint="eastAsia" w:ascii="宋体" w:hAnsi="宋体"/>
                <w:b/>
                <w:color w:val="auto"/>
                <w:sz w:val="22"/>
                <w:szCs w:val="22"/>
                <w:highlight w:val="none"/>
                <w:u w:val="none"/>
              </w:rPr>
              <w:t>保质期</w:t>
            </w:r>
          </w:p>
        </w:tc>
        <w:tc>
          <w:tcPr>
            <w:tcW w:w="4118" w:type="pct"/>
            <w:shd w:val="clear" w:color="auto" w:fill="FFFFFF"/>
            <w:noWrap w:val="0"/>
            <w:vAlign w:val="center"/>
          </w:tcPr>
          <w:p w14:paraId="46635C60">
            <w:pPr>
              <w:keepNext w:val="0"/>
              <w:keepLines/>
              <w:pageBreakBefore w:val="0"/>
              <w:widowControl w:val="0"/>
              <w:kinsoku/>
              <w:wordWrap/>
              <w:overflowPunct/>
              <w:topLinePunct w:val="0"/>
              <w:autoSpaceDE/>
              <w:autoSpaceDN/>
              <w:bidi w:val="0"/>
              <w:adjustRightInd/>
              <w:spacing w:line="460" w:lineRule="exact"/>
              <w:rPr>
                <w:rFonts w:hint="eastAsia" w:ascii="宋体" w:hAnsi="宋体"/>
                <w:color w:val="auto"/>
                <w:spacing w:val="-6"/>
                <w:sz w:val="22"/>
                <w:szCs w:val="22"/>
                <w:highlight w:val="none"/>
              </w:rPr>
            </w:pPr>
            <w:r>
              <w:rPr>
                <w:rFonts w:hint="eastAsia" w:ascii="宋体" w:hAnsi="宋体"/>
                <w:bCs/>
                <w:color w:val="auto"/>
                <w:sz w:val="22"/>
                <w:szCs w:val="22"/>
                <w:highlight w:val="none"/>
              </w:rPr>
              <w:t>要求所投产品生产日期距实际送货日期不能超过2个月，送货时由接收单位抽检。如发现日期不符合要求，需无条件调换。</w:t>
            </w:r>
          </w:p>
        </w:tc>
      </w:tr>
      <w:tr w14:paraId="448D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81" w:type="pct"/>
            <w:shd w:val="clear" w:color="auto" w:fill="FFFFFF"/>
            <w:noWrap w:val="0"/>
            <w:vAlign w:val="center"/>
          </w:tcPr>
          <w:p w14:paraId="466F9E33">
            <w:pPr>
              <w:keepNext w:val="0"/>
              <w:keepLines/>
              <w:pageBreakBefore w:val="0"/>
              <w:widowControl w:val="0"/>
              <w:kinsoku/>
              <w:wordWrap/>
              <w:overflowPunct/>
              <w:topLinePunct w:val="0"/>
              <w:autoSpaceDE/>
              <w:autoSpaceDN/>
              <w:bidi w:val="0"/>
              <w:adjustRightInd/>
              <w:spacing w:line="460" w:lineRule="exact"/>
              <w:jc w:val="center"/>
              <w:rPr>
                <w:rFonts w:hint="default" w:ascii="宋体" w:hAnsi="宋体" w:eastAsia="宋体"/>
                <w:b/>
                <w:color w:val="auto"/>
                <w:sz w:val="22"/>
                <w:szCs w:val="22"/>
                <w:highlight w:val="none"/>
                <w:lang w:val="en-US" w:eastAsia="zh-CN"/>
              </w:rPr>
            </w:pPr>
            <w:r>
              <w:rPr>
                <w:rFonts w:hint="eastAsia" w:ascii="宋体" w:hAnsi="宋体"/>
                <w:b/>
                <w:color w:val="auto"/>
                <w:sz w:val="22"/>
                <w:szCs w:val="22"/>
                <w:highlight w:val="none"/>
                <w:u w:val="none"/>
              </w:rPr>
              <w:t>交付时间</w:t>
            </w:r>
            <w:r>
              <w:rPr>
                <w:rFonts w:hint="eastAsia" w:ascii="宋体" w:hAnsi="宋体"/>
                <w:b/>
                <w:color w:val="auto"/>
                <w:sz w:val="22"/>
                <w:szCs w:val="22"/>
                <w:highlight w:val="none"/>
                <w:u w:val="none"/>
                <w:lang w:val="en-US" w:eastAsia="zh-CN"/>
              </w:rPr>
              <w:t>、地点</w:t>
            </w:r>
          </w:p>
        </w:tc>
        <w:tc>
          <w:tcPr>
            <w:tcW w:w="4118" w:type="pct"/>
            <w:shd w:val="clear" w:color="auto" w:fill="FFFFFF"/>
            <w:noWrap w:val="0"/>
            <w:vAlign w:val="center"/>
          </w:tcPr>
          <w:p w14:paraId="733097E4">
            <w:pPr>
              <w:pStyle w:val="12"/>
              <w:keepNext w:val="0"/>
              <w:keepLines/>
              <w:pageBreakBefore w:val="0"/>
              <w:widowControl w:val="0"/>
              <w:kinsoku/>
              <w:wordWrap/>
              <w:overflowPunct/>
              <w:topLinePunct w:val="0"/>
              <w:autoSpaceDE/>
              <w:autoSpaceDN/>
              <w:bidi w:val="0"/>
              <w:adjustRightInd/>
              <w:spacing w:line="460" w:lineRule="exact"/>
              <w:rPr>
                <w:rFonts w:hint="eastAsia" w:ascii="宋体" w:hAnsi="宋体"/>
                <w:b w:val="0"/>
                <w:bCs/>
                <w:color w:val="auto"/>
                <w:sz w:val="22"/>
                <w:szCs w:val="22"/>
                <w:highlight w:val="none"/>
              </w:rPr>
            </w:pPr>
            <w:r>
              <w:rPr>
                <w:rFonts w:hint="eastAsia" w:ascii="新宋体" w:hAnsi="新宋体" w:eastAsia="新宋体"/>
                <w:b w:val="0"/>
                <w:bCs/>
                <w:color w:val="auto"/>
                <w:sz w:val="22"/>
                <w:highlight w:val="none"/>
                <w:u w:val="none"/>
              </w:rPr>
              <w:t>中标供应商在合同签订后7天内完成所有货物的备货工作，经采购人通知后，发放至指定的分发单位。</w:t>
            </w:r>
          </w:p>
        </w:tc>
      </w:tr>
      <w:tr w14:paraId="1048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81" w:type="pct"/>
            <w:noWrap w:val="0"/>
            <w:vAlign w:val="center"/>
          </w:tcPr>
          <w:p w14:paraId="32B97A70">
            <w:pPr>
              <w:keepNext w:val="0"/>
              <w:keepLines/>
              <w:pageBreakBefore w:val="0"/>
              <w:widowControl w:val="0"/>
              <w:kinsoku/>
              <w:wordWrap/>
              <w:overflowPunct/>
              <w:topLinePunct w:val="0"/>
              <w:autoSpaceDE/>
              <w:autoSpaceDN/>
              <w:bidi w:val="0"/>
              <w:adjustRightInd/>
              <w:spacing w:line="460" w:lineRule="exact"/>
              <w:jc w:val="center"/>
              <w:rPr>
                <w:rFonts w:hint="eastAsia" w:ascii="宋体" w:hAnsi="宋体"/>
                <w:b/>
                <w:bCs/>
                <w:color w:val="auto"/>
                <w:sz w:val="22"/>
                <w:szCs w:val="22"/>
                <w:highlight w:val="none"/>
              </w:rPr>
            </w:pPr>
            <w:r>
              <w:rPr>
                <w:rFonts w:hint="eastAsia" w:ascii="新宋体" w:hAnsi="新宋体" w:eastAsia="新宋体"/>
                <w:b/>
                <w:color w:val="auto"/>
                <w:sz w:val="22"/>
                <w:highlight w:val="none"/>
              </w:rPr>
              <w:t>交货使用地点</w:t>
            </w:r>
          </w:p>
        </w:tc>
        <w:tc>
          <w:tcPr>
            <w:tcW w:w="4118" w:type="pct"/>
            <w:noWrap w:val="0"/>
            <w:vAlign w:val="center"/>
          </w:tcPr>
          <w:p w14:paraId="09F2F4E2">
            <w:pPr>
              <w:pStyle w:val="148"/>
              <w:keepNext w:val="0"/>
              <w:keepLines/>
              <w:pageBreakBefore w:val="0"/>
              <w:widowControl w:val="0"/>
              <w:kinsoku/>
              <w:wordWrap/>
              <w:overflowPunct/>
              <w:topLinePunct w:val="0"/>
              <w:autoSpaceDE/>
              <w:autoSpaceDN/>
              <w:bidi w:val="0"/>
              <w:adjustRightInd/>
              <w:spacing w:line="460" w:lineRule="exact"/>
              <w:rPr>
                <w:rFonts w:hint="eastAsia" w:ascii="宋体" w:hAnsi="宋体"/>
                <w:b w:val="0"/>
                <w:bCs/>
                <w:color w:val="auto"/>
                <w:sz w:val="22"/>
                <w:szCs w:val="22"/>
                <w:highlight w:val="none"/>
              </w:rPr>
            </w:pPr>
            <w:r>
              <w:rPr>
                <w:rFonts w:hint="eastAsia" w:ascii="新宋体" w:hAnsi="新宋体" w:eastAsia="新宋体"/>
                <w:b w:val="0"/>
                <w:bCs/>
                <w:color w:val="auto"/>
                <w:sz w:val="22"/>
                <w:highlight w:val="none"/>
              </w:rPr>
              <w:t>采购人指定地点。</w:t>
            </w:r>
          </w:p>
        </w:tc>
      </w:tr>
      <w:tr w14:paraId="5E78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jc w:val="center"/>
        </w:trPr>
        <w:tc>
          <w:tcPr>
            <w:tcW w:w="881" w:type="pct"/>
            <w:noWrap w:val="0"/>
            <w:vAlign w:val="center"/>
          </w:tcPr>
          <w:p w14:paraId="1C3245EC">
            <w:pPr>
              <w:keepNext w:val="0"/>
              <w:keepLines/>
              <w:pageBreakBefore w:val="0"/>
              <w:widowControl w:val="0"/>
              <w:kinsoku/>
              <w:wordWrap/>
              <w:overflowPunct/>
              <w:topLinePunct w:val="0"/>
              <w:autoSpaceDE/>
              <w:autoSpaceDN/>
              <w:bidi w:val="0"/>
              <w:adjustRightInd/>
              <w:spacing w:line="460" w:lineRule="exact"/>
              <w:jc w:val="center"/>
              <w:rPr>
                <w:rFonts w:hint="eastAsia" w:ascii="宋体" w:hAnsi="宋体"/>
                <w:b/>
                <w:bCs/>
                <w:color w:val="auto"/>
                <w:sz w:val="22"/>
                <w:szCs w:val="22"/>
                <w:highlight w:val="none"/>
              </w:rPr>
            </w:pPr>
            <w:r>
              <w:rPr>
                <w:rFonts w:hint="eastAsia" w:ascii="新宋体" w:hAnsi="新宋体" w:eastAsia="新宋体"/>
                <w:b/>
                <w:bCs w:val="0"/>
                <w:color w:val="auto"/>
                <w:sz w:val="22"/>
                <w:highlight w:val="none"/>
                <w:u w:val="none"/>
              </w:rPr>
              <w:t>投标样品</w:t>
            </w:r>
          </w:p>
        </w:tc>
        <w:tc>
          <w:tcPr>
            <w:tcW w:w="4118" w:type="pct"/>
            <w:noWrap w:val="0"/>
            <w:vAlign w:val="center"/>
          </w:tcPr>
          <w:p w14:paraId="331BF5AB">
            <w:pPr>
              <w:keepNext w:val="0"/>
              <w:keepLines/>
              <w:pageBreakBefore w:val="0"/>
              <w:widowControl w:val="0"/>
              <w:kinsoku/>
              <w:wordWrap/>
              <w:overflowPunct/>
              <w:topLinePunct w:val="0"/>
              <w:autoSpaceDE/>
              <w:autoSpaceDN/>
              <w:bidi w:val="0"/>
              <w:adjustRightInd/>
              <w:spacing w:line="460" w:lineRule="exact"/>
              <w:rPr>
                <w:rFonts w:hint="eastAsia" w:ascii="新宋体" w:hAnsi="新宋体" w:eastAsia="新宋体" w:cs="Times New Roman"/>
                <w:b w:val="0"/>
                <w:bCs/>
                <w:color w:val="auto"/>
                <w:sz w:val="22"/>
                <w:highlight w:val="none"/>
                <w:u w:val="none"/>
              </w:rPr>
            </w:pPr>
            <w:r>
              <w:rPr>
                <w:rFonts w:hint="eastAsia" w:ascii="新宋体" w:hAnsi="新宋体" w:eastAsia="新宋体"/>
                <w:b w:val="0"/>
                <w:bCs/>
                <w:color w:val="auto"/>
                <w:sz w:val="22"/>
                <w:highlight w:val="none"/>
                <w:u w:val="none"/>
                <w:lang w:val="en-US" w:eastAsia="zh-CN"/>
              </w:rPr>
              <w:t>1、</w:t>
            </w:r>
            <w:r>
              <w:rPr>
                <w:rFonts w:hint="eastAsia" w:ascii="新宋体" w:hAnsi="新宋体" w:eastAsia="新宋体"/>
                <w:b w:val="0"/>
                <w:bCs/>
                <w:color w:val="auto"/>
                <w:sz w:val="22"/>
                <w:highlight w:val="none"/>
                <w:u w:val="none"/>
              </w:rPr>
              <w:t>供应商递交投标文件时须严格按照采购内容提交投标产品样品一套，包含（</w:t>
            </w:r>
            <w:r>
              <w:rPr>
                <w:rFonts w:hint="eastAsia" w:ascii="宋体" w:hAnsi="宋体" w:cs="宋体"/>
                <w:b w:val="0"/>
                <w:bCs/>
                <w:color w:val="auto"/>
                <w:sz w:val="22"/>
                <w:szCs w:val="22"/>
                <w:highlight w:val="none"/>
                <w:u w:val="none"/>
              </w:rPr>
              <w:t>肉松1份</w:t>
            </w:r>
            <w:r>
              <w:rPr>
                <w:rFonts w:hint="eastAsia" w:ascii="宋体" w:hAnsi="宋体" w:cs="宋体"/>
                <w:b w:val="0"/>
                <w:bCs/>
                <w:color w:val="auto"/>
                <w:sz w:val="22"/>
                <w:szCs w:val="22"/>
                <w:highlight w:val="none"/>
                <w:u w:val="none"/>
                <w:lang w:eastAsia="zh-CN"/>
              </w:rPr>
              <w:t>，</w:t>
            </w:r>
            <w:r>
              <w:rPr>
                <w:rFonts w:hint="eastAsia" w:ascii="宋体" w:hAnsi="宋体" w:cs="宋体"/>
                <w:b w:val="0"/>
                <w:bCs/>
                <w:color w:val="auto"/>
                <w:sz w:val="22"/>
                <w:szCs w:val="22"/>
                <w:highlight w:val="none"/>
                <w:u w:val="none"/>
              </w:rPr>
              <w:t>红枣1份</w:t>
            </w:r>
            <w:r>
              <w:rPr>
                <w:rFonts w:hint="eastAsia" w:ascii="宋体" w:hAnsi="宋体" w:cs="宋体"/>
                <w:b w:val="0"/>
                <w:bCs/>
                <w:color w:val="auto"/>
                <w:sz w:val="22"/>
                <w:szCs w:val="22"/>
                <w:highlight w:val="none"/>
                <w:u w:val="none"/>
                <w:lang w:eastAsia="zh-CN"/>
              </w:rPr>
              <w:t>，</w:t>
            </w:r>
            <w:r>
              <w:rPr>
                <w:rFonts w:hint="eastAsia" w:ascii="宋体" w:hAnsi="宋体" w:cs="宋体"/>
                <w:b w:val="0"/>
                <w:bCs/>
                <w:color w:val="auto"/>
                <w:sz w:val="22"/>
                <w:szCs w:val="22"/>
                <w:highlight w:val="none"/>
                <w:u w:val="none"/>
              </w:rPr>
              <w:t>牛肉片1份</w:t>
            </w:r>
            <w:r>
              <w:rPr>
                <w:rFonts w:hint="eastAsia" w:ascii="宋体" w:hAnsi="宋体" w:cs="宋体"/>
                <w:b w:val="0"/>
                <w:bCs/>
                <w:color w:val="auto"/>
                <w:sz w:val="22"/>
                <w:szCs w:val="22"/>
                <w:highlight w:val="none"/>
                <w:u w:val="none"/>
                <w:lang w:eastAsia="zh-CN"/>
              </w:rPr>
              <w:t>，</w:t>
            </w:r>
            <w:r>
              <w:rPr>
                <w:rFonts w:hint="eastAsia" w:ascii="宋体" w:hAnsi="宋体" w:cs="宋体"/>
                <w:b w:val="0"/>
                <w:bCs/>
                <w:color w:val="auto"/>
                <w:sz w:val="22"/>
                <w:szCs w:val="22"/>
                <w:highlight w:val="none"/>
                <w:u w:val="none"/>
                <w:lang w:val="en-US" w:eastAsia="zh-CN"/>
              </w:rPr>
              <w:t>鸭舌1份，混合</w:t>
            </w:r>
            <w:r>
              <w:rPr>
                <w:rFonts w:hint="eastAsia" w:ascii="宋体" w:hAnsi="宋体" w:cs="宋体"/>
                <w:b w:val="0"/>
                <w:bCs/>
                <w:color w:val="auto"/>
                <w:sz w:val="22"/>
                <w:szCs w:val="22"/>
                <w:highlight w:val="none"/>
                <w:u w:val="none"/>
              </w:rPr>
              <w:t>坚果礼盒1份</w:t>
            </w:r>
            <w:r>
              <w:rPr>
                <w:rFonts w:hint="eastAsia" w:ascii="新宋体" w:hAnsi="新宋体" w:eastAsia="新宋体"/>
                <w:b w:val="0"/>
                <w:bCs/>
                <w:color w:val="auto"/>
                <w:sz w:val="22"/>
                <w:highlight w:val="none"/>
                <w:u w:val="none"/>
              </w:rPr>
              <w:t>）；投标供应商提供样品时须提供</w:t>
            </w:r>
            <w:r>
              <w:rPr>
                <w:rFonts w:hint="eastAsia" w:ascii="新宋体" w:hAnsi="新宋体" w:eastAsia="新宋体"/>
                <w:b w:val="0"/>
                <w:bCs/>
                <w:color w:val="auto"/>
                <w:sz w:val="22"/>
                <w:highlight w:val="none"/>
                <w:u w:val="none"/>
                <w:lang w:val="en-US" w:eastAsia="zh-CN"/>
              </w:rPr>
              <w:t>红色</w:t>
            </w:r>
            <w:r>
              <w:rPr>
                <w:rFonts w:hint="eastAsia" w:ascii="新宋体" w:hAnsi="新宋体" w:eastAsia="新宋体"/>
                <w:b w:val="0"/>
                <w:bCs/>
                <w:color w:val="auto"/>
                <w:sz w:val="22"/>
                <w:highlight w:val="none"/>
                <w:u w:val="none"/>
              </w:rPr>
              <w:t>包装盒1个。（包装盒须完全装下一套样品，可以不加印“拥军慰问品”“ 温州市退役军人事务局”等字样）；投标样品统一密封快递或自行送达评审地点</w:t>
            </w:r>
            <w:r>
              <w:rPr>
                <w:rFonts w:hint="eastAsia" w:ascii="新宋体" w:hAnsi="新宋体" w:eastAsia="新宋体"/>
                <w:b w:val="0"/>
                <w:bCs/>
                <w:color w:val="auto"/>
                <w:sz w:val="22"/>
                <w:highlight w:val="none"/>
                <w:u w:val="none"/>
                <w:lang w:eastAsia="zh-CN"/>
              </w:rPr>
              <w:t>（温州市</w:t>
            </w:r>
            <w:r>
              <w:rPr>
                <w:rFonts w:hint="eastAsia" w:ascii="宋体" w:hAnsi="宋体" w:cs="宋体"/>
                <w:b w:val="0"/>
                <w:bCs/>
                <w:color w:val="auto"/>
                <w:sz w:val="22"/>
                <w:szCs w:val="22"/>
                <w:highlight w:val="none"/>
                <w:u w:val="none"/>
              </w:rPr>
              <w:t>鹿城区市府路新益大厦1幢601室</w:t>
            </w:r>
            <w:r>
              <w:rPr>
                <w:rFonts w:hint="eastAsia" w:ascii="新宋体" w:hAnsi="新宋体" w:eastAsia="新宋体"/>
                <w:b w:val="0"/>
                <w:bCs/>
                <w:color w:val="auto"/>
                <w:sz w:val="22"/>
                <w:highlight w:val="none"/>
                <w:u w:val="none"/>
                <w:lang w:eastAsia="zh-CN"/>
              </w:rPr>
              <w:t>）</w:t>
            </w:r>
          </w:p>
          <w:p w14:paraId="4FF6E55F">
            <w:pPr>
              <w:pStyle w:val="39"/>
              <w:keepNext w:val="0"/>
              <w:keepLines/>
              <w:pageBreakBefore w:val="0"/>
              <w:widowControl w:val="0"/>
              <w:kinsoku/>
              <w:wordWrap/>
              <w:overflowPunct/>
              <w:topLinePunct w:val="0"/>
              <w:autoSpaceDE/>
              <w:autoSpaceDN/>
              <w:bidi w:val="0"/>
              <w:adjustRightInd/>
              <w:spacing w:line="460" w:lineRule="exact"/>
              <w:ind w:left="0" w:leftChars="0" w:firstLine="0" w:firstLineChars="0"/>
              <w:rPr>
                <w:rFonts w:hint="eastAsia" w:ascii="新宋体" w:hAnsi="新宋体" w:eastAsia="新宋体" w:cs="Times New Roman"/>
                <w:b w:val="0"/>
                <w:bCs/>
                <w:color w:val="auto"/>
                <w:sz w:val="22"/>
                <w:szCs w:val="24"/>
                <w:highlight w:val="none"/>
                <w:u w:val="none"/>
              </w:rPr>
            </w:pPr>
            <w:r>
              <w:rPr>
                <w:rFonts w:hint="eastAsia" w:ascii="新宋体" w:hAnsi="新宋体" w:eastAsia="新宋体" w:cs="Times New Roman"/>
                <w:b w:val="0"/>
                <w:bCs/>
                <w:color w:val="auto"/>
                <w:sz w:val="22"/>
                <w:szCs w:val="24"/>
                <w:highlight w:val="none"/>
                <w:u w:val="none"/>
                <w:lang w:val="en-US" w:eastAsia="zh-CN"/>
              </w:rPr>
              <w:t>2、</w:t>
            </w:r>
            <w:r>
              <w:rPr>
                <w:rFonts w:hint="eastAsia" w:ascii="新宋体" w:hAnsi="新宋体" w:eastAsia="新宋体" w:cs="Times New Roman"/>
                <w:b w:val="0"/>
                <w:bCs/>
                <w:color w:val="auto"/>
                <w:sz w:val="22"/>
                <w:szCs w:val="24"/>
                <w:highlight w:val="none"/>
                <w:u w:val="none"/>
              </w:rPr>
              <w:t>评审小组有权对投标样品进行试吃、检测等。</w:t>
            </w:r>
          </w:p>
          <w:p w14:paraId="1C2AECA9">
            <w:pPr>
              <w:pStyle w:val="39"/>
              <w:keepNext w:val="0"/>
              <w:keepLines/>
              <w:pageBreakBefore w:val="0"/>
              <w:widowControl w:val="0"/>
              <w:kinsoku/>
              <w:wordWrap/>
              <w:overflowPunct/>
              <w:topLinePunct w:val="0"/>
              <w:autoSpaceDE/>
              <w:autoSpaceDN/>
              <w:bidi w:val="0"/>
              <w:adjustRightInd/>
              <w:spacing w:line="460" w:lineRule="exact"/>
              <w:ind w:left="0" w:leftChars="0" w:firstLine="0" w:firstLineChars="0"/>
              <w:rPr>
                <w:rFonts w:hint="default" w:ascii="新宋体" w:hAnsi="新宋体" w:eastAsia="新宋体" w:cs="Times New Roman"/>
                <w:b w:val="0"/>
                <w:bCs/>
                <w:color w:val="auto"/>
                <w:sz w:val="22"/>
                <w:szCs w:val="24"/>
                <w:highlight w:val="none"/>
                <w:u w:val="none"/>
                <w:lang w:val="en-US" w:eastAsia="zh-CN"/>
              </w:rPr>
            </w:pPr>
            <w:r>
              <w:rPr>
                <w:rFonts w:hint="eastAsia" w:ascii="新宋体" w:hAnsi="新宋体" w:eastAsia="新宋体" w:cs="Times New Roman"/>
                <w:b w:val="0"/>
                <w:bCs/>
                <w:color w:val="auto"/>
                <w:sz w:val="22"/>
                <w:szCs w:val="24"/>
                <w:highlight w:val="none"/>
                <w:u w:val="none"/>
                <w:lang w:val="en-US" w:eastAsia="zh-CN"/>
              </w:rPr>
              <w:t>3、</w:t>
            </w:r>
            <w:r>
              <w:rPr>
                <w:rFonts w:hint="eastAsia" w:ascii="宋体" w:hAnsi="宋体"/>
                <w:b w:val="0"/>
                <w:bCs/>
                <w:color w:val="auto"/>
                <w:sz w:val="22"/>
                <w:szCs w:val="22"/>
                <w:highlight w:val="none"/>
                <w:u w:val="none"/>
              </w:rPr>
              <w:t>评审程序结束后中标</w:t>
            </w:r>
            <w:r>
              <w:rPr>
                <w:rFonts w:hint="eastAsia" w:ascii="宋体" w:hAnsi="宋体"/>
                <w:b w:val="0"/>
                <w:bCs/>
                <w:color w:val="auto"/>
                <w:sz w:val="22"/>
                <w:szCs w:val="22"/>
                <w:highlight w:val="none"/>
                <w:u w:val="none"/>
                <w:lang w:eastAsia="zh-CN"/>
              </w:rPr>
              <w:t>候选人</w:t>
            </w:r>
            <w:r>
              <w:rPr>
                <w:rFonts w:hint="eastAsia" w:ascii="宋体" w:hAnsi="宋体"/>
                <w:b w:val="0"/>
                <w:bCs/>
                <w:color w:val="auto"/>
                <w:sz w:val="22"/>
                <w:szCs w:val="22"/>
                <w:highlight w:val="none"/>
                <w:u w:val="none"/>
              </w:rPr>
              <w:t>样品及外包装交由采购人封存，作为中标供应商供货标准，供应商投标样品需在评审结束后三个</w:t>
            </w:r>
            <w:r>
              <w:rPr>
                <w:rFonts w:hint="eastAsia" w:ascii="宋体" w:hAnsi="宋体"/>
                <w:b w:val="0"/>
                <w:bCs/>
                <w:color w:val="auto"/>
                <w:sz w:val="22"/>
                <w:szCs w:val="22"/>
                <w:highlight w:val="none"/>
                <w:u w:val="none"/>
                <w:lang w:val="en-US" w:eastAsia="zh-CN"/>
              </w:rPr>
              <w:t>工作日</w:t>
            </w:r>
            <w:r>
              <w:rPr>
                <w:rFonts w:hint="eastAsia" w:ascii="宋体" w:hAnsi="宋体"/>
                <w:b w:val="0"/>
                <w:bCs/>
                <w:color w:val="auto"/>
                <w:sz w:val="22"/>
                <w:szCs w:val="22"/>
                <w:highlight w:val="none"/>
                <w:u w:val="none"/>
              </w:rPr>
              <w:t>内自取，逾期代理机构自行处理，不予退还。</w:t>
            </w:r>
          </w:p>
        </w:tc>
      </w:tr>
      <w:tr w14:paraId="0636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81" w:type="pct"/>
            <w:noWrap w:val="0"/>
            <w:vAlign w:val="center"/>
          </w:tcPr>
          <w:p w14:paraId="7EC403D6">
            <w:pPr>
              <w:keepNext w:val="0"/>
              <w:keepLines/>
              <w:pageBreakBefore w:val="0"/>
              <w:widowControl w:val="0"/>
              <w:kinsoku/>
              <w:wordWrap/>
              <w:overflowPunct/>
              <w:topLinePunct w:val="0"/>
              <w:autoSpaceDE/>
              <w:autoSpaceDN/>
              <w:bidi w:val="0"/>
              <w:adjustRightInd/>
              <w:spacing w:line="460" w:lineRule="exact"/>
              <w:jc w:val="center"/>
              <w:rPr>
                <w:rFonts w:hint="eastAsia" w:ascii="新宋体" w:hAnsi="新宋体" w:eastAsia="新宋体"/>
                <w:b/>
                <w:bCs w:val="0"/>
                <w:color w:val="auto"/>
                <w:sz w:val="22"/>
                <w:highlight w:val="none"/>
                <w:u w:val="none"/>
                <w:lang w:val="en-US" w:eastAsia="zh-CN"/>
              </w:rPr>
            </w:pPr>
            <w:r>
              <w:rPr>
                <w:rFonts w:hint="eastAsia" w:ascii="新宋体" w:hAnsi="新宋体" w:eastAsia="新宋体"/>
                <w:b/>
                <w:bCs w:val="0"/>
                <w:color w:val="auto"/>
                <w:sz w:val="22"/>
                <w:highlight w:val="none"/>
                <w:u w:val="none"/>
                <w:lang w:val="en-US" w:eastAsia="zh-CN"/>
              </w:rPr>
              <w:t>包装要求</w:t>
            </w:r>
          </w:p>
        </w:tc>
        <w:tc>
          <w:tcPr>
            <w:tcW w:w="4118" w:type="pct"/>
            <w:noWrap w:val="0"/>
            <w:vAlign w:val="center"/>
          </w:tcPr>
          <w:p w14:paraId="3EBD565C">
            <w:pPr>
              <w:keepNext w:val="0"/>
              <w:keepLines/>
              <w:pageBreakBefore w:val="0"/>
              <w:widowControl w:val="0"/>
              <w:numPr>
                <w:ilvl w:val="0"/>
                <w:numId w:val="0"/>
              </w:numPr>
              <w:kinsoku/>
              <w:wordWrap/>
              <w:overflowPunct/>
              <w:topLinePunct w:val="0"/>
              <w:autoSpaceDE/>
              <w:autoSpaceDN/>
              <w:bidi w:val="0"/>
              <w:adjustRightInd/>
              <w:spacing w:line="460" w:lineRule="exact"/>
              <w:rPr>
                <w:rFonts w:hint="eastAsia" w:ascii="新宋体" w:hAnsi="新宋体" w:eastAsia="宋体" w:cs="Times New Roman"/>
                <w:b w:val="0"/>
                <w:bCs/>
                <w:color w:val="auto"/>
                <w:sz w:val="22"/>
                <w:szCs w:val="24"/>
                <w:highlight w:val="none"/>
                <w:u w:val="none"/>
                <w:lang w:val="en-US" w:eastAsia="zh-CN"/>
              </w:rPr>
            </w:pPr>
            <w:r>
              <w:rPr>
                <w:rFonts w:hint="eastAsia" w:ascii="宋体" w:hAnsi="宋体" w:cs="宋体"/>
                <w:b w:val="0"/>
                <w:bCs/>
                <w:color w:val="auto"/>
                <w:sz w:val="22"/>
                <w:szCs w:val="22"/>
                <w:highlight w:val="none"/>
                <w:u w:val="single"/>
              </w:rPr>
              <w:t>▲</w:t>
            </w:r>
            <w:r>
              <w:rPr>
                <w:rFonts w:hint="eastAsia" w:ascii="宋体" w:hAnsi="宋体"/>
                <w:b w:val="0"/>
                <w:bCs/>
                <w:color w:val="auto"/>
                <w:kern w:val="0"/>
                <w:sz w:val="22"/>
                <w:szCs w:val="22"/>
                <w:highlight w:val="none"/>
                <w:u w:val="single"/>
              </w:rPr>
              <w:t>投标供应商须提供能完全装下每份慰问物资的</w:t>
            </w:r>
            <w:r>
              <w:rPr>
                <w:rFonts w:hint="eastAsia" w:ascii="宋体" w:hAnsi="宋体"/>
                <w:b w:val="0"/>
                <w:bCs/>
                <w:color w:val="auto"/>
                <w:kern w:val="0"/>
                <w:sz w:val="22"/>
                <w:szCs w:val="22"/>
                <w:highlight w:val="none"/>
                <w:u w:val="single"/>
                <w:lang w:val="en-US" w:eastAsia="zh-CN"/>
              </w:rPr>
              <w:t>红色精品礼包</w:t>
            </w:r>
            <w:r>
              <w:rPr>
                <w:rFonts w:hint="eastAsia" w:ascii="宋体" w:hAnsi="宋体"/>
                <w:b w:val="0"/>
                <w:bCs/>
                <w:color w:val="auto"/>
                <w:kern w:val="0"/>
                <w:sz w:val="22"/>
                <w:szCs w:val="22"/>
                <w:highlight w:val="none"/>
                <w:u w:val="single"/>
              </w:rPr>
              <w:t>盒，</w:t>
            </w:r>
            <w:r>
              <w:rPr>
                <w:rFonts w:hint="eastAsia" w:ascii="宋体" w:hAnsi="宋体"/>
                <w:b w:val="0"/>
                <w:bCs/>
                <w:color w:val="auto"/>
                <w:kern w:val="0"/>
                <w:sz w:val="22"/>
                <w:szCs w:val="22"/>
                <w:highlight w:val="none"/>
                <w:u w:val="single"/>
                <w:lang w:val="en-US" w:eastAsia="zh-CN"/>
              </w:rPr>
              <w:t>礼包</w:t>
            </w:r>
            <w:r>
              <w:rPr>
                <w:rFonts w:hint="eastAsia" w:ascii="宋体" w:hAnsi="宋体"/>
                <w:b w:val="0"/>
                <w:bCs/>
                <w:color w:val="auto"/>
                <w:kern w:val="0"/>
                <w:sz w:val="22"/>
                <w:szCs w:val="22"/>
                <w:highlight w:val="none"/>
                <w:u w:val="single"/>
              </w:rPr>
              <w:t>盒</w:t>
            </w:r>
            <w:r>
              <w:rPr>
                <w:rFonts w:hint="eastAsia" w:ascii="宋体" w:hAnsi="宋体"/>
                <w:b w:val="0"/>
                <w:bCs/>
                <w:color w:val="auto"/>
                <w:kern w:val="0"/>
                <w:sz w:val="22"/>
                <w:szCs w:val="22"/>
                <w:highlight w:val="none"/>
                <w:u w:val="single"/>
                <w:lang w:val="en-US" w:eastAsia="zh-CN"/>
              </w:rPr>
              <w:t>包装左下角粘贴或印刷“中共温州市委温州市人民政府”标识的标签并有军人元素的背景。 采购人若要求调整礼包盒设计，供应商须无条件响应。</w:t>
            </w:r>
          </w:p>
        </w:tc>
      </w:tr>
      <w:tr w14:paraId="5387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81" w:type="pct"/>
            <w:noWrap w:val="0"/>
            <w:vAlign w:val="center"/>
          </w:tcPr>
          <w:p w14:paraId="045612AA">
            <w:pPr>
              <w:keepNext w:val="0"/>
              <w:keepLines/>
              <w:pageBreakBefore w:val="0"/>
              <w:widowControl w:val="0"/>
              <w:kinsoku/>
              <w:wordWrap/>
              <w:overflowPunct/>
              <w:topLinePunct w:val="0"/>
              <w:autoSpaceDE/>
              <w:autoSpaceDN/>
              <w:bidi w:val="0"/>
              <w:adjustRightInd/>
              <w:spacing w:line="460" w:lineRule="exact"/>
              <w:jc w:val="center"/>
              <w:rPr>
                <w:rFonts w:hint="eastAsia" w:ascii="新宋体" w:hAnsi="新宋体" w:eastAsia="新宋体"/>
                <w:b/>
                <w:bCs w:val="0"/>
                <w:color w:val="auto"/>
                <w:sz w:val="22"/>
                <w:highlight w:val="none"/>
                <w:u w:val="none"/>
                <w:lang w:val="en-US" w:eastAsia="zh-CN"/>
              </w:rPr>
            </w:pPr>
            <w:r>
              <w:rPr>
                <w:rFonts w:hint="eastAsia" w:ascii="新宋体" w:hAnsi="新宋体" w:eastAsia="新宋体"/>
                <w:b/>
                <w:bCs w:val="0"/>
                <w:color w:val="auto"/>
                <w:sz w:val="22"/>
                <w:highlight w:val="none"/>
                <w:u w:val="none"/>
                <w:lang w:val="en-US" w:eastAsia="zh-CN"/>
              </w:rPr>
              <w:t>售后服务</w:t>
            </w:r>
          </w:p>
        </w:tc>
        <w:tc>
          <w:tcPr>
            <w:tcW w:w="4118" w:type="pct"/>
            <w:noWrap w:val="0"/>
            <w:vAlign w:val="center"/>
          </w:tcPr>
          <w:p w14:paraId="7233370E">
            <w:pPr>
              <w:pStyle w:val="39"/>
              <w:keepNext w:val="0"/>
              <w:keepLines/>
              <w:pageBreakBefore w:val="0"/>
              <w:widowControl w:val="0"/>
              <w:kinsoku/>
              <w:wordWrap/>
              <w:overflowPunct/>
              <w:topLinePunct w:val="0"/>
              <w:autoSpaceDE/>
              <w:autoSpaceDN/>
              <w:bidi w:val="0"/>
              <w:adjustRightInd/>
              <w:spacing w:line="460" w:lineRule="exact"/>
              <w:ind w:left="0" w:leftChars="0" w:firstLine="0" w:firstLineChars="0"/>
              <w:rPr>
                <w:rFonts w:hint="eastAsia" w:ascii="新宋体" w:hAnsi="新宋体" w:eastAsia="新宋体" w:cs="Times New Roman"/>
                <w:b w:val="0"/>
                <w:bCs/>
                <w:color w:val="auto"/>
                <w:sz w:val="22"/>
                <w:szCs w:val="24"/>
                <w:highlight w:val="none"/>
                <w:u w:val="none"/>
                <w:lang w:val="en-US" w:eastAsia="zh-CN"/>
              </w:rPr>
            </w:pPr>
            <w:r>
              <w:rPr>
                <w:rFonts w:hint="eastAsia" w:ascii="宋体" w:hAnsi="宋体" w:cs="宋体"/>
                <w:b w:val="0"/>
                <w:bCs/>
                <w:color w:val="auto"/>
                <w:sz w:val="22"/>
                <w:szCs w:val="22"/>
                <w:highlight w:val="none"/>
                <w:u w:val="single"/>
              </w:rPr>
              <w:t>▲</w:t>
            </w:r>
            <w:r>
              <w:rPr>
                <w:rFonts w:hint="eastAsia" w:ascii="宋体" w:hAnsi="宋体"/>
                <w:b w:val="0"/>
                <w:bCs/>
                <w:color w:val="auto"/>
                <w:kern w:val="0"/>
                <w:sz w:val="22"/>
                <w:szCs w:val="22"/>
                <w:highlight w:val="none"/>
                <w:u w:val="single"/>
              </w:rPr>
              <w:t>若有损坏或不合格货物出现，中标人必须在3天内根据采购人要求无条件予以换发合格货物。</w:t>
            </w:r>
          </w:p>
        </w:tc>
      </w:tr>
      <w:tr w14:paraId="163E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pct"/>
            <w:noWrap w:val="0"/>
            <w:vAlign w:val="center"/>
          </w:tcPr>
          <w:p w14:paraId="22320146">
            <w:pPr>
              <w:keepNext w:val="0"/>
              <w:keepLines/>
              <w:pageBreakBefore w:val="0"/>
              <w:widowControl w:val="0"/>
              <w:kinsoku/>
              <w:wordWrap/>
              <w:overflowPunct/>
              <w:topLinePunct w:val="0"/>
              <w:autoSpaceDE/>
              <w:autoSpaceDN/>
              <w:bidi w:val="0"/>
              <w:adjustRightInd/>
              <w:spacing w:line="460" w:lineRule="exact"/>
              <w:jc w:val="center"/>
              <w:rPr>
                <w:rFonts w:hint="eastAsia" w:ascii="新宋体" w:hAnsi="新宋体" w:eastAsia="新宋体"/>
                <w:b/>
                <w:bCs w:val="0"/>
                <w:color w:val="auto"/>
                <w:sz w:val="22"/>
                <w:highlight w:val="none"/>
                <w:u w:val="single"/>
                <w:lang w:val="en-US" w:eastAsia="zh-CN"/>
              </w:rPr>
            </w:pPr>
            <w:r>
              <w:rPr>
                <w:rFonts w:hint="eastAsia" w:ascii="新宋体" w:hAnsi="新宋体" w:eastAsia="新宋体"/>
                <w:b/>
                <w:bCs w:val="0"/>
                <w:color w:val="auto"/>
                <w:sz w:val="22"/>
                <w:highlight w:val="none"/>
                <w:u w:val="single"/>
                <w:lang w:val="en-US" w:eastAsia="zh-CN"/>
              </w:rPr>
              <w:t>其他</w:t>
            </w:r>
          </w:p>
        </w:tc>
        <w:tc>
          <w:tcPr>
            <w:tcW w:w="4118" w:type="pct"/>
            <w:noWrap w:val="0"/>
            <w:vAlign w:val="center"/>
          </w:tcPr>
          <w:p w14:paraId="4D208726">
            <w:pPr>
              <w:keepNext w:val="0"/>
              <w:keepLines/>
              <w:pageBreakBefore w:val="0"/>
              <w:widowControl w:val="0"/>
              <w:kinsoku/>
              <w:wordWrap/>
              <w:overflowPunct/>
              <w:topLinePunct w:val="0"/>
              <w:autoSpaceDE/>
              <w:autoSpaceDN/>
              <w:bidi w:val="0"/>
              <w:adjustRightInd/>
              <w:spacing w:line="460" w:lineRule="exact"/>
              <w:rPr>
                <w:rFonts w:hint="eastAsia" w:ascii="新宋体" w:hAnsi="新宋体" w:eastAsia="新宋体"/>
                <w:b w:val="0"/>
                <w:bCs/>
                <w:color w:val="auto"/>
                <w:sz w:val="22"/>
                <w:szCs w:val="22"/>
                <w:highlight w:val="none"/>
                <w:u w:val="single"/>
              </w:rPr>
            </w:pPr>
            <w:r>
              <w:rPr>
                <w:rFonts w:hint="eastAsia" w:ascii="宋体" w:hAnsi="宋体" w:cs="宋体"/>
                <w:b w:val="0"/>
                <w:bCs/>
                <w:color w:val="auto"/>
                <w:sz w:val="22"/>
                <w:szCs w:val="22"/>
                <w:highlight w:val="none"/>
                <w:u w:val="single"/>
              </w:rPr>
              <w:t>▲</w:t>
            </w:r>
            <w:r>
              <w:rPr>
                <w:rFonts w:hint="eastAsia" w:ascii="新宋体" w:hAnsi="新宋体" w:eastAsia="新宋体" w:cs="新宋体"/>
                <w:b w:val="0"/>
                <w:bCs/>
                <w:color w:val="auto"/>
                <w:sz w:val="22"/>
                <w:szCs w:val="22"/>
                <w:highlight w:val="none"/>
                <w:u w:val="single"/>
              </w:rPr>
              <w:t>1、本项目单套预算为</w:t>
            </w:r>
            <w:r>
              <w:rPr>
                <w:rFonts w:hint="eastAsia" w:ascii="新宋体" w:hAnsi="新宋体" w:eastAsia="新宋体"/>
                <w:b w:val="0"/>
                <w:bCs/>
                <w:color w:val="auto"/>
                <w:sz w:val="22"/>
                <w:szCs w:val="22"/>
                <w:highlight w:val="none"/>
                <w:u w:val="single"/>
              </w:rPr>
              <w:t>人民币</w:t>
            </w:r>
            <w:r>
              <w:rPr>
                <w:rFonts w:hint="eastAsia" w:ascii="新宋体" w:hAnsi="新宋体" w:eastAsia="新宋体" w:cs="新宋体"/>
                <w:b w:val="0"/>
                <w:bCs/>
                <w:color w:val="auto"/>
                <w:sz w:val="22"/>
                <w:szCs w:val="22"/>
                <w:highlight w:val="none"/>
                <w:u w:val="single"/>
                <w:lang w:val="en-US" w:eastAsia="zh-CN"/>
              </w:rPr>
              <w:t>伍佰肆拾</w:t>
            </w:r>
            <w:r>
              <w:rPr>
                <w:rFonts w:hint="eastAsia" w:ascii="新宋体" w:hAnsi="新宋体" w:eastAsia="新宋体" w:cs="新宋体"/>
                <w:b w:val="0"/>
                <w:bCs/>
                <w:color w:val="auto"/>
                <w:sz w:val="22"/>
                <w:szCs w:val="22"/>
                <w:highlight w:val="none"/>
                <w:u w:val="single"/>
              </w:rPr>
              <w:t>元整（¥</w:t>
            </w:r>
            <w:r>
              <w:rPr>
                <w:rFonts w:hint="eastAsia" w:ascii="新宋体" w:hAnsi="新宋体" w:eastAsia="新宋体" w:cs="新宋体"/>
                <w:b w:val="0"/>
                <w:bCs/>
                <w:color w:val="auto"/>
                <w:sz w:val="22"/>
                <w:szCs w:val="22"/>
                <w:highlight w:val="none"/>
                <w:u w:val="single"/>
                <w:lang w:val="en-US" w:eastAsia="zh-CN"/>
              </w:rPr>
              <w:t>54</w:t>
            </w:r>
            <w:r>
              <w:rPr>
                <w:rFonts w:hint="eastAsia" w:ascii="新宋体" w:hAnsi="新宋体" w:eastAsia="新宋体" w:cs="新宋体"/>
                <w:b w:val="0"/>
                <w:bCs/>
                <w:color w:val="auto"/>
                <w:sz w:val="22"/>
                <w:szCs w:val="22"/>
                <w:highlight w:val="none"/>
                <w:u w:val="single"/>
              </w:rPr>
              <w:t>0.00元）</w:t>
            </w:r>
            <w:r>
              <w:rPr>
                <w:rFonts w:hint="eastAsia" w:ascii="新宋体" w:hAnsi="新宋体" w:eastAsia="新宋体"/>
                <w:b w:val="0"/>
                <w:bCs/>
                <w:color w:val="auto"/>
                <w:sz w:val="22"/>
                <w:szCs w:val="22"/>
                <w:highlight w:val="none"/>
                <w:u w:val="single"/>
              </w:rPr>
              <w:t>，具体采购总额以最终采购数量为准。</w:t>
            </w:r>
            <w:r>
              <w:rPr>
                <w:rFonts w:hint="eastAsia" w:ascii="新宋体" w:hAnsi="新宋体" w:eastAsia="新宋体" w:cs="新宋体"/>
                <w:b w:val="0"/>
                <w:bCs/>
                <w:color w:val="auto"/>
                <w:sz w:val="22"/>
                <w:szCs w:val="22"/>
                <w:highlight w:val="none"/>
                <w:u w:val="single"/>
              </w:rPr>
              <w:t>如投标供应商报价超过单套预算的按无效标处理。本项目</w:t>
            </w:r>
            <w:r>
              <w:rPr>
                <w:rFonts w:hint="eastAsia" w:ascii="新宋体" w:hAnsi="新宋体" w:eastAsia="新宋体"/>
                <w:b w:val="0"/>
                <w:bCs/>
                <w:color w:val="auto"/>
                <w:sz w:val="22"/>
                <w:szCs w:val="22"/>
                <w:highlight w:val="none"/>
                <w:u w:val="single"/>
              </w:rPr>
              <w:t>总采购金额不超过玖拾万元整（¥9</w:t>
            </w:r>
            <w:r>
              <w:rPr>
                <w:rFonts w:hint="eastAsia" w:ascii="新宋体" w:hAnsi="新宋体" w:eastAsia="新宋体"/>
                <w:b w:val="0"/>
                <w:bCs/>
                <w:color w:val="auto"/>
                <w:sz w:val="22"/>
                <w:szCs w:val="22"/>
                <w:highlight w:val="none"/>
                <w:u w:val="single"/>
                <w:lang w:val="en-US" w:eastAsia="zh-CN"/>
              </w:rPr>
              <w:t>0</w:t>
            </w:r>
            <w:r>
              <w:rPr>
                <w:rFonts w:hint="eastAsia" w:ascii="新宋体" w:hAnsi="新宋体" w:eastAsia="新宋体"/>
                <w:b w:val="0"/>
                <w:bCs/>
                <w:color w:val="auto"/>
                <w:sz w:val="22"/>
                <w:szCs w:val="22"/>
                <w:highlight w:val="none"/>
                <w:u w:val="single"/>
              </w:rPr>
              <w:t>0000.00元）。</w:t>
            </w:r>
          </w:p>
          <w:p w14:paraId="7D103BE9">
            <w:pPr>
              <w:keepNext w:val="0"/>
              <w:keepLines/>
              <w:pageBreakBefore w:val="0"/>
              <w:widowControl w:val="0"/>
              <w:kinsoku/>
              <w:wordWrap/>
              <w:overflowPunct/>
              <w:topLinePunct w:val="0"/>
              <w:autoSpaceDE/>
              <w:autoSpaceDN/>
              <w:bidi w:val="0"/>
              <w:adjustRightInd/>
              <w:spacing w:line="460" w:lineRule="exact"/>
              <w:rPr>
                <w:rFonts w:hint="eastAsia" w:ascii="宋体" w:hAnsi="宋体" w:cs="宋体"/>
                <w:b w:val="0"/>
                <w:bCs/>
                <w:color w:val="auto"/>
                <w:sz w:val="22"/>
                <w:szCs w:val="22"/>
                <w:highlight w:val="none"/>
                <w:u w:val="single"/>
              </w:rPr>
            </w:pPr>
            <w:r>
              <w:rPr>
                <w:rFonts w:hint="eastAsia" w:ascii="宋体" w:hAnsi="宋体" w:cs="宋体"/>
                <w:b w:val="0"/>
                <w:bCs/>
                <w:color w:val="auto"/>
                <w:sz w:val="22"/>
                <w:szCs w:val="22"/>
                <w:highlight w:val="none"/>
                <w:u w:val="single"/>
              </w:rPr>
              <w:t>▲2、单套产品含（肉松1份</w:t>
            </w:r>
            <w:r>
              <w:rPr>
                <w:rFonts w:hint="eastAsia" w:ascii="宋体" w:hAnsi="宋体" w:cs="宋体"/>
                <w:b w:val="0"/>
                <w:bCs/>
                <w:color w:val="auto"/>
                <w:sz w:val="22"/>
                <w:szCs w:val="22"/>
                <w:highlight w:val="none"/>
                <w:u w:val="single"/>
                <w:lang w:eastAsia="zh-CN"/>
              </w:rPr>
              <w:t>，</w:t>
            </w:r>
            <w:r>
              <w:rPr>
                <w:rFonts w:hint="eastAsia" w:ascii="宋体" w:hAnsi="宋体" w:cs="宋体"/>
                <w:b w:val="0"/>
                <w:bCs/>
                <w:color w:val="auto"/>
                <w:sz w:val="22"/>
                <w:szCs w:val="22"/>
                <w:highlight w:val="none"/>
                <w:u w:val="single"/>
              </w:rPr>
              <w:t>红枣1份</w:t>
            </w:r>
            <w:r>
              <w:rPr>
                <w:rFonts w:hint="eastAsia" w:ascii="宋体" w:hAnsi="宋体" w:cs="宋体"/>
                <w:b w:val="0"/>
                <w:bCs/>
                <w:color w:val="auto"/>
                <w:sz w:val="22"/>
                <w:szCs w:val="22"/>
                <w:highlight w:val="none"/>
                <w:u w:val="single"/>
                <w:lang w:eastAsia="zh-CN"/>
              </w:rPr>
              <w:t>，</w:t>
            </w:r>
            <w:r>
              <w:rPr>
                <w:rFonts w:hint="eastAsia" w:ascii="宋体" w:hAnsi="宋体" w:cs="宋体"/>
                <w:b w:val="0"/>
                <w:bCs/>
                <w:color w:val="auto"/>
                <w:sz w:val="22"/>
                <w:szCs w:val="22"/>
                <w:highlight w:val="none"/>
                <w:u w:val="single"/>
              </w:rPr>
              <w:t>牛肉片1份</w:t>
            </w:r>
            <w:r>
              <w:rPr>
                <w:rFonts w:hint="eastAsia" w:ascii="宋体" w:hAnsi="宋体" w:cs="宋体"/>
                <w:b w:val="0"/>
                <w:bCs/>
                <w:color w:val="auto"/>
                <w:sz w:val="22"/>
                <w:szCs w:val="22"/>
                <w:highlight w:val="none"/>
                <w:u w:val="single"/>
                <w:lang w:eastAsia="zh-CN"/>
              </w:rPr>
              <w:t>，</w:t>
            </w:r>
            <w:r>
              <w:rPr>
                <w:rFonts w:hint="eastAsia" w:ascii="宋体" w:hAnsi="宋体" w:cs="宋体"/>
                <w:b w:val="0"/>
                <w:bCs/>
                <w:color w:val="auto"/>
                <w:sz w:val="22"/>
                <w:szCs w:val="22"/>
                <w:highlight w:val="none"/>
                <w:u w:val="single"/>
                <w:lang w:val="en-US" w:eastAsia="zh-CN"/>
              </w:rPr>
              <w:t>鸭舌1份，混合</w:t>
            </w:r>
            <w:r>
              <w:rPr>
                <w:rFonts w:hint="eastAsia" w:ascii="宋体" w:hAnsi="宋体" w:cs="宋体"/>
                <w:b w:val="0"/>
                <w:bCs/>
                <w:color w:val="auto"/>
                <w:sz w:val="22"/>
                <w:szCs w:val="22"/>
                <w:highlight w:val="none"/>
                <w:u w:val="single"/>
              </w:rPr>
              <w:t>坚果礼盒1份），不得提供非卖品。</w:t>
            </w:r>
          </w:p>
          <w:p w14:paraId="64746735">
            <w:pPr>
              <w:keepNext w:val="0"/>
              <w:keepLines/>
              <w:pageBreakBefore w:val="0"/>
              <w:widowControl w:val="0"/>
              <w:tabs>
                <w:tab w:val="left" w:pos="360"/>
              </w:tabs>
              <w:kinsoku/>
              <w:wordWrap/>
              <w:overflowPunct/>
              <w:topLinePunct w:val="0"/>
              <w:autoSpaceDE/>
              <w:autoSpaceDN/>
              <w:bidi w:val="0"/>
              <w:adjustRightInd/>
              <w:spacing w:line="460" w:lineRule="exact"/>
              <w:rPr>
                <w:rFonts w:hint="eastAsia" w:ascii="新宋体" w:hAnsi="新宋体" w:eastAsia="新宋体" w:cs="新宋体"/>
                <w:b w:val="0"/>
                <w:bCs/>
                <w:color w:val="auto"/>
                <w:sz w:val="22"/>
                <w:szCs w:val="22"/>
                <w:highlight w:val="none"/>
                <w:u w:val="none"/>
              </w:rPr>
            </w:pPr>
            <w:r>
              <w:rPr>
                <w:rFonts w:hint="eastAsia" w:ascii="新宋体" w:hAnsi="新宋体" w:eastAsia="新宋体" w:cs="新宋体"/>
                <w:b w:val="0"/>
                <w:bCs/>
                <w:color w:val="auto"/>
                <w:sz w:val="22"/>
                <w:szCs w:val="22"/>
                <w:highlight w:val="none"/>
                <w:u w:val="none"/>
                <w:lang w:val="en-US" w:eastAsia="zh-CN"/>
              </w:rPr>
              <w:t>3</w:t>
            </w:r>
            <w:r>
              <w:rPr>
                <w:rFonts w:hint="eastAsia" w:ascii="新宋体" w:hAnsi="新宋体" w:eastAsia="新宋体" w:cs="新宋体"/>
                <w:b w:val="0"/>
                <w:bCs/>
                <w:color w:val="auto"/>
                <w:sz w:val="22"/>
                <w:szCs w:val="22"/>
                <w:highlight w:val="none"/>
                <w:u w:val="none"/>
              </w:rPr>
              <w:t>、投标供应商</w:t>
            </w:r>
            <w:r>
              <w:rPr>
                <w:rFonts w:hint="eastAsia" w:ascii="宋体" w:hAnsi="宋体"/>
                <w:b w:val="0"/>
                <w:bCs/>
                <w:color w:val="auto"/>
                <w:kern w:val="0"/>
                <w:sz w:val="22"/>
                <w:szCs w:val="22"/>
                <w:highlight w:val="none"/>
                <w:u w:val="none"/>
              </w:rPr>
              <w:t>所投产品必须符合国家有关的生产规范、标准</w:t>
            </w:r>
            <w:r>
              <w:rPr>
                <w:rFonts w:hint="eastAsia" w:ascii="新宋体" w:hAnsi="新宋体" w:eastAsia="新宋体" w:cs="新宋体"/>
                <w:b w:val="0"/>
                <w:bCs/>
                <w:color w:val="auto"/>
                <w:sz w:val="22"/>
                <w:szCs w:val="22"/>
                <w:highlight w:val="none"/>
                <w:u w:val="none"/>
              </w:rPr>
              <w:t>。</w:t>
            </w:r>
          </w:p>
          <w:p w14:paraId="2B6BF614">
            <w:pPr>
              <w:keepNext w:val="0"/>
              <w:keepLines/>
              <w:pageBreakBefore w:val="0"/>
              <w:widowControl w:val="0"/>
              <w:tabs>
                <w:tab w:val="left" w:pos="360"/>
              </w:tabs>
              <w:kinsoku/>
              <w:wordWrap/>
              <w:overflowPunct/>
              <w:topLinePunct w:val="0"/>
              <w:autoSpaceDE/>
              <w:autoSpaceDN/>
              <w:bidi w:val="0"/>
              <w:adjustRightInd/>
              <w:spacing w:line="460" w:lineRule="exact"/>
              <w:rPr>
                <w:rFonts w:hint="eastAsia" w:ascii="新宋体" w:hAnsi="新宋体" w:eastAsia="新宋体" w:cs="新宋体"/>
                <w:b w:val="0"/>
                <w:bCs/>
                <w:color w:val="auto"/>
                <w:sz w:val="22"/>
                <w:szCs w:val="22"/>
                <w:highlight w:val="none"/>
                <w:u w:val="none"/>
              </w:rPr>
            </w:pPr>
            <w:r>
              <w:rPr>
                <w:rFonts w:hint="eastAsia" w:ascii="新宋体" w:hAnsi="新宋体" w:eastAsia="新宋体" w:cs="新宋体"/>
                <w:b w:val="0"/>
                <w:bCs/>
                <w:color w:val="auto"/>
                <w:sz w:val="22"/>
                <w:szCs w:val="22"/>
                <w:highlight w:val="none"/>
                <w:u w:val="none"/>
                <w:lang w:val="en-US" w:eastAsia="zh-CN"/>
              </w:rPr>
              <w:t>4</w:t>
            </w:r>
            <w:r>
              <w:rPr>
                <w:rFonts w:hint="eastAsia" w:ascii="新宋体" w:hAnsi="新宋体" w:eastAsia="新宋体" w:cs="新宋体"/>
                <w:b w:val="0"/>
                <w:bCs/>
                <w:color w:val="auto"/>
                <w:sz w:val="22"/>
                <w:szCs w:val="22"/>
                <w:highlight w:val="none"/>
                <w:u w:val="none"/>
              </w:rPr>
              <w:t>、所涉及产品的产品标准、规范，验收标准、规范，应符合国家有关条例及规范，如有新的标准应采纳新标准，如是国外相应标准应得到招标人认可。</w:t>
            </w:r>
          </w:p>
          <w:p w14:paraId="7BAA4812">
            <w:pPr>
              <w:keepNext w:val="0"/>
              <w:keepLines/>
              <w:pageBreakBefore w:val="0"/>
              <w:widowControl w:val="0"/>
              <w:tabs>
                <w:tab w:val="left" w:pos="360"/>
              </w:tabs>
              <w:kinsoku/>
              <w:wordWrap/>
              <w:overflowPunct/>
              <w:topLinePunct w:val="0"/>
              <w:autoSpaceDE/>
              <w:autoSpaceDN/>
              <w:bidi w:val="0"/>
              <w:adjustRightInd/>
              <w:spacing w:line="460" w:lineRule="exact"/>
              <w:rPr>
                <w:rFonts w:hint="eastAsia" w:ascii="新宋体" w:hAnsi="新宋体" w:eastAsia="新宋体" w:cs="新宋体"/>
                <w:b w:val="0"/>
                <w:bCs/>
                <w:color w:val="auto"/>
                <w:sz w:val="22"/>
                <w:szCs w:val="22"/>
                <w:highlight w:val="none"/>
                <w:u w:val="none"/>
              </w:rPr>
            </w:pPr>
            <w:r>
              <w:rPr>
                <w:rFonts w:hint="eastAsia" w:ascii="新宋体" w:hAnsi="新宋体" w:eastAsia="新宋体" w:cs="新宋体"/>
                <w:b w:val="0"/>
                <w:bCs/>
                <w:color w:val="auto"/>
                <w:sz w:val="22"/>
                <w:szCs w:val="22"/>
                <w:highlight w:val="none"/>
                <w:u w:val="none"/>
                <w:lang w:val="en-US" w:eastAsia="zh-CN"/>
              </w:rPr>
              <w:t>5</w:t>
            </w:r>
            <w:r>
              <w:rPr>
                <w:rFonts w:hint="eastAsia" w:ascii="新宋体" w:hAnsi="新宋体" w:eastAsia="新宋体" w:cs="新宋体"/>
                <w:b w:val="0"/>
                <w:bCs/>
                <w:color w:val="auto"/>
                <w:sz w:val="22"/>
                <w:szCs w:val="22"/>
                <w:highlight w:val="none"/>
                <w:u w:val="none"/>
              </w:rPr>
              <w:t>、上述技术标准和规范如果有不足之处或者未能达到国际最新标准的时候，投标供应商应使选用的产品材料符合最新版本的国际和国家的标准、规范，并提供采用的国家和国际标准、规范以及所采用的版本的有关技术资料。</w:t>
            </w:r>
          </w:p>
          <w:p w14:paraId="50B3D345">
            <w:pPr>
              <w:pStyle w:val="39"/>
              <w:keepNext w:val="0"/>
              <w:keepLines/>
              <w:pageBreakBefore w:val="0"/>
              <w:widowControl w:val="0"/>
              <w:kinsoku/>
              <w:wordWrap/>
              <w:overflowPunct/>
              <w:topLinePunct w:val="0"/>
              <w:autoSpaceDE/>
              <w:autoSpaceDN/>
              <w:bidi w:val="0"/>
              <w:adjustRightInd/>
              <w:spacing w:line="460" w:lineRule="exact"/>
              <w:ind w:left="0" w:leftChars="0" w:firstLine="0" w:firstLineChars="0"/>
              <w:rPr>
                <w:rFonts w:hint="eastAsia" w:ascii="新宋体" w:hAnsi="新宋体" w:eastAsia="新宋体" w:cs="Times New Roman"/>
                <w:b w:val="0"/>
                <w:bCs/>
                <w:color w:val="auto"/>
                <w:sz w:val="22"/>
                <w:szCs w:val="24"/>
                <w:highlight w:val="none"/>
                <w:u w:val="none"/>
                <w:lang w:val="en-US" w:eastAsia="zh-CN"/>
              </w:rPr>
            </w:pPr>
          </w:p>
        </w:tc>
      </w:tr>
      <w:bookmarkEnd w:id="134"/>
      <w:bookmarkEnd w:id="135"/>
    </w:tbl>
    <w:p w14:paraId="7F2F079A">
      <w:pPr>
        <w:pStyle w:val="144"/>
        <w:keepNext w:val="0"/>
        <w:keepLines/>
        <w:pageBreakBefore w:val="0"/>
        <w:widowControl w:val="0"/>
        <w:kinsoku/>
        <w:wordWrap/>
        <w:overflowPunct/>
        <w:topLinePunct w:val="0"/>
        <w:autoSpaceDE/>
        <w:autoSpaceDN/>
        <w:bidi w:val="0"/>
        <w:adjustRightInd/>
        <w:spacing w:line="460" w:lineRule="exact"/>
        <w:rPr>
          <w:rFonts w:hint="eastAsia" w:ascii="宋体" w:hAnsi="宋体" w:cs="宋体"/>
          <w:b/>
          <w:color w:val="auto"/>
          <w:sz w:val="22"/>
          <w:szCs w:val="22"/>
          <w:highlight w:val="none"/>
          <w:u w:val="single"/>
        </w:rPr>
        <w:sectPr>
          <w:pgSz w:w="11906" w:h="16838"/>
          <w:pgMar w:top="1246" w:right="1406" w:bottom="1134" w:left="1575" w:header="680" w:footer="992" w:gutter="0"/>
          <w:cols w:space="720" w:num="1"/>
          <w:docGrid w:type="lines" w:linePitch="312" w:charSpace="0"/>
        </w:sectPr>
      </w:pPr>
    </w:p>
    <w:p w14:paraId="5DFA3FDF">
      <w:pPr>
        <w:keepNext w:val="0"/>
        <w:keepLines/>
        <w:pageBreakBefore w:val="0"/>
        <w:widowControl w:val="0"/>
        <w:kinsoku/>
        <w:wordWrap/>
        <w:overflowPunct/>
        <w:topLinePunct w:val="0"/>
        <w:autoSpaceDE/>
        <w:autoSpaceDN/>
        <w:bidi w:val="0"/>
        <w:adjustRightInd/>
        <w:snapToGrid w:val="0"/>
        <w:spacing w:line="460" w:lineRule="exact"/>
        <w:rPr>
          <w:rFonts w:hint="eastAsia" w:ascii="宋体" w:hAnsi="宋体"/>
          <w:b/>
          <w:bCs/>
          <w:color w:val="auto"/>
          <w:kern w:val="0"/>
          <w:sz w:val="22"/>
          <w:szCs w:val="22"/>
          <w:highlight w:val="none"/>
          <w:lang w:val="en-GB"/>
        </w:rPr>
      </w:pPr>
      <w:bookmarkStart w:id="136" w:name="_Toc62032186"/>
      <w:r>
        <w:rPr>
          <w:rFonts w:hint="eastAsia" w:ascii="宋体" w:hAnsi="宋体"/>
          <w:b/>
          <w:bCs/>
          <w:color w:val="auto"/>
          <w:kern w:val="0"/>
          <w:sz w:val="22"/>
          <w:szCs w:val="22"/>
          <w:highlight w:val="none"/>
          <w:lang w:val="en-US" w:eastAsia="zh-CN"/>
        </w:rPr>
        <w:t>三</w:t>
      </w:r>
      <w:r>
        <w:rPr>
          <w:rFonts w:hint="eastAsia" w:ascii="宋体" w:hAnsi="宋体"/>
          <w:b/>
          <w:bCs/>
          <w:color w:val="auto"/>
          <w:kern w:val="0"/>
          <w:sz w:val="22"/>
          <w:szCs w:val="22"/>
          <w:highlight w:val="none"/>
        </w:rPr>
        <w:t>、</w:t>
      </w:r>
      <w:bookmarkEnd w:id="136"/>
      <w:r>
        <w:rPr>
          <w:rFonts w:hint="eastAsia" w:ascii="宋体" w:hAnsi="宋体"/>
          <w:b/>
          <w:bCs/>
          <w:color w:val="auto"/>
          <w:kern w:val="0"/>
          <w:sz w:val="22"/>
          <w:szCs w:val="22"/>
          <w:highlight w:val="none"/>
        </w:rPr>
        <w:t>技术</w:t>
      </w:r>
      <w:r>
        <w:rPr>
          <w:rFonts w:hint="eastAsia" w:ascii="宋体" w:hAnsi="宋体"/>
          <w:b/>
          <w:bCs/>
          <w:color w:val="auto"/>
          <w:kern w:val="0"/>
          <w:sz w:val="22"/>
          <w:szCs w:val="22"/>
          <w:highlight w:val="none"/>
          <w:lang w:val="en-US" w:eastAsia="zh-CN"/>
        </w:rPr>
        <w:t>规格</w:t>
      </w:r>
      <w:r>
        <w:rPr>
          <w:rFonts w:hint="eastAsia" w:ascii="宋体" w:hAnsi="宋体"/>
          <w:b/>
          <w:bCs/>
          <w:color w:val="auto"/>
          <w:kern w:val="0"/>
          <w:sz w:val="22"/>
          <w:szCs w:val="22"/>
          <w:highlight w:val="none"/>
        </w:rPr>
        <w:t>要求</w:t>
      </w:r>
      <w:r>
        <w:rPr>
          <w:rFonts w:hint="eastAsia" w:ascii="宋体" w:hAnsi="宋体"/>
          <w:b/>
          <w:bCs/>
          <w:color w:val="auto"/>
          <w:kern w:val="0"/>
          <w:sz w:val="22"/>
          <w:szCs w:val="22"/>
          <w:highlight w:val="none"/>
          <w:lang w:val="en-GB"/>
        </w:rPr>
        <w:t>：</w:t>
      </w:r>
    </w:p>
    <w:tbl>
      <w:tblPr>
        <w:tblStyle w:val="40"/>
        <w:tblW w:w="0" w:type="auto"/>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462"/>
        <w:gridCol w:w="5146"/>
        <w:gridCol w:w="983"/>
        <w:gridCol w:w="1067"/>
      </w:tblGrid>
      <w:tr w14:paraId="6FE7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93" w:type="dxa"/>
            <w:noWrap w:val="0"/>
            <w:vAlign w:val="center"/>
          </w:tcPr>
          <w:p w14:paraId="0AF57E54">
            <w:pPr>
              <w:keepNext w:val="0"/>
              <w:keepLines/>
              <w:pageBreakBefore w:val="0"/>
              <w:widowControl w:val="0"/>
              <w:kinsoku/>
              <w:wordWrap/>
              <w:overflowPunct/>
              <w:topLinePunct w:val="0"/>
              <w:autoSpaceDE/>
              <w:autoSpaceDN/>
              <w:bidi w:val="0"/>
              <w:adjustRightInd/>
              <w:spacing w:line="4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1462" w:type="dxa"/>
            <w:noWrap w:val="0"/>
            <w:vAlign w:val="center"/>
          </w:tcPr>
          <w:p w14:paraId="22CC761F">
            <w:pPr>
              <w:keepNext w:val="0"/>
              <w:keepLines/>
              <w:pageBreakBefore w:val="0"/>
              <w:widowControl w:val="0"/>
              <w:kinsoku/>
              <w:wordWrap/>
              <w:overflowPunct/>
              <w:topLinePunct w:val="0"/>
              <w:autoSpaceDE/>
              <w:autoSpaceDN/>
              <w:bidi w:val="0"/>
              <w:adjustRightInd/>
              <w:spacing w:line="4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名称</w:t>
            </w:r>
          </w:p>
        </w:tc>
        <w:tc>
          <w:tcPr>
            <w:tcW w:w="5146" w:type="dxa"/>
            <w:noWrap w:val="0"/>
            <w:vAlign w:val="center"/>
          </w:tcPr>
          <w:p w14:paraId="58345D4E">
            <w:pPr>
              <w:keepNext w:val="0"/>
              <w:keepLines/>
              <w:pageBreakBefore w:val="0"/>
              <w:widowControl w:val="0"/>
              <w:kinsoku/>
              <w:wordWrap/>
              <w:overflowPunct/>
              <w:topLinePunct w:val="0"/>
              <w:autoSpaceDE/>
              <w:autoSpaceDN/>
              <w:bidi w:val="0"/>
              <w:adjustRightInd/>
              <w:spacing w:line="4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规格及参数</w:t>
            </w:r>
          </w:p>
        </w:tc>
        <w:tc>
          <w:tcPr>
            <w:tcW w:w="983" w:type="dxa"/>
            <w:noWrap w:val="0"/>
            <w:vAlign w:val="center"/>
          </w:tcPr>
          <w:p w14:paraId="36CBFD32">
            <w:pPr>
              <w:keepNext w:val="0"/>
              <w:keepLines/>
              <w:pageBreakBefore w:val="0"/>
              <w:widowControl w:val="0"/>
              <w:kinsoku/>
              <w:wordWrap/>
              <w:overflowPunct/>
              <w:topLinePunct w:val="0"/>
              <w:autoSpaceDE/>
              <w:autoSpaceDN/>
              <w:bidi w:val="0"/>
              <w:adjustRightInd/>
              <w:spacing w:line="4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数量</w:t>
            </w:r>
          </w:p>
        </w:tc>
        <w:tc>
          <w:tcPr>
            <w:tcW w:w="1067" w:type="dxa"/>
            <w:noWrap w:val="0"/>
            <w:vAlign w:val="center"/>
          </w:tcPr>
          <w:p w14:paraId="0882C9C2">
            <w:pPr>
              <w:keepNext w:val="0"/>
              <w:keepLines/>
              <w:pageBreakBefore w:val="0"/>
              <w:widowControl w:val="0"/>
              <w:kinsoku/>
              <w:wordWrap/>
              <w:overflowPunct/>
              <w:topLinePunct w:val="0"/>
              <w:autoSpaceDE/>
              <w:autoSpaceDN/>
              <w:bidi w:val="0"/>
              <w:adjustRightInd/>
              <w:spacing w:line="4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单位</w:t>
            </w:r>
          </w:p>
        </w:tc>
      </w:tr>
      <w:tr w14:paraId="61227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93" w:type="dxa"/>
            <w:noWrap w:val="0"/>
            <w:vAlign w:val="center"/>
          </w:tcPr>
          <w:p w14:paraId="25296779">
            <w:pPr>
              <w:keepNext w:val="0"/>
              <w:keepLines/>
              <w:pageBreakBefore w:val="0"/>
              <w:widowControl w:val="0"/>
              <w:kinsoku/>
              <w:wordWrap/>
              <w:overflowPunct/>
              <w:topLinePunct w:val="0"/>
              <w:autoSpaceDE/>
              <w:autoSpaceDN/>
              <w:bidi w:val="0"/>
              <w:adjustRightInd/>
              <w:spacing w:line="4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w:t>
            </w:r>
          </w:p>
        </w:tc>
        <w:tc>
          <w:tcPr>
            <w:tcW w:w="1462" w:type="dxa"/>
            <w:noWrap w:val="0"/>
            <w:vAlign w:val="center"/>
          </w:tcPr>
          <w:p w14:paraId="2327E2DF">
            <w:pPr>
              <w:keepNext w:val="0"/>
              <w:keepLines/>
              <w:pageBreakBefore w:val="0"/>
              <w:widowControl w:val="0"/>
              <w:kinsoku/>
              <w:wordWrap/>
              <w:overflowPunct/>
              <w:topLinePunct w:val="0"/>
              <w:autoSpaceDE/>
              <w:autoSpaceDN/>
              <w:bidi w:val="0"/>
              <w:adjustRightInd/>
              <w:spacing w:line="460" w:lineRule="exact"/>
              <w:jc w:val="center"/>
              <w:rPr>
                <w:rFonts w:hint="default" w:ascii="宋体" w:hAnsi="宋体" w:eastAsia="宋体" w:cs="宋体"/>
                <w:b/>
                <w:bCs/>
                <w:color w:val="auto"/>
                <w:sz w:val="22"/>
                <w:szCs w:val="22"/>
                <w:highlight w:val="none"/>
                <w:u w:val="none"/>
                <w:lang w:val="en-US" w:eastAsia="zh-CN"/>
              </w:rPr>
            </w:pPr>
            <w:r>
              <w:rPr>
                <w:rFonts w:hint="eastAsia" w:ascii="宋体" w:hAnsi="宋体" w:cs="宋体"/>
                <w:b/>
                <w:bCs/>
                <w:color w:val="auto"/>
                <w:sz w:val="22"/>
                <w:szCs w:val="22"/>
                <w:highlight w:val="none"/>
                <w:u w:val="none"/>
                <w:lang w:val="en-US" w:eastAsia="zh-CN"/>
              </w:rPr>
              <w:t>猪</w:t>
            </w:r>
            <w:r>
              <w:rPr>
                <w:rFonts w:hint="eastAsia" w:ascii="宋体" w:hAnsi="宋体" w:cs="宋体"/>
                <w:b/>
                <w:bCs/>
                <w:color w:val="auto"/>
                <w:sz w:val="22"/>
                <w:szCs w:val="22"/>
                <w:highlight w:val="none"/>
                <w:u w:val="none"/>
              </w:rPr>
              <w:t>肉松</w:t>
            </w:r>
          </w:p>
        </w:tc>
        <w:tc>
          <w:tcPr>
            <w:tcW w:w="5146" w:type="dxa"/>
            <w:noWrap w:val="0"/>
            <w:vAlign w:val="center"/>
          </w:tcPr>
          <w:p w14:paraId="6B6587DB">
            <w:pPr>
              <w:keepNext w:val="0"/>
              <w:keepLines/>
              <w:pageBreakBefore w:val="0"/>
              <w:widowControl w:val="0"/>
              <w:numPr>
                <w:ilvl w:val="0"/>
                <w:numId w:val="4"/>
              </w:numPr>
              <w:kinsoku/>
              <w:wordWrap/>
              <w:overflowPunct/>
              <w:topLinePunct w:val="0"/>
              <w:autoSpaceDE/>
              <w:autoSpaceDN/>
              <w:bidi w:val="0"/>
              <w:adjustRightInd/>
              <w:spacing w:line="460" w:lineRule="exact"/>
              <w:jc w:val="left"/>
              <w:textAlignment w:val="center"/>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rPr>
              <w:t>总净含量≥</w:t>
            </w:r>
            <w:r>
              <w:rPr>
                <w:rFonts w:hint="eastAsia" w:ascii="宋体" w:hAnsi="宋体" w:cs="宋体"/>
                <w:color w:val="auto"/>
                <w:sz w:val="22"/>
                <w:szCs w:val="22"/>
                <w:highlight w:val="none"/>
                <w:lang w:val="en-US" w:eastAsia="zh-CN"/>
              </w:rPr>
              <w:t>50</w:t>
            </w:r>
            <w:r>
              <w:rPr>
                <w:rFonts w:hint="eastAsia" w:ascii="宋体" w:hAnsi="宋体" w:cs="宋体"/>
                <w:color w:val="auto"/>
                <w:sz w:val="22"/>
                <w:szCs w:val="22"/>
                <w:highlight w:val="none"/>
              </w:rPr>
              <w:t>0g</w:t>
            </w:r>
            <w:r>
              <w:rPr>
                <w:rFonts w:hint="eastAsia" w:ascii="宋体" w:hAnsi="宋体" w:cs="宋体"/>
                <w:color w:val="auto"/>
                <w:sz w:val="22"/>
                <w:szCs w:val="22"/>
                <w:highlight w:val="none"/>
                <w:lang w:eastAsia="zh-CN"/>
              </w:rPr>
              <w:t>。</w:t>
            </w:r>
          </w:p>
          <w:p w14:paraId="50BB0EE3">
            <w:pPr>
              <w:keepNext w:val="0"/>
              <w:keepLines/>
              <w:pageBreakBefore w:val="0"/>
              <w:widowControl w:val="0"/>
              <w:numPr>
                <w:ilvl w:val="0"/>
                <w:numId w:val="4"/>
              </w:numPr>
              <w:kinsoku/>
              <w:wordWrap/>
              <w:overflowPunct/>
              <w:topLinePunct w:val="0"/>
              <w:autoSpaceDE/>
              <w:autoSpaceDN/>
              <w:bidi w:val="0"/>
              <w:adjustRightInd/>
              <w:spacing w:line="460" w:lineRule="exact"/>
              <w:jc w:val="left"/>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罐</w:t>
            </w:r>
            <w:r>
              <w:rPr>
                <w:rFonts w:hint="eastAsia" w:ascii="宋体" w:hAnsi="宋体" w:cs="宋体"/>
                <w:color w:val="auto"/>
                <w:sz w:val="22"/>
                <w:szCs w:val="22"/>
                <w:highlight w:val="none"/>
                <w:lang w:val="en-US" w:eastAsia="zh-CN"/>
              </w:rPr>
              <w:t>装，</w:t>
            </w:r>
            <w:r>
              <w:rPr>
                <w:rFonts w:hint="eastAsia" w:ascii="宋体" w:hAnsi="宋体" w:cs="宋体"/>
                <w:color w:val="auto"/>
                <w:sz w:val="22"/>
                <w:szCs w:val="22"/>
                <w:highlight w:val="none"/>
              </w:rPr>
              <w:t>开罐即食</w:t>
            </w:r>
            <w:r>
              <w:rPr>
                <w:rFonts w:hint="eastAsia" w:ascii="宋体" w:hAnsi="宋体" w:cs="宋体"/>
                <w:color w:val="auto"/>
                <w:sz w:val="22"/>
                <w:szCs w:val="22"/>
                <w:highlight w:val="none"/>
                <w:lang w:eastAsia="zh-CN" w:bidi="ar"/>
              </w:rPr>
              <w:t>。</w:t>
            </w:r>
          </w:p>
          <w:p w14:paraId="618363B7">
            <w:pPr>
              <w:pStyle w:val="32"/>
              <w:ind w:left="0"/>
              <w:rPr>
                <w:rFonts w:hint="default"/>
                <w:color w:val="auto"/>
                <w:highlight w:val="none"/>
                <w:lang w:val="en-US" w:eastAsia="zh-CN"/>
              </w:rPr>
            </w:pPr>
            <w:r>
              <w:rPr>
                <w:rFonts w:hint="eastAsia" w:ascii="宋体" w:hAnsi="宋体" w:cs="宋体"/>
                <w:color w:val="auto"/>
                <w:sz w:val="22"/>
                <w:szCs w:val="22"/>
                <w:highlight w:val="none"/>
                <w:lang w:val="en-US" w:eastAsia="zh-CN" w:bidi="ar"/>
              </w:rPr>
              <w:t>3、符合GB/T 23968-2022《肉松质量通则》标准</w:t>
            </w:r>
          </w:p>
        </w:tc>
        <w:tc>
          <w:tcPr>
            <w:tcW w:w="983" w:type="dxa"/>
            <w:noWrap w:val="0"/>
            <w:vAlign w:val="center"/>
          </w:tcPr>
          <w:p w14:paraId="4F58AE59">
            <w:pPr>
              <w:keepNext w:val="0"/>
              <w:keepLines/>
              <w:pageBreakBefore w:val="0"/>
              <w:widowControl w:val="0"/>
              <w:kinsoku/>
              <w:wordWrap/>
              <w:overflowPunct/>
              <w:topLinePunct w:val="0"/>
              <w:autoSpaceDE/>
              <w:autoSpaceDN/>
              <w:bidi w:val="0"/>
              <w:adjustRightInd/>
              <w:spacing w:line="460" w:lineRule="exact"/>
              <w:jc w:val="center"/>
              <w:textAlignment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1</w:t>
            </w:r>
          </w:p>
        </w:tc>
        <w:tc>
          <w:tcPr>
            <w:tcW w:w="1067" w:type="dxa"/>
            <w:noWrap w:val="0"/>
            <w:vAlign w:val="center"/>
          </w:tcPr>
          <w:p w14:paraId="1625D430">
            <w:pPr>
              <w:keepNext w:val="0"/>
              <w:keepLines/>
              <w:pageBreakBefore w:val="0"/>
              <w:widowControl w:val="0"/>
              <w:kinsoku/>
              <w:wordWrap/>
              <w:overflowPunct/>
              <w:topLinePunct w:val="0"/>
              <w:autoSpaceDE/>
              <w:autoSpaceDN/>
              <w:bidi w:val="0"/>
              <w:adjustRightInd/>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份</w:t>
            </w:r>
          </w:p>
        </w:tc>
      </w:tr>
      <w:tr w14:paraId="3DA7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93" w:type="dxa"/>
            <w:noWrap w:val="0"/>
            <w:vAlign w:val="center"/>
          </w:tcPr>
          <w:p w14:paraId="5968C90C">
            <w:pPr>
              <w:keepNext w:val="0"/>
              <w:keepLines/>
              <w:pageBreakBefore w:val="0"/>
              <w:widowControl w:val="0"/>
              <w:kinsoku/>
              <w:wordWrap/>
              <w:overflowPunct/>
              <w:topLinePunct w:val="0"/>
              <w:autoSpaceDE/>
              <w:autoSpaceDN/>
              <w:bidi w:val="0"/>
              <w:adjustRightInd/>
              <w:spacing w:line="4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w:t>
            </w:r>
          </w:p>
        </w:tc>
        <w:tc>
          <w:tcPr>
            <w:tcW w:w="1462" w:type="dxa"/>
            <w:noWrap w:val="0"/>
            <w:vAlign w:val="center"/>
          </w:tcPr>
          <w:p w14:paraId="62BD3C60">
            <w:pPr>
              <w:keepNext w:val="0"/>
              <w:keepLines/>
              <w:pageBreakBefore w:val="0"/>
              <w:widowControl w:val="0"/>
              <w:kinsoku/>
              <w:wordWrap/>
              <w:overflowPunct/>
              <w:topLinePunct w:val="0"/>
              <w:autoSpaceDE/>
              <w:autoSpaceDN/>
              <w:bidi w:val="0"/>
              <w:adjustRightInd/>
              <w:spacing w:line="460" w:lineRule="exact"/>
              <w:jc w:val="center"/>
              <w:rPr>
                <w:rFonts w:hint="default" w:ascii="宋体" w:hAnsi="宋体" w:cs="宋体"/>
                <w:b/>
                <w:bCs/>
                <w:color w:val="auto"/>
                <w:sz w:val="22"/>
                <w:szCs w:val="22"/>
                <w:highlight w:val="none"/>
                <w:u w:val="none"/>
                <w:lang w:val="en-US"/>
              </w:rPr>
            </w:pPr>
            <w:r>
              <w:rPr>
                <w:rFonts w:hint="eastAsia" w:ascii="宋体" w:hAnsi="宋体" w:cs="宋体"/>
                <w:b/>
                <w:bCs/>
                <w:color w:val="auto"/>
                <w:sz w:val="22"/>
                <w:szCs w:val="22"/>
                <w:highlight w:val="none"/>
                <w:u w:val="none"/>
              </w:rPr>
              <w:t>红枣</w:t>
            </w:r>
          </w:p>
        </w:tc>
        <w:tc>
          <w:tcPr>
            <w:tcW w:w="5146" w:type="dxa"/>
            <w:noWrap w:val="0"/>
            <w:vAlign w:val="center"/>
          </w:tcPr>
          <w:p w14:paraId="5D61A78D">
            <w:pPr>
              <w:keepNext w:val="0"/>
              <w:keepLines/>
              <w:pageBreakBefore w:val="0"/>
              <w:widowControl w:val="0"/>
              <w:numPr>
                <w:ilvl w:val="0"/>
                <w:numId w:val="0"/>
              </w:numPr>
              <w:kinsoku/>
              <w:wordWrap/>
              <w:overflowPunct/>
              <w:topLinePunct w:val="0"/>
              <w:autoSpaceDE/>
              <w:autoSpaceDN/>
              <w:bidi w:val="0"/>
              <w:adjustRightInd/>
              <w:spacing w:line="460" w:lineRule="exact"/>
              <w:jc w:val="left"/>
              <w:textAlignment w:val="center"/>
              <w:rPr>
                <w:rFonts w:hint="eastAsia" w:ascii="宋体" w:hAnsi="宋体" w:cs="宋体"/>
                <w:color w:val="auto"/>
                <w:sz w:val="22"/>
                <w:szCs w:val="22"/>
                <w:highlight w:val="none"/>
                <w:lang w:eastAsia="zh-CN" w:bidi="ar"/>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总</w:t>
            </w:r>
            <w:r>
              <w:rPr>
                <w:rFonts w:hint="eastAsia" w:ascii="宋体" w:hAnsi="宋体" w:cs="宋体"/>
                <w:color w:val="auto"/>
                <w:sz w:val="22"/>
                <w:szCs w:val="22"/>
                <w:highlight w:val="none"/>
                <w:lang w:bidi="ar"/>
              </w:rPr>
              <w:t>净含量≥</w:t>
            </w:r>
            <w:r>
              <w:rPr>
                <w:rFonts w:hint="eastAsia" w:ascii="宋体" w:hAnsi="宋体" w:cs="宋体"/>
                <w:color w:val="auto"/>
                <w:sz w:val="22"/>
                <w:szCs w:val="22"/>
                <w:highlight w:val="none"/>
                <w:lang w:val="en-US" w:eastAsia="zh-CN" w:bidi="ar"/>
              </w:rPr>
              <w:t>1000</w:t>
            </w:r>
            <w:r>
              <w:rPr>
                <w:rFonts w:hint="eastAsia" w:ascii="宋体" w:hAnsi="宋体" w:cs="宋体"/>
                <w:color w:val="auto"/>
                <w:sz w:val="22"/>
                <w:szCs w:val="22"/>
                <w:highlight w:val="none"/>
                <w:lang w:bidi="ar"/>
              </w:rPr>
              <w:t>g</w:t>
            </w:r>
            <w:r>
              <w:rPr>
                <w:rFonts w:hint="eastAsia" w:ascii="宋体" w:hAnsi="宋体" w:cs="宋体"/>
                <w:color w:val="auto"/>
                <w:sz w:val="22"/>
                <w:szCs w:val="22"/>
                <w:highlight w:val="none"/>
                <w:lang w:eastAsia="zh-CN" w:bidi="ar"/>
              </w:rPr>
              <w:t>。</w:t>
            </w:r>
          </w:p>
          <w:p w14:paraId="03EAFBA8">
            <w:pPr>
              <w:keepLines/>
              <w:numPr>
                <w:ilvl w:val="0"/>
                <w:numId w:val="0"/>
              </w:numPr>
              <w:spacing w:line="460" w:lineRule="exact"/>
              <w:ind w:left="0" w:leftChars="0" w:firstLine="0" w:firstLineChars="0"/>
              <w:textAlignment w:val="center"/>
              <w:rPr>
                <w:rFonts w:hint="default"/>
                <w:color w:val="auto"/>
                <w:highlight w:val="none"/>
                <w:lang w:val="en-US" w:eastAsia="zh-CN"/>
              </w:rPr>
            </w:pPr>
            <w:r>
              <w:rPr>
                <w:rFonts w:hint="eastAsia" w:ascii="宋体" w:hAnsi="宋体" w:cs="宋体"/>
                <w:color w:val="auto"/>
                <w:sz w:val="22"/>
                <w:szCs w:val="22"/>
                <w:highlight w:val="none"/>
                <w:lang w:val="en-US" w:eastAsia="zh-CN" w:bidi="ar"/>
              </w:rPr>
              <w:t>2、</w:t>
            </w:r>
            <w:r>
              <w:rPr>
                <w:rFonts w:hint="eastAsia"/>
                <w:color w:val="auto"/>
                <w:highlight w:val="none"/>
                <w:lang w:val="en-US" w:eastAsia="zh-CN"/>
              </w:rPr>
              <w:t>个头均匀</w:t>
            </w:r>
          </w:p>
          <w:p w14:paraId="64E89045">
            <w:pPr>
              <w:keepNext w:val="0"/>
              <w:keepLines/>
              <w:pageBreakBefore w:val="0"/>
              <w:widowControl w:val="0"/>
              <w:numPr>
                <w:ilvl w:val="0"/>
                <w:numId w:val="0"/>
              </w:numPr>
              <w:kinsoku/>
              <w:wordWrap/>
              <w:overflowPunct/>
              <w:topLinePunct w:val="0"/>
              <w:autoSpaceDE/>
              <w:autoSpaceDN/>
              <w:bidi w:val="0"/>
              <w:adjustRightInd/>
              <w:spacing w:line="460" w:lineRule="exact"/>
              <w:jc w:val="left"/>
              <w:textAlignment w:val="center"/>
              <w:rPr>
                <w:rFonts w:hint="eastAsia" w:ascii="宋体" w:hAnsi="宋体"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3、开袋即食</w:t>
            </w:r>
          </w:p>
          <w:p w14:paraId="3E89A4A2">
            <w:pPr>
              <w:keepLines/>
              <w:numPr>
                <w:ilvl w:val="0"/>
                <w:numId w:val="0"/>
              </w:numPr>
              <w:spacing w:line="460" w:lineRule="exact"/>
              <w:ind w:left="0" w:leftChars="0" w:firstLine="0" w:firstLineChars="0"/>
              <w:textAlignment w:val="center"/>
              <w:rPr>
                <w:rFonts w:hint="default"/>
                <w:color w:val="auto"/>
                <w:highlight w:val="none"/>
                <w:lang w:val="en-US" w:eastAsia="zh-CN"/>
              </w:rPr>
            </w:pPr>
            <w:r>
              <w:rPr>
                <w:rFonts w:hint="eastAsia" w:ascii="宋体" w:hAnsi="宋体" w:cs="宋体"/>
                <w:color w:val="auto"/>
                <w:sz w:val="22"/>
                <w:szCs w:val="22"/>
                <w:highlight w:val="none"/>
                <w:lang w:val="en-US" w:eastAsia="zh-CN" w:bidi="ar"/>
              </w:rPr>
              <w:t>4、产品等级为特级</w:t>
            </w:r>
          </w:p>
        </w:tc>
        <w:tc>
          <w:tcPr>
            <w:tcW w:w="983" w:type="dxa"/>
            <w:noWrap w:val="0"/>
            <w:vAlign w:val="center"/>
          </w:tcPr>
          <w:p w14:paraId="464F05F4">
            <w:pPr>
              <w:keepNext w:val="0"/>
              <w:keepLines/>
              <w:pageBreakBefore w:val="0"/>
              <w:widowControl w:val="0"/>
              <w:kinsoku/>
              <w:wordWrap/>
              <w:overflowPunct/>
              <w:topLinePunct w:val="0"/>
              <w:autoSpaceDE/>
              <w:autoSpaceDN/>
              <w:bidi w:val="0"/>
              <w:adjustRightInd/>
              <w:spacing w:line="460" w:lineRule="exact"/>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067" w:type="dxa"/>
            <w:noWrap w:val="0"/>
            <w:vAlign w:val="center"/>
          </w:tcPr>
          <w:p w14:paraId="01981537">
            <w:pPr>
              <w:keepNext w:val="0"/>
              <w:keepLines/>
              <w:pageBreakBefore w:val="0"/>
              <w:widowControl w:val="0"/>
              <w:kinsoku/>
              <w:wordWrap/>
              <w:overflowPunct/>
              <w:topLinePunct w:val="0"/>
              <w:autoSpaceDE/>
              <w:autoSpaceDN/>
              <w:bidi w:val="0"/>
              <w:adjustRightInd/>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份</w:t>
            </w:r>
          </w:p>
        </w:tc>
      </w:tr>
      <w:tr w14:paraId="3F50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93" w:type="dxa"/>
            <w:noWrap w:val="0"/>
            <w:vAlign w:val="center"/>
          </w:tcPr>
          <w:p w14:paraId="33C9E5DA">
            <w:pPr>
              <w:keepNext w:val="0"/>
              <w:keepLines/>
              <w:pageBreakBefore w:val="0"/>
              <w:widowControl w:val="0"/>
              <w:kinsoku/>
              <w:wordWrap/>
              <w:overflowPunct/>
              <w:topLinePunct w:val="0"/>
              <w:autoSpaceDE/>
              <w:autoSpaceDN/>
              <w:bidi w:val="0"/>
              <w:adjustRightInd/>
              <w:spacing w:line="4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3</w:t>
            </w:r>
          </w:p>
        </w:tc>
        <w:tc>
          <w:tcPr>
            <w:tcW w:w="1462" w:type="dxa"/>
            <w:noWrap w:val="0"/>
            <w:vAlign w:val="center"/>
          </w:tcPr>
          <w:p w14:paraId="442CAA09">
            <w:pPr>
              <w:keepNext w:val="0"/>
              <w:keepLines/>
              <w:pageBreakBefore w:val="0"/>
              <w:widowControl w:val="0"/>
              <w:kinsoku/>
              <w:wordWrap/>
              <w:overflowPunct/>
              <w:topLinePunct w:val="0"/>
              <w:autoSpaceDE/>
              <w:autoSpaceDN/>
              <w:bidi w:val="0"/>
              <w:adjustRightInd/>
              <w:spacing w:line="460" w:lineRule="exact"/>
              <w:jc w:val="center"/>
              <w:rPr>
                <w:rFonts w:hint="eastAsia" w:ascii="宋体" w:hAnsi="宋体" w:cs="宋体"/>
                <w:b/>
                <w:bCs/>
                <w:color w:val="auto"/>
                <w:sz w:val="22"/>
                <w:szCs w:val="22"/>
                <w:highlight w:val="none"/>
                <w:u w:val="none"/>
              </w:rPr>
            </w:pPr>
            <w:r>
              <w:rPr>
                <w:rFonts w:hint="eastAsia" w:ascii="宋体" w:hAnsi="宋体" w:cs="宋体"/>
                <w:b/>
                <w:bCs/>
                <w:color w:val="auto"/>
                <w:sz w:val="22"/>
                <w:szCs w:val="22"/>
                <w:highlight w:val="none"/>
                <w:u w:val="none"/>
              </w:rPr>
              <w:t>牛肉片</w:t>
            </w:r>
          </w:p>
        </w:tc>
        <w:tc>
          <w:tcPr>
            <w:tcW w:w="5146" w:type="dxa"/>
            <w:noWrap w:val="0"/>
            <w:vAlign w:val="center"/>
          </w:tcPr>
          <w:p w14:paraId="7F95BF30">
            <w:pPr>
              <w:keepNext w:val="0"/>
              <w:keepLines/>
              <w:pageBreakBefore w:val="0"/>
              <w:widowControl w:val="0"/>
              <w:numPr>
                <w:ilvl w:val="0"/>
                <w:numId w:val="5"/>
              </w:numPr>
              <w:kinsoku/>
              <w:wordWrap/>
              <w:overflowPunct/>
              <w:topLinePunct w:val="0"/>
              <w:autoSpaceDE/>
              <w:autoSpaceDN/>
              <w:bidi w:val="0"/>
              <w:adjustRightInd/>
              <w:spacing w:line="460" w:lineRule="exact"/>
              <w:jc w:val="left"/>
              <w:textAlignment w:val="center"/>
              <w:rPr>
                <w:rFonts w:hint="eastAsia" w:ascii="宋体" w:hAnsi="宋体" w:cs="宋体"/>
                <w:color w:val="auto"/>
                <w:sz w:val="22"/>
                <w:szCs w:val="22"/>
                <w:highlight w:val="none"/>
                <w:lang w:eastAsia="zh-CN" w:bidi="ar"/>
              </w:rPr>
            </w:pPr>
            <w:r>
              <w:rPr>
                <w:rFonts w:hint="eastAsia" w:ascii="宋体" w:hAnsi="宋体" w:cs="宋体"/>
                <w:color w:val="auto"/>
                <w:sz w:val="22"/>
                <w:szCs w:val="22"/>
                <w:highlight w:val="none"/>
              </w:rPr>
              <w:t>总</w:t>
            </w:r>
            <w:r>
              <w:rPr>
                <w:rFonts w:hint="eastAsia" w:ascii="宋体" w:hAnsi="宋体" w:cs="宋体"/>
                <w:color w:val="auto"/>
                <w:sz w:val="22"/>
                <w:szCs w:val="22"/>
                <w:highlight w:val="none"/>
                <w:lang w:bidi="ar"/>
              </w:rPr>
              <w:t>净含量≥</w:t>
            </w:r>
            <w:r>
              <w:rPr>
                <w:rFonts w:hint="eastAsia" w:ascii="宋体" w:hAnsi="宋体" w:cs="宋体"/>
                <w:color w:val="auto"/>
                <w:sz w:val="22"/>
                <w:szCs w:val="22"/>
                <w:highlight w:val="none"/>
                <w:lang w:val="en-US" w:eastAsia="zh-CN" w:bidi="ar"/>
              </w:rPr>
              <w:t>500</w:t>
            </w:r>
            <w:r>
              <w:rPr>
                <w:rFonts w:hint="eastAsia" w:ascii="宋体" w:hAnsi="宋体" w:cs="宋体"/>
                <w:color w:val="auto"/>
                <w:sz w:val="22"/>
                <w:szCs w:val="22"/>
                <w:highlight w:val="none"/>
                <w:lang w:bidi="ar"/>
              </w:rPr>
              <w:t>g</w:t>
            </w:r>
            <w:r>
              <w:rPr>
                <w:rFonts w:hint="eastAsia" w:ascii="宋体" w:hAnsi="宋体" w:cs="宋体"/>
                <w:color w:val="auto"/>
                <w:sz w:val="22"/>
                <w:szCs w:val="22"/>
                <w:highlight w:val="none"/>
                <w:lang w:eastAsia="zh-CN" w:bidi="ar"/>
              </w:rPr>
              <w:t>。</w:t>
            </w:r>
          </w:p>
          <w:p w14:paraId="3BFE4945">
            <w:pPr>
              <w:keepNext w:val="0"/>
              <w:keepLines/>
              <w:pageBreakBefore w:val="0"/>
              <w:widowControl w:val="0"/>
              <w:numPr>
                <w:ilvl w:val="0"/>
                <w:numId w:val="5"/>
              </w:numPr>
              <w:kinsoku/>
              <w:wordWrap/>
              <w:overflowPunct/>
              <w:topLinePunct w:val="0"/>
              <w:autoSpaceDE/>
              <w:autoSpaceDN/>
              <w:bidi w:val="0"/>
              <w:adjustRightInd/>
              <w:spacing w:line="460" w:lineRule="exact"/>
              <w:jc w:val="lef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bidi="ar"/>
              </w:rPr>
              <w:t>独立小包装。</w:t>
            </w:r>
          </w:p>
          <w:p w14:paraId="58FBF2AF">
            <w:pPr>
              <w:keepLines/>
              <w:numPr>
                <w:ilvl w:val="0"/>
                <w:numId w:val="5"/>
              </w:numPr>
              <w:spacing w:line="460" w:lineRule="exact"/>
              <w:textAlignment w:val="center"/>
              <w:rPr>
                <w:rFonts w:hint="eastAsia"/>
                <w:color w:val="auto"/>
                <w:highlight w:val="none"/>
              </w:rPr>
            </w:pPr>
            <w:r>
              <w:rPr>
                <w:rFonts w:hint="eastAsia" w:ascii="宋体" w:hAnsi="宋体" w:cs="宋体"/>
                <w:color w:val="auto"/>
                <w:sz w:val="22"/>
                <w:szCs w:val="22"/>
                <w:highlight w:val="none"/>
                <w:lang w:bidi="ar"/>
              </w:rPr>
              <w:t>开袋即食</w:t>
            </w:r>
            <w:r>
              <w:rPr>
                <w:rFonts w:hint="eastAsia" w:ascii="宋体" w:hAnsi="宋体" w:cs="宋体"/>
                <w:color w:val="auto"/>
                <w:sz w:val="22"/>
                <w:szCs w:val="22"/>
                <w:highlight w:val="none"/>
                <w:lang w:eastAsia="zh-CN" w:bidi="ar"/>
              </w:rPr>
              <w:t>。</w:t>
            </w:r>
          </w:p>
          <w:p w14:paraId="6E89E252">
            <w:pPr>
              <w:keepLines/>
              <w:numPr>
                <w:ilvl w:val="0"/>
                <w:numId w:val="5"/>
              </w:numPr>
              <w:spacing w:line="460" w:lineRule="exact"/>
              <w:jc w:val="left"/>
              <w:textAlignment w:val="center"/>
              <w:rPr>
                <w:rFonts w:hint="eastAsia"/>
                <w:color w:val="auto"/>
                <w:highlight w:val="none"/>
              </w:rPr>
            </w:pPr>
            <w:r>
              <w:rPr>
                <w:rFonts w:hint="eastAsia" w:ascii="宋体" w:hAnsi="宋体" w:cs="宋体"/>
                <w:color w:val="auto"/>
                <w:sz w:val="22"/>
                <w:szCs w:val="22"/>
                <w:highlight w:val="none"/>
                <w:lang w:val="en-US" w:eastAsia="zh-CN" w:bidi="ar"/>
              </w:rPr>
              <w:t>符合GB/T 23969-2022《肉干质量通则》标准</w:t>
            </w:r>
          </w:p>
        </w:tc>
        <w:tc>
          <w:tcPr>
            <w:tcW w:w="983" w:type="dxa"/>
            <w:noWrap w:val="0"/>
            <w:vAlign w:val="center"/>
          </w:tcPr>
          <w:p w14:paraId="6EF78EC0">
            <w:pPr>
              <w:keepNext w:val="0"/>
              <w:keepLines/>
              <w:pageBreakBefore w:val="0"/>
              <w:widowControl w:val="0"/>
              <w:kinsoku/>
              <w:wordWrap/>
              <w:overflowPunct/>
              <w:topLinePunct w:val="0"/>
              <w:autoSpaceDE/>
              <w:autoSpaceDN/>
              <w:bidi w:val="0"/>
              <w:adjustRightInd/>
              <w:spacing w:line="460" w:lineRule="exact"/>
              <w:jc w:val="center"/>
              <w:textAlignment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1</w:t>
            </w:r>
          </w:p>
        </w:tc>
        <w:tc>
          <w:tcPr>
            <w:tcW w:w="1067" w:type="dxa"/>
            <w:noWrap w:val="0"/>
            <w:vAlign w:val="center"/>
          </w:tcPr>
          <w:p w14:paraId="56584211">
            <w:pPr>
              <w:keepNext w:val="0"/>
              <w:keepLines/>
              <w:pageBreakBefore w:val="0"/>
              <w:widowControl w:val="0"/>
              <w:kinsoku/>
              <w:wordWrap/>
              <w:overflowPunct/>
              <w:topLinePunct w:val="0"/>
              <w:autoSpaceDE/>
              <w:autoSpaceDN/>
              <w:bidi w:val="0"/>
              <w:adjustRightInd/>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份</w:t>
            </w:r>
          </w:p>
        </w:tc>
      </w:tr>
      <w:tr w14:paraId="4936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93" w:type="dxa"/>
            <w:noWrap w:val="0"/>
            <w:vAlign w:val="center"/>
          </w:tcPr>
          <w:p w14:paraId="192B5F26">
            <w:pPr>
              <w:keepNext w:val="0"/>
              <w:keepLines/>
              <w:pageBreakBefore w:val="0"/>
              <w:widowControl w:val="0"/>
              <w:kinsoku/>
              <w:wordWrap/>
              <w:overflowPunct/>
              <w:topLinePunct w:val="0"/>
              <w:autoSpaceDE/>
              <w:autoSpaceDN/>
              <w:bidi w:val="0"/>
              <w:adjustRightInd/>
              <w:spacing w:line="4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4</w:t>
            </w:r>
          </w:p>
        </w:tc>
        <w:tc>
          <w:tcPr>
            <w:tcW w:w="1462" w:type="dxa"/>
            <w:noWrap w:val="0"/>
            <w:vAlign w:val="center"/>
          </w:tcPr>
          <w:p w14:paraId="3F2047F4">
            <w:pPr>
              <w:keepNext w:val="0"/>
              <w:keepLines/>
              <w:pageBreakBefore w:val="0"/>
              <w:widowControl w:val="0"/>
              <w:kinsoku/>
              <w:wordWrap/>
              <w:overflowPunct/>
              <w:topLinePunct w:val="0"/>
              <w:autoSpaceDE/>
              <w:autoSpaceDN/>
              <w:bidi w:val="0"/>
              <w:adjustRightInd/>
              <w:spacing w:line="460" w:lineRule="exact"/>
              <w:jc w:val="center"/>
              <w:rPr>
                <w:rFonts w:hint="default" w:ascii="宋体" w:hAnsi="宋体" w:eastAsia="宋体" w:cs="宋体"/>
                <w:b/>
                <w:bCs/>
                <w:color w:val="auto"/>
                <w:sz w:val="22"/>
                <w:szCs w:val="22"/>
                <w:highlight w:val="none"/>
                <w:u w:val="none"/>
                <w:lang w:val="en-US" w:eastAsia="zh-CN"/>
              </w:rPr>
            </w:pPr>
            <w:r>
              <w:rPr>
                <w:rFonts w:hint="eastAsia" w:ascii="宋体" w:hAnsi="宋体" w:cs="宋体"/>
                <w:b/>
                <w:bCs/>
                <w:color w:val="auto"/>
                <w:sz w:val="22"/>
                <w:szCs w:val="22"/>
                <w:highlight w:val="none"/>
                <w:u w:val="none"/>
                <w:lang w:val="en-US" w:eastAsia="zh-CN"/>
              </w:rPr>
              <w:t>鸭舌</w:t>
            </w:r>
          </w:p>
        </w:tc>
        <w:tc>
          <w:tcPr>
            <w:tcW w:w="5146" w:type="dxa"/>
            <w:noWrap w:val="0"/>
            <w:vAlign w:val="center"/>
          </w:tcPr>
          <w:p w14:paraId="008FC0E7">
            <w:pPr>
              <w:keepNext w:val="0"/>
              <w:keepLines/>
              <w:pageBreakBefore w:val="0"/>
              <w:widowControl w:val="0"/>
              <w:numPr>
                <w:ilvl w:val="0"/>
                <w:numId w:val="6"/>
              </w:numPr>
              <w:kinsoku/>
              <w:wordWrap/>
              <w:overflowPunct/>
              <w:topLinePunct w:val="0"/>
              <w:autoSpaceDE/>
              <w:autoSpaceDN/>
              <w:bidi w:val="0"/>
              <w:adjustRightInd/>
              <w:spacing w:line="460" w:lineRule="exact"/>
              <w:jc w:val="left"/>
              <w:textAlignment w:val="center"/>
              <w:rPr>
                <w:rFonts w:hint="eastAsia" w:ascii="宋体" w:hAnsi="宋体" w:cs="宋体"/>
                <w:color w:val="auto"/>
                <w:sz w:val="22"/>
                <w:szCs w:val="22"/>
                <w:highlight w:val="none"/>
                <w:lang w:eastAsia="zh-CN" w:bidi="ar"/>
              </w:rPr>
            </w:pPr>
            <w:r>
              <w:rPr>
                <w:rFonts w:hint="eastAsia" w:ascii="宋体" w:hAnsi="宋体" w:cs="宋体"/>
                <w:color w:val="auto"/>
                <w:sz w:val="22"/>
                <w:szCs w:val="22"/>
                <w:highlight w:val="none"/>
              </w:rPr>
              <w:t>总</w:t>
            </w:r>
            <w:r>
              <w:rPr>
                <w:rFonts w:hint="eastAsia" w:ascii="宋体" w:hAnsi="宋体" w:cs="宋体"/>
                <w:color w:val="auto"/>
                <w:sz w:val="22"/>
                <w:szCs w:val="22"/>
                <w:highlight w:val="none"/>
                <w:lang w:bidi="ar"/>
              </w:rPr>
              <w:t>净含量≥</w:t>
            </w:r>
            <w:r>
              <w:rPr>
                <w:rFonts w:hint="eastAsia" w:ascii="宋体" w:hAnsi="宋体" w:cs="宋体"/>
                <w:color w:val="auto"/>
                <w:sz w:val="22"/>
                <w:szCs w:val="22"/>
                <w:highlight w:val="none"/>
                <w:lang w:val="en-US" w:eastAsia="zh-CN" w:bidi="ar"/>
              </w:rPr>
              <w:t>500</w:t>
            </w:r>
            <w:r>
              <w:rPr>
                <w:rFonts w:hint="eastAsia" w:ascii="宋体" w:hAnsi="宋体" w:cs="宋体"/>
                <w:color w:val="auto"/>
                <w:sz w:val="22"/>
                <w:szCs w:val="22"/>
                <w:highlight w:val="none"/>
                <w:lang w:bidi="ar"/>
              </w:rPr>
              <w:t>g</w:t>
            </w:r>
            <w:r>
              <w:rPr>
                <w:rFonts w:hint="eastAsia" w:ascii="宋体" w:hAnsi="宋体" w:cs="宋体"/>
                <w:color w:val="auto"/>
                <w:sz w:val="22"/>
                <w:szCs w:val="22"/>
                <w:highlight w:val="none"/>
                <w:lang w:eastAsia="zh-CN" w:bidi="ar"/>
              </w:rPr>
              <w:t>。</w:t>
            </w:r>
          </w:p>
          <w:p w14:paraId="1CBD6CE3">
            <w:pPr>
              <w:keepNext w:val="0"/>
              <w:keepLines/>
              <w:pageBreakBefore w:val="0"/>
              <w:widowControl w:val="0"/>
              <w:numPr>
                <w:ilvl w:val="0"/>
                <w:numId w:val="6"/>
              </w:numPr>
              <w:kinsoku/>
              <w:wordWrap/>
              <w:overflowPunct/>
              <w:topLinePunct w:val="0"/>
              <w:autoSpaceDE/>
              <w:autoSpaceDN/>
              <w:bidi w:val="0"/>
              <w:adjustRightInd/>
              <w:spacing w:line="460" w:lineRule="exact"/>
              <w:jc w:val="left"/>
              <w:textAlignment w:val="center"/>
              <w:rPr>
                <w:rFonts w:ascii="宋体" w:hAnsi="宋体" w:cs="宋体"/>
                <w:color w:val="auto"/>
                <w:sz w:val="22"/>
                <w:szCs w:val="22"/>
                <w:highlight w:val="none"/>
                <w:lang w:bidi="ar"/>
              </w:rPr>
            </w:pPr>
            <w:r>
              <w:rPr>
                <w:rFonts w:hint="eastAsia" w:ascii="宋体" w:hAnsi="宋体" w:cs="宋体"/>
                <w:color w:val="auto"/>
                <w:sz w:val="22"/>
                <w:szCs w:val="22"/>
                <w:highlight w:val="none"/>
                <w:lang w:val="en-US" w:eastAsia="zh-CN" w:bidi="ar"/>
              </w:rPr>
              <w:t>独立小包装</w:t>
            </w:r>
            <w:r>
              <w:rPr>
                <w:rFonts w:hint="eastAsia" w:ascii="宋体" w:hAnsi="宋体" w:cs="宋体"/>
                <w:color w:val="auto"/>
                <w:sz w:val="22"/>
                <w:szCs w:val="22"/>
                <w:highlight w:val="none"/>
                <w:lang w:eastAsia="zh-CN"/>
              </w:rPr>
              <w:t>。</w:t>
            </w:r>
          </w:p>
          <w:p w14:paraId="251DE5C0">
            <w:pPr>
              <w:keepNext w:val="0"/>
              <w:keepLines/>
              <w:pageBreakBefore w:val="0"/>
              <w:widowControl w:val="0"/>
              <w:numPr>
                <w:ilvl w:val="0"/>
                <w:numId w:val="6"/>
              </w:numPr>
              <w:kinsoku/>
              <w:wordWrap/>
              <w:overflowPunct/>
              <w:topLinePunct w:val="0"/>
              <w:autoSpaceDE/>
              <w:autoSpaceDN/>
              <w:bidi w:val="0"/>
              <w:adjustRightInd/>
              <w:spacing w:line="460" w:lineRule="exact"/>
              <w:jc w:val="left"/>
              <w:textAlignment w:val="center"/>
              <w:rPr>
                <w:rFonts w:ascii="宋体" w:hAnsi="宋体" w:cs="宋体"/>
                <w:color w:val="auto"/>
                <w:sz w:val="22"/>
                <w:szCs w:val="22"/>
                <w:highlight w:val="none"/>
                <w:lang w:bidi="ar"/>
              </w:rPr>
            </w:pPr>
            <w:r>
              <w:rPr>
                <w:rFonts w:hint="eastAsia" w:ascii="宋体" w:hAnsi="宋体" w:cs="宋体"/>
                <w:color w:val="auto"/>
                <w:sz w:val="22"/>
                <w:szCs w:val="22"/>
                <w:highlight w:val="none"/>
                <w:lang w:bidi="ar"/>
              </w:rPr>
              <w:t>开袋即食</w:t>
            </w:r>
          </w:p>
          <w:p w14:paraId="2B657B39">
            <w:pPr>
              <w:pStyle w:val="32"/>
              <w:ind w:left="0" w:leftChars="0" w:firstLine="0" w:firstLineChars="0"/>
              <w:rPr>
                <w:rFonts w:hint="eastAsia" w:eastAsia="宋体"/>
                <w:color w:val="auto"/>
                <w:highlight w:val="none"/>
                <w:lang w:val="en-US" w:eastAsia="zh-CN"/>
              </w:rPr>
            </w:pPr>
            <w:r>
              <w:rPr>
                <w:rFonts w:hint="eastAsia" w:ascii="宋体" w:hAnsi="宋体" w:cs="宋体"/>
                <w:color w:val="auto"/>
                <w:sz w:val="22"/>
                <w:szCs w:val="22"/>
                <w:highlight w:val="none"/>
                <w:lang w:val="en-US" w:eastAsia="zh-CN" w:bidi="ar"/>
              </w:rPr>
              <w:t>4、参考品牌：</w:t>
            </w:r>
            <w:r>
              <w:rPr>
                <w:rFonts w:ascii="Arial" w:hAnsi="Arial" w:eastAsia="Arial" w:cs="Arial"/>
                <w:i w:val="0"/>
                <w:iCs w:val="0"/>
                <w:caps w:val="0"/>
                <w:color w:val="auto"/>
                <w:spacing w:val="0"/>
                <w:sz w:val="21"/>
                <w:szCs w:val="21"/>
                <w:highlight w:val="none"/>
                <w:shd w:val="clear" w:fill="FFFFFF"/>
              </w:rPr>
              <w:t>‌</w:t>
            </w:r>
            <w:r>
              <w:rPr>
                <w:rStyle w:val="43"/>
                <w:rFonts w:hint="default" w:ascii="Arial" w:hAnsi="Arial" w:eastAsia="Arial" w:cs="Arial"/>
                <w:i w:val="0"/>
                <w:iCs w:val="0"/>
                <w:caps w:val="0"/>
                <w:color w:val="auto"/>
                <w:spacing w:val="0"/>
                <w:sz w:val="21"/>
                <w:szCs w:val="21"/>
                <w:highlight w:val="none"/>
                <w:u w:val="none"/>
              </w:rPr>
              <w:fldChar w:fldCharType="begin"/>
            </w:r>
            <w:r>
              <w:rPr>
                <w:rStyle w:val="43"/>
                <w:rFonts w:hint="default" w:ascii="Arial" w:hAnsi="Arial" w:eastAsia="Arial" w:cs="Arial"/>
                <w:i w:val="0"/>
                <w:iCs w:val="0"/>
                <w:caps w:val="0"/>
                <w:color w:val="auto"/>
                <w:spacing w:val="0"/>
                <w:sz w:val="21"/>
                <w:szCs w:val="21"/>
                <w:highlight w:val="none"/>
                <w:u w:val="none"/>
              </w:rPr>
              <w:instrText xml:space="preserve"> HYPERLINK "https://www.baidu.com/s?rsv_dl=re_dqa_generate&amp;sa=re_dqa_generate&amp;wd=%E8%97%A4%E6%A1%A5%E7%89%8C&amp;rsv_pq=ae4365ce00005f78&amp;oq=%E6%B8%A9%E5%B7%9E%E9%B8%AD%E6%8E%8C%E5%93%81%E7%89%8C&amp;rsv_t=cf8ccR3cD/FfOA7VpkxuXnNO5TlYf2jEXMC5tq6XCOCL8QaVuRwMQkQmq98P1H9CaVxo&amp;tn=baiduhome_pg&amp;ie=utf-8" \t "https://www.baidu.com/_blank" </w:instrText>
            </w:r>
            <w:r>
              <w:rPr>
                <w:rStyle w:val="43"/>
                <w:rFonts w:hint="default" w:ascii="Arial" w:hAnsi="Arial" w:eastAsia="Arial" w:cs="Arial"/>
                <w:i w:val="0"/>
                <w:iCs w:val="0"/>
                <w:caps w:val="0"/>
                <w:color w:val="auto"/>
                <w:spacing w:val="0"/>
                <w:sz w:val="21"/>
                <w:szCs w:val="21"/>
                <w:highlight w:val="none"/>
                <w:u w:val="none"/>
              </w:rPr>
              <w:fldChar w:fldCharType="separate"/>
            </w:r>
            <w:r>
              <w:rPr>
                <w:rStyle w:val="46"/>
                <w:rFonts w:hint="default" w:ascii="Arial" w:hAnsi="Arial" w:eastAsia="Arial" w:cs="Arial"/>
                <w:i w:val="0"/>
                <w:iCs w:val="0"/>
                <w:caps w:val="0"/>
                <w:color w:val="auto"/>
                <w:spacing w:val="0"/>
                <w:sz w:val="21"/>
                <w:szCs w:val="21"/>
                <w:highlight w:val="none"/>
                <w:u w:val="none"/>
              </w:rPr>
              <w:t>藤桥牌</w:t>
            </w:r>
            <w:r>
              <w:rPr>
                <w:rStyle w:val="43"/>
                <w:rFonts w:hint="default" w:ascii="Arial" w:hAnsi="Arial" w:eastAsia="Arial" w:cs="Arial"/>
                <w:i w:val="0"/>
                <w:iCs w:val="0"/>
                <w:caps w:val="0"/>
                <w:color w:val="auto"/>
                <w:spacing w:val="0"/>
                <w:sz w:val="21"/>
                <w:szCs w:val="21"/>
                <w:highlight w:val="none"/>
                <w:u w:val="none"/>
              </w:rPr>
              <w:fldChar w:fldCharType="end"/>
            </w:r>
            <w:r>
              <w:rPr>
                <w:rStyle w:val="43"/>
                <w:rFonts w:hint="eastAsia" w:ascii="Arial" w:hAnsi="Arial" w:eastAsia="宋体" w:cs="Arial"/>
                <w:i w:val="0"/>
                <w:iCs w:val="0"/>
                <w:caps w:val="0"/>
                <w:color w:val="auto"/>
                <w:spacing w:val="0"/>
                <w:sz w:val="21"/>
                <w:szCs w:val="21"/>
                <w:highlight w:val="none"/>
                <w:u w:val="none"/>
                <w:lang w:eastAsia="zh-CN"/>
              </w:rPr>
              <w:t>、</w:t>
            </w:r>
            <w:r>
              <w:rPr>
                <w:rFonts w:ascii="Arial" w:hAnsi="Arial" w:eastAsia="Arial" w:cs="Arial"/>
                <w:i w:val="0"/>
                <w:iCs w:val="0"/>
                <w:caps w:val="0"/>
                <w:color w:val="auto"/>
                <w:spacing w:val="0"/>
                <w:sz w:val="21"/>
                <w:szCs w:val="21"/>
                <w:highlight w:val="none"/>
                <w:shd w:val="clear" w:fill="FFFFFF"/>
              </w:rPr>
              <w:t>初旭</w:t>
            </w:r>
            <w:r>
              <w:rPr>
                <w:rFonts w:hint="eastAsia" w:ascii="Arial" w:hAnsi="Arial" w:eastAsia="宋体" w:cs="Arial"/>
                <w:i w:val="0"/>
                <w:iCs w:val="0"/>
                <w:caps w:val="0"/>
                <w:color w:val="auto"/>
                <w:spacing w:val="0"/>
                <w:sz w:val="21"/>
                <w:szCs w:val="21"/>
                <w:highlight w:val="none"/>
                <w:shd w:val="clear" w:fill="FFFFFF"/>
                <w:lang w:eastAsia="zh-CN"/>
              </w:rPr>
              <w:t>、</w:t>
            </w:r>
            <w:r>
              <w:rPr>
                <w:rFonts w:hint="eastAsia" w:ascii="Arial" w:hAnsi="Arial" w:eastAsia="宋体" w:cs="Arial"/>
                <w:i w:val="0"/>
                <w:iCs w:val="0"/>
                <w:caps w:val="0"/>
                <w:color w:val="auto"/>
                <w:spacing w:val="0"/>
                <w:sz w:val="21"/>
                <w:szCs w:val="21"/>
                <w:highlight w:val="none"/>
                <w:shd w:val="clear" w:fill="FFFFFF"/>
                <w:lang w:val="en-US" w:eastAsia="zh-CN"/>
              </w:rPr>
              <w:t>修文</w:t>
            </w:r>
          </w:p>
        </w:tc>
        <w:tc>
          <w:tcPr>
            <w:tcW w:w="983" w:type="dxa"/>
            <w:noWrap w:val="0"/>
            <w:vAlign w:val="center"/>
          </w:tcPr>
          <w:p w14:paraId="3B0408EC">
            <w:pPr>
              <w:keepNext w:val="0"/>
              <w:keepLines/>
              <w:pageBreakBefore w:val="0"/>
              <w:widowControl w:val="0"/>
              <w:kinsoku/>
              <w:wordWrap/>
              <w:overflowPunct/>
              <w:topLinePunct w:val="0"/>
              <w:autoSpaceDE/>
              <w:autoSpaceDN/>
              <w:bidi w:val="0"/>
              <w:adjustRightInd/>
              <w:spacing w:line="460" w:lineRule="exact"/>
              <w:jc w:val="center"/>
              <w:textAlignment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1</w:t>
            </w:r>
          </w:p>
        </w:tc>
        <w:tc>
          <w:tcPr>
            <w:tcW w:w="1067" w:type="dxa"/>
            <w:noWrap w:val="0"/>
            <w:vAlign w:val="center"/>
          </w:tcPr>
          <w:p w14:paraId="0FACEEBF">
            <w:pPr>
              <w:keepNext w:val="0"/>
              <w:keepLines/>
              <w:pageBreakBefore w:val="0"/>
              <w:widowControl w:val="0"/>
              <w:kinsoku/>
              <w:wordWrap/>
              <w:overflowPunct/>
              <w:topLinePunct w:val="0"/>
              <w:autoSpaceDE/>
              <w:autoSpaceDN/>
              <w:bidi w:val="0"/>
              <w:adjustRightInd/>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份</w:t>
            </w:r>
          </w:p>
        </w:tc>
      </w:tr>
      <w:tr w14:paraId="5014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93" w:type="dxa"/>
            <w:noWrap w:val="0"/>
            <w:vAlign w:val="center"/>
          </w:tcPr>
          <w:p w14:paraId="29E82129">
            <w:pPr>
              <w:keepNext w:val="0"/>
              <w:keepLines/>
              <w:pageBreakBefore w:val="0"/>
              <w:widowControl w:val="0"/>
              <w:kinsoku/>
              <w:wordWrap/>
              <w:overflowPunct/>
              <w:topLinePunct w:val="0"/>
              <w:autoSpaceDE/>
              <w:autoSpaceDN/>
              <w:bidi w:val="0"/>
              <w:adjustRightInd/>
              <w:spacing w:line="460" w:lineRule="exact"/>
              <w:jc w:val="center"/>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5</w:t>
            </w:r>
          </w:p>
        </w:tc>
        <w:tc>
          <w:tcPr>
            <w:tcW w:w="1462" w:type="dxa"/>
            <w:noWrap w:val="0"/>
            <w:vAlign w:val="center"/>
          </w:tcPr>
          <w:p w14:paraId="1C5C8BB5">
            <w:pPr>
              <w:keepNext w:val="0"/>
              <w:keepLines/>
              <w:pageBreakBefore w:val="0"/>
              <w:widowControl w:val="0"/>
              <w:kinsoku/>
              <w:wordWrap/>
              <w:overflowPunct/>
              <w:topLinePunct w:val="0"/>
              <w:autoSpaceDE/>
              <w:autoSpaceDN/>
              <w:bidi w:val="0"/>
              <w:adjustRightInd/>
              <w:spacing w:line="4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lang w:val="en-US" w:eastAsia="zh-CN"/>
              </w:rPr>
              <w:t>混合坚果礼盒（核心产品）</w:t>
            </w:r>
            <w:r>
              <w:rPr>
                <w:rFonts w:hint="eastAsia" w:ascii="宋体" w:hAnsi="宋体" w:cs="宋体"/>
                <w:b/>
                <w:bCs/>
                <w:color w:val="auto"/>
                <w:sz w:val="22"/>
                <w:szCs w:val="22"/>
                <w:highlight w:val="none"/>
              </w:rPr>
              <w:t xml:space="preserve">      </w:t>
            </w:r>
          </w:p>
        </w:tc>
        <w:tc>
          <w:tcPr>
            <w:tcW w:w="5146" w:type="dxa"/>
            <w:noWrap w:val="0"/>
            <w:vAlign w:val="center"/>
          </w:tcPr>
          <w:p w14:paraId="475D567A">
            <w:pPr>
              <w:keepNext w:val="0"/>
              <w:keepLines/>
              <w:pageBreakBefore w:val="0"/>
              <w:widowControl w:val="0"/>
              <w:numPr>
                <w:ilvl w:val="0"/>
                <w:numId w:val="7"/>
              </w:numPr>
              <w:kinsoku/>
              <w:wordWrap/>
              <w:overflowPunct/>
              <w:topLinePunct w:val="0"/>
              <w:autoSpaceDE/>
              <w:autoSpaceDN/>
              <w:bidi w:val="0"/>
              <w:adjustRightInd/>
              <w:spacing w:line="460" w:lineRule="exact"/>
              <w:jc w:val="left"/>
              <w:textAlignment w:val="center"/>
              <w:rPr>
                <w:rFonts w:ascii="宋体" w:hAnsi="宋体" w:cs="宋体"/>
                <w:color w:val="auto"/>
                <w:sz w:val="22"/>
                <w:szCs w:val="22"/>
                <w:highlight w:val="none"/>
                <w:lang w:bidi="ar"/>
              </w:rPr>
            </w:pPr>
            <w:r>
              <w:rPr>
                <w:rFonts w:hint="eastAsia" w:ascii="宋体" w:hAnsi="宋体" w:cs="宋体"/>
                <w:color w:val="auto"/>
                <w:sz w:val="22"/>
                <w:szCs w:val="22"/>
                <w:highlight w:val="none"/>
                <w:lang w:val="en-US" w:eastAsia="zh-CN"/>
              </w:rPr>
              <w:t>品类须含：</w:t>
            </w:r>
          </w:p>
          <w:p w14:paraId="74E8ACA5">
            <w:pPr>
              <w:keepNext w:val="0"/>
              <w:keepLines/>
              <w:pageBreakBefore w:val="0"/>
              <w:widowControl w:val="0"/>
              <w:numPr>
                <w:ilvl w:val="0"/>
                <w:numId w:val="0"/>
              </w:numPr>
              <w:kinsoku/>
              <w:wordWrap/>
              <w:overflowPunct/>
              <w:topLinePunct w:val="0"/>
              <w:autoSpaceDE/>
              <w:autoSpaceDN/>
              <w:bidi w:val="0"/>
              <w:adjustRightInd/>
              <w:spacing w:line="460" w:lineRule="exact"/>
              <w:jc w:val="left"/>
              <w:textAlignment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腰果（</w:t>
            </w:r>
            <w:r>
              <w:rPr>
                <w:rFonts w:hint="eastAsia" w:ascii="宋体" w:hAnsi="宋体" w:cs="宋体"/>
                <w:color w:val="auto"/>
                <w:sz w:val="22"/>
                <w:szCs w:val="22"/>
                <w:highlight w:val="none"/>
              </w:rPr>
              <w:t>净含量≥</w:t>
            </w:r>
            <w:r>
              <w:rPr>
                <w:rFonts w:hint="eastAsia" w:ascii="宋体" w:hAnsi="宋体" w:cs="宋体"/>
                <w:color w:val="auto"/>
                <w:sz w:val="22"/>
                <w:szCs w:val="22"/>
                <w:highlight w:val="none"/>
                <w:lang w:val="en-US" w:eastAsia="zh-CN"/>
              </w:rPr>
              <w:t>250g，A180型）</w:t>
            </w:r>
          </w:p>
          <w:p w14:paraId="3FE8C5B0">
            <w:pPr>
              <w:keepNext w:val="0"/>
              <w:keepLines/>
              <w:pageBreakBefore w:val="0"/>
              <w:widowControl w:val="0"/>
              <w:numPr>
                <w:ilvl w:val="0"/>
                <w:numId w:val="0"/>
              </w:numPr>
              <w:kinsoku/>
              <w:wordWrap/>
              <w:overflowPunct/>
              <w:topLinePunct w:val="0"/>
              <w:autoSpaceDE/>
              <w:autoSpaceDN/>
              <w:bidi w:val="0"/>
              <w:adjustRightInd/>
              <w:spacing w:line="460" w:lineRule="exact"/>
              <w:jc w:val="left"/>
              <w:textAlignment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巴旦木仁（</w:t>
            </w:r>
            <w:r>
              <w:rPr>
                <w:rFonts w:hint="eastAsia" w:ascii="宋体" w:hAnsi="宋体" w:cs="宋体"/>
                <w:color w:val="auto"/>
                <w:sz w:val="22"/>
                <w:szCs w:val="22"/>
                <w:highlight w:val="none"/>
              </w:rPr>
              <w:t>净含量≥</w:t>
            </w:r>
            <w:r>
              <w:rPr>
                <w:rFonts w:hint="eastAsia" w:ascii="宋体" w:hAnsi="宋体" w:cs="宋体"/>
                <w:color w:val="auto"/>
                <w:sz w:val="22"/>
                <w:szCs w:val="22"/>
                <w:highlight w:val="none"/>
                <w:lang w:val="en-US" w:eastAsia="zh-CN"/>
              </w:rPr>
              <w:t>250g，单颗重量</w:t>
            </w:r>
            <w:r>
              <w:rPr>
                <w:rFonts w:hint="eastAsia" w:ascii="宋体" w:hAnsi="宋体" w:cs="宋体"/>
                <w:color w:val="auto"/>
                <w:sz w:val="22"/>
                <w:szCs w:val="22"/>
                <w:highlight w:val="none"/>
              </w:rPr>
              <w:t>≥1.1</w:t>
            </w:r>
            <w:r>
              <w:rPr>
                <w:rFonts w:hint="eastAsia" w:ascii="宋体" w:hAnsi="宋体" w:cs="宋体"/>
                <w:color w:val="auto"/>
                <w:sz w:val="22"/>
                <w:szCs w:val="22"/>
                <w:highlight w:val="none"/>
                <w:lang w:val="en-US" w:eastAsia="zh-CN"/>
              </w:rPr>
              <w:t>g）</w:t>
            </w:r>
          </w:p>
          <w:p w14:paraId="44A6EB73">
            <w:pPr>
              <w:keepNext w:val="0"/>
              <w:keepLines/>
              <w:pageBreakBefore w:val="0"/>
              <w:widowControl w:val="0"/>
              <w:numPr>
                <w:ilvl w:val="0"/>
                <w:numId w:val="0"/>
              </w:numPr>
              <w:kinsoku/>
              <w:wordWrap/>
              <w:overflowPunct/>
              <w:topLinePunct w:val="0"/>
              <w:autoSpaceDE/>
              <w:autoSpaceDN/>
              <w:bidi w:val="0"/>
              <w:adjustRightInd/>
              <w:spacing w:line="460" w:lineRule="exact"/>
              <w:jc w:val="left"/>
              <w:textAlignment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手剥山核桃（</w:t>
            </w:r>
            <w:r>
              <w:rPr>
                <w:rFonts w:hint="eastAsia" w:ascii="宋体" w:hAnsi="宋体" w:cs="宋体"/>
                <w:color w:val="auto"/>
                <w:sz w:val="22"/>
                <w:szCs w:val="22"/>
                <w:highlight w:val="none"/>
              </w:rPr>
              <w:t>净含量≥</w:t>
            </w:r>
            <w:r>
              <w:rPr>
                <w:rFonts w:hint="eastAsia" w:ascii="宋体" w:hAnsi="宋体" w:cs="宋体"/>
                <w:color w:val="auto"/>
                <w:sz w:val="22"/>
                <w:szCs w:val="22"/>
                <w:highlight w:val="none"/>
                <w:lang w:val="en-US" w:eastAsia="zh-CN"/>
              </w:rPr>
              <w:t>250g，单颗直径</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22mm）</w:t>
            </w:r>
          </w:p>
          <w:p w14:paraId="2A30A9E2">
            <w:pPr>
              <w:keepNext w:val="0"/>
              <w:keepLines/>
              <w:pageBreakBefore w:val="0"/>
              <w:widowControl w:val="0"/>
              <w:numPr>
                <w:ilvl w:val="0"/>
                <w:numId w:val="0"/>
              </w:numPr>
              <w:kinsoku/>
              <w:wordWrap/>
              <w:overflowPunct/>
              <w:topLinePunct w:val="0"/>
              <w:autoSpaceDE/>
              <w:autoSpaceDN/>
              <w:bidi w:val="0"/>
              <w:adjustRightInd/>
              <w:spacing w:line="460" w:lineRule="exact"/>
              <w:jc w:val="left"/>
              <w:textAlignment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核桃仁（</w:t>
            </w:r>
            <w:r>
              <w:rPr>
                <w:rFonts w:hint="eastAsia" w:ascii="宋体" w:hAnsi="宋体" w:cs="宋体"/>
                <w:color w:val="auto"/>
                <w:sz w:val="22"/>
                <w:szCs w:val="22"/>
                <w:highlight w:val="none"/>
              </w:rPr>
              <w:t>净含量≥</w:t>
            </w:r>
            <w:r>
              <w:rPr>
                <w:rFonts w:hint="eastAsia" w:ascii="宋体" w:hAnsi="宋体" w:cs="宋体"/>
                <w:color w:val="auto"/>
                <w:sz w:val="22"/>
                <w:szCs w:val="22"/>
                <w:highlight w:val="none"/>
                <w:lang w:val="en-US" w:eastAsia="zh-CN"/>
              </w:rPr>
              <w:t>250g，单颗直径</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30mm）</w:t>
            </w:r>
          </w:p>
          <w:p w14:paraId="056173AE">
            <w:pPr>
              <w:keepNext w:val="0"/>
              <w:keepLines/>
              <w:pageBreakBefore w:val="0"/>
              <w:widowControl w:val="0"/>
              <w:numPr>
                <w:ilvl w:val="0"/>
                <w:numId w:val="0"/>
              </w:numPr>
              <w:kinsoku/>
              <w:wordWrap/>
              <w:overflowPunct/>
              <w:topLinePunct w:val="0"/>
              <w:autoSpaceDE/>
              <w:autoSpaceDN/>
              <w:bidi w:val="0"/>
              <w:adjustRightInd/>
              <w:spacing w:line="460" w:lineRule="exact"/>
              <w:jc w:val="left"/>
              <w:textAlignment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碧根果（</w:t>
            </w:r>
            <w:r>
              <w:rPr>
                <w:rFonts w:hint="eastAsia" w:ascii="宋体" w:hAnsi="宋体" w:cs="宋体"/>
                <w:color w:val="auto"/>
                <w:sz w:val="22"/>
                <w:szCs w:val="22"/>
                <w:highlight w:val="none"/>
              </w:rPr>
              <w:t>净含量≥</w:t>
            </w:r>
            <w:r>
              <w:rPr>
                <w:rFonts w:hint="eastAsia" w:ascii="宋体" w:hAnsi="宋体" w:cs="宋体"/>
                <w:color w:val="auto"/>
                <w:sz w:val="22"/>
                <w:szCs w:val="22"/>
                <w:highlight w:val="none"/>
                <w:lang w:val="en-US" w:eastAsia="zh-CN"/>
              </w:rPr>
              <w:t>250g，单颗</w:t>
            </w:r>
            <w:r>
              <w:rPr>
                <w:rFonts w:hint="eastAsia" w:ascii="Arial" w:hAnsi="Arial" w:eastAsia="宋体" w:cs="Arial"/>
                <w:i w:val="0"/>
                <w:iCs w:val="0"/>
                <w:caps w:val="0"/>
                <w:color w:val="auto"/>
                <w:spacing w:val="0"/>
                <w:sz w:val="21"/>
                <w:szCs w:val="21"/>
                <w:highlight w:val="none"/>
                <w:shd w:val="clear" w:fill="FFFFFF"/>
                <w:lang w:val="en-US" w:eastAsia="zh-CN"/>
              </w:rPr>
              <w:t>重量</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9g）</w:t>
            </w:r>
          </w:p>
          <w:p w14:paraId="12A9C6C8">
            <w:pPr>
              <w:keepNext w:val="0"/>
              <w:keepLines/>
              <w:pageBreakBefore w:val="0"/>
              <w:widowControl w:val="0"/>
              <w:numPr>
                <w:ilvl w:val="0"/>
                <w:numId w:val="0"/>
              </w:numPr>
              <w:kinsoku/>
              <w:wordWrap/>
              <w:overflowPunct/>
              <w:topLinePunct w:val="0"/>
              <w:autoSpaceDE/>
              <w:autoSpaceDN/>
              <w:bidi w:val="0"/>
              <w:adjustRightInd/>
              <w:spacing w:line="460" w:lineRule="exact"/>
              <w:jc w:val="left"/>
              <w:textAlignment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松子（</w:t>
            </w:r>
            <w:r>
              <w:rPr>
                <w:rFonts w:hint="eastAsia" w:ascii="宋体" w:hAnsi="宋体" w:cs="宋体"/>
                <w:color w:val="auto"/>
                <w:sz w:val="22"/>
                <w:szCs w:val="22"/>
                <w:highlight w:val="none"/>
              </w:rPr>
              <w:t>净含量≥</w:t>
            </w:r>
            <w:r>
              <w:rPr>
                <w:rFonts w:hint="eastAsia" w:ascii="宋体" w:hAnsi="宋体" w:cs="宋体"/>
                <w:color w:val="auto"/>
                <w:sz w:val="22"/>
                <w:szCs w:val="22"/>
                <w:highlight w:val="none"/>
                <w:lang w:val="en-US" w:eastAsia="zh-CN"/>
              </w:rPr>
              <w:t>250g，单颗重量</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0.58g）</w:t>
            </w:r>
          </w:p>
          <w:p w14:paraId="20469445">
            <w:pPr>
              <w:keepNext w:val="0"/>
              <w:keepLines/>
              <w:pageBreakBefore w:val="0"/>
              <w:widowControl w:val="0"/>
              <w:numPr>
                <w:ilvl w:val="0"/>
                <w:numId w:val="0"/>
              </w:numPr>
              <w:kinsoku/>
              <w:wordWrap/>
              <w:overflowPunct/>
              <w:topLinePunct w:val="0"/>
              <w:autoSpaceDE/>
              <w:autoSpaceDN/>
              <w:bidi w:val="0"/>
              <w:adjustRightInd/>
              <w:spacing w:line="460" w:lineRule="exact"/>
              <w:jc w:val="left"/>
              <w:textAlignment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夏威夷果（</w:t>
            </w:r>
            <w:r>
              <w:rPr>
                <w:rFonts w:hint="eastAsia" w:ascii="宋体" w:hAnsi="宋体" w:cs="宋体"/>
                <w:color w:val="auto"/>
                <w:sz w:val="22"/>
                <w:szCs w:val="22"/>
                <w:highlight w:val="none"/>
              </w:rPr>
              <w:t>净含量≥</w:t>
            </w:r>
            <w:r>
              <w:rPr>
                <w:rFonts w:hint="eastAsia" w:ascii="宋体" w:hAnsi="宋体" w:cs="宋体"/>
                <w:color w:val="auto"/>
                <w:sz w:val="22"/>
                <w:szCs w:val="22"/>
                <w:highlight w:val="none"/>
                <w:lang w:val="en-US" w:eastAsia="zh-CN"/>
              </w:rPr>
              <w:t>250g，单颗</w:t>
            </w:r>
            <w:r>
              <w:rPr>
                <w:rFonts w:ascii="Arial" w:hAnsi="Arial" w:eastAsia="Arial" w:cs="Arial"/>
                <w:i w:val="0"/>
                <w:iCs w:val="0"/>
                <w:caps w:val="0"/>
                <w:color w:val="auto"/>
                <w:spacing w:val="0"/>
                <w:sz w:val="21"/>
                <w:szCs w:val="21"/>
                <w:highlight w:val="none"/>
                <w:shd w:val="clear" w:fill="FFFFFF"/>
              </w:rPr>
              <w:t>直径</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26mm）</w:t>
            </w:r>
          </w:p>
          <w:p w14:paraId="570FCEA9">
            <w:pPr>
              <w:keepNext w:val="0"/>
              <w:keepLines/>
              <w:pageBreakBefore w:val="0"/>
              <w:widowControl w:val="0"/>
              <w:numPr>
                <w:ilvl w:val="0"/>
                <w:numId w:val="0"/>
              </w:numPr>
              <w:kinsoku/>
              <w:wordWrap/>
              <w:overflowPunct/>
              <w:topLinePunct w:val="0"/>
              <w:autoSpaceDE/>
              <w:autoSpaceDN/>
              <w:bidi w:val="0"/>
              <w:adjustRightInd/>
              <w:spacing w:line="460" w:lineRule="exact"/>
              <w:jc w:val="left"/>
              <w:textAlignment w:val="center"/>
              <w:rPr>
                <w:rFonts w:ascii="宋体" w:hAnsi="宋体" w:cs="宋体"/>
                <w:color w:val="auto"/>
                <w:sz w:val="22"/>
                <w:szCs w:val="22"/>
                <w:highlight w:val="none"/>
                <w:lang w:bidi="ar"/>
              </w:rPr>
            </w:pPr>
            <w:r>
              <w:rPr>
                <w:rFonts w:hint="eastAsia" w:ascii="宋体" w:hAnsi="宋体" w:cs="宋体"/>
                <w:color w:val="auto"/>
                <w:sz w:val="22"/>
                <w:szCs w:val="22"/>
                <w:highlight w:val="none"/>
                <w:lang w:val="en-US" w:eastAsia="zh-CN"/>
              </w:rPr>
              <w:t>开心果（</w:t>
            </w:r>
            <w:r>
              <w:rPr>
                <w:rFonts w:hint="eastAsia" w:ascii="宋体" w:hAnsi="宋体" w:cs="宋体"/>
                <w:color w:val="auto"/>
                <w:sz w:val="22"/>
                <w:szCs w:val="22"/>
                <w:highlight w:val="none"/>
              </w:rPr>
              <w:t>净含量≥</w:t>
            </w:r>
            <w:r>
              <w:rPr>
                <w:rFonts w:hint="eastAsia" w:ascii="宋体" w:hAnsi="宋体" w:cs="宋体"/>
                <w:color w:val="auto"/>
                <w:sz w:val="22"/>
                <w:szCs w:val="22"/>
                <w:highlight w:val="none"/>
                <w:lang w:val="en-US" w:eastAsia="zh-CN"/>
              </w:rPr>
              <w:t>250g,单颗重量</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1.28g）</w:t>
            </w:r>
          </w:p>
          <w:p w14:paraId="59515DFE">
            <w:pPr>
              <w:pStyle w:val="32"/>
              <w:ind w:left="0"/>
              <w:rPr>
                <w:rFonts w:hint="default"/>
                <w:color w:val="auto"/>
                <w:highlight w:val="none"/>
                <w:lang w:val="en-US"/>
              </w:rPr>
            </w:pPr>
            <w:r>
              <w:rPr>
                <w:rFonts w:hint="eastAsia" w:ascii="宋体" w:hAnsi="宋体" w:cs="宋体"/>
                <w:color w:val="auto"/>
                <w:sz w:val="22"/>
                <w:szCs w:val="22"/>
                <w:highlight w:val="none"/>
                <w:lang w:val="en-US" w:eastAsia="zh-CN"/>
              </w:rPr>
              <w:t>2、果实饱满，无破碎</w:t>
            </w:r>
          </w:p>
          <w:p w14:paraId="5ECB036B">
            <w:pPr>
              <w:keepNext w:val="0"/>
              <w:keepLines/>
              <w:pageBreakBefore w:val="0"/>
              <w:widowControl w:val="0"/>
              <w:numPr>
                <w:ilvl w:val="-1"/>
                <w:numId w:val="0"/>
              </w:numPr>
              <w:kinsoku/>
              <w:wordWrap/>
              <w:overflowPunct/>
              <w:topLinePunct w:val="0"/>
              <w:autoSpaceDE/>
              <w:autoSpaceDN/>
              <w:bidi w:val="0"/>
              <w:adjustRightInd/>
              <w:spacing w:line="460" w:lineRule="exact"/>
              <w:jc w:val="left"/>
              <w:textAlignment w:val="center"/>
              <w:rPr>
                <w:rFonts w:ascii="宋体" w:hAnsi="宋体" w:cs="宋体"/>
                <w:color w:val="auto"/>
                <w:sz w:val="22"/>
                <w:szCs w:val="22"/>
                <w:highlight w:val="none"/>
                <w:lang w:bidi="ar"/>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罐</w:t>
            </w:r>
            <w:r>
              <w:rPr>
                <w:rFonts w:hint="eastAsia" w:ascii="宋体" w:hAnsi="宋体" w:cs="宋体"/>
                <w:color w:val="auto"/>
                <w:sz w:val="22"/>
                <w:szCs w:val="22"/>
                <w:highlight w:val="none"/>
                <w:lang w:val="en-US" w:eastAsia="zh-CN"/>
              </w:rPr>
              <w:t>装，</w:t>
            </w:r>
            <w:r>
              <w:rPr>
                <w:rFonts w:hint="eastAsia" w:ascii="宋体" w:hAnsi="宋体" w:cs="宋体"/>
                <w:color w:val="auto"/>
                <w:sz w:val="22"/>
                <w:szCs w:val="22"/>
                <w:highlight w:val="none"/>
              </w:rPr>
              <w:t>开罐即食</w:t>
            </w:r>
          </w:p>
        </w:tc>
        <w:tc>
          <w:tcPr>
            <w:tcW w:w="983" w:type="dxa"/>
            <w:noWrap w:val="0"/>
            <w:vAlign w:val="center"/>
          </w:tcPr>
          <w:p w14:paraId="0ED40404">
            <w:pPr>
              <w:keepNext w:val="0"/>
              <w:keepLines/>
              <w:pageBreakBefore w:val="0"/>
              <w:widowControl w:val="0"/>
              <w:kinsoku/>
              <w:wordWrap/>
              <w:overflowPunct/>
              <w:topLinePunct w:val="0"/>
              <w:autoSpaceDE/>
              <w:autoSpaceDN/>
              <w:bidi w:val="0"/>
              <w:adjustRightInd/>
              <w:spacing w:line="460" w:lineRule="exact"/>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1067" w:type="dxa"/>
            <w:noWrap w:val="0"/>
            <w:vAlign w:val="center"/>
          </w:tcPr>
          <w:p w14:paraId="14D98E08">
            <w:pPr>
              <w:keepNext w:val="0"/>
              <w:keepLines/>
              <w:pageBreakBefore w:val="0"/>
              <w:widowControl w:val="0"/>
              <w:kinsoku/>
              <w:wordWrap/>
              <w:overflowPunct/>
              <w:topLinePunct w:val="0"/>
              <w:autoSpaceDE/>
              <w:autoSpaceDN/>
              <w:bidi w:val="0"/>
              <w:adjustRightInd/>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份</w:t>
            </w:r>
          </w:p>
        </w:tc>
      </w:tr>
    </w:tbl>
    <w:p w14:paraId="5B2CE120">
      <w:pPr>
        <w:spacing w:line="460" w:lineRule="exact"/>
        <w:rPr>
          <w:rFonts w:hint="eastAsia" w:ascii="宋体" w:hAnsi="宋体"/>
          <w:b/>
          <w:bCs/>
          <w:color w:val="auto"/>
          <w:kern w:val="0"/>
          <w:sz w:val="22"/>
          <w:szCs w:val="22"/>
          <w:highlight w:val="none"/>
          <w:lang w:eastAsia="zh-CN"/>
        </w:rPr>
      </w:pPr>
      <w:r>
        <w:rPr>
          <w:rFonts w:hint="eastAsia" w:ascii="宋体" w:hAnsi="宋体"/>
          <w:b/>
          <w:color w:val="auto"/>
          <w:kern w:val="0"/>
          <w:sz w:val="22"/>
          <w:szCs w:val="22"/>
          <w:highlight w:val="none"/>
        </w:rPr>
        <w:t>注：</w:t>
      </w:r>
      <w:r>
        <w:rPr>
          <w:rFonts w:hint="eastAsia" w:ascii="宋体" w:hAnsi="宋体"/>
          <w:b/>
          <w:bCs/>
          <w:color w:val="auto"/>
          <w:kern w:val="0"/>
          <w:sz w:val="22"/>
          <w:szCs w:val="22"/>
          <w:highlight w:val="none"/>
        </w:rPr>
        <w:t>每份慰问品含（</w:t>
      </w:r>
      <w:r>
        <w:rPr>
          <w:rFonts w:hint="eastAsia" w:ascii="宋体" w:hAnsi="宋体" w:cs="宋体"/>
          <w:b/>
          <w:color w:val="auto"/>
          <w:sz w:val="22"/>
          <w:szCs w:val="22"/>
          <w:highlight w:val="none"/>
          <w:u w:val="single"/>
        </w:rPr>
        <w:t>肉松1份</w:t>
      </w:r>
      <w:r>
        <w:rPr>
          <w:rFonts w:hint="eastAsia" w:ascii="宋体" w:hAnsi="宋体" w:cs="宋体"/>
          <w:b/>
          <w:color w:val="auto"/>
          <w:sz w:val="22"/>
          <w:szCs w:val="22"/>
          <w:highlight w:val="none"/>
          <w:u w:val="single"/>
          <w:lang w:eastAsia="zh-CN"/>
        </w:rPr>
        <w:t>，</w:t>
      </w:r>
      <w:r>
        <w:rPr>
          <w:rFonts w:hint="eastAsia" w:ascii="宋体" w:hAnsi="宋体" w:cs="宋体"/>
          <w:b/>
          <w:color w:val="auto"/>
          <w:sz w:val="22"/>
          <w:szCs w:val="22"/>
          <w:highlight w:val="none"/>
          <w:u w:val="single"/>
        </w:rPr>
        <w:t>红枣1份</w:t>
      </w:r>
      <w:r>
        <w:rPr>
          <w:rFonts w:hint="eastAsia" w:ascii="宋体" w:hAnsi="宋体" w:cs="宋体"/>
          <w:b/>
          <w:color w:val="auto"/>
          <w:sz w:val="22"/>
          <w:szCs w:val="22"/>
          <w:highlight w:val="none"/>
          <w:u w:val="single"/>
          <w:lang w:eastAsia="zh-CN"/>
        </w:rPr>
        <w:t>，</w:t>
      </w:r>
      <w:r>
        <w:rPr>
          <w:rFonts w:hint="eastAsia" w:ascii="宋体" w:hAnsi="宋体" w:cs="宋体"/>
          <w:b/>
          <w:color w:val="auto"/>
          <w:sz w:val="22"/>
          <w:szCs w:val="22"/>
          <w:highlight w:val="none"/>
          <w:u w:val="single"/>
        </w:rPr>
        <w:t>牛肉片1份</w:t>
      </w:r>
      <w:r>
        <w:rPr>
          <w:rFonts w:hint="eastAsia" w:ascii="宋体" w:hAnsi="宋体" w:cs="宋体"/>
          <w:b/>
          <w:color w:val="auto"/>
          <w:sz w:val="22"/>
          <w:szCs w:val="22"/>
          <w:highlight w:val="none"/>
          <w:u w:val="single"/>
          <w:lang w:eastAsia="zh-CN"/>
        </w:rPr>
        <w:t>，</w:t>
      </w:r>
      <w:r>
        <w:rPr>
          <w:rFonts w:hint="eastAsia" w:ascii="宋体" w:hAnsi="宋体" w:cs="宋体"/>
          <w:b/>
          <w:color w:val="auto"/>
          <w:sz w:val="22"/>
          <w:szCs w:val="22"/>
          <w:highlight w:val="none"/>
          <w:u w:val="single"/>
          <w:lang w:val="en-US" w:eastAsia="zh-CN"/>
        </w:rPr>
        <w:t>鸭舌1份，混合</w:t>
      </w:r>
      <w:r>
        <w:rPr>
          <w:rFonts w:hint="eastAsia" w:ascii="宋体" w:hAnsi="宋体" w:cs="宋体"/>
          <w:b/>
          <w:color w:val="auto"/>
          <w:sz w:val="22"/>
          <w:szCs w:val="22"/>
          <w:highlight w:val="none"/>
          <w:u w:val="single"/>
        </w:rPr>
        <w:t>坚果礼盒1份</w:t>
      </w:r>
      <w:r>
        <w:rPr>
          <w:rFonts w:hint="eastAsia" w:ascii="宋体" w:hAnsi="宋体"/>
          <w:b/>
          <w:bCs/>
          <w:color w:val="auto"/>
          <w:kern w:val="0"/>
          <w:sz w:val="22"/>
          <w:szCs w:val="22"/>
          <w:highlight w:val="none"/>
        </w:rPr>
        <w:t>）</w:t>
      </w:r>
      <w:r>
        <w:rPr>
          <w:rFonts w:hint="eastAsia" w:ascii="宋体" w:hAnsi="宋体"/>
          <w:b/>
          <w:bCs/>
          <w:color w:val="auto"/>
          <w:kern w:val="0"/>
          <w:sz w:val="22"/>
          <w:szCs w:val="22"/>
          <w:highlight w:val="none"/>
          <w:lang w:eastAsia="zh-CN"/>
        </w:rPr>
        <w:t>。</w:t>
      </w:r>
    </w:p>
    <w:p w14:paraId="0BF28B40">
      <w:pPr>
        <w:spacing w:line="460" w:lineRule="exact"/>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lang w:val="en-US" w:eastAsia="zh-CN"/>
        </w:rPr>
        <w:t>四</w:t>
      </w:r>
      <w:r>
        <w:rPr>
          <w:rFonts w:hint="eastAsia" w:ascii="宋体" w:hAnsi="宋体" w:cs="宋体"/>
          <w:b/>
          <w:color w:val="auto"/>
          <w:spacing w:val="-6"/>
          <w:sz w:val="22"/>
          <w:szCs w:val="22"/>
          <w:highlight w:val="none"/>
        </w:rPr>
        <w:t>、备注</w:t>
      </w:r>
    </w:p>
    <w:p w14:paraId="28723B05">
      <w:pPr>
        <w:snapToGrid w:val="0"/>
        <w:spacing w:line="360" w:lineRule="exact"/>
        <w:ind w:firstLine="418" w:firstLineChars="200"/>
        <w:jc w:val="lef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（一）除采购文件中所明确的采购需求外，欢迎其他能满足本项目采购需求且性能相当于或高于所明确采购需求的产品参加投标报价。同时在采购需求偏离表中作出详细对比说明。</w:t>
      </w:r>
      <w:r>
        <w:rPr>
          <w:rFonts w:hint="eastAsia" w:ascii="宋体" w:hAnsi="宋体" w:eastAsia="宋体" w:cs="Times New Roman"/>
          <w:b/>
          <w:bCs/>
          <w:color w:val="auto"/>
          <w:kern w:val="0"/>
          <w:sz w:val="22"/>
          <w:szCs w:val="22"/>
          <w:highlight w:val="none"/>
          <w:lang w:eastAsia="zh-CN"/>
        </w:rPr>
        <w:t>欢迎</w:t>
      </w:r>
      <w:r>
        <w:rPr>
          <w:rFonts w:hint="eastAsia" w:ascii="宋体" w:hAnsi="宋体" w:eastAsia="宋体" w:cs="Times New Roman"/>
          <w:b/>
          <w:bCs/>
          <w:color w:val="auto"/>
          <w:kern w:val="0"/>
          <w:sz w:val="22"/>
          <w:szCs w:val="22"/>
          <w:highlight w:val="none"/>
          <w:lang w:val="en-US" w:eastAsia="zh-CN"/>
        </w:rPr>
        <w:t>投标供应商</w:t>
      </w:r>
      <w:r>
        <w:rPr>
          <w:rFonts w:hint="eastAsia" w:ascii="宋体" w:hAnsi="宋体" w:eastAsia="宋体" w:cs="Times New Roman"/>
          <w:b/>
          <w:bCs/>
          <w:color w:val="auto"/>
          <w:kern w:val="0"/>
          <w:sz w:val="22"/>
          <w:szCs w:val="22"/>
          <w:highlight w:val="none"/>
          <w:lang w:eastAsia="zh-CN"/>
        </w:rPr>
        <w:t>提供档次、性能要求不低于上述参考品牌的其他品牌产品参与竞争</w:t>
      </w:r>
    </w:p>
    <w:p w14:paraId="576C7C42">
      <w:pPr>
        <w:snapToGrid w:val="0"/>
        <w:spacing w:line="360" w:lineRule="exact"/>
        <w:ind w:firstLine="418" w:firstLineChars="200"/>
        <w:jc w:val="lef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（二）带“▲且加下划线”的有关技术和商务条款为实质性条款，供应商必须做出实质性响应，否则视为投标无效。带“★”条款为重要条款。</w:t>
      </w:r>
    </w:p>
    <w:p w14:paraId="618C10D6">
      <w:pPr>
        <w:snapToGrid w:val="0"/>
        <w:spacing w:line="360" w:lineRule="exact"/>
        <w:ind w:firstLine="418" w:firstLineChars="200"/>
        <w:jc w:val="lef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（三）如技术部分中未特别注明需执行的国家相关标准、行业标准、地方标准或者其他标准、规范，则统一执行最新标准、规范。</w:t>
      </w:r>
    </w:p>
    <w:p w14:paraId="4FFA76B5">
      <w:pPr>
        <w:keepNext w:val="0"/>
        <w:keepLines/>
        <w:pageBreakBefore w:val="0"/>
        <w:widowControl w:val="0"/>
        <w:kinsoku/>
        <w:wordWrap/>
        <w:overflowPunct/>
        <w:topLinePunct w:val="0"/>
        <w:autoSpaceDE/>
        <w:autoSpaceDN/>
        <w:bidi w:val="0"/>
        <w:adjustRightInd/>
        <w:spacing w:line="460" w:lineRule="exact"/>
        <w:ind w:left="539" w:leftChars="-1" w:hanging="541" w:hangingChars="245"/>
        <w:rPr>
          <w:rFonts w:hint="eastAsia" w:ascii="宋体" w:hAnsi="宋体" w:eastAsia="宋体"/>
          <w:b/>
          <w:bCs/>
          <w:color w:val="auto"/>
          <w:kern w:val="0"/>
          <w:sz w:val="22"/>
          <w:szCs w:val="22"/>
          <w:highlight w:val="none"/>
          <w:lang w:eastAsia="zh-CN"/>
        </w:rPr>
      </w:pPr>
    </w:p>
    <w:bookmarkEnd w:id="72"/>
    <w:bookmarkEnd w:id="73"/>
    <w:bookmarkEnd w:id="74"/>
    <w:p w14:paraId="08387F0D">
      <w:pPr>
        <w:keepNext w:val="0"/>
        <w:keepLines/>
        <w:pageBreakBefore w:val="0"/>
        <w:widowControl w:val="0"/>
        <w:kinsoku/>
        <w:wordWrap/>
        <w:overflowPunct/>
        <w:topLinePunct w:val="0"/>
        <w:autoSpaceDE/>
        <w:autoSpaceDN/>
        <w:bidi w:val="0"/>
        <w:adjustRightInd/>
        <w:rPr>
          <w:rFonts w:hint="eastAsia" w:ascii="宋体" w:hAnsi="宋体" w:cs="宋体"/>
          <w:b/>
          <w:bCs/>
          <w:color w:val="auto"/>
          <w:kern w:val="36"/>
          <w:sz w:val="32"/>
          <w:szCs w:val="32"/>
          <w:highlight w:val="none"/>
        </w:rPr>
      </w:pPr>
      <w:bookmarkStart w:id="137" w:name="_Toc2397"/>
      <w:bookmarkStart w:id="138" w:name="_Toc23106"/>
      <w:bookmarkStart w:id="139" w:name="_Toc62116488"/>
      <w:bookmarkStart w:id="140" w:name="_Toc37941589"/>
      <w:bookmarkStart w:id="141" w:name="_Toc57385874"/>
      <w:bookmarkStart w:id="142" w:name="_Toc19"/>
      <w:bookmarkStart w:id="143" w:name="_Toc493334528"/>
      <w:r>
        <w:rPr>
          <w:rFonts w:hint="eastAsia" w:ascii="宋体" w:hAnsi="宋体" w:cs="宋体"/>
          <w:b/>
          <w:bCs/>
          <w:color w:val="auto"/>
          <w:kern w:val="36"/>
          <w:sz w:val="32"/>
          <w:szCs w:val="32"/>
          <w:highlight w:val="none"/>
        </w:rPr>
        <w:br w:type="page"/>
      </w:r>
    </w:p>
    <w:p w14:paraId="16BD8ADD">
      <w:pPr>
        <w:snapToGrid w:val="0"/>
        <w:spacing w:line="360" w:lineRule="exact"/>
        <w:ind w:firstLine="643" w:firstLineChars="200"/>
        <w:jc w:val="center"/>
        <w:outlineLvl w:val="0"/>
        <w:rPr>
          <w:rFonts w:hint="eastAsia" w:ascii="宋体" w:hAnsi="宋体" w:cs="宋体"/>
          <w:b/>
          <w:bCs/>
          <w:color w:val="auto"/>
          <w:kern w:val="36"/>
          <w:sz w:val="32"/>
          <w:szCs w:val="32"/>
          <w:highlight w:val="none"/>
        </w:rPr>
      </w:pPr>
      <w:r>
        <w:rPr>
          <w:rFonts w:hint="eastAsia" w:ascii="宋体" w:hAnsi="宋体" w:cs="宋体"/>
          <w:b/>
          <w:bCs/>
          <w:color w:val="auto"/>
          <w:kern w:val="36"/>
          <w:sz w:val="32"/>
          <w:szCs w:val="32"/>
          <w:highlight w:val="none"/>
        </w:rPr>
        <w:t>第六部分   评标原则及方法</w:t>
      </w:r>
      <w:bookmarkEnd w:id="137"/>
      <w:bookmarkEnd w:id="138"/>
    </w:p>
    <w:p w14:paraId="68EE2191">
      <w:pPr>
        <w:pStyle w:val="13"/>
        <w:adjustRightInd w:val="0"/>
        <w:snapToGrid w:val="0"/>
        <w:spacing w:after="0" w:line="440" w:lineRule="exact"/>
        <w:ind w:firstLine="422" w:firstLineChars="200"/>
        <w:jc w:val="center"/>
        <w:rPr>
          <w:rFonts w:hint="eastAsia" w:ascii="宋体" w:hAnsi="宋体" w:cs="宋体"/>
          <w:b/>
          <w:color w:val="auto"/>
          <w:highlight w:val="none"/>
        </w:rPr>
      </w:pPr>
      <w:r>
        <w:rPr>
          <w:rFonts w:hint="eastAsia" w:ascii="宋体" w:hAnsi="宋体" w:cs="宋体"/>
          <w:b/>
          <w:color w:val="auto"/>
          <w:highlight w:val="none"/>
        </w:rPr>
        <w:t>根据《中华人民共和国政府采购法》等相关法规特制定以下评审办法。</w:t>
      </w:r>
    </w:p>
    <w:p w14:paraId="19A6E567">
      <w:pPr>
        <w:pStyle w:val="13"/>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一、 总  则</w:t>
      </w:r>
    </w:p>
    <w:p w14:paraId="48EAEF3E">
      <w:pPr>
        <w:pStyle w:val="13"/>
        <w:adjustRightInd w:val="0"/>
        <w:snapToGrid w:val="0"/>
        <w:spacing w:line="440" w:lineRule="exact"/>
        <w:ind w:left="420" w:left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14:paraId="74A9B60A">
      <w:pPr>
        <w:pStyle w:val="13"/>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二、 评标组织</w:t>
      </w:r>
    </w:p>
    <w:p w14:paraId="02389E84">
      <w:pPr>
        <w:spacing w:line="440" w:lineRule="exact"/>
        <w:ind w:left="548" w:leftChars="261"/>
        <w:rPr>
          <w:rFonts w:hint="eastAsia" w:ascii="宋体" w:hAnsi="宋体" w:cs="宋体"/>
          <w:color w:val="auto"/>
          <w:sz w:val="22"/>
          <w:szCs w:val="22"/>
          <w:highlight w:val="none"/>
        </w:rPr>
      </w:pPr>
      <w:r>
        <w:rPr>
          <w:rFonts w:hint="eastAsia" w:ascii="宋体" w:hAnsi="宋体" w:cs="宋体"/>
          <w:color w:val="auto"/>
          <w:sz w:val="22"/>
          <w:szCs w:val="22"/>
          <w:highlight w:val="none"/>
        </w:rPr>
        <w:t>评标工作由采购人和采购代理机构依法组建的评标委员会负责，评标全过程由有关部门指导监督。</w:t>
      </w:r>
    </w:p>
    <w:p w14:paraId="52764B35">
      <w:pPr>
        <w:pStyle w:val="13"/>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三、 电子招投标开标及评审程序</w:t>
      </w:r>
    </w:p>
    <w:p w14:paraId="5F48E5B6">
      <w:pPr>
        <w:pStyle w:val="13"/>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1.采购代理机构签收、开始解密投标文件；</w:t>
      </w:r>
    </w:p>
    <w:p w14:paraId="478ED298">
      <w:pPr>
        <w:pStyle w:val="13"/>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2.供应商解密投标文件；</w:t>
      </w:r>
    </w:p>
    <w:p w14:paraId="189BC519">
      <w:pPr>
        <w:pStyle w:val="13"/>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3.采购代理机构结束解密投标文件；</w:t>
      </w:r>
    </w:p>
    <w:p w14:paraId="0503C197">
      <w:pPr>
        <w:pStyle w:val="13"/>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4.采购代理机构或采购人在线资格性审查；</w:t>
      </w:r>
    </w:p>
    <w:p w14:paraId="1E1B2CB5">
      <w:pPr>
        <w:pStyle w:val="13"/>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5.评标委员会对投标文件进行评审；</w:t>
      </w:r>
    </w:p>
    <w:p w14:paraId="2F49B6C8">
      <w:pPr>
        <w:pStyle w:val="13"/>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6.在政采云系统上公开资格和商务技术评审结果；</w:t>
      </w:r>
    </w:p>
    <w:p w14:paraId="045119DB">
      <w:pPr>
        <w:pStyle w:val="13"/>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7.在政采云系统上公开报价情况；</w:t>
      </w:r>
    </w:p>
    <w:p w14:paraId="6752240B">
      <w:pPr>
        <w:pStyle w:val="13"/>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8.评标委员会对报价情况进行评审；</w:t>
      </w:r>
    </w:p>
    <w:p w14:paraId="633355E3">
      <w:pPr>
        <w:pStyle w:val="13"/>
        <w:adjustRightInd w:val="0"/>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9.在系统上公布评审结果。</w:t>
      </w:r>
    </w:p>
    <w:p w14:paraId="31BC5DE1">
      <w:pPr>
        <w:pStyle w:val="13"/>
        <w:adjustRightInd w:val="0"/>
        <w:snapToGrid w:val="0"/>
        <w:spacing w:line="440" w:lineRule="exact"/>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rPr>
        <w:t>特别说明：政采云公司如对电子化开标及评审程序有调整的，按调整后的程序操作。</w:t>
      </w:r>
    </w:p>
    <w:p w14:paraId="16C9BDD0">
      <w:pPr>
        <w:pStyle w:val="13"/>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四、 评标办法</w:t>
      </w:r>
    </w:p>
    <w:p w14:paraId="5A8DCF72">
      <w:pPr>
        <w:spacing w:line="440" w:lineRule="exact"/>
        <w:ind w:left="429" w:leftChars="200" w:hanging="9"/>
        <w:rPr>
          <w:rFonts w:hint="eastAsia" w:ascii="宋体" w:hAnsi="宋体" w:cs="宋体"/>
          <w:color w:val="auto"/>
          <w:sz w:val="22"/>
          <w:szCs w:val="22"/>
          <w:highlight w:val="none"/>
        </w:rPr>
      </w:pPr>
      <w:r>
        <w:rPr>
          <w:rFonts w:hint="eastAsia" w:ascii="宋体" w:hAnsi="宋体" w:cs="宋体"/>
          <w:color w:val="auto"/>
          <w:sz w:val="22"/>
          <w:szCs w:val="22"/>
          <w:highlight w:val="none"/>
        </w:rPr>
        <w:t>1.本次评标采用综合评分法，总分100分，其中技术资信70分（技术资信权70%），价格30分（价格权值30%）。即最大限度地满足招标文件实质性要求前提下，按照招标文件中规定的各项评分内容评审后，以评标总得分最高的供应商，作为</w:t>
      </w:r>
      <w:r>
        <w:rPr>
          <w:rFonts w:hint="eastAsia" w:ascii="宋体" w:hAnsi="宋体" w:cs="宋体"/>
          <w:color w:val="auto"/>
          <w:sz w:val="22"/>
          <w:szCs w:val="22"/>
          <w:highlight w:val="none"/>
          <w:lang w:eastAsia="zh-CN"/>
        </w:rPr>
        <w:t>中标</w:t>
      </w:r>
      <w:r>
        <w:rPr>
          <w:rFonts w:hint="eastAsia" w:ascii="宋体" w:hAnsi="宋体" w:cs="宋体"/>
          <w:color w:val="auto"/>
          <w:sz w:val="22"/>
          <w:szCs w:val="22"/>
          <w:highlight w:val="none"/>
        </w:rPr>
        <w:t>人。</w:t>
      </w:r>
    </w:p>
    <w:p w14:paraId="0D782C51">
      <w:pPr>
        <w:spacing w:line="440" w:lineRule="exact"/>
        <w:ind w:left="429" w:leftChars="200" w:hanging="9"/>
        <w:rPr>
          <w:rFonts w:ascii="宋体" w:hAnsi="宋体" w:cs="宋体"/>
          <w:color w:val="auto"/>
          <w:sz w:val="22"/>
          <w:szCs w:val="22"/>
          <w:highlight w:val="none"/>
        </w:rPr>
      </w:pPr>
      <w:r>
        <w:rPr>
          <w:rFonts w:hint="eastAsia" w:ascii="宋体" w:hAnsi="宋体" w:cs="宋体"/>
          <w:color w:val="auto"/>
          <w:sz w:val="22"/>
          <w:szCs w:val="22"/>
          <w:highlight w:val="none"/>
        </w:rPr>
        <w:t>2.投标截止时间止及评审期间，如出现有效供应商＜3家时，本项目废标，并重新组织招标。</w:t>
      </w:r>
    </w:p>
    <w:p w14:paraId="74FECEAD">
      <w:pPr>
        <w:pStyle w:val="13"/>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五、 综合评分法</w:t>
      </w:r>
    </w:p>
    <w:p w14:paraId="7E4CBE25">
      <w:pPr>
        <w:tabs>
          <w:tab w:val="left" w:pos="1365"/>
        </w:tabs>
        <w:spacing w:line="460" w:lineRule="exact"/>
        <w:ind w:left="425" w:leftChars="52" w:hanging="316" w:hangingChars="143"/>
        <w:rPr>
          <w:rFonts w:hint="eastAsia" w:ascii="宋体" w:hAnsi="宋体" w:cs="宋体"/>
          <w:b/>
          <w:bCs/>
          <w:color w:val="auto"/>
          <w:kern w:val="28"/>
          <w:sz w:val="22"/>
          <w:szCs w:val="22"/>
          <w:highlight w:val="none"/>
        </w:rPr>
      </w:pPr>
      <w:r>
        <w:rPr>
          <w:rFonts w:hint="eastAsia" w:ascii="宋体" w:hAnsi="宋体" w:cs="宋体"/>
          <w:b/>
          <w:bCs/>
          <w:color w:val="auto"/>
          <w:kern w:val="28"/>
          <w:sz w:val="22"/>
          <w:szCs w:val="22"/>
          <w:highlight w:val="none"/>
        </w:rPr>
        <w:t>1．各评委成员按下列评分项目进行评判，每人一张评分计算票，并记名。投标响应文件各项评分内容由评标委员会成员各自评分，如某张票的一个因素项目超过规定的范围，则该张票无效。各评标委员会成员对各投标人的各项评分内容评分的算术平均值为各投标人技术分得分（小数点后按四舍五入保留2位）。</w:t>
      </w:r>
    </w:p>
    <w:p w14:paraId="1CF38D11">
      <w:pPr>
        <w:tabs>
          <w:tab w:val="left" w:pos="1365"/>
        </w:tabs>
        <w:spacing w:line="460" w:lineRule="exact"/>
        <w:ind w:left="425" w:leftChars="52" w:hanging="316" w:hangingChars="143"/>
        <w:rPr>
          <w:rFonts w:hint="eastAsia" w:ascii="宋体" w:hAnsi="宋体" w:cs="宋体"/>
          <w:b/>
          <w:bCs/>
          <w:color w:val="auto"/>
          <w:kern w:val="28"/>
          <w:sz w:val="22"/>
          <w:szCs w:val="22"/>
          <w:highlight w:val="none"/>
        </w:rPr>
      </w:pPr>
    </w:p>
    <w:p w14:paraId="007E7B43">
      <w:pPr>
        <w:keepNext w:val="0"/>
        <w:keepLines w:val="0"/>
        <w:pageBreakBefore w:val="0"/>
        <w:tabs>
          <w:tab w:val="left" w:pos="1365"/>
        </w:tabs>
        <w:kinsoku/>
        <w:wordWrap/>
        <w:overflowPunct/>
        <w:topLinePunct w:val="0"/>
        <w:autoSpaceDE/>
        <w:autoSpaceDN/>
        <w:bidi w:val="0"/>
        <w:adjustRightInd/>
        <w:snapToGrid/>
        <w:spacing w:line="460" w:lineRule="exact"/>
        <w:ind w:left="425" w:leftChars="52" w:hanging="316" w:hangingChars="143"/>
        <w:textAlignment w:val="auto"/>
        <w:rPr>
          <w:rFonts w:hint="eastAsia" w:ascii="宋体" w:hAnsi="宋体" w:cs="宋体"/>
          <w:b/>
          <w:bCs/>
          <w:color w:val="auto"/>
          <w:kern w:val="28"/>
          <w:sz w:val="22"/>
          <w:szCs w:val="22"/>
          <w:highlight w:val="none"/>
        </w:rPr>
      </w:pPr>
      <w:r>
        <w:rPr>
          <w:rFonts w:hint="eastAsia" w:ascii="宋体" w:hAnsi="宋体" w:cs="宋体"/>
          <w:b/>
          <w:bCs/>
          <w:color w:val="auto"/>
          <w:kern w:val="0"/>
          <w:sz w:val="22"/>
          <w:szCs w:val="22"/>
          <w:highlight w:val="none"/>
        </w:rPr>
        <w:t>2、商务技术评分（70分）</w:t>
      </w:r>
    </w:p>
    <w:tbl>
      <w:tblPr>
        <w:tblStyle w:val="40"/>
        <w:tblpPr w:leftFromText="180" w:rightFromText="180" w:vertAnchor="text" w:horzAnchor="page" w:tblpX="1393" w:tblpY="43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248"/>
        <w:gridCol w:w="6341"/>
        <w:gridCol w:w="664"/>
        <w:gridCol w:w="858"/>
      </w:tblGrid>
      <w:tr w14:paraId="5267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77" w:type="pct"/>
            <w:noWrap w:val="0"/>
            <w:vAlign w:val="center"/>
          </w:tcPr>
          <w:p w14:paraId="2AF2F940">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633" w:type="pct"/>
            <w:noWrap w:val="0"/>
            <w:vAlign w:val="center"/>
          </w:tcPr>
          <w:p w14:paraId="30054AFE">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评分内容</w:t>
            </w:r>
          </w:p>
        </w:tc>
        <w:tc>
          <w:tcPr>
            <w:tcW w:w="3216" w:type="pct"/>
            <w:tcBorders>
              <w:bottom w:val="single" w:color="auto" w:sz="4" w:space="0"/>
            </w:tcBorders>
            <w:noWrap w:val="0"/>
            <w:vAlign w:val="center"/>
          </w:tcPr>
          <w:p w14:paraId="3D6E1763">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评分细则</w:t>
            </w:r>
          </w:p>
        </w:tc>
        <w:tc>
          <w:tcPr>
            <w:tcW w:w="337" w:type="pct"/>
            <w:noWrap w:val="0"/>
            <w:vAlign w:val="center"/>
          </w:tcPr>
          <w:p w14:paraId="5B2CFC4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分值</w:t>
            </w:r>
          </w:p>
        </w:tc>
        <w:tc>
          <w:tcPr>
            <w:tcW w:w="435" w:type="pct"/>
            <w:noWrap w:val="0"/>
            <w:vAlign w:val="center"/>
          </w:tcPr>
          <w:p w14:paraId="05C1E8E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备注</w:t>
            </w:r>
          </w:p>
        </w:tc>
      </w:tr>
      <w:tr w14:paraId="0E7B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377" w:type="pct"/>
            <w:noWrap w:val="0"/>
            <w:vAlign w:val="center"/>
          </w:tcPr>
          <w:p w14:paraId="3C8EFE37">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p>
        </w:tc>
        <w:tc>
          <w:tcPr>
            <w:tcW w:w="633" w:type="pct"/>
            <w:noWrap w:val="0"/>
            <w:vAlign w:val="center"/>
          </w:tcPr>
          <w:p w14:paraId="4268100E">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投标产品响应程度</w:t>
            </w:r>
          </w:p>
        </w:tc>
        <w:tc>
          <w:tcPr>
            <w:tcW w:w="3216" w:type="pct"/>
            <w:tcBorders>
              <w:bottom w:val="single" w:color="auto" w:sz="4" w:space="0"/>
            </w:tcBorders>
            <w:noWrap w:val="0"/>
            <w:vAlign w:val="center"/>
          </w:tcPr>
          <w:p w14:paraId="4CAB9C47">
            <w:pPr>
              <w:keepNext w:val="0"/>
              <w:keepLines w:val="0"/>
              <w:pageBreakBefore w:val="0"/>
              <w:tabs>
                <w:tab w:val="left" w:pos="7140"/>
                <w:tab w:val="left" w:pos="7360"/>
              </w:tabs>
              <w:kinsoku/>
              <w:wordWrap/>
              <w:overflowPunct/>
              <w:topLinePunct w:val="0"/>
              <w:autoSpaceDE/>
              <w:autoSpaceDN/>
              <w:bidi w:val="0"/>
              <w:adjustRightInd/>
              <w:snapToGrid/>
              <w:spacing w:line="460" w:lineRule="exact"/>
              <w:ind w:right="103" w:rightChars="49"/>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cs="宋体"/>
                <w:color w:val="auto"/>
                <w:sz w:val="22"/>
                <w:szCs w:val="22"/>
                <w:highlight w:val="none"/>
              </w:rPr>
              <w:t>满足或明显优于采购文件明确的全部技术条款要求的得</w:t>
            </w:r>
            <w:r>
              <w:rPr>
                <w:rFonts w:hint="eastAsia" w:ascii="宋体" w:hAnsi="宋体" w:cs="宋体"/>
                <w:color w:val="auto"/>
                <w:sz w:val="22"/>
                <w:szCs w:val="22"/>
                <w:highlight w:val="none"/>
                <w:lang w:val="en-US" w:eastAsia="zh-CN"/>
              </w:rPr>
              <w:t>20</w:t>
            </w:r>
            <w:r>
              <w:rPr>
                <w:rFonts w:hint="eastAsia" w:ascii="宋体" w:hAnsi="宋体" w:cs="宋体"/>
                <w:color w:val="auto"/>
                <w:sz w:val="22"/>
                <w:szCs w:val="22"/>
                <w:highlight w:val="none"/>
              </w:rPr>
              <w:t>分：技术条款低于技术要求（负偏离）的每项扣</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分，扣完为止。（按要求填入商务条款、技术规格偏离表）</w:t>
            </w:r>
          </w:p>
        </w:tc>
        <w:tc>
          <w:tcPr>
            <w:tcW w:w="337" w:type="pct"/>
            <w:noWrap w:val="0"/>
            <w:vAlign w:val="center"/>
          </w:tcPr>
          <w:p w14:paraId="61B992AD">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20</w:t>
            </w:r>
            <w:r>
              <w:rPr>
                <w:rFonts w:hint="eastAsia" w:ascii="宋体" w:hAnsi="宋体" w:eastAsia="宋体" w:cs="宋体"/>
                <w:b w:val="0"/>
                <w:bCs w:val="0"/>
                <w:color w:val="auto"/>
                <w:sz w:val="22"/>
                <w:szCs w:val="22"/>
                <w:highlight w:val="none"/>
                <w:lang w:val="en-US" w:eastAsia="zh-CN"/>
              </w:rPr>
              <w:t>分</w:t>
            </w:r>
          </w:p>
        </w:tc>
        <w:tc>
          <w:tcPr>
            <w:tcW w:w="435" w:type="pct"/>
            <w:noWrap w:val="0"/>
            <w:vAlign w:val="center"/>
          </w:tcPr>
          <w:p w14:paraId="50C92F91">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客观分</w:t>
            </w:r>
          </w:p>
        </w:tc>
      </w:tr>
      <w:tr w14:paraId="51BD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377" w:type="pct"/>
            <w:noWrap w:val="0"/>
            <w:vAlign w:val="center"/>
          </w:tcPr>
          <w:p w14:paraId="7269F938">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w:t>
            </w:r>
          </w:p>
        </w:tc>
        <w:tc>
          <w:tcPr>
            <w:tcW w:w="633" w:type="pct"/>
            <w:noWrap w:val="0"/>
            <w:vAlign w:val="center"/>
          </w:tcPr>
          <w:p w14:paraId="271646D8">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同类</w:t>
            </w:r>
            <w:r>
              <w:rPr>
                <w:rFonts w:hint="eastAsia" w:ascii="宋体" w:hAnsi="宋体" w:eastAsia="宋体" w:cs="宋体"/>
                <w:color w:val="auto"/>
                <w:sz w:val="22"/>
                <w:szCs w:val="22"/>
                <w:highlight w:val="none"/>
              </w:rPr>
              <w:t>业绩</w:t>
            </w:r>
          </w:p>
        </w:tc>
        <w:tc>
          <w:tcPr>
            <w:tcW w:w="3216" w:type="pct"/>
            <w:tcBorders>
              <w:bottom w:val="single" w:color="auto" w:sz="4" w:space="0"/>
            </w:tcBorders>
            <w:noWrap w:val="0"/>
            <w:vAlign w:val="center"/>
          </w:tcPr>
          <w:p w14:paraId="3808FCBA">
            <w:pPr>
              <w:pStyle w:val="36"/>
              <w:widowControl w:val="0"/>
              <w:spacing w:before="0" w:beforeAutospacing="0" w:after="0" w:afterAutospacing="0" w:line="360" w:lineRule="exact"/>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供应商自20</w:t>
            </w:r>
            <w:r>
              <w:rPr>
                <w:rFonts w:hint="eastAsia" w:ascii="宋体" w:hAnsi="宋体" w:cs="宋体"/>
                <w:color w:val="auto"/>
                <w:sz w:val="22"/>
                <w:szCs w:val="22"/>
                <w:highlight w:val="none"/>
                <w:lang w:val="en-US" w:eastAsia="zh-CN"/>
              </w:rPr>
              <w:t>21</w:t>
            </w:r>
            <w:r>
              <w:rPr>
                <w:rFonts w:hint="eastAsia" w:ascii="宋体" w:hAnsi="宋体" w:eastAsia="宋体" w:cs="宋体"/>
                <w:color w:val="auto"/>
                <w:sz w:val="22"/>
                <w:szCs w:val="22"/>
                <w:highlight w:val="none"/>
              </w:rPr>
              <w:t>年01月01日（含）以来（以合同签订时间为准）在国内签订的同类项目的业绩，符合条件1分/个，最高得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2DEBBEF1">
            <w:pPr>
              <w:keepNext w:val="0"/>
              <w:keepLines w:val="0"/>
              <w:pageBreakBefore w:val="0"/>
              <w:tabs>
                <w:tab w:val="left" w:pos="7140"/>
                <w:tab w:val="left" w:pos="7360"/>
              </w:tabs>
              <w:kinsoku/>
              <w:wordWrap/>
              <w:overflowPunct/>
              <w:topLinePunct w:val="0"/>
              <w:autoSpaceDE/>
              <w:autoSpaceDN/>
              <w:bidi w:val="0"/>
              <w:adjustRightInd/>
              <w:snapToGrid/>
              <w:spacing w:line="460" w:lineRule="exact"/>
              <w:ind w:right="103" w:rightChars="49"/>
              <w:jc w:val="both"/>
              <w:textAlignment w:val="auto"/>
              <w:rPr>
                <w:rFonts w:hint="eastAsia" w:ascii="宋体" w:hAnsi="宋体" w:cs="宋体"/>
                <w:color w:val="auto"/>
                <w:sz w:val="22"/>
                <w:szCs w:val="22"/>
                <w:highlight w:val="none"/>
              </w:rPr>
            </w:pPr>
            <w:r>
              <w:rPr>
                <w:rFonts w:hint="eastAsia" w:ascii="宋体" w:hAnsi="宋体" w:eastAsia="宋体" w:cs="宋体"/>
                <w:color w:val="auto"/>
                <w:sz w:val="22"/>
                <w:szCs w:val="22"/>
                <w:highlight w:val="none"/>
              </w:rPr>
              <w:t>注：提供合同复印件并加盖供应商公章，否则不得分。</w:t>
            </w:r>
          </w:p>
        </w:tc>
        <w:tc>
          <w:tcPr>
            <w:tcW w:w="337" w:type="pct"/>
            <w:noWrap w:val="0"/>
            <w:vAlign w:val="center"/>
          </w:tcPr>
          <w:p w14:paraId="2DA7934C">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3分</w:t>
            </w:r>
          </w:p>
        </w:tc>
        <w:tc>
          <w:tcPr>
            <w:tcW w:w="435" w:type="pct"/>
            <w:noWrap w:val="0"/>
            <w:vAlign w:val="center"/>
          </w:tcPr>
          <w:p w14:paraId="7B1657F0">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客观分</w:t>
            </w:r>
          </w:p>
        </w:tc>
      </w:tr>
      <w:tr w14:paraId="6B56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377" w:type="pct"/>
            <w:noWrap w:val="0"/>
            <w:vAlign w:val="center"/>
          </w:tcPr>
          <w:p w14:paraId="75493B35">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3</w:t>
            </w:r>
          </w:p>
        </w:tc>
        <w:tc>
          <w:tcPr>
            <w:tcW w:w="633" w:type="pct"/>
            <w:noWrap w:val="0"/>
            <w:vAlign w:val="center"/>
          </w:tcPr>
          <w:p w14:paraId="065DBE2C">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供应商综合实力</w:t>
            </w:r>
          </w:p>
        </w:tc>
        <w:tc>
          <w:tcPr>
            <w:tcW w:w="3216" w:type="pct"/>
            <w:tcBorders>
              <w:bottom w:val="single" w:color="auto" w:sz="4" w:space="0"/>
            </w:tcBorders>
            <w:noWrap w:val="0"/>
            <w:vAlign w:val="center"/>
          </w:tcPr>
          <w:p w14:paraId="56002C43">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olor w:val="auto"/>
                <w:sz w:val="22"/>
                <w:szCs w:val="22"/>
                <w:highlight w:val="none"/>
              </w:rPr>
            </w:pPr>
            <w:r>
              <w:rPr>
                <w:rFonts w:hint="eastAsia" w:ascii="宋体" w:hAnsi="宋体"/>
                <w:color w:val="auto"/>
                <w:sz w:val="22"/>
                <w:szCs w:val="22"/>
                <w:highlight w:val="none"/>
              </w:rPr>
              <w:t>根据投标供应商认证证书：</w:t>
            </w:r>
          </w:p>
          <w:p w14:paraId="24D241EA">
            <w:pPr>
              <w:pStyle w:val="39"/>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color w:val="auto"/>
                <w:sz w:val="22"/>
                <w:szCs w:val="22"/>
                <w:highlight w:val="none"/>
              </w:rPr>
            </w:pPr>
            <w:r>
              <w:rPr>
                <w:rFonts w:hint="eastAsia" w:ascii="宋体" w:hAnsi="宋体"/>
                <w:color w:val="auto"/>
                <w:sz w:val="22"/>
                <w:szCs w:val="22"/>
                <w:highlight w:val="none"/>
              </w:rPr>
              <w:t>（1）食品安全管理体系证书 ISO22000</w:t>
            </w:r>
          </w:p>
          <w:p w14:paraId="7AD6051E">
            <w:pPr>
              <w:pStyle w:val="39"/>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color w:val="auto"/>
                <w:sz w:val="22"/>
                <w:szCs w:val="22"/>
                <w:highlight w:val="none"/>
              </w:rPr>
            </w:pPr>
            <w:r>
              <w:rPr>
                <w:rFonts w:hint="eastAsia" w:ascii="宋体" w:hAnsi="宋体"/>
                <w:color w:val="auto"/>
                <w:sz w:val="22"/>
                <w:szCs w:val="22"/>
                <w:highlight w:val="none"/>
              </w:rPr>
              <w:t>（2）售后服务体系认证证书 GB/T27922</w:t>
            </w:r>
          </w:p>
          <w:p w14:paraId="1351AC6A">
            <w:pPr>
              <w:pStyle w:val="39"/>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color w:val="auto"/>
                <w:sz w:val="22"/>
                <w:szCs w:val="22"/>
                <w:highlight w:val="none"/>
              </w:rPr>
            </w:pPr>
            <w:r>
              <w:rPr>
                <w:rFonts w:hint="eastAsia" w:ascii="宋体" w:hAnsi="宋体"/>
                <w:color w:val="auto"/>
                <w:sz w:val="22"/>
                <w:szCs w:val="22"/>
                <w:highlight w:val="none"/>
              </w:rPr>
              <w:t>（3）供应链安全管理体系认证证书 ISO28000</w:t>
            </w:r>
          </w:p>
          <w:p w14:paraId="00F37886">
            <w:pPr>
              <w:pStyle w:val="39"/>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注</w:t>
            </w:r>
            <w:r>
              <w:rPr>
                <w:rFonts w:hint="eastAsia" w:ascii="宋体" w:hAnsi="宋体"/>
                <w:color w:val="auto"/>
                <w:sz w:val="22"/>
                <w:szCs w:val="22"/>
                <w:highlight w:val="none"/>
              </w:rPr>
              <w:t>：以上证书每具有一项且在有效期内的得2分，最高得6分。</w:t>
            </w:r>
          </w:p>
          <w:p w14:paraId="38296DDD">
            <w:pPr>
              <w:pStyle w:val="39"/>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color w:val="auto"/>
                <w:sz w:val="22"/>
                <w:szCs w:val="22"/>
                <w:highlight w:val="none"/>
              </w:rPr>
            </w:pPr>
            <w:r>
              <w:rPr>
                <w:rFonts w:hint="eastAsia" w:ascii="宋体" w:hAnsi="宋体"/>
                <w:color w:val="auto"/>
                <w:sz w:val="22"/>
                <w:szCs w:val="22"/>
                <w:highlight w:val="none"/>
              </w:rPr>
              <w:t>（4）其他与本项目相关的认证证书每个得1分，最高得2分。</w:t>
            </w:r>
          </w:p>
          <w:p w14:paraId="7B1FE3E4">
            <w:pPr>
              <w:pStyle w:val="39"/>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注</w:t>
            </w:r>
            <w:r>
              <w:rPr>
                <w:rFonts w:hint="eastAsia" w:ascii="宋体" w:hAnsi="宋体"/>
                <w:color w:val="auto"/>
                <w:sz w:val="22"/>
                <w:szCs w:val="22"/>
                <w:highlight w:val="none"/>
              </w:rPr>
              <w:t>：须提供相应认证证书复印件和供中国国家认证认可监督委员会网站查询截图证明材料加盖公章，否则不得分。</w:t>
            </w:r>
          </w:p>
        </w:tc>
        <w:tc>
          <w:tcPr>
            <w:tcW w:w="337" w:type="pct"/>
            <w:noWrap w:val="0"/>
            <w:vAlign w:val="center"/>
          </w:tcPr>
          <w:p w14:paraId="6DF948AD">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分</w:t>
            </w:r>
          </w:p>
        </w:tc>
        <w:tc>
          <w:tcPr>
            <w:tcW w:w="435" w:type="pct"/>
            <w:noWrap w:val="0"/>
            <w:vAlign w:val="center"/>
          </w:tcPr>
          <w:p w14:paraId="2934884C">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客观分</w:t>
            </w:r>
          </w:p>
        </w:tc>
      </w:tr>
      <w:tr w14:paraId="1F16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377" w:type="pct"/>
            <w:noWrap w:val="0"/>
            <w:vAlign w:val="center"/>
          </w:tcPr>
          <w:p w14:paraId="7202B5FB">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4</w:t>
            </w:r>
          </w:p>
        </w:tc>
        <w:tc>
          <w:tcPr>
            <w:tcW w:w="633" w:type="pct"/>
            <w:noWrap w:val="0"/>
            <w:vAlign w:val="center"/>
          </w:tcPr>
          <w:p w14:paraId="25CD3A03">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实施方案</w:t>
            </w:r>
          </w:p>
        </w:tc>
        <w:tc>
          <w:tcPr>
            <w:tcW w:w="3216" w:type="pct"/>
            <w:tcBorders>
              <w:bottom w:val="single" w:color="auto" w:sz="4" w:space="0"/>
            </w:tcBorders>
            <w:noWrap w:val="0"/>
            <w:vAlign w:val="center"/>
          </w:tcPr>
          <w:p w14:paraId="19A8A8BE">
            <w:pPr>
              <w:pStyle w:val="39"/>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color w:val="auto"/>
                <w:sz w:val="22"/>
                <w:szCs w:val="22"/>
                <w:highlight w:val="none"/>
              </w:rPr>
            </w:pPr>
            <w:r>
              <w:rPr>
                <w:rFonts w:hint="eastAsia" w:ascii="宋体" w:hAnsi="宋体"/>
                <w:color w:val="auto"/>
                <w:sz w:val="22"/>
                <w:szCs w:val="22"/>
                <w:highlight w:val="none"/>
              </w:rPr>
              <w:t>根据实施方案中进度安排、人员配备、配送方案、验收方案等描述情况进行横向比较打分。</w:t>
            </w:r>
          </w:p>
          <w:p w14:paraId="328E90BF">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（1）方案能贴合采购人需求，合理可行、针对性强的得</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3DEA07A1">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（2）方案能比较贴合采购人需求，较合理可行、针对性较强的得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282502AD">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（3）方案能基本贴合采购人需求，合理性、可行性、针对性一般的得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0B75F432">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）方案能</w:t>
            </w:r>
            <w:r>
              <w:rPr>
                <w:rFonts w:hint="eastAsia" w:ascii="宋体" w:hAnsi="宋体" w:eastAsia="宋体" w:cs="宋体"/>
                <w:color w:val="auto"/>
                <w:sz w:val="22"/>
                <w:szCs w:val="22"/>
                <w:highlight w:val="none"/>
                <w:lang w:val="en-US" w:eastAsia="zh-CN"/>
              </w:rPr>
              <w:t>勉强</w:t>
            </w:r>
            <w:r>
              <w:rPr>
                <w:rFonts w:hint="eastAsia" w:ascii="宋体" w:hAnsi="宋体" w:eastAsia="宋体" w:cs="宋体"/>
                <w:color w:val="auto"/>
                <w:sz w:val="22"/>
                <w:szCs w:val="22"/>
                <w:highlight w:val="none"/>
              </w:rPr>
              <w:t>贴合采购人需求，合理性、可行性、针对性</w:t>
            </w:r>
            <w:r>
              <w:rPr>
                <w:rFonts w:hint="eastAsia" w:ascii="宋体" w:hAnsi="宋体" w:eastAsia="宋体" w:cs="宋体"/>
                <w:color w:val="auto"/>
                <w:sz w:val="22"/>
                <w:szCs w:val="22"/>
                <w:highlight w:val="none"/>
                <w:lang w:val="en-US" w:eastAsia="zh-CN"/>
              </w:rPr>
              <w:t>较差</w:t>
            </w:r>
            <w:r>
              <w:rPr>
                <w:rFonts w:hint="eastAsia" w:ascii="宋体" w:hAnsi="宋体" w:eastAsia="宋体" w:cs="宋体"/>
                <w:color w:val="auto"/>
                <w:sz w:val="22"/>
                <w:szCs w:val="22"/>
                <w:highlight w:val="none"/>
              </w:rPr>
              <w:t>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14874A19">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）方案差、不合理、不可行、针对性差或不提供不得分。</w:t>
            </w:r>
          </w:p>
        </w:tc>
        <w:tc>
          <w:tcPr>
            <w:tcW w:w="337" w:type="pct"/>
            <w:noWrap w:val="0"/>
            <w:vAlign w:val="center"/>
          </w:tcPr>
          <w:p w14:paraId="48CFBEEF">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分</w:t>
            </w:r>
          </w:p>
        </w:tc>
        <w:tc>
          <w:tcPr>
            <w:tcW w:w="435" w:type="pct"/>
            <w:noWrap w:val="0"/>
            <w:vAlign w:val="center"/>
          </w:tcPr>
          <w:p w14:paraId="7289FCDF">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r>
      <w:tr w14:paraId="169D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377" w:type="pct"/>
            <w:noWrap w:val="0"/>
            <w:vAlign w:val="center"/>
          </w:tcPr>
          <w:p w14:paraId="70C24A69">
            <w:pPr>
              <w:keepNext w:val="0"/>
              <w:keepLines w:val="0"/>
              <w:pageBreakBefore w:val="0"/>
              <w:tabs>
                <w:tab w:val="center" w:pos="298"/>
                <w:tab w:val="left" w:pos="487"/>
              </w:tabs>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5</w:t>
            </w:r>
          </w:p>
        </w:tc>
        <w:tc>
          <w:tcPr>
            <w:tcW w:w="633" w:type="pct"/>
            <w:noWrap w:val="0"/>
            <w:vAlign w:val="center"/>
          </w:tcPr>
          <w:p w14:paraId="1BB52EDB">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配送能力</w:t>
            </w:r>
          </w:p>
        </w:tc>
        <w:tc>
          <w:tcPr>
            <w:tcW w:w="3216" w:type="pct"/>
            <w:tcBorders>
              <w:bottom w:val="single" w:color="auto" w:sz="4" w:space="0"/>
            </w:tcBorders>
            <w:noWrap w:val="0"/>
            <w:vAlign w:val="center"/>
          </w:tcPr>
          <w:p w14:paraId="5D8060D8">
            <w:pPr>
              <w:keepNext w:val="0"/>
              <w:keepLines w:val="0"/>
              <w:pageBreakBefore w:val="0"/>
              <w:widowControl/>
              <w:kinsoku/>
              <w:wordWrap/>
              <w:overflowPunct/>
              <w:topLinePunct w:val="0"/>
              <w:autoSpaceDE/>
              <w:autoSpaceDN/>
              <w:bidi w:val="0"/>
              <w:adjustRightInd/>
              <w:snapToGrid/>
              <w:spacing w:line="460" w:lineRule="exact"/>
              <w:contextualSpacing/>
              <w:jc w:val="left"/>
              <w:textAlignment w:val="auto"/>
              <w:rPr>
                <w:rFonts w:ascii="宋体" w:hAnsi="宋体" w:cs="宋体"/>
                <w:color w:val="auto"/>
                <w:kern w:val="0"/>
                <w:sz w:val="22"/>
                <w:highlight w:val="none"/>
              </w:rPr>
            </w:pPr>
            <w:r>
              <w:rPr>
                <w:rFonts w:ascii="宋体" w:hAnsi="宋体" w:cs="宋体"/>
                <w:color w:val="auto"/>
                <w:kern w:val="0"/>
                <w:sz w:val="22"/>
                <w:highlight w:val="none"/>
              </w:rPr>
              <w:t>根据投标供应商拟投入</w:t>
            </w:r>
            <w:r>
              <w:rPr>
                <w:rFonts w:hint="eastAsia" w:ascii="宋体" w:hAnsi="宋体" w:cs="宋体"/>
                <w:color w:val="auto"/>
                <w:kern w:val="0"/>
                <w:sz w:val="22"/>
                <w:highlight w:val="none"/>
              </w:rPr>
              <w:t>本项目</w:t>
            </w:r>
            <w:r>
              <w:rPr>
                <w:rFonts w:ascii="宋体" w:hAnsi="宋体" w:cs="宋体"/>
                <w:color w:val="auto"/>
                <w:kern w:val="0"/>
                <w:sz w:val="22"/>
                <w:highlight w:val="none"/>
              </w:rPr>
              <w:t>的</w:t>
            </w:r>
            <w:r>
              <w:rPr>
                <w:rFonts w:hint="eastAsia" w:ascii="宋体" w:hAnsi="宋体" w:cs="宋体"/>
                <w:color w:val="auto"/>
                <w:kern w:val="0"/>
                <w:sz w:val="22"/>
                <w:highlight w:val="none"/>
              </w:rPr>
              <w:t>配送</w:t>
            </w:r>
            <w:r>
              <w:rPr>
                <w:rFonts w:ascii="宋体" w:hAnsi="宋体" w:cs="宋体"/>
                <w:color w:val="auto"/>
                <w:kern w:val="0"/>
                <w:sz w:val="22"/>
                <w:highlight w:val="none"/>
              </w:rPr>
              <w:t>车辆技术指标、满足本项目需求等情况，酌情打分。</w:t>
            </w:r>
          </w:p>
          <w:p w14:paraId="086C34D9">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（1）能贴合采购人需求，合理可行、针对性强的得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p w14:paraId="1896E1CE">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（2）能比较贴合采购人需求，较合理可行、针对性较强的得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7F10396E">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（3）能基本贴合采购人需求，合理性、可行性、针对性一般的得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23FC2CF7">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）能</w:t>
            </w:r>
            <w:r>
              <w:rPr>
                <w:rFonts w:hint="eastAsia" w:ascii="宋体" w:hAnsi="宋体" w:eastAsia="宋体" w:cs="宋体"/>
                <w:color w:val="auto"/>
                <w:sz w:val="22"/>
                <w:szCs w:val="22"/>
                <w:highlight w:val="none"/>
                <w:lang w:val="en-US" w:eastAsia="zh-CN"/>
              </w:rPr>
              <w:t>勉强</w:t>
            </w:r>
            <w:r>
              <w:rPr>
                <w:rFonts w:hint="eastAsia" w:ascii="宋体" w:hAnsi="宋体" w:eastAsia="宋体" w:cs="宋体"/>
                <w:color w:val="auto"/>
                <w:sz w:val="22"/>
                <w:szCs w:val="22"/>
                <w:highlight w:val="none"/>
              </w:rPr>
              <w:t>贴合采购人需求，合理性、可行性、针对性</w:t>
            </w:r>
            <w:r>
              <w:rPr>
                <w:rFonts w:hint="eastAsia" w:ascii="宋体" w:hAnsi="宋体" w:eastAsia="宋体" w:cs="宋体"/>
                <w:color w:val="auto"/>
                <w:sz w:val="22"/>
                <w:szCs w:val="22"/>
                <w:highlight w:val="none"/>
                <w:lang w:val="en-US" w:eastAsia="zh-CN"/>
              </w:rPr>
              <w:t>较差</w:t>
            </w:r>
            <w:r>
              <w:rPr>
                <w:rFonts w:hint="eastAsia" w:ascii="宋体" w:hAnsi="宋体" w:eastAsia="宋体" w:cs="宋体"/>
                <w:color w:val="auto"/>
                <w:sz w:val="22"/>
                <w:szCs w:val="22"/>
                <w:highlight w:val="none"/>
              </w:rPr>
              <w:t>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186D103E">
            <w:pPr>
              <w:pStyle w:val="32"/>
              <w:ind w:left="0" w:leftChars="0" w:firstLine="0" w:firstLineChars="0"/>
              <w:rPr>
                <w:rFonts w:hint="eastAsia"/>
                <w:color w:val="auto"/>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）方案差、不合理、不可行、针对性差或不提供不得分。</w:t>
            </w:r>
          </w:p>
          <w:p w14:paraId="763C8B47">
            <w:pPr>
              <w:pStyle w:val="39"/>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ascii="宋体" w:hAnsi="宋体"/>
                <w:color w:val="auto"/>
                <w:kern w:val="0"/>
                <w:sz w:val="22"/>
                <w:highlight w:val="none"/>
              </w:rPr>
            </w:pPr>
            <w:r>
              <w:rPr>
                <w:rFonts w:hint="eastAsia" w:ascii="宋体" w:hAnsi="宋体"/>
                <w:color w:val="auto"/>
                <w:sz w:val="22"/>
                <w:szCs w:val="22"/>
                <w:highlight w:val="none"/>
                <w:lang w:val="en-US" w:eastAsia="zh-CN"/>
              </w:rPr>
              <w:t>注</w:t>
            </w:r>
            <w:r>
              <w:rPr>
                <w:rFonts w:ascii="宋体" w:hAnsi="宋体"/>
                <w:color w:val="auto"/>
                <w:kern w:val="0"/>
                <w:sz w:val="22"/>
                <w:highlight w:val="none"/>
              </w:rPr>
              <w:t>：自有车辆提供车辆行驶证</w:t>
            </w:r>
            <w:r>
              <w:rPr>
                <w:rFonts w:hint="eastAsia" w:ascii="宋体" w:hAnsi="宋体"/>
                <w:color w:val="auto"/>
                <w:kern w:val="0"/>
                <w:sz w:val="22"/>
                <w:highlight w:val="none"/>
              </w:rPr>
              <w:t>复印件</w:t>
            </w:r>
            <w:r>
              <w:rPr>
                <w:rFonts w:ascii="宋体" w:hAnsi="宋体"/>
                <w:color w:val="auto"/>
                <w:kern w:val="0"/>
                <w:sz w:val="22"/>
                <w:highlight w:val="none"/>
              </w:rPr>
              <w:t>，租赁车辆提供租赁协议</w:t>
            </w:r>
            <w:r>
              <w:rPr>
                <w:rFonts w:hint="eastAsia" w:ascii="宋体" w:hAnsi="宋体"/>
                <w:color w:val="auto"/>
                <w:kern w:val="0"/>
                <w:sz w:val="22"/>
                <w:highlight w:val="none"/>
              </w:rPr>
              <w:t>，承诺拟投入车辆情况</w:t>
            </w:r>
            <w:r>
              <w:rPr>
                <w:rFonts w:ascii="宋体" w:hAnsi="宋体"/>
                <w:color w:val="auto"/>
                <w:kern w:val="0"/>
                <w:sz w:val="22"/>
                <w:highlight w:val="none"/>
              </w:rPr>
              <w:t>等</w:t>
            </w:r>
            <w:r>
              <w:rPr>
                <w:rFonts w:hint="eastAsia" w:ascii="宋体" w:hAnsi="宋体"/>
                <w:color w:val="auto"/>
                <w:kern w:val="0"/>
                <w:sz w:val="22"/>
                <w:highlight w:val="none"/>
              </w:rPr>
              <w:t>相关资料</w:t>
            </w:r>
            <w:r>
              <w:rPr>
                <w:rFonts w:hint="eastAsia" w:ascii="宋体" w:hAnsi="宋体"/>
                <w:color w:val="auto"/>
                <w:sz w:val="22"/>
                <w:szCs w:val="22"/>
                <w:highlight w:val="none"/>
              </w:rPr>
              <w:t>。</w:t>
            </w:r>
          </w:p>
        </w:tc>
        <w:tc>
          <w:tcPr>
            <w:tcW w:w="337" w:type="pct"/>
            <w:noWrap w:val="0"/>
            <w:vAlign w:val="center"/>
          </w:tcPr>
          <w:p w14:paraId="51FBDB60">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w:t>
            </w:r>
          </w:p>
        </w:tc>
        <w:tc>
          <w:tcPr>
            <w:tcW w:w="435" w:type="pct"/>
            <w:noWrap w:val="0"/>
            <w:vAlign w:val="center"/>
          </w:tcPr>
          <w:p w14:paraId="06F857AF">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r>
      <w:tr w14:paraId="0FDA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377" w:type="pct"/>
            <w:noWrap w:val="0"/>
            <w:vAlign w:val="center"/>
          </w:tcPr>
          <w:p w14:paraId="44C3F93C">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6</w:t>
            </w:r>
          </w:p>
        </w:tc>
        <w:tc>
          <w:tcPr>
            <w:tcW w:w="633" w:type="pct"/>
            <w:noWrap w:val="0"/>
            <w:vAlign w:val="center"/>
          </w:tcPr>
          <w:p w14:paraId="6138A2DD">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供应商仓储情况</w:t>
            </w:r>
          </w:p>
        </w:tc>
        <w:tc>
          <w:tcPr>
            <w:tcW w:w="3216" w:type="pct"/>
            <w:tcBorders>
              <w:bottom w:val="single" w:color="auto" w:sz="4" w:space="0"/>
            </w:tcBorders>
            <w:noWrap w:val="0"/>
            <w:vAlign w:val="center"/>
          </w:tcPr>
          <w:p w14:paraId="270A8D8C">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根据各投标供应商具备的仓储能力、仓储环境等因素进行综合打分。</w:t>
            </w:r>
          </w:p>
          <w:p w14:paraId="5C1C024E">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（1）方案能贴合采购人需求，合理可行、针对性强的得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p w14:paraId="764F2BF9">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（2）方案能比较贴合采购人需求，较合理可行、针对性较强的得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04D45D71">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（3）方案能基本贴合采购人需求，合理性、可行性、针对性一般的得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704D358D">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）方案能</w:t>
            </w:r>
            <w:r>
              <w:rPr>
                <w:rFonts w:hint="eastAsia" w:ascii="宋体" w:hAnsi="宋体" w:eastAsia="宋体" w:cs="宋体"/>
                <w:color w:val="auto"/>
                <w:sz w:val="22"/>
                <w:szCs w:val="22"/>
                <w:highlight w:val="none"/>
                <w:lang w:val="en-US" w:eastAsia="zh-CN"/>
              </w:rPr>
              <w:t>勉强</w:t>
            </w:r>
            <w:r>
              <w:rPr>
                <w:rFonts w:hint="eastAsia" w:ascii="宋体" w:hAnsi="宋体" w:eastAsia="宋体" w:cs="宋体"/>
                <w:color w:val="auto"/>
                <w:sz w:val="22"/>
                <w:szCs w:val="22"/>
                <w:highlight w:val="none"/>
              </w:rPr>
              <w:t>贴合采购人需求，合理性、可行性、针对性</w:t>
            </w:r>
            <w:r>
              <w:rPr>
                <w:rFonts w:hint="eastAsia" w:ascii="宋体" w:hAnsi="宋体" w:eastAsia="宋体" w:cs="宋体"/>
                <w:color w:val="auto"/>
                <w:sz w:val="22"/>
                <w:szCs w:val="22"/>
                <w:highlight w:val="none"/>
                <w:lang w:val="en-US" w:eastAsia="zh-CN"/>
              </w:rPr>
              <w:t>较差</w:t>
            </w:r>
            <w:r>
              <w:rPr>
                <w:rFonts w:hint="eastAsia" w:ascii="宋体" w:hAnsi="宋体" w:eastAsia="宋体" w:cs="宋体"/>
                <w:color w:val="auto"/>
                <w:sz w:val="22"/>
                <w:szCs w:val="22"/>
                <w:highlight w:val="none"/>
              </w:rPr>
              <w:t>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2A55B898">
            <w:pPr>
              <w:pStyle w:val="32"/>
              <w:ind w:left="0" w:leftChars="0" w:firstLine="0" w:firstLineChars="0"/>
              <w:rPr>
                <w:rFonts w:hint="eastAsia"/>
                <w:color w:val="auto"/>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）方案差、不合理、不可行、针对性差或不提供不得分。</w:t>
            </w:r>
          </w:p>
          <w:p w14:paraId="3678762C">
            <w:pPr>
              <w:pStyle w:val="39"/>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color w:val="auto"/>
                <w:sz w:val="22"/>
                <w:szCs w:val="22"/>
                <w:highlight w:val="none"/>
              </w:rPr>
            </w:pPr>
            <w:r>
              <w:rPr>
                <w:rFonts w:hint="eastAsia" w:ascii="宋体" w:hAnsi="宋体"/>
                <w:color w:val="auto"/>
                <w:sz w:val="22"/>
                <w:szCs w:val="22"/>
                <w:highlight w:val="none"/>
              </w:rPr>
              <w:t>注：须提供企业租赁合同及租赁发票或自有房产证复印件、仓储环境照片等证明材料，否则不得分。</w:t>
            </w:r>
          </w:p>
        </w:tc>
        <w:tc>
          <w:tcPr>
            <w:tcW w:w="337" w:type="pct"/>
            <w:noWrap w:val="0"/>
            <w:vAlign w:val="center"/>
          </w:tcPr>
          <w:p w14:paraId="7418732E">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w:t>
            </w:r>
          </w:p>
        </w:tc>
        <w:tc>
          <w:tcPr>
            <w:tcW w:w="435" w:type="pct"/>
            <w:noWrap w:val="0"/>
            <w:vAlign w:val="center"/>
          </w:tcPr>
          <w:p w14:paraId="4F2C160C">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r>
      <w:tr w14:paraId="59C5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377" w:type="pct"/>
            <w:noWrap w:val="0"/>
            <w:vAlign w:val="center"/>
          </w:tcPr>
          <w:p w14:paraId="6C326D81">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7</w:t>
            </w:r>
          </w:p>
        </w:tc>
        <w:tc>
          <w:tcPr>
            <w:tcW w:w="633" w:type="pct"/>
            <w:noWrap w:val="0"/>
            <w:vAlign w:val="center"/>
          </w:tcPr>
          <w:p w14:paraId="4E9C74D5">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投标产品样品情况</w:t>
            </w:r>
          </w:p>
        </w:tc>
        <w:tc>
          <w:tcPr>
            <w:tcW w:w="3216" w:type="pct"/>
            <w:tcBorders>
              <w:bottom w:val="single" w:color="auto" w:sz="4" w:space="0"/>
            </w:tcBorders>
            <w:noWrap w:val="0"/>
            <w:vAlign w:val="center"/>
          </w:tcPr>
          <w:p w14:paraId="3E3FF42C">
            <w:pPr>
              <w:pStyle w:val="39"/>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b w:val="0"/>
                <w:bCs w:val="0"/>
                <w:color w:val="auto"/>
                <w:sz w:val="22"/>
                <w:szCs w:val="22"/>
                <w:highlight w:val="none"/>
              </w:rPr>
            </w:pPr>
            <w:r>
              <w:rPr>
                <w:rFonts w:hint="eastAsia" w:ascii="宋体" w:hAnsi="宋体"/>
                <w:color w:val="auto"/>
                <w:sz w:val="22"/>
                <w:szCs w:val="22"/>
                <w:highlight w:val="none"/>
              </w:rPr>
              <w:t>根据投标供应商提供的样品的新鲜度、味道鲜美度、质量、卫生、优劣性等进行综合比较打分（样品提供不全的</w:t>
            </w:r>
            <w:r>
              <w:rPr>
                <w:rFonts w:hint="eastAsia" w:ascii="宋体" w:hAnsi="宋体"/>
                <w:b w:val="0"/>
                <w:bCs w:val="0"/>
                <w:color w:val="auto"/>
                <w:sz w:val="22"/>
                <w:szCs w:val="22"/>
                <w:highlight w:val="none"/>
              </w:rPr>
              <w:t>不得分）：</w:t>
            </w:r>
          </w:p>
          <w:p w14:paraId="458EB011">
            <w:pPr>
              <w:pStyle w:val="39"/>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宋体" w:hAnsi="宋体"/>
                <w:b w:val="0"/>
                <w:bCs w:val="0"/>
                <w:color w:val="auto"/>
                <w:sz w:val="22"/>
                <w:szCs w:val="22"/>
                <w:highlight w:val="none"/>
              </w:rPr>
            </w:pPr>
            <w:r>
              <w:rPr>
                <w:rFonts w:hint="eastAsia" w:ascii="宋体" w:hAnsi="宋体"/>
                <w:b w:val="0"/>
                <w:bCs w:val="0"/>
                <w:color w:val="auto"/>
                <w:sz w:val="22"/>
                <w:szCs w:val="22"/>
                <w:highlight w:val="none"/>
                <w:lang w:val="en-US" w:eastAsia="zh-CN"/>
              </w:rPr>
              <w:t>1</w:t>
            </w:r>
            <w:r>
              <w:rPr>
                <w:rFonts w:hint="eastAsia" w:ascii="宋体" w:hAnsi="宋体"/>
                <w:b w:val="0"/>
                <w:bCs w:val="0"/>
                <w:color w:val="auto"/>
                <w:sz w:val="22"/>
                <w:szCs w:val="22"/>
                <w:highlight w:val="none"/>
              </w:rPr>
              <w:t>、</w:t>
            </w:r>
            <w:r>
              <w:rPr>
                <w:rFonts w:hint="eastAsia" w:ascii="宋体" w:hAnsi="宋体"/>
                <w:b w:val="0"/>
                <w:bCs w:val="0"/>
                <w:color w:val="auto"/>
                <w:sz w:val="22"/>
                <w:szCs w:val="22"/>
                <w:highlight w:val="none"/>
                <w:lang w:val="en-US" w:eastAsia="zh-CN"/>
              </w:rPr>
              <w:t>肉松</w:t>
            </w:r>
            <w:r>
              <w:rPr>
                <w:rFonts w:hint="eastAsia" w:ascii="宋体" w:hAnsi="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味道鲜美、肉质新鲜的得</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分；味道一般，肉质、口感较一般的得</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分；味道欠缺，肉质较柴、口感不足的得</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分。</w:t>
            </w:r>
          </w:p>
          <w:p w14:paraId="14F0736E">
            <w:pPr>
              <w:pStyle w:val="39"/>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宋体" w:hAnsi="宋体"/>
                <w:b w:val="0"/>
                <w:bCs w:val="0"/>
                <w:color w:val="auto"/>
                <w:sz w:val="22"/>
                <w:szCs w:val="22"/>
                <w:highlight w:val="none"/>
              </w:rPr>
            </w:pPr>
            <w:r>
              <w:rPr>
                <w:rFonts w:hint="eastAsia" w:ascii="宋体" w:hAnsi="宋体"/>
                <w:b w:val="0"/>
                <w:bCs w:val="0"/>
                <w:color w:val="auto"/>
                <w:sz w:val="22"/>
                <w:szCs w:val="22"/>
                <w:highlight w:val="none"/>
                <w:lang w:val="en-US" w:eastAsia="zh-CN"/>
              </w:rPr>
              <w:t>2</w:t>
            </w:r>
            <w:r>
              <w:rPr>
                <w:rFonts w:hint="eastAsia" w:ascii="宋体" w:hAnsi="宋体"/>
                <w:b w:val="0"/>
                <w:bCs w:val="0"/>
                <w:color w:val="auto"/>
                <w:sz w:val="22"/>
                <w:szCs w:val="22"/>
                <w:highlight w:val="none"/>
              </w:rPr>
              <w:t>、</w:t>
            </w:r>
            <w:r>
              <w:rPr>
                <w:rFonts w:hint="eastAsia" w:ascii="宋体" w:hAnsi="宋体"/>
                <w:b w:val="0"/>
                <w:bCs w:val="0"/>
                <w:color w:val="auto"/>
                <w:sz w:val="22"/>
                <w:szCs w:val="22"/>
                <w:highlight w:val="none"/>
                <w:lang w:val="en-US" w:eastAsia="zh-CN"/>
              </w:rPr>
              <w:t>红枣</w:t>
            </w:r>
            <w:r>
              <w:rPr>
                <w:rFonts w:hint="eastAsia" w:ascii="宋体" w:hAnsi="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味道鲜美、口感纯正的得</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分，味道一般、口感较一般的得</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分，味道欠缺、口感不足的得</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分。</w:t>
            </w:r>
          </w:p>
          <w:p w14:paraId="54B5951B">
            <w:pPr>
              <w:pStyle w:val="39"/>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宋体" w:hAnsi="宋体" w:eastAsia="宋体" w:cs="宋体"/>
                <w:color w:val="auto"/>
                <w:sz w:val="22"/>
                <w:szCs w:val="22"/>
                <w:highlight w:val="none"/>
                <w:lang w:val="en-US" w:eastAsia="zh-CN"/>
              </w:rPr>
            </w:pPr>
            <w:r>
              <w:rPr>
                <w:rFonts w:hint="eastAsia" w:ascii="宋体" w:hAnsi="宋体"/>
                <w:color w:val="auto"/>
                <w:sz w:val="22"/>
                <w:szCs w:val="22"/>
                <w:highlight w:val="none"/>
                <w:lang w:val="en-US" w:eastAsia="zh-CN"/>
              </w:rPr>
              <w:t>3、牛肉片</w:t>
            </w:r>
            <w:r>
              <w:rPr>
                <w:rFonts w:hint="eastAsia" w:ascii="宋体" w:hAnsi="宋体"/>
                <w:color w:val="auto"/>
                <w:sz w:val="22"/>
                <w:szCs w:val="22"/>
                <w:highlight w:val="none"/>
              </w:rPr>
              <w:t>：</w:t>
            </w:r>
            <w:r>
              <w:rPr>
                <w:rFonts w:hint="eastAsia" w:ascii="宋体" w:hAnsi="宋体" w:eastAsia="宋体" w:cs="宋体"/>
                <w:color w:val="auto"/>
                <w:sz w:val="22"/>
                <w:szCs w:val="22"/>
                <w:highlight w:val="none"/>
                <w:lang w:val="en-US" w:eastAsia="zh-CN"/>
              </w:rPr>
              <w:t>味道鲜美，肉质紧实有嚼劲的得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分，味道一般、肉质、口感较一般的得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分，味道欠缺、肉质生硬、口感不足的得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p>
          <w:p w14:paraId="6C21FB5C">
            <w:pPr>
              <w:pStyle w:val="39"/>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宋体" w:hAnsi="宋体" w:eastAsia="宋体" w:cs="宋体"/>
                <w:color w:val="auto"/>
                <w:sz w:val="22"/>
                <w:szCs w:val="22"/>
                <w:highlight w:val="none"/>
                <w:lang w:val="en-US" w:eastAsia="zh-CN"/>
              </w:rPr>
            </w:pP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鸭舌</w:t>
            </w:r>
            <w:r>
              <w:rPr>
                <w:rFonts w:hint="eastAsia" w:ascii="宋体" w:hAnsi="宋体"/>
                <w:color w:val="auto"/>
                <w:sz w:val="22"/>
                <w:szCs w:val="22"/>
                <w:highlight w:val="none"/>
              </w:rPr>
              <w:t>：</w:t>
            </w:r>
            <w:r>
              <w:rPr>
                <w:rFonts w:hint="eastAsia" w:ascii="宋体" w:hAnsi="宋体" w:eastAsia="宋体" w:cs="宋体"/>
                <w:color w:val="auto"/>
                <w:sz w:val="22"/>
                <w:szCs w:val="22"/>
                <w:highlight w:val="none"/>
                <w:lang w:val="en-US" w:eastAsia="zh-CN"/>
              </w:rPr>
              <w:t>味道鲜美，口感较好，易脱骨的得3分；味道一般、口感较一般，不易脱骨的得2分；味道欠缺、口感不足、较难脱骨的得1分</w:t>
            </w:r>
            <w:r>
              <w:rPr>
                <w:rFonts w:hint="eastAsia" w:ascii="宋体" w:hAnsi="宋体"/>
                <w:color w:val="auto"/>
                <w:sz w:val="22"/>
                <w:szCs w:val="22"/>
                <w:highlight w:val="none"/>
              </w:rPr>
              <w:t>。</w:t>
            </w:r>
          </w:p>
          <w:p w14:paraId="6F82B3C7">
            <w:pPr>
              <w:pStyle w:val="39"/>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5、混合坚果礼盒</w:t>
            </w:r>
            <w:r>
              <w:rPr>
                <w:rFonts w:hint="eastAsia" w:ascii="宋体" w:hAnsi="宋体"/>
                <w:color w:val="auto"/>
                <w:sz w:val="22"/>
                <w:szCs w:val="22"/>
                <w:highlight w:val="none"/>
              </w:rPr>
              <w:t>：果仁颗粒饱满，果仁新鲜程度高，口味搭配合理得</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分；果仁颗粒大小一般，果仁新鲜，口味搭配</w:t>
            </w:r>
            <w:r>
              <w:rPr>
                <w:rFonts w:hint="eastAsia" w:ascii="宋体" w:hAnsi="宋体"/>
                <w:color w:val="auto"/>
                <w:sz w:val="22"/>
                <w:szCs w:val="22"/>
                <w:highlight w:val="none"/>
                <w:lang w:val="en-US" w:eastAsia="zh-CN"/>
              </w:rPr>
              <w:t>较</w:t>
            </w:r>
            <w:r>
              <w:rPr>
                <w:rFonts w:hint="eastAsia" w:ascii="宋体" w:hAnsi="宋体"/>
                <w:color w:val="auto"/>
                <w:sz w:val="22"/>
                <w:szCs w:val="22"/>
                <w:highlight w:val="none"/>
              </w:rPr>
              <w:t>合理得</w:t>
            </w:r>
            <w:r>
              <w:rPr>
                <w:rFonts w:hint="eastAsia" w:ascii="宋体" w:hAnsi="宋体"/>
                <w:color w:val="auto"/>
                <w:sz w:val="22"/>
                <w:szCs w:val="22"/>
                <w:highlight w:val="none"/>
                <w:lang w:val="en-US" w:eastAsia="zh-CN"/>
              </w:rPr>
              <w:t>2</w:t>
            </w:r>
            <w:r>
              <w:rPr>
                <w:rFonts w:hint="eastAsia" w:ascii="宋体" w:hAnsi="宋体"/>
                <w:color w:val="auto"/>
                <w:sz w:val="22"/>
                <w:szCs w:val="22"/>
                <w:highlight w:val="none"/>
              </w:rPr>
              <w:t>分；果仁颗粒较小，有明显不新鲜感，</w:t>
            </w:r>
            <w:r>
              <w:rPr>
                <w:rFonts w:hint="eastAsia" w:ascii="宋体" w:hAnsi="宋体"/>
                <w:color w:val="auto"/>
                <w:sz w:val="22"/>
                <w:szCs w:val="22"/>
                <w:highlight w:val="none"/>
                <w:lang w:val="en-US" w:eastAsia="zh-CN"/>
              </w:rPr>
              <w:t>品种搭配不齐，品种数量不符</w:t>
            </w:r>
            <w:r>
              <w:rPr>
                <w:rFonts w:hint="eastAsia" w:ascii="宋体" w:hAnsi="宋体"/>
                <w:color w:val="auto"/>
                <w:sz w:val="22"/>
                <w:szCs w:val="22"/>
                <w:highlight w:val="none"/>
              </w:rPr>
              <w:t>且口味不符合食用习惯得</w:t>
            </w:r>
            <w:r>
              <w:rPr>
                <w:rFonts w:hint="eastAsia" w:ascii="宋体" w:hAnsi="宋体"/>
                <w:color w:val="auto"/>
                <w:sz w:val="22"/>
                <w:szCs w:val="22"/>
                <w:highlight w:val="none"/>
                <w:lang w:val="en-US" w:eastAsia="zh-CN"/>
              </w:rPr>
              <w:t>1</w:t>
            </w:r>
            <w:r>
              <w:rPr>
                <w:rFonts w:hint="eastAsia" w:ascii="宋体" w:hAnsi="宋体"/>
                <w:color w:val="auto"/>
                <w:sz w:val="22"/>
                <w:szCs w:val="22"/>
                <w:highlight w:val="none"/>
              </w:rPr>
              <w:t>分。</w:t>
            </w:r>
          </w:p>
          <w:p w14:paraId="38E2142B">
            <w:pPr>
              <w:pStyle w:val="39"/>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宋体" w:hAnsi="宋体" w:cs="宋体"/>
                <w:b/>
                <w:bCs/>
                <w:color w:val="auto"/>
                <w:spacing w:val="-6"/>
                <w:sz w:val="22"/>
                <w:szCs w:val="22"/>
                <w:highlight w:val="none"/>
              </w:rPr>
            </w:pPr>
            <w:r>
              <w:rPr>
                <w:rFonts w:hint="eastAsia" w:ascii="宋体" w:hAnsi="宋体" w:cs="宋体"/>
                <w:color w:val="auto"/>
                <w:spacing w:val="-6"/>
                <w:sz w:val="22"/>
                <w:szCs w:val="22"/>
                <w:highlight w:val="none"/>
              </w:rPr>
              <w:t>▲</w:t>
            </w:r>
            <w:r>
              <w:rPr>
                <w:rFonts w:hint="eastAsia" w:ascii="宋体" w:hAnsi="宋体"/>
                <w:b/>
                <w:bCs/>
                <w:color w:val="auto"/>
                <w:sz w:val="22"/>
                <w:szCs w:val="22"/>
                <w:highlight w:val="none"/>
                <w:u w:val="single"/>
                <w:lang w:val="en-US" w:eastAsia="zh-CN"/>
              </w:rPr>
              <w:t>注：1.</w:t>
            </w:r>
            <w:r>
              <w:rPr>
                <w:rFonts w:hint="eastAsia" w:ascii="宋体" w:hAnsi="宋体" w:cs="宋体"/>
                <w:b/>
                <w:bCs/>
                <w:color w:val="auto"/>
                <w:spacing w:val="-6"/>
                <w:sz w:val="22"/>
                <w:szCs w:val="22"/>
                <w:highlight w:val="none"/>
                <w:u w:val="single"/>
              </w:rPr>
              <w:t>未提供样品或提供样品不满足采购需求实质性条件的供应商，按无效投标处理。</w:t>
            </w:r>
          </w:p>
          <w:p w14:paraId="2CDD2AB2">
            <w:pPr>
              <w:pStyle w:val="39"/>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宋体" w:hAnsi="宋体" w:cs="宋体"/>
                <w:b/>
                <w:bCs/>
                <w:color w:val="auto"/>
                <w:spacing w:val="-6"/>
                <w:sz w:val="22"/>
                <w:szCs w:val="22"/>
                <w:highlight w:val="none"/>
                <w:lang w:val="en-US" w:eastAsia="zh-CN"/>
              </w:rPr>
            </w:pPr>
            <w:r>
              <w:rPr>
                <w:rFonts w:hint="eastAsia" w:ascii="宋体" w:hAnsi="宋体"/>
                <w:b/>
                <w:bCs/>
                <w:color w:val="auto"/>
                <w:sz w:val="22"/>
                <w:szCs w:val="22"/>
                <w:highlight w:val="none"/>
                <w:lang w:val="en-US" w:eastAsia="zh-CN"/>
              </w:rPr>
              <w:t>2.样品须在提交投标文件截止时间前提交到开标地点，逾期样品不接收。</w:t>
            </w:r>
          </w:p>
        </w:tc>
        <w:tc>
          <w:tcPr>
            <w:tcW w:w="337" w:type="pct"/>
            <w:noWrap w:val="0"/>
            <w:vAlign w:val="center"/>
          </w:tcPr>
          <w:p w14:paraId="3DEC93C7">
            <w:pPr>
              <w:keepNext w:val="0"/>
              <w:keepLines w:val="0"/>
              <w:pageBreakBefore w:val="0"/>
              <w:kinsoku/>
              <w:wordWrap/>
              <w:overflowPunct/>
              <w:topLinePunct w:val="0"/>
              <w:autoSpaceDE/>
              <w:autoSpaceDN/>
              <w:bidi w:val="0"/>
              <w:adjustRightInd/>
              <w:snapToGrid/>
              <w:spacing w:line="460" w:lineRule="exact"/>
              <w:ind w:left="-50"/>
              <w:jc w:val="righ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rPr>
              <w:t>分</w:t>
            </w:r>
          </w:p>
        </w:tc>
        <w:tc>
          <w:tcPr>
            <w:tcW w:w="435" w:type="pct"/>
            <w:noWrap w:val="0"/>
            <w:vAlign w:val="center"/>
          </w:tcPr>
          <w:p w14:paraId="760309A4">
            <w:pPr>
              <w:keepNext w:val="0"/>
              <w:keepLines w:val="0"/>
              <w:pageBreakBefore w:val="0"/>
              <w:kinsoku/>
              <w:wordWrap/>
              <w:overflowPunct/>
              <w:topLinePunct w:val="0"/>
              <w:autoSpaceDE/>
              <w:autoSpaceDN/>
              <w:bidi w:val="0"/>
              <w:adjustRightInd/>
              <w:snapToGrid/>
              <w:spacing w:line="460" w:lineRule="exact"/>
              <w:ind w:left="-50"/>
              <w:jc w:val="right"/>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r>
      <w:tr w14:paraId="1F93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377" w:type="pct"/>
            <w:noWrap w:val="0"/>
            <w:vAlign w:val="center"/>
          </w:tcPr>
          <w:p w14:paraId="5E22E071">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8</w:t>
            </w:r>
          </w:p>
        </w:tc>
        <w:tc>
          <w:tcPr>
            <w:tcW w:w="633" w:type="pct"/>
            <w:noWrap w:val="0"/>
            <w:vAlign w:val="center"/>
          </w:tcPr>
          <w:p w14:paraId="1082BF35">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售后服务</w:t>
            </w:r>
          </w:p>
        </w:tc>
        <w:tc>
          <w:tcPr>
            <w:tcW w:w="3216" w:type="pct"/>
            <w:noWrap w:val="0"/>
            <w:vAlign w:val="center"/>
          </w:tcPr>
          <w:p w14:paraId="72E620E2">
            <w:pPr>
              <w:pStyle w:val="32"/>
              <w:ind w:left="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根据投标供应商售后服务承诺保障，量化标准包括质量保证承诺、售后服务承诺的范围和完善程度、售后服务场所的设置，调换货方案，响应时间等进行综合打分。</w:t>
            </w:r>
          </w:p>
          <w:p w14:paraId="0D008688">
            <w:pPr>
              <w:pStyle w:val="32"/>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（1）方案能贴合采购人需求，合理可行、针对性强的得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p w14:paraId="002A4A97">
            <w:pPr>
              <w:pStyle w:val="32"/>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（2）方案能比较贴合采购人需求，较合理可行、针对性较强的得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3FED0F57">
            <w:pPr>
              <w:pStyle w:val="32"/>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（3）方案能基本贴合采购人需求，合理性、可行性、针对性一般的得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0BEDD7DF">
            <w:pPr>
              <w:pStyle w:val="32"/>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）方案能</w:t>
            </w:r>
            <w:r>
              <w:rPr>
                <w:rFonts w:hint="eastAsia" w:ascii="宋体" w:hAnsi="宋体" w:eastAsia="宋体" w:cs="宋体"/>
                <w:color w:val="auto"/>
                <w:sz w:val="22"/>
                <w:szCs w:val="22"/>
                <w:highlight w:val="none"/>
                <w:lang w:val="en-US" w:eastAsia="zh-CN"/>
              </w:rPr>
              <w:t>勉强</w:t>
            </w:r>
            <w:r>
              <w:rPr>
                <w:rFonts w:hint="eastAsia" w:ascii="宋体" w:hAnsi="宋体" w:eastAsia="宋体" w:cs="宋体"/>
                <w:color w:val="auto"/>
                <w:sz w:val="22"/>
                <w:szCs w:val="22"/>
                <w:highlight w:val="none"/>
              </w:rPr>
              <w:t>贴合采购人需求，合理性、可行性、针对性</w:t>
            </w:r>
            <w:r>
              <w:rPr>
                <w:rFonts w:hint="eastAsia" w:ascii="宋体" w:hAnsi="宋体" w:eastAsia="宋体" w:cs="宋体"/>
                <w:color w:val="auto"/>
                <w:sz w:val="22"/>
                <w:szCs w:val="22"/>
                <w:highlight w:val="none"/>
                <w:lang w:val="en-US" w:eastAsia="zh-CN"/>
              </w:rPr>
              <w:t>较差</w:t>
            </w:r>
            <w:r>
              <w:rPr>
                <w:rFonts w:hint="eastAsia" w:ascii="宋体" w:hAnsi="宋体" w:eastAsia="宋体" w:cs="宋体"/>
                <w:color w:val="auto"/>
                <w:sz w:val="22"/>
                <w:szCs w:val="22"/>
                <w:highlight w:val="none"/>
              </w:rPr>
              <w:t>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671F64C6">
            <w:pPr>
              <w:pStyle w:val="32"/>
              <w:ind w:left="0"/>
              <w:rPr>
                <w:rFonts w:hint="eastAsia"/>
                <w:color w:val="auto"/>
                <w:highlight w:val="none"/>
                <w:lang w:val="en-US" w:eastAsia="zh-CN"/>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）方案差、不合理、不可行、针对性差或不提供不得分。</w:t>
            </w:r>
          </w:p>
        </w:tc>
        <w:tc>
          <w:tcPr>
            <w:tcW w:w="337" w:type="pct"/>
            <w:noWrap w:val="0"/>
            <w:vAlign w:val="center"/>
          </w:tcPr>
          <w:p w14:paraId="38177E0D">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5分</w:t>
            </w:r>
          </w:p>
        </w:tc>
        <w:tc>
          <w:tcPr>
            <w:tcW w:w="435" w:type="pct"/>
            <w:noWrap w:val="0"/>
            <w:vAlign w:val="center"/>
          </w:tcPr>
          <w:p w14:paraId="76BC6091">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主观分</w:t>
            </w:r>
          </w:p>
        </w:tc>
      </w:tr>
      <w:tr w14:paraId="6569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7" w:type="pct"/>
            <w:noWrap w:val="0"/>
            <w:vAlign w:val="center"/>
          </w:tcPr>
          <w:p w14:paraId="4B5AEC3E">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9</w:t>
            </w:r>
          </w:p>
        </w:tc>
        <w:tc>
          <w:tcPr>
            <w:tcW w:w="633" w:type="pct"/>
            <w:noWrap w:val="0"/>
            <w:vAlign w:val="center"/>
          </w:tcPr>
          <w:p w14:paraId="40C83416">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外包装</w:t>
            </w:r>
          </w:p>
        </w:tc>
        <w:tc>
          <w:tcPr>
            <w:tcW w:w="3216" w:type="pct"/>
            <w:noWrap w:val="0"/>
            <w:vAlign w:val="center"/>
          </w:tcPr>
          <w:p w14:paraId="4CE3AF01">
            <w:pPr>
              <w:pStyle w:val="15"/>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根据投标供应</w:t>
            </w:r>
            <w:r>
              <w:rPr>
                <w:rFonts w:hint="eastAsia" w:ascii="宋体" w:hAnsi="宋体" w:cs="宋体"/>
                <w:b w:val="0"/>
                <w:bCs w:val="0"/>
                <w:color w:val="auto"/>
                <w:sz w:val="22"/>
                <w:szCs w:val="22"/>
                <w:highlight w:val="none"/>
                <w:lang w:val="en-US" w:eastAsia="zh-CN"/>
              </w:rPr>
              <w:t>商提供是供货外包装盒设计图进行评分（</w:t>
            </w:r>
            <w:r>
              <w:rPr>
                <w:rFonts w:hint="eastAsia" w:ascii="新宋体" w:hAnsi="新宋体" w:eastAsia="新宋体"/>
                <w:b w:val="0"/>
                <w:bCs/>
                <w:color w:val="auto"/>
                <w:sz w:val="22"/>
                <w:highlight w:val="none"/>
                <w:u w:val="none"/>
              </w:rPr>
              <w:t>包装盒须完全装下一套</w:t>
            </w:r>
            <w:r>
              <w:rPr>
                <w:rFonts w:hint="eastAsia" w:ascii="新宋体" w:hAnsi="新宋体" w:eastAsia="新宋体"/>
                <w:b w:val="0"/>
                <w:bCs/>
                <w:color w:val="auto"/>
                <w:sz w:val="22"/>
                <w:highlight w:val="none"/>
                <w:u w:val="none"/>
                <w:lang w:val="en-US" w:eastAsia="zh-CN"/>
              </w:rPr>
              <w:t>投标产品</w:t>
            </w:r>
            <w:r>
              <w:rPr>
                <w:rFonts w:hint="eastAsia" w:ascii="宋体" w:hAnsi="宋体" w:cs="宋体"/>
                <w:b w:val="0"/>
                <w:bCs w:val="0"/>
                <w:color w:val="auto"/>
                <w:sz w:val="22"/>
                <w:szCs w:val="22"/>
                <w:highlight w:val="none"/>
                <w:lang w:val="en-US" w:eastAsia="zh-CN"/>
              </w:rPr>
              <w:t>）。</w:t>
            </w:r>
          </w:p>
          <w:p w14:paraId="23F5A938">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设计美观</w:t>
            </w:r>
            <w:r>
              <w:rPr>
                <w:rFonts w:hint="eastAsia" w:ascii="宋体" w:hAnsi="宋体" w:eastAsia="宋体" w:cs="宋体"/>
                <w:color w:val="auto"/>
                <w:sz w:val="22"/>
                <w:szCs w:val="22"/>
                <w:highlight w:val="none"/>
              </w:rPr>
              <w:t>能贴合采购人需求的得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79845357">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val="en-US" w:eastAsia="zh-CN"/>
              </w:rPr>
              <w:t>设计较美观</w:t>
            </w:r>
            <w:r>
              <w:rPr>
                <w:rFonts w:hint="eastAsia" w:ascii="宋体" w:hAnsi="宋体" w:eastAsia="宋体" w:cs="宋体"/>
                <w:color w:val="auto"/>
                <w:sz w:val="22"/>
                <w:szCs w:val="22"/>
                <w:highlight w:val="none"/>
              </w:rPr>
              <w:t>能</w:t>
            </w:r>
            <w:r>
              <w:rPr>
                <w:rFonts w:hint="eastAsia" w:ascii="宋体" w:hAnsi="宋体" w:cs="宋体"/>
                <w:color w:val="auto"/>
                <w:sz w:val="22"/>
                <w:szCs w:val="22"/>
                <w:highlight w:val="none"/>
                <w:lang w:val="en-US" w:eastAsia="zh-CN"/>
              </w:rPr>
              <w:t>较</w:t>
            </w:r>
            <w:r>
              <w:rPr>
                <w:rFonts w:hint="eastAsia" w:ascii="宋体" w:hAnsi="宋体" w:eastAsia="宋体" w:cs="宋体"/>
                <w:color w:val="auto"/>
                <w:sz w:val="22"/>
                <w:szCs w:val="22"/>
                <w:highlight w:val="none"/>
              </w:rPr>
              <w:t>贴合采购人需求的得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3D3E07D5">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cs="宋体"/>
                <w:color w:val="auto"/>
                <w:sz w:val="22"/>
                <w:szCs w:val="22"/>
                <w:highlight w:val="none"/>
                <w:lang w:val="en-US" w:eastAsia="zh-CN"/>
              </w:rPr>
              <w:t>设计一般</w:t>
            </w:r>
            <w:r>
              <w:rPr>
                <w:rFonts w:hint="eastAsia" w:ascii="宋体" w:hAnsi="宋体" w:eastAsia="宋体" w:cs="宋体"/>
                <w:color w:val="auto"/>
                <w:sz w:val="22"/>
                <w:szCs w:val="22"/>
                <w:highlight w:val="none"/>
              </w:rPr>
              <w:t>能</w:t>
            </w:r>
            <w:r>
              <w:rPr>
                <w:rFonts w:hint="eastAsia" w:ascii="宋体" w:hAnsi="宋体" w:cs="宋体"/>
                <w:color w:val="auto"/>
                <w:sz w:val="22"/>
                <w:szCs w:val="22"/>
                <w:highlight w:val="none"/>
                <w:lang w:val="en-US" w:eastAsia="zh-CN"/>
              </w:rPr>
              <w:t>基本</w:t>
            </w:r>
            <w:r>
              <w:rPr>
                <w:rFonts w:hint="eastAsia" w:ascii="宋体" w:hAnsi="宋体" w:eastAsia="宋体" w:cs="宋体"/>
                <w:color w:val="auto"/>
                <w:sz w:val="22"/>
                <w:szCs w:val="22"/>
                <w:highlight w:val="none"/>
              </w:rPr>
              <w:t>贴合采购人需求的得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44AC6BD4">
            <w:pPr>
              <w:pStyle w:val="32"/>
              <w:ind w:left="0" w:leftChars="0" w:firstLine="0" w:firstLineChars="0"/>
              <w:rPr>
                <w:rFonts w:hint="eastAsia"/>
                <w:color w:val="auto"/>
                <w:highlight w:val="none"/>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）不提供不得分。</w:t>
            </w:r>
          </w:p>
          <w:p w14:paraId="43CD65E6">
            <w:pPr>
              <w:rPr>
                <w:rFonts w:hint="default"/>
                <w:color w:val="auto"/>
                <w:highlight w:val="none"/>
                <w:lang w:val="en-US" w:eastAsia="zh-CN"/>
              </w:rPr>
            </w:pPr>
          </w:p>
        </w:tc>
        <w:tc>
          <w:tcPr>
            <w:tcW w:w="337" w:type="pct"/>
            <w:noWrap w:val="0"/>
            <w:vAlign w:val="center"/>
          </w:tcPr>
          <w:p w14:paraId="3FBE5B2E">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default"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3</w:t>
            </w:r>
          </w:p>
        </w:tc>
        <w:tc>
          <w:tcPr>
            <w:tcW w:w="435" w:type="pct"/>
            <w:noWrap w:val="0"/>
            <w:vAlign w:val="center"/>
          </w:tcPr>
          <w:p w14:paraId="434F2E7B">
            <w:pPr>
              <w:keepNext w:val="0"/>
              <w:keepLines w:val="0"/>
              <w:pageBreakBefore w:val="0"/>
              <w:kinsoku/>
              <w:wordWrap/>
              <w:overflowPunct/>
              <w:topLinePunct w:val="0"/>
              <w:autoSpaceDE/>
              <w:autoSpaceDN/>
              <w:bidi w:val="0"/>
              <w:adjustRightInd/>
              <w:snapToGrid/>
              <w:spacing w:line="460" w:lineRule="exact"/>
              <w:ind w:left="-50"/>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主观分</w:t>
            </w:r>
          </w:p>
        </w:tc>
      </w:tr>
    </w:tbl>
    <w:p w14:paraId="4F932FBB">
      <w:pPr>
        <w:tabs>
          <w:tab w:val="left" w:pos="1365"/>
        </w:tabs>
        <w:spacing w:line="460" w:lineRule="exact"/>
        <w:rPr>
          <w:rFonts w:hint="eastAsia" w:ascii="宋体" w:hAnsi="宋体" w:cs="宋体"/>
          <w:b/>
          <w:bCs/>
          <w:color w:val="auto"/>
          <w:sz w:val="22"/>
          <w:highlight w:val="none"/>
        </w:rPr>
      </w:pPr>
      <w:r>
        <w:rPr>
          <w:rFonts w:hint="eastAsia" w:ascii="宋体" w:hAnsi="宋体" w:cs="宋体"/>
          <w:b/>
          <w:bCs/>
          <w:color w:val="auto"/>
          <w:kern w:val="0"/>
          <w:sz w:val="22"/>
          <w:szCs w:val="22"/>
          <w:highlight w:val="none"/>
          <w:lang w:val="en-US" w:eastAsia="zh-CN"/>
        </w:rPr>
        <w:t>3</w:t>
      </w:r>
      <w:r>
        <w:rPr>
          <w:rFonts w:hint="eastAsia" w:ascii="宋体" w:hAnsi="宋体" w:cs="宋体"/>
          <w:b/>
          <w:bCs/>
          <w:color w:val="auto"/>
          <w:kern w:val="0"/>
          <w:sz w:val="22"/>
          <w:szCs w:val="22"/>
          <w:highlight w:val="none"/>
        </w:rPr>
        <w:t>、</w:t>
      </w:r>
      <w:r>
        <w:rPr>
          <w:rFonts w:hint="eastAsia" w:ascii="宋体" w:hAnsi="宋体" w:cs="宋体"/>
          <w:b/>
          <w:bCs/>
          <w:color w:val="auto"/>
          <w:sz w:val="22"/>
          <w:highlight w:val="none"/>
        </w:rPr>
        <w:t>报价评分（30分）</w:t>
      </w:r>
    </w:p>
    <w:p w14:paraId="31122C30">
      <w:pPr>
        <w:tabs>
          <w:tab w:val="left" w:pos="1365"/>
        </w:tabs>
        <w:spacing w:line="460" w:lineRule="exact"/>
        <w:ind w:left="-191" w:leftChars="-91"/>
        <w:rPr>
          <w:rFonts w:hint="eastAsia" w:ascii="宋体" w:hAnsi="宋体" w:cs="宋体"/>
          <w:b/>
          <w:bCs/>
          <w:color w:val="auto"/>
          <w:sz w:val="22"/>
          <w:highlight w:val="none"/>
        </w:rPr>
      </w:pPr>
    </w:p>
    <w:tbl>
      <w:tblPr>
        <w:tblStyle w:val="40"/>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5"/>
        <w:gridCol w:w="6808"/>
      </w:tblGrid>
      <w:tr w14:paraId="7831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2885" w:type="dxa"/>
            <w:tcBorders>
              <w:top w:val="single" w:color="auto" w:sz="4" w:space="0"/>
              <w:left w:val="single" w:color="auto" w:sz="4" w:space="0"/>
              <w:bottom w:val="single" w:color="auto" w:sz="4" w:space="0"/>
              <w:right w:val="single" w:color="auto" w:sz="4" w:space="0"/>
            </w:tcBorders>
            <w:noWrap w:val="0"/>
            <w:vAlign w:val="center"/>
          </w:tcPr>
          <w:p w14:paraId="7CE9D4C1">
            <w:pPr>
              <w:jc w:val="center"/>
              <w:rPr>
                <w:rFonts w:hint="eastAsia" w:ascii="宋体" w:hAnsi="宋体" w:cs="宋体"/>
                <w:b/>
                <w:i/>
                <w:color w:val="auto"/>
                <w:sz w:val="22"/>
                <w:szCs w:val="22"/>
                <w:highlight w:val="none"/>
              </w:rPr>
            </w:pPr>
            <w:r>
              <w:rPr>
                <w:rFonts w:hint="eastAsia" w:ascii="宋体" w:hAnsi="宋体" w:cs="宋体"/>
                <w:b/>
                <w:bCs/>
                <w:color w:val="auto"/>
                <w:kern w:val="28"/>
                <w:sz w:val="22"/>
                <w:szCs w:val="22"/>
                <w:highlight w:val="none"/>
              </w:rPr>
              <w:t>报价评分</w:t>
            </w:r>
          </w:p>
        </w:tc>
        <w:tc>
          <w:tcPr>
            <w:tcW w:w="6808" w:type="dxa"/>
            <w:tcBorders>
              <w:top w:val="single" w:color="auto" w:sz="4" w:space="0"/>
              <w:left w:val="single" w:color="auto" w:sz="4" w:space="0"/>
              <w:bottom w:val="single" w:color="auto" w:sz="4" w:space="0"/>
              <w:right w:val="single" w:color="auto" w:sz="4" w:space="0"/>
            </w:tcBorders>
            <w:noWrap w:val="0"/>
            <w:vAlign w:val="center"/>
          </w:tcPr>
          <w:p w14:paraId="3515ADE1">
            <w:pPr>
              <w:jc w:val="center"/>
              <w:rPr>
                <w:rFonts w:hint="eastAsia" w:ascii="宋体" w:hAnsi="宋体" w:cs="宋体"/>
                <w:b/>
                <w:i/>
                <w:color w:val="auto"/>
                <w:sz w:val="22"/>
                <w:szCs w:val="22"/>
                <w:highlight w:val="none"/>
              </w:rPr>
            </w:pPr>
            <w:r>
              <w:rPr>
                <w:rFonts w:hint="eastAsia" w:ascii="宋体" w:hAnsi="宋体" w:cs="宋体"/>
                <w:b/>
                <w:bCs/>
                <w:color w:val="auto"/>
                <w:kern w:val="28"/>
                <w:sz w:val="22"/>
                <w:szCs w:val="22"/>
                <w:highlight w:val="none"/>
              </w:rPr>
              <w:t>合计30分</w:t>
            </w:r>
          </w:p>
        </w:tc>
      </w:tr>
      <w:tr w14:paraId="6FCC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3" w:hRule="atLeast"/>
          <w:jc w:val="center"/>
        </w:trPr>
        <w:tc>
          <w:tcPr>
            <w:tcW w:w="9693" w:type="dxa"/>
            <w:gridSpan w:val="2"/>
            <w:tcBorders>
              <w:top w:val="single" w:color="auto" w:sz="4" w:space="0"/>
              <w:left w:val="single" w:color="auto" w:sz="4" w:space="0"/>
              <w:bottom w:val="single" w:color="auto" w:sz="4" w:space="0"/>
              <w:right w:val="single" w:color="auto" w:sz="4" w:space="0"/>
            </w:tcBorders>
            <w:noWrap w:val="0"/>
            <w:vAlign w:val="top"/>
          </w:tcPr>
          <w:p w14:paraId="4AA4040F">
            <w:pPr>
              <w:pStyle w:val="31"/>
              <w:spacing w:line="360" w:lineRule="exact"/>
              <w:ind w:left="330" w:leftChars="0" w:hanging="330" w:hangingChars="15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报价得分： </w:t>
            </w:r>
          </w:p>
          <w:p w14:paraId="3B2EA798">
            <w:pPr>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资格及符合性审查通过并且技术商务标合格的投标单位参加报价评分。</w:t>
            </w:r>
          </w:p>
          <w:p w14:paraId="4EE3B35A">
            <w:pPr>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投标供应商报价与评标基准价对比，计算出报价评分值：</w:t>
            </w:r>
          </w:p>
          <w:p w14:paraId="3C6949A5">
            <w:pPr>
              <w:tabs>
                <w:tab w:val="left" w:pos="435"/>
                <w:tab w:val="left" w:pos="1134"/>
              </w:tabs>
              <w:snapToGrid w:val="0"/>
              <w:spacing w:line="276"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1）全部有效投标供应商中的最低评标价（</w:t>
            </w:r>
            <w:r>
              <w:rPr>
                <w:rFonts w:hint="eastAsia" w:ascii="宋体" w:hAnsi="宋体" w:cs="宋体"/>
                <w:bCs/>
                <w:color w:val="auto"/>
                <w:kern w:val="28"/>
                <w:sz w:val="22"/>
                <w:szCs w:val="22"/>
                <w:highlight w:val="none"/>
              </w:rPr>
              <w:t>评标价=</w:t>
            </w:r>
            <w:r>
              <w:rPr>
                <w:rFonts w:hint="eastAsia" w:ascii="宋体" w:hAnsi="宋体" w:cs="宋体"/>
                <w:color w:val="auto"/>
                <w:sz w:val="22"/>
                <w:szCs w:val="22"/>
                <w:highlight w:val="none"/>
              </w:rPr>
              <w:t>修正后的折扣率）作为评标基准价。</w:t>
            </w:r>
          </w:p>
          <w:p w14:paraId="2FD5B4B3">
            <w:pPr>
              <w:tabs>
                <w:tab w:val="left" w:pos="435"/>
                <w:tab w:val="left" w:pos="1134"/>
              </w:tabs>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2）各投标供应商评标价与评标基准价对比，计算各投标供应商的报价得分：</w:t>
            </w:r>
          </w:p>
          <w:p w14:paraId="20408701">
            <w:pPr>
              <w:tabs>
                <w:tab w:val="left" w:pos="435"/>
                <w:tab w:val="left" w:pos="1134"/>
              </w:tabs>
              <w:snapToGrid w:val="0"/>
              <w:spacing w:line="360" w:lineRule="exact"/>
              <w:rPr>
                <w:rFonts w:hint="eastAsia" w:ascii="宋体" w:hAnsi="宋体" w:cs="宋体"/>
                <w:color w:val="auto"/>
                <w:sz w:val="22"/>
                <w:szCs w:val="22"/>
                <w:highlight w:val="none"/>
              </w:rPr>
            </w:pPr>
            <w:r>
              <w:rPr>
                <w:rFonts w:hint="eastAsia" w:ascii="宋体" w:hAnsi="宋体" w:cs="宋体"/>
                <w:snapToGrid w:val="0"/>
                <w:color w:val="auto"/>
                <w:sz w:val="22"/>
                <w:szCs w:val="22"/>
                <w:highlight w:val="none"/>
              </w:rPr>
              <w:t>2.1等于评标基准价的得满分30分；</w:t>
            </w:r>
          </w:p>
          <w:p w14:paraId="1DFF63E9">
            <w:pPr>
              <w:tabs>
                <w:tab w:val="left" w:pos="435"/>
                <w:tab w:val="left" w:pos="1134"/>
              </w:tabs>
              <w:snapToGrid w:val="0"/>
              <w:spacing w:line="360" w:lineRule="exact"/>
              <w:rPr>
                <w:rFonts w:hint="eastAsia" w:ascii="宋体" w:hAnsi="宋体" w:cs="宋体"/>
                <w:color w:val="auto"/>
                <w:sz w:val="22"/>
                <w:szCs w:val="22"/>
                <w:highlight w:val="none"/>
              </w:rPr>
            </w:pPr>
            <w:r>
              <w:rPr>
                <w:rFonts w:hint="eastAsia" w:ascii="宋体" w:hAnsi="宋体" w:cs="宋体"/>
                <w:snapToGrid w:val="0"/>
                <w:color w:val="auto"/>
                <w:sz w:val="22"/>
                <w:szCs w:val="22"/>
                <w:highlight w:val="none"/>
              </w:rPr>
              <w:t>2.2其他投标供应商的报价得分按下面公式计算得出：投标供应商的报价得分=（评标基准价/评标价）×30分；</w:t>
            </w:r>
          </w:p>
          <w:p w14:paraId="1F454460">
            <w:pPr>
              <w:pStyle w:val="31"/>
              <w:spacing w:line="360" w:lineRule="exact"/>
              <w:ind w:left="0" w:leftChars="0" w:firstLine="0" w:firstLineChars="0"/>
              <w:rPr>
                <w:rFonts w:hint="eastAsia"/>
                <w:color w:val="auto"/>
                <w:highlight w:val="none"/>
              </w:rPr>
            </w:pPr>
            <w:r>
              <w:rPr>
                <w:rFonts w:hint="eastAsia" w:ascii="宋体" w:hAnsi="宋体" w:cs="宋体"/>
                <w:snapToGrid w:val="0"/>
                <w:color w:val="auto"/>
                <w:sz w:val="22"/>
                <w:szCs w:val="22"/>
                <w:highlight w:val="none"/>
              </w:rPr>
              <w:t>2.3商务报价得分计算保留小数2位，第三位四舍五入。</w:t>
            </w:r>
            <w:r>
              <w:rPr>
                <w:rFonts w:hint="eastAsia" w:ascii="宋体" w:hAnsi="宋体" w:cs="宋体"/>
                <w:color w:val="auto"/>
                <w:sz w:val="22"/>
                <w:szCs w:val="22"/>
                <w:highlight w:val="none"/>
              </w:rPr>
              <w:t xml:space="preserve"> </w:t>
            </w:r>
          </w:p>
        </w:tc>
      </w:tr>
      <w:tr w14:paraId="63C9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0" w:hRule="atLeast"/>
          <w:jc w:val="center"/>
        </w:trPr>
        <w:tc>
          <w:tcPr>
            <w:tcW w:w="9693" w:type="dxa"/>
            <w:gridSpan w:val="2"/>
            <w:tcBorders>
              <w:top w:val="single" w:color="auto" w:sz="4" w:space="0"/>
              <w:left w:val="single" w:color="auto" w:sz="4" w:space="0"/>
              <w:bottom w:val="single" w:color="auto" w:sz="4" w:space="0"/>
              <w:right w:val="single" w:color="auto" w:sz="4" w:space="0"/>
            </w:tcBorders>
            <w:noWrap w:val="0"/>
            <w:vAlign w:val="center"/>
          </w:tcPr>
          <w:p w14:paraId="215B1677">
            <w:pPr>
              <w:tabs>
                <w:tab w:val="left" w:pos="360"/>
                <w:tab w:val="left" w:pos="435"/>
                <w:tab w:val="left" w:pos="1134"/>
              </w:tabs>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依据《政府采购促进中小企业发展管理办法》（财库﹝2020﹞46 号）文件、《浙江省财政厅关于进一步发挥政府采购政策功能全力推动经济稳进提质的通知》（浙财采监〔2022〕3号）及《财政部、司法部关于政府采购支持监狱企业发展有关问题的通知》（财库〔2014〕68号）文件，本项目扣除比例详见投标人须知前附表。</w:t>
            </w:r>
          </w:p>
          <w:p w14:paraId="0E59EA81">
            <w:pPr>
              <w:tabs>
                <w:tab w:val="left" w:pos="360"/>
                <w:tab w:val="left" w:pos="435"/>
                <w:tab w:val="left" w:pos="1134"/>
              </w:tabs>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监狱企业视同小型、微型企业。</w:t>
            </w:r>
          </w:p>
          <w:p w14:paraId="1F6E6D6E">
            <w:pPr>
              <w:tabs>
                <w:tab w:val="left" w:pos="360"/>
                <w:tab w:val="left" w:pos="435"/>
                <w:tab w:val="left" w:pos="1134"/>
              </w:tabs>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小型和微型企业是指投标文件中提供中小企业声明函且符合《政府采购促进中小企业发展管理办法》（财库﹝2020﹞46 号）规定的要求并符合国家统计局关于印发《统计上大中小微型企业划分办法（2017）》的小、微企业的划型标准规定。监狱企业参加政府采购活动时，应当提供由省级以上监狱管理局、戒毒管理局（含新疆生产建设兵团）出具的属于监狱企业的证明文件。</w:t>
            </w:r>
          </w:p>
        </w:tc>
      </w:tr>
    </w:tbl>
    <w:p w14:paraId="50D47646">
      <w:pPr>
        <w:spacing w:line="360" w:lineRule="exact"/>
        <w:rPr>
          <w:rFonts w:hint="eastAsia" w:ascii="宋体" w:hAnsi="宋体" w:cs="宋体"/>
          <w:b/>
          <w:color w:val="auto"/>
          <w:kern w:val="28"/>
          <w:sz w:val="22"/>
          <w:szCs w:val="22"/>
          <w:highlight w:val="none"/>
        </w:rPr>
      </w:pPr>
      <w:r>
        <w:rPr>
          <w:rFonts w:hint="eastAsia" w:ascii="宋体" w:hAnsi="宋体" w:cs="宋体"/>
          <w:b/>
          <w:color w:val="auto"/>
          <w:kern w:val="28"/>
          <w:sz w:val="22"/>
          <w:szCs w:val="22"/>
          <w:highlight w:val="none"/>
        </w:rPr>
        <w:t>4、综合得分的计算</w:t>
      </w:r>
    </w:p>
    <w:p w14:paraId="70EEBC9A">
      <w:pPr>
        <w:spacing w:line="360" w:lineRule="exact"/>
        <w:rPr>
          <w:rFonts w:hint="eastAsia" w:ascii="宋体" w:hAnsi="宋体" w:cs="宋体"/>
          <w:bCs/>
          <w:color w:val="auto"/>
          <w:kern w:val="28"/>
          <w:sz w:val="22"/>
          <w:szCs w:val="22"/>
          <w:highlight w:val="none"/>
        </w:rPr>
      </w:pPr>
      <w:r>
        <w:rPr>
          <w:rFonts w:hint="eastAsia" w:ascii="宋体" w:hAnsi="宋体" w:cs="宋体"/>
          <w:bCs/>
          <w:color w:val="auto"/>
          <w:kern w:val="28"/>
          <w:sz w:val="22"/>
          <w:szCs w:val="22"/>
          <w:highlight w:val="none"/>
        </w:rPr>
        <w:t>报价分得分=A</w:t>
      </w:r>
    </w:p>
    <w:p w14:paraId="4888882B">
      <w:pPr>
        <w:spacing w:line="360" w:lineRule="exact"/>
        <w:rPr>
          <w:rFonts w:hint="eastAsia" w:ascii="宋体" w:hAnsi="宋体" w:cs="宋体"/>
          <w:bCs/>
          <w:color w:val="auto"/>
          <w:kern w:val="28"/>
          <w:sz w:val="22"/>
          <w:szCs w:val="22"/>
          <w:highlight w:val="none"/>
        </w:rPr>
      </w:pPr>
      <w:r>
        <w:rPr>
          <w:rFonts w:hint="eastAsia" w:ascii="宋体" w:hAnsi="宋体" w:cs="宋体"/>
          <w:bCs/>
          <w:color w:val="auto"/>
          <w:kern w:val="28"/>
          <w:sz w:val="22"/>
          <w:szCs w:val="22"/>
          <w:highlight w:val="none"/>
        </w:rPr>
        <w:t>技术商务分得分按照评标委员会成员的独立评分结果汇总数算术平均分=B</w:t>
      </w:r>
    </w:p>
    <w:p w14:paraId="51001D3A">
      <w:pPr>
        <w:spacing w:line="360" w:lineRule="exact"/>
        <w:rPr>
          <w:rFonts w:hint="eastAsia" w:ascii="宋体" w:hAnsi="宋体" w:cs="宋体"/>
          <w:bCs/>
          <w:color w:val="auto"/>
          <w:kern w:val="28"/>
          <w:sz w:val="22"/>
          <w:szCs w:val="22"/>
          <w:highlight w:val="none"/>
        </w:rPr>
      </w:pPr>
      <w:r>
        <w:rPr>
          <w:rFonts w:hint="eastAsia" w:ascii="宋体" w:hAnsi="宋体" w:cs="宋体"/>
          <w:bCs/>
          <w:color w:val="auto"/>
          <w:kern w:val="28"/>
          <w:sz w:val="22"/>
          <w:szCs w:val="22"/>
          <w:highlight w:val="none"/>
        </w:rPr>
        <w:t>综合得分=A+B</w:t>
      </w:r>
    </w:p>
    <w:p w14:paraId="43F273DA">
      <w:pPr>
        <w:spacing w:line="400" w:lineRule="exact"/>
        <w:rPr>
          <w:rFonts w:hint="eastAsia" w:ascii="宋体" w:hAnsi="宋体" w:cs="宋体"/>
          <w:b/>
          <w:bCs/>
          <w:color w:val="auto"/>
          <w:kern w:val="28"/>
          <w:sz w:val="22"/>
          <w:szCs w:val="22"/>
          <w:highlight w:val="none"/>
        </w:rPr>
      </w:pPr>
      <w:r>
        <w:rPr>
          <w:rFonts w:hint="eastAsia" w:ascii="宋体" w:hAnsi="宋体" w:cs="宋体"/>
          <w:b/>
          <w:bCs/>
          <w:color w:val="auto"/>
          <w:kern w:val="28"/>
          <w:sz w:val="22"/>
          <w:szCs w:val="22"/>
          <w:highlight w:val="none"/>
        </w:rPr>
        <w:t>六、评定结果</w:t>
      </w:r>
    </w:p>
    <w:p w14:paraId="305E9783">
      <w:pPr>
        <w:spacing w:line="400" w:lineRule="exact"/>
        <w:ind w:firstLine="440" w:firstLineChars="200"/>
        <w:rPr>
          <w:rFonts w:hint="eastAsia" w:ascii="宋体" w:hAnsi="宋体" w:cs="宋体"/>
          <w:bCs/>
          <w:color w:val="auto"/>
          <w:kern w:val="28"/>
          <w:sz w:val="22"/>
          <w:szCs w:val="22"/>
          <w:highlight w:val="none"/>
        </w:rPr>
      </w:pPr>
      <w:r>
        <w:rPr>
          <w:rFonts w:hint="eastAsia" w:ascii="宋体" w:hAnsi="宋体" w:cs="宋体"/>
          <w:bCs/>
          <w:color w:val="auto"/>
          <w:kern w:val="28"/>
          <w:sz w:val="22"/>
          <w:szCs w:val="22"/>
          <w:highlight w:val="none"/>
        </w:rPr>
        <w:t>本次采购根据有效投标供应商的综合评分从高到低原则，确定</w:t>
      </w:r>
      <w:r>
        <w:rPr>
          <w:rFonts w:hint="eastAsia" w:ascii="宋体" w:hAnsi="宋体" w:cs="宋体"/>
          <w:bCs/>
          <w:color w:val="auto"/>
          <w:kern w:val="28"/>
          <w:sz w:val="22"/>
          <w:szCs w:val="22"/>
          <w:highlight w:val="none"/>
          <w:lang w:val="en-US" w:eastAsia="zh-CN"/>
        </w:rPr>
        <w:t>2</w:t>
      </w:r>
      <w:r>
        <w:rPr>
          <w:rFonts w:hint="eastAsia" w:ascii="宋体" w:hAnsi="宋体" w:cs="宋体"/>
          <w:bCs/>
          <w:color w:val="auto"/>
          <w:kern w:val="28"/>
          <w:sz w:val="22"/>
          <w:szCs w:val="22"/>
          <w:highlight w:val="none"/>
        </w:rPr>
        <w:t>个</w:t>
      </w:r>
      <w:r>
        <w:rPr>
          <w:rFonts w:hint="eastAsia" w:ascii="宋体" w:hAnsi="宋体" w:cs="宋体"/>
          <w:bCs/>
          <w:color w:val="auto"/>
          <w:kern w:val="28"/>
          <w:sz w:val="22"/>
          <w:szCs w:val="22"/>
          <w:highlight w:val="none"/>
          <w:lang w:eastAsia="zh-CN"/>
        </w:rPr>
        <w:t>中标候选人</w:t>
      </w:r>
      <w:r>
        <w:rPr>
          <w:rFonts w:hint="eastAsia" w:ascii="宋体" w:hAnsi="宋体" w:cs="宋体"/>
          <w:bCs/>
          <w:color w:val="auto"/>
          <w:kern w:val="28"/>
          <w:sz w:val="22"/>
          <w:szCs w:val="22"/>
          <w:highlight w:val="none"/>
        </w:rPr>
        <w:t>，其他有效供应商依次确定为</w:t>
      </w:r>
      <w:r>
        <w:rPr>
          <w:rFonts w:hint="eastAsia" w:ascii="宋体" w:hAnsi="宋体" w:cs="宋体"/>
          <w:bCs/>
          <w:color w:val="auto"/>
          <w:kern w:val="28"/>
          <w:sz w:val="22"/>
          <w:szCs w:val="22"/>
          <w:highlight w:val="none"/>
          <w:lang w:eastAsia="zh-CN"/>
        </w:rPr>
        <w:t>中标</w:t>
      </w:r>
      <w:r>
        <w:rPr>
          <w:rFonts w:hint="eastAsia" w:ascii="宋体" w:hAnsi="宋体" w:cs="宋体"/>
          <w:bCs/>
          <w:color w:val="auto"/>
          <w:kern w:val="28"/>
          <w:sz w:val="22"/>
          <w:szCs w:val="22"/>
          <w:highlight w:val="none"/>
        </w:rPr>
        <w:t>备选供应商。综合得分相同的，按投标综合单价由低到高顺序排列；</w:t>
      </w:r>
    </w:p>
    <w:p w14:paraId="66233DF7">
      <w:pPr>
        <w:spacing w:line="400" w:lineRule="exact"/>
        <w:ind w:firstLine="440" w:firstLineChars="200"/>
        <w:rPr>
          <w:rFonts w:hint="eastAsia" w:ascii="宋体" w:hAnsi="宋体" w:cs="宋体"/>
          <w:bCs/>
          <w:color w:val="auto"/>
          <w:kern w:val="28"/>
          <w:sz w:val="22"/>
          <w:szCs w:val="22"/>
          <w:highlight w:val="none"/>
        </w:rPr>
      </w:pPr>
      <w:r>
        <w:rPr>
          <w:rFonts w:hint="eastAsia" w:ascii="宋体" w:hAnsi="宋体" w:cs="宋体"/>
          <w:bCs/>
          <w:color w:val="auto"/>
          <w:kern w:val="28"/>
          <w:sz w:val="22"/>
          <w:szCs w:val="22"/>
          <w:highlight w:val="none"/>
        </w:rPr>
        <w:t>合计得分且报价相同的，则由采购人代表在所有得分均相同者中随机抽取其中一名为名次优先者，依法予以确认为</w:t>
      </w:r>
      <w:r>
        <w:rPr>
          <w:rFonts w:hint="eastAsia" w:ascii="宋体" w:hAnsi="宋体" w:cs="宋体"/>
          <w:bCs/>
          <w:color w:val="auto"/>
          <w:kern w:val="28"/>
          <w:sz w:val="22"/>
          <w:szCs w:val="22"/>
          <w:highlight w:val="none"/>
          <w:lang w:val="en-US" w:eastAsia="zh-CN"/>
        </w:rPr>
        <w:t>中标人</w:t>
      </w:r>
      <w:r>
        <w:rPr>
          <w:rFonts w:hint="eastAsia" w:ascii="宋体" w:hAnsi="宋体" w:cs="宋体"/>
          <w:bCs/>
          <w:color w:val="auto"/>
          <w:kern w:val="28"/>
          <w:sz w:val="22"/>
          <w:szCs w:val="22"/>
          <w:highlight w:val="none"/>
        </w:rPr>
        <w:t>。</w:t>
      </w:r>
    </w:p>
    <w:p w14:paraId="4EFDEB59">
      <w:pPr>
        <w:spacing w:line="400" w:lineRule="exact"/>
        <w:rPr>
          <w:rFonts w:hint="eastAsia" w:ascii="宋体" w:hAnsi="宋体" w:cs="宋体"/>
          <w:b/>
          <w:bCs/>
          <w:color w:val="auto"/>
          <w:kern w:val="28"/>
          <w:sz w:val="22"/>
          <w:szCs w:val="22"/>
          <w:highlight w:val="none"/>
        </w:rPr>
      </w:pPr>
      <w:r>
        <w:rPr>
          <w:rFonts w:hint="eastAsia" w:ascii="宋体" w:hAnsi="宋体" w:cs="宋体"/>
          <w:b/>
          <w:bCs/>
          <w:color w:val="auto"/>
          <w:kern w:val="28"/>
          <w:sz w:val="22"/>
          <w:szCs w:val="22"/>
          <w:highlight w:val="none"/>
        </w:rPr>
        <w:t>七、投标供应商的义务</w:t>
      </w:r>
    </w:p>
    <w:p w14:paraId="06B8D7C3">
      <w:pPr>
        <w:spacing w:line="400" w:lineRule="exact"/>
        <w:ind w:firstLine="440" w:firstLineChars="200"/>
        <w:rPr>
          <w:rFonts w:hint="eastAsia" w:ascii="宋体" w:hAnsi="宋体" w:cs="宋体"/>
          <w:bCs/>
          <w:color w:val="auto"/>
          <w:kern w:val="28"/>
          <w:sz w:val="22"/>
          <w:szCs w:val="22"/>
          <w:highlight w:val="none"/>
        </w:rPr>
      </w:pPr>
      <w:r>
        <w:rPr>
          <w:rFonts w:hint="eastAsia" w:ascii="宋体" w:hAnsi="宋体" w:cs="宋体"/>
          <w:bCs/>
          <w:color w:val="auto"/>
          <w:kern w:val="28"/>
          <w:sz w:val="22"/>
          <w:szCs w:val="22"/>
          <w:highlight w:val="none"/>
        </w:rPr>
        <w:t>投标供应商应随时随地答复评标委员会的询标，解答包括有关的商务、技术问题等。评标</w:t>
      </w:r>
    </w:p>
    <w:p w14:paraId="24D7CB60">
      <w:pPr>
        <w:spacing w:line="400" w:lineRule="exact"/>
        <w:ind w:firstLine="440" w:firstLineChars="200"/>
        <w:rPr>
          <w:rFonts w:hint="eastAsia" w:ascii="宋体" w:hAnsi="宋体" w:cs="Arial"/>
          <w:bCs/>
          <w:color w:val="auto"/>
          <w:kern w:val="28"/>
          <w:highlight w:val="none"/>
        </w:rPr>
      </w:pPr>
      <w:r>
        <w:rPr>
          <w:rFonts w:hint="eastAsia" w:ascii="宋体" w:hAnsi="宋体" w:cs="宋体"/>
          <w:bCs/>
          <w:color w:val="auto"/>
          <w:kern w:val="28"/>
          <w:sz w:val="22"/>
          <w:szCs w:val="22"/>
          <w:highlight w:val="none"/>
        </w:rPr>
        <w:t>结束，所有评定资料存采购机构备案。</w:t>
      </w:r>
      <w:r>
        <w:rPr>
          <w:rFonts w:hint="eastAsia" w:ascii="宋体" w:hAnsi="宋体" w:cs="Arial"/>
          <w:bCs/>
          <w:color w:val="auto"/>
          <w:kern w:val="28"/>
          <w:highlight w:val="none"/>
        </w:rPr>
        <w:t xml:space="preserve"> </w:t>
      </w:r>
    </w:p>
    <w:p w14:paraId="10298A6A">
      <w:pPr>
        <w:pStyle w:val="141"/>
        <w:snapToGrid w:val="0"/>
        <w:spacing w:before="120" w:beforeLines="50" w:after="120" w:afterLines="50" w:line="500" w:lineRule="exact"/>
        <w:rPr>
          <w:rFonts w:hAnsi="宋体" w:cs="宋体"/>
          <w:color w:val="auto"/>
          <w:sz w:val="24"/>
          <w:szCs w:val="24"/>
          <w:highlight w:val="none"/>
        </w:rPr>
      </w:pPr>
      <w:r>
        <w:rPr>
          <w:rFonts w:hAnsi="宋体" w:cs="宋体"/>
          <w:b/>
          <w:color w:val="auto"/>
          <w:sz w:val="44"/>
          <w:szCs w:val="44"/>
          <w:highlight w:val="none"/>
        </w:rPr>
        <w:br w:type="page"/>
      </w:r>
      <w:r>
        <w:rPr>
          <w:rFonts w:hAnsi="宋体" w:cs="宋体"/>
          <w:color w:val="auto"/>
          <w:sz w:val="24"/>
          <w:szCs w:val="24"/>
          <w:highlight w:val="none"/>
        </w:rPr>
        <w:t>附表</w:t>
      </w:r>
    </w:p>
    <w:p w14:paraId="0101D0FB">
      <w:pPr>
        <w:pStyle w:val="141"/>
        <w:snapToGrid w:val="0"/>
        <w:spacing w:before="120" w:beforeLines="50" w:after="120" w:afterLines="50" w:line="500" w:lineRule="exact"/>
        <w:ind w:firstLine="640"/>
        <w:jc w:val="center"/>
        <w:rPr>
          <w:rFonts w:hAnsi="宋体" w:cs="宋体"/>
          <w:color w:val="auto"/>
          <w:kern w:val="0"/>
          <w:szCs w:val="21"/>
          <w:highlight w:val="none"/>
          <w:u w:val="single"/>
        </w:rPr>
      </w:pPr>
      <w:r>
        <w:rPr>
          <w:rFonts w:hAnsi="宋体" w:cs="宋体"/>
          <w:b/>
          <w:bCs/>
          <w:color w:val="auto"/>
          <w:sz w:val="32"/>
          <w:szCs w:val="32"/>
          <w:highlight w:val="none"/>
        </w:rPr>
        <w:t>政府采购活动现场确认声明书</w:t>
      </w:r>
    </w:p>
    <w:p w14:paraId="2624867F">
      <w:pPr>
        <w:pStyle w:val="141"/>
        <w:snapToGrid w:val="0"/>
        <w:spacing w:line="400" w:lineRule="exact"/>
        <w:rPr>
          <w:rFonts w:hAnsi="宋体" w:cs="宋体"/>
          <w:b/>
          <w:color w:val="auto"/>
          <w:sz w:val="22"/>
          <w:szCs w:val="22"/>
          <w:highlight w:val="none"/>
        </w:rPr>
      </w:pPr>
      <w:r>
        <w:rPr>
          <w:rFonts w:hAnsi="宋体" w:cs="宋体"/>
          <w:color w:val="auto"/>
          <w:kern w:val="0"/>
          <w:sz w:val="22"/>
          <w:szCs w:val="22"/>
          <w:highlight w:val="none"/>
          <w:u w:val="single"/>
        </w:rPr>
        <w:t>温州市圣励招标代理有限公司</w:t>
      </w:r>
      <w:r>
        <w:rPr>
          <w:rFonts w:hAnsi="宋体" w:cs="宋体"/>
          <w:color w:val="auto"/>
          <w:kern w:val="0"/>
          <w:sz w:val="22"/>
          <w:szCs w:val="22"/>
          <w:highlight w:val="none"/>
        </w:rPr>
        <w:t>：</w:t>
      </w:r>
    </w:p>
    <w:p w14:paraId="5C169876">
      <w:pPr>
        <w:pStyle w:val="141"/>
        <w:snapToGrid w:val="0"/>
        <w:spacing w:line="400" w:lineRule="exact"/>
        <w:ind w:left="19" w:leftChars="9" w:firstLine="433" w:firstLineChars="187"/>
        <w:rPr>
          <w:rFonts w:hAnsi="宋体" w:cs="宋体"/>
          <w:color w:val="auto"/>
          <w:spacing w:val="6"/>
          <w:sz w:val="22"/>
          <w:szCs w:val="22"/>
          <w:highlight w:val="none"/>
        </w:rPr>
      </w:pPr>
      <w:r>
        <w:rPr>
          <w:rFonts w:hAnsi="宋体" w:cs="宋体"/>
          <w:color w:val="auto"/>
          <w:spacing w:val="6"/>
          <w:sz w:val="22"/>
          <w:szCs w:val="22"/>
          <w:highlight w:val="none"/>
        </w:rPr>
        <w:t>本人</w:t>
      </w:r>
      <w:r>
        <w:rPr>
          <w:rFonts w:hAnsi="宋体" w:cs="宋体"/>
          <w:color w:val="auto"/>
          <w:spacing w:val="6"/>
          <w:sz w:val="22"/>
          <w:szCs w:val="22"/>
          <w:highlight w:val="none"/>
          <w:u w:val="single"/>
        </w:rPr>
        <w:t xml:space="preserve">           </w:t>
      </w:r>
      <w:r>
        <w:rPr>
          <w:rFonts w:hAnsi="宋体" w:cs="宋体"/>
          <w:color w:val="auto"/>
          <w:spacing w:val="6"/>
          <w:sz w:val="22"/>
          <w:szCs w:val="22"/>
          <w:highlight w:val="none"/>
        </w:rPr>
        <w:t>（授权代表姓名），经由</w:t>
      </w:r>
      <w:r>
        <w:rPr>
          <w:rFonts w:hAnsi="宋体" w:cs="宋体"/>
          <w:color w:val="auto"/>
          <w:spacing w:val="6"/>
          <w:sz w:val="22"/>
          <w:szCs w:val="22"/>
          <w:highlight w:val="none"/>
          <w:u w:val="single"/>
        </w:rPr>
        <w:t xml:space="preserve">                              （单位）</w:t>
      </w:r>
      <w:r>
        <w:rPr>
          <w:rFonts w:hAnsi="宋体" w:cs="宋体"/>
          <w:color w:val="auto"/>
          <w:spacing w:val="6"/>
          <w:sz w:val="22"/>
          <w:szCs w:val="22"/>
          <w:highlight w:val="none"/>
        </w:rPr>
        <w:t>负责人</w:t>
      </w:r>
      <w:r>
        <w:rPr>
          <w:rFonts w:hAnsi="宋体" w:cs="宋体"/>
          <w:color w:val="auto"/>
          <w:spacing w:val="6"/>
          <w:sz w:val="22"/>
          <w:szCs w:val="22"/>
          <w:highlight w:val="none"/>
          <w:u w:val="single"/>
        </w:rPr>
        <w:t xml:space="preserve">          </w:t>
      </w:r>
      <w:r>
        <w:rPr>
          <w:rFonts w:hAnsi="宋体" w:cs="宋体"/>
          <w:color w:val="auto"/>
          <w:spacing w:val="6"/>
          <w:sz w:val="22"/>
          <w:szCs w:val="22"/>
          <w:highlight w:val="none"/>
        </w:rPr>
        <w:t>（法定代表人）合法授权参加</w:t>
      </w:r>
      <w:r>
        <w:rPr>
          <w:rFonts w:hAnsi="宋体" w:cs="宋体"/>
          <w:color w:val="auto"/>
          <w:spacing w:val="6"/>
          <w:sz w:val="22"/>
          <w:szCs w:val="22"/>
          <w:highlight w:val="none"/>
          <w:u w:val="single"/>
        </w:rPr>
        <w:t xml:space="preserve">          </w:t>
      </w:r>
      <w:r>
        <w:rPr>
          <w:rFonts w:hAnsi="宋体" w:cs="宋体"/>
          <w:color w:val="auto"/>
          <w:spacing w:val="6"/>
          <w:sz w:val="22"/>
          <w:szCs w:val="22"/>
          <w:highlight w:val="none"/>
        </w:rPr>
        <w:t>（编号：</w:t>
      </w:r>
      <w:r>
        <w:rPr>
          <w:rFonts w:hAnsi="宋体" w:cs="宋体"/>
          <w:color w:val="auto"/>
          <w:spacing w:val="6"/>
          <w:sz w:val="22"/>
          <w:szCs w:val="22"/>
          <w:highlight w:val="none"/>
          <w:u w:val="single"/>
        </w:rPr>
        <w:t xml:space="preserve">      </w:t>
      </w:r>
      <w:r>
        <w:rPr>
          <w:rFonts w:hAnsi="宋体" w:cs="宋体"/>
          <w:color w:val="auto"/>
          <w:spacing w:val="6"/>
          <w:sz w:val="22"/>
          <w:szCs w:val="22"/>
          <w:highlight w:val="none"/>
        </w:rPr>
        <w:t xml:space="preserve">）政府采购活动，经与本单位法人代表（负责人）联系确认，现就有关公平竞争事项郑重声明如下： </w:t>
      </w:r>
    </w:p>
    <w:p w14:paraId="07D00BB3">
      <w:pPr>
        <w:pStyle w:val="142"/>
        <w:widowControl/>
        <w:numPr>
          <w:ilvl w:val="0"/>
          <w:numId w:val="8"/>
        </w:numPr>
        <w:snapToGrid w:val="0"/>
        <w:spacing w:line="400" w:lineRule="exact"/>
        <w:ind w:firstLine="415" w:firstLineChars="189"/>
        <w:rPr>
          <w:rFonts w:ascii="宋体" w:hAnsi="宋体" w:cs="宋体"/>
          <w:color w:val="auto"/>
          <w:kern w:val="0"/>
          <w:sz w:val="22"/>
          <w:szCs w:val="22"/>
          <w:highlight w:val="none"/>
        </w:rPr>
      </w:pPr>
      <w:r>
        <w:rPr>
          <w:rFonts w:ascii="宋体" w:hAnsi="宋体" w:cs="宋体"/>
          <w:color w:val="auto"/>
          <w:kern w:val="0"/>
          <w:sz w:val="22"/>
          <w:szCs w:val="22"/>
          <w:highlight w:val="none"/>
        </w:rPr>
        <w:t xml:space="preserve">本单位与采购人之间 □不存在利害关系 </w:t>
      </w:r>
      <w:r>
        <w:rPr>
          <w:rFonts w:ascii="宋体" w:hAnsi="宋体" w:cs="宋体"/>
          <w:color w:val="auto"/>
          <w:kern w:val="0"/>
          <w:sz w:val="22"/>
          <w:szCs w:val="22"/>
          <w:highlight w:val="none"/>
        </w:rPr>
        <w:sym w:font="Wingdings 2" w:char="00A3"/>
      </w:r>
      <w:r>
        <w:rPr>
          <w:rFonts w:ascii="宋体" w:hAnsi="宋体" w:cs="宋体"/>
          <w:color w:val="auto"/>
          <w:kern w:val="0"/>
          <w:sz w:val="22"/>
          <w:szCs w:val="22"/>
          <w:highlight w:val="none"/>
        </w:rPr>
        <w:t>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14:paraId="3B2B89FA">
      <w:pPr>
        <w:pStyle w:val="142"/>
        <w:widowControl/>
        <w:snapToGrid w:val="0"/>
        <w:spacing w:line="400" w:lineRule="exact"/>
        <w:rPr>
          <w:rFonts w:ascii="宋体" w:hAnsi="宋体" w:cs="宋体"/>
          <w:color w:val="auto"/>
          <w:kern w:val="0"/>
          <w:sz w:val="22"/>
          <w:szCs w:val="22"/>
          <w:highlight w:val="none"/>
        </w:rPr>
      </w:pPr>
      <w:r>
        <w:rPr>
          <w:rFonts w:ascii="宋体" w:hAnsi="宋体" w:cs="宋体"/>
          <w:color w:val="auto"/>
          <w:kern w:val="0"/>
          <w:sz w:val="22"/>
          <w:szCs w:val="22"/>
          <w:highlight w:val="none"/>
        </w:rPr>
        <w:t xml:space="preserve">  A.投资关系    B.行政隶属关系    C.业务指导关系</w:t>
      </w:r>
    </w:p>
    <w:p w14:paraId="658F39EA">
      <w:pPr>
        <w:pStyle w:val="142"/>
        <w:widowControl/>
        <w:snapToGrid w:val="0"/>
        <w:spacing w:line="400" w:lineRule="exact"/>
        <w:rPr>
          <w:rFonts w:ascii="宋体" w:hAnsi="宋体" w:cs="宋体"/>
          <w:color w:val="auto"/>
          <w:kern w:val="0"/>
          <w:sz w:val="22"/>
          <w:szCs w:val="22"/>
          <w:highlight w:val="none"/>
        </w:rPr>
      </w:pPr>
      <w:r>
        <w:rPr>
          <w:rFonts w:ascii="宋体" w:hAnsi="宋体" w:cs="宋体"/>
          <w:color w:val="auto"/>
          <w:kern w:val="0"/>
          <w:sz w:val="22"/>
          <w:szCs w:val="22"/>
          <w:highlight w:val="none"/>
        </w:rPr>
        <w:t xml:space="preserve">  D.其他可能</w:t>
      </w:r>
      <w:r>
        <w:rPr>
          <w:rFonts w:ascii="宋体" w:hAnsi="宋体" w:cs="宋体"/>
          <w:color w:val="auto"/>
          <w:sz w:val="22"/>
          <w:szCs w:val="22"/>
          <w:highlight w:val="none"/>
        </w:rPr>
        <w:t>影响采购公正的</w:t>
      </w:r>
      <w:r>
        <w:rPr>
          <w:rFonts w:ascii="宋体" w:hAnsi="宋体" w:cs="宋体"/>
          <w:color w:val="auto"/>
          <w:kern w:val="0"/>
          <w:sz w:val="22"/>
          <w:szCs w:val="22"/>
          <w:highlight w:val="none"/>
        </w:rPr>
        <w:t>利害关系</w:t>
      </w:r>
      <w:r>
        <w:rPr>
          <w:rFonts w:ascii="宋体" w:hAnsi="宋体" w:cs="宋体"/>
          <w:color w:val="auto"/>
          <w:kern w:val="0"/>
          <w:sz w:val="22"/>
          <w:szCs w:val="22"/>
          <w:highlight w:val="none"/>
          <w:u w:val="single"/>
        </w:rPr>
        <w:t xml:space="preserve">（如有，请如实说明）                 </w:t>
      </w:r>
      <w:r>
        <w:rPr>
          <w:rFonts w:ascii="宋体" w:hAnsi="宋体" w:cs="宋体"/>
          <w:color w:val="auto"/>
          <w:kern w:val="0"/>
          <w:sz w:val="22"/>
          <w:szCs w:val="22"/>
          <w:highlight w:val="none"/>
        </w:rPr>
        <w:t>。</w:t>
      </w:r>
    </w:p>
    <w:p w14:paraId="40B7594A">
      <w:pPr>
        <w:pStyle w:val="142"/>
        <w:widowControl/>
        <w:snapToGrid w:val="0"/>
        <w:spacing w:line="400" w:lineRule="exact"/>
        <w:rPr>
          <w:rFonts w:ascii="宋体" w:hAnsi="宋体" w:cs="宋体"/>
          <w:color w:val="auto"/>
          <w:kern w:val="0"/>
          <w:sz w:val="22"/>
          <w:szCs w:val="22"/>
          <w:highlight w:val="none"/>
        </w:rPr>
      </w:pPr>
      <w:r>
        <w:rPr>
          <w:rFonts w:ascii="宋体" w:hAnsi="宋体" w:cs="宋体"/>
          <w:color w:val="auto"/>
          <w:spacing w:val="6"/>
          <w:sz w:val="22"/>
          <w:szCs w:val="22"/>
          <w:highlight w:val="none"/>
        </w:rPr>
        <w:t xml:space="preserve">   二、</w:t>
      </w:r>
      <w:r>
        <w:rPr>
          <w:rFonts w:ascii="宋体" w:hAnsi="宋体" w:cs="宋体"/>
          <w:color w:val="auto"/>
          <w:kern w:val="0"/>
          <w:sz w:val="22"/>
          <w:szCs w:val="22"/>
          <w:highlight w:val="none"/>
        </w:rPr>
        <w:t>现已清楚知道参加本项目采购活动的其他所有供应商名称，本单位 □与其他所有供应商之间均不存在利害关系 □与</w:t>
      </w:r>
      <w:r>
        <w:rPr>
          <w:rFonts w:ascii="宋体" w:hAnsi="宋体" w:cs="宋体"/>
          <w:color w:val="auto"/>
          <w:kern w:val="0"/>
          <w:sz w:val="22"/>
          <w:szCs w:val="22"/>
          <w:highlight w:val="none"/>
          <w:u w:val="single"/>
        </w:rPr>
        <w:t xml:space="preserve">           （供应商名称）</w:t>
      </w:r>
      <w:r>
        <w:rPr>
          <w:rFonts w:ascii="宋体" w:hAnsi="宋体" w:cs="宋体"/>
          <w:color w:val="auto"/>
          <w:kern w:val="0"/>
          <w:sz w:val="22"/>
          <w:szCs w:val="22"/>
          <w:highlight w:val="none"/>
        </w:rPr>
        <w:t>之间存在下列利害关系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14:paraId="3D183EEF">
      <w:pPr>
        <w:pStyle w:val="141"/>
        <w:snapToGrid w:val="0"/>
        <w:spacing w:line="400" w:lineRule="exact"/>
        <w:rPr>
          <w:rFonts w:hAnsi="宋体" w:cs="宋体"/>
          <w:color w:val="auto"/>
          <w:kern w:val="0"/>
          <w:sz w:val="22"/>
          <w:szCs w:val="22"/>
          <w:highlight w:val="none"/>
        </w:rPr>
      </w:pPr>
      <w:r>
        <w:rPr>
          <w:rFonts w:hAnsi="宋体" w:cs="宋体"/>
          <w:color w:val="auto"/>
          <w:kern w:val="0"/>
          <w:sz w:val="22"/>
          <w:szCs w:val="22"/>
          <w:highlight w:val="none"/>
        </w:rPr>
        <w:t xml:space="preserve">  A.法定代表人或负责人或实际控制人是同一人</w:t>
      </w:r>
    </w:p>
    <w:p w14:paraId="708A72D2">
      <w:pPr>
        <w:pStyle w:val="141"/>
        <w:snapToGrid w:val="0"/>
        <w:spacing w:line="400" w:lineRule="exact"/>
        <w:rPr>
          <w:rFonts w:hAnsi="宋体" w:cs="宋体"/>
          <w:color w:val="auto"/>
          <w:spacing w:val="6"/>
          <w:sz w:val="22"/>
          <w:szCs w:val="22"/>
          <w:highlight w:val="none"/>
        </w:rPr>
      </w:pPr>
      <w:r>
        <w:rPr>
          <w:rFonts w:hAnsi="宋体" w:cs="宋体"/>
          <w:color w:val="auto"/>
          <w:kern w:val="0"/>
          <w:sz w:val="22"/>
          <w:szCs w:val="22"/>
          <w:highlight w:val="none"/>
        </w:rPr>
        <w:t xml:space="preserve">  B.法定代表人或负责人或实际控制人是夫妻关系</w:t>
      </w:r>
    </w:p>
    <w:p w14:paraId="27D8AF54">
      <w:pPr>
        <w:pStyle w:val="141"/>
        <w:snapToGrid w:val="0"/>
        <w:spacing w:line="400" w:lineRule="exact"/>
        <w:rPr>
          <w:rFonts w:hAnsi="宋体" w:cs="宋体"/>
          <w:color w:val="auto"/>
          <w:spacing w:val="6"/>
          <w:sz w:val="22"/>
          <w:szCs w:val="22"/>
          <w:highlight w:val="none"/>
        </w:rPr>
      </w:pPr>
      <w:r>
        <w:rPr>
          <w:rFonts w:hAnsi="宋体" w:cs="宋体"/>
          <w:color w:val="auto"/>
          <w:kern w:val="0"/>
          <w:sz w:val="22"/>
          <w:szCs w:val="22"/>
          <w:highlight w:val="none"/>
        </w:rPr>
        <w:t xml:space="preserve">  C.法定代表人或负责人或实际控制人是直系血亲关系</w:t>
      </w:r>
    </w:p>
    <w:p w14:paraId="39D418BE">
      <w:pPr>
        <w:pStyle w:val="141"/>
        <w:snapToGrid w:val="0"/>
        <w:spacing w:line="400" w:lineRule="exact"/>
        <w:rPr>
          <w:rFonts w:hAnsi="宋体" w:cs="宋体"/>
          <w:color w:val="auto"/>
          <w:spacing w:val="6"/>
          <w:sz w:val="22"/>
          <w:szCs w:val="22"/>
          <w:highlight w:val="none"/>
        </w:rPr>
      </w:pPr>
      <w:r>
        <w:rPr>
          <w:rFonts w:hAnsi="宋体" w:cs="宋体"/>
          <w:color w:val="auto"/>
          <w:kern w:val="0"/>
          <w:sz w:val="22"/>
          <w:szCs w:val="22"/>
          <w:highlight w:val="none"/>
        </w:rPr>
        <w:t xml:space="preserve">  D.法定代表人或负责人或实际控制人存在三代以内旁系血亲关系</w:t>
      </w:r>
    </w:p>
    <w:p w14:paraId="4C931091">
      <w:pPr>
        <w:pStyle w:val="141"/>
        <w:snapToGrid w:val="0"/>
        <w:spacing w:line="400" w:lineRule="exact"/>
        <w:rPr>
          <w:rFonts w:hAnsi="宋体" w:cs="宋体"/>
          <w:color w:val="auto"/>
          <w:kern w:val="0"/>
          <w:sz w:val="22"/>
          <w:szCs w:val="22"/>
          <w:highlight w:val="none"/>
        </w:rPr>
      </w:pPr>
      <w:r>
        <w:rPr>
          <w:rFonts w:hAnsi="宋体" w:cs="宋体"/>
          <w:color w:val="auto"/>
          <w:kern w:val="0"/>
          <w:sz w:val="22"/>
          <w:szCs w:val="22"/>
          <w:highlight w:val="none"/>
        </w:rPr>
        <w:t xml:space="preserve">  E.法定代表人或负责人或实际控制人存在近姻亲关系</w:t>
      </w:r>
    </w:p>
    <w:p w14:paraId="4BBCCD08">
      <w:pPr>
        <w:pStyle w:val="141"/>
        <w:snapToGrid w:val="0"/>
        <w:spacing w:line="400" w:lineRule="exact"/>
        <w:rPr>
          <w:rFonts w:hAnsi="宋体" w:cs="宋体"/>
          <w:color w:val="auto"/>
          <w:kern w:val="0"/>
          <w:sz w:val="22"/>
          <w:szCs w:val="22"/>
          <w:highlight w:val="none"/>
        </w:rPr>
      </w:pPr>
      <w:r>
        <w:rPr>
          <w:rFonts w:hAnsi="宋体" w:cs="宋体"/>
          <w:color w:val="auto"/>
          <w:kern w:val="0"/>
          <w:sz w:val="22"/>
          <w:szCs w:val="22"/>
          <w:highlight w:val="none"/>
        </w:rPr>
        <w:t xml:space="preserve">  F.法定代表人或负责人或实际控制人存在股份控制或实际控制关系</w:t>
      </w:r>
    </w:p>
    <w:p w14:paraId="50D50AFA">
      <w:pPr>
        <w:pStyle w:val="141"/>
        <w:snapToGrid w:val="0"/>
        <w:spacing w:line="400" w:lineRule="exact"/>
        <w:rPr>
          <w:rFonts w:hAnsi="宋体" w:cs="宋体"/>
          <w:color w:val="auto"/>
          <w:kern w:val="0"/>
          <w:sz w:val="22"/>
          <w:szCs w:val="22"/>
          <w:highlight w:val="none"/>
        </w:rPr>
      </w:pPr>
      <w:r>
        <w:rPr>
          <w:rFonts w:hAnsi="宋体" w:cs="宋体"/>
          <w:color w:val="auto"/>
          <w:kern w:val="0"/>
          <w:sz w:val="22"/>
          <w:szCs w:val="22"/>
          <w:highlight w:val="none"/>
        </w:rPr>
        <w:t xml:space="preserve">  G.存在共同直接或间接投资设立子公司、联营企业和合营企业情况</w:t>
      </w:r>
    </w:p>
    <w:p w14:paraId="51764994">
      <w:pPr>
        <w:pStyle w:val="141"/>
        <w:snapToGrid w:val="0"/>
        <w:spacing w:line="400" w:lineRule="exact"/>
        <w:rPr>
          <w:rFonts w:hAnsi="宋体" w:cs="宋体"/>
          <w:color w:val="auto"/>
          <w:sz w:val="22"/>
          <w:szCs w:val="22"/>
          <w:highlight w:val="none"/>
        </w:rPr>
      </w:pPr>
      <w:r>
        <w:rPr>
          <w:rFonts w:hAnsi="宋体" w:cs="宋体"/>
          <w:color w:val="auto"/>
          <w:kern w:val="0"/>
          <w:sz w:val="22"/>
          <w:szCs w:val="22"/>
          <w:highlight w:val="none"/>
        </w:rPr>
        <w:t xml:space="preserve">  H.存在分级代理或代销关系、同一生产制造商关系、</w:t>
      </w:r>
      <w:r>
        <w:rPr>
          <w:rFonts w:hAnsi="宋体" w:cs="宋体"/>
          <w:color w:val="auto"/>
          <w:sz w:val="22"/>
          <w:szCs w:val="22"/>
          <w:highlight w:val="none"/>
        </w:rPr>
        <w:t>管理关系、重要业务（占主营业务收入50%以上）或重要财务往来关系（如融资）等其他实质性控制关系</w:t>
      </w:r>
    </w:p>
    <w:p w14:paraId="45EDAE9F">
      <w:pPr>
        <w:pStyle w:val="141"/>
        <w:snapToGrid w:val="0"/>
        <w:spacing w:line="400" w:lineRule="exact"/>
        <w:rPr>
          <w:rFonts w:hAnsi="宋体" w:cs="宋体"/>
          <w:color w:val="auto"/>
          <w:spacing w:val="6"/>
          <w:sz w:val="22"/>
          <w:szCs w:val="22"/>
          <w:highlight w:val="none"/>
        </w:rPr>
      </w:pPr>
      <w:r>
        <w:rPr>
          <w:rFonts w:hAnsi="宋体" w:cs="宋体"/>
          <w:color w:val="auto"/>
          <w:sz w:val="22"/>
          <w:szCs w:val="22"/>
          <w:highlight w:val="none"/>
        </w:rPr>
        <w:t xml:space="preserve">    I</w:t>
      </w:r>
      <w:r>
        <w:rPr>
          <w:rFonts w:hAnsi="宋体" w:cs="宋体"/>
          <w:color w:val="auto"/>
          <w:kern w:val="0"/>
          <w:sz w:val="22"/>
          <w:szCs w:val="22"/>
          <w:highlight w:val="none"/>
        </w:rPr>
        <w:t>.</w:t>
      </w:r>
      <w:r>
        <w:rPr>
          <w:rFonts w:hAnsi="宋体" w:cs="宋体"/>
          <w:color w:val="auto"/>
          <w:sz w:val="22"/>
          <w:szCs w:val="22"/>
          <w:highlight w:val="none"/>
        </w:rPr>
        <w:t>其他利害关系情况</w:t>
      </w:r>
      <w:r>
        <w:rPr>
          <w:rFonts w:hAnsi="宋体" w:cs="宋体"/>
          <w:color w:val="auto"/>
          <w:sz w:val="22"/>
          <w:szCs w:val="22"/>
          <w:highlight w:val="none"/>
          <w:u w:val="single"/>
        </w:rPr>
        <w:t xml:space="preserve">                              </w:t>
      </w:r>
      <w:r>
        <w:rPr>
          <w:rFonts w:hAnsi="宋体" w:cs="宋体"/>
          <w:color w:val="auto"/>
          <w:kern w:val="0"/>
          <w:sz w:val="22"/>
          <w:szCs w:val="22"/>
          <w:highlight w:val="none"/>
        </w:rPr>
        <w:t>。</w:t>
      </w:r>
    </w:p>
    <w:p w14:paraId="444E3466">
      <w:pPr>
        <w:pStyle w:val="142"/>
        <w:widowControl/>
        <w:numPr>
          <w:ilvl w:val="0"/>
          <w:numId w:val="9"/>
        </w:numPr>
        <w:snapToGrid w:val="0"/>
        <w:spacing w:line="400" w:lineRule="exact"/>
        <w:ind w:firstLine="415" w:firstLineChars="189"/>
        <w:rPr>
          <w:rFonts w:ascii="宋体" w:hAnsi="宋体" w:cs="宋体"/>
          <w:color w:val="auto"/>
          <w:kern w:val="0"/>
          <w:sz w:val="22"/>
          <w:szCs w:val="22"/>
          <w:highlight w:val="none"/>
        </w:rPr>
      </w:pPr>
      <w:r>
        <w:rPr>
          <w:rFonts w:ascii="宋体" w:hAnsi="宋体" w:cs="宋体"/>
          <w:color w:val="auto"/>
          <w:sz w:val="22"/>
          <w:szCs w:val="22"/>
          <w:highlight w:val="none"/>
        </w:rPr>
        <w:t>现已清楚知道并</w:t>
      </w:r>
      <w:r>
        <w:rPr>
          <w:rFonts w:ascii="宋体" w:hAnsi="宋体" w:cs="宋体"/>
          <w:color w:val="auto"/>
          <w:kern w:val="0"/>
          <w:sz w:val="22"/>
          <w:szCs w:val="22"/>
          <w:highlight w:val="none"/>
        </w:rPr>
        <w:t>严格遵守政府采购法律法规和现场纪律。</w:t>
      </w:r>
    </w:p>
    <w:p w14:paraId="0D056283">
      <w:pPr>
        <w:pStyle w:val="142"/>
        <w:widowControl/>
        <w:numPr>
          <w:ilvl w:val="0"/>
          <w:numId w:val="9"/>
        </w:numPr>
        <w:snapToGrid w:val="0"/>
        <w:spacing w:line="400" w:lineRule="exact"/>
        <w:ind w:firstLine="415" w:firstLineChars="189"/>
        <w:rPr>
          <w:rFonts w:ascii="宋体" w:hAnsi="宋体" w:cs="宋体"/>
          <w:color w:val="auto"/>
          <w:sz w:val="22"/>
          <w:szCs w:val="22"/>
          <w:highlight w:val="none"/>
        </w:rPr>
      </w:pPr>
      <w:r>
        <w:rPr>
          <w:rFonts w:ascii="宋体" w:hAnsi="宋体" w:cs="宋体"/>
          <w:color w:val="auto"/>
          <w:kern w:val="0"/>
          <w:sz w:val="22"/>
          <w:szCs w:val="22"/>
          <w:highlight w:val="none"/>
        </w:rPr>
        <w:t>我发现</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供应商之间存在或可能存在上述第二条第</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项利害关系</w:t>
      </w:r>
      <w:r>
        <w:rPr>
          <w:rFonts w:ascii="宋体" w:hAnsi="宋体" w:cs="宋体"/>
          <w:color w:val="auto"/>
          <w:sz w:val="22"/>
          <w:szCs w:val="22"/>
          <w:highlight w:val="none"/>
        </w:rPr>
        <w:t xml:space="preserve">                         </w:t>
      </w:r>
    </w:p>
    <w:p w14:paraId="5BCF3BF5">
      <w:pPr>
        <w:pStyle w:val="141"/>
        <w:snapToGrid w:val="0"/>
        <w:spacing w:line="400" w:lineRule="exact"/>
        <w:ind w:firstLine="4620" w:firstLineChars="2100"/>
        <w:rPr>
          <w:rFonts w:hAnsi="宋体" w:cs="宋体"/>
          <w:color w:val="auto"/>
          <w:sz w:val="22"/>
          <w:szCs w:val="22"/>
          <w:highlight w:val="none"/>
        </w:rPr>
      </w:pPr>
    </w:p>
    <w:p w14:paraId="2D7B7BFB">
      <w:pPr>
        <w:pStyle w:val="141"/>
        <w:snapToGrid w:val="0"/>
        <w:spacing w:line="400" w:lineRule="exact"/>
        <w:ind w:firstLine="4620" w:firstLineChars="2100"/>
        <w:rPr>
          <w:rFonts w:hAnsi="宋体" w:cs="宋体"/>
          <w:color w:val="auto"/>
          <w:sz w:val="22"/>
          <w:szCs w:val="22"/>
          <w:highlight w:val="none"/>
        </w:rPr>
      </w:pPr>
      <w:r>
        <w:rPr>
          <w:rFonts w:hAnsi="宋体" w:cs="宋体"/>
          <w:color w:val="auto"/>
          <w:sz w:val="22"/>
          <w:szCs w:val="22"/>
          <w:highlight w:val="none"/>
        </w:rPr>
        <w:t>供应商代表签名：</w:t>
      </w:r>
    </w:p>
    <w:p w14:paraId="4015FB03">
      <w:pPr>
        <w:pStyle w:val="141"/>
        <w:snapToGrid w:val="0"/>
        <w:spacing w:line="400" w:lineRule="exact"/>
        <w:ind w:firstLine="4620" w:firstLineChars="2100"/>
        <w:rPr>
          <w:rFonts w:hAnsi="宋体" w:cs="宋体"/>
          <w:color w:val="auto"/>
          <w:sz w:val="22"/>
          <w:szCs w:val="22"/>
          <w:highlight w:val="none"/>
        </w:rPr>
      </w:pPr>
      <w:r>
        <w:rPr>
          <w:rFonts w:hAnsi="宋体" w:cs="宋体"/>
          <w:color w:val="auto"/>
          <w:sz w:val="22"/>
          <w:szCs w:val="22"/>
          <w:highlight w:val="none"/>
        </w:rPr>
        <w:t>2024年   月   日</w:t>
      </w:r>
    </w:p>
    <w:p w14:paraId="4C3CB1BE">
      <w:pPr>
        <w:pStyle w:val="15"/>
        <w:spacing w:line="400" w:lineRule="exact"/>
        <w:ind w:left="0" w:leftChars="0"/>
        <w:rPr>
          <w:rFonts w:hint="eastAsia" w:ascii="宋体" w:hAnsi="宋体" w:cs="宋体"/>
          <w:b/>
          <w:bCs/>
          <w:color w:val="auto"/>
          <w:sz w:val="22"/>
          <w:szCs w:val="22"/>
          <w:highlight w:val="none"/>
        </w:rPr>
      </w:pPr>
    </w:p>
    <w:p w14:paraId="0C50C86F">
      <w:pPr>
        <w:spacing w:line="400" w:lineRule="exact"/>
        <w:ind w:firstLine="442" w:firstLineChars="200"/>
        <w:rPr>
          <w:rFonts w:hint="eastAsia" w:ascii="宋体" w:hAnsi="宋体" w:cs="宋体"/>
          <w:color w:val="auto"/>
          <w:sz w:val="22"/>
          <w:szCs w:val="22"/>
          <w:highlight w:val="none"/>
        </w:rPr>
      </w:pPr>
      <w:r>
        <w:rPr>
          <w:rFonts w:hint="eastAsia" w:ascii="宋体" w:hAnsi="宋体" w:cs="宋体"/>
          <w:b/>
          <w:bCs/>
          <w:color w:val="auto"/>
          <w:sz w:val="22"/>
          <w:szCs w:val="22"/>
          <w:highlight w:val="none"/>
        </w:rPr>
        <w:t>注：响应文件解密结束后，各供应商签署《政府采购活动现场确认声明书》，并在规定时间内通过邮件形式发送至采购代理机构邮箱：</w:t>
      </w:r>
      <w:r>
        <w:rPr>
          <w:rFonts w:hint="eastAsia" w:ascii="宋体" w:hAnsi="宋体" w:cs="宋体"/>
          <w:b/>
          <w:bCs/>
          <w:color w:val="auto"/>
          <w:sz w:val="22"/>
          <w:szCs w:val="22"/>
          <w:highlight w:val="none"/>
        </w:rPr>
        <w:fldChar w:fldCharType="begin"/>
      </w:r>
      <w:r>
        <w:rPr>
          <w:rFonts w:hint="eastAsia" w:ascii="宋体" w:hAnsi="宋体" w:cs="宋体"/>
          <w:b/>
          <w:bCs/>
          <w:color w:val="auto"/>
          <w:sz w:val="22"/>
          <w:szCs w:val="22"/>
          <w:highlight w:val="none"/>
        </w:rPr>
        <w:instrText xml:space="preserve"> HYPERLINK "mailto:815743236@qq.com" </w:instrText>
      </w:r>
      <w:r>
        <w:rPr>
          <w:rFonts w:hint="eastAsia" w:ascii="宋体" w:hAnsi="宋体" w:cs="宋体"/>
          <w:b/>
          <w:bCs/>
          <w:color w:val="auto"/>
          <w:sz w:val="22"/>
          <w:szCs w:val="22"/>
          <w:highlight w:val="none"/>
        </w:rPr>
        <w:fldChar w:fldCharType="separate"/>
      </w:r>
      <w:r>
        <w:rPr>
          <w:rFonts w:hint="eastAsia" w:ascii="宋体" w:hAnsi="宋体" w:cs="宋体"/>
          <w:b/>
          <w:bCs/>
          <w:color w:val="auto"/>
          <w:sz w:val="22"/>
          <w:szCs w:val="22"/>
          <w:highlight w:val="none"/>
        </w:rPr>
        <w:t>slzb15355937525@qq.com</w:t>
      </w:r>
      <w:r>
        <w:rPr>
          <w:rFonts w:hint="eastAsia" w:ascii="宋体" w:hAnsi="宋体" w:cs="宋体"/>
          <w:b/>
          <w:bCs/>
          <w:color w:val="auto"/>
          <w:sz w:val="22"/>
          <w:szCs w:val="22"/>
          <w:highlight w:val="none"/>
        </w:rPr>
        <w:fldChar w:fldCharType="end"/>
      </w:r>
      <w:r>
        <w:rPr>
          <w:rFonts w:hint="eastAsia" w:ascii="宋体" w:hAnsi="宋体" w:cs="宋体"/>
          <w:b/>
          <w:bCs/>
          <w:color w:val="auto"/>
          <w:sz w:val="22"/>
          <w:szCs w:val="22"/>
          <w:highlight w:val="none"/>
        </w:rPr>
        <w:t>。</w:t>
      </w:r>
    </w:p>
    <w:p w14:paraId="59B80BC0">
      <w:pPr>
        <w:widowControl/>
        <w:snapToGrid w:val="0"/>
        <w:spacing w:before="120" w:after="120" w:line="500" w:lineRule="atLeast"/>
        <w:jc w:val="center"/>
        <w:rPr>
          <w:rFonts w:hint="eastAsia" w:ascii="宋体" w:hAnsi="宋体" w:cs="宋体"/>
          <w:b/>
          <w:color w:val="auto"/>
          <w:sz w:val="22"/>
          <w:szCs w:val="22"/>
          <w:highlight w:val="none"/>
        </w:rPr>
      </w:pPr>
    </w:p>
    <w:bookmarkEnd w:id="75"/>
    <w:bookmarkEnd w:id="76"/>
    <w:bookmarkEnd w:id="77"/>
    <w:bookmarkEnd w:id="139"/>
    <w:bookmarkEnd w:id="140"/>
    <w:bookmarkEnd w:id="141"/>
    <w:bookmarkEnd w:id="142"/>
    <w:bookmarkEnd w:id="143"/>
    <w:p w14:paraId="24991D4C">
      <w:pPr>
        <w:pStyle w:val="32"/>
        <w:ind w:left="0"/>
        <w:rPr>
          <w:rFonts w:hint="eastAsia" w:ascii="宋体" w:hAnsi="宋体" w:cs="宋体"/>
          <w:b/>
          <w:color w:val="auto"/>
          <w:sz w:val="44"/>
          <w:szCs w:val="44"/>
          <w:highlight w:val="none"/>
        </w:rPr>
      </w:pPr>
    </w:p>
    <w:sectPr>
      <w:headerReference r:id="rId11" w:type="default"/>
      <w:footerReference r:id="rId12" w:type="default"/>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Helvetica Neu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DaxPro-CondRegular">
    <w:altName w:val="宋体"/>
    <w:panose1 w:val="00000000000000000000"/>
    <w:charset w:val="86"/>
    <w:family w:val="swiss"/>
    <w:pitch w:val="default"/>
    <w:sig w:usb0="00000000" w:usb1="00000000" w:usb2="00000010" w:usb3="00000000" w:csb0="00040000" w:csb1="00000000"/>
  </w:font>
  <w:font w:name="Univers 57 Condensed">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7FA90">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D4F2B">
    <w:pPr>
      <w:pStyle w:val="24"/>
      <w:tabs>
        <w:tab w:val="center" w:pos="481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8A7AB9">
                          <w:pPr>
                            <w:rPr>
                              <w:rFonts w:hint="eastAsia"/>
                            </w:rPr>
                          </w:pPr>
                        </w:p>
                      </w:txbxContent>
                    </wps:txbx>
                    <wps:bodyPr wrap="none" lIns="0" tIns="0" rIns="0" bIns="0" upright="0">
                      <a:spAutoFit/>
                    </wps:bodyPr>
                  </wps:wsp>
                </a:graphicData>
              </a:graphic>
            </wp:anchor>
          </w:drawing>
        </mc:Choice>
        <mc:Fallback>
          <w:pict>
            <v:shape id="文本框 104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KUn28sBAACcAwAADgAAAGRycy9lMm9Eb2MueG1srVPNjtMwEL4j8Q6W&#10;79RphZY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3lDiuMWBX75/u/z4dfn5lSyr&#10;l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ClJ9vLAQAAnAMAAA4AAAAAAAAAAQAgAAAAHgEAAGRycy9lMm9E&#10;b2MueG1sUEsFBgAAAAAGAAYAWQEAAFsFAAAAAA==&#10;">
              <v:fill on="f" focussize="0,0"/>
              <v:stroke on="f"/>
              <v:imagedata o:title=""/>
              <o:lock v:ext="edit" aspectratio="f"/>
              <v:textbox inset="0mm,0mm,0mm,0mm" style="mso-fit-shape-to-text:t;">
                <w:txbxContent>
                  <w:p w14:paraId="2A8A7AB9">
                    <w:pPr>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6B160">
    <w:pPr>
      <w:pStyle w:val="24"/>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2A74A5">
                          <w:pPr>
                            <w:pStyle w:val="24"/>
                            <w:rPr>
                              <w:rFonts w:hint="eastAsia"/>
                            </w:rPr>
                          </w:pPr>
                        </w:p>
                      </w:txbxContent>
                    </wps:txbx>
                    <wps:bodyPr wrap="none" lIns="0" tIns="0" rIns="0" bIns="0" upright="0">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1Ddc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1x7JYbHPj5+7fzj1/nn1/J&#10;snhbJoV6DxUmPnlMjcOdG3BvZj+gMxEf2mDSFykRjKO+p4u+cohEpEflqiwL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i9Q3XLAQAAnAMAAA4AAAAAAAAAAQAgAAAAHgEAAGRycy9lMm9E&#10;b2MueG1sUEsFBgAAAAAGAAYAWQEAAFsFAAAAAA==&#10;">
              <v:fill on="f" focussize="0,0"/>
              <v:stroke on="f"/>
              <v:imagedata o:title=""/>
              <o:lock v:ext="edit" aspectratio="f"/>
              <v:textbox inset="0mm,0mm,0mm,0mm" style="mso-fit-shape-to-text:t;">
                <w:txbxContent>
                  <w:p w14:paraId="192A74A5">
                    <w:pPr>
                      <w:pStyle w:val="24"/>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32F7D">
    <w:pPr>
      <w:pStyle w:val="24"/>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A43E99">
                          <w:pPr>
                            <w:pStyle w:val="24"/>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HXgc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wElcdzixM8/f5x//Tn//k6W&#10;11mgPkCNeQ8BM9PwwQ+YPPsBnZn3oKLNX2REMI5Yp4u8ckhE5Eer5WpVYUhgbL4gPnt8HiKkj9Jb&#10;ko2GRpxfkZUf7yCNqXNKrub8rTamzNC4/xyImT0s9z72mK007IaJ0M63J+TT4+gb6nDTKTGfHCqL&#10;/aXZiLOxm41DiHrflTXK9SC8PyRsovSWK4ywU2GcWWE37Vdein/vJevxn9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QdeByQEAAJsDAAAOAAAAAAAAAAEAIAAAAB4BAABkcnMvZTJvRG9j&#10;LnhtbFBLBQYAAAAABgAGAFkBAABZBQAAAAA=&#10;">
              <v:fill on="f" focussize="0,0"/>
              <v:stroke on="f"/>
              <v:imagedata o:title=""/>
              <o:lock v:ext="edit" aspectratio="f"/>
              <v:textbox inset="0mm,0mm,0mm,0mm" style="mso-fit-shape-to-text:t;">
                <w:txbxContent>
                  <w:p w14:paraId="18A43E99">
                    <w:pPr>
                      <w:pStyle w:val="24"/>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03778F">
                          <w:pPr>
                            <w:pStyle w:val="24"/>
                            <w:rPr>
                              <w:rFonts w:hint="eastAsia"/>
                            </w:rPr>
                          </w:pPr>
                        </w:p>
                      </w:txbxContent>
                    </wps:txbx>
                    <wps:bodyPr wrap="none" lIns="0" tIns="0" rIns="0" bIns="0" upright="0">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P1i9jLAQAAnAMAAA4AAAAAAAAAAQAgAAAAHgEAAGRycy9lMm9E&#10;b2MueG1sUEsFBgAAAAAGAAYAWQEAAFsFAAAAAA==&#10;">
              <v:fill on="f" focussize="0,0"/>
              <v:stroke on="f"/>
              <v:imagedata o:title=""/>
              <o:lock v:ext="edit" aspectratio="f"/>
              <v:textbox inset="0mm,0mm,0mm,0mm" style="mso-fit-shape-to-text:t;">
                <w:txbxContent>
                  <w:p w14:paraId="7503778F">
                    <w:pPr>
                      <w:pStyle w:val="24"/>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513D7">
    <w:pPr>
      <w:pStyle w:val="2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7D38C">
                          <w:pPr>
                            <w:pStyle w:val="24"/>
                          </w:pPr>
                          <w:r>
                            <w:fldChar w:fldCharType="begin"/>
                          </w:r>
                          <w:r>
                            <w:instrText xml:space="preserve"> PAGE  \* MERGEFORMAT </w:instrText>
                          </w:r>
                          <w:r>
                            <w:fldChar w:fldCharType="separate"/>
                          </w:r>
                          <w:r>
                            <w:t>41</w:t>
                          </w:r>
                          <w:r>
                            <w:fldChar w:fldCharType="end"/>
                          </w:r>
                        </w:p>
                      </w:txbxContent>
                    </wps:txbx>
                    <wps:bodyPr wrap="none" lIns="0" tIns="0" rIns="0" bIns="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RvPtOyQEAAJsDAAAOAAAAAAAAAAEAIAAAAB4BAABkcnMvZTJvRG9j&#10;LnhtbFBLBQYAAAAABgAGAFkBAABZBQAAAAA=&#10;">
              <v:fill on="f" focussize="0,0"/>
              <v:stroke on="f"/>
              <v:imagedata o:title=""/>
              <o:lock v:ext="edit" aspectratio="f"/>
              <v:textbox inset="0mm,0mm,0mm,0mm" style="mso-fit-shape-to-text:t;">
                <w:txbxContent>
                  <w:p w14:paraId="79F7D38C">
                    <w:pPr>
                      <w:pStyle w:val="2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A1DDF">
    <w:pPr>
      <w:pStyle w:val="24"/>
      <w:ind w:right="360" w:firstLine="4500" w:firstLineChars="2500"/>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7D0B1D">
                          <w:pPr>
                            <w:pStyle w:val="24"/>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8qmjHIAQAAmwMAAA4AAAAAAAAAAQAgAAAAHgEAAGRycy9lMm9Eb2Mu&#10;eG1sUEsFBgAAAAAGAAYAWQEAAFgFAAAAAA==&#10;">
              <v:fill on="f" focussize="0,0"/>
              <v:stroke on="f"/>
              <v:imagedata o:title=""/>
              <o:lock v:ext="edit" aspectratio="f"/>
              <v:textbox inset="0mm,0mm,0mm,0mm" style="mso-fit-shape-to-text:t;">
                <w:txbxContent>
                  <w:p w14:paraId="197D0B1D">
                    <w:pPr>
                      <w:pStyle w:val="2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D8802">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2495C">
    <w:pPr>
      <w:pStyle w:val="25"/>
      <w:pBdr>
        <w:bottom w:val="none" w:color="auto" w:sz="0" w:space="1"/>
      </w:pBdr>
      <w:jc w:val="lef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C4444">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2C5E6">
    <w:pPr>
      <w:rPr>
        <w:rFonts w:hint="eastAsia"/>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3E3C3"/>
    <w:multiLevelType w:val="singleLevel"/>
    <w:tmpl w:val="BCB3E3C3"/>
    <w:lvl w:ilvl="0" w:tentative="0">
      <w:start w:val="1"/>
      <w:numFmt w:val="decimal"/>
      <w:suff w:val="nothing"/>
      <w:lvlText w:val="%1、"/>
      <w:lvlJc w:val="left"/>
    </w:lvl>
  </w:abstractNum>
  <w:abstractNum w:abstractNumId="1">
    <w:nsid w:val="4B1ED36E"/>
    <w:multiLevelType w:val="singleLevel"/>
    <w:tmpl w:val="4B1ED36E"/>
    <w:lvl w:ilvl="0" w:tentative="0">
      <w:start w:val="1"/>
      <w:numFmt w:val="decimal"/>
      <w:suff w:val="nothing"/>
      <w:lvlText w:val="%1、"/>
      <w:lvlJc w:val="left"/>
    </w:lvl>
  </w:abstractNum>
  <w:abstractNum w:abstractNumId="2">
    <w:nsid w:val="4C27E0D6"/>
    <w:multiLevelType w:val="singleLevel"/>
    <w:tmpl w:val="4C27E0D6"/>
    <w:lvl w:ilvl="0" w:tentative="0">
      <w:start w:val="1"/>
      <w:numFmt w:val="decimal"/>
      <w:suff w:val="nothing"/>
      <w:lvlText w:val="%1、"/>
      <w:lvlJc w:val="left"/>
    </w:lvl>
  </w:abstractNum>
  <w:abstractNum w:abstractNumId="3">
    <w:nsid w:val="52CB26FF"/>
    <w:multiLevelType w:val="singleLevel"/>
    <w:tmpl w:val="52CB26FF"/>
    <w:lvl w:ilvl="0" w:tentative="0">
      <w:start w:val="5"/>
      <w:numFmt w:val="chineseCounting"/>
      <w:suff w:val="space"/>
      <w:lvlText w:val="第%1部分"/>
      <w:lvlJc w:val="left"/>
      <w:rPr>
        <w:rFonts w:hint="eastAsia"/>
      </w:r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5B1BA199"/>
    <w:multiLevelType w:val="singleLevel"/>
    <w:tmpl w:val="5B1BA199"/>
    <w:lvl w:ilvl="0" w:tentative="0">
      <w:start w:val="1"/>
      <w:numFmt w:val="decimal"/>
      <w:suff w:val="nothing"/>
      <w:lvlText w:val="%1、"/>
      <w:lvlJc w:val="left"/>
    </w:lvl>
  </w:abstractNum>
  <w:abstractNum w:abstractNumId="7">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8">
    <w:nsid w:val="76DEF578"/>
    <w:multiLevelType w:val="singleLevel"/>
    <w:tmpl w:val="76DEF578"/>
    <w:lvl w:ilvl="0" w:tentative="0">
      <w:start w:val="1"/>
      <w:numFmt w:val="chineseCounting"/>
      <w:suff w:val="nothing"/>
      <w:lvlText w:val="%1、"/>
      <w:lvlJc w:val="left"/>
      <w:rPr>
        <w:rFonts w:hint="eastAsia"/>
      </w:rPr>
    </w:lvl>
  </w:abstractNum>
  <w:num w:numId="1">
    <w:abstractNumId w:val="8"/>
  </w:num>
  <w:num w:numId="2">
    <w:abstractNumId w:val="7"/>
  </w:num>
  <w:num w:numId="3">
    <w:abstractNumId w:val="3"/>
  </w:num>
  <w:num w:numId="4">
    <w:abstractNumId w:val="6"/>
  </w:num>
  <w:num w:numId="5">
    <w:abstractNumId w:val="0"/>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lMjdjMTM4ZjJmZDBlZWM0ZWVjOTgxNWY4OWFkMTUifQ=="/>
  </w:docVars>
  <w:rsids>
    <w:rsidRoot w:val="002216D9"/>
    <w:rsid w:val="00000BBE"/>
    <w:rsid w:val="00000BD8"/>
    <w:rsid w:val="0000187B"/>
    <w:rsid w:val="00001C4C"/>
    <w:rsid w:val="0000207D"/>
    <w:rsid w:val="000024BB"/>
    <w:rsid w:val="00002641"/>
    <w:rsid w:val="00002BE9"/>
    <w:rsid w:val="00002CBE"/>
    <w:rsid w:val="00002EC1"/>
    <w:rsid w:val="000038C5"/>
    <w:rsid w:val="00004258"/>
    <w:rsid w:val="00004E9B"/>
    <w:rsid w:val="00005269"/>
    <w:rsid w:val="00005611"/>
    <w:rsid w:val="00005855"/>
    <w:rsid w:val="00005CE8"/>
    <w:rsid w:val="00005EAB"/>
    <w:rsid w:val="000062CB"/>
    <w:rsid w:val="0000633E"/>
    <w:rsid w:val="00006DBC"/>
    <w:rsid w:val="00007710"/>
    <w:rsid w:val="00010031"/>
    <w:rsid w:val="00010A1A"/>
    <w:rsid w:val="0001169F"/>
    <w:rsid w:val="00011C91"/>
    <w:rsid w:val="00012CC1"/>
    <w:rsid w:val="00013AB2"/>
    <w:rsid w:val="00013B76"/>
    <w:rsid w:val="00013F22"/>
    <w:rsid w:val="0001430A"/>
    <w:rsid w:val="000144E5"/>
    <w:rsid w:val="000158B8"/>
    <w:rsid w:val="000164FE"/>
    <w:rsid w:val="00017084"/>
    <w:rsid w:val="000170D1"/>
    <w:rsid w:val="00017895"/>
    <w:rsid w:val="00020DA9"/>
    <w:rsid w:val="0002127E"/>
    <w:rsid w:val="00021F93"/>
    <w:rsid w:val="00021FBD"/>
    <w:rsid w:val="000228DA"/>
    <w:rsid w:val="00023169"/>
    <w:rsid w:val="00023DCA"/>
    <w:rsid w:val="00024A2E"/>
    <w:rsid w:val="000251A7"/>
    <w:rsid w:val="00025976"/>
    <w:rsid w:val="00026FDD"/>
    <w:rsid w:val="0002797E"/>
    <w:rsid w:val="00030499"/>
    <w:rsid w:val="0003069F"/>
    <w:rsid w:val="00030803"/>
    <w:rsid w:val="000309D6"/>
    <w:rsid w:val="00030C9F"/>
    <w:rsid w:val="00030F73"/>
    <w:rsid w:val="0003105D"/>
    <w:rsid w:val="00031E36"/>
    <w:rsid w:val="000328BA"/>
    <w:rsid w:val="00032B0D"/>
    <w:rsid w:val="00032D23"/>
    <w:rsid w:val="00034F40"/>
    <w:rsid w:val="00035BE8"/>
    <w:rsid w:val="00035D48"/>
    <w:rsid w:val="00035E9F"/>
    <w:rsid w:val="000361A9"/>
    <w:rsid w:val="00036269"/>
    <w:rsid w:val="00036C06"/>
    <w:rsid w:val="000371BF"/>
    <w:rsid w:val="00037787"/>
    <w:rsid w:val="00040A19"/>
    <w:rsid w:val="00041049"/>
    <w:rsid w:val="0004186A"/>
    <w:rsid w:val="000427F1"/>
    <w:rsid w:val="00042881"/>
    <w:rsid w:val="00042ADC"/>
    <w:rsid w:val="00043457"/>
    <w:rsid w:val="0004372F"/>
    <w:rsid w:val="000440A1"/>
    <w:rsid w:val="00044286"/>
    <w:rsid w:val="00044A48"/>
    <w:rsid w:val="0004556C"/>
    <w:rsid w:val="00045870"/>
    <w:rsid w:val="00045F48"/>
    <w:rsid w:val="00047D7F"/>
    <w:rsid w:val="00051C96"/>
    <w:rsid w:val="000526AE"/>
    <w:rsid w:val="00052922"/>
    <w:rsid w:val="00052AC8"/>
    <w:rsid w:val="00054744"/>
    <w:rsid w:val="00054C9B"/>
    <w:rsid w:val="00054CF7"/>
    <w:rsid w:val="00054F3A"/>
    <w:rsid w:val="00055285"/>
    <w:rsid w:val="00055A5B"/>
    <w:rsid w:val="00056409"/>
    <w:rsid w:val="00056A0A"/>
    <w:rsid w:val="00056B43"/>
    <w:rsid w:val="00057225"/>
    <w:rsid w:val="0005730A"/>
    <w:rsid w:val="00057FC7"/>
    <w:rsid w:val="000615C3"/>
    <w:rsid w:val="00064E53"/>
    <w:rsid w:val="00065248"/>
    <w:rsid w:val="0006580A"/>
    <w:rsid w:val="00065928"/>
    <w:rsid w:val="00066E86"/>
    <w:rsid w:val="000670C6"/>
    <w:rsid w:val="0006715B"/>
    <w:rsid w:val="000718FB"/>
    <w:rsid w:val="00071B6D"/>
    <w:rsid w:val="000721AA"/>
    <w:rsid w:val="00072B7E"/>
    <w:rsid w:val="00072FF1"/>
    <w:rsid w:val="000733EB"/>
    <w:rsid w:val="00073505"/>
    <w:rsid w:val="000736E1"/>
    <w:rsid w:val="00074599"/>
    <w:rsid w:val="00074997"/>
    <w:rsid w:val="00077071"/>
    <w:rsid w:val="00083CBB"/>
    <w:rsid w:val="000844D2"/>
    <w:rsid w:val="000845A6"/>
    <w:rsid w:val="00084A6C"/>
    <w:rsid w:val="00084D58"/>
    <w:rsid w:val="00086241"/>
    <w:rsid w:val="000878DD"/>
    <w:rsid w:val="00087AE7"/>
    <w:rsid w:val="00091BA2"/>
    <w:rsid w:val="00091ECB"/>
    <w:rsid w:val="00092803"/>
    <w:rsid w:val="00092D3E"/>
    <w:rsid w:val="00094E2E"/>
    <w:rsid w:val="00095286"/>
    <w:rsid w:val="00095887"/>
    <w:rsid w:val="000960A6"/>
    <w:rsid w:val="00096E74"/>
    <w:rsid w:val="00097149"/>
    <w:rsid w:val="00097307"/>
    <w:rsid w:val="000973D4"/>
    <w:rsid w:val="00097559"/>
    <w:rsid w:val="000A14F0"/>
    <w:rsid w:val="000A1920"/>
    <w:rsid w:val="000A230B"/>
    <w:rsid w:val="000A26ED"/>
    <w:rsid w:val="000A33B0"/>
    <w:rsid w:val="000A39F4"/>
    <w:rsid w:val="000A3A12"/>
    <w:rsid w:val="000A3B68"/>
    <w:rsid w:val="000A40CA"/>
    <w:rsid w:val="000A59CE"/>
    <w:rsid w:val="000A5F64"/>
    <w:rsid w:val="000A64D7"/>
    <w:rsid w:val="000A67BC"/>
    <w:rsid w:val="000A69BA"/>
    <w:rsid w:val="000A6CA5"/>
    <w:rsid w:val="000A75E1"/>
    <w:rsid w:val="000A7641"/>
    <w:rsid w:val="000A78E6"/>
    <w:rsid w:val="000B0C91"/>
    <w:rsid w:val="000B10E3"/>
    <w:rsid w:val="000B12E3"/>
    <w:rsid w:val="000B19A2"/>
    <w:rsid w:val="000B21F6"/>
    <w:rsid w:val="000B3866"/>
    <w:rsid w:val="000B3AC5"/>
    <w:rsid w:val="000B3ED2"/>
    <w:rsid w:val="000B42C2"/>
    <w:rsid w:val="000B4560"/>
    <w:rsid w:val="000B472F"/>
    <w:rsid w:val="000B4B96"/>
    <w:rsid w:val="000B4BA9"/>
    <w:rsid w:val="000B541C"/>
    <w:rsid w:val="000B5F74"/>
    <w:rsid w:val="000B675C"/>
    <w:rsid w:val="000B6D15"/>
    <w:rsid w:val="000B705D"/>
    <w:rsid w:val="000B722A"/>
    <w:rsid w:val="000B73E8"/>
    <w:rsid w:val="000B756B"/>
    <w:rsid w:val="000B7A5D"/>
    <w:rsid w:val="000C0B57"/>
    <w:rsid w:val="000C0D59"/>
    <w:rsid w:val="000C1D3A"/>
    <w:rsid w:val="000C2556"/>
    <w:rsid w:val="000C2836"/>
    <w:rsid w:val="000C2E31"/>
    <w:rsid w:val="000C36C6"/>
    <w:rsid w:val="000C3A0F"/>
    <w:rsid w:val="000C42F6"/>
    <w:rsid w:val="000C4D02"/>
    <w:rsid w:val="000C4FB4"/>
    <w:rsid w:val="000C5508"/>
    <w:rsid w:val="000C5841"/>
    <w:rsid w:val="000C5BC9"/>
    <w:rsid w:val="000C64B2"/>
    <w:rsid w:val="000C6D6D"/>
    <w:rsid w:val="000C734F"/>
    <w:rsid w:val="000C7549"/>
    <w:rsid w:val="000C7A50"/>
    <w:rsid w:val="000C7D97"/>
    <w:rsid w:val="000D03CF"/>
    <w:rsid w:val="000D0493"/>
    <w:rsid w:val="000D0732"/>
    <w:rsid w:val="000D20D0"/>
    <w:rsid w:val="000D2582"/>
    <w:rsid w:val="000D2647"/>
    <w:rsid w:val="000D322D"/>
    <w:rsid w:val="000D399C"/>
    <w:rsid w:val="000D53DB"/>
    <w:rsid w:val="000D5654"/>
    <w:rsid w:val="000D5675"/>
    <w:rsid w:val="000D58DA"/>
    <w:rsid w:val="000D5A09"/>
    <w:rsid w:val="000D5A14"/>
    <w:rsid w:val="000D5BA2"/>
    <w:rsid w:val="000D5D21"/>
    <w:rsid w:val="000D5FFC"/>
    <w:rsid w:val="000D6150"/>
    <w:rsid w:val="000D7D7C"/>
    <w:rsid w:val="000E074C"/>
    <w:rsid w:val="000E0CBD"/>
    <w:rsid w:val="000E116B"/>
    <w:rsid w:val="000E1448"/>
    <w:rsid w:val="000E16CA"/>
    <w:rsid w:val="000E1A9E"/>
    <w:rsid w:val="000E303A"/>
    <w:rsid w:val="000E37F7"/>
    <w:rsid w:val="000E4635"/>
    <w:rsid w:val="000E4645"/>
    <w:rsid w:val="000E4E4A"/>
    <w:rsid w:val="000E56E5"/>
    <w:rsid w:val="000E5E10"/>
    <w:rsid w:val="000E617D"/>
    <w:rsid w:val="000E6A5F"/>
    <w:rsid w:val="000E7A46"/>
    <w:rsid w:val="000E7C23"/>
    <w:rsid w:val="000E7D11"/>
    <w:rsid w:val="000F0091"/>
    <w:rsid w:val="000F1A07"/>
    <w:rsid w:val="000F25F2"/>
    <w:rsid w:val="000F35D8"/>
    <w:rsid w:val="000F36C0"/>
    <w:rsid w:val="000F39EF"/>
    <w:rsid w:val="000F3BCD"/>
    <w:rsid w:val="000F491D"/>
    <w:rsid w:val="000F5081"/>
    <w:rsid w:val="000F528D"/>
    <w:rsid w:val="000F53C1"/>
    <w:rsid w:val="000F583A"/>
    <w:rsid w:val="000F656D"/>
    <w:rsid w:val="000F6A0C"/>
    <w:rsid w:val="000F6CA4"/>
    <w:rsid w:val="000F6D0C"/>
    <w:rsid w:val="000F74A8"/>
    <w:rsid w:val="000F7787"/>
    <w:rsid w:val="001002EE"/>
    <w:rsid w:val="00100772"/>
    <w:rsid w:val="0010081E"/>
    <w:rsid w:val="001012A1"/>
    <w:rsid w:val="00101A5E"/>
    <w:rsid w:val="00101FF2"/>
    <w:rsid w:val="00102B6F"/>
    <w:rsid w:val="00102EC8"/>
    <w:rsid w:val="00103469"/>
    <w:rsid w:val="00103AFD"/>
    <w:rsid w:val="001043A9"/>
    <w:rsid w:val="00105888"/>
    <w:rsid w:val="00105E95"/>
    <w:rsid w:val="00106B01"/>
    <w:rsid w:val="00106FC2"/>
    <w:rsid w:val="0010784E"/>
    <w:rsid w:val="00110B2E"/>
    <w:rsid w:val="00110EB4"/>
    <w:rsid w:val="00110FDF"/>
    <w:rsid w:val="0011192E"/>
    <w:rsid w:val="00111B7D"/>
    <w:rsid w:val="00112028"/>
    <w:rsid w:val="0011279A"/>
    <w:rsid w:val="0011298D"/>
    <w:rsid w:val="00112D05"/>
    <w:rsid w:val="00113297"/>
    <w:rsid w:val="001136BF"/>
    <w:rsid w:val="001137FB"/>
    <w:rsid w:val="0011389C"/>
    <w:rsid w:val="001152AF"/>
    <w:rsid w:val="00115C35"/>
    <w:rsid w:val="001162DC"/>
    <w:rsid w:val="0011688B"/>
    <w:rsid w:val="00116C1C"/>
    <w:rsid w:val="00117D03"/>
    <w:rsid w:val="00120444"/>
    <w:rsid w:val="001209C9"/>
    <w:rsid w:val="001216EC"/>
    <w:rsid w:val="001221B9"/>
    <w:rsid w:val="0012234B"/>
    <w:rsid w:val="00122462"/>
    <w:rsid w:val="0012327B"/>
    <w:rsid w:val="00123396"/>
    <w:rsid w:val="00123520"/>
    <w:rsid w:val="0012378A"/>
    <w:rsid w:val="001246BF"/>
    <w:rsid w:val="00125B8B"/>
    <w:rsid w:val="0012726B"/>
    <w:rsid w:val="00127D9E"/>
    <w:rsid w:val="00130C83"/>
    <w:rsid w:val="00131016"/>
    <w:rsid w:val="00131202"/>
    <w:rsid w:val="00131975"/>
    <w:rsid w:val="00132004"/>
    <w:rsid w:val="0013289D"/>
    <w:rsid w:val="001328D2"/>
    <w:rsid w:val="001332AA"/>
    <w:rsid w:val="00133624"/>
    <w:rsid w:val="00133754"/>
    <w:rsid w:val="00133BB5"/>
    <w:rsid w:val="00133E37"/>
    <w:rsid w:val="0013418F"/>
    <w:rsid w:val="001358FB"/>
    <w:rsid w:val="00136B1F"/>
    <w:rsid w:val="001376EC"/>
    <w:rsid w:val="00137C25"/>
    <w:rsid w:val="001403C7"/>
    <w:rsid w:val="001404DA"/>
    <w:rsid w:val="00140DFF"/>
    <w:rsid w:val="0014195D"/>
    <w:rsid w:val="0014204A"/>
    <w:rsid w:val="0014302D"/>
    <w:rsid w:val="001438F3"/>
    <w:rsid w:val="00143AFC"/>
    <w:rsid w:val="00144BEF"/>
    <w:rsid w:val="00144CBB"/>
    <w:rsid w:val="00144E10"/>
    <w:rsid w:val="00145209"/>
    <w:rsid w:val="00145345"/>
    <w:rsid w:val="00145A44"/>
    <w:rsid w:val="00146205"/>
    <w:rsid w:val="0014621D"/>
    <w:rsid w:val="00150984"/>
    <w:rsid w:val="00150A0B"/>
    <w:rsid w:val="00152344"/>
    <w:rsid w:val="00153298"/>
    <w:rsid w:val="001536F4"/>
    <w:rsid w:val="001538E6"/>
    <w:rsid w:val="0015452B"/>
    <w:rsid w:val="00154CCD"/>
    <w:rsid w:val="00155D80"/>
    <w:rsid w:val="001560E6"/>
    <w:rsid w:val="00156464"/>
    <w:rsid w:val="00157416"/>
    <w:rsid w:val="00157529"/>
    <w:rsid w:val="00157705"/>
    <w:rsid w:val="00157FC1"/>
    <w:rsid w:val="00160840"/>
    <w:rsid w:val="00161C17"/>
    <w:rsid w:val="00161F7A"/>
    <w:rsid w:val="00161FB4"/>
    <w:rsid w:val="00162875"/>
    <w:rsid w:val="00163C0C"/>
    <w:rsid w:val="00163E6E"/>
    <w:rsid w:val="001656D9"/>
    <w:rsid w:val="001657E3"/>
    <w:rsid w:val="00165C6F"/>
    <w:rsid w:val="00166EFF"/>
    <w:rsid w:val="0016733E"/>
    <w:rsid w:val="00170621"/>
    <w:rsid w:val="00171213"/>
    <w:rsid w:val="0017137C"/>
    <w:rsid w:val="0017161C"/>
    <w:rsid w:val="00172194"/>
    <w:rsid w:val="0017241A"/>
    <w:rsid w:val="00172821"/>
    <w:rsid w:val="00172AF6"/>
    <w:rsid w:val="00172F94"/>
    <w:rsid w:val="00173152"/>
    <w:rsid w:val="00173F39"/>
    <w:rsid w:val="00174ADD"/>
    <w:rsid w:val="00174FF2"/>
    <w:rsid w:val="00175769"/>
    <w:rsid w:val="00175903"/>
    <w:rsid w:val="00176536"/>
    <w:rsid w:val="00176FD4"/>
    <w:rsid w:val="00177518"/>
    <w:rsid w:val="001777C4"/>
    <w:rsid w:val="001805FA"/>
    <w:rsid w:val="00180905"/>
    <w:rsid w:val="00181957"/>
    <w:rsid w:val="0018213E"/>
    <w:rsid w:val="00182985"/>
    <w:rsid w:val="00182FD3"/>
    <w:rsid w:val="001837BC"/>
    <w:rsid w:val="00183CD2"/>
    <w:rsid w:val="001850FD"/>
    <w:rsid w:val="001854B7"/>
    <w:rsid w:val="001860FC"/>
    <w:rsid w:val="0018684E"/>
    <w:rsid w:val="00186C3D"/>
    <w:rsid w:val="00190B61"/>
    <w:rsid w:val="00190C69"/>
    <w:rsid w:val="00190EEE"/>
    <w:rsid w:val="0019169C"/>
    <w:rsid w:val="00191DAE"/>
    <w:rsid w:val="00193B33"/>
    <w:rsid w:val="00193B7D"/>
    <w:rsid w:val="0019440C"/>
    <w:rsid w:val="00194782"/>
    <w:rsid w:val="00195295"/>
    <w:rsid w:val="001955FD"/>
    <w:rsid w:val="00195B93"/>
    <w:rsid w:val="00196216"/>
    <w:rsid w:val="00196443"/>
    <w:rsid w:val="00196EE9"/>
    <w:rsid w:val="00197851"/>
    <w:rsid w:val="001A014B"/>
    <w:rsid w:val="001A0D8E"/>
    <w:rsid w:val="001A2DCB"/>
    <w:rsid w:val="001A2F59"/>
    <w:rsid w:val="001A41FE"/>
    <w:rsid w:val="001A4580"/>
    <w:rsid w:val="001A52DA"/>
    <w:rsid w:val="001A5FAF"/>
    <w:rsid w:val="001A6953"/>
    <w:rsid w:val="001A6D3F"/>
    <w:rsid w:val="001A7104"/>
    <w:rsid w:val="001A7A98"/>
    <w:rsid w:val="001B0339"/>
    <w:rsid w:val="001B051F"/>
    <w:rsid w:val="001B08BE"/>
    <w:rsid w:val="001B1122"/>
    <w:rsid w:val="001B1B83"/>
    <w:rsid w:val="001B1F25"/>
    <w:rsid w:val="001B20C9"/>
    <w:rsid w:val="001B2760"/>
    <w:rsid w:val="001B27BE"/>
    <w:rsid w:val="001B35D7"/>
    <w:rsid w:val="001B3B9E"/>
    <w:rsid w:val="001B3C27"/>
    <w:rsid w:val="001B5050"/>
    <w:rsid w:val="001B5236"/>
    <w:rsid w:val="001B557D"/>
    <w:rsid w:val="001B6094"/>
    <w:rsid w:val="001B7F9F"/>
    <w:rsid w:val="001C0085"/>
    <w:rsid w:val="001C00EA"/>
    <w:rsid w:val="001C09FC"/>
    <w:rsid w:val="001C184F"/>
    <w:rsid w:val="001C1BAD"/>
    <w:rsid w:val="001C1F1E"/>
    <w:rsid w:val="001C25DF"/>
    <w:rsid w:val="001C2893"/>
    <w:rsid w:val="001C35B2"/>
    <w:rsid w:val="001C56D1"/>
    <w:rsid w:val="001C6734"/>
    <w:rsid w:val="001C7AE1"/>
    <w:rsid w:val="001D00CC"/>
    <w:rsid w:val="001D100C"/>
    <w:rsid w:val="001D11F2"/>
    <w:rsid w:val="001D27FE"/>
    <w:rsid w:val="001D3A08"/>
    <w:rsid w:val="001D3A10"/>
    <w:rsid w:val="001D4164"/>
    <w:rsid w:val="001D506E"/>
    <w:rsid w:val="001D6313"/>
    <w:rsid w:val="001D67AD"/>
    <w:rsid w:val="001D7077"/>
    <w:rsid w:val="001D7094"/>
    <w:rsid w:val="001E0055"/>
    <w:rsid w:val="001E0B38"/>
    <w:rsid w:val="001E0CB0"/>
    <w:rsid w:val="001E0DE9"/>
    <w:rsid w:val="001E1645"/>
    <w:rsid w:val="001E2A0D"/>
    <w:rsid w:val="001E2B17"/>
    <w:rsid w:val="001E3FAA"/>
    <w:rsid w:val="001E40B2"/>
    <w:rsid w:val="001E52F2"/>
    <w:rsid w:val="001E53FB"/>
    <w:rsid w:val="001E568B"/>
    <w:rsid w:val="001E5984"/>
    <w:rsid w:val="001E5EE0"/>
    <w:rsid w:val="001E6268"/>
    <w:rsid w:val="001E6A9D"/>
    <w:rsid w:val="001E73D5"/>
    <w:rsid w:val="001E7759"/>
    <w:rsid w:val="001E7956"/>
    <w:rsid w:val="001E795D"/>
    <w:rsid w:val="001E7BDF"/>
    <w:rsid w:val="001F070F"/>
    <w:rsid w:val="001F08CE"/>
    <w:rsid w:val="001F221E"/>
    <w:rsid w:val="001F2607"/>
    <w:rsid w:val="001F26D8"/>
    <w:rsid w:val="001F2CE5"/>
    <w:rsid w:val="001F41F8"/>
    <w:rsid w:val="001F47DD"/>
    <w:rsid w:val="001F49A3"/>
    <w:rsid w:val="001F4AF0"/>
    <w:rsid w:val="001F5055"/>
    <w:rsid w:val="001F59DB"/>
    <w:rsid w:val="001F5B09"/>
    <w:rsid w:val="001F639B"/>
    <w:rsid w:val="001F6641"/>
    <w:rsid w:val="001F67DA"/>
    <w:rsid w:val="001F683B"/>
    <w:rsid w:val="001F697C"/>
    <w:rsid w:val="001F6B94"/>
    <w:rsid w:val="001F705F"/>
    <w:rsid w:val="001F764C"/>
    <w:rsid w:val="001F7C17"/>
    <w:rsid w:val="00201685"/>
    <w:rsid w:val="00201A56"/>
    <w:rsid w:val="00201AA1"/>
    <w:rsid w:val="00202402"/>
    <w:rsid w:val="00202C65"/>
    <w:rsid w:val="00204296"/>
    <w:rsid w:val="002053DE"/>
    <w:rsid w:val="002056A9"/>
    <w:rsid w:val="0020588E"/>
    <w:rsid w:val="002058A2"/>
    <w:rsid w:val="00205BBB"/>
    <w:rsid w:val="00206A86"/>
    <w:rsid w:val="00207785"/>
    <w:rsid w:val="00207872"/>
    <w:rsid w:val="00210768"/>
    <w:rsid w:val="00210B44"/>
    <w:rsid w:val="00210C64"/>
    <w:rsid w:val="0021144F"/>
    <w:rsid w:val="00211BF5"/>
    <w:rsid w:val="00213031"/>
    <w:rsid w:val="0021322B"/>
    <w:rsid w:val="00213C67"/>
    <w:rsid w:val="0021446B"/>
    <w:rsid w:val="002145D2"/>
    <w:rsid w:val="00214B1F"/>
    <w:rsid w:val="0021583A"/>
    <w:rsid w:val="00216156"/>
    <w:rsid w:val="00216242"/>
    <w:rsid w:val="00217654"/>
    <w:rsid w:val="0021767E"/>
    <w:rsid w:val="002179AF"/>
    <w:rsid w:val="0022020D"/>
    <w:rsid w:val="00221313"/>
    <w:rsid w:val="002216D9"/>
    <w:rsid w:val="00221D31"/>
    <w:rsid w:val="00222DC2"/>
    <w:rsid w:val="00223537"/>
    <w:rsid w:val="00223AC6"/>
    <w:rsid w:val="00224B66"/>
    <w:rsid w:val="00224F87"/>
    <w:rsid w:val="00225FDC"/>
    <w:rsid w:val="00226384"/>
    <w:rsid w:val="00226E4B"/>
    <w:rsid w:val="00227264"/>
    <w:rsid w:val="002279A0"/>
    <w:rsid w:val="002300A9"/>
    <w:rsid w:val="0023056B"/>
    <w:rsid w:val="00232438"/>
    <w:rsid w:val="00232AA4"/>
    <w:rsid w:val="002338D5"/>
    <w:rsid w:val="0023444C"/>
    <w:rsid w:val="002347BB"/>
    <w:rsid w:val="00235612"/>
    <w:rsid w:val="00235DA4"/>
    <w:rsid w:val="00236BC5"/>
    <w:rsid w:val="0024057A"/>
    <w:rsid w:val="002411B4"/>
    <w:rsid w:val="00241FAD"/>
    <w:rsid w:val="00241FD3"/>
    <w:rsid w:val="002438A0"/>
    <w:rsid w:val="00243E49"/>
    <w:rsid w:val="002445C4"/>
    <w:rsid w:val="002447D0"/>
    <w:rsid w:val="00245E87"/>
    <w:rsid w:val="00246460"/>
    <w:rsid w:val="002469FB"/>
    <w:rsid w:val="00247330"/>
    <w:rsid w:val="00247429"/>
    <w:rsid w:val="0025014C"/>
    <w:rsid w:val="002516D2"/>
    <w:rsid w:val="002534B8"/>
    <w:rsid w:val="00253AD9"/>
    <w:rsid w:val="00253BDE"/>
    <w:rsid w:val="00254802"/>
    <w:rsid w:val="00254F44"/>
    <w:rsid w:val="002557C0"/>
    <w:rsid w:val="002558B9"/>
    <w:rsid w:val="00256105"/>
    <w:rsid w:val="0025680A"/>
    <w:rsid w:val="00256840"/>
    <w:rsid w:val="002574FB"/>
    <w:rsid w:val="00257799"/>
    <w:rsid w:val="002602E3"/>
    <w:rsid w:val="00260EDA"/>
    <w:rsid w:val="002625D4"/>
    <w:rsid w:val="00264CC7"/>
    <w:rsid w:val="0026543A"/>
    <w:rsid w:val="00265BD3"/>
    <w:rsid w:val="00265C25"/>
    <w:rsid w:val="00265C67"/>
    <w:rsid w:val="00266187"/>
    <w:rsid w:val="00266785"/>
    <w:rsid w:val="00266884"/>
    <w:rsid w:val="00266B53"/>
    <w:rsid w:val="00267674"/>
    <w:rsid w:val="00267886"/>
    <w:rsid w:val="002678EA"/>
    <w:rsid w:val="002705E5"/>
    <w:rsid w:val="00270BE1"/>
    <w:rsid w:val="0027104D"/>
    <w:rsid w:val="00271564"/>
    <w:rsid w:val="00272E44"/>
    <w:rsid w:val="002740CE"/>
    <w:rsid w:val="00275C41"/>
    <w:rsid w:val="0027624A"/>
    <w:rsid w:val="00276DB0"/>
    <w:rsid w:val="00276DC6"/>
    <w:rsid w:val="002774AC"/>
    <w:rsid w:val="002775AA"/>
    <w:rsid w:val="002776E3"/>
    <w:rsid w:val="002805E7"/>
    <w:rsid w:val="0028069B"/>
    <w:rsid w:val="0028079C"/>
    <w:rsid w:val="00280C62"/>
    <w:rsid w:val="00281A40"/>
    <w:rsid w:val="002824BC"/>
    <w:rsid w:val="00282ADF"/>
    <w:rsid w:val="00284042"/>
    <w:rsid w:val="00284073"/>
    <w:rsid w:val="00284B8B"/>
    <w:rsid w:val="00284EF4"/>
    <w:rsid w:val="00285712"/>
    <w:rsid w:val="0028642B"/>
    <w:rsid w:val="00286DC7"/>
    <w:rsid w:val="00286FED"/>
    <w:rsid w:val="00287ADA"/>
    <w:rsid w:val="0029107D"/>
    <w:rsid w:val="00291690"/>
    <w:rsid w:val="002927F7"/>
    <w:rsid w:val="00292966"/>
    <w:rsid w:val="00292969"/>
    <w:rsid w:val="00292B74"/>
    <w:rsid w:val="0029307F"/>
    <w:rsid w:val="002932E2"/>
    <w:rsid w:val="0029330B"/>
    <w:rsid w:val="00293A01"/>
    <w:rsid w:val="00293C44"/>
    <w:rsid w:val="00293FED"/>
    <w:rsid w:val="00295393"/>
    <w:rsid w:val="00295DEC"/>
    <w:rsid w:val="00296902"/>
    <w:rsid w:val="00296A3C"/>
    <w:rsid w:val="0029760E"/>
    <w:rsid w:val="00297D0B"/>
    <w:rsid w:val="002A0CF4"/>
    <w:rsid w:val="002A0F7B"/>
    <w:rsid w:val="002A1496"/>
    <w:rsid w:val="002A1B5D"/>
    <w:rsid w:val="002A1CCA"/>
    <w:rsid w:val="002A25D3"/>
    <w:rsid w:val="002A287D"/>
    <w:rsid w:val="002A2EBE"/>
    <w:rsid w:val="002A33A4"/>
    <w:rsid w:val="002A33D0"/>
    <w:rsid w:val="002A3687"/>
    <w:rsid w:val="002A378E"/>
    <w:rsid w:val="002A43FB"/>
    <w:rsid w:val="002A45DE"/>
    <w:rsid w:val="002A49B5"/>
    <w:rsid w:val="002A4DE3"/>
    <w:rsid w:val="002A5045"/>
    <w:rsid w:val="002A5511"/>
    <w:rsid w:val="002A58A0"/>
    <w:rsid w:val="002A58E9"/>
    <w:rsid w:val="002A6070"/>
    <w:rsid w:val="002A61E4"/>
    <w:rsid w:val="002A6C80"/>
    <w:rsid w:val="002A7D0A"/>
    <w:rsid w:val="002B0452"/>
    <w:rsid w:val="002B1C4C"/>
    <w:rsid w:val="002B1F18"/>
    <w:rsid w:val="002B2845"/>
    <w:rsid w:val="002B287E"/>
    <w:rsid w:val="002B2A48"/>
    <w:rsid w:val="002B2ABB"/>
    <w:rsid w:val="002B2D1B"/>
    <w:rsid w:val="002B3601"/>
    <w:rsid w:val="002B38DB"/>
    <w:rsid w:val="002B3B8B"/>
    <w:rsid w:val="002B437A"/>
    <w:rsid w:val="002B5996"/>
    <w:rsid w:val="002B62DB"/>
    <w:rsid w:val="002B6327"/>
    <w:rsid w:val="002B65EF"/>
    <w:rsid w:val="002B6B2C"/>
    <w:rsid w:val="002B6F29"/>
    <w:rsid w:val="002B6F72"/>
    <w:rsid w:val="002B719B"/>
    <w:rsid w:val="002B71E1"/>
    <w:rsid w:val="002B7685"/>
    <w:rsid w:val="002B7AE9"/>
    <w:rsid w:val="002C02EC"/>
    <w:rsid w:val="002C0439"/>
    <w:rsid w:val="002C05BB"/>
    <w:rsid w:val="002C20D2"/>
    <w:rsid w:val="002C2184"/>
    <w:rsid w:val="002C2D53"/>
    <w:rsid w:val="002C366D"/>
    <w:rsid w:val="002C384C"/>
    <w:rsid w:val="002C4024"/>
    <w:rsid w:val="002C5571"/>
    <w:rsid w:val="002C6CC6"/>
    <w:rsid w:val="002C7454"/>
    <w:rsid w:val="002C751D"/>
    <w:rsid w:val="002C77D8"/>
    <w:rsid w:val="002C77FE"/>
    <w:rsid w:val="002C7A0B"/>
    <w:rsid w:val="002D097C"/>
    <w:rsid w:val="002D0C52"/>
    <w:rsid w:val="002D0DBB"/>
    <w:rsid w:val="002D0DC0"/>
    <w:rsid w:val="002D1235"/>
    <w:rsid w:val="002D1F09"/>
    <w:rsid w:val="002D213F"/>
    <w:rsid w:val="002D2D15"/>
    <w:rsid w:val="002D3400"/>
    <w:rsid w:val="002D4613"/>
    <w:rsid w:val="002D508F"/>
    <w:rsid w:val="002D57C4"/>
    <w:rsid w:val="002D58C1"/>
    <w:rsid w:val="002D598B"/>
    <w:rsid w:val="002D720C"/>
    <w:rsid w:val="002E022C"/>
    <w:rsid w:val="002E0A39"/>
    <w:rsid w:val="002E28A2"/>
    <w:rsid w:val="002E3192"/>
    <w:rsid w:val="002E32D5"/>
    <w:rsid w:val="002E3322"/>
    <w:rsid w:val="002E3759"/>
    <w:rsid w:val="002E409B"/>
    <w:rsid w:val="002E4AB7"/>
    <w:rsid w:val="002E6D8A"/>
    <w:rsid w:val="002E6EE9"/>
    <w:rsid w:val="002E7283"/>
    <w:rsid w:val="002E7621"/>
    <w:rsid w:val="002E7EE3"/>
    <w:rsid w:val="002F0234"/>
    <w:rsid w:val="002F0267"/>
    <w:rsid w:val="002F0444"/>
    <w:rsid w:val="002F0710"/>
    <w:rsid w:val="002F0F09"/>
    <w:rsid w:val="002F1204"/>
    <w:rsid w:val="002F1C0A"/>
    <w:rsid w:val="002F2351"/>
    <w:rsid w:val="002F25BB"/>
    <w:rsid w:val="002F2B04"/>
    <w:rsid w:val="002F2D40"/>
    <w:rsid w:val="002F2FBC"/>
    <w:rsid w:val="002F3A0A"/>
    <w:rsid w:val="002F3A31"/>
    <w:rsid w:val="002F3C4C"/>
    <w:rsid w:val="002F4C2B"/>
    <w:rsid w:val="002F6DDC"/>
    <w:rsid w:val="002F6DEA"/>
    <w:rsid w:val="002F703D"/>
    <w:rsid w:val="002F705F"/>
    <w:rsid w:val="002F7CC1"/>
    <w:rsid w:val="0030046E"/>
    <w:rsid w:val="00300589"/>
    <w:rsid w:val="00300639"/>
    <w:rsid w:val="00301393"/>
    <w:rsid w:val="0030397B"/>
    <w:rsid w:val="00303BC5"/>
    <w:rsid w:val="00304BAE"/>
    <w:rsid w:val="003051D4"/>
    <w:rsid w:val="00305217"/>
    <w:rsid w:val="00305780"/>
    <w:rsid w:val="00305DAC"/>
    <w:rsid w:val="003060FA"/>
    <w:rsid w:val="003064E4"/>
    <w:rsid w:val="00306ABE"/>
    <w:rsid w:val="00307B66"/>
    <w:rsid w:val="00307BFB"/>
    <w:rsid w:val="00310B10"/>
    <w:rsid w:val="0031106E"/>
    <w:rsid w:val="0031131A"/>
    <w:rsid w:val="0031196D"/>
    <w:rsid w:val="00311C88"/>
    <w:rsid w:val="00311D94"/>
    <w:rsid w:val="00312676"/>
    <w:rsid w:val="00312A93"/>
    <w:rsid w:val="00313711"/>
    <w:rsid w:val="00314799"/>
    <w:rsid w:val="00314B8C"/>
    <w:rsid w:val="00314CDE"/>
    <w:rsid w:val="00315135"/>
    <w:rsid w:val="003157D7"/>
    <w:rsid w:val="00315F37"/>
    <w:rsid w:val="00317A3A"/>
    <w:rsid w:val="003204AD"/>
    <w:rsid w:val="003207A3"/>
    <w:rsid w:val="00320F61"/>
    <w:rsid w:val="003213BF"/>
    <w:rsid w:val="00321420"/>
    <w:rsid w:val="00321AF7"/>
    <w:rsid w:val="0032256B"/>
    <w:rsid w:val="00323425"/>
    <w:rsid w:val="003236A8"/>
    <w:rsid w:val="00324185"/>
    <w:rsid w:val="00324740"/>
    <w:rsid w:val="00325438"/>
    <w:rsid w:val="00325BF1"/>
    <w:rsid w:val="0032756F"/>
    <w:rsid w:val="00327AC0"/>
    <w:rsid w:val="00327F10"/>
    <w:rsid w:val="00327F1D"/>
    <w:rsid w:val="00327F9C"/>
    <w:rsid w:val="00330337"/>
    <w:rsid w:val="003304FC"/>
    <w:rsid w:val="00331BDA"/>
    <w:rsid w:val="00332155"/>
    <w:rsid w:val="003327D2"/>
    <w:rsid w:val="00333644"/>
    <w:rsid w:val="0033410B"/>
    <w:rsid w:val="003346A0"/>
    <w:rsid w:val="00334B0C"/>
    <w:rsid w:val="00334E7A"/>
    <w:rsid w:val="00334F43"/>
    <w:rsid w:val="0033549D"/>
    <w:rsid w:val="0033550A"/>
    <w:rsid w:val="00336584"/>
    <w:rsid w:val="00336F38"/>
    <w:rsid w:val="00336F3D"/>
    <w:rsid w:val="00336FA4"/>
    <w:rsid w:val="00341EBC"/>
    <w:rsid w:val="0034201E"/>
    <w:rsid w:val="0034232D"/>
    <w:rsid w:val="0034255E"/>
    <w:rsid w:val="00343356"/>
    <w:rsid w:val="0034336F"/>
    <w:rsid w:val="00344717"/>
    <w:rsid w:val="00344809"/>
    <w:rsid w:val="00344B8C"/>
    <w:rsid w:val="00344ED7"/>
    <w:rsid w:val="00345B67"/>
    <w:rsid w:val="00345D6A"/>
    <w:rsid w:val="00346C42"/>
    <w:rsid w:val="00347297"/>
    <w:rsid w:val="003472EB"/>
    <w:rsid w:val="003475A2"/>
    <w:rsid w:val="003517B2"/>
    <w:rsid w:val="00351A0E"/>
    <w:rsid w:val="00351AE3"/>
    <w:rsid w:val="00351CDD"/>
    <w:rsid w:val="00351E59"/>
    <w:rsid w:val="0035251B"/>
    <w:rsid w:val="003526D5"/>
    <w:rsid w:val="00352AC6"/>
    <w:rsid w:val="00354399"/>
    <w:rsid w:val="003569BE"/>
    <w:rsid w:val="00356DF0"/>
    <w:rsid w:val="00356E6B"/>
    <w:rsid w:val="00357472"/>
    <w:rsid w:val="0035774D"/>
    <w:rsid w:val="00357FFE"/>
    <w:rsid w:val="0036027E"/>
    <w:rsid w:val="00360A98"/>
    <w:rsid w:val="00360DE5"/>
    <w:rsid w:val="00362017"/>
    <w:rsid w:val="003621EA"/>
    <w:rsid w:val="00362AEE"/>
    <w:rsid w:val="0036359C"/>
    <w:rsid w:val="0036380F"/>
    <w:rsid w:val="00363D63"/>
    <w:rsid w:val="00363F4D"/>
    <w:rsid w:val="00363FA4"/>
    <w:rsid w:val="00364791"/>
    <w:rsid w:val="00364E30"/>
    <w:rsid w:val="00365030"/>
    <w:rsid w:val="0036561E"/>
    <w:rsid w:val="00365AC1"/>
    <w:rsid w:val="00365C87"/>
    <w:rsid w:val="00365F56"/>
    <w:rsid w:val="0036655D"/>
    <w:rsid w:val="00366933"/>
    <w:rsid w:val="00366C51"/>
    <w:rsid w:val="00366D5D"/>
    <w:rsid w:val="00366D7E"/>
    <w:rsid w:val="00366E92"/>
    <w:rsid w:val="00366F60"/>
    <w:rsid w:val="00367B00"/>
    <w:rsid w:val="0037006A"/>
    <w:rsid w:val="00370C67"/>
    <w:rsid w:val="00370D17"/>
    <w:rsid w:val="00370E8D"/>
    <w:rsid w:val="003720B5"/>
    <w:rsid w:val="00372E35"/>
    <w:rsid w:val="00374F99"/>
    <w:rsid w:val="0037529A"/>
    <w:rsid w:val="00375A52"/>
    <w:rsid w:val="00376163"/>
    <w:rsid w:val="003761D9"/>
    <w:rsid w:val="003763E7"/>
    <w:rsid w:val="00377685"/>
    <w:rsid w:val="00380E87"/>
    <w:rsid w:val="00381218"/>
    <w:rsid w:val="00381881"/>
    <w:rsid w:val="00382489"/>
    <w:rsid w:val="00382B7D"/>
    <w:rsid w:val="00382E3F"/>
    <w:rsid w:val="00382F81"/>
    <w:rsid w:val="0038340D"/>
    <w:rsid w:val="003834F4"/>
    <w:rsid w:val="003848BA"/>
    <w:rsid w:val="00384A8A"/>
    <w:rsid w:val="00385AFF"/>
    <w:rsid w:val="00386298"/>
    <w:rsid w:val="00386AA1"/>
    <w:rsid w:val="00387A54"/>
    <w:rsid w:val="00391124"/>
    <w:rsid w:val="0039273A"/>
    <w:rsid w:val="0039275E"/>
    <w:rsid w:val="00392C87"/>
    <w:rsid w:val="00394AEE"/>
    <w:rsid w:val="00396A12"/>
    <w:rsid w:val="00397281"/>
    <w:rsid w:val="003979B4"/>
    <w:rsid w:val="003A02A7"/>
    <w:rsid w:val="003A0CCC"/>
    <w:rsid w:val="003A1723"/>
    <w:rsid w:val="003A1B87"/>
    <w:rsid w:val="003A1FB3"/>
    <w:rsid w:val="003A21B3"/>
    <w:rsid w:val="003A2F5F"/>
    <w:rsid w:val="003A3250"/>
    <w:rsid w:val="003A3785"/>
    <w:rsid w:val="003A3E5A"/>
    <w:rsid w:val="003A4062"/>
    <w:rsid w:val="003A442E"/>
    <w:rsid w:val="003A4DEC"/>
    <w:rsid w:val="003A4EB6"/>
    <w:rsid w:val="003A5193"/>
    <w:rsid w:val="003A669C"/>
    <w:rsid w:val="003A797C"/>
    <w:rsid w:val="003A7A2E"/>
    <w:rsid w:val="003A7FA6"/>
    <w:rsid w:val="003B00D7"/>
    <w:rsid w:val="003B0977"/>
    <w:rsid w:val="003B0F38"/>
    <w:rsid w:val="003B1705"/>
    <w:rsid w:val="003B2218"/>
    <w:rsid w:val="003B2985"/>
    <w:rsid w:val="003B303B"/>
    <w:rsid w:val="003B30A5"/>
    <w:rsid w:val="003B3FDF"/>
    <w:rsid w:val="003B4DD5"/>
    <w:rsid w:val="003B501A"/>
    <w:rsid w:val="003B510D"/>
    <w:rsid w:val="003B56F9"/>
    <w:rsid w:val="003B651F"/>
    <w:rsid w:val="003B6A09"/>
    <w:rsid w:val="003B6F73"/>
    <w:rsid w:val="003B7B41"/>
    <w:rsid w:val="003B7F7A"/>
    <w:rsid w:val="003B7FD5"/>
    <w:rsid w:val="003C0798"/>
    <w:rsid w:val="003C0DD6"/>
    <w:rsid w:val="003C0F63"/>
    <w:rsid w:val="003C0FB7"/>
    <w:rsid w:val="003C1B66"/>
    <w:rsid w:val="003C1B92"/>
    <w:rsid w:val="003C1F9F"/>
    <w:rsid w:val="003C30F5"/>
    <w:rsid w:val="003C3870"/>
    <w:rsid w:val="003C3931"/>
    <w:rsid w:val="003C3CEF"/>
    <w:rsid w:val="003C61A4"/>
    <w:rsid w:val="003C624E"/>
    <w:rsid w:val="003C6443"/>
    <w:rsid w:val="003C6585"/>
    <w:rsid w:val="003C784B"/>
    <w:rsid w:val="003C7B01"/>
    <w:rsid w:val="003D0802"/>
    <w:rsid w:val="003D0806"/>
    <w:rsid w:val="003D13BC"/>
    <w:rsid w:val="003D22D6"/>
    <w:rsid w:val="003D2D89"/>
    <w:rsid w:val="003D3C57"/>
    <w:rsid w:val="003D3F40"/>
    <w:rsid w:val="003D539F"/>
    <w:rsid w:val="003D5FA4"/>
    <w:rsid w:val="003D61DD"/>
    <w:rsid w:val="003D6B43"/>
    <w:rsid w:val="003D77B9"/>
    <w:rsid w:val="003D7E23"/>
    <w:rsid w:val="003D7E3E"/>
    <w:rsid w:val="003E01F4"/>
    <w:rsid w:val="003E086B"/>
    <w:rsid w:val="003E08FF"/>
    <w:rsid w:val="003E0DF4"/>
    <w:rsid w:val="003E12F1"/>
    <w:rsid w:val="003E2E29"/>
    <w:rsid w:val="003E36E3"/>
    <w:rsid w:val="003E3A36"/>
    <w:rsid w:val="003E3A8F"/>
    <w:rsid w:val="003E4086"/>
    <w:rsid w:val="003E41ED"/>
    <w:rsid w:val="003E4728"/>
    <w:rsid w:val="003E4E81"/>
    <w:rsid w:val="003E5DBC"/>
    <w:rsid w:val="003E60F7"/>
    <w:rsid w:val="003E6264"/>
    <w:rsid w:val="003E79D1"/>
    <w:rsid w:val="003E7FBB"/>
    <w:rsid w:val="003F06AE"/>
    <w:rsid w:val="003F1619"/>
    <w:rsid w:val="003F1E73"/>
    <w:rsid w:val="003F1F7C"/>
    <w:rsid w:val="003F2E16"/>
    <w:rsid w:val="003F30AE"/>
    <w:rsid w:val="003F39CA"/>
    <w:rsid w:val="003F428D"/>
    <w:rsid w:val="003F4D21"/>
    <w:rsid w:val="003F533E"/>
    <w:rsid w:val="003F53E9"/>
    <w:rsid w:val="003F5951"/>
    <w:rsid w:val="003F5FD3"/>
    <w:rsid w:val="003F63E5"/>
    <w:rsid w:val="003F7538"/>
    <w:rsid w:val="003F783D"/>
    <w:rsid w:val="003F7DD7"/>
    <w:rsid w:val="00400AF4"/>
    <w:rsid w:val="00400F1B"/>
    <w:rsid w:val="004017C4"/>
    <w:rsid w:val="0040207F"/>
    <w:rsid w:val="00402194"/>
    <w:rsid w:val="004039C7"/>
    <w:rsid w:val="0040569B"/>
    <w:rsid w:val="0040670D"/>
    <w:rsid w:val="004070DD"/>
    <w:rsid w:val="00407453"/>
    <w:rsid w:val="00410403"/>
    <w:rsid w:val="00410606"/>
    <w:rsid w:val="00410888"/>
    <w:rsid w:val="004118AC"/>
    <w:rsid w:val="00411B1C"/>
    <w:rsid w:val="00411BAE"/>
    <w:rsid w:val="00411E00"/>
    <w:rsid w:val="00411E8C"/>
    <w:rsid w:val="004120D1"/>
    <w:rsid w:val="00412267"/>
    <w:rsid w:val="00412A1B"/>
    <w:rsid w:val="004131B8"/>
    <w:rsid w:val="0041460F"/>
    <w:rsid w:val="00414641"/>
    <w:rsid w:val="00414662"/>
    <w:rsid w:val="004160E0"/>
    <w:rsid w:val="004166C2"/>
    <w:rsid w:val="0041674B"/>
    <w:rsid w:val="004177B9"/>
    <w:rsid w:val="00417FA8"/>
    <w:rsid w:val="00420AF2"/>
    <w:rsid w:val="00421176"/>
    <w:rsid w:val="004215CC"/>
    <w:rsid w:val="004216F9"/>
    <w:rsid w:val="00421A10"/>
    <w:rsid w:val="004222E0"/>
    <w:rsid w:val="004229C2"/>
    <w:rsid w:val="00423423"/>
    <w:rsid w:val="00424285"/>
    <w:rsid w:val="004247C8"/>
    <w:rsid w:val="00425C9C"/>
    <w:rsid w:val="0042789A"/>
    <w:rsid w:val="00427C45"/>
    <w:rsid w:val="00430665"/>
    <w:rsid w:val="00430E93"/>
    <w:rsid w:val="00431DCA"/>
    <w:rsid w:val="00432210"/>
    <w:rsid w:val="00433331"/>
    <w:rsid w:val="00434658"/>
    <w:rsid w:val="00434703"/>
    <w:rsid w:val="00434F60"/>
    <w:rsid w:val="004365B9"/>
    <w:rsid w:val="00436792"/>
    <w:rsid w:val="00436B9F"/>
    <w:rsid w:val="00440296"/>
    <w:rsid w:val="00441337"/>
    <w:rsid w:val="0044145C"/>
    <w:rsid w:val="004415EE"/>
    <w:rsid w:val="00441B00"/>
    <w:rsid w:val="0044244C"/>
    <w:rsid w:val="00442BF0"/>
    <w:rsid w:val="00442D05"/>
    <w:rsid w:val="00443FED"/>
    <w:rsid w:val="00444A9D"/>
    <w:rsid w:val="004451EE"/>
    <w:rsid w:val="00445447"/>
    <w:rsid w:val="004457EE"/>
    <w:rsid w:val="00445E44"/>
    <w:rsid w:val="004465F9"/>
    <w:rsid w:val="00446A68"/>
    <w:rsid w:val="00447FF7"/>
    <w:rsid w:val="00450732"/>
    <w:rsid w:val="00451780"/>
    <w:rsid w:val="00451D33"/>
    <w:rsid w:val="00452B4B"/>
    <w:rsid w:val="0045332F"/>
    <w:rsid w:val="00453F6A"/>
    <w:rsid w:val="0045424D"/>
    <w:rsid w:val="004548D7"/>
    <w:rsid w:val="004549A4"/>
    <w:rsid w:val="00454B0F"/>
    <w:rsid w:val="00454BB6"/>
    <w:rsid w:val="004554D0"/>
    <w:rsid w:val="00455811"/>
    <w:rsid w:val="0045598F"/>
    <w:rsid w:val="00455DA9"/>
    <w:rsid w:val="0045635F"/>
    <w:rsid w:val="00456646"/>
    <w:rsid w:val="00456DC3"/>
    <w:rsid w:val="00456F5F"/>
    <w:rsid w:val="004575B6"/>
    <w:rsid w:val="004577D1"/>
    <w:rsid w:val="004600EA"/>
    <w:rsid w:val="0046024A"/>
    <w:rsid w:val="004602F8"/>
    <w:rsid w:val="004603A7"/>
    <w:rsid w:val="00461485"/>
    <w:rsid w:val="00461D9B"/>
    <w:rsid w:val="004624D7"/>
    <w:rsid w:val="00462DC5"/>
    <w:rsid w:val="0046322A"/>
    <w:rsid w:val="004634CF"/>
    <w:rsid w:val="004636E6"/>
    <w:rsid w:val="004647CE"/>
    <w:rsid w:val="004651AC"/>
    <w:rsid w:val="00465C9D"/>
    <w:rsid w:val="00465FD0"/>
    <w:rsid w:val="00466A84"/>
    <w:rsid w:val="00466BAA"/>
    <w:rsid w:val="00466E20"/>
    <w:rsid w:val="00467861"/>
    <w:rsid w:val="00467FAF"/>
    <w:rsid w:val="004708AF"/>
    <w:rsid w:val="004713F1"/>
    <w:rsid w:val="0047143A"/>
    <w:rsid w:val="004746D9"/>
    <w:rsid w:val="00474809"/>
    <w:rsid w:val="00476045"/>
    <w:rsid w:val="004761C1"/>
    <w:rsid w:val="00476308"/>
    <w:rsid w:val="00477BC0"/>
    <w:rsid w:val="00480338"/>
    <w:rsid w:val="0048082C"/>
    <w:rsid w:val="00480CA0"/>
    <w:rsid w:val="004817BE"/>
    <w:rsid w:val="0048238D"/>
    <w:rsid w:val="00482791"/>
    <w:rsid w:val="00483041"/>
    <w:rsid w:val="004831E8"/>
    <w:rsid w:val="00483DBF"/>
    <w:rsid w:val="0048414E"/>
    <w:rsid w:val="0048421F"/>
    <w:rsid w:val="00485502"/>
    <w:rsid w:val="004857AB"/>
    <w:rsid w:val="004866C9"/>
    <w:rsid w:val="00487330"/>
    <w:rsid w:val="004877A0"/>
    <w:rsid w:val="00487807"/>
    <w:rsid w:val="00487C64"/>
    <w:rsid w:val="00490E3C"/>
    <w:rsid w:val="00492F0B"/>
    <w:rsid w:val="00492F8D"/>
    <w:rsid w:val="0049361D"/>
    <w:rsid w:val="00493794"/>
    <w:rsid w:val="00493D87"/>
    <w:rsid w:val="00494271"/>
    <w:rsid w:val="0049432B"/>
    <w:rsid w:val="00494BBD"/>
    <w:rsid w:val="0049573B"/>
    <w:rsid w:val="00495B7C"/>
    <w:rsid w:val="00495DF7"/>
    <w:rsid w:val="00496397"/>
    <w:rsid w:val="00496472"/>
    <w:rsid w:val="00497083"/>
    <w:rsid w:val="004970E9"/>
    <w:rsid w:val="00497299"/>
    <w:rsid w:val="0049795B"/>
    <w:rsid w:val="00497A48"/>
    <w:rsid w:val="00497C0F"/>
    <w:rsid w:val="004A0132"/>
    <w:rsid w:val="004A0452"/>
    <w:rsid w:val="004A159F"/>
    <w:rsid w:val="004A1AA8"/>
    <w:rsid w:val="004A1ABF"/>
    <w:rsid w:val="004A23AC"/>
    <w:rsid w:val="004A256F"/>
    <w:rsid w:val="004A26D1"/>
    <w:rsid w:val="004A3578"/>
    <w:rsid w:val="004A43AB"/>
    <w:rsid w:val="004A45FA"/>
    <w:rsid w:val="004A4A66"/>
    <w:rsid w:val="004A4AAC"/>
    <w:rsid w:val="004A4F88"/>
    <w:rsid w:val="004A5A5D"/>
    <w:rsid w:val="004A5F6E"/>
    <w:rsid w:val="004A6613"/>
    <w:rsid w:val="004A7071"/>
    <w:rsid w:val="004A7216"/>
    <w:rsid w:val="004A77D1"/>
    <w:rsid w:val="004B0366"/>
    <w:rsid w:val="004B072A"/>
    <w:rsid w:val="004B0F8F"/>
    <w:rsid w:val="004B1233"/>
    <w:rsid w:val="004B1B3A"/>
    <w:rsid w:val="004B2299"/>
    <w:rsid w:val="004B26EE"/>
    <w:rsid w:val="004B3142"/>
    <w:rsid w:val="004B39C8"/>
    <w:rsid w:val="004B3B59"/>
    <w:rsid w:val="004B4567"/>
    <w:rsid w:val="004B56F7"/>
    <w:rsid w:val="004B5A1D"/>
    <w:rsid w:val="004B5F31"/>
    <w:rsid w:val="004B672B"/>
    <w:rsid w:val="004C06B3"/>
    <w:rsid w:val="004C075C"/>
    <w:rsid w:val="004C0767"/>
    <w:rsid w:val="004C0ADB"/>
    <w:rsid w:val="004C102A"/>
    <w:rsid w:val="004C1657"/>
    <w:rsid w:val="004C193C"/>
    <w:rsid w:val="004C2E69"/>
    <w:rsid w:val="004C2F91"/>
    <w:rsid w:val="004C3B0F"/>
    <w:rsid w:val="004C4383"/>
    <w:rsid w:val="004C463B"/>
    <w:rsid w:val="004C4684"/>
    <w:rsid w:val="004C4A7D"/>
    <w:rsid w:val="004C4DD0"/>
    <w:rsid w:val="004C4E0C"/>
    <w:rsid w:val="004C5018"/>
    <w:rsid w:val="004C5D64"/>
    <w:rsid w:val="004C68EE"/>
    <w:rsid w:val="004C6B41"/>
    <w:rsid w:val="004C6CCF"/>
    <w:rsid w:val="004C6E4C"/>
    <w:rsid w:val="004C6E6A"/>
    <w:rsid w:val="004D003D"/>
    <w:rsid w:val="004D011C"/>
    <w:rsid w:val="004D0C55"/>
    <w:rsid w:val="004D11D8"/>
    <w:rsid w:val="004D19EE"/>
    <w:rsid w:val="004D2785"/>
    <w:rsid w:val="004D2CE3"/>
    <w:rsid w:val="004D3798"/>
    <w:rsid w:val="004D3AAB"/>
    <w:rsid w:val="004D4A9E"/>
    <w:rsid w:val="004D5755"/>
    <w:rsid w:val="004D5E87"/>
    <w:rsid w:val="004D65AB"/>
    <w:rsid w:val="004D6617"/>
    <w:rsid w:val="004D78E5"/>
    <w:rsid w:val="004D7B3F"/>
    <w:rsid w:val="004D7DFD"/>
    <w:rsid w:val="004E0B8A"/>
    <w:rsid w:val="004E0CD1"/>
    <w:rsid w:val="004E17C6"/>
    <w:rsid w:val="004E1C5D"/>
    <w:rsid w:val="004E1DEB"/>
    <w:rsid w:val="004E2BB4"/>
    <w:rsid w:val="004E2E20"/>
    <w:rsid w:val="004E310E"/>
    <w:rsid w:val="004E3386"/>
    <w:rsid w:val="004E3AB6"/>
    <w:rsid w:val="004E4EEF"/>
    <w:rsid w:val="004E5E07"/>
    <w:rsid w:val="004E63A9"/>
    <w:rsid w:val="004E752A"/>
    <w:rsid w:val="004E7859"/>
    <w:rsid w:val="004E7B53"/>
    <w:rsid w:val="004E7C3C"/>
    <w:rsid w:val="004F021D"/>
    <w:rsid w:val="004F04A9"/>
    <w:rsid w:val="004F0777"/>
    <w:rsid w:val="004F0EDA"/>
    <w:rsid w:val="004F27E1"/>
    <w:rsid w:val="004F2AF5"/>
    <w:rsid w:val="004F4340"/>
    <w:rsid w:val="004F47CB"/>
    <w:rsid w:val="004F51B3"/>
    <w:rsid w:val="004F5383"/>
    <w:rsid w:val="004F53A1"/>
    <w:rsid w:val="004F5634"/>
    <w:rsid w:val="004F5C5B"/>
    <w:rsid w:val="004F5EA6"/>
    <w:rsid w:val="004F6389"/>
    <w:rsid w:val="004F6E0F"/>
    <w:rsid w:val="005004E7"/>
    <w:rsid w:val="0050074B"/>
    <w:rsid w:val="005007F8"/>
    <w:rsid w:val="00500C8F"/>
    <w:rsid w:val="00500DF4"/>
    <w:rsid w:val="005013AB"/>
    <w:rsid w:val="005017B4"/>
    <w:rsid w:val="00501A13"/>
    <w:rsid w:val="00502191"/>
    <w:rsid w:val="0050236E"/>
    <w:rsid w:val="005029E3"/>
    <w:rsid w:val="00502A0A"/>
    <w:rsid w:val="00503635"/>
    <w:rsid w:val="00503BA6"/>
    <w:rsid w:val="00503E54"/>
    <w:rsid w:val="00504CBE"/>
    <w:rsid w:val="00504D3B"/>
    <w:rsid w:val="00505E07"/>
    <w:rsid w:val="005100C2"/>
    <w:rsid w:val="00510F76"/>
    <w:rsid w:val="0051140A"/>
    <w:rsid w:val="005119AB"/>
    <w:rsid w:val="00511C68"/>
    <w:rsid w:val="00511C9C"/>
    <w:rsid w:val="00512E4C"/>
    <w:rsid w:val="00513485"/>
    <w:rsid w:val="0051361A"/>
    <w:rsid w:val="00513DE3"/>
    <w:rsid w:val="0051478A"/>
    <w:rsid w:val="00514A54"/>
    <w:rsid w:val="00514FCD"/>
    <w:rsid w:val="0051635A"/>
    <w:rsid w:val="00516D55"/>
    <w:rsid w:val="00517A4A"/>
    <w:rsid w:val="0052002B"/>
    <w:rsid w:val="00520159"/>
    <w:rsid w:val="00520492"/>
    <w:rsid w:val="00520950"/>
    <w:rsid w:val="0052141F"/>
    <w:rsid w:val="00521578"/>
    <w:rsid w:val="00521DB9"/>
    <w:rsid w:val="00522ED8"/>
    <w:rsid w:val="005231AE"/>
    <w:rsid w:val="005231D0"/>
    <w:rsid w:val="005236B1"/>
    <w:rsid w:val="00523719"/>
    <w:rsid w:val="00523835"/>
    <w:rsid w:val="00524962"/>
    <w:rsid w:val="00524DC1"/>
    <w:rsid w:val="0052504F"/>
    <w:rsid w:val="0052523D"/>
    <w:rsid w:val="00526AC3"/>
    <w:rsid w:val="00526DD8"/>
    <w:rsid w:val="00526F5F"/>
    <w:rsid w:val="00527119"/>
    <w:rsid w:val="00531567"/>
    <w:rsid w:val="00531843"/>
    <w:rsid w:val="00531910"/>
    <w:rsid w:val="00531D28"/>
    <w:rsid w:val="00532C6D"/>
    <w:rsid w:val="00532EE3"/>
    <w:rsid w:val="005336CD"/>
    <w:rsid w:val="005344D9"/>
    <w:rsid w:val="005351A7"/>
    <w:rsid w:val="005364FC"/>
    <w:rsid w:val="00536CCF"/>
    <w:rsid w:val="0053789C"/>
    <w:rsid w:val="005379D5"/>
    <w:rsid w:val="00537A76"/>
    <w:rsid w:val="00537DDD"/>
    <w:rsid w:val="00537F30"/>
    <w:rsid w:val="00540021"/>
    <w:rsid w:val="00540667"/>
    <w:rsid w:val="00540932"/>
    <w:rsid w:val="00540B17"/>
    <w:rsid w:val="005430A7"/>
    <w:rsid w:val="00543531"/>
    <w:rsid w:val="005435E7"/>
    <w:rsid w:val="005443DA"/>
    <w:rsid w:val="0054476A"/>
    <w:rsid w:val="005455E4"/>
    <w:rsid w:val="005464E0"/>
    <w:rsid w:val="005507A1"/>
    <w:rsid w:val="005507D9"/>
    <w:rsid w:val="00551356"/>
    <w:rsid w:val="0055202A"/>
    <w:rsid w:val="00552D81"/>
    <w:rsid w:val="0055524D"/>
    <w:rsid w:val="005554F0"/>
    <w:rsid w:val="0055559F"/>
    <w:rsid w:val="00556585"/>
    <w:rsid w:val="00556932"/>
    <w:rsid w:val="00557BF5"/>
    <w:rsid w:val="005602C5"/>
    <w:rsid w:val="00560776"/>
    <w:rsid w:val="0056097C"/>
    <w:rsid w:val="00561DE2"/>
    <w:rsid w:val="00562149"/>
    <w:rsid w:val="00563B1B"/>
    <w:rsid w:val="00563CDB"/>
    <w:rsid w:val="00564641"/>
    <w:rsid w:val="00564A27"/>
    <w:rsid w:val="00565E98"/>
    <w:rsid w:val="00566C9D"/>
    <w:rsid w:val="00566CC9"/>
    <w:rsid w:val="00567234"/>
    <w:rsid w:val="0056799C"/>
    <w:rsid w:val="00567C3E"/>
    <w:rsid w:val="00567DD1"/>
    <w:rsid w:val="005708DE"/>
    <w:rsid w:val="00570F4A"/>
    <w:rsid w:val="00572176"/>
    <w:rsid w:val="00572D5F"/>
    <w:rsid w:val="00574B3F"/>
    <w:rsid w:val="00576BF2"/>
    <w:rsid w:val="00577CC8"/>
    <w:rsid w:val="00580207"/>
    <w:rsid w:val="0058025C"/>
    <w:rsid w:val="0058055B"/>
    <w:rsid w:val="005814C7"/>
    <w:rsid w:val="0058197D"/>
    <w:rsid w:val="00581E0D"/>
    <w:rsid w:val="00581EE1"/>
    <w:rsid w:val="00582043"/>
    <w:rsid w:val="00582A0C"/>
    <w:rsid w:val="00582B74"/>
    <w:rsid w:val="005838E0"/>
    <w:rsid w:val="005845DB"/>
    <w:rsid w:val="00584B3B"/>
    <w:rsid w:val="00584DB0"/>
    <w:rsid w:val="00584F10"/>
    <w:rsid w:val="00585183"/>
    <w:rsid w:val="00585610"/>
    <w:rsid w:val="0058640E"/>
    <w:rsid w:val="00586FCE"/>
    <w:rsid w:val="005870A0"/>
    <w:rsid w:val="005906C6"/>
    <w:rsid w:val="00590DC1"/>
    <w:rsid w:val="00590F89"/>
    <w:rsid w:val="005915A2"/>
    <w:rsid w:val="005917AD"/>
    <w:rsid w:val="00591F16"/>
    <w:rsid w:val="00592482"/>
    <w:rsid w:val="00592498"/>
    <w:rsid w:val="005928D3"/>
    <w:rsid w:val="00592AD5"/>
    <w:rsid w:val="00592BA2"/>
    <w:rsid w:val="00593091"/>
    <w:rsid w:val="00594000"/>
    <w:rsid w:val="0059453F"/>
    <w:rsid w:val="005949E5"/>
    <w:rsid w:val="00595517"/>
    <w:rsid w:val="00595B00"/>
    <w:rsid w:val="00595BC0"/>
    <w:rsid w:val="005969E3"/>
    <w:rsid w:val="0059786D"/>
    <w:rsid w:val="00597F07"/>
    <w:rsid w:val="005A012D"/>
    <w:rsid w:val="005A2129"/>
    <w:rsid w:val="005A257C"/>
    <w:rsid w:val="005A28DD"/>
    <w:rsid w:val="005A42E3"/>
    <w:rsid w:val="005A51ED"/>
    <w:rsid w:val="005A57FE"/>
    <w:rsid w:val="005A5C19"/>
    <w:rsid w:val="005A5CE8"/>
    <w:rsid w:val="005A5D02"/>
    <w:rsid w:val="005A6669"/>
    <w:rsid w:val="005A6A97"/>
    <w:rsid w:val="005A6BF1"/>
    <w:rsid w:val="005A7817"/>
    <w:rsid w:val="005A7C9D"/>
    <w:rsid w:val="005A7E85"/>
    <w:rsid w:val="005B0263"/>
    <w:rsid w:val="005B0B42"/>
    <w:rsid w:val="005B101A"/>
    <w:rsid w:val="005B13B0"/>
    <w:rsid w:val="005B13FE"/>
    <w:rsid w:val="005B2408"/>
    <w:rsid w:val="005B3608"/>
    <w:rsid w:val="005B3B0D"/>
    <w:rsid w:val="005B3B18"/>
    <w:rsid w:val="005B4354"/>
    <w:rsid w:val="005B439B"/>
    <w:rsid w:val="005B4B07"/>
    <w:rsid w:val="005B4EFC"/>
    <w:rsid w:val="005B56E0"/>
    <w:rsid w:val="005B5A2D"/>
    <w:rsid w:val="005B5E78"/>
    <w:rsid w:val="005B6440"/>
    <w:rsid w:val="005B64CE"/>
    <w:rsid w:val="005B686E"/>
    <w:rsid w:val="005B78E7"/>
    <w:rsid w:val="005B7E16"/>
    <w:rsid w:val="005C034F"/>
    <w:rsid w:val="005C09BA"/>
    <w:rsid w:val="005C0E05"/>
    <w:rsid w:val="005C172F"/>
    <w:rsid w:val="005C220E"/>
    <w:rsid w:val="005C2E2A"/>
    <w:rsid w:val="005C31F7"/>
    <w:rsid w:val="005C3450"/>
    <w:rsid w:val="005C36D0"/>
    <w:rsid w:val="005C36D3"/>
    <w:rsid w:val="005C379A"/>
    <w:rsid w:val="005C3C3B"/>
    <w:rsid w:val="005C3E7C"/>
    <w:rsid w:val="005C401E"/>
    <w:rsid w:val="005C4A84"/>
    <w:rsid w:val="005C4AF8"/>
    <w:rsid w:val="005C5232"/>
    <w:rsid w:val="005C52FF"/>
    <w:rsid w:val="005C67CF"/>
    <w:rsid w:val="005C743F"/>
    <w:rsid w:val="005C794C"/>
    <w:rsid w:val="005C7A57"/>
    <w:rsid w:val="005C7FBA"/>
    <w:rsid w:val="005D0B9E"/>
    <w:rsid w:val="005D0D77"/>
    <w:rsid w:val="005D123C"/>
    <w:rsid w:val="005D2B1B"/>
    <w:rsid w:val="005D3B4D"/>
    <w:rsid w:val="005D5E46"/>
    <w:rsid w:val="005D6BA1"/>
    <w:rsid w:val="005D6DC2"/>
    <w:rsid w:val="005E1041"/>
    <w:rsid w:val="005E1400"/>
    <w:rsid w:val="005E1C6F"/>
    <w:rsid w:val="005E2813"/>
    <w:rsid w:val="005E5A67"/>
    <w:rsid w:val="005E6850"/>
    <w:rsid w:val="005E6AB9"/>
    <w:rsid w:val="005E6DC0"/>
    <w:rsid w:val="005E763C"/>
    <w:rsid w:val="005E7790"/>
    <w:rsid w:val="005F01DC"/>
    <w:rsid w:val="005F06D9"/>
    <w:rsid w:val="005F07B3"/>
    <w:rsid w:val="005F0B00"/>
    <w:rsid w:val="005F0B29"/>
    <w:rsid w:val="005F0EA4"/>
    <w:rsid w:val="005F159C"/>
    <w:rsid w:val="005F1FE9"/>
    <w:rsid w:val="005F25EC"/>
    <w:rsid w:val="005F2C98"/>
    <w:rsid w:val="005F2DF5"/>
    <w:rsid w:val="005F305E"/>
    <w:rsid w:val="005F3623"/>
    <w:rsid w:val="005F517E"/>
    <w:rsid w:val="005F6279"/>
    <w:rsid w:val="005F6862"/>
    <w:rsid w:val="005F691D"/>
    <w:rsid w:val="005F69CC"/>
    <w:rsid w:val="005F6A02"/>
    <w:rsid w:val="005F6EEF"/>
    <w:rsid w:val="005F7533"/>
    <w:rsid w:val="0060012E"/>
    <w:rsid w:val="00600F82"/>
    <w:rsid w:val="00601D2E"/>
    <w:rsid w:val="00601D4E"/>
    <w:rsid w:val="00602014"/>
    <w:rsid w:val="00602E75"/>
    <w:rsid w:val="006031A6"/>
    <w:rsid w:val="00603C90"/>
    <w:rsid w:val="00604637"/>
    <w:rsid w:val="0060516D"/>
    <w:rsid w:val="00605381"/>
    <w:rsid w:val="006055C4"/>
    <w:rsid w:val="00605BC0"/>
    <w:rsid w:val="00606024"/>
    <w:rsid w:val="006077BB"/>
    <w:rsid w:val="006078DB"/>
    <w:rsid w:val="00607B92"/>
    <w:rsid w:val="00607C74"/>
    <w:rsid w:val="0061014B"/>
    <w:rsid w:val="006101A9"/>
    <w:rsid w:val="006110BF"/>
    <w:rsid w:val="006128F0"/>
    <w:rsid w:val="00613A11"/>
    <w:rsid w:val="00614313"/>
    <w:rsid w:val="0061514F"/>
    <w:rsid w:val="00615E5C"/>
    <w:rsid w:val="006172AA"/>
    <w:rsid w:val="00617A0C"/>
    <w:rsid w:val="00617C25"/>
    <w:rsid w:val="00617C3F"/>
    <w:rsid w:val="00617D73"/>
    <w:rsid w:val="00617EFE"/>
    <w:rsid w:val="006201AB"/>
    <w:rsid w:val="00620A24"/>
    <w:rsid w:val="0062171F"/>
    <w:rsid w:val="00621C3D"/>
    <w:rsid w:val="00622355"/>
    <w:rsid w:val="00622535"/>
    <w:rsid w:val="00622CF0"/>
    <w:rsid w:val="0062309A"/>
    <w:rsid w:val="00623B11"/>
    <w:rsid w:val="00624E3A"/>
    <w:rsid w:val="00625511"/>
    <w:rsid w:val="0062557E"/>
    <w:rsid w:val="006258CC"/>
    <w:rsid w:val="00626555"/>
    <w:rsid w:val="00626807"/>
    <w:rsid w:val="00627258"/>
    <w:rsid w:val="00627843"/>
    <w:rsid w:val="006304B5"/>
    <w:rsid w:val="0063067A"/>
    <w:rsid w:val="006310A4"/>
    <w:rsid w:val="00631442"/>
    <w:rsid w:val="00631AF2"/>
    <w:rsid w:val="00631F93"/>
    <w:rsid w:val="00632293"/>
    <w:rsid w:val="00632BE8"/>
    <w:rsid w:val="006341DB"/>
    <w:rsid w:val="0063443E"/>
    <w:rsid w:val="00634471"/>
    <w:rsid w:val="00634FA8"/>
    <w:rsid w:val="00634FE6"/>
    <w:rsid w:val="0063551D"/>
    <w:rsid w:val="006356F0"/>
    <w:rsid w:val="00636379"/>
    <w:rsid w:val="00636915"/>
    <w:rsid w:val="00637F4B"/>
    <w:rsid w:val="00640827"/>
    <w:rsid w:val="00641027"/>
    <w:rsid w:val="00641103"/>
    <w:rsid w:val="00642385"/>
    <w:rsid w:val="006423BE"/>
    <w:rsid w:val="006432B1"/>
    <w:rsid w:val="006436A5"/>
    <w:rsid w:val="006436FB"/>
    <w:rsid w:val="00643C77"/>
    <w:rsid w:val="00644A31"/>
    <w:rsid w:val="00644B89"/>
    <w:rsid w:val="0064538E"/>
    <w:rsid w:val="00645CB6"/>
    <w:rsid w:val="00646899"/>
    <w:rsid w:val="00646FF2"/>
    <w:rsid w:val="00647AEF"/>
    <w:rsid w:val="00647DC3"/>
    <w:rsid w:val="00650058"/>
    <w:rsid w:val="0065044F"/>
    <w:rsid w:val="00651355"/>
    <w:rsid w:val="0065179C"/>
    <w:rsid w:val="00651C08"/>
    <w:rsid w:val="00651ED7"/>
    <w:rsid w:val="006523F7"/>
    <w:rsid w:val="00652746"/>
    <w:rsid w:val="00652B50"/>
    <w:rsid w:val="00652BEC"/>
    <w:rsid w:val="00653265"/>
    <w:rsid w:val="00655E9E"/>
    <w:rsid w:val="0065630B"/>
    <w:rsid w:val="00656ED4"/>
    <w:rsid w:val="00656F29"/>
    <w:rsid w:val="00657A3D"/>
    <w:rsid w:val="006621AF"/>
    <w:rsid w:val="0066229C"/>
    <w:rsid w:val="00663CCB"/>
    <w:rsid w:val="00663DA1"/>
    <w:rsid w:val="0066457E"/>
    <w:rsid w:val="00665748"/>
    <w:rsid w:val="0066627D"/>
    <w:rsid w:val="00666740"/>
    <w:rsid w:val="00666DDB"/>
    <w:rsid w:val="00666F00"/>
    <w:rsid w:val="006677CE"/>
    <w:rsid w:val="00667E85"/>
    <w:rsid w:val="00671611"/>
    <w:rsid w:val="00671A80"/>
    <w:rsid w:val="00672315"/>
    <w:rsid w:val="006726F5"/>
    <w:rsid w:val="00672AE9"/>
    <w:rsid w:val="00672D62"/>
    <w:rsid w:val="006746B2"/>
    <w:rsid w:val="006747EB"/>
    <w:rsid w:val="006750CE"/>
    <w:rsid w:val="00675416"/>
    <w:rsid w:val="00676030"/>
    <w:rsid w:val="0067676A"/>
    <w:rsid w:val="006774DE"/>
    <w:rsid w:val="0068191F"/>
    <w:rsid w:val="00681B88"/>
    <w:rsid w:val="00681BC0"/>
    <w:rsid w:val="00681DC0"/>
    <w:rsid w:val="00683CA1"/>
    <w:rsid w:val="00683E3C"/>
    <w:rsid w:val="006845C9"/>
    <w:rsid w:val="00685ED2"/>
    <w:rsid w:val="0068705E"/>
    <w:rsid w:val="00687EA5"/>
    <w:rsid w:val="006902FB"/>
    <w:rsid w:val="006904E7"/>
    <w:rsid w:val="00690638"/>
    <w:rsid w:val="00691C99"/>
    <w:rsid w:val="0069356B"/>
    <w:rsid w:val="006936B5"/>
    <w:rsid w:val="00694897"/>
    <w:rsid w:val="006953DD"/>
    <w:rsid w:val="0069572B"/>
    <w:rsid w:val="00695CB1"/>
    <w:rsid w:val="00695D53"/>
    <w:rsid w:val="00696131"/>
    <w:rsid w:val="006963EB"/>
    <w:rsid w:val="00696938"/>
    <w:rsid w:val="0069713B"/>
    <w:rsid w:val="0069745C"/>
    <w:rsid w:val="006974B4"/>
    <w:rsid w:val="0069768A"/>
    <w:rsid w:val="006978E6"/>
    <w:rsid w:val="00697AC5"/>
    <w:rsid w:val="006A01C6"/>
    <w:rsid w:val="006A21CA"/>
    <w:rsid w:val="006A4FC3"/>
    <w:rsid w:val="006A584A"/>
    <w:rsid w:val="006A5898"/>
    <w:rsid w:val="006A5C35"/>
    <w:rsid w:val="006A680D"/>
    <w:rsid w:val="006A6E2A"/>
    <w:rsid w:val="006A711D"/>
    <w:rsid w:val="006A727F"/>
    <w:rsid w:val="006B005A"/>
    <w:rsid w:val="006B0134"/>
    <w:rsid w:val="006B06E5"/>
    <w:rsid w:val="006B0E04"/>
    <w:rsid w:val="006B1610"/>
    <w:rsid w:val="006B16BC"/>
    <w:rsid w:val="006B2593"/>
    <w:rsid w:val="006B290F"/>
    <w:rsid w:val="006B4768"/>
    <w:rsid w:val="006B4993"/>
    <w:rsid w:val="006B4C0A"/>
    <w:rsid w:val="006B5038"/>
    <w:rsid w:val="006B5B52"/>
    <w:rsid w:val="006B6620"/>
    <w:rsid w:val="006C0029"/>
    <w:rsid w:val="006C0534"/>
    <w:rsid w:val="006C0B03"/>
    <w:rsid w:val="006C10C0"/>
    <w:rsid w:val="006C141D"/>
    <w:rsid w:val="006C17D7"/>
    <w:rsid w:val="006C1C96"/>
    <w:rsid w:val="006C1CC4"/>
    <w:rsid w:val="006C2187"/>
    <w:rsid w:val="006C2750"/>
    <w:rsid w:val="006C27BF"/>
    <w:rsid w:val="006C2BE2"/>
    <w:rsid w:val="006C2FB1"/>
    <w:rsid w:val="006C4DE5"/>
    <w:rsid w:val="006C532A"/>
    <w:rsid w:val="006C53C3"/>
    <w:rsid w:val="006C5924"/>
    <w:rsid w:val="006C5EA1"/>
    <w:rsid w:val="006C5F68"/>
    <w:rsid w:val="006C7F43"/>
    <w:rsid w:val="006D1092"/>
    <w:rsid w:val="006D1132"/>
    <w:rsid w:val="006D133A"/>
    <w:rsid w:val="006D201D"/>
    <w:rsid w:val="006D2A59"/>
    <w:rsid w:val="006D30DC"/>
    <w:rsid w:val="006D3A86"/>
    <w:rsid w:val="006D3C8C"/>
    <w:rsid w:val="006D3E08"/>
    <w:rsid w:val="006D40E8"/>
    <w:rsid w:val="006D4706"/>
    <w:rsid w:val="006D479D"/>
    <w:rsid w:val="006D51AC"/>
    <w:rsid w:val="006D5C13"/>
    <w:rsid w:val="006D6788"/>
    <w:rsid w:val="006D706A"/>
    <w:rsid w:val="006D7185"/>
    <w:rsid w:val="006D78C9"/>
    <w:rsid w:val="006D7B26"/>
    <w:rsid w:val="006D7D83"/>
    <w:rsid w:val="006E1867"/>
    <w:rsid w:val="006E2AC9"/>
    <w:rsid w:val="006E3C06"/>
    <w:rsid w:val="006E4392"/>
    <w:rsid w:val="006E47B8"/>
    <w:rsid w:val="006E4870"/>
    <w:rsid w:val="006E4998"/>
    <w:rsid w:val="006E5222"/>
    <w:rsid w:val="006E595F"/>
    <w:rsid w:val="006E62AB"/>
    <w:rsid w:val="006E6981"/>
    <w:rsid w:val="006E6B7D"/>
    <w:rsid w:val="006F0219"/>
    <w:rsid w:val="006F053A"/>
    <w:rsid w:val="006F0AB9"/>
    <w:rsid w:val="006F0C36"/>
    <w:rsid w:val="006F1C09"/>
    <w:rsid w:val="006F2348"/>
    <w:rsid w:val="006F29DA"/>
    <w:rsid w:val="006F2D47"/>
    <w:rsid w:val="006F2F49"/>
    <w:rsid w:val="006F34D8"/>
    <w:rsid w:val="006F3CEC"/>
    <w:rsid w:val="006F446D"/>
    <w:rsid w:val="006F4ABD"/>
    <w:rsid w:val="006F53CE"/>
    <w:rsid w:val="006F5401"/>
    <w:rsid w:val="006F59C7"/>
    <w:rsid w:val="006F59E2"/>
    <w:rsid w:val="006F5DEA"/>
    <w:rsid w:val="006F77B2"/>
    <w:rsid w:val="006F7A46"/>
    <w:rsid w:val="006F7F4F"/>
    <w:rsid w:val="00700707"/>
    <w:rsid w:val="00700E4D"/>
    <w:rsid w:val="00701188"/>
    <w:rsid w:val="00702449"/>
    <w:rsid w:val="00702C79"/>
    <w:rsid w:val="00702E05"/>
    <w:rsid w:val="00703394"/>
    <w:rsid w:val="007044A6"/>
    <w:rsid w:val="0070483A"/>
    <w:rsid w:val="0070483E"/>
    <w:rsid w:val="007056C7"/>
    <w:rsid w:val="007057A3"/>
    <w:rsid w:val="00705A49"/>
    <w:rsid w:val="00705D3F"/>
    <w:rsid w:val="00705E52"/>
    <w:rsid w:val="00706710"/>
    <w:rsid w:val="00706FFE"/>
    <w:rsid w:val="00707EB2"/>
    <w:rsid w:val="0071012E"/>
    <w:rsid w:val="007103C4"/>
    <w:rsid w:val="00710478"/>
    <w:rsid w:val="00710514"/>
    <w:rsid w:val="00710759"/>
    <w:rsid w:val="00710C7E"/>
    <w:rsid w:val="0071111A"/>
    <w:rsid w:val="00711C76"/>
    <w:rsid w:val="00711CC6"/>
    <w:rsid w:val="007120CA"/>
    <w:rsid w:val="00712627"/>
    <w:rsid w:val="00712815"/>
    <w:rsid w:val="007130EB"/>
    <w:rsid w:val="0071311A"/>
    <w:rsid w:val="00713270"/>
    <w:rsid w:val="00713917"/>
    <w:rsid w:val="00713D20"/>
    <w:rsid w:val="0071426C"/>
    <w:rsid w:val="00715C4C"/>
    <w:rsid w:val="00716005"/>
    <w:rsid w:val="00716BA7"/>
    <w:rsid w:val="007177E0"/>
    <w:rsid w:val="00717D6E"/>
    <w:rsid w:val="00717DB9"/>
    <w:rsid w:val="00720404"/>
    <w:rsid w:val="0072100B"/>
    <w:rsid w:val="007211F8"/>
    <w:rsid w:val="007247FB"/>
    <w:rsid w:val="00725E20"/>
    <w:rsid w:val="0072751A"/>
    <w:rsid w:val="00727BB1"/>
    <w:rsid w:val="00730A6A"/>
    <w:rsid w:val="00731890"/>
    <w:rsid w:val="00731E39"/>
    <w:rsid w:val="007329E4"/>
    <w:rsid w:val="00732AAF"/>
    <w:rsid w:val="0073368D"/>
    <w:rsid w:val="007336B8"/>
    <w:rsid w:val="007341B5"/>
    <w:rsid w:val="00734269"/>
    <w:rsid w:val="007348B4"/>
    <w:rsid w:val="00735034"/>
    <w:rsid w:val="007354F8"/>
    <w:rsid w:val="007355CC"/>
    <w:rsid w:val="00735C35"/>
    <w:rsid w:val="00735FB8"/>
    <w:rsid w:val="00736247"/>
    <w:rsid w:val="007370EF"/>
    <w:rsid w:val="00740B88"/>
    <w:rsid w:val="0074151D"/>
    <w:rsid w:val="00742035"/>
    <w:rsid w:val="00742594"/>
    <w:rsid w:val="007429EF"/>
    <w:rsid w:val="00742B9B"/>
    <w:rsid w:val="00742FED"/>
    <w:rsid w:val="00743251"/>
    <w:rsid w:val="007435F3"/>
    <w:rsid w:val="00743F64"/>
    <w:rsid w:val="00743F85"/>
    <w:rsid w:val="00744302"/>
    <w:rsid w:val="007443F8"/>
    <w:rsid w:val="00745E3D"/>
    <w:rsid w:val="00746334"/>
    <w:rsid w:val="00746E4D"/>
    <w:rsid w:val="00747BB6"/>
    <w:rsid w:val="00747CDE"/>
    <w:rsid w:val="00750AEB"/>
    <w:rsid w:val="00750D74"/>
    <w:rsid w:val="00751F3E"/>
    <w:rsid w:val="00752EA1"/>
    <w:rsid w:val="007539C6"/>
    <w:rsid w:val="00753B2F"/>
    <w:rsid w:val="00754B6F"/>
    <w:rsid w:val="00755227"/>
    <w:rsid w:val="00755A2A"/>
    <w:rsid w:val="00756257"/>
    <w:rsid w:val="007566E7"/>
    <w:rsid w:val="007567D8"/>
    <w:rsid w:val="00756BCE"/>
    <w:rsid w:val="00756E52"/>
    <w:rsid w:val="007603C0"/>
    <w:rsid w:val="00761193"/>
    <w:rsid w:val="00761508"/>
    <w:rsid w:val="007617A8"/>
    <w:rsid w:val="00761C44"/>
    <w:rsid w:val="0076214C"/>
    <w:rsid w:val="0076259E"/>
    <w:rsid w:val="00762E3B"/>
    <w:rsid w:val="00762E77"/>
    <w:rsid w:val="00762F82"/>
    <w:rsid w:val="00763677"/>
    <w:rsid w:val="00764401"/>
    <w:rsid w:val="007650A9"/>
    <w:rsid w:val="007656CD"/>
    <w:rsid w:val="007657F4"/>
    <w:rsid w:val="007662AE"/>
    <w:rsid w:val="0076706B"/>
    <w:rsid w:val="00767153"/>
    <w:rsid w:val="007678D0"/>
    <w:rsid w:val="007679C8"/>
    <w:rsid w:val="00770385"/>
    <w:rsid w:val="00770778"/>
    <w:rsid w:val="00770B2B"/>
    <w:rsid w:val="007713E7"/>
    <w:rsid w:val="007717B5"/>
    <w:rsid w:val="00772B20"/>
    <w:rsid w:val="00772B35"/>
    <w:rsid w:val="00773A43"/>
    <w:rsid w:val="00773E73"/>
    <w:rsid w:val="00774C13"/>
    <w:rsid w:val="007750F1"/>
    <w:rsid w:val="00775801"/>
    <w:rsid w:val="00775A7D"/>
    <w:rsid w:val="00775B65"/>
    <w:rsid w:val="00776321"/>
    <w:rsid w:val="00776877"/>
    <w:rsid w:val="00776B9C"/>
    <w:rsid w:val="007773A2"/>
    <w:rsid w:val="00777B51"/>
    <w:rsid w:val="00777FAE"/>
    <w:rsid w:val="0078026E"/>
    <w:rsid w:val="007812DF"/>
    <w:rsid w:val="00781B1C"/>
    <w:rsid w:val="00781C13"/>
    <w:rsid w:val="007829CF"/>
    <w:rsid w:val="007830E4"/>
    <w:rsid w:val="00783303"/>
    <w:rsid w:val="007839EB"/>
    <w:rsid w:val="00784277"/>
    <w:rsid w:val="00784AB8"/>
    <w:rsid w:val="00784B8D"/>
    <w:rsid w:val="00784C60"/>
    <w:rsid w:val="00784C63"/>
    <w:rsid w:val="00787292"/>
    <w:rsid w:val="00787AB4"/>
    <w:rsid w:val="00790A92"/>
    <w:rsid w:val="0079155F"/>
    <w:rsid w:val="007915E9"/>
    <w:rsid w:val="00791F2C"/>
    <w:rsid w:val="007930B3"/>
    <w:rsid w:val="007932CA"/>
    <w:rsid w:val="007938CE"/>
    <w:rsid w:val="00793BD3"/>
    <w:rsid w:val="00794354"/>
    <w:rsid w:val="00794C00"/>
    <w:rsid w:val="00794E29"/>
    <w:rsid w:val="007959BE"/>
    <w:rsid w:val="00795D77"/>
    <w:rsid w:val="00796360"/>
    <w:rsid w:val="00796BA0"/>
    <w:rsid w:val="00797A5C"/>
    <w:rsid w:val="00797C1D"/>
    <w:rsid w:val="007A06F5"/>
    <w:rsid w:val="007A0C55"/>
    <w:rsid w:val="007A0F68"/>
    <w:rsid w:val="007A1683"/>
    <w:rsid w:val="007A189F"/>
    <w:rsid w:val="007A237D"/>
    <w:rsid w:val="007A2802"/>
    <w:rsid w:val="007A2F69"/>
    <w:rsid w:val="007A30C0"/>
    <w:rsid w:val="007A3214"/>
    <w:rsid w:val="007A349F"/>
    <w:rsid w:val="007A368C"/>
    <w:rsid w:val="007A450E"/>
    <w:rsid w:val="007A54E7"/>
    <w:rsid w:val="007A6F5F"/>
    <w:rsid w:val="007A72D2"/>
    <w:rsid w:val="007B0B95"/>
    <w:rsid w:val="007B118E"/>
    <w:rsid w:val="007B1288"/>
    <w:rsid w:val="007B140F"/>
    <w:rsid w:val="007B33DB"/>
    <w:rsid w:val="007B3711"/>
    <w:rsid w:val="007B3AAC"/>
    <w:rsid w:val="007B3BBE"/>
    <w:rsid w:val="007B46ED"/>
    <w:rsid w:val="007B59F2"/>
    <w:rsid w:val="007B5C3C"/>
    <w:rsid w:val="007B6F01"/>
    <w:rsid w:val="007C0225"/>
    <w:rsid w:val="007C05A1"/>
    <w:rsid w:val="007C0E63"/>
    <w:rsid w:val="007C16C6"/>
    <w:rsid w:val="007C1CD7"/>
    <w:rsid w:val="007C2494"/>
    <w:rsid w:val="007C2621"/>
    <w:rsid w:val="007C2E77"/>
    <w:rsid w:val="007C4DC5"/>
    <w:rsid w:val="007C5D54"/>
    <w:rsid w:val="007C601C"/>
    <w:rsid w:val="007C6819"/>
    <w:rsid w:val="007C6869"/>
    <w:rsid w:val="007C6C91"/>
    <w:rsid w:val="007C6F18"/>
    <w:rsid w:val="007C7379"/>
    <w:rsid w:val="007C7E7C"/>
    <w:rsid w:val="007D0918"/>
    <w:rsid w:val="007D1743"/>
    <w:rsid w:val="007D1A5C"/>
    <w:rsid w:val="007D2702"/>
    <w:rsid w:val="007D296D"/>
    <w:rsid w:val="007D381B"/>
    <w:rsid w:val="007D40B7"/>
    <w:rsid w:val="007D4846"/>
    <w:rsid w:val="007D49FA"/>
    <w:rsid w:val="007D4DC3"/>
    <w:rsid w:val="007D540D"/>
    <w:rsid w:val="007D5E6C"/>
    <w:rsid w:val="007D667F"/>
    <w:rsid w:val="007D6D1B"/>
    <w:rsid w:val="007D73FF"/>
    <w:rsid w:val="007D7409"/>
    <w:rsid w:val="007D7514"/>
    <w:rsid w:val="007D7B60"/>
    <w:rsid w:val="007D7C9D"/>
    <w:rsid w:val="007D7DC2"/>
    <w:rsid w:val="007E09EC"/>
    <w:rsid w:val="007E105B"/>
    <w:rsid w:val="007E2D5C"/>
    <w:rsid w:val="007E2F14"/>
    <w:rsid w:val="007E2F84"/>
    <w:rsid w:val="007E30DC"/>
    <w:rsid w:val="007E349E"/>
    <w:rsid w:val="007E3F70"/>
    <w:rsid w:val="007E4CA5"/>
    <w:rsid w:val="007E50B7"/>
    <w:rsid w:val="007E5981"/>
    <w:rsid w:val="007E68A9"/>
    <w:rsid w:val="007E6C84"/>
    <w:rsid w:val="007E6E0E"/>
    <w:rsid w:val="007E7670"/>
    <w:rsid w:val="007E7EE5"/>
    <w:rsid w:val="007F041B"/>
    <w:rsid w:val="007F05EF"/>
    <w:rsid w:val="007F177F"/>
    <w:rsid w:val="007F2537"/>
    <w:rsid w:val="007F29B5"/>
    <w:rsid w:val="007F2B70"/>
    <w:rsid w:val="007F328D"/>
    <w:rsid w:val="007F333E"/>
    <w:rsid w:val="007F3574"/>
    <w:rsid w:val="007F396E"/>
    <w:rsid w:val="007F3ACB"/>
    <w:rsid w:val="007F3B72"/>
    <w:rsid w:val="007F3BD6"/>
    <w:rsid w:val="007F3EFC"/>
    <w:rsid w:val="007F4F5D"/>
    <w:rsid w:val="007F57B5"/>
    <w:rsid w:val="007F5DBF"/>
    <w:rsid w:val="007F63E9"/>
    <w:rsid w:val="007F66CE"/>
    <w:rsid w:val="007F67A6"/>
    <w:rsid w:val="007F729A"/>
    <w:rsid w:val="007F72CF"/>
    <w:rsid w:val="0080053E"/>
    <w:rsid w:val="00800E9F"/>
    <w:rsid w:val="008020B6"/>
    <w:rsid w:val="008036AD"/>
    <w:rsid w:val="00804260"/>
    <w:rsid w:val="00804851"/>
    <w:rsid w:val="00805614"/>
    <w:rsid w:val="0080650C"/>
    <w:rsid w:val="00806DF6"/>
    <w:rsid w:val="00806E5E"/>
    <w:rsid w:val="008072A5"/>
    <w:rsid w:val="008074BD"/>
    <w:rsid w:val="0080791F"/>
    <w:rsid w:val="008079A7"/>
    <w:rsid w:val="008100A0"/>
    <w:rsid w:val="0081128D"/>
    <w:rsid w:val="008112FD"/>
    <w:rsid w:val="00811344"/>
    <w:rsid w:val="0081297E"/>
    <w:rsid w:val="0081334F"/>
    <w:rsid w:val="008138F8"/>
    <w:rsid w:val="00813EDA"/>
    <w:rsid w:val="0081404E"/>
    <w:rsid w:val="00814F1F"/>
    <w:rsid w:val="008150A6"/>
    <w:rsid w:val="0081624A"/>
    <w:rsid w:val="0081643F"/>
    <w:rsid w:val="008168E7"/>
    <w:rsid w:val="00816957"/>
    <w:rsid w:val="00816DA0"/>
    <w:rsid w:val="008178C1"/>
    <w:rsid w:val="008205AD"/>
    <w:rsid w:val="00820868"/>
    <w:rsid w:val="008210DD"/>
    <w:rsid w:val="0082114E"/>
    <w:rsid w:val="008215FF"/>
    <w:rsid w:val="00821768"/>
    <w:rsid w:val="00823AAB"/>
    <w:rsid w:val="00823EC5"/>
    <w:rsid w:val="00823F98"/>
    <w:rsid w:val="0082530E"/>
    <w:rsid w:val="00825DF0"/>
    <w:rsid w:val="00826F26"/>
    <w:rsid w:val="00830A2A"/>
    <w:rsid w:val="00830E35"/>
    <w:rsid w:val="008316B9"/>
    <w:rsid w:val="00831DF6"/>
    <w:rsid w:val="00832596"/>
    <w:rsid w:val="008330DF"/>
    <w:rsid w:val="00834806"/>
    <w:rsid w:val="00834D98"/>
    <w:rsid w:val="0083673F"/>
    <w:rsid w:val="00836872"/>
    <w:rsid w:val="00836B3D"/>
    <w:rsid w:val="0084127C"/>
    <w:rsid w:val="00842861"/>
    <w:rsid w:val="00843842"/>
    <w:rsid w:val="0084413F"/>
    <w:rsid w:val="0084535A"/>
    <w:rsid w:val="00845854"/>
    <w:rsid w:val="00845D2C"/>
    <w:rsid w:val="008463B0"/>
    <w:rsid w:val="008471AF"/>
    <w:rsid w:val="00847478"/>
    <w:rsid w:val="008477A3"/>
    <w:rsid w:val="008500B4"/>
    <w:rsid w:val="0085042F"/>
    <w:rsid w:val="008508D9"/>
    <w:rsid w:val="008510D1"/>
    <w:rsid w:val="0085127B"/>
    <w:rsid w:val="008512B8"/>
    <w:rsid w:val="00851ACF"/>
    <w:rsid w:val="00853C15"/>
    <w:rsid w:val="00853C73"/>
    <w:rsid w:val="00854069"/>
    <w:rsid w:val="0085576D"/>
    <w:rsid w:val="00857C4F"/>
    <w:rsid w:val="00860783"/>
    <w:rsid w:val="00860BDF"/>
    <w:rsid w:val="008612F8"/>
    <w:rsid w:val="00861599"/>
    <w:rsid w:val="00861747"/>
    <w:rsid w:val="00861B10"/>
    <w:rsid w:val="008623EE"/>
    <w:rsid w:val="00862883"/>
    <w:rsid w:val="008628F1"/>
    <w:rsid w:val="00862A82"/>
    <w:rsid w:val="00862AA0"/>
    <w:rsid w:val="00864193"/>
    <w:rsid w:val="00864F30"/>
    <w:rsid w:val="00864FA4"/>
    <w:rsid w:val="0086619E"/>
    <w:rsid w:val="008662BF"/>
    <w:rsid w:val="00866CEE"/>
    <w:rsid w:val="008676DF"/>
    <w:rsid w:val="00867DDE"/>
    <w:rsid w:val="00867DF3"/>
    <w:rsid w:val="0087113F"/>
    <w:rsid w:val="00871AA9"/>
    <w:rsid w:val="00871C51"/>
    <w:rsid w:val="0087219B"/>
    <w:rsid w:val="0087466C"/>
    <w:rsid w:val="008746C8"/>
    <w:rsid w:val="00874F94"/>
    <w:rsid w:val="0087534D"/>
    <w:rsid w:val="008754BA"/>
    <w:rsid w:val="0087556D"/>
    <w:rsid w:val="008755F4"/>
    <w:rsid w:val="00876224"/>
    <w:rsid w:val="008766E7"/>
    <w:rsid w:val="0087697C"/>
    <w:rsid w:val="008769C7"/>
    <w:rsid w:val="00876CB6"/>
    <w:rsid w:val="00876F5A"/>
    <w:rsid w:val="008773E3"/>
    <w:rsid w:val="0088007F"/>
    <w:rsid w:val="00882272"/>
    <w:rsid w:val="00882D21"/>
    <w:rsid w:val="00883344"/>
    <w:rsid w:val="008833D4"/>
    <w:rsid w:val="0088491B"/>
    <w:rsid w:val="00884CC1"/>
    <w:rsid w:val="00884FBA"/>
    <w:rsid w:val="008855CC"/>
    <w:rsid w:val="00885A5A"/>
    <w:rsid w:val="00885D66"/>
    <w:rsid w:val="00886DF2"/>
    <w:rsid w:val="00887F02"/>
    <w:rsid w:val="00891487"/>
    <w:rsid w:val="0089185D"/>
    <w:rsid w:val="008919A0"/>
    <w:rsid w:val="00891B3B"/>
    <w:rsid w:val="0089286B"/>
    <w:rsid w:val="008932F4"/>
    <w:rsid w:val="00893CFC"/>
    <w:rsid w:val="00893E8A"/>
    <w:rsid w:val="00893F9A"/>
    <w:rsid w:val="008948EF"/>
    <w:rsid w:val="00894DD6"/>
    <w:rsid w:val="0089501A"/>
    <w:rsid w:val="008956C0"/>
    <w:rsid w:val="00896920"/>
    <w:rsid w:val="00896A68"/>
    <w:rsid w:val="00896C92"/>
    <w:rsid w:val="00896FB3"/>
    <w:rsid w:val="008973F5"/>
    <w:rsid w:val="00897E88"/>
    <w:rsid w:val="008A1510"/>
    <w:rsid w:val="008A1811"/>
    <w:rsid w:val="008A18B2"/>
    <w:rsid w:val="008A3ECC"/>
    <w:rsid w:val="008A482D"/>
    <w:rsid w:val="008A48AB"/>
    <w:rsid w:val="008A4EA5"/>
    <w:rsid w:val="008A6919"/>
    <w:rsid w:val="008A7D6E"/>
    <w:rsid w:val="008B0564"/>
    <w:rsid w:val="008B0752"/>
    <w:rsid w:val="008B0EA2"/>
    <w:rsid w:val="008B13F5"/>
    <w:rsid w:val="008B29F1"/>
    <w:rsid w:val="008B34B7"/>
    <w:rsid w:val="008B34DE"/>
    <w:rsid w:val="008B35B9"/>
    <w:rsid w:val="008B3728"/>
    <w:rsid w:val="008B5131"/>
    <w:rsid w:val="008B5E5B"/>
    <w:rsid w:val="008C065E"/>
    <w:rsid w:val="008C079F"/>
    <w:rsid w:val="008C0D3B"/>
    <w:rsid w:val="008C11C5"/>
    <w:rsid w:val="008C19E8"/>
    <w:rsid w:val="008C32E2"/>
    <w:rsid w:val="008C3301"/>
    <w:rsid w:val="008C4868"/>
    <w:rsid w:val="008C4A96"/>
    <w:rsid w:val="008C4CB8"/>
    <w:rsid w:val="008C4DA4"/>
    <w:rsid w:val="008C4F9E"/>
    <w:rsid w:val="008C4FC9"/>
    <w:rsid w:val="008C51FC"/>
    <w:rsid w:val="008C6C09"/>
    <w:rsid w:val="008C728C"/>
    <w:rsid w:val="008C7541"/>
    <w:rsid w:val="008C7664"/>
    <w:rsid w:val="008C7833"/>
    <w:rsid w:val="008C7B58"/>
    <w:rsid w:val="008C7D0F"/>
    <w:rsid w:val="008D0F4C"/>
    <w:rsid w:val="008D0FAD"/>
    <w:rsid w:val="008D181D"/>
    <w:rsid w:val="008D19BD"/>
    <w:rsid w:val="008D27C3"/>
    <w:rsid w:val="008D2AF5"/>
    <w:rsid w:val="008D2E20"/>
    <w:rsid w:val="008D429C"/>
    <w:rsid w:val="008D59F7"/>
    <w:rsid w:val="008D5AF9"/>
    <w:rsid w:val="008D729C"/>
    <w:rsid w:val="008D742F"/>
    <w:rsid w:val="008D765E"/>
    <w:rsid w:val="008D78EC"/>
    <w:rsid w:val="008D7C54"/>
    <w:rsid w:val="008D7ED9"/>
    <w:rsid w:val="008E0112"/>
    <w:rsid w:val="008E097B"/>
    <w:rsid w:val="008E0EEC"/>
    <w:rsid w:val="008E1296"/>
    <w:rsid w:val="008E1E62"/>
    <w:rsid w:val="008E2761"/>
    <w:rsid w:val="008E2AAE"/>
    <w:rsid w:val="008E322F"/>
    <w:rsid w:val="008E3674"/>
    <w:rsid w:val="008E3757"/>
    <w:rsid w:val="008E3C8A"/>
    <w:rsid w:val="008E418F"/>
    <w:rsid w:val="008E41FF"/>
    <w:rsid w:val="008E4986"/>
    <w:rsid w:val="008E4AA7"/>
    <w:rsid w:val="008E4D98"/>
    <w:rsid w:val="008E59FB"/>
    <w:rsid w:val="008E5D90"/>
    <w:rsid w:val="008E6AA7"/>
    <w:rsid w:val="008E7F47"/>
    <w:rsid w:val="008F0990"/>
    <w:rsid w:val="008F09E1"/>
    <w:rsid w:val="008F0ED5"/>
    <w:rsid w:val="008F12AF"/>
    <w:rsid w:val="008F1394"/>
    <w:rsid w:val="008F1B41"/>
    <w:rsid w:val="008F208D"/>
    <w:rsid w:val="008F245B"/>
    <w:rsid w:val="008F25E9"/>
    <w:rsid w:val="008F2B3D"/>
    <w:rsid w:val="008F2B8F"/>
    <w:rsid w:val="008F309D"/>
    <w:rsid w:val="008F369B"/>
    <w:rsid w:val="008F3999"/>
    <w:rsid w:val="008F4B89"/>
    <w:rsid w:val="008F50B8"/>
    <w:rsid w:val="008F50F2"/>
    <w:rsid w:val="008F5525"/>
    <w:rsid w:val="008F55C0"/>
    <w:rsid w:val="008F597C"/>
    <w:rsid w:val="008F5AB7"/>
    <w:rsid w:val="008F6573"/>
    <w:rsid w:val="008F6F2F"/>
    <w:rsid w:val="008F743E"/>
    <w:rsid w:val="008F7F80"/>
    <w:rsid w:val="0090018A"/>
    <w:rsid w:val="0090081A"/>
    <w:rsid w:val="00900ACE"/>
    <w:rsid w:val="00900EA8"/>
    <w:rsid w:val="00900F5C"/>
    <w:rsid w:val="00900FA6"/>
    <w:rsid w:val="00901D61"/>
    <w:rsid w:val="0090351D"/>
    <w:rsid w:val="00903E31"/>
    <w:rsid w:val="00904775"/>
    <w:rsid w:val="00904B78"/>
    <w:rsid w:val="00905206"/>
    <w:rsid w:val="00905624"/>
    <w:rsid w:val="0090580B"/>
    <w:rsid w:val="00905C44"/>
    <w:rsid w:val="00906127"/>
    <w:rsid w:val="009065FB"/>
    <w:rsid w:val="0090695B"/>
    <w:rsid w:val="009071A3"/>
    <w:rsid w:val="009071CC"/>
    <w:rsid w:val="00911A41"/>
    <w:rsid w:val="00911DCB"/>
    <w:rsid w:val="009122A5"/>
    <w:rsid w:val="00913F53"/>
    <w:rsid w:val="00914018"/>
    <w:rsid w:val="00914ADD"/>
    <w:rsid w:val="00915792"/>
    <w:rsid w:val="00915814"/>
    <w:rsid w:val="00915BB7"/>
    <w:rsid w:val="00916A88"/>
    <w:rsid w:val="009179DE"/>
    <w:rsid w:val="00917A94"/>
    <w:rsid w:val="00917C29"/>
    <w:rsid w:val="00917D4A"/>
    <w:rsid w:val="00917F86"/>
    <w:rsid w:val="009201A1"/>
    <w:rsid w:val="00920C28"/>
    <w:rsid w:val="009223BD"/>
    <w:rsid w:val="0092343F"/>
    <w:rsid w:val="0092351C"/>
    <w:rsid w:val="00925C0A"/>
    <w:rsid w:val="00926551"/>
    <w:rsid w:val="00926D90"/>
    <w:rsid w:val="00926E1E"/>
    <w:rsid w:val="00927B86"/>
    <w:rsid w:val="00927E80"/>
    <w:rsid w:val="00930C82"/>
    <w:rsid w:val="009320A9"/>
    <w:rsid w:val="00932390"/>
    <w:rsid w:val="009323F0"/>
    <w:rsid w:val="0093324C"/>
    <w:rsid w:val="009339C1"/>
    <w:rsid w:val="00933F04"/>
    <w:rsid w:val="00933FAD"/>
    <w:rsid w:val="0093436C"/>
    <w:rsid w:val="00934A3C"/>
    <w:rsid w:val="00934B93"/>
    <w:rsid w:val="00935B6A"/>
    <w:rsid w:val="00935DB2"/>
    <w:rsid w:val="00936DDD"/>
    <w:rsid w:val="009375CC"/>
    <w:rsid w:val="00937799"/>
    <w:rsid w:val="009378F6"/>
    <w:rsid w:val="00940562"/>
    <w:rsid w:val="00940DA6"/>
    <w:rsid w:val="00941AF0"/>
    <w:rsid w:val="00941FFA"/>
    <w:rsid w:val="0094256B"/>
    <w:rsid w:val="00942AA6"/>
    <w:rsid w:val="0094320A"/>
    <w:rsid w:val="009432E5"/>
    <w:rsid w:val="00943306"/>
    <w:rsid w:val="00943565"/>
    <w:rsid w:val="009443BA"/>
    <w:rsid w:val="009445B2"/>
    <w:rsid w:val="009447CD"/>
    <w:rsid w:val="00944F9A"/>
    <w:rsid w:val="0094625D"/>
    <w:rsid w:val="009470A2"/>
    <w:rsid w:val="00947567"/>
    <w:rsid w:val="00950014"/>
    <w:rsid w:val="009502B2"/>
    <w:rsid w:val="009504F1"/>
    <w:rsid w:val="009514F2"/>
    <w:rsid w:val="00952526"/>
    <w:rsid w:val="0095374C"/>
    <w:rsid w:val="00953D01"/>
    <w:rsid w:val="00955FEB"/>
    <w:rsid w:val="009573E9"/>
    <w:rsid w:val="00957778"/>
    <w:rsid w:val="00957901"/>
    <w:rsid w:val="00957AF7"/>
    <w:rsid w:val="00957C3D"/>
    <w:rsid w:val="00957C7D"/>
    <w:rsid w:val="00960139"/>
    <w:rsid w:val="00960D1E"/>
    <w:rsid w:val="00960F3B"/>
    <w:rsid w:val="0096161C"/>
    <w:rsid w:val="0096231E"/>
    <w:rsid w:val="009624D0"/>
    <w:rsid w:val="00962624"/>
    <w:rsid w:val="00962CC5"/>
    <w:rsid w:val="00962E5A"/>
    <w:rsid w:val="00962FB5"/>
    <w:rsid w:val="00964573"/>
    <w:rsid w:val="009657B0"/>
    <w:rsid w:val="00965BED"/>
    <w:rsid w:val="00966048"/>
    <w:rsid w:val="0096660A"/>
    <w:rsid w:val="0096687C"/>
    <w:rsid w:val="0096728C"/>
    <w:rsid w:val="009674CE"/>
    <w:rsid w:val="009675DC"/>
    <w:rsid w:val="0096799F"/>
    <w:rsid w:val="00967DA4"/>
    <w:rsid w:val="00967F7A"/>
    <w:rsid w:val="00970E32"/>
    <w:rsid w:val="009717E4"/>
    <w:rsid w:val="00971C8D"/>
    <w:rsid w:val="00971E8D"/>
    <w:rsid w:val="0097245C"/>
    <w:rsid w:val="00972FD0"/>
    <w:rsid w:val="009732D7"/>
    <w:rsid w:val="00973FB8"/>
    <w:rsid w:val="00975738"/>
    <w:rsid w:val="009760E8"/>
    <w:rsid w:val="00976E0D"/>
    <w:rsid w:val="00977602"/>
    <w:rsid w:val="00977915"/>
    <w:rsid w:val="0098000D"/>
    <w:rsid w:val="00980492"/>
    <w:rsid w:val="00980F00"/>
    <w:rsid w:val="00981651"/>
    <w:rsid w:val="009819EB"/>
    <w:rsid w:val="00982151"/>
    <w:rsid w:val="0098291C"/>
    <w:rsid w:val="00982FAC"/>
    <w:rsid w:val="00983524"/>
    <w:rsid w:val="00983A2C"/>
    <w:rsid w:val="00983BD5"/>
    <w:rsid w:val="00984352"/>
    <w:rsid w:val="0098484B"/>
    <w:rsid w:val="00985577"/>
    <w:rsid w:val="00985723"/>
    <w:rsid w:val="00986380"/>
    <w:rsid w:val="00986513"/>
    <w:rsid w:val="00986818"/>
    <w:rsid w:val="00986E5C"/>
    <w:rsid w:val="00987220"/>
    <w:rsid w:val="0098732B"/>
    <w:rsid w:val="00987C6E"/>
    <w:rsid w:val="009903FF"/>
    <w:rsid w:val="0099136B"/>
    <w:rsid w:val="00991C99"/>
    <w:rsid w:val="00992079"/>
    <w:rsid w:val="00992124"/>
    <w:rsid w:val="00992BD2"/>
    <w:rsid w:val="00992C29"/>
    <w:rsid w:val="00992ECC"/>
    <w:rsid w:val="00993104"/>
    <w:rsid w:val="00993FB0"/>
    <w:rsid w:val="00994DC0"/>
    <w:rsid w:val="009957E6"/>
    <w:rsid w:val="00995C13"/>
    <w:rsid w:val="0099796D"/>
    <w:rsid w:val="00997A0E"/>
    <w:rsid w:val="00997A73"/>
    <w:rsid w:val="009A0131"/>
    <w:rsid w:val="009A02DC"/>
    <w:rsid w:val="009A0C39"/>
    <w:rsid w:val="009A101E"/>
    <w:rsid w:val="009A10AD"/>
    <w:rsid w:val="009A1429"/>
    <w:rsid w:val="009A1792"/>
    <w:rsid w:val="009A2224"/>
    <w:rsid w:val="009A2241"/>
    <w:rsid w:val="009A2ABC"/>
    <w:rsid w:val="009A2ACD"/>
    <w:rsid w:val="009A3BBE"/>
    <w:rsid w:val="009A4750"/>
    <w:rsid w:val="009A4A8E"/>
    <w:rsid w:val="009A4AE9"/>
    <w:rsid w:val="009A4CBC"/>
    <w:rsid w:val="009A513F"/>
    <w:rsid w:val="009A536B"/>
    <w:rsid w:val="009A6637"/>
    <w:rsid w:val="009A6707"/>
    <w:rsid w:val="009A69AE"/>
    <w:rsid w:val="009A6BE9"/>
    <w:rsid w:val="009A7C20"/>
    <w:rsid w:val="009A7D44"/>
    <w:rsid w:val="009B121C"/>
    <w:rsid w:val="009B193D"/>
    <w:rsid w:val="009B24F4"/>
    <w:rsid w:val="009B26BD"/>
    <w:rsid w:val="009B2AD0"/>
    <w:rsid w:val="009B2FA3"/>
    <w:rsid w:val="009B3160"/>
    <w:rsid w:val="009B4880"/>
    <w:rsid w:val="009B6749"/>
    <w:rsid w:val="009B7947"/>
    <w:rsid w:val="009B7AAA"/>
    <w:rsid w:val="009B7EC8"/>
    <w:rsid w:val="009C0816"/>
    <w:rsid w:val="009C0933"/>
    <w:rsid w:val="009C0BC0"/>
    <w:rsid w:val="009C1281"/>
    <w:rsid w:val="009C18B8"/>
    <w:rsid w:val="009C1FF6"/>
    <w:rsid w:val="009C2BC1"/>
    <w:rsid w:val="009C2C64"/>
    <w:rsid w:val="009C2D58"/>
    <w:rsid w:val="009C2D91"/>
    <w:rsid w:val="009C30CD"/>
    <w:rsid w:val="009C3FE7"/>
    <w:rsid w:val="009C4052"/>
    <w:rsid w:val="009C41C4"/>
    <w:rsid w:val="009C4B92"/>
    <w:rsid w:val="009C4E23"/>
    <w:rsid w:val="009C5C27"/>
    <w:rsid w:val="009C5D88"/>
    <w:rsid w:val="009C708F"/>
    <w:rsid w:val="009C749D"/>
    <w:rsid w:val="009C7BD6"/>
    <w:rsid w:val="009D0997"/>
    <w:rsid w:val="009D24EE"/>
    <w:rsid w:val="009D3497"/>
    <w:rsid w:val="009D3797"/>
    <w:rsid w:val="009D3CB6"/>
    <w:rsid w:val="009D61F9"/>
    <w:rsid w:val="009D6463"/>
    <w:rsid w:val="009D67F6"/>
    <w:rsid w:val="009E0038"/>
    <w:rsid w:val="009E0871"/>
    <w:rsid w:val="009E08D8"/>
    <w:rsid w:val="009E0D61"/>
    <w:rsid w:val="009E0E29"/>
    <w:rsid w:val="009E162E"/>
    <w:rsid w:val="009E1A06"/>
    <w:rsid w:val="009E1C60"/>
    <w:rsid w:val="009E2B36"/>
    <w:rsid w:val="009E3523"/>
    <w:rsid w:val="009E4029"/>
    <w:rsid w:val="009E472F"/>
    <w:rsid w:val="009E4C27"/>
    <w:rsid w:val="009E5027"/>
    <w:rsid w:val="009E541E"/>
    <w:rsid w:val="009E594F"/>
    <w:rsid w:val="009E5DAA"/>
    <w:rsid w:val="009E5E19"/>
    <w:rsid w:val="009E67C8"/>
    <w:rsid w:val="009E7259"/>
    <w:rsid w:val="009E7C35"/>
    <w:rsid w:val="009F0CA6"/>
    <w:rsid w:val="009F0E85"/>
    <w:rsid w:val="009F13F4"/>
    <w:rsid w:val="009F1923"/>
    <w:rsid w:val="009F1ADB"/>
    <w:rsid w:val="009F2B68"/>
    <w:rsid w:val="009F2E93"/>
    <w:rsid w:val="009F3211"/>
    <w:rsid w:val="009F3649"/>
    <w:rsid w:val="009F3AE0"/>
    <w:rsid w:val="009F475E"/>
    <w:rsid w:val="009F4958"/>
    <w:rsid w:val="009F4DCA"/>
    <w:rsid w:val="009F4DF1"/>
    <w:rsid w:val="009F524B"/>
    <w:rsid w:val="009F58C5"/>
    <w:rsid w:val="009F5AAB"/>
    <w:rsid w:val="009F5CDA"/>
    <w:rsid w:val="009F6590"/>
    <w:rsid w:val="009F6C81"/>
    <w:rsid w:val="009F6FA9"/>
    <w:rsid w:val="00A00B63"/>
    <w:rsid w:val="00A00DB7"/>
    <w:rsid w:val="00A017AD"/>
    <w:rsid w:val="00A025FE"/>
    <w:rsid w:val="00A0387E"/>
    <w:rsid w:val="00A04DC5"/>
    <w:rsid w:val="00A0537C"/>
    <w:rsid w:val="00A06903"/>
    <w:rsid w:val="00A06D13"/>
    <w:rsid w:val="00A07679"/>
    <w:rsid w:val="00A102D9"/>
    <w:rsid w:val="00A10D97"/>
    <w:rsid w:val="00A10E97"/>
    <w:rsid w:val="00A117C1"/>
    <w:rsid w:val="00A11A3A"/>
    <w:rsid w:val="00A11FDF"/>
    <w:rsid w:val="00A1275E"/>
    <w:rsid w:val="00A12F03"/>
    <w:rsid w:val="00A130B5"/>
    <w:rsid w:val="00A16AC6"/>
    <w:rsid w:val="00A1741D"/>
    <w:rsid w:val="00A17FD8"/>
    <w:rsid w:val="00A17FF1"/>
    <w:rsid w:val="00A202CA"/>
    <w:rsid w:val="00A21287"/>
    <w:rsid w:val="00A21A5A"/>
    <w:rsid w:val="00A21DA6"/>
    <w:rsid w:val="00A21FB7"/>
    <w:rsid w:val="00A22142"/>
    <w:rsid w:val="00A22F3E"/>
    <w:rsid w:val="00A23334"/>
    <w:rsid w:val="00A237EE"/>
    <w:rsid w:val="00A23FE4"/>
    <w:rsid w:val="00A24A52"/>
    <w:rsid w:val="00A252D8"/>
    <w:rsid w:val="00A25C2B"/>
    <w:rsid w:val="00A26AFA"/>
    <w:rsid w:val="00A274FA"/>
    <w:rsid w:val="00A27B43"/>
    <w:rsid w:val="00A27B9E"/>
    <w:rsid w:val="00A30799"/>
    <w:rsid w:val="00A30CFE"/>
    <w:rsid w:val="00A31443"/>
    <w:rsid w:val="00A3237F"/>
    <w:rsid w:val="00A32CD0"/>
    <w:rsid w:val="00A33682"/>
    <w:rsid w:val="00A34741"/>
    <w:rsid w:val="00A34845"/>
    <w:rsid w:val="00A34D85"/>
    <w:rsid w:val="00A35075"/>
    <w:rsid w:val="00A354EB"/>
    <w:rsid w:val="00A35856"/>
    <w:rsid w:val="00A358ED"/>
    <w:rsid w:val="00A36457"/>
    <w:rsid w:val="00A374DD"/>
    <w:rsid w:val="00A376BC"/>
    <w:rsid w:val="00A37ED9"/>
    <w:rsid w:val="00A401F4"/>
    <w:rsid w:val="00A408D9"/>
    <w:rsid w:val="00A4168F"/>
    <w:rsid w:val="00A42FAD"/>
    <w:rsid w:val="00A436E4"/>
    <w:rsid w:val="00A43F4B"/>
    <w:rsid w:val="00A444D6"/>
    <w:rsid w:val="00A44F8E"/>
    <w:rsid w:val="00A4534A"/>
    <w:rsid w:val="00A457AF"/>
    <w:rsid w:val="00A467E3"/>
    <w:rsid w:val="00A46A46"/>
    <w:rsid w:val="00A4700A"/>
    <w:rsid w:val="00A47A0C"/>
    <w:rsid w:val="00A47A71"/>
    <w:rsid w:val="00A47BE2"/>
    <w:rsid w:val="00A51891"/>
    <w:rsid w:val="00A527D4"/>
    <w:rsid w:val="00A528FA"/>
    <w:rsid w:val="00A52E03"/>
    <w:rsid w:val="00A54407"/>
    <w:rsid w:val="00A55232"/>
    <w:rsid w:val="00A569FC"/>
    <w:rsid w:val="00A56DF2"/>
    <w:rsid w:val="00A57193"/>
    <w:rsid w:val="00A576D4"/>
    <w:rsid w:val="00A57AC2"/>
    <w:rsid w:val="00A57CD8"/>
    <w:rsid w:val="00A602D4"/>
    <w:rsid w:val="00A62043"/>
    <w:rsid w:val="00A622E7"/>
    <w:rsid w:val="00A633A6"/>
    <w:rsid w:val="00A6403E"/>
    <w:rsid w:val="00A649D7"/>
    <w:rsid w:val="00A64A37"/>
    <w:rsid w:val="00A655A8"/>
    <w:rsid w:val="00A657D5"/>
    <w:rsid w:val="00A6632C"/>
    <w:rsid w:val="00A67086"/>
    <w:rsid w:val="00A67543"/>
    <w:rsid w:val="00A6773E"/>
    <w:rsid w:val="00A70FB2"/>
    <w:rsid w:val="00A7162B"/>
    <w:rsid w:val="00A716F1"/>
    <w:rsid w:val="00A71C09"/>
    <w:rsid w:val="00A71EE7"/>
    <w:rsid w:val="00A72383"/>
    <w:rsid w:val="00A72F07"/>
    <w:rsid w:val="00A72F84"/>
    <w:rsid w:val="00A731B0"/>
    <w:rsid w:val="00A7425A"/>
    <w:rsid w:val="00A74D3F"/>
    <w:rsid w:val="00A75067"/>
    <w:rsid w:val="00A75503"/>
    <w:rsid w:val="00A75C79"/>
    <w:rsid w:val="00A76A8B"/>
    <w:rsid w:val="00A76EC2"/>
    <w:rsid w:val="00A77516"/>
    <w:rsid w:val="00A7799D"/>
    <w:rsid w:val="00A80649"/>
    <w:rsid w:val="00A81920"/>
    <w:rsid w:val="00A81FA1"/>
    <w:rsid w:val="00A82BB3"/>
    <w:rsid w:val="00A82E7D"/>
    <w:rsid w:val="00A831B2"/>
    <w:rsid w:val="00A84246"/>
    <w:rsid w:val="00A85B36"/>
    <w:rsid w:val="00A85C28"/>
    <w:rsid w:val="00A8711A"/>
    <w:rsid w:val="00A87FD8"/>
    <w:rsid w:val="00A9020C"/>
    <w:rsid w:val="00A90900"/>
    <w:rsid w:val="00A92B27"/>
    <w:rsid w:val="00A93997"/>
    <w:rsid w:val="00A948F6"/>
    <w:rsid w:val="00A94C1A"/>
    <w:rsid w:val="00A94FFF"/>
    <w:rsid w:val="00A95F93"/>
    <w:rsid w:val="00A96C26"/>
    <w:rsid w:val="00A972E6"/>
    <w:rsid w:val="00A97758"/>
    <w:rsid w:val="00A97BA3"/>
    <w:rsid w:val="00A97BB5"/>
    <w:rsid w:val="00A97C59"/>
    <w:rsid w:val="00AA0643"/>
    <w:rsid w:val="00AA0715"/>
    <w:rsid w:val="00AA0D76"/>
    <w:rsid w:val="00AA1486"/>
    <w:rsid w:val="00AA1CB4"/>
    <w:rsid w:val="00AA1D8D"/>
    <w:rsid w:val="00AA2ADE"/>
    <w:rsid w:val="00AA2CA4"/>
    <w:rsid w:val="00AA3B49"/>
    <w:rsid w:val="00AA3BF0"/>
    <w:rsid w:val="00AA4404"/>
    <w:rsid w:val="00AA5088"/>
    <w:rsid w:val="00AA51C5"/>
    <w:rsid w:val="00AA6421"/>
    <w:rsid w:val="00AA64AE"/>
    <w:rsid w:val="00AA682D"/>
    <w:rsid w:val="00AA7B92"/>
    <w:rsid w:val="00AA7F20"/>
    <w:rsid w:val="00AB191A"/>
    <w:rsid w:val="00AB314A"/>
    <w:rsid w:val="00AB4923"/>
    <w:rsid w:val="00AB54FF"/>
    <w:rsid w:val="00AB5F3D"/>
    <w:rsid w:val="00AB6987"/>
    <w:rsid w:val="00AB6E86"/>
    <w:rsid w:val="00AB7309"/>
    <w:rsid w:val="00AB7CCB"/>
    <w:rsid w:val="00AC20C8"/>
    <w:rsid w:val="00AC2F41"/>
    <w:rsid w:val="00AC3BF4"/>
    <w:rsid w:val="00AC3C92"/>
    <w:rsid w:val="00AC4D34"/>
    <w:rsid w:val="00AC4F94"/>
    <w:rsid w:val="00AC5940"/>
    <w:rsid w:val="00AC625D"/>
    <w:rsid w:val="00AC6867"/>
    <w:rsid w:val="00AC711E"/>
    <w:rsid w:val="00AD0065"/>
    <w:rsid w:val="00AD07E2"/>
    <w:rsid w:val="00AD198F"/>
    <w:rsid w:val="00AD2660"/>
    <w:rsid w:val="00AD2BFE"/>
    <w:rsid w:val="00AD4305"/>
    <w:rsid w:val="00AD4F1F"/>
    <w:rsid w:val="00AD615B"/>
    <w:rsid w:val="00AD7095"/>
    <w:rsid w:val="00AD7CAF"/>
    <w:rsid w:val="00AE1124"/>
    <w:rsid w:val="00AE1171"/>
    <w:rsid w:val="00AE2088"/>
    <w:rsid w:val="00AE47E7"/>
    <w:rsid w:val="00AE49BD"/>
    <w:rsid w:val="00AE4E77"/>
    <w:rsid w:val="00AE4EA7"/>
    <w:rsid w:val="00AE50A2"/>
    <w:rsid w:val="00AE518E"/>
    <w:rsid w:val="00AE5415"/>
    <w:rsid w:val="00AE7657"/>
    <w:rsid w:val="00AE7C64"/>
    <w:rsid w:val="00AF04E5"/>
    <w:rsid w:val="00AF19CB"/>
    <w:rsid w:val="00AF20B3"/>
    <w:rsid w:val="00AF2658"/>
    <w:rsid w:val="00AF2747"/>
    <w:rsid w:val="00AF49BC"/>
    <w:rsid w:val="00AF555C"/>
    <w:rsid w:val="00AF5C28"/>
    <w:rsid w:val="00AF5F52"/>
    <w:rsid w:val="00AF6B5E"/>
    <w:rsid w:val="00AF6C3B"/>
    <w:rsid w:val="00AF7C4E"/>
    <w:rsid w:val="00B004CD"/>
    <w:rsid w:val="00B017BB"/>
    <w:rsid w:val="00B01A96"/>
    <w:rsid w:val="00B0200B"/>
    <w:rsid w:val="00B023E3"/>
    <w:rsid w:val="00B02417"/>
    <w:rsid w:val="00B02D37"/>
    <w:rsid w:val="00B03407"/>
    <w:rsid w:val="00B03AE8"/>
    <w:rsid w:val="00B0476B"/>
    <w:rsid w:val="00B05337"/>
    <w:rsid w:val="00B05772"/>
    <w:rsid w:val="00B059C7"/>
    <w:rsid w:val="00B06452"/>
    <w:rsid w:val="00B070F4"/>
    <w:rsid w:val="00B07352"/>
    <w:rsid w:val="00B10217"/>
    <w:rsid w:val="00B10F7E"/>
    <w:rsid w:val="00B11667"/>
    <w:rsid w:val="00B12121"/>
    <w:rsid w:val="00B126F8"/>
    <w:rsid w:val="00B1295D"/>
    <w:rsid w:val="00B12E32"/>
    <w:rsid w:val="00B12FF5"/>
    <w:rsid w:val="00B13153"/>
    <w:rsid w:val="00B131A8"/>
    <w:rsid w:val="00B13352"/>
    <w:rsid w:val="00B13A79"/>
    <w:rsid w:val="00B14718"/>
    <w:rsid w:val="00B1592C"/>
    <w:rsid w:val="00B15BF0"/>
    <w:rsid w:val="00B1624F"/>
    <w:rsid w:val="00B16ACE"/>
    <w:rsid w:val="00B17684"/>
    <w:rsid w:val="00B176D6"/>
    <w:rsid w:val="00B179A1"/>
    <w:rsid w:val="00B21796"/>
    <w:rsid w:val="00B21D69"/>
    <w:rsid w:val="00B21F67"/>
    <w:rsid w:val="00B22805"/>
    <w:rsid w:val="00B228E1"/>
    <w:rsid w:val="00B2292B"/>
    <w:rsid w:val="00B22F79"/>
    <w:rsid w:val="00B233EB"/>
    <w:rsid w:val="00B2341D"/>
    <w:rsid w:val="00B23C14"/>
    <w:rsid w:val="00B23CE6"/>
    <w:rsid w:val="00B23F6E"/>
    <w:rsid w:val="00B24B4B"/>
    <w:rsid w:val="00B25623"/>
    <w:rsid w:val="00B256E1"/>
    <w:rsid w:val="00B25EED"/>
    <w:rsid w:val="00B27420"/>
    <w:rsid w:val="00B3035A"/>
    <w:rsid w:val="00B30AB7"/>
    <w:rsid w:val="00B31356"/>
    <w:rsid w:val="00B31DBB"/>
    <w:rsid w:val="00B3213A"/>
    <w:rsid w:val="00B330CD"/>
    <w:rsid w:val="00B3352C"/>
    <w:rsid w:val="00B33BBB"/>
    <w:rsid w:val="00B34621"/>
    <w:rsid w:val="00B348B5"/>
    <w:rsid w:val="00B34C72"/>
    <w:rsid w:val="00B355A1"/>
    <w:rsid w:val="00B3580C"/>
    <w:rsid w:val="00B35BF8"/>
    <w:rsid w:val="00B36BEF"/>
    <w:rsid w:val="00B3764E"/>
    <w:rsid w:val="00B3786F"/>
    <w:rsid w:val="00B37FA9"/>
    <w:rsid w:val="00B40332"/>
    <w:rsid w:val="00B40E85"/>
    <w:rsid w:val="00B419C3"/>
    <w:rsid w:val="00B41C5C"/>
    <w:rsid w:val="00B428BE"/>
    <w:rsid w:val="00B429B8"/>
    <w:rsid w:val="00B4409D"/>
    <w:rsid w:val="00B44481"/>
    <w:rsid w:val="00B44790"/>
    <w:rsid w:val="00B44AFF"/>
    <w:rsid w:val="00B44BB0"/>
    <w:rsid w:val="00B45037"/>
    <w:rsid w:val="00B464A0"/>
    <w:rsid w:val="00B46A68"/>
    <w:rsid w:val="00B47346"/>
    <w:rsid w:val="00B476D3"/>
    <w:rsid w:val="00B478E7"/>
    <w:rsid w:val="00B47FAE"/>
    <w:rsid w:val="00B50ECE"/>
    <w:rsid w:val="00B50FEC"/>
    <w:rsid w:val="00B51151"/>
    <w:rsid w:val="00B51A80"/>
    <w:rsid w:val="00B51DD0"/>
    <w:rsid w:val="00B522E5"/>
    <w:rsid w:val="00B53234"/>
    <w:rsid w:val="00B535D5"/>
    <w:rsid w:val="00B53862"/>
    <w:rsid w:val="00B54635"/>
    <w:rsid w:val="00B552D3"/>
    <w:rsid w:val="00B5577D"/>
    <w:rsid w:val="00B55902"/>
    <w:rsid w:val="00B55F1C"/>
    <w:rsid w:val="00B56789"/>
    <w:rsid w:val="00B56F3F"/>
    <w:rsid w:val="00B57059"/>
    <w:rsid w:val="00B57B0F"/>
    <w:rsid w:val="00B57DB8"/>
    <w:rsid w:val="00B60373"/>
    <w:rsid w:val="00B60B0F"/>
    <w:rsid w:val="00B61005"/>
    <w:rsid w:val="00B61B0F"/>
    <w:rsid w:val="00B6229D"/>
    <w:rsid w:val="00B624E2"/>
    <w:rsid w:val="00B62B7A"/>
    <w:rsid w:val="00B62BA9"/>
    <w:rsid w:val="00B62D01"/>
    <w:rsid w:val="00B6357F"/>
    <w:rsid w:val="00B6445D"/>
    <w:rsid w:val="00B6467E"/>
    <w:rsid w:val="00B65283"/>
    <w:rsid w:val="00B658C3"/>
    <w:rsid w:val="00B66291"/>
    <w:rsid w:val="00B6675B"/>
    <w:rsid w:val="00B6682A"/>
    <w:rsid w:val="00B66B17"/>
    <w:rsid w:val="00B67283"/>
    <w:rsid w:val="00B67767"/>
    <w:rsid w:val="00B70CF1"/>
    <w:rsid w:val="00B70F22"/>
    <w:rsid w:val="00B72103"/>
    <w:rsid w:val="00B728FC"/>
    <w:rsid w:val="00B72A63"/>
    <w:rsid w:val="00B72FF4"/>
    <w:rsid w:val="00B73416"/>
    <w:rsid w:val="00B7356E"/>
    <w:rsid w:val="00B735DF"/>
    <w:rsid w:val="00B73750"/>
    <w:rsid w:val="00B75049"/>
    <w:rsid w:val="00B75232"/>
    <w:rsid w:val="00B772E2"/>
    <w:rsid w:val="00B77A38"/>
    <w:rsid w:val="00B77F2B"/>
    <w:rsid w:val="00B806FD"/>
    <w:rsid w:val="00B8097C"/>
    <w:rsid w:val="00B819BB"/>
    <w:rsid w:val="00B81D66"/>
    <w:rsid w:val="00B8243B"/>
    <w:rsid w:val="00B82594"/>
    <w:rsid w:val="00B82B5C"/>
    <w:rsid w:val="00B830F7"/>
    <w:rsid w:val="00B8375D"/>
    <w:rsid w:val="00B83B7A"/>
    <w:rsid w:val="00B84693"/>
    <w:rsid w:val="00B84B69"/>
    <w:rsid w:val="00B85BED"/>
    <w:rsid w:val="00B864AB"/>
    <w:rsid w:val="00B866A4"/>
    <w:rsid w:val="00B871A7"/>
    <w:rsid w:val="00B873FA"/>
    <w:rsid w:val="00B87AD2"/>
    <w:rsid w:val="00B87B46"/>
    <w:rsid w:val="00B87F41"/>
    <w:rsid w:val="00B90750"/>
    <w:rsid w:val="00B90C17"/>
    <w:rsid w:val="00B916E4"/>
    <w:rsid w:val="00B91C94"/>
    <w:rsid w:val="00B92D0D"/>
    <w:rsid w:val="00B93311"/>
    <w:rsid w:val="00B9370B"/>
    <w:rsid w:val="00B93786"/>
    <w:rsid w:val="00B9516D"/>
    <w:rsid w:val="00B9528D"/>
    <w:rsid w:val="00B96888"/>
    <w:rsid w:val="00B96C11"/>
    <w:rsid w:val="00B970C6"/>
    <w:rsid w:val="00BA0766"/>
    <w:rsid w:val="00BA0A60"/>
    <w:rsid w:val="00BA0FC7"/>
    <w:rsid w:val="00BA1E8F"/>
    <w:rsid w:val="00BA29FE"/>
    <w:rsid w:val="00BA2AE7"/>
    <w:rsid w:val="00BA36CC"/>
    <w:rsid w:val="00BA38A0"/>
    <w:rsid w:val="00BA4310"/>
    <w:rsid w:val="00BA4349"/>
    <w:rsid w:val="00BA440A"/>
    <w:rsid w:val="00BA4906"/>
    <w:rsid w:val="00BA49FF"/>
    <w:rsid w:val="00BA54F0"/>
    <w:rsid w:val="00BA58EA"/>
    <w:rsid w:val="00BA5A2F"/>
    <w:rsid w:val="00BA6836"/>
    <w:rsid w:val="00BA6DE4"/>
    <w:rsid w:val="00BA6E5D"/>
    <w:rsid w:val="00BA7013"/>
    <w:rsid w:val="00BB129E"/>
    <w:rsid w:val="00BB1DE2"/>
    <w:rsid w:val="00BB26E2"/>
    <w:rsid w:val="00BB2B2F"/>
    <w:rsid w:val="00BB2D72"/>
    <w:rsid w:val="00BB38A9"/>
    <w:rsid w:val="00BB3C64"/>
    <w:rsid w:val="00BB41AD"/>
    <w:rsid w:val="00BB4FB0"/>
    <w:rsid w:val="00BB5ECD"/>
    <w:rsid w:val="00BB5F51"/>
    <w:rsid w:val="00BB6521"/>
    <w:rsid w:val="00BC0036"/>
    <w:rsid w:val="00BC036E"/>
    <w:rsid w:val="00BC059D"/>
    <w:rsid w:val="00BC11DD"/>
    <w:rsid w:val="00BC16B3"/>
    <w:rsid w:val="00BC1FD2"/>
    <w:rsid w:val="00BC247B"/>
    <w:rsid w:val="00BC24F5"/>
    <w:rsid w:val="00BC2740"/>
    <w:rsid w:val="00BC27EB"/>
    <w:rsid w:val="00BC440C"/>
    <w:rsid w:val="00BC4435"/>
    <w:rsid w:val="00BC4E64"/>
    <w:rsid w:val="00BC5447"/>
    <w:rsid w:val="00BC5E1C"/>
    <w:rsid w:val="00BC665E"/>
    <w:rsid w:val="00BC6AAC"/>
    <w:rsid w:val="00BD0480"/>
    <w:rsid w:val="00BD089D"/>
    <w:rsid w:val="00BD0D3C"/>
    <w:rsid w:val="00BD201A"/>
    <w:rsid w:val="00BD256D"/>
    <w:rsid w:val="00BD2D67"/>
    <w:rsid w:val="00BD3C34"/>
    <w:rsid w:val="00BD4553"/>
    <w:rsid w:val="00BD4919"/>
    <w:rsid w:val="00BD50AB"/>
    <w:rsid w:val="00BD5686"/>
    <w:rsid w:val="00BD56C7"/>
    <w:rsid w:val="00BD5D8A"/>
    <w:rsid w:val="00BD616A"/>
    <w:rsid w:val="00BD773B"/>
    <w:rsid w:val="00BD7A3D"/>
    <w:rsid w:val="00BE0757"/>
    <w:rsid w:val="00BE07AD"/>
    <w:rsid w:val="00BE1AF1"/>
    <w:rsid w:val="00BE20E7"/>
    <w:rsid w:val="00BE350D"/>
    <w:rsid w:val="00BE36DC"/>
    <w:rsid w:val="00BE441F"/>
    <w:rsid w:val="00BE56F4"/>
    <w:rsid w:val="00BE627F"/>
    <w:rsid w:val="00BE7ACF"/>
    <w:rsid w:val="00BF176E"/>
    <w:rsid w:val="00BF1F24"/>
    <w:rsid w:val="00BF293E"/>
    <w:rsid w:val="00BF2E67"/>
    <w:rsid w:val="00BF30B1"/>
    <w:rsid w:val="00BF4AC3"/>
    <w:rsid w:val="00BF516A"/>
    <w:rsid w:val="00BF6453"/>
    <w:rsid w:val="00BF68F6"/>
    <w:rsid w:val="00BF70C5"/>
    <w:rsid w:val="00BF7C2B"/>
    <w:rsid w:val="00C0005C"/>
    <w:rsid w:val="00C0051E"/>
    <w:rsid w:val="00C00846"/>
    <w:rsid w:val="00C01573"/>
    <w:rsid w:val="00C0163E"/>
    <w:rsid w:val="00C0165C"/>
    <w:rsid w:val="00C01795"/>
    <w:rsid w:val="00C01887"/>
    <w:rsid w:val="00C02230"/>
    <w:rsid w:val="00C04513"/>
    <w:rsid w:val="00C05A69"/>
    <w:rsid w:val="00C05B5C"/>
    <w:rsid w:val="00C0667B"/>
    <w:rsid w:val="00C06B56"/>
    <w:rsid w:val="00C1020F"/>
    <w:rsid w:val="00C10E90"/>
    <w:rsid w:val="00C1111F"/>
    <w:rsid w:val="00C12C7F"/>
    <w:rsid w:val="00C12D3B"/>
    <w:rsid w:val="00C12EC4"/>
    <w:rsid w:val="00C13A42"/>
    <w:rsid w:val="00C15718"/>
    <w:rsid w:val="00C15F7D"/>
    <w:rsid w:val="00C16C22"/>
    <w:rsid w:val="00C2106D"/>
    <w:rsid w:val="00C2144E"/>
    <w:rsid w:val="00C222FF"/>
    <w:rsid w:val="00C223B5"/>
    <w:rsid w:val="00C22B40"/>
    <w:rsid w:val="00C22F83"/>
    <w:rsid w:val="00C243DB"/>
    <w:rsid w:val="00C243E4"/>
    <w:rsid w:val="00C246FC"/>
    <w:rsid w:val="00C278B8"/>
    <w:rsid w:val="00C27D6F"/>
    <w:rsid w:val="00C27FD2"/>
    <w:rsid w:val="00C3104E"/>
    <w:rsid w:val="00C32701"/>
    <w:rsid w:val="00C32D77"/>
    <w:rsid w:val="00C32E9C"/>
    <w:rsid w:val="00C332CD"/>
    <w:rsid w:val="00C33435"/>
    <w:rsid w:val="00C33478"/>
    <w:rsid w:val="00C343E3"/>
    <w:rsid w:val="00C34DB7"/>
    <w:rsid w:val="00C35985"/>
    <w:rsid w:val="00C35EAC"/>
    <w:rsid w:val="00C35EC5"/>
    <w:rsid w:val="00C377D4"/>
    <w:rsid w:val="00C3793A"/>
    <w:rsid w:val="00C40531"/>
    <w:rsid w:val="00C40F9F"/>
    <w:rsid w:val="00C41314"/>
    <w:rsid w:val="00C41343"/>
    <w:rsid w:val="00C42101"/>
    <w:rsid w:val="00C42CAD"/>
    <w:rsid w:val="00C43F41"/>
    <w:rsid w:val="00C4527A"/>
    <w:rsid w:val="00C45320"/>
    <w:rsid w:val="00C455B1"/>
    <w:rsid w:val="00C45F71"/>
    <w:rsid w:val="00C46173"/>
    <w:rsid w:val="00C464CE"/>
    <w:rsid w:val="00C46972"/>
    <w:rsid w:val="00C47CB6"/>
    <w:rsid w:val="00C47F00"/>
    <w:rsid w:val="00C502D5"/>
    <w:rsid w:val="00C5067C"/>
    <w:rsid w:val="00C50728"/>
    <w:rsid w:val="00C509FB"/>
    <w:rsid w:val="00C50DB2"/>
    <w:rsid w:val="00C51186"/>
    <w:rsid w:val="00C51F4C"/>
    <w:rsid w:val="00C52070"/>
    <w:rsid w:val="00C527DD"/>
    <w:rsid w:val="00C52C63"/>
    <w:rsid w:val="00C52D0A"/>
    <w:rsid w:val="00C52D98"/>
    <w:rsid w:val="00C53C2B"/>
    <w:rsid w:val="00C53FB4"/>
    <w:rsid w:val="00C540A6"/>
    <w:rsid w:val="00C541A8"/>
    <w:rsid w:val="00C55B2C"/>
    <w:rsid w:val="00C56194"/>
    <w:rsid w:val="00C5639F"/>
    <w:rsid w:val="00C56D18"/>
    <w:rsid w:val="00C5742B"/>
    <w:rsid w:val="00C577D5"/>
    <w:rsid w:val="00C6061B"/>
    <w:rsid w:val="00C60667"/>
    <w:rsid w:val="00C60850"/>
    <w:rsid w:val="00C60D8C"/>
    <w:rsid w:val="00C60EE8"/>
    <w:rsid w:val="00C615AE"/>
    <w:rsid w:val="00C615C1"/>
    <w:rsid w:val="00C616E5"/>
    <w:rsid w:val="00C629DD"/>
    <w:rsid w:val="00C62A03"/>
    <w:rsid w:val="00C62E02"/>
    <w:rsid w:val="00C63A24"/>
    <w:rsid w:val="00C63E32"/>
    <w:rsid w:val="00C64E52"/>
    <w:rsid w:val="00C65ED3"/>
    <w:rsid w:val="00C65F9F"/>
    <w:rsid w:val="00C66210"/>
    <w:rsid w:val="00C66B0C"/>
    <w:rsid w:val="00C66BC4"/>
    <w:rsid w:val="00C66DAE"/>
    <w:rsid w:val="00C66F61"/>
    <w:rsid w:val="00C70657"/>
    <w:rsid w:val="00C714E9"/>
    <w:rsid w:val="00C714FD"/>
    <w:rsid w:val="00C71689"/>
    <w:rsid w:val="00C7195E"/>
    <w:rsid w:val="00C71AA7"/>
    <w:rsid w:val="00C73ACF"/>
    <w:rsid w:val="00C73EC2"/>
    <w:rsid w:val="00C746BE"/>
    <w:rsid w:val="00C74966"/>
    <w:rsid w:val="00C7519B"/>
    <w:rsid w:val="00C767B2"/>
    <w:rsid w:val="00C77B77"/>
    <w:rsid w:val="00C77E35"/>
    <w:rsid w:val="00C805C4"/>
    <w:rsid w:val="00C8088F"/>
    <w:rsid w:val="00C81351"/>
    <w:rsid w:val="00C81B5F"/>
    <w:rsid w:val="00C82ED5"/>
    <w:rsid w:val="00C8351B"/>
    <w:rsid w:val="00C841C6"/>
    <w:rsid w:val="00C84C4F"/>
    <w:rsid w:val="00C84D8E"/>
    <w:rsid w:val="00C84F5C"/>
    <w:rsid w:val="00C86810"/>
    <w:rsid w:val="00C8696C"/>
    <w:rsid w:val="00C87BF5"/>
    <w:rsid w:val="00C91088"/>
    <w:rsid w:val="00C9196A"/>
    <w:rsid w:val="00C92B75"/>
    <w:rsid w:val="00C92ED6"/>
    <w:rsid w:val="00C9319C"/>
    <w:rsid w:val="00C945DF"/>
    <w:rsid w:val="00C95285"/>
    <w:rsid w:val="00C95325"/>
    <w:rsid w:val="00C9535E"/>
    <w:rsid w:val="00C95992"/>
    <w:rsid w:val="00C969CA"/>
    <w:rsid w:val="00C96A7F"/>
    <w:rsid w:val="00C96B4A"/>
    <w:rsid w:val="00C96E29"/>
    <w:rsid w:val="00C97678"/>
    <w:rsid w:val="00C97893"/>
    <w:rsid w:val="00C9798E"/>
    <w:rsid w:val="00C97B2D"/>
    <w:rsid w:val="00C97CD2"/>
    <w:rsid w:val="00C97FAD"/>
    <w:rsid w:val="00CA0832"/>
    <w:rsid w:val="00CA0981"/>
    <w:rsid w:val="00CA0EE1"/>
    <w:rsid w:val="00CA11BB"/>
    <w:rsid w:val="00CA1A92"/>
    <w:rsid w:val="00CA1F0D"/>
    <w:rsid w:val="00CA2158"/>
    <w:rsid w:val="00CA3854"/>
    <w:rsid w:val="00CA3A01"/>
    <w:rsid w:val="00CA3AB1"/>
    <w:rsid w:val="00CA4747"/>
    <w:rsid w:val="00CA4BDA"/>
    <w:rsid w:val="00CA4C52"/>
    <w:rsid w:val="00CA5328"/>
    <w:rsid w:val="00CA5646"/>
    <w:rsid w:val="00CA5679"/>
    <w:rsid w:val="00CA5D94"/>
    <w:rsid w:val="00CA6A5A"/>
    <w:rsid w:val="00CA703F"/>
    <w:rsid w:val="00CB089F"/>
    <w:rsid w:val="00CB11A9"/>
    <w:rsid w:val="00CB1CCF"/>
    <w:rsid w:val="00CB2068"/>
    <w:rsid w:val="00CB2CBF"/>
    <w:rsid w:val="00CB37AC"/>
    <w:rsid w:val="00CB589F"/>
    <w:rsid w:val="00CB59F8"/>
    <w:rsid w:val="00CB6002"/>
    <w:rsid w:val="00CB718A"/>
    <w:rsid w:val="00CB7BFF"/>
    <w:rsid w:val="00CC0A31"/>
    <w:rsid w:val="00CC1339"/>
    <w:rsid w:val="00CC1FCD"/>
    <w:rsid w:val="00CC2B1C"/>
    <w:rsid w:val="00CC2EEC"/>
    <w:rsid w:val="00CC3A30"/>
    <w:rsid w:val="00CC404C"/>
    <w:rsid w:val="00CC459F"/>
    <w:rsid w:val="00CC49A5"/>
    <w:rsid w:val="00CC53B6"/>
    <w:rsid w:val="00CC5BF3"/>
    <w:rsid w:val="00CC68AC"/>
    <w:rsid w:val="00CC6B89"/>
    <w:rsid w:val="00CC77CF"/>
    <w:rsid w:val="00CD23F8"/>
    <w:rsid w:val="00CD2448"/>
    <w:rsid w:val="00CD32EB"/>
    <w:rsid w:val="00CD3972"/>
    <w:rsid w:val="00CD46FD"/>
    <w:rsid w:val="00CD5A77"/>
    <w:rsid w:val="00CD7528"/>
    <w:rsid w:val="00CD7621"/>
    <w:rsid w:val="00CD7906"/>
    <w:rsid w:val="00CD7C8D"/>
    <w:rsid w:val="00CE1496"/>
    <w:rsid w:val="00CE174A"/>
    <w:rsid w:val="00CE1E0F"/>
    <w:rsid w:val="00CE1E6D"/>
    <w:rsid w:val="00CE28C8"/>
    <w:rsid w:val="00CE34B4"/>
    <w:rsid w:val="00CE44D4"/>
    <w:rsid w:val="00CE4725"/>
    <w:rsid w:val="00CE535A"/>
    <w:rsid w:val="00CE56F7"/>
    <w:rsid w:val="00CE5E7A"/>
    <w:rsid w:val="00CE6942"/>
    <w:rsid w:val="00CE6BF1"/>
    <w:rsid w:val="00CE74CD"/>
    <w:rsid w:val="00CE7503"/>
    <w:rsid w:val="00CE7B3C"/>
    <w:rsid w:val="00CE7CEE"/>
    <w:rsid w:val="00CF0427"/>
    <w:rsid w:val="00CF08B7"/>
    <w:rsid w:val="00CF09B1"/>
    <w:rsid w:val="00CF1769"/>
    <w:rsid w:val="00CF19F5"/>
    <w:rsid w:val="00CF232D"/>
    <w:rsid w:val="00CF29F4"/>
    <w:rsid w:val="00CF3478"/>
    <w:rsid w:val="00CF34E5"/>
    <w:rsid w:val="00CF35DD"/>
    <w:rsid w:val="00CF3DC1"/>
    <w:rsid w:val="00CF4868"/>
    <w:rsid w:val="00CF4D84"/>
    <w:rsid w:val="00CF5025"/>
    <w:rsid w:val="00CF5E56"/>
    <w:rsid w:val="00CF64AB"/>
    <w:rsid w:val="00CF69F0"/>
    <w:rsid w:val="00CF71AD"/>
    <w:rsid w:val="00CF7EE1"/>
    <w:rsid w:val="00D0087B"/>
    <w:rsid w:val="00D00E33"/>
    <w:rsid w:val="00D01E6F"/>
    <w:rsid w:val="00D0404D"/>
    <w:rsid w:val="00D041D1"/>
    <w:rsid w:val="00D04DE8"/>
    <w:rsid w:val="00D055D9"/>
    <w:rsid w:val="00D05916"/>
    <w:rsid w:val="00D05B48"/>
    <w:rsid w:val="00D05E2C"/>
    <w:rsid w:val="00D05FE2"/>
    <w:rsid w:val="00D06C42"/>
    <w:rsid w:val="00D070EF"/>
    <w:rsid w:val="00D071B8"/>
    <w:rsid w:val="00D07432"/>
    <w:rsid w:val="00D07FC1"/>
    <w:rsid w:val="00D110CD"/>
    <w:rsid w:val="00D11538"/>
    <w:rsid w:val="00D11625"/>
    <w:rsid w:val="00D119C0"/>
    <w:rsid w:val="00D1245E"/>
    <w:rsid w:val="00D12A52"/>
    <w:rsid w:val="00D12C41"/>
    <w:rsid w:val="00D13094"/>
    <w:rsid w:val="00D13221"/>
    <w:rsid w:val="00D14D2F"/>
    <w:rsid w:val="00D154BD"/>
    <w:rsid w:val="00D15AA2"/>
    <w:rsid w:val="00D1611A"/>
    <w:rsid w:val="00D1619C"/>
    <w:rsid w:val="00D16871"/>
    <w:rsid w:val="00D16C34"/>
    <w:rsid w:val="00D176C9"/>
    <w:rsid w:val="00D17B0D"/>
    <w:rsid w:val="00D2012C"/>
    <w:rsid w:val="00D20818"/>
    <w:rsid w:val="00D20880"/>
    <w:rsid w:val="00D20CB1"/>
    <w:rsid w:val="00D2112C"/>
    <w:rsid w:val="00D21924"/>
    <w:rsid w:val="00D21DEE"/>
    <w:rsid w:val="00D21EF6"/>
    <w:rsid w:val="00D22EA5"/>
    <w:rsid w:val="00D232F1"/>
    <w:rsid w:val="00D23678"/>
    <w:rsid w:val="00D23CCF"/>
    <w:rsid w:val="00D24256"/>
    <w:rsid w:val="00D245EB"/>
    <w:rsid w:val="00D24758"/>
    <w:rsid w:val="00D25350"/>
    <w:rsid w:val="00D25754"/>
    <w:rsid w:val="00D257DB"/>
    <w:rsid w:val="00D25B6B"/>
    <w:rsid w:val="00D260FE"/>
    <w:rsid w:val="00D30025"/>
    <w:rsid w:val="00D3037B"/>
    <w:rsid w:val="00D30612"/>
    <w:rsid w:val="00D30AED"/>
    <w:rsid w:val="00D31452"/>
    <w:rsid w:val="00D314FD"/>
    <w:rsid w:val="00D3170D"/>
    <w:rsid w:val="00D321ED"/>
    <w:rsid w:val="00D32F97"/>
    <w:rsid w:val="00D334E7"/>
    <w:rsid w:val="00D33CC1"/>
    <w:rsid w:val="00D345A7"/>
    <w:rsid w:val="00D34AEB"/>
    <w:rsid w:val="00D34FE1"/>
    <w:rsid w:val="00D3533C"/>
    <w:rsid w:val="00D356C0"/>
    <w:rsid w:val="00D3598A"/>
    <w:rsid w:val="00D35FAE"/>
    <w:rsid w:val="00D37143"/>
    <w:rsid w:val="00D377CE"/>
    <w:rsid w:val="00D40283"/>
    <w:rsid w:val="00D404CF"/>
    <w:rsid w:val="00D40E48"/>
    <w:rsid w:val="00D41FE8"/>
    <w:rsid w:val="00D43ECB"/>
    <w:rsid w:val="00D455BA"/>
    <w:rsid w:val="00D459F7"/>
    <w:rsid w:val="00D45F70"/>
    <w:rsid w:val="00D46B1F"/>
    <w:rsid w:val="00D47085"/>
    <w:rsid w:val="00D4788F"/>
    <w:rsid w:val="00D47EFB"/>
    <w:rsid w:val="00D50093"/>
    <w:rsid w:val="00D50A99"/>
    <w:rsid w:val="00D50B14"/>
    <w:rsid w:val="00D50DEE"/>
    <w:rsid w:val="00D534E1"/>
    <w:rsid w:val="00D53570"/>
    <w:rsid w:val="00D53835"/>
    <w:rsid w:val="00D53A80"/>
    <w:rsid w:val="00D541AF"/>
    <w:rsid w:val="00D54872"/>
    <w:rsid w:val="00D55357"/>
    <w:rsid w:val="00D55602"/>
    <w:rsid w:val="00D556C4"/>
    <w:rsid w:val="00D56445"/>
    <w:rsid w:val="00D564B9"/>
    <w:rsid w:val="00D56D84"/>
    <w:rsid w:val="00D576BA"/>
    <w:rsid w:val="00D57B97"/>
    <w:rsid w:val="00D6049C"/>
    <w:rsid w:val="00D608E5"/>
    <w:rsid w:val="00D61829"/>
    <w:rsid w:val="00D62155"/>
    <w:rsid w:val="00D62354"/>
    <w:rsid w:val="00D623C6"/>
    <w:rsid w:val="00D62DBE"/>
    <w:rsid w:val="00D62EB8"/>
    <w:rsid w:val="00D63C22"/>
    <w:rsid w:val="00D678BA"/>
    <w:rsid w:val="00D67C39"/>
    <w:rsid w:val="00D67DEC"/>
    <w:rsid w:val="00D67F6A"/>
    <w:rsid w:val="00D7111B"/>
    <w:rsid w:val="00D71BC8"/>
    <w:rsid w:val="00D72150"/>
    <w:rsid w:val="00D730EA"/>
    <w:rsid w:val="00D7397B"/>
    <w:rsid w:val="00D742F6"/>
    <w:rsid w:val="00D746A0"/>
    <w:rsid w:val="00D74AE2"/>
    <w:rsid w:val="00D75542"/>
    <w:rsid w:val="00D75CBB"/>
    <w:rsid w:val="00D75E94"/>
    <w:rsid w:val="00D76899"/>
    <w:rsid w:val="00D80318"/>
    <w:rsid w:val="00D80F13"/>
    <w:rsid w:val="00D812D8"/>
    <w:rsid w:val="00D81432"/>
    <w:rsid w:val="00D8191B"/>
    <w:rsid w:val="00D81A6E"/>
    <w:rsid w:val="00D826D0"/>
    <w:rsid w:val="00D8327C"/>
    <w:rsid w:val="00D8375F"/>
    <w:rsid w:val="00D83C4D"/>
    <w:rsid w:val="00D841AC"/>
    <w:rsid w:val="00D8517D"/>
    <w:rsid w:val="00D859E8"/>
    <w:rsid w:val="00D86194"/>
    <w:rsid w:val="00D866B1"/>
    <w:rsid w:val="00D871F9"/>
    <w:rsid w:val="00D873F4"/>
    <w:rsid w:val="00D906B3"/>
    <w:rsid w:val="00D90FC6"/>
    <w:rsid w:val="00D9181C"/>
    <w:rsid w:val="00D91CC2"/>
    <w:rsid w:val="00D92A35"/>
    <w:rsid w:val="00D92E9D"/>
    <w:rsid w:val="00D93C0E"/>
    <w:rsid w:val="00D93D95"/>
    <w:rsid w:val="00D93DFF"/>
    <w:rsid w:val="00D94C46"/>
    <w:rsid w:val="00D95EBC"/>
    <w:rsid w:val="00D95F6F"/>
    <w:rsid w:val="00D96007"/>
    <w:rsid w:val="00D9703B"/>
    <w:rsid w:val="00D976B5"/>
    <w:rsid w:val="00DA0300"/>
    <w:rsid w:val="00DA096F"/>
    <w:rsid w:val="00DA0A53"/>
    <w:rsid w:val="00DA0C11"/>
    <w:rsid w:val="00DA0CDD"/>
    <w:rsid w:val="00DA122F"/>
    <w:rsid w:val="00DA1D42"/>
    <w:rsid w:val="00DA1D55"/>
    <w:rsid w:val="00DA1DDF"/>
    <w:rsid w:val="00DA257F"/>
    <w:rsid w:val="00DA2701"/>
    <w:rsid w:val="00DA34DD"/>
    <w:rsid w:val="00DA3722"/>
    <w:rsid w:val="00DA42D0"/>
    <w:rsid w:val="00DA4E7A"/>
    <w:rsid w:val="00DA5C4E"/>
    <w:rsid w:val="00DA6010"/>
    <w:rsid w:val="00DA6202"/>
    <w:rsid w:val="00DA63AB"/>
    <w:rsid w:val="00DA7114"/>
    <w:rsid w:val="00DA75AB"/>
    <w:rsid w:val="00DA7A0F"/>
    <w:rsid w:val="00DB1F12"/>
    <w:rsid w:val="00DB3879"/>
    <w:rsid w:val="00DB3EF0"/>
    <w:rsid w:val="00DB528C"/>
    <w:rsid w:val="00DB5360"/>
    <w:rsid w:val="00DB5D45"/>
    <w:rsid w:val="00DB627D"/>
    <w:rsid w:val="00DB63F7"/>
    <w:rsid w:val="00DB64AA"/>
    <w:rsid w:val="00DB663A"/>
    <w:rsid w:val="00DB6F53"/>
    <w:rsid w:val="00DB76D5"/>
    <w:rsid w:val="00DB7CA0"/>
    <w:rsid w:val="00DC0A86"/>
    <w:rsid w:val="00DC1C10"/>
    <w:rsid w:val="00DC1F14"/>
    <w:rsid w:val="00DC25BD"/>
    <w:rsid w:val="00DC25DC"/>
    <w:rsid w:val="00DC271F"/>
    <w:rsid w:val="00DC2A31"/>
    <w:rsid w:val="00DC4287"/>
    <w:rsid w:val="00DC5EE7"/>
    <w:rsid w:val="00DC6127"/>
    <w:rsid w:val="00DC62F8"/>
    <w:rsid w:val="00DC66D8"/>
    <w:rsid w:val="00DC6CD0"/>
    <w:rsid w:val="00DC76F8"/>
    <w:rsid w:val="00DC7B21"/>
    <w:rsid w:val="00DD1E60"/>
    <w:rsid w:val="00DD24B2"/>
    <w:rsid w:val="00DD255E"/>
    <w:rsid w:val="00DD2C89"/>
    <w:rsid w:val="00DD2D9D"/>
    <w:rsid w:val="00DD3C04"/>
    <w:rsid w:val="00DD4023"/>
    <w:rsid w:val="00DD41F0"/>
    <w:rsid w:val="00DD4302"/>
    <w:rsid w:val="00DD4477"/>
    <w:rsid w:val="00DD4638"/>
    <w:rsid w:val="00DD4921"/>
    <w:rsid w:val="00DD5917"/>
    <w:rsid w:val="00DD6298"/>
    <w:rsid w:val="00DE1575"/>
    <w:rsid w:val="00DE1F6D"/>
    <w:rsid w:val="00DE281A"/>
    <w:rsid w:val="00DE314D"/>
    <w:rsid w:val="00DE478D"/>
    <w:rsid w:val="00DE4D03"/>
    <w:rsid w:val="00DE5A39"/>
    <w:rsid w:val="00DE6CCB"/>
    <w:rsid w:val="00DE7383"/>
    <w:rsid w:val="00DE758A"/>
    <w:rsid w:val="00DF11EC"/>
    <w:rsid w:val="00DF15CA"/>
    <w:rsid w:val="00DF17A2"/>
    <w:rsid w:val="00DF2D3D"/>
    <w:rsid w:val="00DF364C"/>
    <w:rsid w:val="00DF41CD"/>
    <w:rsid w:val="00DF4491"/>
    <w:rsid w:val="00DF4570"/>
    <w:rsid w:val="00DF525A"/>
    <w:rsid w:val="00DF57CC"/>
    <w:rsid w:val="00DF6072"/>
    <w:rsid w:val="00DF7411"/>
    <w:rsid w:val="00DF7D5C"/>
    <w:rsid w:val="00E014CD"/>
    <w:rsid w:val="00E01B17"/>
    <w:rsid w:val="00E02239"/>
    <w:rsid w:val="00E028FA"/>
    <w:rsid w:val="00E02913"/>
    <w:rsid w:val="00E0452E"/>
    <w:rsid w:val="00E04708"/>
    <w:rsid w:val="00E04CB1"/>
    <w:rsid w:val="00E057B0"/>
    <w:rsid w:val="00E06F74"/>
    <w:rsid w:val="00E07318"/>
    <w:rsid w:val="00E10154"/>
    <w:rsid w:val="00E1057B"/>
    <w:rsid w:val="00E12696"/>
    <w:rsid w:val="00E12F22"/>
    <w:rsid w:val="00E1306D"/>
    <w:rsid w:val="00E1390D"/>
    <w:rsid w:val="00E13C9D"/>
    <w:rsid w:val="00E14DCC"/>
    <w:rsid w:val="00E15158"/>
    <w:rsid w:val="00E16F09"/>
    <w:rsid w:val="00E170E1"/>
    <w:rsid w:val="00E174C6"/>
    <w:rsid w:val="00E20818"/>
    <w:rsid w:val="00E20C38"/>
    <w:rsid w:val="00E20D3C"/>
    <w:rsid w:val="00E20F80"/>
    <w:rsid w:val="00E23962"/>
    <w:rsid w:val="00E24181"/>
    <w:rsid w:val="00E244B1"/>
    <w:rsid w:val="00E2478F"/>
    <w:rsid w:val="00E257A8"/>
    <w:rsid w:val="00E25B87"/>
    <w:rsid w:val="00E25E03"/>
    <w:rsid w:val="00E2638B"/>
    <w:rsid w:val="00E26479"/>
    <w:rsid w:val="00E26F73"/>
    <w:rsid w:val="00E2703E"/>
    <w:rsid w:val="00E27EC9"/>
    <w:rsid w:val="00E3137C"/>
    <w:rsid w:val="00E3183E"/>
    <w:rsid w:val="00E31D1E"/>
    <w:rsid w:val="00E31F26"/>
    <w:rsid w:val="00E32124"/>
    <w:rsid w:val="00E3324E"/>
    <w:rsid w:val="00E3357E"/>
    <w:rsid w:val="00E36719"/>
    <w:rsid w:val="00E371FE"/>
    <w:rsid w:val="00E3794E"/>
    <w:rsid w:val="00E40C29"/>
    <w:rsid w:val="00E40F47"/>
    <w:rsid w:val="00E41647"/>
    <w:rsid w:val="00E41D91"/>
    <w:rsid w:val="00E429A5"/>
    <w:rsid w:val="00E42AC8"/>
    <w:rsid w:val="00E430C3"/>
    <w:rsid w:val="00E43C1C"/>
    <w:rsid w:val="00E43F9B"/>
    <w:rsid w:val="00E447D2"/>
    <w:rsid w:val="00E472CF"/>
    <w:rsid w:val="00E51519"/>
    <w:rsid w:val="00E526BC"/>
    <w:rsid w:val="00E52AD6"/>
    <w:rsid w:val="00E52F19"/>
    <w:rsid w:val="00E52FB8"/>
    <w:rsid w:val="00E54ABE"/>
    <w:rsid w:val="00E54C69"/>
    <w:rsid w:val="00E55D2D"/>
    <w:rsid w:val="00E5600F"/>
    <w:rsid w:val="00E5602B"/>
    <w:rsid w:val="00E56409"/>
    <w:rsid w:val="00E5726A"/>
    <w:rsid w:val="00E572F7"/>
    <w:rsid w:val="00E5768E"/>
    <w:rsid w:val="00E6032B"/>
    <w:rsid w:val="00E604A5"/>
    <w:rsid w:val="00E609F5"/>
    <w:rsid w:val="00E611E2"/>
    <w:rsid w:val="00E61B6D"/>
    <w:rsid w:val="00E61BA4"/>
    <w:rsid w:val="00E61F50"/>
    <w:rsid w:val="00E6248F"/>
    <w:rsid w:val="00E633B8"/>
    <w:rsid w:val="00E64F86"/>
    <w:rsid w:val="00E657AC"/>
    <w:rsid w:val="00E66183"/>
    <w:rsid w:val="00E67C87"/>
    <w:rsid w:val="00E7046A"/>
    <w:rsid w:val="00E7047D"/>
    <w:rsid w:val="00E70D81"/>
    <w:rsid w:val="00E74D62"/>
    <w:rsid w:val="00E74DD2"/>
    <w:rsid w:val="00E75E22"/>
    <w:rsid w:val="00E76D91"/>
    <w:rsid w:val="00E76DA0"/>
    <w:rsid w:val="00E77F83"/>
    <w:rsid w:val="00E77FBC"/>
    <w:rsid w:val="00E81916"/>
    <w:rsid w:val="00E81EF8"/>
    <w:rsid w:val="00E81F41"/>
    <w:rsid w:val="00E83A3D"/>
    <w:rsid w:val="00E83BDB"/>
    <w:rsid w:val="00E83D0E"/>
    <w:rsid w:val="00E84321"/>
    <w:rsid w:val="00E84804"/>
    <w:rsid w:val="00E84825"/>
    <w:rsid w:val="00E84972"/>
    <w:rsid w:val="00E85B48"/>
    <w:rsid w:val="00E85ECA"/>
    <w:rsid w:val="00E87454"/>
    <w:rsid w:val="00E87799"/>
    <w:rsid w:val="00E87DF1"/>
    <w:rsid w:val="00E928A5"/>
    <w:rsid w:val="00E93510"/>
    <w:rsid w:val="00E93939"/>
    <w:rsid w:val="00E93B66"/>
    <w:rsid w:val="00E93B82"/>
    <w:rsid w:val="00E94209"/>
    <w:rsid w:val="00E9442C"/>
    <w:rsid w:val="00E947B7"/>
    <w:rsid w:val="00E94ADB"/>
    <w:rsid w:val="00E94C80"/>
    <w:rsid w:val="00E9564B"/>
    <w:rsid w:val="00E95C93"/>
    <w:rsid w:val="00E95E53"/>
    <w:rsid w:val="00E97198"/>
    <w:rsid w:val="00E97FCB"/>
    <w:rsid w:val="00EA0B4B"/>
    <w:rsid w:val="00EA2370"/>
    <w:rsid w:val="00EA4139"/>
    <w:rsid w:val="00EA415E"/>
    <w:rsid w:val="00EA49D8"/>
    <w:rsid w:val="00EA4A3E"/>
    <w:rsid w:val="00EA56AA"/>
    <w:rsid w:val="00EA5C22"/>
    <w:rsid w:val="00EA5CCF"/>
    <w:rsid w:val="00EA6779"/>
    <w:rsid w:val="00EA709F"/>
    <w:rsid w:val="00EA774A"/>
    <w:rsid w:val="00EA7C8F"/>
    <w:rsid w:val="00EB0752"/>
    <w:rsid w:val="00EB209D"/>
    <w:rsid w:val="00EB2741"/>
    <w:rsid w:val="00EB280C"/>
    <w:rsid w:val="00EB2E74"/>
    <w:rsid w:val="00EB3397"/>
    <w:rsid w:val="00EB340F"/>
    <w:rsid w:val="00EB512A"/>
    <w:rsid w:val="00EB6391"/>
    <w:rsid w:val="00EB67E0"/>
    <w:rsid w:val="00EB6C21"/>
    <w:rsid w:val="00EC01F4"/>
    <w:rsid w:val="00EC0691"/>
    <w:rsid w:val="00EC08AB"/>
    <w:rsid w:val="00EC0C2F"/>
    <w:rsid w:val="00EC0D71"/>
    <w:rsid w:val="00EC21DF"/>
    <w:rsid w:val="00EC2243"/>
    <w:rsid w:val="00EC2542"/>
    <w:rsid w:val="00EC2CA7"/>
    <w:rsid w:val="00EC2D45"/>
    <w:rsid w:val="00EC2EEA"/>
    <w:rsid w:val="00EC37AE"/>
    <w:rsid w:val="00EC3D74"/>
    <w:rsid w:val="00EC4ABC"/>
    <w:rsid w:val="00EC4ED6"/>
    <w:rsid w:val="00EC509E"/>
    <w:rsid w:val="00EC544D"/>
    <w:rsid w:val="00EC5503"/>
    <w:rsid w:val="00EC6A07"/>
    <w:rsid w:val="00EC7583"/>
    <w:rsid w:val="00ED0B53"/>
    <w:rsid w:val="00ED0FA0"/>
    <w:rsid w:val="00ED27C4"/>
    <w:rsid w:val="00ED3876"/>
    <w:rsid w:val="00ED3BF5"/>
    <w:rsid w:val="00ED56FD"/>
    <w:rsid w:val="00ED617E"/>
    <w:rsid w:val="00ED6358"/>
    <w:rsid w:val="00ED64B1"/>
    <w:rsid w:val="00ED64DC"/>
    <w:rsid w:val="00ED6EE5"/>
    <w:rsid w:val="00ED7D53"/>
    <w:rsid w:val="00EE067D"/>
    <w:rsid w:val="00EE1170"/>
    <w:rsid w:val="00EE1878"/>
    <w:rsid w:val="00EE1D2E"/>
    <w:rsid w:val="00EE2003"/>
    <w:rsid w:val="00EE304B"/>
    <w:rsid w:val="00EE5B29"/>
    <w:rsid w:val="00EE5D95"/>
    <w:rsid w:val="00EE6C52"/>
    <w:rsid w:val="00EE74EE"/>
    <w:rsid w:val="00EF0009"/>
    <w:rsid w:val="00EF002B"/>
    <w:rsid w:val="00EF057B"/>
    <w:rsid w:val="00EF0ACF"/>
    <w:rsid w:val="00EF139E"/>
    <w:rsid w:val="00EF1863"/>
    <w:rsid w:val="00EF27AC"/>
    <w:rsid w:val="00EF2DE2"/>
    <w:rsid w:val="00EF37C5"/>
    <w:rsid w:val="00EF404D"/>
    <w:rsid w:val="00EF40C4"/>
    <w:rsid w:val="00EF43E6"/>
    <w:rsid w:val="00EF4475"/>
    <w:rsid w:val="00EF4798"/>
    <w:rsid w:val="00EF4DB0"/>
    <w:rsid w:val="00EF50BB"/>
    <w:rsid w:val="00EF52E1"/>
    <w:rsid w:val="00EF68F6"/>
    <w:rsid w:val="00F01457"/>
    <w:rsid w:val="00F01D92"/>
    <w:rsid w:val="00F02714"/>
    <w:rsid w:val="00F02998"/>
    <w:rsid w:val="00F02F15"/>
    <w:rsid w:val="00F03DF5"/>
    <w:rsid w:val="00F0485C"/>
    <w:rsid w:val="00F0501B"/>
    <w:rsid w:val="00F05638"/>
    <w:rsid w:val="00F058C8"/>
    <w:rsid w:val="00F05985"/>
    <w:rsid w:val="00F0669A"/>
    <w:rsid w:val="00F06CF1"/>
    <w:rsid w:val="00F07F1D"/>
    <w:rsid w:val="00F1047D"/>
    <w:rsid w:val="00F10A35"/>
    <w:rsid w:val="00F1130F"/>
    <w:rsid w:val="00F11970"/>
    <w:rsid w:val="00F11C13"/>
    <w:rsid w:val="00F12314"/>
    <w:rsid w:val="00F12CDC"/>
    <w:rsid w:val="00F1362E"/>
    <w:rsid w:val="00F13B6B"/>
    <w:rsid w:val="00F13C92"/>
    <w:rsid w:val="00F140C3"/>
    <w:rsid w:val="00F142AC"/>
    <w:rsid w:val="00F143B9"/>
    <w:rsid w:val="00F1474D"/>
    <w:rsid w:val="00F14C80"/>
    <w:rsid w:val="00F151C4"/>
    <w:rsid w:val="00F158AD"/>
    <w:rsid w:val="00F166C3"/>
    <w:rsid w:val="00F16B8E"/>
    <w:rsid w:val="00F16BD1"/>
    <w:rsid w:val="00F20107"/>
    <w:rsid w:val="00F20256"/>
    <w:rsid w:val="00F206DD"/>
    <w:rsid w:val="00F20B52"/>
    <w:rsid w:val="00F20CB1"/>
    <w:rsid w:val="00F20DBE"/>
    <w:rsid w:val="00F214D2"/>
    <w:rsid w:val="00F22AD9"/>
    <w:rsid w:val="00F234A0"/>
    <w:rsid w:val="00F2359E"/>
    <w:rsid w:val="00F24306"/>
    <w:rsid w:val="00F254CC"/>
    <w:rsid w:val="00F263C5"/>
    <w:rsid w:val="00F27041"/>
    <w:rsid w:val="00F278F2"/>
    <w:rsid w:val="00F308A7"/>
    <w:rsid w:val="00F323A2"/>
    <w:rsid w:val="00F32573"/>
    <w:rsid w:val="00F32697"/>
    <w:rsid w:val="00F348E2"/>
    <w:rsid w:val="00F35040"/>
    <w:rsid w:val="00F3675C"/>
    <w:rsid w:val="00F36EFD"/>
    <w:rsid w:val="00F372CF"/>
    <w:rsid w:val="00F376D1"/>
    <w:rsid w:val="00F37796"/>
    <w:rsid w:val="00F40118"/>
    <w:rsid w:val="00F40432"/>
    <w:rsid w:val="00F41279"/>
    <w:rsid w:val="00F41A1F"/>
    <w:rsid w:val="00F41B99"/>
    <w:rsid w:val="00F426EB"/>
    <w:rsid w:val="00F429AB"/>
    <w:rsid w:val="00F43BC7"/>
    <w:rsid w:val="00F440BE"/>
    <w:rsid w:val="00F44407"/>
    <w:rsid w:val="00F44EAA"/>
    <w:rsid w:val="00F458AC"/>
    <w:rsid w:val="00F45D56"/>
    <w:rsid w:val="00F467E7"/>
    <w:rsid w:val="00F47C98"/>
    <w:rsid w:val="00F47DEA"/>
    <w:rsid w:val="00F47E62"/>
    <w:rsid w:val="00F51166"/>
    <w:rsid w:val="00F51DD6"/>
    <w:rsid w:val="00F51F59"/>
    <w:rsid w:val="00F52CBF"/>
    <w:rsid w:val="00F53FB6"/>
    <w:rsid w:val="00F547EF"/>
    <w:rsid w:val="00F55040"/>
    <w:rsid w:val="00F5540B"/>
    <w:rsid w:val="00F55B67"/>
    <w:rsid w:val="00F55EB3"/>
    <w:rsid w:val="00F56566"/>
    <w:rsid w:val="00F573A4"/>
    <w:rsid w:val="00F615A4"/>
    <w:rsid w:val="00F62C25"/>
    <w:rsid w:val="00F636CC"/>
    <w:rsid w:val="00F63E3C"/>
    <w:rsid w:val="00F64082"/>
    <w:rsid w:val="00F64111"/>
    <w:rsid w:val="00F645EC"/>
    <w:rsid w:val="00F65753"/>
    <w:rsid w:val="00F657C2"/>
    <w:rsid w:val="00F657DA"/>
    <w:rsid w:val="00F66189"/>
    <w:rsid w:val="00F66D45"/>
    <w:rsid w:val="00F67377"/>
    <w:rsid w:val="00F674F5"/>
    <w:rsid w:val="00F6755F"/>
    <w:rsid w:val="00F67B9F"/>
    <w:rsid w:val="00F70194"/>
    <w:rsid w:val="00F7189C"/>
    <w:rsid w:val="00F720E9"/>
    <w:rsid w:val="00F723C1"/>
    <w:rsid w:val="00F72D65"/>
    <w:rsid w:val="00F731B9"/>
    <w:rsid w:val="00F73477"/>
    <w:rsid w:val="00F73551"/>
    <w:rsid w:val="00F74FF8"/>
    <w:rsid w:val="00F75C87"/>
    <w:rsid w:val="00F761C7"/>
    <w:rsid w:val="00F76A6B"/>
    <w:rsid w:val="00F77BB9"/>
    <w:rsid w:val="00F802B0"/>
    <w:rsid w:val="00F805E9"/>
    <w:rsid w:val="00F81075"/>
    <w:rsid w:val="00F81088"/>
    <w:rsid w:val="00F810D3"/>
    <w:rsid w:val="00F81420"/>
    <w:rsid w:val="00F8163E"/>
    <w:rsid w:val="00F83174"/>
    <w:rsid w:val="00F83251"/>
    <w:rsid w:val="00F83A22"/>
    <w:rsid w:val="00F83AAD"/>
    <w:rsid w:val="00F84F8F"/>
    <w:rsid w:val="00F86370"/>
    <w:rsid w:val="00F8688E"/>
    <w:rsid w:val="00F86C6C"/>
    <w:rsid w:val="00F86DF4"/>
    <w:rsid w:val="00F8790A"/>
    <w:rsid w:val="00F87ACC"/>
    <w:rsid w:val="00F92178"/>
    <w:rsid w:val="00F92C35"/>
    <w:rsid w:val="00F93E0F"/>
    <w:rsid w:val="00F96474"/>
    <w:rsid w:val="00F965A5"/>
    <w:rsid w:val="00F96813"/>
    <w:rsid w:val="00FA027E"/>
    <w:rsid w:val="00FA0392"/>
    <w:rsid w:val="00FA0D52"/>
    <w:rsid w:val="00FA0FC8"/>
    <w:rsid w:val="00FA11C8"/>
    <w:rsid w:val="00FA1346"/>
    <w:rsid w:val="00FA1F2A"/>
    <w:rsid w:val="00FA26CD"/>
    <w:rsid w:val="00FA4BF0"/>
    <w:rsid w:val="00FA514D"/>
    <w:rsid w:val="00FA6456"/>
    <w:rsid w:val="00FA6A98"/>
    <w:rsid w:val="00FA6D15"/>
    <w:rsid w:val="00FA73BE"/>
    <w:rsid w:val="00FB016C"/>
    <w:rsid w:val="00FB0496"/>
    <w:rsid w:val="00FB0ADC"/>
    <w:rsid w:val="00FB0B60"/>
    <w:rsid w:val="00FB0F4D"/>
    <w:rsid w:val="00FB167F"/>
    <w:rsid w:val="00FB1FA4"/>
    <w:rsid w:val="00FB382C"/>
    <w:rsid w:val="00FB40F9"/>
    <w:rsid w:val="00FB40FC"/>
    <w:rsid w:val="00FB4D92"/>
    <w:rsid w:val="00FB4FC3"/>
    <w:rsid w:val="00FB536D"/>
    <w:rsid w:val="00FB549D"/>
    <w:rsid w:val="00FB5685"/>
    <w:rsid w:val="00FB7334"/>
    <w:rsid w:val="00FB7637"/>
    <w:rsid w:val="00FB77F9"/>
    <w:rsid w:val="00FC0BCE"/>
    <w:rsid w:val="00FC1236"/>
    <w:rsid w:val="00FC17EA"/>
    <w:rsid w:val="00FC20B4"/>
    <w:rsid w:val="00FC2E53"/>
    <w:rsid w:val="00FC3164"/>
    <w:rsid w:val="00FC37FD"/>
    <w:rsid w:val="00FC558A"/>
    <w:rsid w:val="00FC5666"/>
    <w:rsid w:val="00FC6048"/>
    <w:rsid w:val="00FC65D5"/>
    <w:rsid w:val="00FC663E"/>
    <w:rsid w:val="00FC688A"/>
    <w:rsid w:val="00FC6C67"/>
    <w:rsid w:val="00FC6D00"/>
    <w:rsid w:val="00FC71A2"/>
    <w:rsid w:val="00FD0C25"/>
    <w:rsid w:val="00FD22DF"/>
    <w:rsid w:val="00FD2A14"/>
    <w:rsid w:val="00FD637D"/>
    <w:rsid w:val="00FD6460"/>
    <w:rsid w:val="00FD6693"/>
    <w:rsid w:val="00FE0056"/>
    <w:rsid w:val="00FE0FD9"/>
    <w:rsid w:val="00FE1698"/>
    <w:rsid w:val="00FE264E"/>
    <w:rsid w:val="00FE2B50"/>
    <w:rsid w:val="00FE4102"/>
    <w:rsid w:val="00FE4BB5"/>
    <w:rsid w:val="00FE5C22"/>
    <w:rsid w:val="00FE5C2C"/>
    <w:rsid w:val="00FE6168"/>
    <w:rsid w:val="00FE636D"/>
    <w:rsid w:val="00FE7C74"/>
    <w:rsid w:val="00FF0515"/>
    <w:rsid w:val="00FF09B0"/>
    <w:rsid w:val="00FF0C57"/>
    <w:rsid w:val="00FF111F"/>
    <w:rsid w:val="00FF1BA2"/>
    <w:rsid w:val="00FF3014"/>
    <w:rsid w:val="00FF3E76"/>
    <w:rsid w:val="00FF4113"/>
    <w:rsid w:val="00FF4135"/>
    <w:rsid w:val="00FF46D5"/>
    <w:rsid w:val="00FF50BE"/>
    <w:rsid w:val="00FF5C75"/>
    <w:rsid w:val="00FF5F14"/>
    <w:rsid w:val="00FF67EA"/>
    <w:rsid w:val="00FF7087"/>
    <w:rsid w:val="00FF7249"/>
    <w:rsid w:val="00FF7BE8"/>
    <w:rsid w:val="011B60C4"/>
    <w:rsid w:val="011E6FF2"/>
    <w:rsid w:val="01207B0A"/>
    <w:rsid w:val="01366D4C"/>
    <w:rsid w:val="01375F3B"/>
    <w:rsid w:val="016476D4"/>
    <w:rsid w:val="01715407"/>
    <w:rsid w:val="01B40FC2"/>
    <w:rsid w:val="01E464B8"/>
    <w:rsid w:val="021C29C7"/>
    <w:rsid w:val="022B0E5C"/>
    <w:rsid w:val="022E3E22"/>
    <w:rsid w:val="023A28FF"/>
    <w:rsid w:val="02512DC5"/>
    <w:rsid w:val="025F2111"/>
    <w:rsid w:val="028D5D9D"/>
    <w:rsid w:val="02931935"/>
    <w:rsid w:val="02A66735"/>
    <w:rsid w:val="02F4445A"/>
    <w:rsid w:val="032B3ABE"/>
    <w:rsid w:val="033247B3"/>
    <w:rsid w:val="03333615"/>
    <w:rsid w:val="03420E34"/>
    <w:rsid w:val="03421A72"/>
    <w:rsid w:val="035A307B"/>
    <w:rsid w:val="03632E30"/>
    <w:rsid w:val="03950458"/>
    <w:rsid w:val="039B791C"/>
    <w:rsid w:val="03E5668B"/>
    <w:rsid w:val="03FE39A5"/>
    <w:rsid w:val="040A1451"/>
    <w:rsid w:val="04131BA8"/>
    <w:rsid w:val="04431F85"/>
    <w:rsid w:val="048A7C5B"/>
    <w:rsid w:val="04BF35A7"/>
    <w:rsid w:val="052C0449"/>
    <w:rsid w:val="05441D3F"/>
    <w:rsid w:val="05544B21"/>
    <w:rsid w:val="0566089E"/>
    <w:rsid w:val="05670BEC"/>
    <w:rsid w:val="057B28FA"/>
    <w:rsid w:val="05976809"/>
    <w:rsid w:val="05A34A52"/>
    <w:rsid w:val="05A827C4"/>
    <w:rsid w:val="05D5530F"/>
    <w:rsid w:val="06096073"/>
    <w:rsid w:val="060B3F2C"/>
    <w:rsid w:val="061F04BE"/>
    <w:rsid w:val="063237EF"/>
    <w:rsid w:val="06343B0A"/>
    <w:rsid w:val="06470CBD"/>
    <w:rsid w:val="064E34E8"/>
    <w:rsid w:val="067E067A"/>
    <w:rsid w:val="06A66B16"/>
    <w:rsid w:val="06A961F0"/>
    <w:rsid w:val="06B96E76"/>
    <w:rsid w:val="06BC7287"/>
    <w:rsid w:val="06EA7085"/>
    <w:rsid w:val="06FF1447"/>
    <w:rsid w:val="070B6131"/>
    <w:rsid w:val="07287466"/>
    <w:rsid w:val="073D09B5"/>
    <w:rsid w:val="07481B68"/>
    <w:rsid w:val="07950DFE"/>
    <w:rsid w:val="07994D61"/>
    <w:rsid w:val="07B4016F"/>
    <w:rsid w:val="07C15475"/>
    <w:rsid w:val="07EF33C4"/>
    <w:rsid w:val="07F6438B"/>
    <w:rsid w:val="08030185"/>
    <w:rsid w:val="08287B33"/>
    <w:rsid w:val="086D6A25"/>
    <w:rsid w:val="0885064A"/>
    <w:rsid w:val="088D288E"/>
    <w:rsid w:val="08CB7BA3"/>
    <w:rsid w:val="08EE143D"/>
    <w:rsid w:val="08F55335"/>
    <w:rsid w:val="090146C5"/>
    <w:rsid w:val="09242161"/>
    <w:rsid w:val="093336F5"/>
    <w:rsid w:val="09583A2E"/>
    <w:rsid w:val="095879E9"/>
    <w:rsid w:val="096B7D90"/>
    <w:rsid w:val="096D47E3"/>
    <w:rsid w:val="097E5D15"/>
    <w:rsid w:val="09900371"/>
    <w:rsid w:val="099159BD"/>
    <w:rsid w:val="09BC05EC"/>
    <w:rsid w:val="09BF52AA"/>
    <w:rsid w:val="09C01BCB"/>
    <w:rsid w:val="09CB0AC4"/>
    <w:rsid w:val="09DB0C49"/>
    <w:rsid w:val="09F44C55"/>
    <w:rsid w:val="0A147AD5"/>
    <w:rsid w:val="0A1E0C88"/>
    <w:rsid w:val="0A305BAD"/>
    <w:rsid w:val="0A34559A"/>
    <w:rsid w:val="0A371230"/>
    <w:rsid w:val="0A943608"/>
    <w:rsid w:val="0ABE2495"/>
    <w:rsid w:val="0AC2138A"/>
    <w:rsid w:val="0ACB34C4"/>
    <w:rsid w:val="0AE20644"/>
    <w:rsid w:val="0B32067B"/>
    <w:rsid w:val="0B3F48B7"/>
    <w:rsid w:val="0B5021D6"/>
    <w:rsid w:val="0B577298"/>
    <w:rsid w:val="0B64049F"/>
    <w:rsid w:val="0B772A1C"/>
    <w:rsid w:val="0B832072"/>
    <w:rsid w:val="0B9B2E92"/>
    <w:rsid w:val="0BB772BD"/>
    <w:rsid w:val="0BCD76F4"/>
    <w:rsid w:val="0BD04822"/>
    <w:rsid w:val="0BF4406D"/>
    <w:rsid w:val="0C166903"/>
    <w:rsid w:val="0C1F7B9B"/>
    <w:rsid w:val="0C264809"/>
    <w:rsid w:val="0C3C28EC"/>
    <w:rsid w:val="0C5B56DD"/>
    <w:rsid w:val="0C6D18FE"/>
    <w:rsid w:val="0CE44F4D"/>
    <w:rsid w:val="0CE75980"/>
    <w:rsid w:val="0D0019A2"/>
    <w:rsid w:val="0D2E1801"/>
    <w:rsid w:val="0D3A7C60"/>
    <w:rsid w:val="0D3C7FC3"/>
    <w:rsid w:val="0D5834B1"/>
    <w:rsid w:val="0D620B19"/>
    <w:rsid w:val="0D961FC5"/>
    <w:rsid w:val="0D9E6986"/>
    <w:rsid w:val="0DE9706A"/>
    <w:rsid w:val="0E0632DA"/>
    <w:rsid w:val="0E1E46A1"/>
    <w:rsid w:val="0E3270CE"/>
    <w:rsid w:val="0E577BCA"/>
    <w:rsid w:val="0E6D2458"/>
    <w:rsid w:val="0E744B2C"/>
    <w:rsid w:val="0E910E05"/>
    <w:rsid w:val="0E9202FC"/>
    <w:rsid w:val="0E941A1C"/>
    <w:rsid w:val="0E9B4C74"/>
    <w:rsid w:val="0EDC08A6"/>
    <w:rsid w:val="0EEA79A9"/>
    <w:rsid w:val="0EFE5203"/>
    <w:rsid w:val="0F060119"/>
    <w:rsid w:val="0F096FEC"/>
    <w:rsid w:val="0F2F7D68"/>
    <w:rsid w:val="0F434A05"/>
    <w:rsid w:val="0F704352"/>
    <w:rsid w:val="0FA933C0"/>
    <w:rsid w:val="0FAC1A9B"/>
    <w:rsid w:val="10127C77"/>
    <w:rsid w:val="101C3C8A"/>
    <w:rsid w:val="102F1081"/>
    <w:rsid w:val="10383F9B"/>
    <w:rsid w:val="105B33D4"/>
    <w:rsid w:val="106106BD"/>
    <w:rsid w:val="10621F2A"/>
    <w:rsid w:val="106C0B1D"/>
    <w:rsid w:val="107A6B0B"/>
    <w:rsid w:val="10920A63"/>
    <w:rsid w:val="10B846C4"/>
    <w:rsid w:val="10C15974"/>
    <w:rsid w:val="10D52C8F"/>
    <w:rsid w:val="10F2358E"/>
    <w:rsid w:val="110D37D1"/>
    <w:rsid w:val="111807FE"/>
    <w:rsid w:val="112761B1"/>
    <w:rsid w:val="113373E5"/>
    <w:rsid w:val="114F1D45"/>
    <w:rsid w:val="11537A88"/>
    <w:rsid w:val="11643A43"/>
    <w:rsid w:val="118F05F7"/>
    <w:rsid w:val="119D0440"/>
    <w:rsid w:val="11A56EF3"/>
    <w:rsid w:val="11B328A8"/>
    <w:rsid w:val="11E54C9F"/>
    <w:rsid w:val="11EA1F0A"/>
    <w:rsid w:val="120862FD"/>
    <w:rsid w:val="121363D7"/>
    <w:rsid w:val="12792632"/>
    <w:rsid w:val="12890ACB"/>
    <w:rsid w:val="12A56C5C"/>
    <w:rsid w:val="12AD2923"/>
    <w:rsid w:val="12AD5A91"/>
    <w:rsid w:val="12B17531"/>
    <w:rsid w:val="12C93CDB"/>
    <w:rsid w:val="12CB18A0"/>
    <w:rsid w:val="12DA6049"/>
    <w:rsid w:val="12FD25E3"/>
    <w:rsid w:val="130C4392"/>
    <w:rsid w:val="13291286"/>
    <w:rsid w:val="134D6463"/>
    <w:rsid w:val="135978AF"/>
    <w:rsid w:val="13927DD4"/>
    <w:rsid w:val="13BB777D"/>
    <w:rsid w:val="13C40818"/>
    <w:rsid w:val="13F566D8"/>
    <w:rsid w:val="140D193D"/>
    <w:rsid w:val="142906E4"/>
    <w:rsid w:val="14680169"/>
    <w:rsid w:val="14700951"/>
    <w:rsid w:val="147238D3"/>
    <w:rsid w:val="147D17AD"/>
    <w:rsid w:val="14B95E54"/>
    <w:rsid w:val="14C540E9"/>
    <w:rsid w:val="14ED31E8"/>
    <w:rsid w:val="14EE735A"/>
    <w:rsid w:val="14F670A8"/>
    <w:rsid w:val="15112A82"/>
    <w:rsid w:val="153951E6"/>
    <w:rsid w:val="1550218B"/>
    <w:rsid w:val="15D31DC1"/>
    <w:rsid w:val="15D371E2"/>
    <w:rsid w:val="15D91EBF"/>
    <w:rsid w:val="15E93BAC"/>
    <w:rsid w:val="15FC62BD"/>
    <w:rsid w:val="160503CB"/>
    <w:rsid w:val="160E6061"/>
    <w:rsid w:val="161517B0"/>
    <w:rsid w:val="163A4B06"/>
    <w:rsid w:val="166A70B6"/>
    <w:rsid w:val="16A24E38"/>
    <w:rsid w:val="16A34E1F"/>
    <w:rsid w:val="16C25DA4"/>
    <w:rsid w:val="16D276A1"/>
    <w:rsid w:val="16DC051F"/>
    <w:rsid w:val="170F5684"/>
    <w:rsid w:val="17212123"/>
    <w:rsid w:val="17316C6D"/>
    <w:rsid w:val="17571F2E"/>
    <w:rsid w:val="17652D93"/>
    <w:rsid w:val="176A5B2B"/>
    <w:rsid w:val="17751C24"/>
    <w:rsid w:val="17793FC0"/>
    <w:rsid w:val="178A3AD7"/>
    <w:rsid w:val="179A033A"/>
    <w:rsid w:val="17AE7804"/>
    <w:rsid w:val="17BD72D1"/>
    <w:rsid w:val="17C96DB2"/>
    <w:rsid w:val="180059C8"/>
    <w:rsid w:val="18207265"/>
    <w:rsid w:val="183B3024"/>
    <w:rsid w:val="1890336F"/>
    <w:rsid w:val="18BC4164"/>
    <w:rsid w:val="18DA283C"/>
    <w:rsid w:val="18E5190D"/>
    <w:rsid w:val="190017FB"/>
    <w:rsid w:val="191827B5"/>
    <w:rsid w:val="195D3039"/>
    <w:rsid w:val="1980314C"/>
    <w:rsid w:val="199031F5"/>
    <w:rsid w:val="199B5E06"/>
    <w:rsid w:val="19E44576"/>
    <w:rsid w:val="1A0C2386"/>
    <w:rsid w:val="1A19040E"/>
    <w:rsid w:val="1A1B4EBB"/>
    <w:rsid w:val="1A39548E"/>
    <w:rsid w:val="1A7D0323"/>
    <w:rsid w:val="1A875B07"/>
    <w:rsid w:val="1AA50C28"/>
    <w:rsid w:val="1AD473DF"/>
    <w:rsid w:val="1AFF2A2E"/>
    <w:rsid w:val="1B09181C"/>
    <w:rsid w:val="1B4346C9"/>
    <w:rsid w:val="1B573B36"/>
    <w:rsid w:val="1B6F6D6A"/>
    <w:rsid w:val="1B740D26"/>
    <w:rsid w:val="1B914166"/>
    <w:rsid w:val="1B9334AA"/>
    <w:rsid w:val="1BD6553D"/>
    <w:rsid w:val="1BF5174F"/>
    <w:rsid w:val="1C0F4EF3"/>
    <w:rsid w:val="1C3E30E2"/>
    <w:rsid w:val="1C3F55BC"/>
    <w:rsid w:val="1C40226B"/>
    <w:rsid w:val="1C81576F"/>
    <w:rsid w:val="1C9438E4"/>
    <w:rsid w:val="1CA0249E"/>
    <w:rsid w:val="1CE448A8"/>
    <w:rsid w:val="1CE8084C"/>
    <w:rsid w:val="1D0F7552"/>
    <w:rsid w:val="1D1B6D8F"/>
    <w:rsid w:val="1D25579E"/>
    <w:rsid w:val="1D86351C"/>
    <w:rsid w:val="1DA61672"/>
    <w:rsid w:val="1DF343E7"/>
    <w:rsid w:val="1E0362EA"/>
    <w:rsid w:val="1E2A47F4"/>
    <w:rsid w:val="1E3649B9"/>
    <w:rsid w:val="1E3B1FCF"/>
    <w:rsid w:val="1E4946EC"/>
    <w:rsid w:val="1E4E5CDA"/>
    <w:rsid w:val="1E5B441F"/>
    <w:rsid w:val="1E85149C"/>
    <w:rsid w:val="1E9F73B7"/>
    <w:rsid w:val="1EB5255F"/>
    <w:rsid w:val="1EBF49AE"/>
    <w:rsid w:val="1EF25090"/>
    <w:rsid w:val="1F132A46"/>
    <w:rsid w:val="1F1518B5"/>
    <w:rsid w:val="1F2F4F29"/>
    <w:rsid w:val="1F6101EB"/>
    <w:rsid w:val="1F6A61A1"/>
    <w:rsid w:val="1F6F63E5"/>
    <w:rsid w:val="1FBC4D16"/>
    <w:rsid w:val="1FBC76AD"/>
    <w:rsid w:val="1FEF3071"/>
    <w:rsid w:val="1FF916E4"/>
    <w:rsid w:val="20095AE1"/>
    <w:rsid w:val="20254339"/>
    <w:rsid w:val="203B6286"/>
    <w:rsid w:val="204B3A63"/>
    <w:rsid w:val="209E2481"/>
    <w:rsid w:val="20EA5FF2"/>
    <w:rsid w:val="212367E1"/>
    <w:rsid w:val="21537630"/>
    <w:rsid w:val="216134C5"/>
    <w:rsid w:val="2164266C"/>
    <w:rsid w:val="218A09E3"/>
    <w:rsid w:val="218B12E2"/>
    <w:rsid w:val="21A319EB"/>
    <w:rsid w:val="21CF69FD"/>
    <w:rsid w:val="21DE47BC"/>
    <w:rsid w:val="21F84574"/>
    <w:rsid w:val="22043309"/>
    <w:rsid w:val="22051968"/>
    <w:rsid w:val="220A614E"/>
    <w:rsid w:val="22124B63"/>
    <w:rsid w:val="2220553A"/>
    <w:rsid w:val="222602F9"/>
    <w:rsid w:val="222F3BF9"/>
    <w:rsid w:val="22654504"/>
    <w:rsid w:val="22925F36"/>
    <w:rsid w:val="229C0B63"/>
    <w:rsid w:val="22B2588C"/>
    <w:rsid w:val="22BB40EC"/>
    <w:rsid w:val="22D56C52"/>
    <w:rsid w:val="22E36792"/>
    <w:rsid w:val="23395878"/>
    <w:rsid w:val="23561D07"/>
    <w:rsid w:val="23795A37"/>
    <w:rsid w:val="238748E8"/>
    <w:rsid w:val="23F066A4"/>
    <w:rsid w:val="243A0633"/>
    <w:rsid w:val="24424FB0"/>
    <w:rsid w:val="24553187"/>
    <w:rsid w:val="245E07C6"/>
    <w:rsid w:val="24676BDC"/>
    <w:rsid w:val="246F652F"/>
    <w:rsid w:val="247544F0"/>
    <w:rsid w:val="248F27AB"/>
    <w:rsid w:val="24DD43B4"/>
    <w:rsid w:val="250749B9"/>
    <w:rsid w:val="25367F91"/>
    <w:rsid w:val="254352E4"/>
    <w:rsid w:val="254664D6"/>
    <w:rsid w:val="25553501"/>
    <w:rsid w:val="25636A2B"/>
    <w:rsid w:val="259626D7"/>
    <w:rsid w:val="259F3AC0"/>
    <w:rsid w:val="25AB59B5"/>
    <w:rsid w:val="25C92794"/>
    <w:rsid w:val="26054A05"/>
    <w:rsid w:val="260F67A9"/>
    <w:rsid w:val="261C18A0"/>
    <w:rsid w:val="263B66CB"/>
    <w:rsid w:val="264671EC"/>
    <w:rsid w:val="265E685B"/>
    <w:rsid w:val="266B3399"/>
    <w:rsid w:val="268B161A"/>
    <w:rsid w:val="26A15BDC"/>
    <w:rsid w:val="26A526DC"/>
    <w:rsid w:val="26A63B72"/>
    <w:rsid w:val="26AE16FD"/>
    <w:rsid w:val="26B17556"/>
    <w:rsid w:val="26B648E9"/>
    <w:rsid w:val="26CA7376"/>
    <w:rsid w:val="26D9491E"/>
    <w:rsid w:val="26D95D14"/>
    <w:rsid w:val="26EC030B"/>
    <w:rsid w:val="26FB6E7B"/>
    <w:rsid w:val="273B2D65"/>
    <w:rsid w:val="27441EF5"/>
    <w:rsid w:val="275F00DC"/>
    <w:rsid w:val="2763465F"/>
    <w:rsid w:val="276534EA"/>
    <w:rsid w:val="27694B9B"/>
    <w:rsid w:val="27865987"/>
    <w:rsid w:val="27AB1F74"/>
    <w:rsid w:val="27EA082B"/>
    <w:rsid w:val="280147D4"/>
    <w:rsid w:val="280A588F"/>
    <w:rsid w:val="28212236"/>
    <w:rsid w:val="282219D0"/>
    <w:rsid w:val="283D3484"/>
    <w:rsid w:val="284A636C"/>
    <w:rsid w:val="285A0E99"/>
    <w:rsid w:val="285C6DCA"/>
    <w:rsid w:val="289C20E0"/>
    <w:rsid w:val="28CC695E"/>
    <w:rsid w:val="28D95810"/>
    <w:rsid w:val="294D0915"/>
    <w:rsid w:val="29514455"/>
    <w:rsid w:val="29615227"/>
    <w:rsid w:val="2968097A"/>
    <w:rsid w:val="298F65F8"/>
    <w:rsid w:val="29AC3D81"/>
    <w:rsid w:val="29B016BF"/>
    <w:rsid w:val="29B900D5"/>
    <w:rsid w:val="29B94EBA"/>
    <w:rsid w:val="29BB4C0F"/>
    <w:rsid w:val="29C42734"/>
    <w:rsid w:val="29DB4666"/>
    <w:rsid w:val="29FF4569"/>
    <w:rsid w:val="2A136EA9"/>
    <w:rsid w:val="2A1800BA"/>
    <w:rsid w:val="2A1F4553"/>
    <w:rsid w:val="2A2D470E"/>
    <w:rsid w:val="2A30050E"/>
    <w:rsid w:val="2A377DD6"/>
    <w:rsid w:val="2AB96F12"/>
    <w:rsid w:val="2ADA644C"/>
    <w:rsid w:val="2B0379D1"/>
    <w:rsid w:val="2B1A6253"/>
    <w:rsid w:val="2B2B0594"/>
    <w:rsid w:val="2B4D7E63"/>
    <w:rsid w:val="2B6969E4"/>
    <w:rsid w:val="2B7D7783"/>
    <w:rsid w:val="2B98280F"/>
    <w:rsid w:val="2BA3140C"/>
    <w:rsid w:val="2BA80E7E"/>
    <w:rsid w:val="2BC65711"/>
    <w:rsid w:val="2C161986"/>
    <w:rsid w:val="2C457944"/>
    <w:rsid w:val="2C4B0CAE"/>
    <w:rsid w:val="2C5F12ED"/>
    <w:rsid w:val="2C6963F3"/>
    <w:rsid w:val="2CA52B95"/>
    <w:rsid w:val="2CD77097"/>
    <w:rsid w:val="2CFF066C"/>
    <w:rsid w:val="2D214804"/>
    <w:rsid w:val="2D214A86"/>
    <w:rsid w:val="2D320A41"/>
    <w:rsid w:val="2D4314AB"/>
    <w:rsid w:val="2D631EDB"/>
    <w:rsid w:val="2D841DFC"/>
    <w:rsid w:val="2D8A0748"/>
    <w:rsid w:val="2DC00706"/>
    <w:rsid w:val="2E1E7AD9"/>
    <w:rsid w:val="2E2D6A82"/>
    <w:rsid w:val="2E405B57"/>
    <w:rsid w:val="2E4A6F9E"/>
    <w:rsid w:val="2E595BB5"/>
    <w:rsid w:val="2E7252A0"/>
    <w:rsid w:val="2E91269F"/>
    <w:rsid w:val="2EA72D69"/>
    <w:rsid w:val="2EFD3086"/>
    <w:rsid w:val="2F032C61"/>
    <w:rsid w:val="2F4A4125"/>
    <w:rsid w:val="2F77612A"/>
    <w:rsid w:val="2F8D6403"/>
    <w:rsid w:val="2FA0642A"/>
    <w:rsid w:val="2FAC4CF0"/>
    <w:rsid w:val="2FC26A9B"/>
    <w:rsid w:val="2FC55529"/>
    <w:rsid w:val="2FE807CB"/>
    <w:rsid w:val="2FEA115F"/>
    <w:rsid w:val="30110DE2"/>
    <w:rsid w:val="30207DF1"/>
    <w:rsid w:val="30297444"/>
    <w:rsid w:val="307331DB"/>
    <w:rsid w:val="30755CD7"/>
    <w:rsid w:val="30896D24"/>
    <w:rsid w:val="30982D50"/>
    <w:rsid w:val="30B04157"/>
    <w:rsid w:val="30B36A06"/>
    <w:rsid w:val="30B8071B"/>
    <w:rsid w:val="30D85A19"/>
    <w:rsid w:val="30EA0F6A"/>
    <w:rsid w:val="30F21F20"/>
    <w:rsid w:val="31012C04"/>
    <w:rsid w:val="31321617"/>
    <w:rsid w:val="31445686"/>
    <w:rsid w:val="315F098F"/>
    <w:rsid w:val="316513E5"/>
    <w:rsid w:val="31655B0D"/>
    <w:rsid w:val="317E24A7"/>
    <w:rsid w:val="31880C30"/>
    <w:rsid w:val="31AA428D"/>
    <w:rsid w:val="3212751E"/>
    <w:rsid w:val="32152ECD"/>
    <w:rsid w:val="32277E22"/>
    <w:rsid w:val="323B2146"/>
    <w:rsid w:val="32537679"/>
    <w:rsid w:val="32827D75"/>
    <w:rsid w:val="32847649"/>
    <w:rsid w:val="32D15453"/>
    <w:rsid w:val="333953DF"/>
    <w:rsid w:val="334700E7"/>
    <w:rsid w:val="335E433E"/>
    <w:rsid w:val="336E4B1E"/>
    <w:rsid w:val="33761D33"/>
    <w:rsid w:val="33821C4E"/>
    <w:rsid w:val="33C06DA7"/>
    <w:rsid w:val="33C41E41"/>
    <w:rsid w:val="33E611D4"/>
    <w:rsid w:val="33F4034E"/>
    <w:rsid w:val="340B3F88"/>
    <w:rsid w:val="343402B4"/>
    <w:rsid w:val="3454129D"/>
    <w:rsid w:val="348A32BD"/>
    <w:rsid w:val="348E0C53"/>
    <w:rsid w:val="34B561E0"/>
    <w:rsid w:val="34C86A26"/>
    <w:rsid w:val="34DB1568"/>
    <w:rsid w:val="353D7F83"/>
    <w:rsid w:val="354B08F2"/>
    <w:rsid w:val="354C01C6"/>
    <w:rsid w:val="35505F08"/>
    <w:rsid w:val="355E7CA7"/>
    <w:rsid w:val="35795128"/>
    <w:rsid w:val="3592207D"/>
    <w:rsid w:val="359E21D5"/>
    <w:rsid w:val="35AF21C9"/>
    <w:rsid w:val="35C641AE"/>
    <w:rsid w:val="35C824CB"/>
    <w:rsid w:val="361231BE"/>
    <w:rsid w:val="36126EAB"/>
    <w:rsid w:val="361C2B47"/>
    <w:rsid w:val="36325CFD"/>
    <w:rsid w:val="363437F6"/>
    <w:rsid w:val="364801DC"/>
    <w:rsid w:val="367A4E16"/>
    <w:rsid w:val="36A77A38"/>
    <w:rsid w:val="36AF2B44"/>
    <w:rsid w:val="36B17A28"/>
    <w:rsid w:val="36B41147"/>
    <w:rsid w:val="36C5295A"/>
    <w:rsid w:val="36E42DAC"/>
    <w:rsid w:val="370C2303"/>
    <w:rsid w:val="372016B0"/>
    <w:rsid w:val="372805E8"/>
    <w:rsid w:val="37435A18"/>
    <w:rsid w:val="37517CD5"/>
    <w:rsid w:val="377F0B81"/>
    <w:rsid w:val="37E82428"/>
    <w:rsid w:val="37EE3E26"/>
    <w:rsid w:val="38083B66"/>
    <w:rsid w:val="380C3863"/>
    <w:rsid w:val="38137C6C"/>
    <w:rsid w:val="381E546D"/>
    <w:rsid w:val="38887767"/>
    <w:rsid w:val="389749D2"/>
    <w:rsid w:val="389C3213"/>
    <w:rsid w:val="38B22A36"/>
    <w:rsid w:val="38B643C2"/>
    <w:rsid w:val="390E5EBF"/>
    <w:rsid w:val="393649BA"/>
    <w:rsid w:val="3947674E"/>
    <w:rsid w:val="39726574"/>
    <w:rsid w:val="398E3AF7"/>
    <w:rsid w:val="398E43A7"/>
    <w:rsid w:val="39931E71"/>
    <w:rsid w:val="39B931D7"/>
    <w:rsid w:val="39C80763"/>
    <w:rsid w:val="39EF45A5"/>
    <w:rsid w:val="39F74BA5"/>
    <w:rsid w:val="39FC5AAC"/>
    <w:rsid w:val="3A0A25D5"/>
    <w:rsid w:val="3A0A53FE"/>
    <w:rsid w:val="3A2847D2"/>
    <w:rsid w:val="3A5F54AC"/>
    <w:rsid w:val="3AAD38DE"/>
    <w:rsid w:val="3ADD73E7"/>
    <w:rsid w:val="3B290CDA"/>
    <w:rsid w:val="3B2F72DB"/>
    <w:rsid w:val="3B550268"/>
    <w:rsid w:val="3B6E0E96"/>
    <w:rsid w:val="3B85046E"/>
    <w:rsid w:val="3BBA7996"/>
    <w:rsid w:val="3C027232"/>
    <w:rsid w:val="3C225B9A"/>
    <w:rsid w:val="3C3F19E9"/>
    <w:rsid w:val="3C512EB2"/>
    <w:rsid w:val="3C524497"/>
    <w:rsid w:val="3C5B4AA2"/>
    <w:rsid w:val="3C9E7B59"/>
    <w:rsid w:val="3CA2589D"/>
    <w:rsid w:val="3CAB2677"/>
    <w:rsid w:val="3CC07619"/>
    <w:rsid w:val="3CC166E8"/>
    <w:rsid w:val="3CE81030"/>
    <w:rsid w:val="3CF229DD"/>
    <w:rsid w:val="3CF65BC2"/>
    <w:rsid w:val="3CF93231"/>
    <w:rsid w:val="3D0E641D"/>
    <w:rsid w:val="3D2F3524"/>
    <w:rsid w:val="3D4010C3"/>
    <w:rsid w:val="3D512286"/>
    <w:rsid w:val="3D740A23"/>
    <w:rsid w:val="3DA57D84"/>
    <w:rsid w:val="3DA866B5"/>
    <w:rsid w:val="3DA90DA4"/>
    <w:rsid w:val="3DD96B03"/>
    <w:rsid w:val="3DE508B2"/>
    <w:rsid w:val="3DF064DB"/>
    <w:rsid w:val="3E211206"/>
    <w:rsid w:val="3E472BF5"/>
    <w:rsid w:val="3E505054"/>
    <w:rsid w:val="3E52684D"/>
    <w:rsid w:val="3E725142"/>
    <w:rsid w:val="3E7964D0"/>
    <w:rsid w:val="3EB622A9"/>
    <w:rsid w:val="3EB72B54"/>
    <w:rsid w:val="3EB8389C"/>
    <w:rsid w:val="3ECA2888"/>
    <w:rsid w:val="3EEC283E"/>
    <w:rsid w:val="3EEE5C61"/>
    <w:rsid w:val="3F284ABC"/>
    <w:rsid w:val="3F340AE9"/>
    <w:rsid w:val="3F431DFA"/>
    <w:rsid w:val="3F8C5D8F"/>
    <w:rsid w:val="3FBB4C11"/>
    <w:rsid w:val="40157BE4"/>
    <w:rsid w:val="40162BA8"/>
    <w:rsid w:val="404E1296"/>
    <w:rsid w:val="40826936"/>
    <w:rsid w:val="408B6863"/>
    <w:rsid w:val="40BD57DF"/>
    <w:rsid w:val="40D038D9"/>
    <w:rsid w:val="40D16C1F"/>
    <w:rsid w:val="40DA3242"/>
    <w:rsid w:val="40E52E63"/>
    <w:rsid w:val="40F46F69"/>
    <w:rsid w:val="41083B3B"/>
    <w:rsid w:val="410A6E2E"/>
    <w:rsid w:val="413872C8"/>
    <w:rsid w:val="41422428"/>
    <w:rsid w:val="41AC2F41"/>
    <w:rsid w:val="41C4627B"/>
    <w:rsid w:val="41CC4B69"/>
    <w:rsid w:val="41DF6428"/>
    <w:rsid w:val="41EC0960"/>
    <w:rsid w:val="41FB27AE"/>
    <w:rsid w:val="42125082"/>
    <w:rsid w:val="423C76BC"/>
    <w:rsid w:val="424C3B0C"/>
    <w:rsid w:val="428D254A"/>
    <w:rsid w:val="428E6D0E"/>
    <w:rsid w:val="42BF29B2"/>
    <w:rsid w:val="430A7EB4"/>
    <w:rsid w:val="430F112F"/>
    <w:rsid w:val="431E19A4"/>
    <w:rsid w:val="43461977"/>
    <w:rsid w:val="434E199A"/>
    <w:rsid w:val="435E6138"/>
    <w:rsid w:val="438B36E5"/>
    <w:rsid w:val="438F39B4"/>
    <w:rsid w:val="43A22DDE"/>
    <w:rsid w:val="43A326BF"/>
    <w:rsid w:val="43DE6DD5"/>
    <w:rsid w:val="43ED06AE"/>
    <w:rsid w:val="441223D3"/>
    <w:rsid w:val="441D0503"/>
    <w:rsid w:val="443F4068"/>
    <w:rsid w:val="44454153"/>
    <w:rsid w:val="445C6678"/>
    <w:rsid w:val="4465680F"/>
    <w:rsid w:val="44663A8C"/>
    <w:rsid w:val="44726B97"/>
    <w:rsid w:val="44B377EF"/>
    <w:rsid w:val="44B40123"/>
    <w:rsid w:val="44F0275C"/>
    <w:rsid w:val="45052406"/>
    <w:rsid w:val="451B148F"/>
    <w:rsid w:val="45250609"/>
    <w:rsid w:val="45356EC9"/>
    <w:rsid w:val="45365B7D"/>
    <w:rsid w:val="45385DC2"/>
    <w:rsid w:val="455D5AA7"/>
    <w:rsid w:val="45723C79"/>
    <w:rsid w:val="457E653E"/>
    <w:rsid w:val="45A7023B"/>
    <w:rsid w:val="45BB73AD"/>
    <w:rsid w:val="45D9537B"/>
    <w:rsid w:val="45F9523A"/>
    <w:rsid w:val="4618176A"/>
    <w:rsid w:val="462801EA"/>
    <w:rsid w:val="46352244"/>
    <w:rsid w:val="464B74AB"/>
    <w:rsid w:val="467C48B8"/>
    <w:rsid w:val="46A02B92"/>
    <w:rsid w:val="46B0157F"/>
    <w:rsid w:val="46C80670"/>
    <w:rsid w:val="46DC7A34"/>
    <w:rsid w:val="471549C2"/>
    <w:rsid w:val="47251A46"/>
    <w:rsid w:val="474D674C"/>
    <w:rsid w:val="475A7BEF"/>
    <w:rsid w:val="475B1E40"/>
    <w:rsid w:val="478F64CE"/>
    <w:rsid w:val="478F70E2"/>
    <w:rsid w:val="47C84024"/>
    <w:rsid w:val="47D507E1"/>
    <w:rsid w:val="47D93B3C"/>
    <w:rsid w:val="47E25116"/>
    <w:rsid w:val="47EE1F1D"/>
    <w:rsid w:val="47F36DEA"/>
    <w:rsid w:val="481903DC"/>
    <w:rsid w:val="48244227"/>
    <w:rsid w:val="482A507D"/>
    <w:rsid w:val="4837068B"/>
    <w:rsid w:val="483F3792"/>
    <w:rsid w:val="48496F13"/>
    <w:rsid w:val="48790C97"/>
    <w:rsid w:val="48944FB5"/>
    <w:rsid w:val="48B00368"/>
    <w:rsid w:val="48D81826"/>
    <w:rsid w:val="48FB2EFD"/>
    <w:rsid w:val="495A0CAC"/>
    <w:rsid w:val="499E6DEB"/>
    <w:rsid w:val="49B87FE3"/>
    <w:rsid w:val="49BB69ED"/>
    <w:rsid w:val="49C01457"/>
    <w:rsid w:val="49D56585"/>
    <w:rsid w:val="49E57435"/>
    <w:rsid w:val="4A440B9E"/>
    <w:rsid w:val="4A5B267D"/>
    <w:rsid w:val="4A61185A"/>
    <w:rsid w:val="4A8204BA"/>
    <w:rsid w:val="4A8B7C2C"/>
    <w:rsid w:val="4AC141B9"/>
    <w:rsid w:val="4AD46071"/>
    <w:rsid w:val="4B245A16"/>
    <w:rsid w:val="4B447E66"/>
    <w:rsid w:val="4B4614E8"/>
    <w:rsid w:val="4B67397E"/>
    <w:rsid w:val="4B921482"/>
    <w:rsid w:val="4BAF4AED"/>
    <w:rsid w:val="4BF25DC9"/>
    <w:rsid w:val="4BFE0015"/>
    <w:rsid w:val="4C3920A8"/>
    <w:rsid w:val="4C3D2543"/>
    <w:rsid w:val="4C431ECB"/>
    <w:rsid w:val="4C586A34"/>
    <w:rsid w:val="4C6B10C0"/>
    <w:rsid w:val="4C760E14"/>
    <w:rsid w:val="4C7958F2"/>
    <w:rsid w:val="4C834F37"/>
    <w:rsid w:val="4C8E7FD2"/>
    <w:rsid w:val="4C9B5863"/>
    <w:rsid w:val="4CAD0D88"/>
    <w:rsid w:val="4CB3561F"/>
    <w:rsid w:val="4CD76308"/>
    <w:rsid w:val="4CEC0C42"/>
    <w:rsid w:val="4D0C0115"/>
    <w:rsid w:val="4D1523D8"/>
    <w:rsid w:val="4D3D02E6"/>
    <w:rsid w:val="4D3F6B37"/>
    <w:rsid w:val="4D4863E7"/>
    <w:rsid w:val="4D8B22EB"/>
    <w:rsid w:val="4DA15554"/>
    <w:rsid w:val="4DA22905"/>
    <w:rsid w:val="4DBE156D"/>
    <w:rsid w:val="4DE805F1"/>
    <w:rsid w:val="4DF3347D"/>
    <w:rsid w:val="4DF54C25"/>
    <w:rsid w:val="4E015B98"/>
    <w:rsid w:val="4E1131F6"/>
    <w:rsid w:val="4E177064"/>
    <w:rsid w:val="4E1F2065"/>
    <w:rsid w:val="4E21623C"/>
    <w:rsid w:val="4E2B7C4D"/>
    <w:rsid w:val="4E304110"/>
    <w:rsid w:val="4E635E94"/>
    <w:rsid w:val="4E6665D3"/>
    <w:rsid w:val="4E685436"/>
    <w:rsid w:val="4E7520E4"/>
    <w:rsid w:val="4E9C58C3"/>
    <w:rsid w:val="4EB27D4F"/>
    <w:rsid w:val="4EB44330"/>
    <w:rsid w:val="4ECD36FA"/>
    <w:rsid w:val="4F0B1437"/>
    <w:rsid w:val="4F0F7CC0"/>
    <w:rsid w:val="4F11111B"/>
    <w:rsid w:val="4F1257BA"/>
    <w:rsid w:val="4F3F4946"/>
    <w:rsid w:val="4F5C6154"/>
    <w:rsid w:val="4F8053FC"/>
    <w:rsid w:val="4F9111A6"/>
    <w:rsid w:val="4F971A21"/>
    <w:rsid w:val="4FA02656"/>
    <w:rsid w:val="4FAB04B3"/>
    <w:rsid w:val="4FC97D93"/>
    <w:rsid w:val="4FEB7DBF"/>
    <w:rsid w:val="4FF91AB2"/>
    <w:rsid w:val="501F70B7"/>
    <w:rsid w:val="50250673"/>
    <w:rsid w:val="505C355C"/>
    <w:rsid w:val="50611CD6"/>
    <w:rsid w:val="508544A0"/>
    <w:rsid w:val="50E52804"/>
    <w:rsid w:val="50F466C5"/>
    <w:rsid w:val="51874608"/>
    <w:rsid w:val="51AD394F"/>
    <w:rsid w:val="51DA25F7"/>
    <w:rsid w:val="51DC6B68"/>
    <w:rsid w:val="521E6805"/>
    <w:rsid w:val="523E342D"/>
    <w:rsid w:val="52457097"/>
    <w:rsid w:val="526A5663"/>
    <w:rsid w:val="52A36090"/>
    <w:rsid w:val="52B508CE"/>
    <w:rsid w:val="52C533D7"/>
    <w:rsid w:val="52DA5A00"/>
    <w:rsid w:val="52F87F54"/>
    <w:rsid w:val="53422EDD"/>
    <w:rsid w:val="534310B4"/>
    <w:rsid w:val="5361203C"/>
    <w:rsid w:val="53D1600F"/>
    <w:rsid w:val="53D61877"/>
    <w:rsid w:val="53D77AC9"/>
    <w:rsid w:val="53F74F19"/>
    <w:rsid w:val="540006A2"/>
    <w:rsid w:val="5448499A"/>
    <w:rsid w:val="5453574E"/>
    <w:rsid w:val="545425B0"/>
    <w:rsid w:val="54733E3E"/>
    <w:rsid w:val="547C72FA"/>
    <w:rsid w:val="548337AD"/>
    <w:rsid w:val="54835765"/>
    <w:rsid w:val="548D1B99"/>
    <w:rsid w:val="54990292"/>
    <w:rsid w:val="54AA48BC"/>
    <w:rsid w:val="54AB2D04"/>
    <w:rsid w:val="54E54EC0"/>
    <w:rsid w:val="55325650"/>
    <w:rsid w:val="554076FE"/>
    <w:rsid w:val="556971D6"/>
    <w:rsid w:val="557A3DCE"/>
    <w:rsid w:val="55965937"/>
    <w:rsid w:val="55AF412E"/>
    <w:rsid w:val="55D53BC5"/>
    <w:rsid w:val="55F629D4"/>
    <w:rsid w:val="56222B52"/>
    <w:rsid w:val="562F49D4"/>
    <w:rsid w:val="563733C6"/>
    <w:rsid w:val="564E4C9C"/>
    <w:rsid w:val="566523D5"/>
    <w:rsid w:val="568913CC"/>
    <w:rsid w:val="5691533B"/>
    <w:rsid w:val="569D5E4B"/>
    <w:rsid w:val="56B725B5"/>
    <w:rsid w:val="56C02EC5"/>
    <w:rsid w:val="56C43C0D"/>
    <w:rsid w:val="56CE7427"/>
    <w:rsid w:val="57256D9D"/>
    <w:rsid w:val="572A43B4"/>
    <w:rsid w:val="574C26DA"/>
    <w:rsid w:val="574F541A"/>
    <w:rsid w:val="575136EE"/>
    <w:rsid w:val="5766303B"/>
    <w:rsid w:val="57763155"/>
    <w:rsid w:val="57784EF5"/>
    <w:rsid w:val="577E2647"/>
    <w:rsid w:val="577E3A7D"/>
    <w:rsid w:val="57B27F05"/>
    <w:rsid w:val="57E22E7A"/>
    <w:rsid w:val="582D74EB"/>
    <w:rsid w:val="58417549"/>
    <w:rsid w:val="587C1A10"/>
    <w:rsid w:val="589E6FBC"/>
    <w:rsid w:val="58DA3CDB"/>
    <w:rsid w:val="59252C90"/>
    <w:rsid w:val="59431968"/>
    <w:rsid w:val="594E4B90"/>
    <w:rsid w:val="597B4065"/>
    <w:rsid w:val="597C1D6D"/>
    <w:rsid w:val="59862AAA"/>
    <w:rsid w:val="59B47F65"/>
    <w:rsid w:val="59E66CC0"/>
    <w:rsid w:val="59FD190B"/>
    <w:rsid w:val="5A550F73"/>
    <w:rsid w:val="5AA31307"/>
    <w:rsid w:val="5AE26C03"/>
    <w:rsid w:val="5AF01C06"/>
    <w:rsid w:val="5AF06374"/>
    <w:rsid w:val="5B2829B8"/>
    <w:rsid w:val="5B5A4B3C"/>
    <w:rsid w:val="5B7E7C0D"/>
    <w:rsid w:val="5C090A3C"/>
    <w:rsid w:val="5C3715EA"/>
    <w:rsid w:val="5C631A75"/>
    <w:rsid w:val="5C73006C"/>
    <w:rsid w:val="5C9C31C1"/>
    <w:rsid w:val="5CC95B00"/>
    <w:rsid w:val="5CD526CC"/>
    <w:rsid w:val="5CDC050F"/>
    <w:rsid w:val="5CE61B6B"/>
    <w:rsid w:val="5D202DAD"/>
    <w:rsid w:val="5D380EAD"/>
    <w:rsid w:val="5D44459C"/>
    <w:rsid w:val="5D6B6E06"/>
    <w:rsid w:val="5D6C32B8"/>
    <w:rsid w:val="5D867E6A"/>
    <w:rsid w:val="5D8C1A3B"/>
    <w:rsid w:val="5D8F1C80"/>
    <w:rsid w:val="5D921D90"/>
    <w:rsid w:val="5DCC1AF5"/>
    <w:rsid w:val="5DCF25A2"/>
    <w:rsid w:val="5DFC5821"/>
    <w:rsid w:val="5E0429B5"/>
    <w:rsid w:val="5E0E058B"/>
    <w:rsid w:val="5E2A1226"/>
    <w:rsid w:val="5E3D1E49"/>
    <w:rsid w:val="5E475A1D"/>
    <w:rsid w:val="5E504F85"/>
    <w:rsid w:val="5E9B2359"/>
    <w:rsid w:val="5EBB3B43"/>
    <w:rsid w:val="5EC81BF4"/>
    <w:rsid w:val="5ED76A99"/>
    <w:rsid w:val="5EDE3A4B"/>
    <w:rsid w:val="5F064435"/>
    <w:rsid w:val="5F120616"/>
    <w:rsid w:val="5F1A6ABC"/>
    <w:rsid w:val="5F2142EE"/>
    <w:rsid w:val="5F2F12C0"/>
    <w:rsid w:val="5F645F89"/>
    <w:rsid w:val="5F700DD2"/>
    <w:rsid w:val="5F7929FD"/>
    <w:rsid w:val="5F9F342E"/>
    <w:rsid w:val="5FED8CA2"/>
    <w:rsid w:val="6008126F"/>
    <w:rsid w:val="60092C30"/>
    <w:rsid w:val="602277B4"/>
    <w:rsid w:val="60504520"/>
    <w:rsid w:val="60905211"/>
    <w:rsid w:val="609A4D89"/>
    <w:rsid w:val="60B00540"/>
    <w:rsid w:val="60B92304"/>
    <w:rsid w:val="60DD6815"/>
    <w:rsid w:val="60ED5290"/>
    <w:rsid w:val="6102237C"/>
    <w:rsid w:val="611F3077"/>
    <w:rsid w:val="61245C3D"/>
    <w:rsid w:val="613B0074"/>
    <w:rsid w:val="61B07454"/>
    <w:rsid w:val="61B825BC"/>
    <w:rsid w:val="61BA4586"/>
    <w:rsid w:val="61C64385"/>
    <w:rsid w:val="61F47559"/>
    <w:rsid w:val="62007D8B"/>
    <w:rsid w:val="620F754F"/>
    <w:rsid w:val="62132462"/>
    <w:rsid w:val="624C0E8E"/>
    <w:rsid w:val="62A509FF"/>
    <w:rsid w:val="62C84A81"/>
    <w:rsid w:val="62CF719E"/>
    <w:rsid w:val="62E16F5D"/>
    <w:rsid w:val="63170B2B"/>
    <w:rsid w:val="633839B4"/>
    <w:rsid w:val="635C3B47"/>
    <w:rsid w:val="63784673"/>
    <w:rsid w:val="63844E4C"/>
    <w:rsid w:val="638D2974"/>
    <w:rsid w:val="640D4E41"/>
    <w:rsid w:val="6417181C"/>
    <w:rsid w:val="6420654D"/>
    <w:rsid w:val="64385605"/>
    <w:rsid w:val="643A5879"/>
    <w:rsid w:val="64531837"/>
    <w:rsid w:val="646B075D"/>
    <w:rsid w:val="646B1B68"/>
    <w:rsid w:val="646F19F0"/>
    <w:rsid w:val="64751D6C"/>
    <w:rsid w:val="647B624F"/>
    <w:rsid w:val="649D5FA6"/>
    <w:rsid w:val="64AB5F73"/>
    <w:rsid w:val="64C46030"/>
    <w:rsid w:val="64C50DDA"/>
    <w:rsid w:val="64DA64C0"/>
    <w:rsid w:val="64DC06C7"/>
    <w:rsid w:val="64ED406F"/>
    <w:rsid w:val="64FF74A9"/>
    <w:rsid w:val="65063D7E"/>
    <w:rsid w:val="654E5711"/>
    <w:rsid w:val="655D27A8"/>
    <w:rsid w:val="65B77329"/>
    <w:rsid w:val="65BD6BD7"/>
    <w:rsid w:val="65D95D54"/>
    <w:rsid w:val="65DD5B02"/>
    <w:rsid w:val="65E25E59"/>
    <w:rsid w:val="6601232A"/>
    <w:rsid w:val="661C1CBF"/>
    <w:rsid w:val="665723A3"/>
    <w:rsid w:val="66586183"/>
    <w:rsid w:val="666A0329"/>
    <w:rsid w:val="6673189A"/>
    <w:rsid w:val="668A09CB"/>
    <w:rsid w:val="66C33289"/>
    <w:rsid w:val="66DB1B7A"/>
    <w:rsid w:val="67096682"/>
    <w:rsid w:val="67106D88"/>
    <w:rsid w:val="671C0F37"/>
    <w:rsid w:val="67355F85"/>
    <w:rsid w:val="6743194F"/>
    <w:rsid w:val="6784366C"/>
    <w:rsid w:val="67B048A5"/>
    <w:rsid w:val="67E660D5"/>
    <w:rsid w:val="67FE0782"/>
    <w:rsid w:val="68196658"/>
    <w:rsid w:val="6837248C"/>
    <w:rsid w:val="683A01CF"/>
    <w:rsid w:val="683A063B"/>
    <w:rsid w:val="687D2EAB"/>
    <w:rsid w:val="689E250C"/>
    <w:rsid w:val="689E42BA"/>
    <w:rsid w:val="68B27CDB"/>
    <w:rsid w:val="68D66149"/>
    <w:rsid w:val="68FB4358"/>
    <w:rsid w:val="6908207B"/>
    <w:rsid w:val="6917326C"/>
    <w:rsid w:val="69177A24"/>
    <w:rsid w:val="69260639"/>
    <w:rsid w:val="696574CD"/>
    <w:rsid w:val="696E6382"/>
    <w:rsid w:val="69BD4C13"/>
    <w:rsid w:val="69C80622"/>
    <w:rsid w:val="69D00D66"/>
    <w:rsid w:val="6A116D0D"/>
    <w:rsid w:val="6A335CEC"/>
    <w:rsid w:val="6A3A45AE"/>
    <w:rsid w:val="6A3D7C76"/>
    <w:rsid w:val="6A467F22"/>
    <w:rsid w:val="6A532242"/>
    <w:rsid w:val="6A6947B3"/>
    <w:rsid w:val="6A7B7095"/>
    <w:rsid w:val="6A7E68A8"/>
    <w:rsid w:val="6A8A6C97"/>
    <w:rsid w:val="6A932E7C"/>
    <w:rsid w:val="6A9359EA"/>
    <w:rsid w:val="6ABD6F1D"/>
    <w:rsid w:val="6ACF380B"/>
    <w:rsid w:val="6AEC452A"/>
    <w:rsid w:val="6B1747F7"/>
    <w:rsid w:val="6B2E3E21"/>
    <w:rsid w:val="6B361AC9"/>
    <w:rsid w:val="6B566699"/>
    <w:rsid w:val="6B7B6B34"/>
    <w:rsid w:val="6BBE1707"/>
    <w:rsid w:val="6BCB3442"/>
    <w:rsid w:val="6BD62361"/>
    <w:rsid w:val="6BF550B3"/>
    <w:rsid w:val="6C07719B"/>
    <w:rsid w:val="6C1664CB"/>
    <w:rsid w:val="6C1D6D9A"/>
    <w:rsid w:val="6C442980"/>
    <w:rsid w:val="6C486FA6"/>
    <w:rsid w:val="6C5564D7"/>
    <w:rsid w:val="6C767BAE"/>
    <w:rsid w:val="6C7C07ED"/>
    <w:rsid w:val="6C837788"/>
    <w:rsid w:val="6C9C242E"/>
    <w:rsid w:val="6CB00099"/>
    <w:rsid w:val="6CF71C06"/>
    <w:rsid w:val="6D082649"/>
    <w:rsid w:val="6D2154B9"/>
    <w:rsid w:val="6D2C4685"/>
    <w:rsid w:val="6D321474"/>
    <w:rsid w:val="6D621D77"/>
    <w:rsid w:val="6D68298E"/>
    <w:rsid w:val="6D967C55"/>
    <w:rsid w:val="6DE26FC4"/>
    <w:rsid w:val="6DE70D91"/>
    <w:rsid w:val="6DEB41BC"/>
    <w:rsid w:val="6E0748EF"/>
    <w:rsid w:val="6E2129A1"/>
    <w:rsid w:val="6E661D1D"/>
    <w:rsid w:val="6E701A14"/>
    <w:rsid w:val="6E950EC0"/>
    <w:rsid w:val="6EAB5982"/>
    <w:rsid w:val="6EAD2DEA"/>
    <w:rsid w:val="6EEE586F"/>
    <w:rsid w:val="6EFD1CA8"/>
    <w:rsid w:val="6F2179F2"/>
    <w:rsid w:val="6F44041F"/>
    <w:rsid w:val="6F4C5F8B"/>
    <w:rsid w:val="6F4E57C6"/>
    <w:rsid w:val="6F5222A2"/>
    <w:rsid w:val="6F5576F5"/>
    <w:rsid w:val="6F787F8C"/>
    <w:rsid w:val="6F7D2538"/>
    <w:rsid w:val="6F9D0654"/>
    <w:rsid w:val="6FC45EB3"/>
    <w:rsid w:val="6FD26F3F"/>
    <w:rsid w:val="6FDC54B1"/>
    <w:rsid w:val="6FE078AE"/>
    <w:rsid w:val="6FE91DE9"/>
    <w:rsid w:val="70027CBA"/>
    <w:rsid w:val="701233CB"/>
    <w:rsid w:val="701D50A6"/>
    <w:rsid w:val="7024268C"/>
    <w:rsid w:val="703F45D4"/>
    <w:rsid w:val="704226D6"/>
    <w:rsid w:val="706728F0"/>
    <w:rsid w:val="70992AD8"/>
    <w:rsid w:val="709B392A"/>
    <w:rsid w:val="70AF785C"/>
    <w:rsid w:val="70E91428"/>
    <w:rsid w:val="70E95364"/>
    <w:rsid w:val="70EA3BFE"/>
    <w:rsid w:val="710215FC"/>
    <w:rsid w:val="711968D9"/>
    <w:rsid w:val="715920A5"/>
    <w:rsid w:val="71616206"/>
    <w:rsid w:val="71671AB6"/>
    <w:rsid w:val="71DC2BCC"/>
    <w:rsid w:val="71F72C8D"/>
    <w:rsid w:val="72066A07"/>
    <w:rsid w:val="72154C41"/>
    <w:rsid w:val="721E2B5F"/>
    <w:rsid w:val="722B15B2"/>
    <w:rsid w:val="724E36B4"/>
    <w:rsid w:val="72711689"/>
    <w:rsid w:val="72C37512"/>
    <w:rsid w:val="72C44EA7"/>
    <w:rsid w:val="72E32133"/>
    <w:rsid w:val="73123FD3"/>
    <w:rsid w:val="732A7855"/>
    <w:rsid w:val="732E0739"/>
    <w:rsid w:val="733F2932"/>
    <w:rsid w:val="73501722"/>
    <w:rsid w:val="73650566"/>
    <w:rsid w:val="73700F48"/>
    <w:rsid w:val="73755B24"/>
    <w:rsid w:val="739E35C0"/>
    <w:rsid w:val="73B51E75"/>
    <w:rsid w:val="73CA2AD1"/>
    <w:rsid w:val="73D92D70"/>
    <w:rsid w:val="73E40DAD"/>
    <w:rsid w:val="73E6474B"/>
    <w:rsid w:val="74041A55"/>
    <w:rsid w:val="740B52DF"/>
    <w:rsid w:val="74187805"/>
    <w:rsid w:val="741C6B32"/>
    <w:rsid w:val="7424189F"/>
    <w:rsid w:val="74332958"/>
    <w:rsid w:val="7452478A"/>
    <w:rsid w:val="74561EEC"/>
    <w:rsid w:val="746A4F73"/>
    <w:rsid w:val="749018A2"/>
    <w:rsid w:val="74A52F54"/>
    <w:rsid w:val="74A63B39"/>
    <w:rsid w:val="74B129FA"/>
    <w:rsid w:val="74BC0B14"/>
    <w:rsid w:val="74C94DB4"/>
    <w:rsid w:val="75040EF4"/>
    <w:rsid w:val="750532A6"/>
    <w:rsid w:val="75085E41"/>
    <w:rsid w:val="753D0713"/>
    <w:rsid w:val="753E3135"/>
    <w:rsid w:val="755E1F27"/>
    <w:rsid w:val="7568637B"/>
    <w:rsid w:val="75842A89"/>
    <w:rsid w:val="7605062E"/>
    <w:rsid w:val="761248D7"/>
    <w:rsid w:val="76133609"/>
    <w:rsid w:val="76194050"/>
    <w:rsid w:val="76474DCD"/>
    <w:rsid w:val="764C7A74"/>
    <w:rsid w:val="7653001E"/>
    <w:rsid w:val="766227CA"/>
    <w:rsid w:val="766D79C1"/>
    <w:rsid w:val="76852F5D"/>
    <w:rsid w:val="76B670FB"/>
    <w:rsid w:val="76BC3B4D"/>
    <w:rsid w:val="76C258C2"/>
    <w:rsid w:val="76C34A9E"/>
    <w:rsid w:val="76DB317A"/>
    <w:rsid w:val="76E4426B"/>
    <w:rsid w:val="76F17A29"/>
    <w:rsid w:val="77220487"/>
    <w:rsid w:val="772A5E9A"/>
    <w:rsid w:val="77640DC4"/>
    <w:rsid w:val="776A2A0F"/>
    <w:rsid w:val="77797EDF"/>
    <w:rsid w:val="77BB54CF"/>
    <w:rsid w:val="77BB7010"/>
    <w:rsid w:val="7809542A"/>
    <w:rsid w:val="784F6DF1"/>
    <w:rsid w:val="786D0F18"/>
    <w:rsid w:val="7897265F"/>
    <w:rsid w:val="78986F77"/>
    <w:rsid w:val="789B283C"/>
    <w:rsid w:val="78A42797"/>
    <w:rsid w:val="78A82F32"/>
    <w:rsid w:val="78B449E2"/>
    <w:rsid w:val="78C31B1A"/>
    <w:rsid w:val="78C6643D"/>
    <w:rsid w:val="78DB623D"/>
    <w:rsid w:val="78F32400"/>
    <w:rsid w:val="78F83F8D"/>
    <w:rsid w:val="790327D9"/>
    <w:rsid w:val="790A52F2"/>
    <w:rsid w:val="790A599B"/>
    <w:rsid w:val="794F0BCE"/>
    <w:rsid w:val="797F1EE5"/>
    <w:rsid w:val="79D13E63"/>
    <w:rsid w:val="79DE1521"/>
    <w:rsid w:val="79E35351"/>
    <w:rsid w:val="7A0E5017"/>
    <w:rsid w:val="7A1A0171"/>
    <w:rsid w:val="7A1B43DE"/>
    <w:rsid w:val="7A2522AB"/>
    <w:rsid w:val="7A264FBC"/>
    <w:rsid w:val="7A413627"/>
    <w:rsid w:val="7A5A7C13"/>
    <w:rsid w:val="7A8E4633"/>
    <w:rsid w:val="7AA754C8"/>
    <w:rsid w:val="7AD56B43"/>
    <w:rsid w:val="7AFD1314"/>
    <w:rsid w:val="7B0F1047"/>
    <w:rsid w:val="7B30799E"/>
    <w:rsid w:val="7B331D1A"/>
    <w:rsid w:val="7B493209"/>
    <w:rsid w:val="7B8E2AFC"/>
    <w:rsid w:val="7BA448FC"/>
    <w:rsid w:val="7BAE0860"/>
    <w:rsid w:val="7BBD0AA3"/>
    <w:rsid w:val="7BD8121C"/>
    <w:rsid w:val="7BE55007"/>
    <w:rsid w:val="7BEC3136"/>
    <w:rsid w:val="7BF15DF6"/>
    <w:rsid w:val="7C175D41"/>
    <w:rsid w:val="7C2D2698"/>
    <w:rsid w:val="7C58483E"/>
    <w:rsid w:val="7C7622DD"/>
    <w:rsid w:val="7C776EA4"/>
    <w:rsid w:val="7C8A4E29"/>
    <w:rsid w:val="7C8F0691"/>
    <w:rsid w:val="7C907F65"/>
    <w:rsid w:val="7C9C67B2"/>
    <w:rsid w:val="7CB812FC"/>
    <w:rsid w:val="7CBF4067"/>
    <w:rsid w:val="7CCB60C1"/>
    <w:rsid w:val="7CD25AD9"/>
    <w:rsid w:val="7D1B3CD3"/>
    <w:rsid w:val="7D1F0177"/>
    <w:rsid w:val="7D274928"/>
    <w:rsid w:val="7D2C652F"/>
    <w:rsid w:val="7D545437"/>
    <w:rsid w:val="7D6E50DA"/>
    <w:rsid w:val="7D805566"/>
    <w:rsid w:val="7DA43CC8"/>
    <w:rsid w:val="7DBC0540"/>
    <w:rsid w:val="7DF132DE"/>
    <w:rsid w:val="7DF2563A"/>
    <w:rsid w:val="7E043DA8"/>
    <w:rsid w:val="7E1F6DD3"/>
    <w:rsid w:val="7E5C45A3"/>
    <w:rsid w:val="7E9B4B97"/>
    <w:rsid w:val="7EBC14E6"/>
    <w:rsid w:val="7EE13986"/>
    <w:rsid w:val="7EFB3DBC"/>
    <w:rsid w:val="7F3E404B"/>
    <w:rsid w:val="7F4A1849"/>
    <w:rsid w:val="7F7F231A"/>
    <w:rsid w:val="7FA77AA0"/>
    <w:rsid w:val="7FDB59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2" w:semiHidden="0" w:name="header"/>
    <w:lsdException w:qFormat="1" w:unhideWhenUsed="0" w:uiPriority="6"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6"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6" w:semiHidden="0" w:name="Body Text Indent 2"/>
    <w:lsdException w:qFormat="1" w:unhideWhenUsed="0" w:uiPriority="6"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7"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6"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
    <w:qFormat/>
    <w:uiPriority w:val="6"/>
    <w:pPr>
      <w:keepNext/>
      <w:keepLines/>
      <w:spacing w:before="340" w:after="330" w:line="578" w:lineRule="auto"/>
      <w:outlineLvl w:val="0"/>
    </w:pPr>
    <w:rPr>
      <w:b/>
      <w:bCs/>
      <w:kern w:val="44"/>
      <w:sz w:val="44"/>
      <w:szCs w:val="44"/>
    </w:rPr>
  </w:style>
  <w:style w:type="paragraph" w:styleId="4">
    <w:name w:val="heading 2"/>
    <w:basedOn w:val="1"/>
    <w:next w:val="1"/>
    <w:link w:val="49"/>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0"/>
    <w:qFormat/>
    <w:uiPriority w:val="0"/>
    <w:pPr>
      <w:keepNext/>
      <w:keepLines/>
      <w:spacing w:before="260" w:after="260" w:line="416" w:lineRule="auto"/>
      <w:outlineLvl w:val="2"/>
    </w:pPr>
    <w:rPr>
      <w:b/>
      <w:bCs/>
      <w:sz w:val="32"/>
      <w:szCs w:val="32"/>
    </w:rPr>
  </w:style>
  <w:style w:type="paragraph" w:styleId="6">
    <w:name w:val="heading 4"/>
    <w:basedOn w:val="1"/>
    <w:next w:val="1"/>
    <w:link w:val="51"/>
    <w:qFormat/>
    <w:uiPriority w:val="0"/>
    <w:pPr>
      <w:keepNext/>
      <w:keepLines/>
      <w:spacing w:line="377" w:lineRule="auto"/>
      <w:outlineLvl w:val="3"/>
    </w:pPr>
    <w:rPr>
      <w:rFonts w:ascii="Calibri Light" w:hAnsi="Calibri Light"/>
      <w:b/>
      <w:bCs/>
      <w:sz w:val="24"/>
      <w:szCs w:val="28"/>
    </w:rPr>
  </w:style>
  <w:style w:type="paragraph" w:styleId="7">
    <w:name w:val="heading 5"/>
    <w:basedOn w:val="1"/>
    <w:next w:val="1"/>
    <w:link w:val="52"/>
    <w:qFormat/>
    <w:uiPriority w:val="0"/>
    <w:pPr>
      <w:keepNext/>
      <w:keepLines/>
      <w:spacing w:before="280" w:after="290" w:line="376" w:lineRule="auto"/>
      <w:outlineLvl w:val="4"/>
    </w:pPr>
    <w:rPr>
      <w:b/>
      <w:bCs/>
      <w:color w:val="000000"/>
      <w:kern w:val="0"/>
      <w:sz w:val="28"/>
      <w:szCs w:val="28"/>
    </w:rPr>
  </w:style>
  <w:style w:type="paragraph" w:styleId="8">
    <w:name w:val="heading 6"/>
    <w:basedOn w:val="1"/>
    <w:next w:val="1"/>
    <w:link w:val="53"/>
    <w:qFormat/>
    <w:uiPriority w:val="0"/>
    <w:pPr>
      <w:keepNext/>
      <w:keepLines/>
      <w:spacing w:before="120" w:after="120" w:line="319" w:lineRule="auto"/>
      <w:outlineLvl w:val="5"/>
    </w:pPr>
    <w:rPr>
      <w:rFonts w:ascii="Calibri Light" w:hAnsi="Calibri Light" w:eastAsia="黑体"/>
      <w:b/>
      <w:bCs/>
      <w:sz w:val="24"/>
    </w:rPr>
  </w:style>
  <w:style w:type="character" w:default="1" w:styleId="42">
    <w:name w:val="Default Paragraph Font"/>
    <w:semiHidden/>
    <w:qFormat/>
    <w:uiPriority w:val="0"/>
  </w:style>
  <w:style w:type="table" w:default="1" w:styleId="40">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widowControl/>
      <w:ind w:firstLine="420"/>
      <w:jc w:val="left"/>
    </w:pPr>
    <w:rPr>
      <w:rFonts w:ascii="Times New Roman" w:hAnsi="Times New Roman"/>
      <w:kern w:val="0"/>
      <w:szCs w:val="20"/>
    </w:rPr>
  </w:style>
  <w:style w:type="paragraph" w:styleId="9">
    <w:name w:val="toc 7"/>
    <w:basedOn w:val="1"/>
    <w:next w:val="1"/>
    <w:semiHidden/>
    <w:qFormat/>
    <w:uiPriority w:val="0"/>
    <w:pPr>
      <w:ind w:left="1260"/>
      <w:jc w:val="left"/>
    </w:pPr>
    <w:rPr>
      <w:sz w:val="18"/>
      <w:szCs w:val="18"/>
    </w:rPr>
  </w:style>
  <w:style w:type="paragraph" w:styleId="10">
    <w:name w:val="table of authorities"/>
    <w:basedOn w:val="1"/>
    <w:next w:val="1"/>
    <w:unhideWhenUsed/>
    <w:qFormat/>
    <w:uiPriority w:val="99"/>
    <w:pPr>
      <w:ind w:left="420" w:leftChars="200"/>
    </w:pPr>
    <w:rPr>
      <w:rFonts w:ascii="等线" w:hAnsi="等线" w:eastAsia="等线"/>
      <w:szCs w:val="21"/>
    </w:rPr>
  </w:style>
  <w:style w:type="paragraph" w:styleId="11">
    <w:name w:val="Document Map"/>
    <w:basedOn w:val="1"/>
    <w:semiHidden/>
    <w:qFormat/>
    <w:uiPriority w:val="0"/>
    <w:pPr>
      <w:shd w:val="clear" w:color="auto" w:fill="000080"/>
    </w:pPr>
  </w:style>
  <w:style w:type="paragraph" w:styleId="12">
    <w:name w:val="annotation text"/>
    <w:basedOn w:val="1"/>
    <w:link w:val="55"/>
    <w:qFormat/>
    <w:uiPriority w:val="0"/>
    <w:pPr>
      <w:jc w:val="left"/>
    </w:pPr>
  </w:style>
  <w:style w:type="paragraph" w:styleId="13">
    <w:name w:val="Body Text"/>
    <w:basedOn w:val="1"/>
    <w:next w:val="14"/>
    <w:link w:val="56"/>
    <w:qFormat/>
    <w:uiPriority w:val="0"/>
    <w:pPr>
      <w:spacing w:after="120"/>
    </w:pPr>
  </w:style>
  <w:style w:type="paragraph" w:styleId="14">
    <w:name w:val="Body Text First Indent"/>
    <w:basedOn w:val="13"/>
    <w:qFormat/>
    <w:uiPriority w:val="0"/>
    <w:pPr>
      <w:autoSpaceDE/>
      <w:autoSpaceDN/>
      <w:adjustRightInd/>
      <w:ind w:firstLine="420"/>
      <w:jc w:val="both"/>
    </w:pPr>
    <w:rPr>
      <w:rFonts w:ascii="Times New Roman"/>
      <w:kern w:val="2"/>
      <w:sz w:val="21"/>
      <w:szCs w:val="24"/>
    </w:rPr>
  </w:style>
  <w:style w:type="paragraph" w:styleId="15">
    <w:name w:val="Body Text Indent"/>
    <w:basedOn w:val="1"/>
    <w:next w:val="1"/>
    <w:link w:val="57"/>
    <w:qFormat/>
    <w:uiPriority w:val="6"/>
    <w:pPr>
      <w:spacing w:after="120"/>
      <w:ind w:left="420" w:leftChars="200"/>
    </w:pPr>
  </w:style>
  <w:style w:type="paragraph" w:styleId="16">
    <w:name w:val="Block Text"/>
    <w:basedOn w:val="1"/>
    <w:qFormat/>
    <w:uiPriority w:val="0"/>
    <w:pPr>
      <w:widowControl w:val="0"/>
      <w:adjustRightInd w:val="0"/>
      <w:spacing w:line="300" w:lineRule="auto"/>
      <w:ind w:left="958" w:rightChars="-120"/>
      <w:jc w:val="left"/>
    </w:pPr>
    <w:rPr>
      <w:rFonts w:ascii="宋体" w:hAnsi="宋体" w:eastAsia="宋体" w:cs="Times New Roman"/>
      <w:kern w:val="2"/>
      <w:sz w:val="28"/>
      <w:lang w:val="en-US" w:eastAsia="zh-CN" w:bidi="ar-SA"/>
    </w:rPr>
  </w:style>
  <w:style w:type="paragraph" w:styleId="17">
    <w:name w:val="toc 5"/>
    <w:basedOn w:val="1"/>
    <w:next w:val="1"/>
    <w:semiHidden/>
    <w:qFormat/>
    <w:uiPriority w:val="0"/>
    <w:pPr>
      <w:ind w:left="840"/>
      <w:jc w:val="left"/>
    </w:pPr>
    <w:rPr>
      <w:sz w:val="18"/>
      <w:szCs w:val="18"/>
    </w:rPr>
  </w:style>
  <w:style w:type="paragraph" w:styleId="18">
    <w:name w:val="toc 3"/>
    <w:basedOn w:val="1"/>
    <w:next w:val="1"/>
    <w:qFormat/>
    <w:uiPriority w:val="39"/>
    <w:pPr>
      <w:ind w:left="420"/>
      <w:jc w:val="left"/>
    </w:pPr>
    <w:rPr>
      <w:i/>
      <w:iCs/>
      <w:sz w:val="20"/>
      <w:szCs w:val="20"/>
    </w:rPr>
  </w:style>
  <w:style w:type="paragraph" w:styleId="19">
    <w:name w:val="Plain Text"/>
    <w:basedOn w:val="1"/>
    <w:next w:val="1"/>
    <w:link w:val="54"/>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0">
    <w:name w:val="toc 8"/>
    <w:basedOn w:val="1"/>
    <w:next w:val="1"/>
    <w:semiHidden/>
    <w:qFormat/>
    <w:uiPriority w:val="0"/>
    <w:pPr>
      <w:ind w:left="1470"/>
      <w:jc w:val="left"/>
    </w:pPr>
    <w:rPr>
      <w:sz w:val="18"/>
      <w:szCs w:val="18"/>
    </w:rPr>
  </w:style>
  <w:style w:type="paragraph" w:styleId="21">
    <w:name w:val="Date"/>
    <w:basedOn w:val="1"/>
    <w:next w:val="1"/>
    <w:link w:val="58"/>
    <w:qFormat/>
    <w:uiPriority w:val="7"/>
    <w:rPr>
      <w:color w:val="000000"/>
      <w:kern w:val="1"/>
      <w:sz w:val="30"/>
      <w:szCs w:val="20"/>
    </w:rPr>
  </w:style>
  <w:style w:type="paragraph" w:styleId="22">
    <w:name w:val="Body Text Indent 2"/>
    <w:basedOn w:val="1"/>
    <w:link w:val="59"/>
    <w:qFormat/>
    <w:uiPriority w:val="6"/>
    <w:pPr>
      <w:spacing w:after="120" w:line="480" w:lineRule="auto"/>
      <w:ind w:left="420" w:leftChars="200"/>
    </w:pPr>
  </w:style>
  <w:style w:type="paragraph" w:styleId="23">
    <w:name w:val="Balloon Text"/>
    <w:basedOn w:val="1"/>
    <w:link w:val="60"/>
    <w:qFormat/>
    <w:uiPriority w:val="6"/>
    <w:rPr>
      <w:sz w:val="18"/>
      <w:szCs w:val="18"/>
    </w:rPr>
  </w:style>
  <w:style w:type="paragraph" w:styleId="24">
    <w:name w:val="footer"/>
    <w:basedOn w:val="1"/>
    <w:link w:val="61"/>
    <w:qFormat/>
    <w:uiPriority w:val="6"/>
    <w:pPr>
      <w:tabs>
        <w:tab w:val="center" w:pos="4153"/>
        <w:tab w:val="right" w:pos="8306"/>
      </w:tabs>
      <w:snapToGrid w:val="0"/>
      <w:jc w:val="left"/>
    </w:pPr>
    <w:rPr>
      <w:sz w:val="18"/>
      <w:szCs w:val="18"/>
    </w:rPr>
  </w:style>
  <w:style w:type="paragraph" w:styleId="25">
    <w:name w:val="header"/>
    <w:basedOn w:val="1"/>
    <w:link w:val="62"/>
    <w:qFormat/>
    <w:uiPriority w:val="2"/>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jc w:val="left"/>
    </w:pPr>
    <w:rPr>
      <w:b/>
      <w:bCs/>
      <w:caps/>
      <w:sz w:val="20"/>
      <w:szCs w:val="20"/>
    </w:rPr>
  </w:style>
  <w:style w:type="paragraph" w:styleId="27">
    <w:name w:val="toc 4"/>
    <w:basedOn w:val="1"/>
    <w:next w:val="1"/>
    <w:semiHidden/>
    <w:qFormat/>
    <w:uiPriority w:val="0"/>
    <w:pPr>
      <w:ind w:left="630"/>
      <w:jc w:val="left"/>
    </w:pPr>
    <w:rPr>
      <w:sz w:val="18"/>
      <w:szCs w:val="18"/>
    </w:rPr>
  </w:style>
  <w:style w:type="paragraph" w:styleId="28">
    <w:name w:val="List"/>
    <w:basedOn w:val="1"/>
    <w:qFormat/>
    <w:uiPriority w:val="99"/>
    <w:pPr>
      <w:ind w:left="200" w:hanging="200" w:hangingChars="200"/>
    </w:pPr>
  </w:style>
  <w:style w:type="paragraph" w:styleId="29">
    <w:name w:val="toc 6"/>
    <w:basedOn w:val="1"/>
    <w:next w:val="1"/>
    <w:semiHidden/>
    <w:qFormat/>
    <w:uiPriority w:val="0"/>
    <w:pPr>
      <w:ind w:left="1050"/>
      <w:jc w:val="left"/>
    </w:pPr>
    <w:rPr>
      <w:sz w:val="18"/>
      <w:szCs w:val="18"/>
    </w:rPr>
  </w:style>
  <w:style w:type="paragraph" w:styleId="30">
    <w:name w:val="Body Text Indent 3"/>
    <w:basedOn w:val="1"/>
    <w:link w:val="63"/>
    <w:qFormat/>
    <w:uiPriority w:val="6"/>
    <w:pPr>
      <w:spacing w:after="120"/>
      <w:ind w:left="420" w:leftChars="200"/>
    </w:pPr>
    <w:rPr>
      <w:sz w:val="16"/>
      <w:szCs w:val="16"/>
    </w:rPr>
  </w:style>
  <w:style w:type="paragraph" w:styleId="31">
    <w:name w:val="table of figures"/>
    <w:basedOn w:val="1"/>
    <w:next w:val="1"/>
    <w:qFormat/>
    <w:uiPriority w:val="0"/>
    <w:pPr>
      <w:ind w:left="840" w:leftChars="200" w:hanging="420" w:hangingChars="200"/>
    </w:pPr>
  </w:style>
  <w:style w:type="paragraph" w:styleId="32">
    <w:name w:val="toc 2"/>
    <w:basedOn w:val="1"/>
    <w:next w:val="1"/>
    <w:qFormat/>
    <w:uiPriority w:val="39"/>
    <w:pPr>
      <w:ind w:left="210"/>
      <w:jc w:val="left"/>
    </w:pPr>
    <w:rPr>
      <w:smallCaps/>
      <w:sz w:val="20"/>
      <w:szCs w:val="20"/>
    </w:rPr>
  </w:style>
  <w:style w:type="paragraph" w:styleId="33">
    <w:name w:val="toc 9"/>
    <w:basedOn w:val="1"/>
    <w:next w:val="1"/>
    <w:semiHidden/>
    <w:qFormat/>
    <w:uiPriority w:val="0"/>
    <w:pPr>
      <w:ind w:left="1680"/>
      <w:jc w:val="left"/>
    </w:pPr>
    <w:rPr>
      <w:sz w:val="18"/>
      <w:szCs w:val="18"/>
    </w:rPr>
  </w:style>
  <w:style w:type="paragraph" w:styleId="34">
    <w:name w:val="Body Text 2"/>
    <w:basedOn w:val="1"/>
    <w:next w:val="1"/>
    <w:qFormat/>
    <w:uiPriority w:val="0"/>
    <w:pPr>
      <w:spacing w:after="120" w:line="480" w:lineRule="auto"/>
    </w:pPr>
  </w:style>
  <w:style w:type="paragraph" w:styleId="3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7">
    <w:name w:val="Title"/>
    <w:basedOn w:val="1"/>
    <w:next w:val="1"/>
    <w:link w:val="64"/>
    <w:qFormat/>
    <w:uiPriority w:val="0"/>
    <w:pPr>
      <w:spacing w:before="240" w:after="60"/>
      <w:jc w:val="center"/>
      <w:outlineLvl w:val="0"/>
    </w:pPr>
    <w:rPr>
      <w:rFonts w:ascii="Cambria" w:hAnsi="Cambria"/>
      <w:b/>
      <w:bCs/>
      <w:sz w:val="32"/>
      <w:szCs w:val="32"/>
    </w:rPr>
  </w:style>
  <w:style w:type="paragraph" w:styleId="38">
    <w:name w:val="annotation subject"/>
    <w:basedOn w:val="12"/>
    <w:next w:val="12"/>
    <w:link w:val="65"/>
    <w:qFormat/>
    <w:uiPriority w:val="0"/>
    <w:rPr>
      <w:b/>
      <w:bCs/>
    </w:rPr>
  </w:style>
  <w:style w:type="paragraph" w:styleId="39">
    <w:name w:val="Body Text First Indent 2"/>
    <w:basedOn w:val="15"/>
    <w:qFormat/>
    <w:uiPriority w:val="0"/>
    <w:pPr>
      <w:spacing w:after="120"/>
      <w:ind w:left="420" w:leftChars="200" w:firstLine="420"/>
    </w:pPr>
    <w:rPr>
      <w:rFonts w:cs="宋体"/>
      <w:sz w:val="21"/>
      <w:szCs w:val="21"/>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7"/>
    <w:rPr>
      <w:b/>
    </w:rPr>
  </w:style>
  <w:style w:type="character" w:styleId="44">
    <w:name w:val="page number"/>
    <w:qFormat/>
    <w:uiPriority w:val="6"/>
  </w:style>
  <w:style w:type="character" w:styleId="45">
    <w:name w:val="Emphasis"/>
    <w:qFormat/>
    <w:uiPriority w:val="0"/>
    <w:rPr>
      <w:i/>
      <w:iCs/>
    </w:rPr>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character" w:customStyle="1" w:styleId="48">
    <w:name w:val="标题 1 Char"/>
    <w:link w:val="3"/>
    <w:qFormat/>
    <w:uiPriority w:val="6"/>
    <w:rPr>
      <w:b/>
      <w:bCs/>
      <w:kern w:val="44"/>
      <w:sz w:val="44"/>
      <w:szCs w:val="44"/>
    </w:rPr>
  </w:style>
  <w:style w:type="character" w:customStyle="1" w:styleId="49">
    <w:name w:val="标题 2 Char1"/>
    <w:link w:val="4"/>
    <w:qFormat/>
    <w:uiPriority w:val="9"/>
    <w:rPr>
      <w:rFonts w:ascii="Arial" w:hAnsi="Arial" w:eastAsia="黑体"/>
      <w:b/>
      <w:bCs/>
      <w:kern w:val="2"/>
      <w:sz w:val="32"/>
      <w:szCs w:val="32"/>
    </w:rPr>
  </w:style>
  <w:style w:type="character" w:customStyle="1" w:styleId="50">
    <w:name w:val="标题 3 Char"/>
    <w:link w:val="5"/>
    <w:qFormat/>
    <w:uiPriority w:val="0"/>
    <w:rPr>
      <w:b/>
      <w:bCs/>
      <w:kern w:val="2"/>
      <w:sz w:val="32"/>
      <w:szCs w:val="32"/>
    </w:rPr>
  </w:style>
  <w:style w:type="character" w:customStyle="1" w:styleId="51">
    <w:name w:val="标题 4 Char"/>
    <w:link w:val="6"/>
    <w:qFormat/>
    <w:uiPriority w:val="0"/>
    <w:rPr>
      <w:rFonts w:ascii="Calibri Light" w:hAnsi="Calibri Light"/>
      <w:b/>
      <w:bCs/>
      <w:kern w:val="2"/>
      <w:sz w:val="24"/>
      <w:szCs w:val="28"/>
    </w:rPr>
  </w:style>
  <w:style w:type="character" w:customStyle="1" w:styleId="52">
    <w:name w:val="标题 5 Char"/>
    <w:link w:val="7"/>
    <w:qFormat/>
    <w:uiPriority w:val="0"/>
    <w:rPr>
      <w:b/>
      <w:bCs/>
      <w:color w:val="000000"/>
      <w:sz w:val="28"/>
      <w:szCs w:val="28"/>
    </w:rPr>
  </w:style>
  <w:style w:type="character" w:customStyle="1" w:styleId="53">
    <w:name w:val="标题 6 Char"/>
    <w:link w:val="8"/>
    <w:qFormat/>
    <w:uiPriority w:val="0"/>
    <w:rPr>
      <w:rFonts w:ascii="Calibri Light" w:hAnsi="Calibri Light" w:eastAsia="黑体"/>
      <w:b/>
      <w:bCs/>
      <w:kern w:val="2"/>
      <w:sz w:val="24"/>
      <w:szCs w:val="24"/>
    </w:rPr>
  </w:style>
  <w:style w:type="character" w:customStyle="1" w:styleId="54">
    <w:name w:val="纯文本 Char2"/>
    <w:link w:val="19"/>
    <w:qFormat/>
    <w:uiPriority w:val="0"/>
    <w:rPr>
      <w:rFonts w:ascii="宋体" w:hAnsi="Courier New" w:eastAsia="宋体"/>
      <w:sz w:val="21"/>
      <w:szCs w:val="21"/>
      <w:lang w:val="en-US" w:eastAsia="zh-CN" w:bidi="ar-SA"/>
    </w:rPr>
  </w:style>
  <w:style w:type="character" w:customStyle="1" w:styleId="55">
    <w:name w:val="批注文字 Char"/>
    <w:link w:val="12"/>
    <w:qFormat/>
    <w:uiPriority w:val="0"/>
    <w:rPr>
      <w:kern w:val="2"/>
      <w:sz w:val="21"/>
      <w:szCs w:val="24"/>
    </w:rPr>
  </w:style>
  <w:style w:type="character" w:customStyle="1" w:styleId="56">
    <w:name w:val="正文文本 Char1"/>
    <w:link w:val="13"/>
    <w:qFormat/>
    <w:uiPriority w:val="0"/>
    <w:rPr>
      <w:kern w:val="2"/>
      <w:sz w:val="21"/>
      <w:szCs w:val="24"/>
    </w:rPr>
  </w:style>
  <w:style w:type="character" w:customStyle="1" w:styleId="57">
    <w:name w:val="正文文本缩进 Char"/>
    <w:link w:val="15"/>
    <w:qFormat/>
    <w:uiPriority w:val="6"/>
    <w:rPr>
      <w:kern w:val="2"/>
      <w:sz w:val="21"/>
      <w:szCs w:val="24"/>
    </w:rPr>
  </w:style>
  <w:style w:type="character" w:customStyle="1" w:styleId="58">
    <w:name w:val="日期 Char"/>
    <w:link w:val="21"/>
    <w:qFormat/>
    <w:uiPriority w:val="7"/>
    <w:rPr>
      <w:color w:val="000000"/>
      <w:kern w:val="1"/>
      <w:sz w:val="30"/>
    </w:rPr>
  </w:style>
  <w:style w:type="character" w:customStyle="1" w:styleId="59">
    <w:name w:val="正文文本缩进 2 Char"/>
    <w:link w:val="22"/>
    <w:qFormat/>
    <w:uiPriority w:val="6"/>
    <w:rPr>
      <w:kern w:val="2"/>
      <w:sz w:val="21"/>
      <w:szCs w:val="24"/>
    </w:rPr>
  </w:style>
  <w:style w:type="character" w:customStyle="1" w:styleId="60">
    <w:name w:val="批注框文本 Char"/>
    <w:link w:val="23"/>
    <w:qFormat/>
    <w:uiPriority w:val="6"/>
    <w:rPr>
      <w:kern w:val="2"/>
      <w:sz w:val="18"/>
      <w:szCs w:val="18"/>
    </w:rPr>
  </w:style>
  <w:style w:type="character" w:customStyle="1" w:styleId="61">
    <w:name w:val="页脚 Char"/>
    <w:link w:val="24"/>
    <w:qFormat/>
    <w:uiPriority w:val="6"/>
    <w:rPr>
      <w:kern w:val="2"/>
      <w:sz w:val="18"/>
      <w:szCs w:val="18"/>
    </w:rPr>
  </w:style>
  <w:style w:type="character" w:customStyle="1" w:styleId="62">
    <w:name w:val="页眉 Char"/>
    <w:link w:val="25"/>
    <w:qFormat/>
    <w:uiPriority w:val="2"/>
    <w:rPr>
      <w:kern w:val="2"/>
      <w:sz w:val="18"/>
      <w:szCs w:val="18"/>
    </w:rPr>
  </w:style>
  <w:style w:type="character" w:customStyle="1" w:styleId="63">
    <w:name w:val="正文文本缩进 3 Char"/>
    <w:link w:val="30"/>
    <w:qFormat/>
    <w:uiPriority w:val="6"/>
    <w:rPr>
      <w:kern w:val="2"/>
      <w:sz w:val="16"/>
      <w:szCs w:val="16"/>
    </w:rPr>
  </w:style>
  <w:style w:type="character" w:customStyle="1" w:styleId="64">
    <w:name w:val="标题 Char"/>
    <w:link w:val="37"/>
    <w:qFormat/>
    <w:uiPriority w:val="0"/>
    <w:rPr>
      <w:rFonts w:ascii="Cambria" w:hAnsi="Cambria" w:eastAsia="宋体"/>
      <w:b/>
      <w:bCs/>
      <w:kern w:val="2"/>
      <w:sz w:val="32"/>
      <w:szCs w:val="32"/>
      <w:lang w:val="en-US" w:eastAsia="zh-CN" w:bidi="ar-SA"/>
    </w:rPr>
  </w:style>
  <w:style w:type="character" w:customStyle="1" w:styleId="65">
    <w:name w:val="批注主题 Char"/>
    <w:link w:val="38"/>
    <w:qFormat/>
    <w:uiPriority w:val="0"/>
    <w:rPr>
      <w:b/>
      <w:bCs/>
      <w:kern w:val="2"/>
      <w:sz w:val="21"/>
      <w:szCs w:val="24"/>
    </w:rPr>
  </w:style>
  <w:style w:type="character" w:customStyle="1" w:styleId="66">
    <w:name w:val="标题2"/>
    <w:qFormat/>
    <w:uiPriority w:val="0"/>
    <w:rPr>
      <w:rFonts w:ascii="微软雅黑" w:hAnsi="微软雅黑" w:eastAsia="微软雅黑"/>
      <w:b/>
      <w:bCs/>
      <w:color w:val="0D0D0D"/>
      <w:sz w:val="24"/>
    </w:rPr>
  </w:style>
  <w:style w:type="character" w:customStyle="1" w:styleId="67">
    <w:name w:val=" Char Char"/>
    <w:qFormat/>
    <w:uiPriority w:val="0"/>
    <w:rPr>
      <w:rFonts w:ascii="宋体" w:hAnsi="Courier New" w:eastAsia="宋体"/>
      <w:sz w:val="21"/>
      <w:szCs w:val="21"/>
      <w:lang w:val="en-US" w:eastAsia="zh-CN" w:bidi="ar-SA"/>
    </w:rPr>
  </w:style>
  <w:style w:type="character" w:customStyle="1" w:styleId="68">
    <w:name w:val="表格文字 Char Char"/>
    <w:link w:val="69"/>
    <w:qFormat/>
    <w:uiPriority w:val="0"/>
    <w:rPr>
      <w:kern w:val="21"/>
      <w:sz w:val="21"/>
      <w:szCs w:val="21"/>
    </w:rPr>
  </w:style>
  <w:style w:type="paragraph" w:customStyle="1" w:styleId="69">
    <w:name w:val="表格文字"/>
    <w:basedOn w:val="19"/>
    <w:next w:val="13"/>
    <w:link w:val="68"/>
    <w:qFormat/>
    <w:uiPriority w:val="0"/>
    <w:pPr>
      <w:jc w:val="left"/>
    </w:pPr>
    <w:rPr>
      <w:kern w:val="21"/>
      <w:szCs w:val="21"/>
    </w:rPr>
  </w:style>
  <w:style w:type="character" w:customStyle="1" w:styleId="70">
    <w:name w:val="页眉 Char1"/>
    <w:qFormat/>
    <w:uiPriority w:val="6"/>
    <w:rPr>
      <w:rFonts w:ascii="Times New Roman" w:hAnsi="Times New Roman" w:eastAsia="宋体" w:cs="Times New Roman"/>
      <w:color w:val="000000"/>
      <w:kern w:val="1"/>
      <w:sz w:val="18"/>
      <w:szCs w:val="18"/>
      <w:lang w:val="zh-CN"/>
    </w:rPr>
  </w:style>
  <w:style w:type="character" w:customStyle="1" w:styleId="71">
    <w:name w:val="纯文本 Char"/>
    <w:qFormat/>
    <w:uiPriority w:val="0"/>
    <w:rPr>
      <w:rFonts w:ascii="宋体" w:hAnsi="Courier New" w:eastAsia="宋体"/>
      <w:sz w:val="21"/>
      <w:szCs w:val="21"/>
      <w:lang w:val="en-US" w:eastAsia="zh-CN" w:bidi="ar-SA"/>
    </w:rPr>
  </w:style>
  <w:style w:type="character" w:customStyle="1" w:styleId="72">
    <w:name w:val="aa1"/>
    <w:qFormat/>
    <w:uiPriority w:val="0"/>
    <w:rPr>
      <w:rFonts w:hint="default" w:ascii="_x000B__x000C_" w:hAnsi="_x000B__x000C_"/>
      <w:color w:val="000000"/>
      <w:sz w:val="20"/>
      <w:szCs w:val="20"/>
      <w:u w:val="none"/>
    </w:rPr>
  </w:style>
  <w:style w:type="character" w:customStyle="1" w:styleId="73">
    <w:name w:val="标准正文格式 Char"/>
    <w:link w:val="74"/>
    <w:qFormat/>
    <w:uiPriority w:val="0"/>
    <w:rPr>
      <w:rFonts w:ascii="宋体" w:eastAsia="仿宋_GB2312" w:cs="宋体"/>
      <w:color w:val="000000"/>
      <w:sz w:val="24"/>
      <w:lang w:val="en-US" w:eastAsia="zh-CN" w:bidi="ar-SA"/>
    </w:rPr>
  </w:style>
  <w:style w:type="paragraph" w:customStyle="1" w:styleId="74">
    <w:name w:val="标准正文格式"/>
    <w:basedOn w:val="1"/>
    <w:link w:val="73"/>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75">
    <w:name w:val="NormalCharacter"/>
    <w:qFormat/>
    <w:uiPriority w:val="0"/>
    <w:rPr>
      <w:kern w:val="2"/>
      <w:sz w:val="21"/>
      <w:szCs w:val="24"/>
      <w:lang w:val="en-US" w:eastAsia="zh-CN" w:bidi="ar-SA"/>
    </w:rPr>
  </w:style>
  <w:style w:type="character" w:customStyle="1" w:styleId="76">
    <w:name w:val="标题 2 Char"/>
    <w:qFormat/>
    <w:locked/>
    <w:uiPriority w:val="9"/>
    <w:rPr>
      <w:rFonts w:ascii="Arial" w:hAnsi="Arial" w:eastAsia="黑体"/>
      <w:b/>
      <w:bCs/>
      <w:kern w:val="2"/>
      <w:sz w:val="32"/>
      <w:szCs w:val="32"/>
      <w:lang w:val="en-US" w:eastAsia="zh-CN" w:bidi="ar-SA"/>
    </w:rPr>
  </w:style>
  <w:style w:type="character" w:customStyle="1" w:styleId="77">
    <w:name w:val="纯文本 Char1"/>
    <w:qFormat/>
    <w:uiPriority w:val="0"/>
    <w:rPr>
      <w:rFonts w:ascii="宋体" w:hAnsi="Courier New" w:eastAsia="宋体"/>
      <w:sz w:val="21"/>
      <w:szCs w:val="21"/>
      <w:lang w:val="en-US" w:eastAsia="zh-CN" w:bidi="ar-SA"/>
    </w:rPr>
  </w:style>
  <w:style w:type="character" w:customStyle="1" w:styleId="78">
    <w:name w:val="未处理的提及"/>
    <w:unhideWhenUsed/>
    <w:qFormat/>
    <w:uiPriority w:val="99"/>
    <w:rPr>
      <w:color w:val="605E5C"/>
      <w:shd w:val="clear" w:color="auto" w:fill="E1DFDD"/>
    </w:rPr>
  </w:style>
  <w:style w:type="character" w:customStyle="1" w:styleId="79">
    <w:name w:val="textfont"/>
    <w:qFormat/>
    <w:uiPriority w:val="0"/>
  </w:style>
  <w:style w:type="character" w:customStyle="1" w:styleId="80">
    <w:name w:val="title-text"/>
    <w:qFormat/>
    <w:uiPriority w:val="0"/>
  </w:style>
  <w:style w:type="character" w:customStyle="1" w:styleId="81">
    <w:name w:val="font101"/>
    <w:qFormat/>
    <w:uiPriority w:val="0"/>
    <w:rPr>
      <w:rFonts w:hint="eastAsia" w:ascii="宋体" w:hAnsi="宋体" w:eastAsia="宋体" w:cs="宋体"/>
      <w:color w:val="000000"/>
      <w:sz w:val="20"/>
      <w:szCs w:val="20"/>
      <w:u w:val="none"/>
    </w:rPr>
  </w:style>
  <w:style w:type="character" w:customStyle="1" w:styleId="82">
    <w:name w:val=" Char Char Char"/>
    <w:qFormat/>
    <w:uiPriority w:val="0"/>
    <w:rPr>
      <w:rFonts w:ascii="宋体" w:hAnsi="Courier New" w:eastAsia="宋体"/>
      <w:sz w:val="21"/>
      <w:lang w:val="en-US" w:eastAsia="zh-CN"/>
    </w:rPr>
  </w:style>
  <w:style w:type="character" w:customStyle="1" w:styleId="83">
    <w:name w:val="日期 Char1"/>
    <w:qFormat/>
    <w:uiPriority w:val="0"/>
    <w:rPr>
      <w:kern w:val="2"/>
      <w:sz w:val="21"/>
      <w:szCs w:val="24"/>
    </w:rPr>
  </w:style>
  <w:style w:type="character" w:customStyle="1" w:styleId="84">
    <w:name w:val="font31"/>
    <w:qFormat/>
    <w:uiPriority w:val="0"/>
    <w:rPr>
      <w:rFonts w:ascii="Calibri" w:hAnsi="Calibri" w:cs="Calibri"/>
      <w:color w:val="000000"/>
      <w:sz w:val="20"/>
      <w:szCs w:val="20"/>
      <w:u w:val="none"/>
    </w:rPr>
  </w:style>
  <w:style w:type="character" w:customStyle="1" w:styleId="85">
    <w:name w:val="font121"/>
    <w:qFormat/>
    <w:uiPriority w:val="0"/>
    <w:rPr>
      <w:rFonts w:ascii="Symbol" w:hAnsi="Symbol" w:cs="Symbol"/>
      <w:color w:val="000000"/>
      <w:sz w:val="20"/>
      <w:szCs w:val="20"/>
      <w:u w:val="none"/>
    </w:rPr>
  </w:style>
  <w:style w:type="character" w:customStyle="1" w:styleId="86">
    <w:name w:val="bt11"/>
    <w:qFormat/>
    <w:uiPriority w:val="3"/>
    <w:rPr>
      <w:rFonts w:eastAsia="仿宋_GB2312"/>
      <w:b/>
      <w:color w:val="000000"/>
      <w:sz w:val="30"/>
      <w:szCs w:val="20"/>
      <w:u w:val="none"/>
    </w:rPr>
  </w:style>
  <w:style w:type="character" w:customStyle="1" w:styleId="87">
    <w:name w:val="font51"/>
    <w:qFormat/>
    <w:uiPriority w:val="0"/>
    <w:rPr>
      <w:rFonts w:hint="eastAsia" w:ascii="宋体" w:hAnsi="宋体" w:eastAsia="宋体" w:cs="宋体"/>
      <w:color w:val="000000"/>
      <w:sz w:val="18"/>
      <w:szCs w:val="18"/>
      <w:u w:val="none"/>
    </w:rPr>
  </w:style>
  <w:style w:type="character" w:customStyle="1" w:styleId="88">
    <w:name w:val="_Style 87"/>
    <w:qFormat/>
    <w:uiPriority w:val="32"/>
    <w:rPr>
      <w:b/>
      <w:bCs/>
      <w:smallCaps/>
      <w:color w:val="C0504D"/>
      <w:spacing w:val="5"/>
      <w:u w:val="single"/>
    </w:rPr>
  </w:style>
  <w:style w:type="character" w:customStyle="1" w:styleId="89">
    <w:name w:val="font11"/>
    <w:qFormat/>
    <w:uiPriority w:val="0"/>
    <w:rPr>
      <w:rFonts w:hint="eastAsia" w:ascii="宋体" w:hAnsi="宋体" w:eastAsia="宋体" w:cs="宋体"/>
      <w:color w:val="000000"/>
      <w:sz w:val="12"/>
      <w:szCs w:val="12"/>
      <w:u w:val="none"/>
    </w:rPr>
  </w:style>
  <w:style w:type="character" w:customStyle="1" w:styleId="90">
    <w:name w:val="font01"/>
    <w:qFormat/>
    <w:uiPriority w:val="0"/>
    <w:rPr>
      <w:rFonts w:hint="eastAsia" w:ascii="宋体" w:hAnsi="宋体" w:eastAsia="宋体" w:cs="宋体"/>
      <w:b/>
      <w:color w:val="000000"/>
      <w:sz w:val="28"/>
      <w:szCs w:val="28"/>
      <w:u w:val="none"/>
    </w:rPr>
  </w:style>
  <w:style w:type="character" w:customStyle="1" w:styleId="91">
    <w:name w:val="列出段落 字符"/>
    <w:link w:val="92"/>
    <w:qFormat/>
    <w:uiPriority w:val="34"/>
    <w:rPr>
      <w:kern w:val="2"/>
      <w:sz w:val="21"/>
    </w:rPr>
  </w:style>
  <w:style w:type="paragraph" w:customStyle="1" w:styleId="92">
    <w:name w:val="列出段落1"/>
    <w:basedOn w:val="1"/>
    <w:link w:val="91"/>
    <w:qFormat/>
    <w:uiPriority w:val="34"/>
    <w:pPr>
      <w:ind w:firstLine="420" w:firstLineChars="200"/>
    </w:pPr>
    <w:rPr>
      <w:szCs w:val="20"/>
    </w:rPr>
  </w:style>
  <w:style w:type="character" w:customStyle="1" w:styleId="93">
    <w:name w:val="font21"/>
    <w:qFormat/>
    <w:uiPriority w:val="0"/>
    <w:rPr>
      <w:rFonts w:hint="eastAsia" w:ascii="宋体" w:hAnsi="宋体" w:eastAsia="宋体" w:cs="宋体"/>
      <w:color w:val="000000"/>
      <w:sz w:val="18"/>
      <w:szCs w:val="18"/>
      <w:u w:val="none"/>
    </w:rPr>
  </w:style>
  <w:style w:type="character" w:customStyle="1" w:styleId="94">
    <w:name w:val="正文文本 Char"/>
    <w:qFormat/>
    <w:uiPriority w:val="0"/>
    <w:rPr>
      <w:kern w:val="2"/>
      <w:sz w:val="21"/>
      <w:szCs w:val="24"/>
    </w:rPr>
  </w:style>
  <w:style w:type="character" w:customStyle="1" w:styleId="95">
    <w:name w:val="无间隔 Char"/>
    <w:link w:val="96"/>
    <w:qFormat/>
    <w:locked/>
    <w:uiPriority w:val="0"/>
    <w:rPr>
      <w:sz w:val="24"/>
      <w:lang w:val="en-US" w:eastAsia="zh-CN" w:bidi="ar-SA"/>
    </w:rPr>
  </w:style>
  <w:style w:type="paragraph" w:customStyle="1" w:styleId="96">
    <w:name w:val="无间隔1"/>
    <w:link w:val="95"/>
    <w:qFormat/>
    <w:uiPriority w:val="0"/>
    <w:pPr>
      <w:widowControl w:val="0"/>
      <w:spacing w:line="360" w:lineRule="auto"/>
      <w:jc w:val="both"/>
    </w:pPr>
    <w:rPr>
      <w:rFonts w:ascii="Times New Roman" w:hAnsi="Times New Roman" w:eastAsia="宋体" w:cs="Times New Roman"/>
      <w:sz w:val="24"/>
      <w:lang w:val="en-US" w:eastAsia="zh-CN" w:bidi="ar-SA"/>
    </w:rPr>
  </w:style>
  <w:style w:type="character" w:customStyle="1" w:styleId="97">
    <w:name w:val="font41"/>
    <w:qFormat/>
    <w:uiPriority w:val="0"/>
    <w:rPr>
      <w:rFonts w:hint="eastAsia" w:ascii="宋体" w:hAnsi="宋体" w:eastAsia="宋体" w:cs="宋体"/>
      <w:b/>
      <w:color w:val="000000"/>
      <w:sz w:val="28"/>
      <w:szCs w:val="28"/>
      <w:u w:val="none"/>
    </w:rPr>
  </w:style>
  <w:style w:type="paragraph" w:customStyle="1" w:styleId="9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9">
    <w:name w:val="_Style 3"/>
    <w:qFormat/>
    <w:uiPriority w:val="0"/>
    <w:rPr>
      <w:rFonts w:ascii="Calibri" w:hAnsi="Calibri" w:eastAsia="宋体" w:cs="Times New Roman"/>
      <w:sz w:val="22"/>
      <w:szCs w:val="22"/>
      <w:lang w:val="en-US" w:eastAsia="zh-CN" w:bidi="ar-SA"/>
    </w:rPr>
  </w:style>
  <w:style w:type="paragraph" w:customStyle="1" w:styleId="100">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01">
    <w:name w:val="_Style 5"/>
    <w:basedOn w:val="1"/>
    <w:qFormat/>
    <w:uiPriority w:val="99"/>
    <w:pPr>
      <w:spacing w:line="360" w:lineRule="auto"/>
      <w:ind w:firstLine="420" w:firstLineChars="200"/>
    </w:pPr>
  </w:style>
  <w:style w:type="paragraph" w:customStyle="1" w:styleId="102">
    <w:name w:val="正文缩进1"/>
    <w:basedOn w:val="1"/>
    <w:next w:val="1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3">
    <w:name w:val="p1"/>
    <w:basedOn w:val="1"/>
    <w:qFormat/>
    <w:uiPriority w:val="0"/>
    <w:pPr>
      <w:spacing w:line="380" w:lineRule="atLeast"/>
      <w:jc w:val="left"/>
    </w:pPr>
    <w:rPr>
      <w:rFonts w:ascii="Helvetica Neue" w:hAnsi="Helvetica Neue" w:eastAsia="Helvetica Neue"/>
      <w:kern w:val="0"/>
      <w:sz w:val="26"/>
      <w:szCs w:val="26"/>
    </w:rPr>
  </w:style>
  <w:style w:type="paragraph" w:customStyle="1" w:styleId="104">
    <w:name w:val="Char Char Char"/>
    <w:basedOn w:val="1"/>
    <w:qFormat/>
    <w:uiPriority w:val="0"/>
    <w:rPr>
      <w:rFonts w:ascii="Tahoma" w:hAnsi="Tahoma"/>
      <w:sz w:val="24"/>
      <w:szCs w:val="20"/>
    </w:rPr>
  </w:style>
  <w:style w:type="paragraph" w:customStyle="1" w:styleId="105">
    <w:name w:val="正文内容"/>
    <w:basedOn w:val="1"/>
    <w:qFormat/>
    <w:uiPriority w:val="0"/>
    <w:pPr>
      <w:jc w:val="left"/>
    </w:pPr>
    <w:rPr>
      <w:rFonts w:ascii="微软雅黑" w:hAnsi="微软雅黑" w:eastAsia="微软雅黑" w:cs="宋体"/>
      <w:color w:val="0D0D0D"/>
      <w:kern w:val="0"/>
      <w:sz w:val="18"/>
      <w:szCs w:val="18"/>
    </w:rPr>
  </w:style>
  <w:style w:type="paragraph" w:customStyle="1" w:styleId="106">
    <w:name w:val="BodyText1I2"/>
    <w:basedOn w:val="107"/>
    <w:qFormat/>
    <w:uiPriority w:val="0"/>
    <w:pPr>
      <w:ind w:firstLine="420" w:firstLineChars="200"/>
    </w:pPr>
  </w:style>
  <w:style w:type="paragraph" w:customStyle="1" w:styleId="107">
    <w:name w:val="BodyTextIndent"/>
    <w:basedOn w:val="1"/>
    <w:qFormat/>
    <w:uiPriority w:val="0"/>
    <w:pPr>
      <w:spacing w:after="120"/>
      <w:ind w:left="420" w:leftChars="200"/>
    </w:pPr>
  </w:style>
  <w:style w:type="paragraph" w:customStyle="1" w:styleId="108">
    <w:name w:val="xl35"/>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cs="Times New Roman"/>
      <w:sz w:val="24"/>
      <w:szCs w:val="24"/>
      <w:lang w:val="en-US" w:eastAsia="zh-CN" w:bidi="ar-SA"/>
    </w:rPr>
  </w:style>
  <w:style w:type="paragraph" w:customStyle="1" w:styleId="109">
    <w:name w:val="Default"/>
    <w:next w:val="98"/>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110">
    <w:name w:val="my正文"/>
    <w:basedOn w:val="1"/>
    <w:qFormat/>
    <w:uiPriority w:val="0"/>
    <w:pPr>
      <w:spacing w:line="360" w:lineRule="auto"/>
      <w:ind w:firstLine="480" w:firstLineChars="200"/>
    </w:pPr>
    <w:rPr>
      <w:rFonts w:ascii="宋体" w:hAnsi="宋体" w:cs="Times New Roman"/>
      <w:sz w:val="24"/>
    </w:rPr>
  </w:style>
  <w:style w:type="paragraph" w:customStyle="1" w:styleId="111">
    <w:name w:val="保留正文"/>
    <w:basedOn w:val="13"/>
    <w:qFormat/>
    <w:uiPriority w:val="0"/>
    <w:pPr>
      <w:keepNext/>
      <w:spacing w:after="160"/>
    </w:pPr>
    <w:rPr>
      <w:rFonts w:ascii="Times New Roman" w:hAnsi="Times New Roman"/>
      <w:szCs w:val="20"/>
      <w:lang w:val="en-US" w:eastAsia="zh-CN"/>
    </w:rPr>
  </w:style>
  <w:style w:type="paragraph" w:customStyle="1" w:styleId="112">
    <w:name w:val="中等深浅网格 1 - 强调文字颜色 21"/>
    <w:basedOn w:val="1"/>
    <w:qFormat/>
    <w:uiPriority w:val="0"/>
    <w:pPr>
      <w:ind w:firstLine="420" w:firstLineChars="200"/>
    </w:pPr>
    <w:rPr>
      <w:rFonts w:ascii="等线" w:hAnsi="等线" w:eastAsia="等线" w:cs="宋体"/>
      <w:szCs w:val="21"/>
    </w:rPr>
  </w:style>
  <w:style w:type="paragraph" w:customStyle="1" w:styleId="113">
    <w:name w:val="列出段落3"/>
    <w:basedOn w:val="1"/>
    <w:qFormat/>
    <w:uiPriority w:val="34"/>
    <w:pPr>
      <w:spacing w:line="360" w:lineRule="auto"/>
      <w:ind w:firstLine="420" w:firstLineChars="200"/>
    </w:pPr>
    <w:rPr>
      <w:rFonts w:ascii="Times New Roman" w:hAnsi="Times New Roman" w:cs="Times New Roman"/>
      <w:sz w:val="24"/>
      <w:szCs w:val="22"/>
    </w:rPr>
  </w:style>
  <w:style w:type="paragraph" w:customStyle="1" w:styleId="114">
    <w:name w:val=" Char Char Char Char Char Char Char Char Char1 Char"/>
    <w:basedOn w:val="1"/>
    <w:qFormat/>
    <w:uiPriority w:val="0"/>
    <w:pPr>
      <w:widowControl/>
      <w:jc w:val="left"/>
    </w:pPr>
    <w:rPr>
      <w:rFonts w:ascii="仿宋_GB2312" w:eastAsia="仿宋_GB2312"/>
      <w:b/>
      <w:kern w:val="0"/>
      <w:sz w:val="32"/>
      <w:szCs w:val="32"/>
    </w:rPr>
  </w:style>
  <w:style w:type="paragraph" w:customStyle="1" w:styleId="115">
    <w:name w:val="Pa5"/>
    <w:basedOn w:val="1"/>
    <w:next w:val="1"/>
    <w:qFormat/>
    <w:uiPriority w:val="99"/>
    <w:pPr>
      <w:autoSpaceDE w:val="0"/>
      <w:autoSpaceDN w:val="0"/>
      <w:adjustRightInd w:val="0"/>
      <w:spacing w:line="121" w:lineRule="atLeast"/>
      <w:jc w:val="left"/>
    </w:pPr>
    <w:rPr>
      <w:rFonts w:ascii="DaxPro-CondRegular" w:hAnsi="黑体" w:eastAsia="DaxPro-CondRegular"/>
      <w:kern w:val="0"/>
      <w:sz w:val="24"/>
    </w:rPr>
  </w:style>
  <w:style w:type="paragraph" w:customStyle="1" w:styleId="116">
    <w:name w:val="1111"/>
    <w:basedOn w:val="1"/>
    <w:qFormat/>
    <w:uiPriority w:val="0"/>
    <w:rPr>
      <w:sz w:val="18"/>
    </w:rPr>
  </w:style>
  <w:style w:type="paragraph" w:customStyle="1" w:styleId="117">
    <w:name w:val=" Char Char Char Char"/>
    <w:basedOn w:val="1"/>
    <w:qFormat/>
    <w:uiPriority w:val="0"/>
    <w:pPr>
      <w:spacing w:line="360" w:lineRule="auto"/>
      <w:ind w:firstLine="200" w:firstLineChars="200"/>
    </w:pPr>
    <w:rPr>
      <w:rFonts w:ascii="宋体" w:hAnsi="宋体" w:cs="宋体"/>
      <w:sz w:val="24"/>
    </w:rPr>
  </w:style>
  <w:style w:type="paragraph" w:customStyle="1" w:styleId="11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 Char Char Char Char Char Char Char"/>
    <w:basedOn w:val="1"/>
    <w:qFormat/>
    <w:uiPriority w:val="0"/>
    <w:rPr>
      <w:rFonts w:ascii="仿宋_GB2312" w:eastAsia="仿宋_GB2312"/>
      <w:b/>
      <w:sz w:val="32"/>
      <w:szCs w:val="32"/>
    </w:rPr>
  </w:style>
  <w:style w:type="paragraph" w:customStyle="1" w:styleId="120">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121">
    <w:name w:val="纯文本1"/>
    <w:basedOn w:val="1"/>
    <w:qFormat/>
    <w:uiPriority w:val="0"/>
    <w:pPr>
      <w:widowControl/>
      <w:overflowPunct w:val="0"/>
      <w:autoSpaceDE w:val="0"/>
      <w:autoSpaceDN w:val="0"/>
      <w:adjustRightInd w:val="0"/>
      <w:jc w:val="left"/>
      <w:textAlignment w:val="baseline"/>
    </w:pPr>
    <w:rPr>
      <w:rFonts w:ascii="宋体" w:hAnsi="Courier New"/>
      <w:sz w:val="24"/>
    </w:rPr>
  </w:style>
  <w:style w:type="paragraph" w:customStyle="1" w:styleId="122">
    <w:name w:val="Pa3"/>
    <w:basedOn w:val="1"/>
    <w:next w:val="1"/>
    <w:qFormat/>
    <w:uiPriority w:val="99"/>
    <w:pPr>
      <w:widowControl/>
      <w:spacing w:line="141" w:lineRule="atLeast"/>
    </w:pPr>
    <w:rPr>
      <w:rFonts w:ascii="Univers 57 Condensed" w:hAnsi="Times New Roman" w:eastAsia="Univers 57 Condensed" w:cs="Times New Roman"/>
      <w:snapToGrid/>
      <w:sz w:val="24"/>
      <w:szCs w:val="24"/>
    </w:rPr>
  </w:style>
  <w:style w:type="paragraph" w:customStyle="1" w:styleId="123">
    <w:name w:val="Table Paragraph"/>
    <w:basedOn w:val="1"/>
    <w:qFormat/>
    <w:uiPriority w:val="1"/>
    <w:pPr>
      <w:spacing w:line="500" w:lineRule="exact"/>
      <w:ind w:firstLine="360" w:firstLineChars="200"/>
    </w:pPr>
    <w:rPr>
      <w:rFonts w:ascii="宋体" w:hAnsi="宋体" w:cs="宋体"/>
      <w:sz w:val="24"/>
      <w:lang w:val="zh-CN" w:bidi="zh-CN"/>
    </w:rPr>
  </w:style>
  <w:style w:type="paragraph" w:customStyle="1" w:styleId="124">
    <w:name w:val="_Style 123"/>
    <w:unhideWhenUsed/>
    <w:qFormat/>
    <w:uiPriority w:val="99"/>
    <w:rPr>
      <w:rFonts w:ascii="Times New Roman" w:hAnsi="Times New Roman" w:eastAsia="宋体" w:cs="Times New Roman"/>
      <w:kern w:val="2"/>
      <w:sz w:val="21"/>
      <w:szCs w:val="24"/>
      <w:lang w:val="en-US" w:eastAsia="zh-CN" w:bidi="ar-SA"/>
    </w:rPr>
  </w:style>
  <w:style w:type="paragraph" w:customStyle="1" w:styleId="125">
    <w:name w:val="[Normal]"/>
    <w:qFormat/>
    <w:uiPriority w:val="0"/>
    <w:rPr>
      <w:rFonts w:ascii="宋体" w:hAnsi="宋体" w:eastAsia="宋体" w:cs="Times New Roman"/>
      <w:sz w:val="24"/>
      <w:szCs w:val="22"/>
      <w:lang w:val="zh-CN" w:eastAsia="zh-CN" w:bidi="ar-SA"/>
    </w:rPr>
  </w:style>
  <w:style w:type="paragraph" w:customStyle="1" w:styleId="126">
    <w:name w:val="纯文本 New New"/>
    <w:basedOn w:val="1"/>
    <w:qFormat/>
    <w:uiPriority w:val="0"/>
    <w:pPr>
      <w:widowControl/>
      <w:overflowPunct w:val="0"/>
      <w:autoSpaceDE w:val="0"/>
      <w:autoSpaceDN w:val="0"/>
      <w:adjustRightInd w:val="0"/>
      <w:jc w:val="left"/>
      <w:textAlignment w:val="baseline"/>
    </w:pPr>
    <w:rPr>
      <w:rFonts w:ascii="宋体" w:hAnsi="Courier New"/>
      <w:szCs w:val="21"/>
    </w:rPr>
  </w:style>
  <w:style w:type="paragraph" w:customStyle="1" w:styleId="127">
    <w:name w:val="表格"/>
    <w:qFormat/>
    <w:uiPriority w:val="0"/>
    <w:rPr>
      <w:rFonts w:ascii="Calibri" w:hAnsi="Calibri" w:eastAsia="宋体" w:cs="Times New Roman"/>
      <w:sz w:val="21"/>
      <w:lang w:val="en-US" w:eastAsia="zh-CN" w:bidi="ar-SA"/>
    </w:rPr>
  </w:style>
  <w:style w:type="paragraph" w:customStyle="1" w:styleId="128">
    <w:name w:val="彩色列表1"/>
    <w:basedOn w:val="1"/>
    <w:qFormat/>
    <w:uiPriority w:val="34"/>
    <w:pPr>
      <w:ind w:firstLine="420" w:firstLineChars="200"/>
    </w:pPr>
  </w:style>
  <w:style w:type="paragraph" w:styleId="129">
    <w:name w:val="List Paragraph"/>
    <w:basedOn w:val="1"/>
    <w:qFormat/>
    <w:uiPriority w:val="34"/>
    <w:pPr>
      <w:ind w:firstLine="420" w:firstLineChars="200"/>
    </w:pPr>
    <w:rPr>
      <w:rFonts w:ascii="Calibri" w:hAnsi="Calibri"/>
      <w:szCs w:val="22"/>
    </w:rPr>
  </w:style>
  <w:style w:type="paragraph" w:customStyle="1" w:styleId="130">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1">
    <w:name w:val="正文_0_1_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首行缩进"/>
    <w:basedOn w:val="1"/>
    <w:qFormat/>
    <w:uiPriority w:val="0"/>
    <w:pPr>
      <w:widowControl/>
      <w:tabs>
        <w:tab w:val="left" w:pos="822"/>
        <w:tab w:val="left" w:pos="1296"/>
      </w:tabs>
      <w:snapToGrid w:val="0"/>
      <w:spacing w:before="40" w:after="40" w:line="300" w:lineRule="atLeast"/>
      <w:ind w:left="1296" w:hanging="1296"/>
    </w:pPr>
    <w:rPr>
      <w:rFonts w:ascii="Arial" w:hAnsi="Arial"/>
      <w:kern w:val="0"/>
      <w:szCs w:val="20"/>
    </w:rPr>
  </w:style>
  <w:style w:type="paragraph" w:customStyle="1" w:styleId="133">
    <w:name w:val="_Style 13"/>
    <w:basedOn w:val="1"/>
    <w:next w:val="129"/>
    <w:qFormat/>
    <w:uiPriority w:val="7"/>
    <w:pPr>
      <w:ind w:firstLine="420"/>
    </w:pPr>
    <w:rPr>
      <w:color w:val="000000"/>
      <w:kern w:val="1"/>
    </w:rPr>
  </w:style>
  <w:style w:type="paragraph" w:customStyle="1" w:styleId="134">
    <w:name w:val="列出段落2"/>
    <w:basedOn w:val="1"/>
    <w:qFormat/>
    <w:uiPriority w:val="34"/>
    <w:pPr>
      <w:spacing w:line="360" w:lineRule="auto"/>
      <w:ind w:firstLine="420" w:firstLineChars="200"/>
    </w:pPr>
    <w:rPr>
      <w:rFonts w:ascii="Times New Roman" w:hAnsi="Times New Roman" w:cs="Times New Roman"/>
      <w:sz w:val="24"/>
      <w:szCs w:val="22"/>
    </w:rPr>
  </w:style>
  <w:style w:type="paragraph" w:customStyle="1" w:styleId="135">
    <w:name w:val="Char Char Char Char Char Char Char"/>
    <w:basedOn w:val="1"/>
    <w:qFormat/>
    <w:uiPriority w:val="0"/>
    <w:pPr>
      <w:spacing w:line="360" w:lineRule="auto"/>
      <w:ind w:firstLine="200" w:firstLineChars="200"/>
    </w:pPr>
    <w:rPr>
      <w:rFonts w:ascii="宋体" w:hAnsi="宋体" w:cs="宋体"/>
      <w:sz w:val="24"/>
    </w:rPr>
  </w:style>
  <w:style w:type="paragraph" w:customStyle="1" w:styleId="136">
    <w:name w:val="表格内字体字号"/>
    <w:basedOn w:val="1"/>
    <w:qFormat/>
    <w:uiPriority w:val="0"/>
    <w:pPr>
      <w:topLinePunct/>
      <w:snapToGrid w:val="0"/>
      <w:spacing w:before="62" w:beforeLines="20" w:after="62" w:afterLines="20"/>
      <w:ind w:left="30" w:leftChars="30" w:right="30" w:rightChars="30"/>
      <w:jc w:val="center"/>
    </w:pPr>
    <w:rPr>
      <w:sz w:val="18"/>
      <w:szCs w:val="18"/>
    </w:rPr>
  </w:style>
  <w:style w:type="paragraph" w:customStyle="1" w:styleId="137">
    <w:name w:val="默认段落字体 Para Char"/>
    <w:basedOn w:val="1"/>
    <w:qFormat/>
    <w:uiPriority w:val="0"/>
    <w:rPr>
      <w:szCs w:val="20"/>
    </w:rPr>
  </w:style>
  <w:style w:type="paragraph" w:customStyle="1" w:styleId="138">
    <w:name w:val=" Char1"/>
    <w:basedOn w:val="1"/>
    <w:qFormat/>
    <w:uiPriority w:val="0"/>
    <w:rPr>
      <w:rFonts w:ascii="仿宋_GB2312" w:eastAsia="仿宋_GB2312"/>
      <w:b/>
      <w:sz w:val="32"/>
      <w:szCs w:val="32"/>
    </w:rPr>
  </w:style>
  <w:style w:type="paragraph" w:customStyle="1" w:styleId="139">
    <w:name w:val="默认段落字体 Para Char Char Char Char Char Char Char"/>
    <w:basedOn w:val="1"/>
    <w:qFormat/>
    <w:uiPriority w:val="0"/>
    <w:rPr>
      <w:rFonts w:ascii="Tahoma" w:hAnsi="Tahoma"/>
      <w:sz w:val="24"/>
      <w:szCs w:val="20"/>
    </w:rPr>
  </w:style>
  <w:style w:type="paragraph" w:customStyle="1" w:styleId="140">
    <w:name w:val="正文ok"/>
    <w:qFormat/>
    <w:uiPriority w:val="0"/>
    <w:pPr>
      <w:spacing w:line="360" w:lineRule="auto"/>
      <w:ind w:firstLine="200" w:firstLineChars="200"/>
    </w:pPr>
    <w:rPr>
      <w:rFonts w:ascii="宋体" w:hAnsi="Times New Roman" w:eastAsia="宋体" w:cs="Times New Roman"/>
      <w:sz w:val="24"/>
      <w:lang w:val="en-US" w:eastAsia="zh-CN" w:bidi="ar-SA"/>
    </w:rPr>
  </w:style>
  <w:style w:type="paragraph" w:customStyle="1" w:styleId="141">
    <w:name w:val="Plain Text"/>
    <w:basedOn w:val="142"/>
    <w:qFormat/>
    <w:uiPriority w:val="0"/>
    <w:pPr>
      <w:widowControl/>
      <w:jc w:val="left"/>
    </w:pPr>
    <w:rPr>
      <w:rFonts w:ascii="宋体" w:hAnsi="Courier New"/>
    </w:rPr>
  </w:style>
  <w:style w:type="paragraph" w:customStyle="1" w:styleId="14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43">
    <w:name w:val="List Paragraph1"/>
    <w:basedOn w:val="1"/>
    <w:qFormat/>
    <w:uiPriority w:val="0"/>
    <w:pPr>
      <w:ind w:firstLine="420" w:firstLineChars="200"/>
    </w:pPr>
    <w:rPr>
      <w:rFonts w:ascii="Calibri" w:hAnsi="Calibri" w:eastAsia="宋体" w:cs="Times New Roman"/>
      <w:color w:val="auto"/>
      <w:kern w:val="2"/>
      <w:szCs w:val="22"/>
    </w:rPr>
  </w:style>
  <w:style w:type="paragraph" w:customStyle="1" w:styleId="144">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5">
    <w:name w:val="font61"/>
    <w:qFormat/>
    <w:uiPriority w:val="0"/>
    <w:rPr>
      <w:rFonts w:hint="eastAsia" w:ascii="宋体" w:hAnsi="宋体" w:eastAsia="宋体" w:cs="宋体"/>
      <w:color w:val="FF0000"/>
      <w:sz w:val="18"/>
      <w:szCs w:val="18"/>
      <w:u w:val="none"/>
    </w:rPr>
  </w:style>
  <w:style w:type="character" w:customStyle="1" w:styleId="146">
    <w:name w:val="font71"/>
    <w:qFormat/>
    <w:uiPriority w:val="0"/>
    <w:rPr>
      <w:rFonts w:hint="eastAsia" w:ascii="宋体" w:hAnsi="宋体" w:eastAsia="宋体" w:cs="宋体"/>
      <w:b/>
      <w:bCs/>
      <w:color w:val="000000"/>
      <w:sz w:val="18"/>
      <w:szCs w:val="18"/>
      <w:u w:val="none"/>
    </w:rPr>
  </w:style>
  <w:style w:type="paragraph" w:customStyle="1" w:styleId="147">
    <w:name w:val="正文 A"/>
    <w:qFormat/>
    <w:uiPriority w:val="0"/>
    <w:rPr>
      <w:rFonts w:ascii="Helvetica" w:hAnsi="Helvetica" w:eastAsia="Arial Unicode MS" w:cs="Arial Unicode MS"/>
      <w:color w:val="000000"/>
      <w:sz w:val="22"/>
      <w:szCs w:val="22"/>
      <w:lang w:val="en-US" w:eastAsia="zh-CN" w:bidi="ar-SA"/>
    </w:rPr>
  </w:style>
  <w:style w:type="paragraph" w:customStyle="1" w:styleId="148">
    <w:name w:val="批注文字1"/>
    <w:basedOn w:val="1"/>
    <w:qFormat/>
    <w:uiPriority w:val="0"/>
    <w:pPr>
      <w:jc w:val="left"/>
    </w:pPr>
  </w:style>
  <w:style w:type="paragraph" w:styleId="149">
    <w:name w:val="No Spacing"/>
    <w:qFormat/>
    <w:uiPriority w:val="1"/>
    <w:rPr>
      <w:rFonts w:ascii="Calibri" w:hAnsi="Calibri" w:eastAsia="宋体" w:cs="Times New Roman"/>
      <w:sz w:val="22"/>
      <w:szCs w:val="22"/>
      <w:lang w:val="en-US" w:eastAsia="zh-CN" w:bidi="ar-SA"/>
    </w:rPr>
  </w:style>
  <w:style w:type="paragraph" w:customStyle="1" w:styleId="150">
    <w:name w:val="Table ZW"/>
    <w:basedOn w:val="1"/>
    <w:qFormat/>
    <w:uiPriority w:val="0"/>
    <w:pPr>
      <w:spacing w:after="160" w:line="259" w:lineRule="auto"/>
    </w:pPr>
    <w:rPr>
      <w:rFonts w:eastAsia="Times New Roman"/>
      <w:bCs/>
      <w:color w:val="000000"/>
      <w:sz w:val="16"/>
      <w:szCs w:val="18"/>
    </w:rPr>
  </w:style>
  <w:style w:type="paragraph" w:customStyle="1" w:styleId="151">
    <w:name w:val="正文 A A"/>
    <w:qFormat/>
    <w:uiPriority w:val="99"/>
    <w:pPr>
      <w:widowControl w:val="0"/>
      <w:jc w:val="both"/>
    </w:pPr>
    <w:rPr>
      <w:rFonts w:ascii="Times New Roman"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CN</Company>
  <Pages>47</Pages>
  <Words>21258</Words>
  <Characters>22837</Characters>
  <Lines>335</Lines>
  <Paragraphs>94</Paragraphs>
  <TotalTime>1</TotalTime>
  <ScaleCrop>false</ScaleCrop>
  <LinksUpToDate>false</LinksUpToDate>
  <CharactersWithSpaces>25049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2024-10-12T06:12:00Z</dcterms:created>
  <dc:creator>system</dc:creator>
  <cp:lastModifiedBy>cenly</cp:lastModifiedBy>
  <cp:lastPrinted>2024-10-15T02:16:00Z</cp:lastPrinted>
  <dcterms:modified xsi:type="dcterms:W3CDTF">2024-12-02T06:15:47Z</dcterms:modified>
  <dc:title>温州市农业科学研究院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411947F9BAB64A9C8EE096932B39EA33_13</vt:lpwstr>
  </property>
</Properties>
</file>