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369F6">
      <w:pPr>
        <w:spacing w:line="360" w:lineRule="auto"/>
        <w:jc w:val="center"/>
        <w:rPr>
          <w:rFonts w:ascii="仿宋" w:hAnsi="仿宋" w:eastAsia="仿宋" w:cs="仿宋_GB2312"/>
          <w:b/>
          <w:sz w:val="44"/>
          <w:szCs w:val="44"/>
        </w:rPr>
      </w:pPr>
    </w:p>
    <w:p w14:paraId="009DA900">
      <w:pPr>
        <w:spacing w:line="360" w:lineRule="auto"/>
        <w:jc w:val="center"/>
        <w:rPr>
          <w:rFonts w:ascii="仿宋_GB2312" w:hAnsi="仿宋" w:eastAsia="仿宋_GB2312" w:cs="仿宋_GB2312"/>
          <w:b/>
          <w:sz w:val="48"/>
          <w:szCs w:val="48"/>
        </w:rPr>
      </w:pPr>
    </w:p>
    <w:p w14:paraId="5E7E8105">
      <w:pPr>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象山县中心城区垃圾中转站服务外包项目</w:t>
      </w:r>
    </w:p>
    <w:p w14:paraId="13E446D3">
      <w:pPr>
        <w:spacing w:line="360" w:lineRule="auto"/>
        <w:jc w:val="center"/>
        <w:rPr>
          <w:rFonts w:hint="eastAsia" w:ascii="仿宋" w:hAnsi="仿宋" w:eastAsia="仿宋" w:cs="仿宋_GB2312"/>
          <w:sz w:val="48"/>
          <w:szCs w:val="48"/>
        </w:rPr>
      </w:pPr>
    </w:p>
    <w:p w14:paraId="645E43D3">
      <w:pPr>
        <w:pStyle w:val="42"/>
        <w:ind w:firstLine="560"/>
        <w:rPr>
          <w:rFonts w:hint="eastAsia"/>
        </w:rPr>
      </w:pPr>
    </w:p>
    <w:p w14:paraId="3E652E31">
      <w:pPr>
        <w:pStyle w:val="42"/>
        <w:ind w:firstLine="560"/>
        <w:rPr>
          <w:rFonts w:hint="eastAsia"/>
        </w:rPr>
      </w:pPr>
    </w:p>
    <w:p w14:paraId="2ACD737F">
      <w:pPr>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15BB77DB">
      <w:pPr>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05927429">
      <w:pPr>
        <w:snapToGrid w:val="0"/>
        <w:spacing w:line="360" w:lineRule="auto"/>
        <w:jc w:val="center"/>
        <w:rPr>
          <w:rFonts w:hint="eastAsia" w:ascii="仿宋" w:hAnsi="仿宋" w:eastAsia="仿宋" w:cs="仿宋_GB2312"/>
          <w:sz w:val="30"/>
          <w:szCs w:val="30"/>
        </w:rPr>
      </w:pPr>
    </w:p>
    <w:p w14:paraId="54E0A93E">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NBYS2025023G</w:t>
      </w:r>
    </w:p>
    <w:p w14:paraId="4E1EC889">
      <w:pPr>
        <w:spacing w:line="360" w:lineRule="auto"/>
        <w:jc w:val="center"/>
        <w:rPr>
          <w:rFonts w:ascii="仿宋" w:hAnsi="仿宋" w:eastAsia="仿宋" w:cs="仿宋_GB2312"/>
          <w:b/>
          <w:sz w:val="44"/>
          <w:szCs w:val="44"/>
        </w:rPr>
      </w:pPr>
    </w:p>
    <w:p w14:paraId="050822AC">
      <w:pPr>
        <w:spacing w:line="360" w:lineRule="auto"/>
        <w:jc w:val="center"/>
        <w:rPr>
          <w:rFonts w:ascii="仿宋" w:hAnsi="仿宋" w:eastAsia="仿宋" w:cs="仿宋_GB2312"/>
          <w:b/>
          <w:sz w:val="44"/>
          <w:szCs w:val="44"/>
        </w:rPr>
      </w:pPr>
    </w:p>
    <w:p w14:paraId="68DABF7C">
      <w:pPr>
        <w:spacing w:line="360" w:lineRule="auto"/>
        <w:jc w:val="center"/>
        <w:rPr>
          <w:rFonts w:hint="eastAsia" w:ascii="仿宋" w:hAnsi="仿宋" w:eastAsia="仿宋" w:cs="仿宋_GB2312"/>
          <w:sz w:val="24"/>
        </w:rPr>
      </w:pPr>
    </w:p>
    <w:p w14:paraId="32CDF486">
      <w:pPr>
        <w:pStyle w:val="42"/>
        <w:ind w:firstLine="560"/>
        <w:jc w:val="center"/>
        <w:rPr>
          <w:rFonts w:hint="eastAsia"/>
        </w:rPr>
      </w:pPr>
    </w:p>
    <w:p w14:paraId="578EC0B7">
      <w:pPr>
        <w:pStyle w:val="42"/>
        <w:ind w:firstLine="560"/>
      </w:pPr>
    </w:p>
    <w:p w14:paraId="24DE515F">
      <w:pPr>
        <w:spacing w:line="360" w:lineRule="auto"/>
        <w:jc w:val="center"/>
        <w:rPr>
          <w:rFonts w:ascii="仿宋" w:hAnsi="仿宋" w:eastAsia="仿宋" w:cs="仿宋_GB2312"/>
          <w:sz w:val="24"/>
        </w:rPr>
      </w:pPr>
    </w:p>
    <w:p w14:paraId="1B6177B4">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 xml:space="preserve">象山县城市管理服务中心 </w:t>
      </w:r>
    </w:p>
    <w:p w14:paraId="09A4232B">
      <w:pPr>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宁波越升质量技术服务有限公司</w:t>
      </w:r>
    </w:p>
    <w:p w14:paraId="343D74E4">
      <w:pPr>
        <w:snapToGrid w:val="0"/>
        <w:spacing w:line="360" w:lineRule="auto"/>
        <w:jc w:val="center"/>
        <w:rPr>
          <w:rFonts w:hint="eastAsia" w:ascii="仿宋_GB2312" w:hAnsi="仿宋_GB2312" w:eastAsia="仿宋_GB2312" w:cs="仿宋_GB2312"/>
          <w:bCs/>
          <w:sz w:val="32"/>
          <w:szCs w:val="32"/>
        </w:rPr>
      </w:pPr>
    </w:p>
    <w:p w14:paraId="3B703261">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月</w:t>
      </w:r>
    </w:p>
    <w:p w14:paraId="5F6063E7">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EABD4D6">
      <w:pPr>
        <w:spacing w:line="360" w:lineRule="auto"/>
        <w:jc w:val="center"/>
        <w:rPr>
          <w:rFonts w:ascii="仿宋" w:hAnsi="仿宋" w:eastAsia="仿宋" w:cs="仿宋_GB2312"/>
          <w:sz w:val="24"/>
        </w:rPr>
      </w:pPr>
    </w:p>
    <w:p w14:paraId="36BE9180">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1497924">
      <w:pPr>
        <w:spacing w:line="360" w:lineRule="auto"/>
        <w:rPr>
          <w:rFonts w:ascii="仿宋" w:hAnsi="仿宋" w:eastAsia="仿宋" w:cs="仿宋_GB2312"/>
          <w:sz w:val="32"/>
          <w:szCs w:val="32"/>
        </w:rPr>
      </w:pPr>
    </w:p>
    <w:p w14:paraId="493156B6">
      <w:pPr>
        <w:spacing w:line="360" w:lineRule="auto"/>
        <w:rPr>
          <w:rFonts w:ascii="仿宋" w:hAnsi="仿宋" w:eastAsia="仿宋" w:cs="仿宋_GB2312"/>
          <w:sz w:val="32"/>
          <w:szCs w:val="32"/>
        </w:rPr>
      </w:pPr>
    </w:p>
    <w:p w14:paraId="4340E5D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3D2C7936">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投标须知</w:t>
      </w:r>
    </w:p>
    <w:p w14:paraId="0355D36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4A35508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1660818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政府采购合同文本</w:t>
      </w:r>
    </w:p>
    <w:p w14:paraId="2C7BD6C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6114238">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470DFEB0">
      <w:pPr>
        <w:spacing w:line="360" w:lineRule="auto"/>
        <w:ind w:firstLine="549" w:firstLineChars="229"/>
        <w:rPr>
          <w:rFonts w:hint="eastAsia" w:ascii="仿宋" w:hAnsi="仿宋" w:eastAsia="仿宋" w:cs="仿宋"/>
          <w:sz w:val="24"/>
        </w:rPr>
      </w:pPr>
    </w:p>
    <w:p w14:paraId="61456A3E">
      <w:pPr>
        <w:spacing w:line="360" w:lineRule="auto"/>
        <w:ind w:firstLine="549" w:firstLineChars="229"/>
        <w:rPr>
          <w:rFonts w:hint="eastAsia" w:ascii="仿宋" w:hAnsi="仿宋" w:eastAsia="仿宋" w:cs="仿宋"/>
          <w:sz w:val="24"/>
        </w:rPr>
      </w:pPr>
    </w:p>
    <w:p w14:paraId="4909966A">
      <w:pPr>
        <w:spacing w:line="360" w:lineRule="auto"/>
        <w:ind w:firstLine="549" w:firstLineChars="229"/>
        <w:rPr>
          <w:rFonts w:hint="eastAsia" w:ascii="仿宋" w:hAnsi="仿宋" w:eastAsia="仿宋" w:cs="仿宋"/>
          <w:sz w:val="24"/>
        </w:rPr>
      </w:pPr>
    </w:p>
    <w:p w14:paraId="49747C62">
      <w:pPr>
        <w:spacing w:line="360" w:lineRule="auto"/>
        <w:ind w:firstLine="549" w:firstLineChars="229"/>
        <w:rPr>
          <w:rFonts w:hint="eastAsia" w:ascii="仿宋" w:hAnsi="仿宋" w:eastAsia="仿宋" w:cs="仿宋"/>
          <w:sz w:val="24"/>
        </w:rPr>
      </w:pPr>
    </w:p>
    <w:p w14:paraId="75644677">
      <w:pPr>
        <w:spacing w:line="360" w:lineRule="auto"/>
        <w:ind w:firstLine="549" w:firstLineChars="229"/>
        <w:rPr>
          <w:rFonts w:hint="eastAsia" w:ascii="仿宋" w:hAnsi="仿宋" w:eastAsia="仿宋" w:cs="仿宋"/>
          <w:sz w:val="24"/>
        </w:rPr>
      </w:pPr>
    </w:p>
    <w:p w14:paraId="4841359A">
      <w:pPr>
        <w:spacing w:line="360" w:lineRule="auto"/>
        <w:ind w:firstLine="549" w:firstLineChars="229"/>
        <w:rPr>
          <w:rFonts w:hint="eastAsia" w:ascii="仿宋" w:hAnsi="仿宋" w:eastAsia="仿宋" w:cs="仿宋"/>
          <w:sz w:val="24"/>
        </w:rPr>
      </w:pPr>
    </w:p>
    <w:p w14:paraId="4E2F15C2">
      <w:pPr>
        <w:spacing w:line="360" w:lineRule="auto"/>
        <w:ind w:firstLine="549" w:firstLineChars="229"/>
        <w:rPr>
          <w:rFonts w:hint="eastAsia" w:ascii="仿宋" w:hAnsi="仿宋" w:eastAsia="仿宋" w:cs="仿宋"/>
          <w:sz w:val="24"/>
        </w:rPr>
      </w:pPr>
    </w:p>
    <w:p w14:paraId="75C62D6B">
      <w:pPr>
        <w:spacing w:line="360" w:lineRule="auto"/>
        <w:ind w:firstLine="549" w:firstLineChars="229"/>
        <w:rPr>
          <w:rFonts w:hint="eastAsia" w:ascii="仿宋" w:hAnsi="仿宋" w:eastAsia="仿宋" w:cs="仿宋"/>
          <w:sz w:val="24"/>
        </w:rPr>
      </w:pPr>
    </w:p>
    <w:p w14:paraId="3A13291C">
      <w:pPr>
        <w:spacing w:line="360" w:lineRule="auto"/>
        <w:rPr>
          <w:rFonts w:hint="eastAsia" w:ascii="仿宋" w:hAnsi="仿宋" w:eastAsia="仿宋" w:cs="仿宋"/>
          <w:sz w:val="24"/>
        </w:rPr>
      </w:pPr>
    </w:p>
    <w:p w14:paraId="36BADB91">
      <w:pPr>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14:paraId="4B6B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213" w:type="dxa"/>
            <w:noWrap w:val="0"/>
            <w:vAlign w:val="top"/>
          </w:tcPr>
          <w:p w14:paraId="245345EF">
            <w:pPr>
              <w:pStyle w:val="42"/>
              <w:ind w:firstLine="0" w:firstLineChars="0"/>
              <w:rPr>
                <w:rFonts w:hint="eastAsia" w:ascii="仿宋" w:hAnsi="仿宋" w:eastAsia="仿宋"/>
                <w:szCs w:val="28"/>
              </w:rPr>
            </w:pPr>
            <w:r>
              <w:rPr>
                <w:rFonts w:hint="eastAsia" w:ascii="仿宋" w:hAnsi="仿宋" w:eastAsia="仿宋" w:cs="仿宋"/>
                <w:kern w:val="0"/>
                <w:szCs w:val="28"/>
              </w:rPr>
              <w:t>项目概况：</w:t>
            </w:r>
            <w:r>
              <w:rPr>
                <w:rFonts w:hint="eastAsia" w:ascii="仿宋" w:hAnsi="仿宋" w:eastAsia="仿宋" w:cs="仿宋"/>
                <w:kern w:val="0"/>
                <w:szCs w:val="28"/>
                <w:lang w:eastAsia="zh-CN"/>
              </w:rPr>
              <w:t>象山县中心城区垃圾中转站服务外包项目</w:t>
            </w:r>
            <w:r>
              <w:rPr>
                <w:rFonts w:hint="eastAsia" w:ascii="仿宋" w:hAnsi="仿宋" w:eastAsia="仿宋" w:cs="仿宋"/>
                <w:kern w:val="0"/>
                <w:szCs w:val="28"/>
              </w:rPr>
              <w:t>的潜在供应商应在政采云平台（</w:t>
            </w:r>
            <w:r>
              <w:rPr>
                <w:rFonts w:ascii="仿宋" w:hAnsi="仿宋" w:eastAsia="仿宋" w:cs="仿宋"/>
                <w:kern w:val="0"/>
                <w:szCs w:val="28"/>
              </w:rPr>
              <w:fldChar w:fldCharType="begin"/>
            </w:r>
            <w:r>
              <w:rPr>
                <w:rFonts w:ascii="仿宋" w:hAnsi="仿宋" w:eastAsia="仿宋" w:cs="仿宋"/>
                <w:kern w:val="0"/>
                <w:szCs w:val="28"/>
              </w:rPr>
              <w:instrText xml:space="preserve"> HYPERLINK "</w:instrText>
            </w:r>
            <w:r>
              <w:rPr>
                <w:rFonts w:hint="eastAsia" w:ascii="仿宋" w:hAnsi="仿宋" w:eastAsia="仿宋" w:cs="仿宋"/>
                <w:kern w:val="0"/>
                <w:szCs w:val="28"/>
              </w:rPr>
              <w:instrText xml:space="preserve">https://www.zcygov.cn/）获取（下载）招标文件，并于2022年12月19日14点00分00秒</w:instrText>
            </w:r>
            <w:r>
              <w:rPr>
                <w:rFonts w:ascii="仿宋" w:hAnsi="仿宋" w:eastAsia="仿宋" w:cs="仿宋"/>
                <w:kern w:val="0"/>
                <w:szCs w:val="28"/>
              </w:rPr>
              <w:instrText xml:space="preserve">" </w:instrText>
            </w:r>
            <w:r>
              <w:rPr>
                <w:rFonts w:ascii="仿宋" w:hAnsi="仿宋" w:eastAsia="仿宋" w:cs="仿宋"/>
                <w:kern w:val="0"/>
                <w:szCs w:val="28"/>
              </w:rPr>
              <w:fldChar w:fldCharType="separate"/>
            </w:r>
            <w:r>
              <w:rPr>
                <w:rStyle w:val="27"/>
                <w:rFonts w:hint="eastAsia" w:ascii="仿宋" w:hAnsi="仿宋" w:eastAsia="仿宋" w:cs="仿宋"/>
                <w:snapToGrid/>
                <w:sz w:val="28"/>
                <w:szCs w:val="28"/>
              </w:rPr>
              <w:t>https://www.zcygov.cn/）获取（下载）招标文件，并于</w:t>
            </w:r>
            <w:r>
              <w:rPr>
                <w:rStyle w:val="27"/>
                <w:rFonts w:hint="eastAsia" w:ascii="仿宋" w:hAnsi="仿宋" w:eastAsia="仿宋" w:cs="仿宋"/>
                <w:snapToGrid/>
                <w:sz w:val="28"/>
                <w:szCs w:val="28"/>
                <w:lang w:eastAsia="zh-CN"/>
              </w:rPr>
              <w:t>2025</w:t>
            </w:r>
            <w:r>
              <w:rPr>
                <w:rStyle w:val="27"/>
                <w:rFonts w:hint="eastAsia" w:ascii="仿宋" w:hAnsi="仿宋" w:eastAsia="仿宋" w:cs="仿宋"/>
                <w:snapToGrid/>
                <w:sz w:val="28"/>
                <w:szCs w:val="28"/>
              </w:rPr>
              <w:t>年</w:t>
            </w:r>
            <w:r>
              <w:rPr>
                <w:rStyle w:val="27"/>
                <w:rFonts w:hint="eastAsia" w:ascii="仿宋" w:hAnsi="仿宋" w:eastAsia="仿宋" w:cs="仿宋"/>
                <w:snapToGrid/>
                <w:sz w:val="28"/>
                <w:szCs w:val="28"/>
                <w:lang w:val="en-US" w:eastAsia="zh-CN"/>
              </w:rPr>
              <w:t>2</w:t>
            </w:r>
            <w:r>
              <w:rPr>
                <w:rStyle w:val="27"/>
                <w:rFonts w:hint="eastAsia" w:ascii="仿宋" w:hAnsi="仿宋" w:eastAsia="仿宋" w:cs="仿宋"/>
                <w:snapToGrid/>
                <w:sz w:val="28"/>
                <w:szCs w:val="28"/>
              </w:rPr>
              <w:t>月</w:t>
            </w:r>
            <w:r>
              <w:rPr>
                <w:rStyle w:val="27"/>
                <w:rFonts w:hint="eastAsia" w:ascii="仿宋" w:hAnsi="仿宋" w:eastAsia="仿宋" w:cs="仿宋"/>
                <w:snapToGrid/>
                <w:sz w:val="28"/>
                <w:szCs w:val="28"/>
                <w:lang w:val="en-US" w:eastAsia="zh-CN"/>
              </w:rPr>
              <w:t>24</w:t>
            </w:r>
            <w:r>
              <w:rPr>
                <w:rStyle w:val="27"/>
                <w:rFonts w:hint="eastAsia" w:ascii="仿宋" w:hAnsi="仿宋" w:eastAsia="仿宋" w:cs="仿宋"/>
                <w:snapToGrid/>
                <w:sz w:val="28"/>
                <w:szCs w:val="28"/>
              </w:rPr>
              <w:t>日</w:t>
            </w:r>
            <w:r>
              <w:rPr>
                <w:rStyle w:val="27"/>
                <w:rFonts w:hint="eastAsia" w:ascii="仿宋" w:hAnsi="仿宋" w:eastAsia="仿宋" w:cs="仿宋"/>
                <w:snapToGrid/>
                <w:sz w:val="28"/>
                <w:szCs w:val="28"/>
                <w:highlight w:val="none"/>
                <w:lang w:val="en-US" w:eastAsia="zh-CN"/>
              </w:rPr>
              <w:t>14</w:t>
            </w:r>
            <w:r>
              <w:rPr>
                <w:rStyle w:val="27"/>
                <w:rFonts w:hint="eastAsia" w:ascii="仿宋" w:hAnsi="仿宋" w:eastAsia="仿宋" w:cs="仿宋"/>
                <w:snapToGrid/>
                <w:sz w:val="28"/>
                <w:szCs w:val="28"/>
                <w:highlight w:val="none"/>
              </w:rPr>
              <w:t>点</w:t>
            </w:r>
            <w:r>
              <w:rPr>
                <w:rStyle w:val="27"/>
                <w:rFonts w:hint="eastAsia" w:ascii="仿宋" w:hAnsi="仿宋" w:eastAsia="仿宋" w:cs="仿宋"/>
                <w:snapToGrid/>
                <w:sz w:val="28"/>
                <w:szCs w:val="28"/>
                <w:highlight w:val="none"/>
                <w:lang w:val="en-US" w:eastAsia="zh-CN"/>
              </w:rPr>
              <w:t>00</w:t>
            </w:r>
            <w:r>
              <w:rPr>
                <w:rStyle w:val="27"/>
                <w:rFonts w:hint="eastAsia" w:ascii="仿宋" w:hAnsi="仿宋" w:eastAsia="仿宋" w:cs="仿宋"/>
                <w:snapToGrid/>
                <w:sz w:val="28"/>
                <w:szCs w:val="28"/>
                <w:highlight w:val="none"/>
              </w:rPr>
              <w:t>分</w:t>
            </w:r>
            <w:r>
              <w:rPr>
                <w:rStyle w:val="27"/>
                <w:rFonts w:hint="eastAsia" w:ascii="仿宋" w:hAnsi="仿宋" w:eastAsia="仿宋" w:cs="仿宋"/>
                <w:snapToGrid/>
                <w:sz w:val="28"/>
                <w:szCs w:val="28"/>
              </w:rPr>
              <w:t>00秒</w:t>
            </w:r>
            <w:r>
              <w:rPr>
                <w:rFonts w:ascii="仿宋" w:hAnsi="仿宋" w:eastAsia="仿宋" w:cs="仿宋"/>
                <w:kern w:val="0"/>
                <w:szCs w:val="28"/>
              </w:rPr>
              <w:fldChar w:fldCharType="end"/>
            </w:r>
            <w:r>
              <w:rPr>
                <w:rFonts w:hint="eastAsia" w:ascii="仿宋" w:hAnsi="仿宋" w:eastAsia="仿宋" w:cs="仿宋"/>
                <w:kern w:val="0"/>
                <w:szCs w:val="28"/>
              </w:rPr>
              <w:t>（北京时间）前递交（上传）投标文件。</w:t>
            </w:r>
          </w:p>
        </w:tc>
      </w:tr>
    </w:tbl>
    <w:p w14:paraId="7BDBD3D6">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一、项目基本情况</w:t>
      </w:r>
    </w:p>
    <w:p w14:paraId="440CBD8B">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NBYS2025023G</w:t>
      </w:r>
    </w:p>
    <w:p w14:paraId="45F9A3B9">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lang w:eastAsia="zh-CN"/>
        </w:rPr>
        <w:t>象山县中心城区垃圾中转站服务外包项目</w:t>
      </w:r>
    </w:p>
    <w:p w14:paraId="2634376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预算金额：</w:t>
      </w:r>
      <w:r>
        <w:rPr>
          <w:rFonts w:hint="eastAsia" w:ascii="仿宋" w:hAnsi="仿宋" w:eastAsia="仿宋" w:cs="仿宋"/>
          <w:b w:val="0"/>
          <w:bCs/>
          <w:sz w:val="24"/>
          <w:lang w:val="en-US" w:eastAsia="zh-CN"/>
        </w:rPr>
        <w:t>513</w:t>
      </w:r>
      <w:r>
        <w:rPr>
          <w:rFonts w:hint="eastAsia" w:ascii="仿宋" w:hAnsi="仿宋" w:eastAsia="仿宋" w:cs="仿宋"/>
          <w:b w:val="0"/>
          <w:bCs/>
          <w:sz w:val="24"/>
        </w:rPr>
        <w:t>万元/</w:t>
      </w:r>
      <w:r>
        <w:rPr>
          <w:rFonts w:hint="eastAsia" w:ascii="仿宋" w:hAnsi="仿宋" w:eastAsia="仿宋" w:cs="仿宋"/>
          <w:b w:val="0"/>
          <w:bCs/>
          <w:sz w:val="24"/>
          <w:lang w:val="en-US" w:eastAsia="zh-CN"/>
        </w:rPr>
        <w:t>三</w:t>
      </w:r>
      <w:r>
        <w:rPr>
          <w:rFonts w:hint="eastAsia" w:ascii="仿宋" w:hAnsi="仿宋" w:eastAsia="仿宋" w:cs="仿宋"/>
          <w:b w:val="0"/>
          <w:bCs/>
          <w:sz w:val="24"/>
        </w:rPr>
        <w:t>年；</w:t>
      </w:r>
    </w:p>
    <w:p w14:paraId="65559699">
      <w:pPr>
        <w:spacing w:line="360" w:lineRule="auto"/>
        <w:ind w:firstLine="480"/>
        <w:rPr>
          <w:rFonts w:hint="eastAsia" w:ascii="仿宋" w:hAnsi="仿宋" w:eastAsia="仿宋" w:cs="仿宋"/>
          <w:sz w:val="24"/>
        </w:rPr>
      </w:pPr>
      <w:r>
        <w:rPr>
          <w:rFonts w:hint="eastAsia" w:ascii="仿宋" w:hAnsi="仿宋" w:eastAsia="仿宋" w:cs="仿宋"/>
          <w:b/>
          <w:sz w:val="24"/>
        </w:rPr>
        <w:t>最高限价：</w:t>
      </w:r>
      <w:r>
        <w:rPr>
          <w:rFonts w:hint="eastAsia" w:ascii="仿宋" w:hAnsi="仿宋" w:eastAsia="仿宋" w:cs="仿宋"/>
          <w:sz w:val="24"/>
          <w:lang w:val="en-US" w:eastAsia="zh-CN"/>
        </w:rPr>
        <w:t>513万元/三年；</w:t>
      </w:r>
    </w:p>
    <w:p w14:paraId="0F4C4DD1">
      <w:pPr>
        <w:pStyle w:val="7"/>
        <w:spacing w:line="360" w:lineRule="auto"/>
        <w:ind w:firstLine="480"/>
        <w:rPr>
          <w:rFonts w:hint="eastAsia" w:ascii="仿宋" w:hAnsi="仿宋" w:eastAsia="仿宋" w:cs="仿宋"/>
        </w:rPr>
      </w:pPr>
      <w:r>
        <w:rPr>
          <w:rFonts w:hint="eastAsia" w:ascii="仿宋" w:hAnsi="仿宋" w:eastAsia="仿宋" w:cs="仿宋"/>
          <w:b/>
          <w:color w:val="auto"/>
          <w:sz w:val="24"/>
        </w:rPr>
        <w:t>采购需求：</w:t>
      </w:r>
      <w:r>
        <w:rPr>
          <w:rFonts w:hint="eastAsia" w:ascii="仿宋" w:hAnsi="仿宋" w:eastAsia="仿宋" w:cs="仿宋"/>
          <w:snapToGrid/>
          <w:color w:val="auto"/>
          <w:kern w:val="0"/>
          <w:sz w:val="24"/>
          <w:szCs w:val="24"/>
          <w:lang w:val="en-US" w:eastAsia="zh-CN" w:bidi="ar-SA"/>
        </w:rPr>
        <w:t>对中心城区5座垃圾中转站（来薰中转站、白鹤中转站、第四中转站、大目湾中转站及大目山中转站）进行日常运行管理，包括生活垃圾压缩处理、中转站除臭控臭、站内设备设施安全操作及资产保管、站内环境卫生及绿化的日常保洁、维护等工作。详见招标文件第三部分采购需求。</w:t>
      </w:r>
    </w:p>
    <w:p w14:paraId="3FAE8C17">
      <w:pPr>
        <w:pStyle w:val="7"/>
        <w:spacing w:line="360" w:lineRule="auto"/>
        <w:ind w:firstLine="480"/>
        <w:rPr>
          <w:rFonts w:hint="default" w:ascii="仿宋" w:hAnsi="仿宋" w:eastAsia="仿宋" w:cs="仿宋"/>
          <w:b/>
          <w:snapToGrid w:val="0"/>
          <w:color w:val="auto"/>
          <w:kern w:val="28"/>
          <w:sz w:val="24"/>
          <w:szCs w:val="20"/>
          <w:lang w:val="en-US" w:eastAsia="zh-CN" w:bidi="ar-SA"/>
        </w:rPr>
      </w:pPr>
      <w:r>
        <w:rPr>
          <w:rFonts w:hint="eastAsia" w:ascii="仿宋" w:hAnsi="仿宋" w:eastAsia="仿宋" w:cs="仿宋"/>
          <w:b/>
          <w:color w:val="auto"/>
          <w:sz w:val="24"/>
        </w:rPr>
        <w:t>合同履约期限：</w:t>
      </w:r>
      <w:r>
        <w:rPr>
          <w:rFonts w:hint="eastAsia" w:ascii="仿宋" w:hAnsi="仿宋" w:eastAsia="仿宋" w:cs="仿宋"/>
          <w:bCs/>
          <w:color w:val="auto"/>
          <w:sz w:val="24"/>
          <w:lang w:eastAsia="zh-CN"/>
        </w:rPr>
        <w:t>三年，合同一年一签。第一阶段：自合同签订之日起1年；后两阶段：采购人根据中标人在上一阶段合同履约及考核情况决定是否续签。</w:t>
      </w:r>
    </w:p>
    <w:p w14:paraId="0D11E097">
      <w:pPr>
        <w:pStyle w:val="7"/>
        <w:spacing w:line="360" w:lineRule="auto"/>
        <w:ind w:firstLine="480"/>
        <w:rPr>
          <w:rFonts w:hint="eastAsia"/>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1FD77841">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二、申请人的资格要求</w:t>
      </w:r>
    </w:p>
    <w:p w14:paraId="624E702B">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1.投标人满足《中华人民共和国政府采购法》第二十二条规定；未被“信用中国”（www.creditchina.gov.cn)、中国政府采购网（www.ccgp.gov.cn）列入失信被执行人、重大税收违法</w:t>
      </w:r>
      <w:r>
        <w:rPr>
          <w:rFonts w:hint="eastAsia" w:ascii="仿宋" w:hAnsi="仿宋" w:eastAsia="仿宋" w:cs="仿宋"/>
          <w:snapToGrid w:val="0"/>
          <w:kern w:val="28"/>
          <w:sz w:val="24"/>
          <w:szCs w:val="20"/>
          <w:lang w:val="en-US" w:eastAsia="zh-CN"/>
        </w:rPr>
        <w:t>失信主体</w:t>
      </w:r>
      <w:r>
        <w:rPr>
          <w:rFonts w:hint="eastAsia" w:ascii="仿宋" w:hAnsi="仿宋" w:eastAsia="仿宋" w:cs="仿宋"/>
          <w:snapToGrid w:val="0"/>
          <w:kern w:val="28"/>
          <w:sz w:val="24"/>
          <w:szCs w:val="20"/>
        </w:rPr>
        <w:t>、政府采购严重违法失信行为记录名单；</w:t>
      </w:r>
    </w:p>
    <w:p w14:paraId="45EAE2FB">
      <w:pPr>
        <w:spacing w:line="360" w:lineRule="auto"/>
        <w:ind w:firstLine="480" w:firstLineChars="200"/>
        <w:rPr>
          <w:rFonts w:hint="eastAsia" w:ascii="仿宋" w:hAnsi="仿宋" w:eastAsia="仿宋" w:cs="仿宋"/>
          <w:snapToGrid w:val="0"/>
          <w:kern w:val="28"/>
          <w:sz w:val="24"/>
          <w:szCs w:val="20"/>
          <w:highlight w:val="yellow"/>
        </w:rPr>
      </w:pPr>
      <w:r>
        <w:rPr>
          <w:rFonts w:hint="eastAsia" w:ascii="仿宋" w:hAnsi="仿宋" w:eastAsia="仿宋" w:cs="仿宋"/>
          <w:snapToGrid w:val="0"/>
          <w:kern w:val="28"/>
          <w:sz w:val="24"/>
          <w:szCs w:val="20"/>
        </w:rPr>
        <w:t>2.落实政府采购政策需满足的资格要求：</w:t>
      </w:r>
    </w:p>
    <w:p w14:paraId="5B3293A5">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A8"/>
      </w:r>
      <w:r>
        <w:rPr>
          <w:rFonts w:hint="eastAsia" w:ascii="仿宋" w:hAnsi="仿宋" w:eastAsia="仿宋" w:cs="仿宋"/>
          <w:snapToGrid w:val="0"/>
          <w:kern w:val="28"/>
          <w:sz w:val="24"/>
          <w:szCs w:val="20"/>
        </w:rPr>
        <w:t>无；</w:t>
      </w:r>
    </w:p>
    <w:p w14:paraId="6BFDE98E">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kern w:val="0"/>
          <w:sz w:val="24"/>
        </w:rPr>
        <w:sym w:font="Wingdings" w:char="00A8"/>
      </w:r>
      <w:r>
        <w:rPr>
          <w:rFonts w:hint="eastAsia" w:ascii="仿宋" w:hAnsi="仿宋" w:eastAsia="仿宋" w:cs="仿宋"/>
          <w:kern w:val="0"/>
          <w:sz w:val="24"/>
        </w:rPr>
        <w:t>专</w:t>
      </w:r>
      <w:r>
        <w:rPr>
          <w:rFonts w:hint="eastAsia" w:ascii="仿宋" w:hAnsi="仿宋" w:eastAsia="仿宋" w:cs="仿宋"/>
          <w:sz w:val="24"/>
        </w:rPr>
        <w:t>门面向中小企业</w:t>
      </w:r>
    </w:p>
    <w:p w14:paraId="0F85416E">
      <w:pPr>
        <w:spacing w:line="360" w:lineRule="auto"/>
        <w:ind w:firstLine="897" w:firstLineChars="374"/>
        <w:rPr>
          <w:rFonts w:hint="eastAsia"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14:paraId="685B1F13">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货物全部由符合政策要求的小微企业制造，提供中小企业声明函；</w:t>
      </w:r>
    </w:p>
    <w:p w14:paraId="0C8786BA">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服务全部由符合政策要求的中小企业承接，提供中小企业声明函；</w:t>
      </w:r>
    </w:p>
    <w:p w14:paraId="5351D6F2">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服务全部由符合政策要求的小微企业承接，提供中小企业声明函；</w:t>
      </w:r>
    </w:p>
    <w:p w14:paraId="5773245D">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FE"/>
      </w:r>
      <w:r>
        <w:rPr>
          <w:rFonts w:hint="eastAsia" w:ascii="仿宋" w:hAnsi="仿宋" w:eastAsia="仿宋" w:cs="仿宋"/>
          <w:snapToGrid w:val="0"/>
          <w:kern w:val="28"/>
          <w:sz w:val="24"/>
          <w:szCs w:val="20"/>
        </w:rPr>
        <w:t>大型企业参加投标的必须以联合体形式参加，提供联合协议和中小企业声明函，联合协议中中小企业合同金额应当达到</w:t>
      </w:r>
      <w:r>
        <w:rPr>
          <w:rFonts w:hint="eastAsia" w:ascii="仿宋" w:hAnsi="仿宋" w:eastAsia="仿宋" w:cs="仿宋"/>
          <w:snapToGrid w:val="0"/>
          <w:kern w:val="28"/>
          <w:sz w:val="24"/>
          <w:szCs w:val="20"/>
          <w:u w:val="single"/>
          <w:lang w:val="en-US" w:eastAsia="zh-CN"/>
        </w:rPr>
        <w:t>40%</w:t>
      </w:r>
      <w:r>
        <w:rPr>
          <w:rFonts w:hint="eastAsia" w:ascii="仿宋" w:hAnsi="仿宋" w:eastAsia="仿宋" w:cs="仿宋"/>
          <w:snapToGrid w:val="0"/>
          <w:kern w:val="28"/>
          <w:sz w:val="24"/>
          <w:szCs w:val="20"/>
        </w:rPr>
        <w:t>，小微企业合同金额应当达到</w:t>
      </w:r>
      <w:r>
        <w:rPr>
          <w:rFonts w:hint="eastAsia" w:ascii="仿宋" w:hAnsi="仿宋" w:eastAsia="仿宋" w:cs="仿宋"/>
          <w:snapToGrid w:val="0"/>
          <w:kern w:val="28"/>
          <w:sz w:val="24"/>
          <w:szCs w:val="20"/>
          <w:u w:val="single"/>
        </w:rPr>
        <w:t>/</w:t>
      </w:r>
      <w:r>
        <w:rPr>
          <w:rFonts w:hint="eastAsia" w:ascii="仿宋" w:hAnsi="仿宋" w:eastAsia="仿宋" w:cs="仿宋"/>
          <w:snapToGrid w:val="0"/>
          <w:kern w:val="28"/>
          <w:sz w:val="24"/>
          <w:szCs w:val="20"/>
        </w:rPr>
        <w:t>%;如果供应商本身提供所有标的均由中小企业制造、承建或承接，视同符合了资格条件，无需再与其他中小企业组成联合体参加政府采购活动，无需提供联合协议；</w:t>
      </w:r>
    </w:p>
    <w:p w14:paraId="7D1E10A5">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A8"/>
      </w:r>
      <w:r>
        <w:rPr>
          <w:rFonts w:hint="eastAsia" w:ascii="仿宋" w:hAnsi="仿宋" w:eastAsia="仿宋" w:cs="仿宋"/>
          <w:snapToGrid w:val="0"/>
          <w:kern w:val="28"/>
          <w:sz w:val="24"/>
          <w:szCs w:val="20"/>
        </w:rPr>
        <w:t>要求合同分包，提供分包意向协议和中小企业声明函，分包意向协议中中小企业合同金额应当达到</w:t>
      </w:r>
      <w:r>
        <w:rPr>
          <w:rFonts w:hint="eastAsia" w:ascii="仿宋" w:hAnsi="仿宋" w:eastAsia="仿宋" w:cs="仿宋"/>
          <w:snapToGrid w:val="0"/>
          <w:kern w:val="28"/>
          <w:sz w:val="24"/>
          <w:szCs w:val="20"/>
          <w:u w:val="single"/>
        </w:rPr>
        <w:t>/</w:t>
      </w:r>
      <w:r>
        <w:rPr>
          <w:rFonts w:hint="eastAsia" w:ascii="仿宋" w:hAnsi="仿宋" w:eastAsia="仿宋" w:cs="仿宋"/>
          <w:snapToGrid w:val="0"/>
          <w:kern w:val="28"/>
          <w:sz w:val="24"/>
          <w:szCs w:val="20"/>
        </w:rPr>
        <w:t>% ，小微企业合同金额应当达到</w:t>
      </w:r>
      <w:r>
        <w:rPr>
          <w:rFonts w:hint="eastAsia" w:ascii="仿宋" w:hAnsi="仿宋" w:eastAsia="仿宋" w:cs="仿宋"/>
          <w:snapToGrid w:val="0"/>
          <w:kern w:val="28"/>
          <w:sz w:val="24"/>
          <w:szCs w:val="20"/>
          <w:u w:val="single"/>
        </w:rPr>
        <w:t>/</w:t>
      </w:r>
      <w:r>
        <w:rPr>
          <w:rFonts w:hint="eastAsia" w:ascii="仿宋" w:hAnsi="仿宋" w:eastAsia="仿宋" w:cs="仿宋"/>
          <w:snapToGrid w:val="0"/>
          <w:kern w:val="28"/>
          <w:sz w:val="24"/>
          <w:szCs w:val="20"/>
        </w:rPr>
        <w:t>%;如果供应商本身提供所有标的均由中小企业制造、承建或承接，视同符合了资格条件，无需再向中小企业分包，无需提供分包意向协议；</w:t>
      </w:r>
    </w:p>
    <w:p w14:paraId="0F2F35FB">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3.本项目的特定资格要求：无。</w:t>
      </w:r>
    </w:p>
    <w:p w14:paraId="39A18EF2">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4.本项目接受联合体投标。若联合体投标的，联合体牵头人必须为中小企业</w:t>
      </w:r>
      <w:r>
        <w:rPr>
          <w:rFonts w:hint="eastAsia" w:ascii="仿宋" w:hAnsi="仿宋" w:eastAsia="仿宋" w:cs="仿宋"/>
          <w:snapToGrid w:val="0"/>
          <w:kern w:val="28"/>
          <w:sz w:val="24"/>
          <w:szCs w:val="20"/>
          <w:highlight w:val="none"/>
          <w:lang w:eastAsia="zh-CN"/>
        </w:rPr>
        <w:t>。</w:t>
      </w:r>
      <w:r>
        <w:rPr>
          <w:rFonts w:hint="eastAsia" w:ascii="仿宋" w:hAnsi="仿宋" w:eastAsia="仿宋" w:cs="仿宋"/>
          <w:snapToGrid w:val="0"/>
          <w:kern w:val="28"/>
          <w:sz w:val="24"/>
          <w:szCs w:val="20"/>
          <w:highlight w:val="none"/>
        </w:rPr>
        <w:t>联合体投标的需提供联合协议和联合体各成员的中小企业声明函。联合体所有成员（含联合体牵头人）数量不得超过2家。联合体各方不得再以自己名义单独或参加其他联合体成员在同一项目中投标。</w:t>
      </w:r>
    </w:p>
    <w:p w14:paraId="6E9D715A">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486489">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三、获取招标文件</w:t>
      </w:r>
    </w:p>
    <w:p w14:paraId="24027C42">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rPr>
        <w:t>时间：</w:t>
      </w:r>
      <w:r>
        <w:rPr>
          <w:rFonts w:hint="eastAsia" w:ascii="仿宋" w:hAnsi="仿宋" w:eastAsia="仿宋" w:cs="仿宋"/>
          <w:sz w:val="24"/>
          <w:u w:val="single"/>
          <w:lang w:eastAsia="zh-CN"/>
        </w:rPr>
        <w:t>2025</w:t>
      </w:r>
      <w:r>
        <w:rPr>
          <w:rFonts w:hint="eastAsia" w:ascii="仿宋" w:hAnsi="仿宋" w:eastAsia="仿宋" w:cs="仿宋"/>
          <w:sz w:val="24"/>
          <w:u w:val="single"/>
        </w:rPr>
        <w:t>年</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u w:val="single"/>
        </w:rPr>
        <w:t>日</w:t>
      </w:r>
      <w:r>
        <w:rPr>
          <w:rFonts w:hint="eastAsia" w:ascii="仿宋" w:hAnsi="仿宋" w:eastAsia="仿宋" w:cs="仿宋"/>
          <w:sz w:val="24"/>
          <w:highlight w:val="none"/>
        </w:rPr>
        <w:t>至</w:t>
      </w:r>
      <w:r>
        <w:rPr>
          <w:rFonts w:hint="eastAsia" w:ascii="仿宋" w:hAnsi="仿宋" w:eastAsia="仿宋" w:cs="仿宋"/>
          <w:sz w:val="24"/>
          <w:highlight w:val="none"/>
          <w:u w:val="single"/>
          <w:lang w:eastAsia="zh-CN"/>
        </w:rPr>
        <w:t>2025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，每天上午00:00至12:00，下午12:00至23:59（北京时间）。</w:t>
      </w:r>
    </w:p>
    <w:p w14:paraId="0A93C0B4">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政采云平台（https://www.zcygov.cn/）。</w:t>
      </w:r>
    </w:p>
    <w:p w14:paraId="6A68AEA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供应商登录政采云平台https://www.zcygov.cn/在线申请获取招标文件（进入“项目采购”应用，在获取招标文件菜单中选择项目，申请获取招标文件）。</w:t>
      </w:r>
    </w:p>
    <w:p w14:paraId="2F2B455C">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0。</w:t>
      </w:r>
    </w:p>
    <w:p w14:paraId="46A16C8B">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7EB59DE6">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lang w:eastAsia="zh-CN"/>
        </w:rPr>
        <w:t>2025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2月24日14点00分</w:t>
      </w:r>
      <w:r>
        <w:rPr>
          <w:rFonts w:hint="eastAsia" w:ascii="仿宋" w:hAnsi="仿宋" w:eastAsia="仿宋" w:cs="仿宋"/>
          <w:sz w:val="24"/>
          <w:highlight w:val="none"/>
        </w:rPr>
        <w:t>（北京时间）。</w:t>
      </w:r>
    </w:p>
    <w:p w14:paraId="351381BB">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政采云平台（https://www.zcygov.cn/）。</w:t>
      </w:r>
    </w:p>
    <w:p w14:paraId="1E17990D">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lang w:eastAsia="zh-CN"/>
        </w:rPr>
        <w:t>2025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2月24日14点00分</w:t>
      </w:r>
      <w:r>
        <w:rPr>
          <w:rFonts w:hint="eastAsia" w:ascii="仿宋" w:hAnsi="仿宋" w:eastAsia="仿宋" w:cs="仿宋"/>
          <w:bCs/>
          <w:sz w:val="24"/>
          <w:highlight w:val="none"/>
        </w:rPr>
        <w:t>。</w:t>
      </w:r>
    </w:p>
    <w:p w14:paraId="3D47243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4C167E74">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开标地点（线下）：</w:t>
      </w:r>
      <w:r>
        <w:rPr>
          <w:rFonts w:hint="eastAsia" w:ascii="仿宋" w:hAnsi="仿宋" w:eastAsia="仿宋" w:cs="仿宋"/>
          <w:bCs/>
          <w:sz w:val="24"/>
        </w:rPr>
        <w:t>象山县公共资源交易中心四楼（象山县象山港路300号四楼）。</w:t>
      </w:r>
    </w:p>
    <w:p w14:paraId="6632FB9C">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五、公告期限</w:t>
      </w:r>
    </w:p>
    <w:p w14:paraId="3FFA01F9">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43B1C4D7">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六、其他补充事宜</w:t>
      </w:r>
    </w:p>
    <w:p w14:paraId="2EC0A658">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D056AA1">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https://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kern w:val="0"/>
          <w:sz w:val="24"/>
          <w:lang w:val="zh-CN"/>
        </w:rPr>
        <w:t>供应商</w:t>
      </w:r>
      <w:r>
        <w:rPr>
          <w:rFonts w:hint="eastAsia" w:ascii="仿宋" w:hAnsi="仿宋" w:eastAsia="仿宋" w:cs="仿宋"/>
          <w:sz w:val="24"/>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lang w:val="zh-CN"/>
        </w:rPr>
        <w:t>供应商</w:t>
      </w:r>
      <w:r>
        <w:rPr>
          <w:rFonts w:hint="eastAsia" w:ascii="仿宋" w:hAnsi="仿宋" w:eastAsia="仿宋" w:cs="仿宋"/>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lang w:val="zh-CN"/>
        </w:rPr>
        <w:t>供应商</w:t>
      </w:r>
      <w:r>
        <w:rPr>
          <w:rFonts w:hint="eastAsia" w:ascii="仿宋" w:hAnsi="仿宋" w:eastAsia="仿宋" w:cs="仿宋"/>
          <w:sz w:val="24"/>
        </w:rPr>
        <w:t>按照平台提示和招标文件的规定在半小时内完成在线解密。⑨具体操作指南：详见政采云平台“服务中心-帮助文档-项目采购-操作流程-电子招投标-政府采购项目电子交易管理操作指南-供应商”。</w:t>
      </w:r>
    </w:p>
    <w:p w14:paraId="5AED9812">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4118026">
      <w:pPr>
        <w:spacing w:line="360" w:lineRule="auto"/>
        <w:ind w:firstLine="480" w:firstLineChars="200"/>
        <w:rPr>
          <w:rFonts w:hint="eastAsia" w:ascii="仿宋" w:hAnsi="仿宋" w:eastAsia="仿宋" w:cs="仿宋"/>
          <w:sz w:val="24"/>
        </w:rPr>
      </w:pPr>
      <w:r>
        <w:rPr>
          <w:rFonts w:hint="eastAsia" w:ascii="仿宋" w:hAnsi="仿宋" w:eastAsia="仿宋" w:cs="仿宋"/>
          <w:sz w:val="24"/>
        </w:rPr>
        <w:t>1.采购人信息</w:t>
      </w:r>
    </w:p>
    <w:p w14:paraId="708C9424">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 xml:space="preserve">象山县城市管理服务中心 </w:t>
      </w:r>
    </w:p>
    <w:p w14:paraId="7C2E3AA8">
      <w:pPr>
        <w:spacing w:line="360" w:lineRule="auto"/>
        <w:ind w:firstLine="480"/>
        <w:rPr>
          <w:rFonts w:hint="eastAsia" w:ascii="仿宋" w:hAnsi="仿宋" w:eastAsia="仿宋" w:cs="仿宋"/>
          <w:sz w:val="24"/>
        </w:rPr>
      </w:pPr>
      <w:r>
        <w:rPr>
          <w:rFonts w:hint="eastAsia" w:ascii="仿宋" w:hAnsi="仿宋" w:eastAsia="仿宋" w:cs="仿宋"/>
          <w:sz w:val="24"/>
        </w:rPr>
        <w:t>地址：象山县丹东街道东塘山路29号</w:t>
      </w:r>
    </w:p>
    <w:p w14:paraId="648D146A">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张圣华</w:t>
      </w:r>
    </w:p>
    <w:p w14:paraId="219624B6">
      <w:pPr>
        <w:spacing w:line="360" w:lineRule="auto"/>
        <w:ind w:firstLine="480"/>
        <w:rPr>
          <w:rFonts w:hint="eastAsia" w:ascii="仿宋" w:hAnsi="仿宋" w:eastAsia="仿宋" w:cs="仿宋"/>
          <w:sz w:val="24"/>
        </w:rPr>
      </w:pPr>
      <w:r>
        <w:rPr>
          <w:rFonts w:hint="eastAsia" w:ascii="仿宋" w:hAnsi="仿宋" w:eastAsia="仿宋" w:cs="仿宋"/>
          <w:sz w:val="24"/>
        </w:rPr>
        <w:t>项目联系方式（询问）：15988610863</w:t>
      </w:r>
    </w:p>
    <w:p w14:paraId="1DF11D11">
      <w:pPr>
        <w:spacing w:line="360" w:lineRule="auto"/>
        <w:ind w:firstLine="480"/>
        <w:rPr>
          <w:rFonts w:hint="eastAsia" w:ascii="仿宋" w:hAnsi="仿宋" w:eastAsia="仿宋" w:cs="仿宋"/>
          <w:sz w:val="24"/>
          <w:lang w:eastAsia="zh-CN"/>
        </w:rPr>
      </w:pPr>
      <w:r>
        <w:rPr>
          <w:rFonts w:hint="eastAsia" w:ascii="仿宋" w:hAnsi="仿宋" w:eastAsia="仿宋" w:cs="仿宋"/>
          <w:sz w:val="24"/>
        </w:rPr>
        <w:t>质疑联系人：</w:t>
      </w:r>
      <w:r>
        <w:rPr>
          <w:rFonts w:hint="eastAsia" w:ascii="仿宋" w:hAnsi="仿宋" w:eastAsia="仿宋" w:cs="仿宋"/>
          <w:sz w:val="24"/>
          <w:lang w:val="en-US" w:eastAsia="zh-CN"/>
        </w:rPr>
        <w:t xml:space="preserve">吴茜茜 </w:t>
      </w:r>
    </w:p>
    <w:p w14:paraId="0C45C8B2">
      <w:pPr>
        <w:spacing w:line="360" w:lineRule="auto"/>
        <w:ind w:firstLine="480"/>
        <w:rPr>
          <w:rFonts w:hint="eastAsia" w:ascii="仿宋" w:hAnsi="仿宋" w:eastAsia="仿宋" w:cs="仿宋"/>
          <w:sz w:val="24"/>
          <w:lang w:eastAsia="zh-CN"/>
        </w:rPr>
      </w:pPr>
      <w:r>
        <w:rPr>
          <w:rFonts w:hint="eastAsia" w:ascii="仿宋" w:hAnsi="仿宋" w:eastAsia="仿宋" w:cs="仿宋"/>
          <w:sz w:val="24"/>
        </w:rPr>
        <w:t>质疑联系方式：13566641659</w:t>
      </w:r>
      <w:r>
        <w:rPr>
          <w:rFonts w:hint="eastAsia" w:ascii="仿宋" w:hAnsi="仿宋" w:eastAsia="仿宋" w:cs="仿宋"/>
          <w:sz w:val="24"/>
          <w:lang w:val="en-US" w:eastAsia="zh-CN"/>
        </w:rPr>
        <w:t xml:space="preserve"> </w:t>
      </w:r>
    </w:p>
    <w:p w14:paraId="2FAF2E25">
      <w:pPr>
        <w:spacing w:line="360" w:lineRule="auto"/>
        <w:ind w:firstLine="480"/>
        <w:rPr>
          <w:rFonts w:hint="eastAsia" w:ascii="仿宋" w:hAnsi="仿宋" w:eastAsia="仿宋" w:cs="仿宋"/>
          <w:sz w:val="24"/>
        </w:rPr>
      </w:pPr>
      <w:r>
        <w:rPr>
          <w:rFonts w:hint="eastAsia" w:ascii="仿宋" w:hAnsi="仿宋" w:eastAsia="仿宋" w:cs="仿宋"/>
          <w:sz w:val="24"/>
        </w:rPr>
        <w:t>2.采购代理机构信息</w:t>
      </w:r>
    </w:p>
    <w:p w14:paraId="0CF94A42">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宁波越升质量技术服务有限公司</w:t>
      </w:r>
    </w:p>
    <w:p w14:paraId="69269665">
      <w:pPr>
        <w:spacing w:line="360" w:lineRule="auto"/>
        <w:ind w:firstLine="480"/>
        <w:rPr>
          <w:rFonts w:hint="eastAsia" w:ascii="仿宋" w:hAnsi="仿宋" w:eastAsia="仿宋" w:cs="仿宋"/>
          <w:sz w:val="24"/>
        </w:rPr>
      </w:pPr>
      <w:r>
        <w:rPr>
          <w:rFonts w:hint="eastAsia" w:ascii="仿宋" w:hAnsi="仿宋" w:eastAsia="仿宋" w:cs="仿宋"/>
          <w:sz w:val="24"/>
        </w:rPr>
        <w:t>地    址：浙江省宁波市江北区洪盛路17号2幢</w:t>
      </w:r>
    </w:p>
    <w:p w14:paraId="31FC1D74">
      <w:pPr>
        <w:spacing w:line="360" w:lineRule="auto"/>
        <w:ind w:firstLine="480"/>
        <w:rPr>
          <w:rFonts w:hint="eastAsia" w:ascii="仿宋" w:hAnsi="仿宋" w:eastAsia="仿宋" w:cs="仿宋"/>
          <w:sz w:val="24"/>
          <w:lang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胡淳淳</w:t>
      </w:r>
    </w:p>
    <w:p w14:paraId="325BF360">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项目联系方式（询问）：</w:t>
      </w:r>
      <w:r>
        <w:rPr>
          <w:rFonts w:hint="eastAsia" w:ascii="仿宋" w:hAnsi="仿宋" w:eastAsia="仿宋" w:cs="仿宋"/>
          <w:sz w:val="24"/>
          <w:lang w:val="en-US" w:eastAsia="zh-CN"/>
        </w:rPr>
        <w:t>13567861386</w:t>
      </w:r>
    </w:p>
    <w:p w14:paraId="41F3F3B1">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val="en-US" w:eastAsia="zh-CN"/>
        </w:rPr>
        <w:t>陈利民</w:t>
      </w:r>
    </w:p>
    <w:p w14:paraId="34F4D00B">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13857812362</w:t>
      </w:r>
    </w:p>
    <w:p w14:paraId="70F13FC2">
      <w:pPr>
        <w:spacing w:line="360" w:lineRule="auto"/>
        <w:ind w:firstLine="480"/>
        <w:rPr>
          <w:rFonts w:hint="eastAsia" w:ascii="仿宋" w:hAnsi="仿宋" w:eastAsia="仿宋" w:cs="仿宋"/>
          <w:sz w:val="24"/>
        </w:rPr>
      </w:pPr>
      <w:r>
        <w:rPr>
          <w:rFonts w:hint="eastAsia" w:ascii="仿宋" w:hAnsi="仿宋" w:eastAsia="仿宋" w:cs="仿宋"/>
          <w:sz w:val="24"/>
        </w:rPr>
        <w:t>3.同级政府采购监督管理部门</w:t>
      </w:r>
    </w:p>
    <w:p w14:paraId="6CC1C97A">
      <w:pPr>
        <w:spacing w:line="360" w:lineRule="auto"/>
        <w:ind w:firstLine="480"/>
        <w:rPr>
          <w:rFonts w:hint="eastAsia" w:ascii="仿宋" w:hAnsi="仿宋" w:eastAsia="仿宋" w:cs="仿宋"/>
          <w:sz w:val="24"/>
        </w:rPr>
      </w:pPr>
      <w:r>
        <w:rPr>
          <w:rFonts w:hint="eastAsia" w:ascii="仿宋" w:hAnsi="仿宋" w:eastAsia="仿宋" w:cs="仿宋"/>
          <w:sz w:val="24"/>
        </w:rPr>
        <w:t>名    称：象山县财政局采管办</w:t>
      </w:r>
    </w:p>
    <w:p w14:paraId="61135A95">
      <w:pPr>
        <w:spacing w:line="360" w:lineRule="auto"/>
        <w:ind w:firstLine="480"/>
        <w:rPr>
          <w:rFonts w:ascii="仿宋" w:hAnsi="仿宋" w:eastAsia="仿宋" w:cs="仿宋"/>
          <w:sz w:val="24"/>
        </w:rPr>
      </w:pPr>
      <w:r>
        <w:rPr>
          <w:rFonts w:hint="eastAsia" w:ascii="仿宋" w:hAnsi="仿宋" w:eastAsia="仿宋" w:cs="仿宋"/>
          <w:sz w:val="24"/>
        </w:rPr>
        <w:t>地    址：象山县丹西街道丹峰西路163号</w:t>
      </w:r>
    </w:p>
    <w:p w14:paraId="1E19A4D6">
      <w:pPr>
        <w:spacing w:line="360" w:lineRule="auto"/>
        <w:ind w:firstLine="480"/>
        <w:rPr>
          <w:rFonts w:hint="eastAsia" w:ascii="仿宋" w:hAnsi="仿宋" w:eastAsia="仿宋" w:cs="仿宋"/>
          <w:sz w:val="24"/>
        </w:rPr>
      </w:pPr>
      <w:r>
        <w:rPr>
          <w:rFonts w:hint="eastAsia" w:ascii="仿宋" w:hAnsi="仿宋" w:eastAsia="仿宋" w:cs="仿宋"/>
          <w:sz w:val="24"/>
        </w:rPr>
        <w:t>联 系 人：林老师</w:t>
      </w:r>
    </w:p>
    <w:p w14:paraId="278ECCAB">
      <w:pPr>
        <w:spacing w:line="360" w:lineRule="auto"/>
        <w:ind w:firstLine="480"/>
        <w:rPr>
          <w:rFonts w:hint="eastAsia" w:ascii="仿宋" w:hAnsi="仿宋" w:eastAsia="仿宋" w:cs="仿宋"/>
          <w:sz w:val="24"/>
        </w:rPr>
      </w:pPr>
      <w:r>
        <w:rPr>
          <w:rFonts w:hint="eastAsia" w:ascii="仿宋" w:hAnsi="仿宋" w:eastAsia="仿宋" w:cs="仿宋"/>
          <w:sz w:val="24"/>
        </w:rPr>
        <w:t>监督投诉电话：0574-65753557</w:t>
      </w:r>
    </w:p>
    <w:p w14:paraId="0769FBFF">
      <w:pPr>
        <w:spacing w:line="360" w:lineRule="auto"/>
        <w:ind w:firstLine="480" w:firstLineChars="200"/>
        <w:rPr>
          <w:rFonts w:hint="eastAsia" w:ascii="仿宋" w:hAnsi="仿宋" w:eastAsia="仿宋" w:cs="仿宋"/>
          <w:sz w:val="24"/>
        </w:rPr>
      </w:pPr>
    </w:p>
    <w:p w14:paraId="6B185BCF">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若对项目采购电子交易系统操作有疑问，可登录政采云，点击右侧咨询小采，获取采小蜜智能服务管家帮助，或拨打政采云服务热线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0B9E0344">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4081EA1D">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投标须知</w:t>
      </w:r>
      <w:bookmarkEnd w:id="9"/>
    </w:p>
    <w:p w14:paraId="511EC28E">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22"/>
        <w:tblW w:w="90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8"/>
        <w:gridCol w:w="1139"/>
        <w:gridCol w:w="7176"/>
      </w:tblGrid>
      <w:tr w14:paraId="57F22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1A33314">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序号</w:t>
            </w:r>
          </w:p>
        </w:tc>
        <w:tc>
          <w:tcPr>
            <w:tcW w:w="1139" w:type="dxa"/>
            <w:tcBorders>
              <w:top w:val="single" w:color="000000" w:sz="8" w:space="0"/>
              <w:left w:val="single" w:color="auto" w:sz="4" w:space="0"/>
              <w:bottom w:val="single" w:color="000000" w:sz="8" w:space="0"/>
              <w:right w:val="single" w:color="000000" w:sz="8" w:space="0"/>
            </w:tcBorders>
            <w:noWrap w:val="0"/>
            <w:vAlign w:val="center"/>
          </w:tcPr>
          <w:p w14:paraId="36F93063">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事项</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072709A5">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本项目的特别规定</w:t>
            </w:r>
          </w:p>
        </w:tc>
      </w:tr>
      <w:tr w14:paraId="62C37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6789C8D">
            <w:pPr>
              <w:snapToGrid w:val="0"/>
              <w:spacing w:line="400" w:lineRule="exact"/>
              <w:jc w:val="center"/>
              <w:rPr>
                <w:rFonts w:hint="eastAsia" w:ascii="仿宋" w:hAnsi="仿宋" w:eastAsia="仿宋" w:cs="仿宋"/>
                <w:szCs w:val="21"/>
              </w:rPr>
            </w:pPr>
            <w:r>
              <w:rPr>
                <w:rFonts w:hint="eastAsia" w:ascii="仿宋" w:hAnsi="仿宋" w:eastAsia="仿宋" w:cs="仿宋"/>
                <w:szCs w:val="21"/>
              </w:rPr>
              <w:t>1</w:t>
            </w:r>
          </w:p>
        </w:tc>
        <w:tc>
          <w:tcPr>
            <w:tcW w:w="1139" w:type="dxa"/>
            <w:tcBorders>
              <w:top w:val="single" w:color="000000" w:sz="8" w:space="0"/>
              <w:left w:val="single" w:color="auto" w:sz="4" w:space="0"/>
              <w:bottom w:val="single" w:color="000000" w:sz="8" w:space="0"/>
              <w:right w:val="single" w:color="000000" w:sz="8" w:space="0"/>
            </w:tcBorders>
            <w:noWrap w:val="0"/>
            <w:vAlign w:val="center"/>
          </w:tcPr>
          <w:p w14:paraId="39D5890B">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报价要求</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5670DC24">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有关本项目实施所需的所有费用（含税费）均计入报价。开标一览表是报价的唯一载体。投标文件中价格全部采用人民币报价。招标文件未列明，而供应商认为必需的费用也需列入报价。</w:t>
            </w:r>
          </w:p>
          <w:p w14:paraId="56E227E5">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投标报价出现下列情形的，投标无效：</w:t>
            </w:r>
          </w:p>
          <w:p w14:paraId="3E31393B">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①投标文件出现不是唯一的、有选择性投标报价的；</w:t>
            </w:r>
          </w:p>
          <w:p w14:paraId="111E0CFA">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②投标报价超过招标文件中规定的预算金额或者最高限价的；</w:t>
            </w:r>
          </w:p>
          <w:p w14:paraId="441008E1">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③报价明显低于其他通过符合性审查供应商的报价，有可能影响产品质量或者不能诚信履约的，未能按要求提供书面说明或者提交相关证明材料证明其报价合理性的；</w:t>
            </w:r>
          </w:p>
          <w:p w14:paraId="5BC75F51">
            <w:pPr>
              <w:spacing w:line="400" w:lineRule="exact"/>
              <w:jc w:val="left"/>
              <w:rPr>
                <w:rFonts w:hint="eastAsia" w:ascii="仿宋" w:hAnsi="仿宋" w:eastAsia="仿宋" w:cs="仿宋"/>
                <w:b/>
                <w:kern w:val="0"/>
                <w:szCs w:val="21"/>
              </w:rPr>
            </w:pPr>
            <w:r>
              <w:rPr>
                <w:rFonts w:hint="eastAsia" w:ascii="仿宋" w:hAnsi="仿宋" w:eastAsia="仿宋"/>
                <w:b/>
                <w:bCs/>
                <w:color w:val="000000"/>
                <w:szCs w:val="21"/>
              </w:rPr>
              <w:t>④供应商对根据修正原则修正后的报价不确认的。</w:t>
            </w:r>
          </w:p>
        </w:tc>
      </w:tr>
      <w:tr w14:paraId="73BB3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EEA1C51">
            <w:pPr>
              <w:snapToGrid w:val="0"/>
              <w:spacing w:line="400" w:lineRule="exact"/>
              <w:jc w:val="center"/>
              <w:rPr>
                <w:rFonts w:hint="eastAsia" w:ascii="仿宋" w:hAnsi="仿宋" w:eastAsia="仿宋" w:cs="仿宋"/>
                <w:szCs w:val="21"/>
              </w:rPr>
            </w:pPr>
            <w:r>
              <w:rPr>
                <w:rFonts w:hint="eastAsia" w:ascii="仿宋" w:hAnsi="仿宋" w:eastAsia="仿宋" w:cs="仿宋"/>
                <w:szCs w:val="21"/>
              </w:rPr>
              <w:t>2</w:t>
            </w:r>
          </w:p>
        </w:tc>
        <w:tc>
          <w:tcPr>
            <w:tcW w:w="1139" w:type="dxa"/>
            <w:tcBorders>
              <w:top w:val="single" w:color="000000" w:sz="8" w:space="0"/>
              <w:left w:val="single" w:color="auto" w:sz="4" w:space="0"/>
              <w:bottom w:val="single" w:color="000000" w:sz="8" w:space="0"/>
              <w:right w:val="single" w:color="000000" w:sz="8" w:space="0"/>
            </w:tcBorders>
            <w:noWrap w:val="0"/>
            <w:vAlign w:val="center"/>
          </w:tcPr>
          <w:p w14:paraId="75C7DEF8">
            <w:pPr>
              <w:pStyle w:val="12"/>
              <w:spacing w:line="400" w:lineRule="exact"/>
              <w:jc w:val="center"/>
              <w:rPr>
                <w:rFonts w:hint="eastAsia" w:ascii="仿宋" w:hAnsi="仿宋" w:eastAsia="仿宋" w:cs="仿宋"/>
                <w:b/>
              </w:rPr>
            </w:pPr>
            <w:r>
              <w:rPr>
                <w:rFonts w:hint="eastAsia" w:ascii="仿宋" w:hAnsi="仿宋" w:eastAsia="仿宋" w:cs="仿宋"/>
                <w:b/>
                <w:kern w:val="28"/>
              </w:rPr>
              <w:t>投标保证金</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5E9FDB5E">
            <w:pPr>
              <w:spacing w:line="400" w:lineRule="exact"/>
              <w:jc w:val="left"/>
              <w:rPr>
                <w:rFonts w:hint="eastAsia" w:ascii="仿宋" w:hAnsi="仿宋" w:eastAsia="仿宋" w:cs="仿宋"/>
                <w:b/>
                <w:kern w:val="0"/>
                <w:szCs w:val="21"/>
              </w:rPr>
            </w:pPr>
            <w:r>
              <w:rPr>
                <w:rFonts w:hint="eastAsia" w:ascii="仿宋" w:hAnsi="仿宋" w:eastAsia="仿宋"/>
                <w:bCs/>
                <w:color w:val="000000"/>
                <w:szCs w:val="21"/>
              </w:rPr>
              <w:t>本项目不需缴纳投标保证金。</w:t>
            </w:r>
          </w:p>
        </w:tc>
      </w:tr>
      <w:tr w14:paraId="2F8AD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7E9A40E">
            <w:pPr>
              <w:snapToGrid w:val="0"/>
              <w:spacing w:line="400" w:lineRule="exact"/>
              <w:jc w:val="center"/>
              <w:rPr>
                <w:rFonts w:hint="eastAsia" w:ascii="仿宋" w:hAnsi="仿宋" w:eastAsia="仿宋" w:cs="仿宋"/>
                <w:szCs w:val="21"/>
              </w:rPr>
            </w:pPr>
            <w:r>
              <w:rPr>
                <w:rFonts w:hint="eastAsia" w:ascii="仿宋" w:hAnsi="仿宋" w:eastAsia="仿宋" w:cs="仿宋"/>
                <w:szCs w:val="21"/>
              </w:rPr>
              <w:t>3</w:t>
            </w:r>
          </w:p>
        </w:tc>
        <w:tc>
          <w:tcPr>
            <w:tcW w:w="1139" w:type="dxa"/>
            <w:tcBorders>
              <w:top w:val="single" w:color="000000" w:sz="8" w:space="0"/>
              <w:left w:val="single" w:color="auto" w:sz="4" w:space="0"/>
              <w:bottom w:val="single" w:color="000000" w:sz="8" w:space="0"/>
              <w:right w:val="single" w:color="000000" w:sz="8" w:space="0"/>
            </w:tcBorders>
            <w:noWrap w:val="0"/>
            <w:vAlign w:val="center"/>
          </w:tcPr>
          <w:p w14:paraId="51E6DB48">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分包</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338E976B">
            <w:pPr>
              <w:spacing w:line="400" w:lineRule="exact"/>
              <w:jc w:val="left"/>
              <w:rPr>
                <w:rFonts w:ascii="仿宋" w:hAnsi="仿宋" w:eastAsia="仿宋"/>
                <w:bCs/>
                <w:color w:val="000000"/>
                <w:szCs w:val="21"/>
              </w:rPr>
            </w:pPr>
            <w:r>
              <w:rPr>
                <w:rFonts w:hint="eastAsia" w:ascii="仿宋" w:hAnsi="仿宋" w:eastAsia="仿宋"/>
                <w:bCs/>
                <w:color w:val="000000"/>
                <w:szCs w:val="21"/>
              </w:rPr>
              <w:sym w:font="Wingdings" w:char="00A8"/>
            </w:r>
            <w:r>
              <w:rPr>
                <w:rFonts w:hint="eastAsia" w:ascii="仿宋" w:hAnsi="仿宋" w:eastAsia="仿宋"/>
                <w:bCs/>
                <w:color w:val="000000"/>
                <w:szCs w:val="21"/>
              </w:rPr>
              <w:t>A同意将非主体、非关键性的</w:t>
            </w:r>
            <w:r>
              <w:rPr>
                <w:rFonts w:hint="eastAsia" w:ascii="仿宋" w:hAnsi="仿宋" w:eastAsia="仿宋"/>
                <w:bCs/>
                <w:color w:val="000000"/>
                <w:szCs w:val="21"/>
                <w:u w:val="single"/>
              </w:rPr>
              <w:t xml:space="preserve">  /  </w:t>
            </w:r>
            <w:r>
              <w:rPr>
                <w:rFonts w:hint="eastAsia" w:ascii="仿宋" w:hAnsi="仿宋" w:eastAsia="仿宋"/>
                <w:bCs/>
                <w:color w:val="000000"/>
                <w:szCs w:val="21"/>
              </w:rPr>
              <w:t>工作分包。分包单位要求：</w:t>
            </w:r>
            <w:r>
              <w:rPr>
                <w:rFonts w:hint="eastAsia" w:ascii="仿宋" w:hAnsi="仿宋" w:eastAsia="仿宋"/>
                <w:bCs/>
                <w:color w:val="000000"/>
                <w:szCs w:val="21"/>
                <w:u w:val="single"/>
              </w:rPr>
              <w:t xml:space="preserve">  /   </w:t>
            </w:r>
            <w:r>
              <w:rPr>
                <w:rFonts w:hint="eastAsia" w:ascii="仿宋" w:hAnsi="仿宋" w:eastAsia="仿宋"/>
                <w:bCs/>
                <w:color w:val="000000"/>
                <w:szCs w:val="21"/>
              </w:rPr>
              <w:t>。</w:t>
            </w:r>
          </w:p>
          <w:p w14:paraId="3DA4E1AA">
            <w:pPr>
              <w:spacing w:line="400" w:lineRule="exact"/>
              <w:jc w:val="left"/>
              <w:rPr>
                <w:rFonts w:hint="eastAsia" w:ascii="仿宋" w:hAnsi="仿宋" w:eastAsia="仿宋" w:cs="仿宋"/>
                <w:szCs w:val="21"/>
              </w:rPr>
            </w:pPr>
            <w:r>
              <w:rPr>
                <w:rFonts w:hint="eastAsia" w:ascii="仿宋" w:hAnsi="仿宋" w:eastAsia="仿宋"/>
                <w:bCs/>
                <w:color w:val="000000"/>
                <w:szCs w:val="21"/>
              </w:rPr>
              <w:sym w:font="Wingdings" w:char="00FE"/>
            </w:r>
            <w:r>
              <w:rPr>
                <w:rFonts w:hint="eastAsia" w:ascii="仿宋" w:hAnsi="仿宋" w:eastAsia="仿宋"/>
                <w:bCs/>
                <w:color w:val="000000"/>
                <w:szCs w:val="21"/>
              </w:rPr>
              <w:t>B不同意分包。</w:t>
            </w:r>
          </w:p>
        </w:tc>
      </w:tr>
      <w:tr w14:paraId="040BA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56BF70B">
            <w:pPr>
              <w:snapToGrid w:val="0"/>
              <w:spacing w:line="400" w:lineRule="exact"/>
              <w:jc w:val="center"/>
              <w:rPr>
                <w:rFonts w:hint="eastAsia" w:ascii="仿宋" w:hAnsi="仿宋" w:eastAsia="仿宋" w:cs="仿宋"/>
                <w:szCs w:val="21"/>
              </w:rPr>
            </w:pPr>
            <w:r>
              <w:rPr>
                <w:rFonts w:hint="eastAsia" w:ascii="仿宋" w:hAnsi="仿宋" w:eastAsia="仿宋" w:cs="仿宋"/>
                <w:szCs w:val="21"/>
              </w:rPr>
              <w:t>4</w:t>
            </w:r>
          </w:p>
        </w:tc>
        <w:tc>
          <w:tcPr>
            <w:tcW w:w="1139" w:type="dxa"/>
            <w:tcBorders>
              <w:top w:val="single" w:color="000000" w:sz="8" w:space="0"/>
              <w:left w:val="single" w:color="auto" w:sz="4" w:space="0"/>
              <w:bottom w:val="single" w:color="000000" w:sz="8" w:space="0"/>
              <w:right w:val="single" w:color="000000" w:sz="8" w:space="0"/>
            </w:tcBorders>
            <w:noWrap w:val="0"/>
            <w:vAlign w:val="center"/>
          </w:tcPr>
          <w:p w14:paraId="51A5BB78">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供应商应当提供的资格文件</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1D9F111D">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资格证明文件：见招标文件第二部分9.1。</w:t>
            </w:r>
          </w:p>
          <w:p w14:paraId="1543F3A8">
            <w:pPr>
              <w:spacing w:line="400" w:lineRule="exact"/>
              <w:jc w:val="left"/>
              <w:rPr>
                <w:rFonts w:hint="eastAsia" w:ascii="仿宋" w:hAnsi="仿宋" w:eastAsia="仿宋" w:cs="仿宋"/>
                <w:kern w:val="0"/>
                <w:szCs w:val="21"/>
              </w:rPr>
            </w:pPr>
            <w:r>
              <w:rPr>
                <w:rFonts w:hint="eastAsia" w:ascii="仿宋" w:hAnsi="仿宋" w:eastAsia="仿宋"/>
                <w:bCs/>
                <w:color w:val="000000"/>
                <w:szCs w:val="21"/>
              </w:rPr>
              <w:t>资格证明文件不全的或者不符合招标文件标明的资格要求的，视为供应商不具备招标文件中规定的资格要求，投标无效。</w:t>
            </w:r>
          </w:p>
        </w:tc>
      </w:tr>
      <w:tr w14:paraId="2276D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DA6F033">
            <w:pPr>
              <w:snapToGrid w:val="0"/>
              <w:spacing w:line="400" w:lineRule="exact"/>
              <w:jc w:val="center"/>
              <w:rPr>
                <w:rFonts w:hint="eastAsia" w:ascii="仿宋" w:hAnsi="仿宋" w:eastAsia="仿宋" w:cs="仿宋"/>
                <w:szCs w:val="21"/>
              </w:rPr>
            </w:pPr>
            <w:r>
              <w:rPr>
                <w:rFonts w:hint="eastAsia" w:ascii="仿宋" w:hAnsi="仿宋" w:eastAsia="仿宋" w:cs="仿宋"/>
                <w:szCs w:val="21"/>
              </w:rPr>
              <w:t>5</w:t>
            </w:r>
          </w:p>
        </w:tc>
        <w:tc>
          <w:tcPr>
            <w:tcW w:w="1139" w:type="dxa"/>
            <w:tcBorders>
              <w:top w:val="single" w:color="000000" w:sz="8" w:space="0"/>
              <w:left w:val="single" w:color="auto" w:sz="4" w:space="0"/>
              <w:bottom w:val="single" w:color="000000" w:sz="8" w:space="0"/>
              <w:right w:val="single" w:color="000000" w:sz="8" w:space="0"/>
            </w:tcBorders>
            <w:noWrap w:val="0"/>
            <w:vAlign w:val="center"/>
          </w:tcPr>
          <w:p w14:paraId="68B96528">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开标前答疑会或现场考察</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70DB6E9E">
            <w:pPr>
              <w:spacing w:before="72" w:beforeLines="30" w:after="72" w:afterLines="30" w:line="360" w:lineRule="auto"/>
              <w:jc w:val="left"/>
              <w:rPr>
                <w:rFonts w:hint="eastAsia" w:ascii="宋体" w:hAnsi="宋体" w:cs="宋体"/>
                <w:bCs/>
                <w:szCs w:val="21"/>
              </w:rPr>
            </w:pPr>
            <w:r>
              <w:rPr>
                <w:rFonts w:hint="eastAsia" w:ascii="仿宋" w:hAnsi="仿宋" w:eastAsia="仿宋"/>
                <w:bCs/>
                <w:color w:val="000000"/>
                <w:szCs w:val="21"/>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2B080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45B505A">
            <w:pPr>
              <w:snapToGrid w:val="0"/>
              <w:spacing w:line="400" w:lineRule="exact"/>
              <w:jc w:val="center"/>
              <w:rPr>
                <w:rFonts w:hint="eastAsia" w:ascii="仿宋" w:hAnsi="仿宋" w:eastAsia="仿宋" w:cs="仿宋"/>
                <w:szCs w:val="21"/>
              </w:rPr>
            </w:pPr>
            <w:r>
              <w:rPr>
                <w:rFonts w:hint="eastAsia" w:ascii="仿宋" w:hAnsi="仿宋" w:eastAsia="仿宋" w:cs="仿宋"/>
                <w:szCs w:val="21"/>
              </w:rPr>
              <w:t>6</w:t>
            </w:r>
          </w:p>
        </w:tc>
        <w:tc>
          <w:tcPr>
            <w:tcW w:w="1139" w:type="dxa"/>
            <w:tcBorders>
              <w:top w:val="single" w:color="000000" w:sz="8" w:space="0"/>
              <w:left w:val="single" w:color="auto" w:sz="4" w:space="0"/>
              <w:bottom w:val="single" w:color="000000" w:sz="8" w:space="0"/>
              <w:right w:val="single" w:color="000000" w:sz="8" w:space="0"/>
            </w:tcBorders>
            <w:noWrap w:val="0"/>
            <w:vAlign w:val="center"/>
          </w:tcPr>
          <w:p w14:paraId="5D7F6A85">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样品提供</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00AA8EE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A不要求提供。</w:t>
            </w:r>
          </w:p>
          <w:p w14:paraId="2F95FBA8">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00A8"/>
            </w:r>
            <w:r>
              <w:rPr>
                <w:rFonts w:hint="eastAsia" w:ascii="仿宋" w:hAnsi="仿宋" w:eastAsia="仿宋"/>
                <w:bCs/>
                <w:color w:val="000000"/>
                <w:szCs w:val="21"/>
              </w:rPr>
              <w:t>B要求提供，</w:t>
            </w:r>
          </w:p>
          <w:p w14:paraId="2E294F76">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（1）样品：</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5709729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（2）样品制作的标准和要求：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0A3D5186">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（3）样品的评审方法以及评审标准：详见</w:t>
            </w:r>
            <w:r>
              <w:rPr>
                <w:rFonts w:hint="eastAsia" w:ascii="仿宋" w:hAnsi="仿宋" w:eastAsia="仿宋"/>
                <w:bCs/>
                <w:color w:val="000000"/>
                <w:szCs w:val="21"/>
                <w:u w:val="single"/>
              </w:rPr>
              <w:t>评标办法</w:t>
            </w:r>
            <w:r>
              <w:rPr>
                <w:rFonts w:hint="eastAsia" w:ascii="仿宋" w:hAnsi="仿宋" w:eastAsia="仿宋"/>
                <w:bCs/>
                <w:color w:val="000000"/>
                <w:szCs w:val="21"/>
              </w:rPr>
              <w:t>；</w:t>
            </w:r>
          </w:p>
          <w:p w14:paraId="5879577B">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（4）是否需要随样品提交检测报告：</w:t>
            </w:r>
            <w:r>
              <w:rPr>
                <w:rFonts w:hint="eastAsia" w:ascii="仿宋" w:hAnsi="仿宋" w:eastAsia="仿宋"/>
                <w:bCs/>
                <w:color w:val="000000"/>
                <w:szCs w:val="21"/>
              </w:rPr>
              <w:sym w:font="Wingdings" w:char="00A8"/>
            </w:r>
            <w:r>
              <w:rPr>
                <w:rFonts w:hint="eastAsia" w:ascii="仿宋" w:hAnsi="仿宋" w:eastAsia="仿宋"/>
                <w:bCs/>
                <w:color w:val="000000"/>
                <w:szCs w:val="21"/>
              </w:rPr>
              <w:t>否；☐是，检测机构的要求：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；检测内容：</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234C297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（5）提供样品的时间：</w:t>
            </w:r>
            <w:r>
              <w:rPr>
                <w:rFonts w:hint="eastAsia" w:ascii="仿宋" w:hAnsi="仿宋" w:eastAsia="仿宋"/>
                <w:bCs/>
                <w:color w:val="000000"/>
                <w:szCs w:val="21"/>
                <w:u w:val="single"/>
              </w:rPr>
              <w:t xml:space="preserve">    </w:t>
            </w:r>
            <w:r>
              <w:rPr>
                <w:rFonts w:hint="eastAsia" w:ascii="仿宋" w:hAnsi="仿宋" w:eastAsia="仿宋"/>
                <w:bCs/>
                <w:color w:val="000000"/>
                <w:szCs w:val="21"/>
              </w:rPr>
              <w:t>；地点：</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；联系人：</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，联系电话：</w:t>
            </w:r>
            <w:r>
              <w:rPr>
                <w:rFonts w:hint="eastAsia" w:ascii="仿宋" w:hAnsi="仿宋" w:eastAsia="仿宋"/>
                <w:bCs/>
                <w:color w:val="000000"/>
                <w:szCs w:val="21"/>
                <w:u w:val="single"/>
              </w:rPr>
              <w:t xml:space="preserve">    </w:t>
            </w:r>
            <w:r>
              <w:rPr>
                <w:rFonts w:hint="eastAsia" w:ascii="仿宋" w:hAnsi="仿宋" w:eastAsia="仿宋"/>
                <w:bCs/>
                <w:color w:val="000000"/>
                <w:szCs w:val="21"/>
              </w:rPr>
              <w:t>。请供应商在上述时间内提供样品并按规定位置安装完毕。超过截止时间的，采购人或采购代理机构将不予接收，并将清场并封闭样品现场。</w:t>
            </w:r>
          </w:p>
          <w:p w14:paraId="24883023">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188D73D">
            <w:pPr>
              <w:spacing w:line="400" w:lineRule="exact"/>
              <w:jc w:val="left"/>
              <w:rPr>
                <w:rFonts w:hint="eastAsia" w:ascii="仿宋" w:hAnsi="仿宋" w:eastAsia="仿宋" w:cs="仿宋"/>
                <w:b/>
                <w:szCs w:val="21"/>
              </w:rPr>
            </w:pPr>
            <w:r>
              <w:rPr>
                <w:rFonts w:hint="eastAsia" w:ascii="仿宋" w:hAnsi="仿宋" w:eastAsia="仿宋"/>
                <w:bCs/>
                <w:color w:val="000000"/>
                <w:szCs w:val="21"/>
              </w:rPr>
              <w:t>（7）制作、运输、安装和保管样品所发生的一切费用由供应商。</w:t>
            </w:r>
          </w:p>
        </w:tc>
      </w:tr>
      <w:tr w14:paraId="19669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2044EE90">
            <w:pPr>
              <w:snapToGrid w:val="0"/>
              <w:spacing w:line="400" w:lineRule="exact"/>
              <w:jc w:val="center"/>
              <w:rPr>
                <w:rFonts w:hint="eastAsia" w:ascii="仿宋" w:hAnsi="仿宋" w:eastAsia="仿宋" w:cs="仿宋"/>
                <w:szCs w:val="21"/>
              </w:rPr>
            </w:pPr>
            <w:r>
              <w:rPr>
                <w:rFonts w:hint="eastAsia" w:ascii="仿宋" w:hAnsi="仿宋" w:eastAsia="仿宋" w:cs="仿宋"/>
                <w:szCs w:val="21"/>
              </w:rPr>
              <w:t>7</w:t>
            </w:r>
          </w:p>
        </w:tc>
        <w:tc>
          <w:tcPr>
            <w:tcW w:w="1139" w:type="dxa"/>
            <w:tcBorders>
              <w:top w:val="single" w:color="000000" w:sz="8" w:space="0"/>
              <w:left w:val="single" w:color="000000" w:sz="2" w:space="0"/>
              <w:bottom w:val="single" w:color="000000" w:sz="8" w:space="0"/>
              <w:right w:val="single" w:color="000000" w:sz="8" w:space="0"/>
            </w:tcBorders>
            <w:noWrap w:val="0"/>
            <w:vAlign w:val="center"/>
          </w:tcPr>
          <w:p w14:paraId="2DC94511">
            <w:pPr>
              <w:snapToGrid w:val="0"/>
              <w:spacing w:line="400" w:lineRule="exact"/>
              <w:jc w:val="center"/>
              <w:rPr>
                <w:rFonts w:hint="eastAsia" w:ascii="仿宋" w:hAnsi="仿宋" w:eastAsia="仿宋" w:cs="仿宋"/>
                <w:bCs/>
                <w:szCs w:val="21"/>
              </w:rPr>
            </w:pPr>
            <w:r>
              <w:rPr>
                <w:rFonts w:hint="eastAsia" w:ascii="仿宋" w:hAnsi="仿宋" w:eastAsia="仿宋" w:cs="仿宋"/>
                <w:b/>
                <w:szCs w:val="21"/>
              </w:rPr>
              <w:t>方案讲解演示</w:t>
            </w:r>
          </w:p>
        </w:tc>
        <w:tc>
          <w:tcPr>
            <w:tcW w:w="7176" w:type="dxa"/>
            <w:tcBorders>
              <w:top w:val="single" w:color="000000" w:sz="8" w:space="0"/>
              <w:left w:val="single" w:color="000000" w:sz="8" w:space="0"/>
              <w:bottom w:val="single" w:color="000000" w:sz="8" w:space="0"/>
              <w:right w:val="single" w:color="000000" w:sz="8" w:space="0"/>
            </w:tcBorders>
            <w:noWrap w:val="0"/>
            <w:vAlign w:val="center"/>
          </w:tcPr>
          <w:p w14:paraId="18583667">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A不组织。</w:t>
            </w:r>
          </w:p>
          <w:p w14:paraId="584246F3">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☐B组织。</w:t>
            </w:r>
          </w:p>
          <w:p w14:paraId="08B05D5E">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（1）在评标时安排每个供应商进行方案讲解演示。每个供应商时间不超过</w:t>
            </w:r>
            <w:r>
              <w:rPr>
                <w:rFonts w:hint="eastAsia" w:ascii="仿宋" w:hAnsi="仿宋" w:eastAsia="仿宋"/>
                <w:bCs/>
                <w:color w:val="000000"/>
                <w:szCs w:val="21"/>
                <w:u w:val="single"/>
              </w:rPr>
              <w:t xml:space="preserve">    </w:t>
            </w:r>
            <w:r>
              <w:rPr>
                <w:rFonts w:hint="eastAsia" w:ascii="仿宋" w:hAnsi="仿宋" w:eastAsia="仿宋"/>
                <w:bCs/>
                <w:color w:val="000000"/>
                <w:szCs w:val="21"/>
              </w:rPr>
              <w:t>分钟，讲解次序以投标文件解密时间先后次序为准，讲解演示人员不超过</w:t>
            </w:r>
            <w:r>
              <w:rPr>
                <w:rFonts w:hint="eastAsia" w:ascii="仿宋" w:hAnsi="仿宋" w:eastAsia="仿宋"/>
                <w:bCs/>
                <w:color w:val="000000"/>
                <w:szCs w:val="21"/>
                <w:u w:val="single"/>
              </w:rPr>
              <w:t xml:space="preserve">    </w:t>
            </w:r>
            <w:r>
              <w:rPr>
                <w:rFonts w:hint="eastAsia" w:ascii="仿宋" w:hAnsi="仿宋" w:eastAsia="仿宋"/>
                <w:bCs/>
                <w:color w:val="000000"/>
                <w:szCs w:val="21"/>
              </w:rPr>
              <w:t>人。讲解演示结束后按要求解答评标委员会提问。</w:t>
            </w:r>
          </w:p>
          <w:p w14:paraId="0E3BAAE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（2）方案讲解演示可选择以下其中一种方式：</w:t>
            </w:r>
          </w:p>
          <w:p w14:paraId="427209FE">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方式一：政采云平台在线讲解演示。政采云平台在线讲解需供应商根据政采云平台操作要求做好准备工作，提前完善软硬件配置环境。</w:t>
            </w:r>
          </w:p>
          <w:p w14:paraId="24C66DFE">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方式二：交易中心现场讲解演示。现场讲解地点为</w:t>
            </w:r>
            <w:r>
              <w:rPr>
                <w:rFonts w:hint="eastAsia" w:ascii="仿宋" w:hAnsi="仿宋" w:eastAsia="仿宋"/>
                <w:bCs/>
                <w:color w:val="000000"/>
                <w:szCs w:val="21"/>
                <w:u w:val="single"/>
              </w:rPr>
              <w:t xml:space="preserve">        </w:t>
            </w:r>
            <w:r>
              <w:rPr>
                <w:rFonts w:hint="eastAsia" w:ascii="仿宋" w:hAnsi="仿宋" w:eastAsia="仿宋"/>
                <w:bCs/>
                <w:color w:val="000000"/>
                <w:szCs w:val="21"/>
              </w:rPr>
              <w:t>，讲解演示所用电脑等设备由供应商自备。现场讲解演示人员进场时提供讲解人员名单（加盖公章）及身份证明，否则不得讲解演示。</w:t>
            </w:r>
          </w:p>
          <w:p w14:paraId="649B35ED">
            <w:pPr>
              <w:spacing w:line="400" w:lineRule="exact"/>
              <w:jc w:val="left"/>
              <w:rPr>
                <w:rFonts w:hint="eastAsia" w:ascii="仿宋" w:hAnsi="仿宋" w:eastAsia="仿宋" w:cs="仿宋"/>
                <w:b/>
                <w:kern w:val="0"/>
                <w:szCs w:val="21"/>
                <w:lang w:val="zh-CN"/>
              </w:rPr>
            </w:pPr>
            <w:r>
              <w:rPr>
                <w:rFonts w:hint="eastAsia" w:ascii="仿宋" w:hAnsi="仿宋" w:eastAsia="仿宋"/>
                <w:bCs/>
                <w:color w:val="00000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00B52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5D18DB82">
            <w:pPr>
              <w:snapToGrid w:val="0"/>
              <w:spacing w:line="400" w:lineRule="exact"/>
              <w:jc w:val="center"/>
              <w:rPr>
                <w:rFonts w:hint="eastAsia" w:ascii="仿宋" w:hAnsi="仿宋" w:eastAsia="仿宋" w:cs="仿宋"/>
                <w:szCs w:val="21"/>
              </w:rPr>
            </w:pPr>
            <w:r>
              <w:rPr>
                <w:rFonts w:hint="eastAsia" w:ascii="仿宋" w:hAnsi="仿宋" w:eastAsia="仿宋" w:cs="仿宋"/>
                <w:szCs w:val="21"/>
              </w:rPr>
              <w:t>8</w:t>
            </w:r>
          </w:p>
        </w:tc>
        <w:tc>
          <w:tcPr>
            <w:tcW w:w="1139" w:type="dxa"/>
            <w:tcBorders>
              <w:top w:val="single" w:color="000000" w:sz="8" w:space="0"/>
              <w:left w:val="single" w:color="000000" w:sz="2" w:space="0"/>
              <w:bottom w:val="single" w:color="000000" w:sz="8" w:space="0"/>
              <w:right w:val="single" w:color="000000" w:sz="8" w:space="0"/>
            </w:tcBorders>
            <w:noWrap w:val="0"/>
            <w:vAlign w:val="center"/>
          </w:tcPr>
          <w:p w14:paraId="783F2915">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是否允许采购进口产品</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3496CBB2">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本项目不允许采购进口产品。</w:t>
            </w:r>
          </w:p>
          <w:p w14:paraId="0FF20EC6">
            <w:pPr>
              <w:spacing w:line="400" w:lineRule="exact"/>
              <w:jc w:val="left"/>
              <w:rPr>
                <w:rFonts w:hint="eastAsia" w:ascii="仿宋" w:hAnsi="仿宋" w:eastAsia="仿宋" w:cs="仿宋"/>
                <w:szCs w:val="21"/>
              </w:rPr>
            </w:pPr>
            <w:r>
              <w:rPr>
                <w:rFonts w:hint="eastAsia" w:ascii="仿宋" w:hAnsi="仿宋" w:eastAsia="仿宋"/>
                <w:bCs/>
                <w:color w:val="00000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A36B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6848AB64">
            <w:pPr>
              <w:snapToGrid w:val="0"/>
              <w:spacing w:line="400" w:lineRule="exact"/>
              <w:jc w:val="center"/>
              <w:rPr>
                <w:rFonts w:hint="eastAsia" w:ascii="仿宋" w:hAnsi="仿宋" w:eastAsia="仿宋" w:cs="仿宋"/>
                <w:szCs w:val="21"/>
              </w:rPr>
            </w:pPr>
            <w:r>
              <w:rPr>
                <w:rFonts w:hint="eastAsia" w:ascii="仿宋" w:hAnsi="仿宋" w:eastAsia="仿宋" w:cs="仿宋"/>
                <w:szCs w:val="21"/>
              </w:rPr>
              <w:t>9</w:t>
            </w:r>
          </w:p>
        </w:tc>
        <w:tc>
          <w:tcPr>
            <w:tcW w:w="1139" w:type="dxa"/>
            <w:tcBorders>
              <w:top w:val="single" w:color="000000" w:sz="8" w:space="0"/>
              <w:left w:val="single" w:color="000000" w:sz="2" w:space="0"/>
              <w:bottom w:val="single" w:color="000000" w:sz="8" w:space="0"/>
              <w:right w:val="single" w:color="000000" w:sz="8" w:space="0"/>
            </w:tcBorders>
            <w:noWrap w:val="0"/>
            <w:vAlign w:val="center"/>
          </w:tcPr>
          <w:p w14:paraId="61B9AF88">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项目属性与核心产品</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4ED6406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☐A货物类，单一产品或核心产品为：</w:t>
            </w:r>
            <w:r>
              <w:rPr>
                <w:rFonts w:hint="eastAsia" w:ascii="仿宋" w:hAnsi="仿宋" w:eastAsia="仿宋"/>
                <w:bCs/>
                <w:color w:val="000000"/>
                <w:szCs w:val="21"/>
                <w:u w:val="single"/>
              </w:rPr>
              <w:t xml:space="preserve">    /    </w:t>
            </w:r>
            <w:r>
              <w:rPr>
                <w:rFonts w:hint="eastAsia" w:ascii="仿宋" w:hAnsi="仿宋" w:eastAsia="仿宋"/>
                <w:bCs/>
                <w:color w:val="000000"/>
                <w:szCs w:val="21"/>
              </w:rPr>
              <w:t>。</w:t>
            </w:r>
          </w:p>
          <w:p w14:paraId="39E4082F">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p w14:paraId="4AC765B9">
            <w:pPr>
              <w:spacing w:line="400" w:lineRule="exact"/>
              <w:jc w:val="left"/>
              <w:rPr>
                <w:rFonts w:hint="eastAsia" w:ascii="仿宋" w:hAnsi="仿宋" w:eastAsia="仿宋" w:cs="仿宋"/>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B服务类。</w:t>
            </w:r>
          </w:p>
        </w:tc>
      </w:tr>
      <w:tr w14:paraId="358EF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3930D5D5">
            <w:pPr>
              <w:snapToGrid w:val="0"/>
              <w:spacing w:line="400" w:lineRule="exact"/>
              <w:jc w:val="center"/>
              <w:rPr>
                <w:rFonts w:hint="eastAsia" w:ascii="仿宋" w:hAnsi="仿宋" w:eastAsia="仿宋" w:cs="仿宋"/>
                <w:szCs w:val="21"/>
              </w:rPr>
            </w:pPr>
            <w:r>
              <w:rPr>
                <w:rFonts w:hint="eastAsia" w:ascii="仿宋" w:hAnsi="仿宋" w:eastAsia="仿宋" w:cs="仿宋"/>
                <w:szCs w:val="21"/>
              </w:rPr>
              <w:t>10</w:t>
            </w:r>
          </w:p>
        </w:tc>
        <w:tc>
          <w:tcPr>
            <w:tcW w:w="1139" w:type="dxa"/>
            <w:tcBorders>
              <w:top w:val="single" w:color="000000" w:sz="8" w:space="0"/>
              <w:left w:val="single" w:color="000000" w:sz="2" w:space="0"/>
              <w:bottom w:val="single" w:color="000000" w:sz="8" w:space="0"/>
              <w:right w:val="single" w:color="000000" w:sz="8" w:space="0"/>
            </w:tcBorders>
            <w:noWrap w:val="0"/>
            <w:vAlign w:val="center"/>
          </w:tcPr>
          <w:p w14:paraId="001E5AA8">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采购标的对应的中小企业划分标准所属行业</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359F9E17">
            <w:pPr>
              <w:spacing w:line="720" w:lineRule="exact"/>
              <w:rPr>
                <w:rFonts w:hint="eastAsia" w:eastAsia="仿宋"/>
              </w:rPr>
            </w:pPr>
            <w:r>
              <w:rPr>
                <w:rFonts w:hint="eastAsia" w:ascii="仿宋" w:hAnsi="仿宋" w:eastAsia="仿宋"/>
                <w:bCs/>
                <w:color w:val="000000"/>
                <w:szCs w:val="21"/>
                <w:u w:val="single"/>
                <w:lang w:eastAsia="zh-CN"/>
              </w:rPr>
              <w:t>垃圾中转站服务外包</w:t>
            </w:r>
            <w:r>
              <w:rPr>
                <w:rFonts w:hint="eastAsia" w:ascii="仿宋" w:hAnsi="仿宋" w:eastAsia="仿宋"/>
                <w:bCs/>
                <w:szCs w:val="21"/>
              </w:rPr>
              <w:t>，属于</w:t>
            </w:r>
            <w:r>
              <w:rPr>
                <w:rFonts w:hint="eastAsia" w:ascii="仿宋" w:hAnsi="仿宋" w:eastAsia="仿宋"/>
                <w:bCs/>
                <w:szCs w:val="21"/>
                <w:u w:val="single"/>
              </w:rPr>
              <w:t>其他未列明行业</w:t>
            </w:r>
            <w:r>
              <w:rPr>
                <w:rFonts w:hint="eastAsia" w:ascii="仿宋" w:hAnsi="仿宋" w:eastAsia="仿宋"/>
                <w:bCs/>
                <w:szCs w:val="21"/>
              </w:rPr>
              <w:t>。</w:t>
            </w:r>
          </w:p>
        </w:tc>
      </w:tr>
      <w:tr w14:paraId="37020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28360A89">
            <w:pPr>
              <w:snapToGrid w:val="0"/>
              <w:spacing w:line="400" w:lineRule="exact"/>
              <w:jc w:val="center"/>
              <w:rPr>
                <w:rFonts w:hint="eastAsia" w:ascii="仿宋" w:hAnsi="仿宋" w:eastAsia="仿宋" w:cs="仿宋"/>
                <w:szCs w:val="21"/>
              </w:rPr>
            </w:pPr>
            <w:r>
              <w:rPr>
                <w:rFonts w:hint="eastAsia" w:ascii="仿宋" w:hAnsi="仿宋" w:eastAsia="仿宋" w:cs="仿宋"/>
                <w:szCs w:val="21"/>
              </w:rPr>
              <w:t>11</w:t>
            </w:r>
          </w:p>
        </w:tc>
        <w:tc>
          <w:tcPr>
            <w:tcW w:w="1139" w:type="dxa"/>
            <w:tcBorders>
              <w:top w:val="single" w:color="000000" w:sz="8" w:space="0"/>
              <w:left w:val="single" w:color="000000" w:sz="2" w:space="0"/>
              <w:bottom w:val="single" w:color="000000" w:sz="8" w:space="0"/>
              <w:right w:val="single" w:color="000000" w:sz="8" w:space="0"/>
            </w:tcBorders>
            <w:noWrap w:val="0"/>
            <w:vAlign w:val="center"/>
          </w:tcPr>
          <w:p w14:paraId="32B2C664">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节能产品、环境标志产品</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0D14B366">
            <w:pPr>
              <w:spacing w:line="400" w:lineRule="exact"/>
              <w:jc w:val="left"/>
              <w:rPr>
                <w:rFonts w:hint="eastAsia" w:ascii="仿宋" w:hAnsi="仿宋" w:eastAsia="仿宋" w:cs="MS Mincho"/>
                <w:bCs/>
                <w:color w:val="000000"/>
                <w:szCs w:val="21"/>
              </w:rPr>
            </w:pPr>
            <w:r>
              <w:rPr>
                <w:rFonts w:hint="eastAsia" w:ascii="仿宋" w:hAnsi="仿宋" w:eastAsia="仿宋"/>
                <w:bCs/>
                <w:color w:val="000000"/>
                <w:szCs w:val="21"/>
              </w:rPr>
              <w:sym w:font="Wingdings" w:char="00FE"/>
            </w:r>
            <w:r>
              <w:rPr>
                <w:rFonts w:hint="eastAsia" w:ascii="仿宋" w:hAnsi="仿宋" w:eastAsia="仿宋"/>
                <w:bCs/>
                <w:color w:val="000000"/>
                <w:szCs w:val="21"/>
              </w:rPr>
              <w:t>无。</w:t>
            </w:r>
          </w:p>
          <w:p w14:paraId="55AADDBA">
            <w:pPr>
              <w:spacing w:line="400" w:lineRule="exact"/>
              <w:jc w:val="left"/>
              <w:rPr>
                <w:rFonts w:hint="eastAsia" w:ascii="仿宋" w:hAnsi="仿宋" w:eastAsia="仿宋"/>
                <w:bCs/>
                <w:color w:val="000000"/>
                <w:szCs w:val="21"/>
              </w:rPr>
            </w:pPr>
            <w:r>
              <w:rPr>
                <w:rFonts w:hint="eastAsia" w:ascii="仿宋" w:hAnsi="MS Mincho" w:eastAsia="MS Mincho" w:cs="MS Mincho"/>
                <w:bCs/>
                <w:color w:val="000000"/>
                <w:szCs w:val="21"/>
              </w:rPr>
              <w:t>☐</w:t>
            </w:r>
            <w:r>
              <w:rPr>
                <w:rFonts w:hint="eastAsia" w:ascii="仿宋" w:hAnsi="仿宋" w:eastAsia="仿宋"/>
                <w:bCs/>
                <w:color w:val="00000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A04E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right w:val="single" w:color="000000" w:sz="2" w:space="0"/>
            </w:tcBorders>
            <w:noWrap w:val="0"/>
            <w:vAlign w:val="center"/>
          </w:tcPr>
          <w:p w14:paraId="2E0D37D8">
            <w:pPr>
              <w:snapToGrid w:val="0"/>
              <w:spacing w:line="400" w:lineRule="exact"/>
              <w:jc w:val="center"/>
              <w:rPr>
                <w:rFonts w:hint="eastAsia" w:ascii="仿宋" w:hAnsi="仿宋" w:eastAsia="仿宋" w:cs="仿宋"/>
                <w:szCs w:val="21"/>
              </w:rPr>
            </w:pPr>
            <w:r>
              <w:rPr>
                <w:rFonts w:hint="eastAsia" w:ascii="仿宋" w:hAnsi="仿宋" w:eastAsia="仿宋" w:cs="仿宋"/>
                <w:szCs w:val="21"/>
              </w:rPr>
              <w:t>12</w:t>
            </w:r>
          </w:p>
        </w:tc>
        <w:tc>
          <w:tcPr>
            <w:tcW w:w="1139" w:type="dxa"/>
            <w:tcBorders>
              <w:top w:val="single" w:color="000000" w:sz="8" w:space="0"/>
              <w:left w:val="single" w:color="000000" w:sz="2" w:space="0"/>
              <w:right w:val="single" w:color="000000" w:sz="8" w:space="0"/>
            </w:tcBorders>
            <w:noWrap w:val="0"/>
            <w:vAlign w:val="center"/>
          </w:tcPr>
          <w:p w14:paraId="0731D60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中小企业信用融资</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20440ECD">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供应商中标后也可在“政采云”平台申请政采贷：操作路径：登录政采云平台- 金融服务中心-【融资服务】，可在热门申请中选择产品直接申请，也可点击云智贷匹配适合产品进行申请，或者在可申请项目中根据该项目进行申请。</w:t>
            </w:r>
          </w:p>
        </w:tc>
      </w:tr>
      <w:tr w14:paraId="1E7A2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right w:val="single" w:color="000000" w:sz="2" w:space="0"/>
            </w:tcBorders>
            <w:noWrap w:val="0"/>
            <w:vAlign w:val="center"/>
          </w:tcPr>
          <w:p w14:paraId="68F3A32D">
            <w:pPr>
              <w:snapToGrid w:val="0"/>
              <w:spacing w:line="400" w:lineRule="exact"/>
              <w:jc w:val="center"/>
              <w:rPr>
                <w:rFonts w:hint="eastAsia" w:ascii="仿宋" w:hAnsi="仿宋" w:eastAsia="仿宋" w:cs="仿宋"/>
                <w:szCs w:val="21"/>
              </w:rPr>
            </w:pPr>
            <w:r>
              <w:rPr>
                <w:rFonts w:hint="eastAsia" w:ascii="仿宋" w:hAnsi="仿宋" w:eastAsia="仿宋" w:cs="仿宋"/>
                <w:szCs w:val="21"/>
              </w:rPr>
              <w:t>13</w:t>
            </w:r>
          </w:p>
        </w:tc>
        <w:tc>
          <w:tcPr>
            <w:tcW w:w="1139" w:type="dxa"/>
            <w:tcBorders>
              <w:top w:val="single" w:color="000000" w:sz="8" w:space="0"/>
              <w:left w:val="single" w:color="000000" w:sz="2" w:space="0"/>
              <w:right w:val="single" w:color="000000" w:sz="8" w:space="0"/>
            </w:tcBorders>
            <w:noWrap w:val="0"/>
            <w:vAlign w:val="center"/>
          </w:tcPr>
          <w:p w14:paraId="704C1E8B">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中标服务费</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612CF444">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☐无。</w:t>
            </w:r>
          </w:p>
          <w:p w14:paraId="4205A1B6">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☐中标人向采购代理机构支付中标服务费</w:t>
            </w:r>
            <w:r>
              <w:rPr>
                <w:rFonts w:hint="eastAsia" w:ascii="仿宋" w:hAnsi="仿宋" w:eastAsia="仿宋"/>
                <w:bCs/>
                <w:color w:val="000000"/>
                <w:szCs w:val="21"/>
                <w:u w:val="single"/>
              </w:rPr>
              <w:t xml:space="preserve">      </w:t>
            </w:r>
            <w:r>
              <w:rPr>
                <w:rFonts w:hint="eastAsia" w:ascii="仿宋" w:hAnsi="仿宋" w:eastAsia="仿宋"/>
                <w:bCs/>
                <w:color w:val="000000"/>
                <w:szCs w:val="21"/>
              </w:rPr>
              <w:t>元。</w:t>
            </w:r>
          </w:p>
          <w:p w14:paraId="4AD372E2">
            <w:pPr>
              <w:spacing w:line="400" w:lineRule="exact"/>
              <w:jc w:val="left"/>
              <w:rPr>
                <w:rFonts w:hint="eastAsia" w:ascii="仿宋" w:hAnsi="仿宋" w:eastAsia="仿宋" w:cs="仿宋"/>
                <w:snapToGrid w:val="0"/>
                <w:kern w:val="28"/>
                <w:szCs w:val="21"/>
              </w:rPr>
            </w:pPr>
            <w:r>
              <w:rPr>
                <w:rFonts w:hint="eastAsia" w:ascii="仿宋" w:hAnsi="仿宋" w:eastAsia="仿宋"/>
                <w:bCs/>
                <w:color w:val="000000"/>
                <w:szCs w:val="21"/>
              </w:rPr>
              <w:sym w:font="Wingdings" w:char="00FE"/>
            </w:r>
            <w:r>
              <w:rPr>
                <w:rFonts w:hint="eastAsia" w:ascii="仿宋" w:hAnsi="仿宋" w:eastAsia="仿宋"/>
                <w:bCs/>
                <w:color w:val="000000"/>
                <w:szCs w:val="21"/>
              </w:rPr>
              <w:t>根据国家发改委发改办价格[2003]857号通知和原国家计委计价格[2002]1980号文件规定的</w:t>
            </w:r>
            <w:r>
              <w:rPr>
                <w:rFonts w:hint="eastAsia" w:ascii="仿宋" w:hAnsi="仿宋" w:eastAsia="仿宋"/>
                <w:bCs/>
                <w:color w:val="000000"/>
                <w:szCs w:val="21"/>
                <w:u w:val="single"/>
              </w:rPr>
              <w:t>服务</w:t>
            </w:r>
            <w:r>
              <w:rPr>
                <w:rFonts w:hint="eastAsia" w:ascii="仿宋" w:hAnsi="仿宋" w:eastAsia="仿宋"/>
                <w:bCs/>
                <w:color w:val="000000"/>
                <w:szCs w:val="21"/>
              </w:rPr>
              <w:t>招标费率标准收取中标服务费，按照中标通知书确定的</w:t>
            </w:r>
            <w:r>
              <w:rPr>
                <w:rFonts w:hint="eastAsia" w:ascii="仿宋" w:hAnsi="仿宋" w:eastAsia="仿宋"/>
                <w:bCs/>
                <w:color w:val="000000"/>
                <w:szCs w:val="21"/>
                <w:lang w:val="en-US" w:eastAsia="zh-CN"/>
              </w:rPr>
              <w:t>中标价</w:t>
            </w:r>
            <w:r>
              <w:rPr>
                <w:rFonts w:hint="eastAsia" w:ascii="仿宋" w:hAnsi="仿宋" w:eastAsia="仿宋"/>
                <w:bCs/>
                <w:color w:val="000000"/>
                <w:szCs w:val="21"/>
              </w:rPr>
              <w:t>，向中标供应商收取中标服务费。中标通知书发出后5个工作日内，中标人向采购代理机构支付中标服务费。</w:t>
            </w:r>
          </w:p>
        </w:tc>
      </w:tr>
      <w:tr w14:paraId="160EB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49DC5F8E">
            <w:pPr>
              <w:snapToGrid w:val="0"/>
              <w:spacing w:line="400" w:lineRule="exact"/>
              <w:jc w:val="center"/>
              <w:rPr>
                <w:rFonts w:hint="eastAsia" w:ascii="仿宋" w:hAnsi="仿宋" w:eastAsia="仿宋" w:cs="仿宋"/>
                <w:szCs w:val="21"/>
              </w:rPr>
            </w:pPr>
            <w:r>
              <w:rPr>
                <w:rFonts w:hint="eastAsia" w:ascii="仿宋" w:hAnsi="仿宋" w:eastAsia="仿宋" w:cs="仿宋"/>
                <w:szCs w:val="21"/>
              </w:rPr>
              <w:t>14</w:t>
            </w:r>
          </w:p>
        </w:tc>
        <w:tc>
          <w:tcPr>
            <w:tcW w:w="1139" w:type="dxa"/>
            <w:tcBorders>
              <w:top w:val="single" w:color="000000" w:sz="8" w:space="0"/>
              <w:left w:val="single" w:color="000000" w:sz="2" w:space="0"/>
              <w:bottom w:val="single" w:color="000000" w:sz="8" w:space="0"/>
              <w:right w:val="single" w:color="000000" w:sz="8" w:space="0"/>
            </w:tcBorders>
            <w:noWrap w:val="0"/>
            <w:vAlign w:val="center"/>
          </w:tcPr>
          <w:p w14:paraId="270765A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特别说明</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2A7231B4">
            <w:pPr>
              <w:spacing w:line="400" w:lineRule="exact"/>
              <w:jc w:val="left"/>
              <w:rPr>
                <w:rFonts w:hint="eastAsia" w:ascii="仿宋" w:hAnsi="仿宋" w:eastAsia="仿宋" w:cs="仿宋"/>
                <w:snapToGrid w:val="0"/>
                <w:kern w:val="28"/>
                <w:szCs w:val="21"/>
              </w:rPr>
            </w:pPr>
            <w:r>
              <w:rPr>
                <w:rFonts w:hint="eastAsia" w:ascii="仿宋" w:hAnsi="仿宋" w:eastAsia="仿宋"/>
                <w:bCs/>
                <w:color w:val="000000"/>
                <w:szCs w:val="21"/>
              </w:rPr>
              <w:sym w:font="Wingdings" w:char="00FE"/>
            </w:r>
            <w:r>
              <w:rPr>
                <w:rFonts w:hint="eastAsia" w:ascii="仿宋" w:hAnsi="仿宋" w:eastAsia="仿宋"/>
                <w:bCs/>
                <w:color w:val="000000"/>
                <w:szCs w:val="21"/>
              </w:rPr>
              <w:t>公益一类事业单位不属于政府购买服务的承接主体，不得参与承接政府购买服务。</w:t>
            </w:r>
          </w:p>
        </w:tc>
      </w:tr>
      <w:tr w14:paraId="74056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580FD22F">
            <w:pPr>
              <w:snapToGrid w:val="0"/>
              <w:spacing w:line="400" w:lineRule="exact"/>
              <w:jc w:val="center"/>
              <w:rPr>
                <w:rFonts w:ascii="仿宋" w:hAnsi="仿宋" w:eastAsia="仿宋" w:cs="仿宋"/>
                <w:szCs w:val="21"/>
              </w:rPr>
            </w:pPr>
            <w:r>
              <w:rPr>
                <w:rFonts w:hint="eastAsia" w:ascii="仿宋" w:hAnsi="仿宋" w:eastAsia="仿宋" w:cs="仿宋"/>
                <w:szCs w:val="21"/>
              </w:rPr>
              <w:t>15</w:t>
            </w:r>
          </w:p>
        </w:tc>
        <w:tc>
          <w:tcPr>
            <w:tcW w:w="1139" w:type="dxa"/>
            <w:tcBorders>
              <w:top w:val="single" w:color="000000" w:sz="8" w:space="0"/>
              <w:left w:val="single" w:color="000000" w:sz="2" w:space="0"/>
              <w:bottom w:val="single" w:color="000000" w:sz="8" w:space="0"/>
              <w:right w:val="single" w:color="000000" w:sz="8" w:space="0"/>
            </w:tcBorders>
            <w:noWrap w:val="0"/>
            <w:vAlign w:val="center"/>
          </w:tcPr>
          <w:p w14:paraId="2AD7D553">
            <w:pPr>
              <w:snapToGrid w:val="0"/>
              <w:spacing w:line="400" w:lineRule="exact"/>
              <w:jc w:val="center"/>
              <w:rPr>
                <w:rFonts w:ascii="仿宋" w:hAnsi="仿宋" w:eastAsia="仿宋" w:cs="仿宋"/>
                <w:b/>
                <w:szCs w:val="21"/>
              </w:rPr>
            </w:pPr>
            <w:r>
              <w:rPr>
                <w:rFonts w:hint="eastAsia" w:ascii="仿宋" w:hAnsi="仿宋" w:eastAsia="仿宋"/>
                <w:b/>
                <w:color w:val="000000"/>
                <w:szCs w:val="21"/>
              </w:rPr>
              <w:t>关于联合体投标的说明</w:t>
            </w:r>
          </w:p>
        </w:tc>
        <w:tc>
          <w:tcPr>
            <w:tcW w:w="7176" w:type="dxa"/>
            <w:tcBorders>
              <w:top w:val="single" w:color="000000" w:sz="8" w:space="0"/>
              <w:left w:val="single" w:color="000000" w:sz="2" w:space="0"/>
              <w:bottom w:val="single" w:color="000000" w:sz="8" w:space="0"/>
              <w:right w:val="single" w:color="000000" w:sz="8" w:space="0"/>
            </w:tcBorders>
            <w:noWrap w:val="0"/>
            <w:vAlign w:val="center"/>
          </w:tcPr>
          <w:p w14:paraId="6C295047">
            <w:pPr>
              <w:spacing w:line="400" w:lineRule="exact"/>
              <w:jc w:val="left"/>
            </w:pPr>
            <w:r>
              <w:rPr>
                <w:rFonts w:hint="eastAsia" w:ascii="仿宋" w:hAnsi="仿宋" w:eastAsia="仿宋"/>
                <w:bCs/>
                <w:color w:val="000000"/>
                <w:szCs w:val="21"/>
              </w:rPr>
              <w:t>若联合体投标的，联合体牵头人必须为中小企业；另除招标文件有约定外，投标人（供应商）均指联合体各方。</w:t>
            </w:r>
          </w:p>
        </w:tc>
      </w:tr>
    </w:tbl>
    <w:p w14:paraId="5A5372ED">
      <w:pPr>
        <w:snapToGrid w:val="0"/>
        <w:spacing w:line="360" w:lineRule="auto"/>
        <w:jc w:val="center"/>
        <w:rPr>
          <w:rFonts w:hint="eastAsia" w:ascii="仿宋" w:hAnsi="仿宋" w:eastAsia="仿宋" w:cs="仿宋"/>
          <w:b/>
          <w:sz w:val="32"/>
          <w:szCs w:val="20"/>
        </w:rPr>
      </w:pPr>
    </w:p>
    <w:bookmarkEnd w:id="10"/>
    <w:p w14:paraId="17724BE7">
      <w:pPr>
        <w:spacing w:before="120" w:beforeLines="50" w:after="120" w:afterLines="50" w:line="360" w:lineRule="auto"/>
        <w:jc w:val="center"/>
        <w:outlineLvl w:val="0"/>
        <w:rPr>
          <w:rFonts w:hint="eastAsia" w:ascii="仿宋" w:hAnsi="仿宋" w:eastAsia="仿宋" w:cs="仿宋"/>
          <w:b/>
          <w:sz w:val="32"/>
          <w:szCs w:val="20"/>
        </w:rPr>
      </w:pPr>
      <w:bookmarkStart w:id="11" w:name="第三部分"/>
      <w:bookmarkStart w:id="12" w:name="_Toc164416483"/>
      <w:r>
        <w:rPr>
          <w:rFonts w:ascii="仿宋" w:hAnsi="仿宋" w:eastAsia="仿宋" w:cs="仿宋"/>
          <w:b/>
          <w:sz w:val="32"/>
          <w:szCs w:val="20"/>
        </w:rPr>
        <w:br w:type="page"/>
      </w:r>
      <w:r>
        <w:rPr>
          <w:rFonts w:hint="eastAsia" w:ascii="仿宋" w:hAnsi="仿宋" w:eastAsia="仿宋" w:cs="仿宋"/>
          <w:b/>
          <w:sz w:val="32"/>
          <w:szCs w:val="20"/>
        </w:rPr>
        <w:t>一、总则</w:t>
      </w:r>
    </w:p>
    <w:p w14:paraId="0C9ADDE5">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适用范围</w:t>
      </w:r>
    </w:p>
    <w:p w14:paraId="7577268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E4ABD34">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定义</w:t>
      </w:r>
    </w:p>
    <w:p w14:paraId="586D1AA4">
      <w:pPr>
        <w:spacing w:line="360" w:lineRule="auto"/>
        <w:ind w:firstLine="480" w:firstLineChars="200"/>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4A362ADF">
      <w:pPr>
        <w:spacing w:line="360" w:lineRule="auto"/>
        <w:ind w:firstLine="480" w:firstLineChars="200"/>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5B80DAA4">
      <w:pPr>
        <w:spacing w:line="360" w:lineRule="auto"/>
        <w:ind w:firstLine="480" w:firstLineChars="200"/>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kern w:val="0"/>
          <w:sz w:val="24"/>
          <w:lang w:val="zh-CN"/>
        </w:rPr>
        <w:t>供应商</w:t>
      </w:r>
      <w:r>
        <w:rPr>
          <w:rFonts w:hint="eastAsia" w:ascii="仿宋" w:hAnsi="仿宋" w:eastAsia="仿宋" w:cs="仿宋"/>
          <w:sz w:val="24"/>
        </w:rPr>
        <w:t>”系指响应招标、参加投标竞争的法人、其他组织或者自然人。</w:t>
      </w:r>
    </w:p>
    <w:p w14:paraId="336FF083">
      <w:pPr>
        <w:spacing w:line="360" w:lineRule="auto"/>
        <w:ind w:firstLine="480" w:firstLineChars="200"/>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363F707E">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AC79CB4">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2FD08501">
      <w:pPr>
        <w:spacing w:line="360" w:lineRule="auto"/>
        <w:ind w:firstLine="480" w:firstLineChars="200"/>
        <w:rPr>
          <w:rFonts w:hint="eastAsia" w:ascii="仿宋" w:hAnsi="仿宋" w:eastAsia="仿宋" w:cs="仿宋"/>
          <w:sz w:val="24"/>
        </w:rPr>
      </w:pPr>
      <w:r>
        <w:rPr>
          <w:rFonts w:hint="eastAsia" w:ascii="仿宋" w:hAnsi="仿宋" w:eastAsia="仿宋" w:cs="仿宋"/>
          <w:sz w:val="24"/>
        </w:rPr>
        <w:t>2.7“▲”系指实质性要求条款；“</w:t>
      </w:r>
      <w:r>
        <w:rPr>
          <w:rFonts w:ascii="Wingdings" w:hAnsi="Wingdings" w:eastAsia="仿宋" w:cs="仿宋"/>
          <w:kern w:val="0"/>
          <w:sz w:val="24"/>
        </w:rPr>
        <w:t></w:t>
      </w:r>
      <w:r>
        <w:rPr>
          <w:rFonts w:hint="eastAsia" w:ascii="仿宋" w:hAnsi="仿宋" w:eastAsia="仿宋" w:cs="仿宋"/>
          <w:sz w:val="24"/>
        </w:rPr>
        <w:t>”系指适用本项目的要求；“</w:t>
      </w:r>
      <w:r>
        <w:rPr>
          <w:rFonts w:hint="eastAsia" w:ascii="仿宋" w:hAnsi="仿宋" w:eastAsia="仿宋" w:cs="仿宋"/>
          <w:kern w:val="0"/>
          <w:sz w:val="24"/>
        </w:rPr>
        <w:t>☐</w:t>
      </w:r>
      <w:r>
        <w:rPr>
          <w:rFonts w:hint="eastAsia" w:ascii="仿宋" w:hAnsi="仿宋" w:eastAsia="仿宋" w:cs="仿宋"/>
          <w:sz w:val="24"/>
        </w:rPr>
        <w:t>”系指不适用本项目的要求。</w:t>
      </w:r>
    </w:p>
    <w:p w14:paraId="675375CD">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采购项目需要落实的政府采购政策</w:t>
      </w:r>
    </w:p>
    <w:p w14:paraId="61B6FD30">
      <w:pPr>
        <w:spacing w:line="360" w:lineRule="auto"/>
        <w:ind w:firstLine="480" w:firstLineChars="200"/>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3374B7E">
      <w:pPr>
        <w:spacing w:line="360" w:lineRule="auto"/>
        <w:ind w:firstLine="480" w:firstLineChars="200"/>
        <w:rPr>
          <w:rFonts w:hint="eastAsia" w:ascii="仿宋" w:hAnsi="仿宋" w:eastAsia="仿宋" w:cs="仿宋"/>
          <w:sz w:val="24"/>
        </w:rPr>
      </w:pPr>
      <w:r>
        <w:rPr>
          <w:rFonts w:hint="eastAsia" w:ascii="仿宋" w:hAnsi="仿宋" w:eastAsia="仿宋" w:cs="仿宋"/>
          <w:sz w:val="24"/>
        </w:rPr>
        <w:t>3.2支持绿色发展</w:t>
      </w:r>
    </w:p>
    <w:p w14:paraId="78F9B486">
      <w:pPr>
        <w:spacing w:line="360" w:lineRule="auto"/>
        <w:ind w:firstLine="480" w:firstLineChars="200"/>
        <w:rPr>
          <w:rFonts w:hint="eastAsia" w:ascii="仿宋" w:hAnsi="仿宋" w:eastAsia="仿宋" w:cs="仿宋"/>
          <w:b/>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kern w:val="0"/>
          <w:sz w:val="24"/>
          <w:lang w:val="zh-CN"/>
        </w:rPr>
        <w:t>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采购人拟采购的产品属于政府强制采购的节能产品品目清单范围的，供应商未按招标文件要求提供国家确定的认证机构出具的、处于有效期之内的节能产品认证证书的，投标无效。（本项目不适用）</w:t>
      </w:r>
    </w:p>
    <w:p w14:paraId="63131A39">
      <w:pPr>
        <w:spacing w:line="360" w:lineRule="auto"/>
        <w:ind w:firstLine="480" w:firstLineChars="200"/>
        <w:rPr>
          <w:rFonts w:hint="eastAsia" w:ascii="仿宋" w:hAnsi="仿宋" w:eastAsia="仿宋" w:cs="仿宋"/>
          <w:sz w:val="24"/>
        </w:rPr>
      </w:pPr>
      <w:r>
        <w:rPr>
          <w:rFonts w:hint="eastAsia" w:ascii="仿宋" w:hAnsi="仿宋" w:eastAsia="仿宋" w:cs="仿宋"/>
          <w:sz w:val="24"/>
        </w:rPr>
        <w:t>3.3支持中小企业发展</w:t>
      </w:r>
    </w:p>
    <w:p w14:paraId="2B972AB7">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A8870A">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69DC08E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val="zh-CN"/>
        </w:rPr>
        <w:t>供应商</w:t>
      </w:r>
      <w:r>
        <w:rPr>
          <w:rFonts w:hint="eastAsia" w:ascii="仿宋" w:hAnsi="仿宋" w:eastAsia="仿宋" w:cs="仿宋"/>
          <w:kern w:val="0"/>
          <w:sz w:val="24"/>
        </w:rPr>
        <w:t>提供的货物、工程或者服务符合下列情形的，享受中小企业扶持政策：</w:t>
      </w:r>
    </w:p>
    <w:p w14:paraId="24B7C0F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1C6587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AE07F5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w:t>
      </w:r>
      <w:r>
        <w:rPr>
          <w:rFonts w:hint="eastAsia" w:ascii="仿宋" w:hAnsi="仿宋" w:eastAsia="仿宋" w:cs="仿宋"/>
          <w:kern w:val="0"/>
          <w:sz w:val="24"/>
          <w:lang w:val="en-US" w:eastAsia="zh-CN"/>
        </w:rPr>
        <w:t>合同法</w:t>
      </w:r>
      <w:r>
        <w:rPr>
          <w:rFonts w:hint="eastAsia" w:ascii="仿宋" w:hAnsi="仿宋" w:eastAsia="仿宋" w:cs="仿宋"/>
          <w:kern w:val="0"/>
          <w:sz w:val="24"/>
        </w:rPr>
        <w:t>》订立劳动合同的从业人员。</w:t>
      </w:r>
    </w:p>
    <w:p w14:paraId="5DA4E69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val="zh-CN"/>
        </w:rPr>
        <w:t>供应商</w:t>
      </w:r>
      <w:r>
        <w:rPr>
          <w:rFonts w:hint="eastAsia" w:ascii="仿宋" w:hAnsi="仿宋" w:eastAsia="仿宋" w:cs="仿宋"/>
          <w:kern w:val="0"/>
          <w:sz w:val="24"/>
        </w:rPr>
        <w:t>提供的货物既有中小企业制造货物，也有大型企业制造货物的，不享受中小企业扶持政策。</w:t>
      </w:r>
    </w:p>
    <w:p w14:paraId="5B160B2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690FA9D1">
      <w:p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val="0"/>
          <w:bCs w:val="0"/>
          <w:color w:val="auto"/>
          <w:sz w:val="24"/>
          <w:highlight w:val="none"/>
          <w:lang w:val="en-US" w:eastAsia="zh-CN"/>
        </w:rPr>
        <w:t>10</w:t>
      </w:r>
      <w:r>
        <w:rPr>
          <w:rFonts w:hint="eastAsia" w:ascii="仿宋" w:hAnsi="仿宋" w:eastAsia="仿宋" w:cs="仿宋"/>
          <w:b w:val="0"/>
          <w:bCs w:val="0"/>
          <w:color w:val="auto"/>
          <w:sz w:val="24"/>
          <w:highlight w:val="none"/>
        </w:rPr>
        <w:t>%的</w:t>
      </w:r>
      <w:r>
        <w:rPr>
          <w:rFonts w:hint="eastAsia" w:ascii="仿宋" w:hAnsi="仿宋" w:eastAsia="仿宋" w:cs="仿宋"/>
          <w:b w:val="0"/>
          <w:bCs w:val="0"/>
          <w:color w:val="auto"/>
          <w:sz w:val="24"/>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w:t>
      </w:r>
      <w:r>
        <w:rPr>
          <w:rFonts w:hint="eastAsia" w:ascii="仿宋" w:hAnsi="仿宋" w:eastAsia="仿宋" w:cs="仿宋"/>
          <w:b w:val="0"/>
          <w:bCs w:val="0"/>
          <w:color w:val="auto"/>
          <w:sz w:val="24"/>
          <w:highlight w:val="none"/>
        </w:rPr>
        <w:t>额30%以</w:t>
      </w:r>
      <w:r>
        <w:rPr>
          <w:rFonts w:hint="eastAsia" w:ascii="仿宋" w:hAnsi="仿宋" w:eastAsia="仿宋" w:cs="仿宋"/>
          <w:b w:val="0"/>
          <w:bCs w:val="0"/>
          <w:color w:val="auto"/>
          <w:sz w:val="24"/>
        </w:rPr>
        <w:t>上的，对联合体或者大中型企业的报价给予</w:t>
      </w:r>
      <w:r>
        <w:rPr>
          <w:rFonts w:hint="eastAsia" w:ascii="仿宋" w:hAnsi="仿宋" w:eastAsia="仿宋" w:cs="仿宋"/>
          <w:b w:val="0"/>
          <w:bCs w:val="0"/>
          <w:color w:val="auto"/>
          <w:sz w:val="24"/>
          <w:lang w:eastAsia="zh-CN"/>
        </w:rPr>
        <w:t>4</w:t>
      </w:r>
      <w:r>
        <w:rPr>
          <w:rFonts w:hint="eastAsia" w:ascii="仿宋" w:hAnsi="仿宋" w:eastAsia="仿宋" w:cs="仿宋"/>
          <w:b w:val="0"/>
          <w:bCs w:val="0"/>
          <w:color w:val="auto"/>
          <w:sz w:val="24"/>
        </w:rPr>
        <w:t>%的扣除，用扣除后的价格参加评审。组成联合体或者接受分包的小微企业与联合体内其他企业、分包企业之间存在直接控股、管理关系的，不享受价格扣除优惠政策。</w:t>
      </w:r>
    </w:p>
    <w:p w14:paraId="42CCC43E">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3.3.4符合《关于促进残疾人就业政府采购政策的通知》（财库〔2017〕141号）规定的条件并提供《残疾人福利性单位声明函》的残疾人福利性单位视同小型、微型企业。</w:t>
      </w:r>
    </w:p>
    <w:p w14:paraId="59B3B0A8">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78B000">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kern w:val="0"/>
          <w:sz w:val="24"/>
          <w:lang w:val="zh-CN"/>
        </w:rPr>
        <w:t>供应商</w:t>
      </w:r>
      <w:r>
        <w:rPr>
          <w:rFonts w:hint="eastAsia" w:ascii="仿宋" w:hAnsi="仿宋" w:eastAsia="仿宋" w:cs="仿宋"/>
          <w:sz w:val="24"/>
        </w:rPr>
        <w:t>应按照招标文件格式要求提供《中小企业声明函》，</w:t>
      </w:r>
      <w:r>
        <w:rPr>
          <w:rFonts w:hint="eastAsia" w:ascii="仿宋" w:hAnsi="仿宋" w:eastAsia="仿宋" w:cs="仿宋"/>
          <w:kern w:val="0"/>
          <w:sz w:val="24"/>
          <w:lang w:val="zh-CN"/>
        </w:rPr>
        <w:t>供应商</w:t>
      </w:r>
      <w:r>
        <w:rPr>
          <w:rFonts w:hint="eastAsia" w:ascii="仿宋" w:hAnsi="仿宋" w:eastAsia="仿宋" w:cs="仿宋"/>
          <w:sz w:val="24"/>
        </w:rPr>
        <w:t>提供的《中小企业声明函》与实际情况不符的，不享受中小企业扶持政策。声明内容不实的，属于提供虚假材料谋取中标、成交的，依法承担法律责任。</w:t>
      </w:r>
    </w:p>
    <w:p w14:paraId="5A41E44C">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7A2E955E">
      <w:pPr>
        <w:spacing w:line="360" w:lineRule="auto"/>
        <w:ind w:firstLine="480" w:firstLineChars="200"/>
        <w:rPr>
          <w:rFonts w:hint="eastAsia" w:ascii="仿宋" w:hAnsi="仿宋" w:eastAsia="仿宋" w:cs="仿宋"/>
          <w:sz w:val="24"/>
        </w:rPr>
      </w:pPr>
      <w:r>
        <w:rPr>
          <w:rFonts w:hint="eastAsia" w:ascii="仿宋" w:hAnsi="仿宋" w:eastAsia="仿宋" w:cs="仿宋"/>
          <w:sz w:val="24"/>
        </w:rPr>
        <w:t>3.4支持创新发展</w:t>
      </w:r>
    </w:p>
    <w:p w14:paraId="033B2E21">
      <w:pPr>
        <w:spacing w:line="360" w:lineRule="auto"/>
        <w:ind w:firstLine="480" w:firstLineChars="200"/>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26396B3E">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8713BB0">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特别说明</w:t>
      </w:r>
    </w:p>
    <w:p w14:paraId="22FAB28D">
      <w:pPr>
        <w:spacing w:line="360" w:lineRule="auto"/>
        <w:ind w:firstLine="480" w:firstLineChars="200"/>
        <w:rPr>
          <w:rFonts w:hint="eastAsia" w:ascii="仿宋" w:hAnsi="仿宋" w:eastAsia="仿宋" w:cs="仿宋"/>
          <w:sz w:val="24"/>
        </w:rPr>
      </w:pPr>
      <w:r>
        <w:rPr>
          <w:rFonts w:hint="eastAsia" w:ascii="仿宋" w:hAnsi="仿宋" w:eastAsia="仿宋" w:cs="仿宋"/>
          <w:sz w:val="24"/>
        </w:rPr>
        <w:t>4.1关于分公司投标</w:t>
      </w:r>
    </w:p>
    <w:p w14:paraId="21B7E7D0">
      <w:pPr>
        <w:spacing w:line="360" w:lineRule="auto"/>
        <w:ind w:firstLine="480" w:firstLineChars="200"/>
        <w:rPr>
          <w:rFonts w:hint="eastAsia" w:ascii="仿宋" w:hAnsi="仿宋" w:eastAsia="仿宋" w:cs="仿宋"/>
          <w:sz w:val="24"/>
        </w:rPr>
      </w:pPr>
      <w:r>
        <w:rPr>
          <w:rFonts w:hint="eastAsia" w:ascii="仿宋" w:hAnsi="仿宋" w:eastAsia="仿宋" w:cs="仿宋"/>
          <w:sz w:val="24"/>
        </w:rPr>
        <w:t>除银行、保险、石油石化、电力、电信等特殊行业外。法人的分支机构由于不能独立承担民事责任，不能以分支机构的身份参加政府采购，只能以法人身份参加。</w:t>
      </w:r>
    </w:p>
    <w:p w14:paraId="4A7E2971">
      <w:pPr>
        <w:spacing w:line="360" w:lineRule="auto"/>
        <w:ind w:firstLine="480" w:firstLineChars="200"/>
        <w:rPr>
          <w:rFonts w:hint="eastAsia" w:ascii="仿宋" w:hAnsi="仿宋" w:eastAsia="仿宋" w:cs="仿宋"/>
          <w:sz w:val="24"/>
        </w:rPr>
      </w:pPr>
      <w:r>
        <w:rPr>
          <w:rFonts w:hint="eastAsia" w:ascii="仿宋" w:hAnsi="仿宋" w:eastAsia="仿宋" w:cs="仿宋"/>
          <w:sz w:val="24"/>
        </w:rPr>
        <w:t>4.2关于知识产权</w:t>
      </w:r>
    </w:p>
    <w:p w14:paraId="2211AED1">
      <w:pPr>
        <w:spacing w:line="360" w:lineRule="auto"/>
        <w:ind w:firstLine="480" w:firstLineChars="200"/>
        <w:rPr>
          <w:rFonts w:hint="eastAsia" w:ascii="仿宋" w:hAnsi="仿宋" w:eastAsia="仿宋" w:cs="仿宋"/>
          <w:sz w:val="24"/>
        </w:rPr>
      </w:pPr>
      <w:r>
        <w:rPr>
          <w:rFonts w:hint="eastAsia" w:ascii="仿宋" w:hAnsi="仿宋" w:eastAsia="仿宋" w:cs="仿宋"/>
          <w:sz w:val="24"/>
        </w:rPr>
        <w:t>4.2.1</w:t>
      </w:r>
      <w:r>
        <w:rPr>
          <w:rFonts w:hint="eastAsia" w:ascii="仿宋" w:hAnsi="仿宋" w:eastAsia="仿宋" w:cs="仿宋"/>
          <w:kern w:val="0"/>
          <w:sz w:val="24"/>
          <w:lang w:val="zh-CN"/>
        </w:rPr>
        <w:t>供应商</w:t>
      </w:r>
      <w:r>
        <w:rPr>
          <w:rFonts w:hint="eastAsia" w:ascii="仿宋" w:hAnsi="仿宋" w:eastAsia="仿宋" w:cs="仿宋"/>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lang w:val="zh-CN"/>
        </w:rPr>
        <w:t>供应商</w:t>
      </w:r>
      <w:r>
        <w:rPr>
          <w:rFonts w:hint="eastAsia" w:ascii="仿宋" w:hAnsi="仿宋" w:eastAsia="仿宋" w:cs="仿宋"/>
          <w:sz w:val="24"/>
        </w:rPr>
        <w:t>承担。</w:t>
      </w:r>
    </w:p>
    <w:p w14:paraId="2B6813DD">
      <w:pPr>
        <w:spacing w:line="360" w:lineRule="auto"/>
        <w:ind w:firstLine="480" w:firstLineChars="200"/>
        <w:rPr>
          <w:rFonts w:hint="eastAsia" w:ascii="仿宋" w:hAnsi="仿宋" w:eastAsia="仿宋" w:cs="仿宋"/>
          <w:sz w:val="24"/>
        </w:rPr>
      </w:pPr>
      <w:r>
        <w:rPr>
          <w:rFonts w:hint="eastAsia" w:ascii="仿宋" w:hAnsi="仿宋" w:eastAsia="仿宋" w:cs="仿宋"/>
          <w:sz w:val="24"/>
        </w:rPr>
        <w:t>4.2.2投标报价应包含所有应向所有权人支付的专利权、商标权或其它知识产权的一切相关费用。</w:t>
      </w:r>
    </w:p>
    <w:p w14:paraId="28BB2D2A">
      <w:pPr>
        <w:spacing w:line="360" w:lineRule="auto"/>
        <w:ind w:firstLine="480" w:firstLineChars="200"/>
        <w:rPr>
          <w:rFonts w:hint="eastAsia" w:ascii="仿宋" w:hAnsi="仿宋" w:eastAsia="仿宋" w:cs="仿宋"/>
          <w:sz w:val="24"/>
        </w:rPr>
      </w:pPr>
      <w:r>
        <w:rPr>
          <w:rFonts w:hint="eastAsia" w:ascii="仿宋" w:hAnsi="仿宋" w:eastAsia="仿宋" w:cs="仿宋"/>
          <w:sz w:val="24"/>
        </w:rPr>
        <w:t>4.2.3系统软件、通用软件必须是具有在中国境内的合法使用权或版权的正版软件，涉及到第三方提出侵权或知识产权的起诉及支付版税等费用由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lang w:val="zh-CN"/>
        </w:rPr>
        <w:t>供应商</w:t>
      </w:r>
      <w:r>
        <w:rPr>
          <w:rFonts w:hint="eastAsia" w:ascii="仿宋" w:hAnsi="仿宋" w:eastAsia="仿宋" w:cs="仿宋"/>
          <w:sz w:val="24"/>
        </w:rPr>
        <w:t>承担所有责任及费用。</w:t>
      </w:r>
    </w:p>
    <w:p w14:paraId="2D03C47E">
      <w:pPr>
        <w:spacing w:line="360" w:lineRule="auto"/>
        <w:ind w:firstLine="480" w:firstLineChars="200"/>
        <w:rPr>
          <w:rFonts w:hint="eastAsia" w:ascii="仿宋" w:hAnsi="仿宋" w:eastAsia="仿宋" w:cs="仿宋"/>
          <w:sz w:val="24"/>
        </w:rPr>
      </w:pPr>
      <w:r>
        <w:rPr>
          <w:rFonts w:hint="eastAsia" w:ascii="仿宋" w:hAnsi="仿宋" w:eastAsia="仿宋" w:cs="仿宋"/>
          <w:sz w:val="24"/>
        </w:rPr>
        <w:t>4.3</w:t>
      </w:r>
      <w:r>
        <w:rPr>
          <w:rFonts w:hint="eastAsia" w:ascii="仿宋" w:hAnsi="仿宋" w:eastAsia="仿宋" w:cs="仿宋"/>
          <w:kern w:val="0"/>
          <w:sz w:val="24"/>
          <w:lang w:val="zh-CN"/>
        </w:rPr>
        <w:t>供应商</w:t>
      </w:r>
      <w:r>
        <w:rPr>
          <w:rFonts w:hint="eastAsia" w:ascii="仿宋" w:hAnsi="仿宋" w:eastAsia="仿宋" w:cs="仿宋"/>
          <w:sz w:val="24"/>
        </w:rPr>
        <w:t>的风险</w:t>
      </w:r>
    </w:p>
    <w:p w14:paraId="3A8819ED">
      <w:pPr>
        <w:spacing w:line="360" w:lineRule="auto"/>
        <w:ind w:firstLine="480" w:firstLineChars="200"/>
        <w:rPr>
          <w:rFonts w:hint="eastAsia" w:ascii="仿宋" w:hAnsi="仿宋" w:eastAsia="仿宋" w:cs="仿宋"/>
          <w:sz w:val="24"/>
        </w:rPr>
      </w:pPr>
      <w:r>
        <w:rPr>
          <w:rFonts w:hint="eastAsia" w:ascii="仿宋" w:hAnsi="仿宋" w:eastAsia="仿宋" w:cs="仿宋"/>
          <w:sz w:val="24"/>
        </w:rPr>
        <w:t>4.3.1</w:t>
      </w:r>
      <w:r>
        <w:rPr>
          <w:rFonts w:hint="eastAsia" w:ascii="仿宋" w:hAnsi="仿宋" w:eastAsia="仿宋" w:cs="仿宋"/>
          <w:kern w:val="0"/>
          <w:sz w:val="24"/>
          <w:lang w:val="zh-CN"/>
        </w:rPr>
        <w:t>供应商</w:t>
      </w:r>
      <w:r>
        <w:rPr>
          <w:rFonts w:hint="eastAsia" w:ascii="仿宋" w:hAnsi="仿宋" w:eastAsia="仿宋" w:cs="仿宋"/>
          <w:sz w:val="24"/>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lang w:val="zh-CN"/>
        </w:rPr>
        <w:t>供应商</w:t>
      </w:r>
      <w:r>
        <w:rPr>
          <w:rFonts w:hint="eastAsia" w:ascii="仿宋" w:hAnsi="仿宋" w:eastAsia="仿宋" w:cs="仿宋"/>
          <w:sz w:val="24"/>
        </w:rPr>
        <w:t>承担，并对所提供的全部资料的真实性承担法律责任。</w:t>
      </w:r>
    </w:p>
    <w:p w14:paraId="6078A41A">
      <w:pPr>
        <w:spacing w:line="360" w:lineRule="auto"/>
        <w:ind w:firstLine="480" w:firstLineChars="200"/>
        <w:rPr>
          <w:rFonts w:hint="eastAsia" w:ascii="仿宋" w:hAnsi="仿宋" w:eastAsia="仿宋" w:cs="仿宋"/>
          <w:sz w:val="24"/>
        </w:rPr>
      </w:pPr>
      <w:r>
        <w:rPr>
          <w:rFonts w:hint="eastAsia" w:ascii="仿宋" w:hAnsi="仿宋" w:eastAsia="仿宋" w:cs="仿宋"/>
          <w:sz w:val="24"/>
        </w:rPr>
        <w:t>4.3.2无论因何种原因导致本次采购活动终止致</w:t>
      </w:r>
      <w:r>
        <w:rPr>
          <w:rFonts w:hint="eastAsia" w:ascii="仿宋" w:hAnsi="仿宋" w:eastAsia="仿宋" w:cs="仿宋"/>
          <w:kern w:val="0"/>
          <w:sz w:val="24"/>
          <w:lang w:val="zh-CN"/>
        </w:rPr>
        <w:t>供应商</w:t>
      </w:r>
      <w:r>
        <w:rPr>
          <w:rFonts w:hint="eastAsia" w:ascii="仿宋" w:hAnsi="仿宋" w:eastAsia="仿宋" w:cs="仿宋"/>
          <w:sz w:val="24"/>
        </w:rPr>
        <w:t>损失的，相关责任人均不承担任何责任。</w:t>
      </w:r>
    </w:p>
    <w:p w14:paraId="57E39F5F">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询问、质疑、投诉</w:t>
      </w:r>
    </w:p>
    <w:p w14:paraId="345DA6E6">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.1供应商询问</w:t>
      </w:r>
    </w:p>
    <w:p w14:paraId="675A21B4">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B571AF">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.2供应商质疑</w:t>
      </w:r>
    </w:p>
    <w:p w14:paraId="60C32430">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8DDC5AE">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E1DE989">
      <w:pPr>
        <w:spacing w:line="360" w:lineRule="auto"/>
        <w:ind w:firstLine="480" w:firstLineChars="200"/>
        <w:rPr>
          <w:rFonts w:hint="eastAsia" w:ascii="仿宋" w:hAnsi="仿宋" w:eastAsia="仿宋" w:cs="仿宋"/>
          <w:sz w:val="24"/>
        </w:rPr>
      </w:pPr>
      <w:r>
        <w:rPr>
          <w:rFonts w:hint="eastAsia" w:ascii="仿宋" w:hAnsi="仿宋" w:eastAsia="仿宋" w:cs="仿宋"/>
          <w:sz w:val="24"/>
        </w:rPr>
        <w:t>5.2.2.1对招标文件提出质疑的，质疑期限为供应商获得招标文件之日或者招标文件公告期限届满之日起计算。</w:t>
      </w:r>
    </w:p>
    <w:p w14:paraId="1AD3BC6A">
      <w:pPr>
        <w:spacing w:line="360" w:lineRule="auto"/>
        <w:ind w:firstLine="480" w:firstLineChars="200"/>
        <w:rPr>
          <w:rFonts w:hint="eastAsia" w:ascii="仿宋" w:hAnsi="仿宋" w:eastAsia="仿宋" w:cs="仿宋"/>
          <w:sz w:val="24"/>
        </w:rPr>
      </w:pPr>
      <w:r>
        <w:rPr>
          <w:rFonts w:hint="eastAsia" w:ascii="仿宋" w:hAnsi="仿宋" w:eastAsia="仿宋" w:cs="仿宋"/>
          <w:sz w:val="24"/>
        </w:rPr>
        <w:t>5.2.2.2对采购过程提出质疑的，质疑期限为各采购程序环节结束之日起计算。</w:t>
      </w:r>
    </w:p>
    <w:p w14:paraId="2BA33161">
      <w:pPr>
        <w:spacing w:line="360" w:lineRule="auto"/>
        <w:ind w:firstLine="480" w:firstLineChars="200"/>
        <w:rPr>
          <w:rFonts w:hint="eastAsia" w:ascii="仿宋" w:hAnsi="仿宋" w:eastAsia="仿宋" w:cs="仿宋"/>
          <w:sz w:val="24"/>
        </w:rPr>
      </w:pPr>
      <w:r>
        <w:rPr>
          <w:rFonts w:hint="eastAsia" w:ascii="仿宋" w:hAnsi="仿宋" w:eastAsia="仿宋" w:cs="仿宋"/>
          <w:sz w:val="24"/>
        </w:rPr>
        <w:t>5.2.2.3对采购结果提出质疑的，质疑期限自采购结果公告期限届满之日起计算。</w:t>
      </w:r>
    </w:p>
    <w:p w14:paraId="39702FC0">
      <w:pPr>
        <w:spacing w:line="360" w:lineRule="auto"/>
        <w:ind w:firstLine="480" w:firstLineChars="200"/>
        <w:rPr>
          <w:rFonts w:hint="eastAsia" w:ascii="仿宋" w:hAnsi="仿宋" w:eastAsia="仿宋" w:cs="仿宋"/>
          <w:sz w:val="24"/>
        </w:rPr>
      </w:pPr>
      <w:r>
        <w:rPr>
          <w:rFonts w:hint="eastAsia" w:ascii="仿宋" w:hAnsi="仿宋" w:eastAsia="仿宋" w:cs="仿宋"/>
          <w:sz w:val="24"/>
        </w:rPr>
        <w:t>5.2.2.4对同一采购程序环节的质疑，供应商须一次性提出。</w:t>
      </w:r>
    </w:p>
    <w:p w14:paraId="033684AB">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w:t>
      </w:r>
      <w:r>
        <w:rPr>
          <w:rFonts w:hint="eastAsia" w:ascii="仿宋" w:hAnsi="仿宋" w:eastAsia="仿宋" w:cs="仿宋"/>
          <w:sz w:val="24"/>
        </w:rPr>
        <w:t>供应商提出质疑应当提交质疑函和必要的证明材料。质疑函应当包括下列内容：</w:t>
      </w:r>
    </w:p>
    <w:p w14:paraId="4696CDF5">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.2.3.1供应商的姓名或者名称、地址、邮编、联系人及联系电话；</w:t>
      </w:r>
    </w:p>
    <w:p w14:paraId="2D9F990E">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.2.3.2质疑项目的名称、编号；</w:t>
      </w:r>
    </w:p>
    <w:p w14:paraId="2F139503">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.2.3.3具体、明确的质疑事项和与质疑事项相关的请求；</w:t>
      </w:r>
    </w:p>
    <w:p w14:paraId="08A0BFF2">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.2.3.4事实依据；</w:t>
      </w:r>
    </w:p>
    <w:p w14:paraId="2E0D4928">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.2.3.5必要的法律依据；</w:t>
      </w:r>
    </w:p>
    <w:p w14:paraId="053E3AA0">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.2.3.6提出质疑的日期。</w:t>
      </w:r>
    </w:p>
    <w:p w14:paraId="52AD6F8B">
      <w:pPr>
        <w:spacing w:line="360" w:lineRule="auto"/>
        <w:ind w:firstLine="480" w:firstLineChars="200"/>
        <w:rPr>
          <w:rFonts w:hint="eastAsia" w:ascii="仿宋" w:hAnsi="仿宋" w:eastAsia="仿宋" w:cs="仿宋"/>
          <w:sz w:val="24"/>
        </w:rPr>
      </w:pPr>
      <w:r>
        <w:rPr>
          <w:rFonts w:hint="eastAsia" w:ascii="仿宋" w:hAnsi="仿宋" w:eastAsia="仿宋" w:cs="仿宋"/>
          <w:sz w:val="24"/>
        </w:rPr>
        <w:t>5.2.3.7对招标文件提出质疑的需要提供在政采云平台获取招标文件的截图。</w:t>
      </w:r>
    </w:p>
    <w:p w14:paraId="5D0139BB">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2622AF56">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质疑函范本请到浙江政府采购网下载专区下载。</w:t>
      </w:r>
    </w:p>
    <w:p w14:paraId="2112C3A6">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9CE7A3B">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.5询问或者质疑事项可能影响采购结果的，采购人应当暂停签订合同，已经签订合同的，应当中止履行合同。</w:t>
      </w:r>
    </w:p>
    <w:p w14:paraId="3A0CC1AB">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.3供应商投诉</w:t>
      </w:r>
    </w:p>
    <w:p w14:paraId="3C670A27">
      <w:pPr>
        <w:spacing w:line="360" w:lineRule="auto"/>
        <w:ind w:firstLine="480" w:firstLineChars="200"/>
        <w:rPr>
          <w:rFonts w:hint="eastAsia" w:ascii="仿宋" w:hAnsi="仿宋" w:eastAsia="仿宋" w:cs="仿宋"/>
          <w:sz w:val="24"/>
        </w:rPr>
      </w:pPr>
      <w:r>
        <w:rPr>
          <w:rFonts w:hint="eastAsia" w:ascii="仿宋" w:hAnsi="仿宋" w:eastAsia="仿宋" w:cs="仿宋"/>
          <w:sz w:val="24"/>
        </w:rPr>
        <w:t>5.3.1质疑供应商对采购人、采购代理机构的答复不满意或者采购人、采购代理机构未在规定的时间内作出答复的，可以在答复期满后十五个工作日内向同级政府采购监督管理部门提出投诉。</w:t>
      </w:r>
    </w:p>
    <w:p w14:paraId="2086CC99">
      <w:pPr>
        <w:spacing w:line="360" w:lineRule="auto"/>
        <w:ind w:firstLine="480" w:firstLineChars="200"/>
        <w:rPr>
          <w:rFonts w:hint="eastAsia" w:ascii="仿宋" w:hAnsi="仿宋" w:eastAsia="仿宋" w:cs="仿宋"/>
          <w:sz w:val="24"/>
        </w:rPr>
      </w:pPr>
      <w:r>
        <w:rPr>
          <w:rFonts w:hint="eastAsia" w:ascii="仿宋" w:hAnsi="仿宋" w:eastAsia="仿宋" w:cs="仿宋"/>
          <w:sz w:val="24"/>
        </w:rPr>
        <w:t>5.3.</w:t>
      </w:r>
      <w:r>
        <w:rPr>
          <w:rFonts w:hint="eastAsia" w:ascii="仿宋" w:hAnsi="仿宋" w:eastAsia="仿宋" w:cs="仿宋"/>
          <w:sz w:val="24"/>
          <w:lang w:val="zh-CN"/>
        </w:rPr>
        <w:t>2</w:t>
      </w:r>
      <w:r>
        <w:rPr>
          <w:rFonts w:hint="eastAsia" w:ascii="仿宋" w:hAnsi="仿宋" w:eastAsia="仿宋" w:cs="仿宋"/>
          <w:sz w:val="24"/>
        </w:rPr>
        <w:t>供应商投诉的事项不得超出已质疑事项的范围，基于质疑答复内容提出的投诉事项除外。</w:t>
      </w:r>
    </w:p>
    <w:p w14:paraId="46B5C3A4">
      <w:pPr>
        <w:spacing w:line="360" w:lineRule="auto"/>
        <w:ind w:firstLine="480" w:firstLineChars="200"/>
        <w:rPr>
          <w:rFonts w:hint="eastAsia" w:ascii="仿宋" w:hAnsi="仿宋" w:eastAsia="仿宋" w:cs="仿宋"/>
          <w:sz w:val="24"/>
        </w:rPr>
      </w:pPr>
      <w:r>
        <w:rPr>
          <w:rFonts w:hint="eastAsia" w:ascii="仿宋" w:hAnsi="仿宋" w:eastAsia="仿宋" w:cs="仿宋"/>
          <w:sz w:val="24"/>
        </w:rPr>
        <w:t>5.3.3供应商投诉应当有明确的请求和必要的证明材料。</w:t>
      </w:r>
    </w:p>
    <w:p w14:paraId="2B04AA4B">
      <w:pPr>
        <w:spacing w:line="360" w:lineRule="auto"/>
        <w:ind w:firstLine="480" w:firstLineChars="200"/>
        <w:rPr>
          <w:rFonts w:hint="eastAsia" w:ascii="仿宋" w:hAnsi="仿宋" w:eastAsia="仿宋" w:cs="仿宋"/>
          <w:sz w:val="24"/>
        </w:rPr>
      </w:pPr>
      <w:r>
        <w:rPr>
          <w:rFonts w:hint="eastAsia" w:ascii="仿宋" w:hAnsi="仿宋" w:eastAsia="仿宋" w:cs="仿宋"/>
          <w:sz w:val="24"/>
        </w:rPr>
        <w:t>5.3.5以联合体形式参加政府采购活动的，其投诉应当由组成联合体的所有供应商共同提出。</w:t>
      </w:r>
    </w:p>
    <w:p w14:paraId="0448001E">
      <w:pPr>
        <w:spacing w:line="360" w:lineRule="auto"/>
        <w:ind w:firstLine="480" w:firstLineChars="200"/>
        <w:rPr>
          <w:rFonts w:hint="eastAsia" w:ascii="仿宋" w:hAnsi="仿宋" w:eastAsia="仿宋" w:cs="仿宋"/>
          <w:sz w:val="18"/>
          <w:szCs w:val="18"/>
        </w:rPr>
      </w:pPr>
      <w:r>
        <w:rPr>
          <w:rFonts w:hint="eastAsia" w:ascii="仿宋" w:hAnsi="仿宋" w:eastAsia="仿宋" w:cs="仿宋"/>
          <w:sz w:val="24"/>
        </w:rPr>
        <w:t>投诉书范本请到浙江政府采购网下载专区下载。</w:t>
      </w:r>
    </w:p>
    <w:p w14:paraId="3AD1F439">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3813989E">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招标文件的构成</w:t>
      </w:r>
    </w:p>
    <w:p w14:paraId="769B1FAD">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6.1招标文件包括下列文件及附件：</w:t>
      </w:r>
    </w:p>
    <w:p w14:paraId="208F9562">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6.1.1招标公告；</w:t>
      </w:r>
    </w:p>
    <w:p w14:paraId="3F53BA0B">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6.1.2</w:t>
      </w:r>
      <w:r>
        <w:rPr>
          <w:rFonts w:hint="eastAsia" w:ascii="仿宋" w:hAnsi="仿宋" w:eastAsia="仿宋" w:cs="仿宋"/>
          <w:sz w:val="24"/>
          <w:szCs w:val="24"/>
          <w:lang w:val="zh-CN"/>
        </w:rPr>
        <w:t>投标</w:t>
      </w:r>
      <w:r>
        <w:rPr>
          <w:rFonts w:hint="eastAsia" w:ascii="仿宋" w:hAnsi="仿宋" w:eastAsia="仿宋" w:cs="仿宋"/>
          <w:sz w:val="24"/>
          <w:szCs w:val="24"/>
        </w:rPr>
        <w:t>须知；</w:t>
      </w:r>
    </w:p>
    <w:p w14:paraId="1980785A">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6.1.3采购需求；</w:t>
      </w:r>
    </w:p>
    <w:p w14:paraId="44FD9C91">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6.1.4评标办法；</w:t>
      </w:r>
    </w:p>
    <w:p w14:paraId="1BB5A17C">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6.1.5政府采购合同文本；</w:t>
      </w:r>
    </w:p>
    <w:p w14:paraId="673926CB">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6.1.6应提交的有关格式范例。</w:t>
      </w:r>
    </w:p>
    <w:p w14:paraId="6C854BC7">
      <w:pPr>
        <w:spacing w:line="360" w:lineRule="auto"/>
        <w:ind w:firstLine="480" w:firstLineChars="200"/>
        <w:rPr>
          <w:rFonts w:hint="eastAsia" w:ascii="仿宋" w:hAnsi="仿宋" w:eastAsia="仿宋" w:cs="仿宋"/>
          <w:sz w:val="24"/>
        </w:rPr>
      </w:pPr>
      <w:r>
        <w:rPr>
          <w:rFonts w:hint="eastAsia" w:ascii="仿宋" w:hAnsi="仿宋" w:eastAsia="仿宋" w:cs="仿宋"/>
          <w:sz w:val="24"/>
        </w:rPr>
        <w:t>6.2与本项目有关的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0B59564">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招标文件的澄清、修改</w:t>
      </w:r>
    </w:p>
    <w:p w14:paraId="2144844B">
      <w:pPr>
        <w:spacing w:line="360" w:lineRule="auto"/>
        <w:ind w:firstLine="480" w:firstLineChars="200"/>
        <w:rPr>
          <w:rFonts w:hint="eastAsia" w:ascii="仿宋" w:hAnsi="仿宋" w:eastAsia="仿宋" w:cs="仿宋"/>
          <w:sz w:val="24"/>
        </w:rPr>
      </w:pPr>
      <w:r>
        <w:rPr>
          <w:rFonts w:hint="eastAsia" w:ascii="仿宋" w:hAnsi="仿宋" w:eastAsia="仿宋" w:cs="仿宋"/>
          <w:sz w:val="24"/>
        </w:rPr>
        <w:t>7.1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08041780">
      <w:pPr>
        <w:spacing w:line="360" w:lineRule="auto"/>
        <w:ind w:firstLine="480" w:firstLineChars="200"/>
        <w:rPr>
          <w:rFonts w:hint="eastAsia" w:ascii="仿宋" w:hAnsi="仿宋" w:eastAsia="仿宋" w:cs="仿宋"/>
          <w:sz w:val="24"/>
        </w:rPr>
      </w:pPr>
      <w:r>
        <w:rPr>
          <w:rFonts w:hint="eastAsia" w:ascii="仿宋" w:hAnsi="仿宋" w:eastAsia="仿宋" w:cs="仿宋"/>
          <w:sz w:val="24"/>
        </w:rPr>
        <w:t>7.2更正公告为招标文件的组成部分，一经在网站发布，视同已通知所有招标文件的收受人，不再采用其它方式传达相关信息， 若因未能及时了解到上述网站上发布的相关信息而导致的一切后果自行承担。</w:t>
      </w:r>
    </w:p>
    <w:p w14:paraId="5C043823">
      <w:pPr>
        <w:spacing w:line="360" w:lineRule="auto"/>
        <w:ind w:firstLine="480" w:firstLineChars="200"/>
        <w:rPr>
          <w:rFonts w:hint="eastAsia" w:ascii="仿宋" w:hAnsi="仿宋" w:eastAsia="仿宋" w:cs="仿宋"/>
          <w:sz w:val="24"/>
        </w:rPr>
      </w:pPr>
      <w:r>
        <w:rPr>
          <w:rFonts w:hint="eastAsia" w:ascii="仿宋" w:hAnsi="仿宋" w:eastAsia="仿宋" w:cs="仿宋"/>
          <w:sz w:val="24"/>
        </w:rPr>
        <w:t>7.3如更正公告有重新发布电子招标文件的，</w:t>
      </w:r>
      <w:r>
        <w:rPr>
          <w:rFonts w:hint="eastAsia" w:ascii="仿宋" w:hAnsi="仿宋" w:eastAsia="仿宋" w:cs="仿宋"/>
          <w:kern w:val="0"/>
          <w:sz w:val="24"/>
          <w:lang w:val="zh-CN"/>
        </w:rPr>
        <w:t>供应商</w:t>
      </w:r>
      <w:r>
        <w:rPr>
          <w:rFonts w:hint="eastAsia" w:ascii="仿宋" w:hAnsi="仿宋" w:eastAsia="仿宋" w:cs="仿宋"/>
          <w:sz w:val="24"/>
        </w:rPr>
        <w:t>应下载最新发布的电子招标文件制作投标文件。</w:t>
      </w:r>
    </w:p>
    <w:p w14:paraId="793FFE4D">
      <w:pPr>
        <w:spacing w:line="360" w:lineRule="auto"/>
        <w:ind w:firstLine="480" w:firstLineChars="200"/>
        <w:rPr>
          <w:rFonts w:hint="eastAsia" w:ascii="仿宋" w:hAnsi="仿宋" w:eastAsia="仿宋" w:cs="仿宋"/>
          <w:b/>
          <w:sz w:val="30"/>
          <w:szCs w:val="20"/>
        </w:rPr>
      </w:pPr>
      <w:r>
        <w:rPr>
          <w:rFonts w:hint="eastAsia" w:ascii="仿宋" w:hAnsi="仿宋" w:eastAsia="仿宋" w:cs="仿宋"/>
          <w:sz w:val="24"/>
        </w:rPr>
        <w:t>7.4已获取招标文件的潜在</w:t>
      </w:r>
      <w:r>
        <w:rPr>
          <w:rFonts w:hint="eastAsia" w:ascii="仿宋" w:hAnsi="仿宋" w:eastAsia="仿宋" w:cs="仿宋"/>
          <w:kern w:val="0"/>
          <w:sz w:val="24"/>
          <w:lang w:val="zh-CN"/>
        </w:rPr>
        <w:t>供应商</w:t>
      </w:r>
      <w:r>
        <w:rPr>
          <w:rFonts w:hint="eastAsia" w:ascii="仿宋" w:hAnsi="仿宋" w:eastAsia="仿宋" w:cs="仿宋"/>
          <w:sz w:val="24"/>
        </w:rPr>
        <w:t>，若有问题需要澄清，应于投标截止时间前，以书面形式向采购代理机构提出。</w:t>
      </w:r>
      <w:r>
        <w:rPr>
          <w:rFonts w:hint="eastAsia" w:ascii="仿宋" w:hAnsi="仿宋" w:eastAsia="仿宋" w:cs="仿宋"/>
          <w:kern w:val="0"/>
          <w:sz w:val="24"/>
          <w:lang w:val="zh-CN"/>
        </w:rPr>
        <w:t>供应商</w:t>
      </w:r>
      <w:r>
        <w:rPr>
          <w:rFonts w:hint="eastAsia" w:ascii="仿宋" w:hAnsi="仿宋" w:eastAsia="仿宋" w:cs="仿宋"/>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lang w:val="zh-CN"/>
        </w:rPr>
        <w:t>供应商</w:t>
      </w:r>
      <w:r>
        <w:rPr>
          <w:rFonts w:hint="eastAsia" w:ascii="仿宋" w:hAnsi="仿宋" w:eastAsia="仿宋" w:cs="仿宋"/>
          <w:sz w:val="24"/>
        </w:rPr>
        <w:t>。</w:t>
      </w:r>
    </w:p>
    <w:p w14:paraId="536509BD">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三、投标</w:t>
      </w:r>
    </w:p>
    <w:p w14:paraId="53E6B32B">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投标文件的语言</w:t>
      </w:r>
    </w:p>
    <w:p w14:paraId="19A16552">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kern w:val="0"/>
          <w:sz w:val="24"/>
          <w:lang w:val="zh-CN"/>
        </w:rPr>
        <w:t>供应商</w:t>
      </w:r>
      <w:r>
        <w:rPr>
          <w:rFonts w:hint="eastAsia" w:ascii="仿宋" w:hAnsi="仿宋" w:eastAsia="仿宋" w:cs="仿宋"/>
          <w:sz w:val="24"/>
        </w:rPr>
        <w:t>与采购有关的来往通知、函件和文件均应使用中文。</w:t>
      </w:r>
    </w:p>
    <w:p w14:paraId="287E9718">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投标文件的组成</w:t>
      </w:r>
    </w:p>
    <w:p w14:paraId="1D4FEB1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b/>
          <w:sz w:val="24"/>
        </w:rPr>
        <w:t>资格文件</w:t>
      </w:r>
      <w:r>
        <w:rPr>
          <w:rFonts w:hint="eastAsia" w:ascii="仿宋" w:hAnsi="仿宋" w:eastAsia="仿宋" w:cs="仿宋"/>
          <w:sz w:val="24"/>
        </w:rPr>
        <w:t>：</w:t>
      </w:r>
    </w:p>
    <w:p w14:paraId="49552AC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9.1.1有效的企业法人营业执照（或事业法人登记证）、其他组织（个体工商户）的营业执照或者民办非企业单位登记证书；（联合体投标的联合体各方均需提供）。</w:t>
      </w:r>
    </w:p>
    <w:p w14:paraId="7A03D02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9.1.2符合参加政府采购活动应当具备的一般条件的承诺函(格式见第六部分，联合体投标的联合体各方均需提供）。</w:t>
      </w:r>
    </w:p>
    <w:p w14:paraId="047405F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9.1.3落实政府采购政策需满足的资格要求</w:t>
      </w:r>
      <w:r>
        <w:rPr>
          <w:rFonts w:hint="eastAsia" w:ascii="仿宋" w:hAnsi="仿宋" w:eastAsia="仿宋" w:cs="仿宋"/>
          <w:sz w:val="24"/>
          <w:lang w:eastAsia="zh-CN"/>
        </w:rPr>
        <w:t>：</w:t>
      </w:r>
      <w:r>
        <w:rPr>
          <w:rFonts w:hint="eastAsia" w:ascii="仿宋" w:hAnsi="仿宋" w:eastAsia="仿宋" w:cs="仿宋"/>
          <w:sz w:val="24"/>
          <w:lang w:val="en-US" w:eastAsia="zh-CN"/>
        </w:rPr>
        <w:t>（如有）</w:t>
      </w:r>
      <w:r>
        <w:rPr>
          <w:rFonts w:hint="eastAsia" w:ascii="仿宋" w:hAnsi="仿宋" w:eastAsia="仿宋" w:cs="仿宋"/>
          <w:sz w:val="24"/>
        </w:rPr>
        <w:t>；</w:t>
      </w:r>
    </w:p>
    <w:p w14:paraId="37AA323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9.1.3.1中小企业声明函；</w:t>
      </w:r>
    </w:p>
    <w:p w14:paraId="60B92C2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9.1.3.2残疾人福利性单位声明函；</w:t>
      </w:r>
    </w:p>
    <w:p w14:paraId="36FF845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9.1.3.3监狱企业的证明文件；</w:t>
      </w:r>
    </w:p>
    <w:p w14:paraId="0170FA1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4</w:t>
      </w:r>
      <w:r>
        <w:rPr>
          <w:rFonts w:hint="eastAsia" w:ascii="仿宋" w:hAnsi="仿宋" w:eastAsia="仿宋" w:cs="仿宋"/>
          <w:sz w:val="24"/>
        </w:rPr>
        <w:t>联合协议（如有）；</w:t>
      </w:r>
    </w:p>
    <w:p w14:paraId="5ACD427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5</w:t>
      </w:r>
      <w:r>
        <w:rPr>
          <w:rFonts w:hint="eastAsia" w:ascii="仿宋" w:hAnsi="仿宋" w:eastAsia="仿宋" w:cs="仿宋"/>
          <w:sz w:val="24"/>
        </w:rPr>
        <w:t>分包意向协议（如有）；</w:t>
      </w:r>
    </w:p>
    <w:p w14:paraId="22CFDF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6</w:t>
      </w:r>
      <w:r>
        <w:rPr>
          <w:rFonts w:hint="eastAsia" w:ascii="仿宋" w:hAnsi="仿宋" w:eastAsia="仿宋" w:cs="仿宋"/>
          <w:sz w:val="24"/>
        </w:rPr>
        <w:t>本项目的特定资格要求（如有）。</w:t>
      </w:r>
    </w:p>
    <w:p w14:paraId="115699AF">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1808D1A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9.2.1符合性自查表；</w:t>
      </w:r>
    </w:p>
    <w:p w14:paraId="2AABBEA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9.2.2投标函；</w:t>
      </w:r>
    </w:p>
    <w:p w14:paraId="42D1367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9.2.3授权委托书或法定代表人（单位负责人、自然人本人）身份证明；</w:t>
      </w:r>
    </w:p>
    <w:p w14:paraId="4816D28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9.2.4供应商情况表；</w:t>
      </w:r>
    </w:p>
    <w:p w14:paraId="6E01EC0E">
      <w:pPr>
        <w:spacing w:line="348" w:lineRule="auto"/>
        <w:ind w:firstLine="480" w:firstLineChars="200"/>
        <w:jc w:val="left"/>
        <w:rPr>
          <w:rFonts w:hint="eastAsia" w:ascii="仿宋" w:hAnsi="仿宋" w:eastAsia="仿宋" w:cs="仿宋"/>
          <w:sz w:val="24"/>
        </w:rPr>
      </w:pPr>
      <w:r>
        <w:rPr>
          <w:rFonts w:hint="eastAsia" w:ascii="仿宋" w:hAnsi="仿宋" w:eastAsia="仿宋" w:cs="仿宋"/>
          <w:sz w:val="24"/>
        </w:rPr>
        <w:t>9.2.5评标标准相应的商务技术资料；</w:t>
      </w:r>
    </w:p>
    <w:p w14:paraId="7FA551F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9.2.6商务响应表；</w:t>
      </w:r>
    </w:p>
    <w:p w14:paraId="7A15849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9.2.7技术响应表；</w:t>
      </w:r>
    </w:p>
    <w:p w14:paraId="511E094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9.2.8同类业绩情况一览表；</w:t>
      </w:r>
    </w:p>
    <w:p w14:paraId="068C04F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9.2.9</w:t>
      </w:r>
      <w:r>
        <w:rPr>
          <w:rFonts w:hint="eastAsia" w:ascii="仿宋" w:hAnsi="仿宋" w:eastAsia="仿宋" w:cs="仿宋"/>
          <w:sz w:val="24"/>
          <w:lang w:val="zh-CN"/>
        </w:rPr>
        <w:t>政府采购供应商廉洁自律承诺书；</w:t>
      </w:r>
    </w:p>
    <w:p w14:paraId="30C38C8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9.2.10其他资料（如有）。</w:t>
      </w:r>
    </w:p>
    <w:p w14:paraId="6A854B78">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rPr>
        <w:t>9</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02BFF3B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9.3.1开标一览表；</w:t>
      </w:r>
    </w:p>
    <w:p w14:paraId="0144234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9.3.2投标报价明细表；</w:t>
      </w:r>
    </w:p>
    <w:p w14:paraId="7BC925D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3</w:t>
      </w:r>
      <w:r>
        <w:rPr>
          <w:rFonts w:hint="eastAsia" w:ascii="仿宋" w:hAnsi="仿宋" w:eastAsia="仿宋" w:cs="仿宋"/>
          <w:sz w:val="24"/>
        </w:rPr>
        <w:t>政府采购统计基础信息表；</w:t>
      </w:r>
    </w:p>
    <w:p w14:paraId="5C473F6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4</w:t>
      </w:r>
      <w:r>
        <w:rPr>
          <w:rFonts w:hint="eastAsia" w:ascii="仿宋" w:hAnsi="仿宋" w:eastAsia="仿宋" w:cs="仿宋"/>
          <w:sz w:val="24"/>
        </w:rPr>
        <w:t>其他资料（如有）。</w:t>
      </w:r>
    </w:p>
    <w:p w14:paraId="3A43679E">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投标文件的编制</w:t>
      </w:r>
    </w:p>
    <w:p w14:paraId="3E8FAA5F">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rPr>
        <w:t>未有规定格式的资料，</w:t>
      </w:r>
      <w:r>
        <w:rPr>
          <w:rFonts w:hint="eastAsia" w:ascii="仿宋" w:hAnsi="仿宋" w:eastAsia="仿宋" w:cs="仿宋"/>
          <w:kern w:val="0"/>
          <w:sz w:val="24"/>
          <w:lang w:val="zh-CN"/>
        </w:rPr>
        <w:t>供应商</w:t>
      </w:r>
      <w:r>
        <w:rPr>
          <w:rFonts w:hint="eastAsia" w:ascii="仿宋" w:hAnsi="仿宋" w:eastAsia="仿宋" w:cs="仿宋"/>
          <w:kern w:val="0"/>
          <w:sz w:val="24"/>
        </w:rPr>
        <w:t>应自行编制，但至少须包含9.投标文件组成中的内容。</w:t>
      </w:r>
      <w:r>
        <w:rPr>
          <w:rFonts w:hint="eastAsia" w:ascii="仿宋" w:hAnsi="仿宋" w:eastAsia="仿宋" w:cs="仿宋"/>
          <w:kern w:val="0"/>
          <w:sz w:val="24"/>
          <w:lang w:val="zh-CN"/>
        </w:rPr>
        <w:t>混乱的编排导致投标文件被误读或评标委员会查找不到有效文件是供应商的风险。</w:t>
      </w:r>
    </w:p>
    <w:p w14:paraId="44644D4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77379B53">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18BA0195">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投标文件的签署、盖章</w:t>
      </w:r>
    </w:p>
    <w:p w14:paraId="4A03D4AA">
      <w:pPr>
        <w:pStyle w:val="47"/>
        <w:snapToGrid w:val="0"/>
        <w:spacing w:before="0"/>
        <w:ind w:firstLine="480"/>
        <w:rPr>
          <w:rFonts w:hint="eastAsia" w:ascii="仿宋" w:hAnsi="仿宋" w:eastAsia="仿宋" w:cs="仿宋"/>
          <w:b/>
          <w:highlight w:val="none"/>
        </w:rPr>
      </w:pPr>
      <w:r>
        <w:rPr>
          <w:rFonts w:hint="eastAsia" w:ascii="仿宋" w:hAnsi="仿宋" w:eastAsia="仿宋" w:cs="仿宋"/>
          <w:szCs w:val="24"/>
        </w:rPr>
        <w:t>11.1投标文件按照招标文件第六部分格式要</w:t>
      </w:r>
      <w:r>
        <w:rPr>
          <w:rFonts w:hint="eastAsia" w:ascii="仿宋" w:hAnsi="仿宋" w:eastAsia="仿宋" w:cs="仿宋"/>
        </w:rPr>
        <w:t>求进行签署、盖章。</w:t>
      </w:r>
      <w:r>
        <w:rPr>
          <w:rFonts w:hint="eastAsia" w:ascii="仿宋" w:hAnsi="仿宋" w:eastAsia="仿宋" w:cs="仿宋"/>
          <w:b/>
        </w:rPr>
        <w:t>▲供应商的投标文件未按照招标文</w:t>
      </w:r>
      <w:r>
        <w:rPr>
          <w:rFonts w:hint="eastAsia" w:ascii="仿宋" w:hAnsi="仿宋" w:eastAsia="仿宋" w:cs="仿宋"/>
          <w:b/>
          <w:highlight w:val="none"/>
        </w:rPr>
        <w:t>件要求签署、盖章影响效力的，其投标无效。</w:t>
      </w:r>
    </w:p>
    <w:p w14:paraId="6EE6925A">
      <w:pPr>
        <w:pStyle w:val="47"/>
        <w:snapToGrid w:val="0"/>
        <w:spacing w:before="0"/>
        <w:ind w:firstLine="480"/>
        <w:rPr>
          <w:rFonts w:hint="eastAsia" w:ascii="仿宋" w:hAnsi="仿宋" w:eastAsia="仿宋" w:cs="仿宋"/>
        </w:rPr>
      </w:pPr>
      <w:r>
        <w:rPr>
          <w:rFonts w:hint="eastAsia" w:ascii="仿宋" w:hAnsi="仿宋" w:eastAsia="仿宋" w:cs="仿宋"/>
        </w:rPr>
        <w:t>11.2为确保网上操作合法、有效和安全，</w:t>
      </w:r>
      <w:r>
        <w:rPr>
          <w:rFonts w:hint="eastAsia" w:ascii="仿宋" w:hAnsi="仿宋" w:eastAsia="仿宋" w:cs="仿宋"/>
          <w:kern w:val="0"/>
          <w:lang w:val="zh-CN"/>
        </w:rPr>
        <w:t>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5B3A3DB5">
      <w:pPr>
        <w:pStyle w:val="47"/>
        <w:snapToGrid w:val="0"/>
        <w:spacing w:before="0"/>
        <w:ind w:firstLine="480"/>
        <w:rPr>
          <w:rFonts w:hint="eastAsia" w:ascii="仿宋" w:hAnsi="仿宋" w:eastAsia="仿宋" w:cs="仿宋"/>
          <w:szCs w:val="24"/>
        </w:rPr>
      </w:pPr>
      <w:r>
        <w:rPr>
          <w:rFonts w:hint="eastAsia" w:ascii="仿宋" w:hAnsi="仿宋" w:eastAsia="仿宋" w:cs="仿宋"/>
        </w:rPr>
        <w:t>11.3招标文件对投标文件签署、盖章的要求适用于电子签名。</w:t>
      </w:r>
    </w:p>
    <w:p w14:paraId="16CFCF64">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投标文件的提交、补充、修改、撤回</w:t>
      </w:r>
    </w:p>
    <w:p w14:paraId="1914EBA0">
      <w:pPr>
        <w:pStyle w:val="47"/>
        <w:ind w:firstLine="480"/>
        <w:rPr>
          <w:rFonts w:hint="eastAsia" w:ascii="仿宋" w:hAnsi="仿宋" w:eastAsia="仿宋" w:cs="仿宋"/>
          <w:szCs w:val="24"/>
        </w:rPr>
      </w:pPr>
      <w:r>
        <w:rPr>
          <w:rFonts w:hint="eastAsia" w:ascii="仿宋" w:hAnsi="仿宋" w:eastAsia="仿宋" w:cs="仿宋"/>
          <w:szCs w:val="24"/>
        </w:rPr>
        <w:t>12.1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F5BFC41">
      <w:pPr>
        <w:pStyle w:val="47"/>
        <w:spacing w:before="0"/>
        <w:ind w:firstLine="480"/>
        <w:rPr>
          <w:rFonts w:hint="eastAsia" w:ascii="仿宋" w:hAnsi="仿宋" w:eastAsia="仿宋" w:cs="仿宋"/>
          <w:szCs w:val="24"/>
        </w:rPr>
      </w:pPr>
      <w:r>
        <w:rPr>
          <w:rFonts w:hint="eastAsia" w:ascii="仿宋" w:hAnsi="仿宋" w:eastAsia="仿宋" w:cs="仿宋"/>
          <w:szCs w:val="24"/>
        </w:rPr>
        <w:t>12.2电子交易平台收到投标文件，将妥善保存并即时向供应商发出确认回执通知。在投标截止时间前，除供应商补充、修改或者撤回投标文件外，任何单位和个人不得解密或提取投标文件。</w:t>
      </w:r>
    </w:p>
    <w:p w14:paraId="21772D26">
      <w:pPr>
        <w:pStyle w:val="47"/>
        <w:spacing w:before="0"/>
        <w:ind w:firstLine="480"/>
        <w:rPr>
          <w:rFonts w:hint="eastAsia" w:ascii="仿宋" w:hAnsi="仿宋" w:eastAsia="仿宋" w:cs="仿宋"/>
          <w:szCs w:val="24"/>
        </w:rPr>
      </w:pPr>
      <w:r>
        <w:rPr>
          <w:rFonts w:hint="eastAsia" w:ascii="仿宋" w:hAnsi="仿宋" w:eastAsia="仿宋" w:cs="仿宋"/>
          <w:szCs w:val="24"/>
        </w:rPr>
        <w:t>12.3采购人、采购代理机构可以视情况延长投标文件提交的截止时间。在上述情况下，采购代理机构与</w:t>
      </w:r>
      <w:r>
        <w:rPr>
          <w:rFonts w:hint="eastAsia" w:ascii="仿宋" w:hAnsi="仿宋" w:eastAsia="仿宋" w:cs="仿宋"/>
          <w:kern w:val="0"/>
          <w:lang w:val="zh-CN"/>
        </w:rPr>
        <w:t>供应商</w:t>
      </w:r>
      <w:r>
        <w:rPr>
          <w:rFonts w:hint="eastAsia" w:ascii="仿宋" w:hAnsi="仿宋" w:eastAsia="仿宋" w:cs="仿宋"/>
          <w:szCs w:val="24"/>
        </w:rPr>
        <w:t>以前在投标截止期方面的全部权利、责任和义务，将适用于延长至新的投标截止期。</w:t>
      </w:r>
    </w:p>
    <w:p w14:paraId="0837ED43">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投标有效期</w:t>
      </w:r>
    </w:p>
    <w:p w14:paraId="228E38E3">
      <w:pPr>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投标有效期为从提交投标文件的截止之日起90天。</w:t>
      </w:r>
    </w:p>
    <w:p w14:paraId="03A030E4">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诺的投标有效期少于招标文件中载明的投标有效期的，投标无效。</w:t>
      </w:r>
    </w:p>
    <w:p w14:paraId="5B66E388">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14:paraId="5712A5FD">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开标</w:t>
      </w:r>
    </w:p>
    <w:p w14:paraId="59B964B3">
      <w:pPr>
        <w:pStyle w:val="4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14.1采购代理机构按照招标文件规定的时间通过电子交易平台组织开标，所有</w:t>
      </w:r>
      <w:r>
        <w:rPr>
          <w:rFonts w:hint="eastAsia" w:ascii="仿宋" w:hAnsi="仿宋" w:eastAsia="仿宋" w:cs="仿宋"/>
          <w:sz w:val="24"/>
          <w:lang w:val="zh-CN"/>
        </w:rPr>
        <w:t>供应商</w:t>
      </w:r>
      <w:r>
        <w:rPr>
          <w:rFonts w:hint="eastAsia" w:ascii="仿宋" w:hAnsi="仿宋" w:eastAsia="仿宋" w:cs="仿宋"/>
          <w:sz w:val="24"/>
        </w:rPr>
        <w:t>均应当准时在线参加。</w:t>
      </w:r>
      <w:r>
        <w:rPr>
          <w:rFonts w:hint="eastAsia" w:ascii="仿宋" w:hAnsi="仿宋" w:eastAsia="仿宋" w:cs="仿宋"/>
          <w:sz w:val="24"/>
          <w:lang w:val="zh-CN"/>
        </w:rPr>
        <w:t>供应商</w:t>
      </w:r>
      <w:r>
        <w:rPr>
          <w:rFonts w:hint="eastAsia" w:ascii="仿宋" w:hAnsi="仿宋" w:eastAsia="仿宋" w:cs="仿宋"/>
          <w:sz w:val="24"/>
        </w:rPr>
        <w:t>不足3家的，不开启电子投标文件，终止本次采购活动。</w:t>
      </w:r>
    </w:p>
    <w:p w14:paraId="1BB26AD1">
      <w:pPr>
        <w:pStyle w:val="4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14.2开标时，电子交易平台按开标时间自动提取所有投标文件。采购代理机构依托电子交易平台发起开始解密指令，</w:t>
      </w:r>
      <w:r>
        <w:rPr>
          <w:rFonts w:hint="eastAsia" w:ascii="仿宋" w:hAnsi="仿宋" w:eastAsia="仿宋" w:cs="仿宋"/>
          <w:sz w:val="24"/>
          <w:lang w:val="zh-CN"/>
        </w:rPr>
        <w:t>供应商</w:t>
      </w:r>
      <w:r>
        <w:rPr>
          <w:rFonts w:hint="eastAsia" w:ascii="仿宋" w:hAnsi="仿宋" w:eastAsia="仿宋" w:cs="仿宋"/>
          <w:sz w:val="24"/>
        </w:rPr>
        <w:t>按照平台提示和招标文件的规定在半小时内完成在线解密。</w:t>
      </w:r>
    </w:p>
    <w:p w14:paraId="1E002DF8">
      <w:pPr>
        <w:pStyle w:val="4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14.3本项目为两阶段开标，先开启资格文件和商务技术文件，资格文件和商务技术文件评审结束后，开启报价文件，进行报价评审。具体流程参照浙财采监(2015)13号文件规定的开标流程。</w:t>
      </w:r>
    </w:p>
    <w:p w14:paraId="5BC6699D">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资格审查</w:t>
      </w:r>
    </w:p>
    <w:p w14:paraId="77F419A4">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15.1开标后，采购人或采购代理机构依据法律法规和招标文件的规定，对供应商的资格条件进行审查。</w:t>
      </w:r>
    </w:p>
    <w:p w14:paraId="74CD480F">
      <w:pPr>
        <w:pStyle w:val="47"/>
        <w:spacing w:before="0"/>
        <w:ind w:firstLine="480"/>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2对未通过资格审查的供应商，采购人或采购代理机构告知其未通过的原因。</w:t>
      </w:r>
    </w:p>
    <w:p w14:paraId="28DCC5F2">
      <w:pPr>
        <w:pStyle w:val="47"/>
        <w:spacing w:before="0"/>
        <w:ind w:firstLine="480"/>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3合格供应商不足3家的，不再评标。</w:t>
      </w:r>
    </w:p>
    <w:p w14:paraId="224A1289">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信用信息查询</w:t>
      </w:r>
    </w:p>
    <w:p w14:paraId="5687FB0C">
      <w:pPr>
        <w:pStyle w:val="4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16.1信用信息查询渠道及截止时间：采购代理机构将通过“信用中国”网站(www.creditchina.gov.cn)、中国政府采购网(www.ccgp.gov.cn)渠道查询供应商投标截止时间当天的信用记录。</w:t>
      </w:r>
    </w:p>
    <w:p w14:paraId="78A67127">
      <w:pPr>
        <w:pStyle w:val="4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16.2信用信息的使用规则：经查询列入失信被执行人名单、</w:t>
      </w:r>
      <w:r>
        <w:rPr>
          <w:rFonts w:hint="eastAsia" w:ascii="仿宋" w:hAnsi="仿宋" w:eastAsia="仿宋" w:cs="仿宋"/>
          <w:kern w:val="0"/>
          <w:szCs w:val="24"/>
          <w:lang w:eastAsia="zh-CN"/>
        </w:rPr>
        <w:t>重大税收违法失信主体</w:t>
      </w:r>
      <w:r>
        <w:rPr>
          <w:rFonts w:hint="eastAsia" w:ascii="仿宋" w:hAnsi="仿宋" w:eastAsia="仿宋" w:cs="仿宋"/>
          <w:kern w:val="0"/>
          <w:szCs w:val="24"/>
        </w:rPr>
        <w:t>、政府采购严重违法失信行为记录名单的</w:t>
      </w:r>
      <w:r>
        <w:rPr>
          <w:rFonts w:hint="eastAsia" w:ascii="仿宋" w:hAnsi="仿宋" w:eastAsia="仿宋" w:cs="仿宋"/>
          <w:kern w:val="0"/>
          <w:lang w:val="zh-CN"/>
        </w:rPr>
        <w:t>供应商</w:t>
      </w:r>
      <w:r>
        <w:rPr>
          <w:rFonts w:hint="eastAsia" w:ascii="仿宋" w:hAnsi="仿宋" w:eastAsia="仿宋" w:cs="仿宋"/>
          <w:kern w:val="0"/>
          <w:szCs w:val="24"/>
        </w:rPr>
        <w:t>将被拒绝参与政府采购活动。</w:t>
      </w:r>
    </w:p>
    <w:p w14:paraId="4AC7D138">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16.3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仿宋" w:hAnsi="仿宋" w:eastAsia="仿宋" w:cs="仿宋"/>
        </w:rPr>
        <w:t>。</w:t>
      </w:r>
    </w:p>
    <w:p w14:paraId="4A2DF028">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五、评标</w:t>
      </w:r>
    </w:p>
    <w:p w14:paraId="20DD3898">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13" w:name="_Toc91899903"/>
      <w:r>
        <w:rPr>
          <w:rFonts w:hint="eastAsia" w:ascii="仿宋" w:hAnsi="仿宋" w:eastAsia="仿宋" w:cs="仿宋"/>
          <w:b/>
          <w:sz w:val="24"/>
        </w:rPr>
        <w:t>评标委员会</w:t>
      </w:r>
    </w:p>
    <w:p w14:paraId="66057A8D">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17.1本次招标依法组建评标委员会。评标委员会由采购人代表和评审专家组成，评审专家从专家库随机抽取。</w:t>
      </w:r>
    </w:p>
    <w:p w14:paraId="5DCF8A40">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20E07AFD">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17.3评审专家有下列情形之一的，应主动提出回避，采购当事人也可以要求该评审专家回避：</w:t>
      </w:r>
    </w:p>
    <w:p w14:paraId="15D112C6">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17.3.1参加采购活动前3年内与供应商存在劳动关系；</w:t>
      </w:r>
    </w:p>
    <w:p w14:paraId="55F8DE8C">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17.3.2参加采购活动前3年内担任供应商的董事、监事；</w:t>
      </w:r>
    </w:p>
    <w:p w14:paraId="3361C1A0">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17.3.3参加采购活动前3年内是供应商的控股股东或者实际控制人；</w:t>
      </w:r>
    </w:p>
    <w:p w14:paraId="51F47C9A">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17.3.4与供应商的法定代表人或者负责人有夫妻、直系血亲、三代以内旁系血亲或者近姻亲关系；</w:t>
      </w:r>
    </w:p>
    <w:p w14:paraId="56FBAAC6">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17.3.5与供应商有其他可能影响政府采购活动公平、公正进行的关系。</w:t>
      </w:r>
    </w:p>
    <w:p w14:paraId="7431CE31">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17.3.6曾经参加过该采购项目招标文件的论证工作；</w:t>
      </w:r>
    </w:p>
    <w:p w14:paraId="11FD36E3">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17.3.7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2E8DDE4">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17.4评标委员会判断投标文件的有效性、合格性和响应情况，仅依据投标人所递交一切文件的真实表述，不受与本项目无直接关联的外部信息、传言而影响自身的专业判断。</w:t>
      </w:r>
    </w:p>
    <w:p w14:paraId="6B6960E7">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17.5评委依法独立评审，并对评审意见承担个人责任。评委对需要共同认定的事项存在争议的，按照少数服从多数的原则做出结论。持不同意见的评委应当在评审报告上签署不同意见并说明理由，否则视为同意。</w:t>
      </w:r>
    </w:p>
    <w:p w14:paraId="584787BC">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评标</w:t>
      </w:r>
    </w:p>
    <w:p w14:paraId="01996386">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评标委员会将根据招标文件和有关规定，履行评标工作职责，并按照评标方法及评分标准，全面衡量各</w:t>
      </w:r>
      <w:r>
        <w:rPr>
          <w:rFonts w:hint="eastAsia" w:ascii="仿宋" w:hAnsi="仿宋" w:eastAsia="仿宋" w:cs="仿宋"/>
          <w:kern w:val="0"/>
          <w:lang w:val="zh-CN"/>
        </w:rPr>
        <w:t>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lang w:val="zh-CN"/>
        </w:rPr>
        <w:t>供应商</w:t>
      </w:r>
      <w:r>
        <w:rPr>
          <w:rFonts w:hint="eastAsia" w:ascii="仿宋" w:hAnsi="仿宋" w:eastAsia="仿宋" w:cs="仿宋"/>
          <w:kern w:val="0"/>
          <w:szCs w:val="24"/>
        </w:rPr>
        <w:t>，按照评审因素的量化指标推荐综合得分排名第一的为中标候选人。</w:t>
      </w:r>
    </w:p>
    <w:p w14:paraId="313BF25D">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lang w:val="zh-CN"/>
        </w:rPr>
        <w:t>供应商</w:t>
      </w:r>
      <w:r>
        <w:rPr>
          <w:rFonts w:hint="eastAsia" w:ascii="仿宋" w:hAnsi="仿宋" w:eastAsia="仿宋" w:cs="仿宋"/>
          <w:kern w:val="0"/>
          <w:szCs w:val="24"/>
        </w:rPr>
        <w:t>为排名第一的中标候选人。</w:t>
      </w:r>
    </w:p>
    <w:p w14:paraId="4541FBFA">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详见招标文件第四部分评标办法。</w:t>
      </w:r>
    </w:p>
    <w:p w14:paraId="09AAC01A">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六、定标</w:t>
      </w:r>
    </w:p>
    <w:p w14:paraId="59ED54AE">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确定中标供应商</w:t>
      </w:r>
    </w:p>
    <w:p w14:paraId="5C4C0FBD">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本项目由评标委员会推荐1名中标候选人，采购人不得在评标委员会推荐的中标候选人以外确定中标候选人。</w:t>
      </w:r>
    </w:p>
    <w:p w14:paraId="6AD90DD8">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中标通知与中标结果公告</w:t>
      </w:r>
    </w:p>
    <w:p w14:paraId="5652633A">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20.1自中标人确定之日起2个工作日内，采购代理机构通过电子交易平台向中标人发出中标通知书，同时编制发布采购结果公告。采购代理机构也可以以纸质形式进行中标通知。</w:t>
      </w:r>
    </w:p>
    <w:p w14:paraId="42287E33">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7FD999D2">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20.3中标结果公告期限为1个工作日。</w:t>
      </w:r>
    </w:p>
    <w:p w14:paraId="771BD6EE">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2E268841">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合同授予</w:t>
      </w:r>
    </w:p>
    <w:p w14:paraId="50162ED2">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合同主要条款详见第五部分政府采购合同文本。</w:t>
      </w:r>
    </w:p>
    <w:p w14:paraId="595B6DDF">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合同的签订</w:t>
      </w:r>
    </w:p>
    <w:p w14:paraId="4ED0E735">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22.1采购人与中标供应商应当通过电子交易平台在中标通知书发出之日起三十日内，按照招标文件及中标供应商的投标文件确定的事项签订政府采购合同，并在合同签订之日起2个工作日内依法发布合同公告。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2E7F64AF">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2</w:t>
      </w:r>
      <w:r>
        <w:rPr>
          <w:rFonts w:hint="eastAsia" w:ascii="仿宋" w:hAnsi="仿宋" w:eastAsia="仿宋" w:cs="仿宋"/>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461E4CE7">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22.3如签订合同并生效后，供应商无故拒绝或延期，除按照合同条款处理外，列入不良行为记录名单，并给予通报。</w:t>
      </w:r>
    </w:p>
    <w:p w14:paraId="131105E8">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22.4中标供应商拒绝与采购人签订合同的，列入不良行为记录名单，采购人、采购代理机构重新开展政府采购活动。</w:t>
      </w:r>
    </w:p>
    <w:p w14:paraId="531E173A">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22.5采购合同由采购人与中标供应商根据招标文件、投标文件等内容通过政府采购电子交易平台在线签订，自动备案。</w:t>
      </w:r>
    </w:p>
    <w:p w14:paraId="547256CA">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履约保证金</w:t>
      </w:r>
    </w:p>
    <w:p w14:paraId="481B4FB5">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政府采购合同文本要求中标供应商提交履约保证金的，供应商应当以支票、汇票、本票或者金融机构、担保机构出具的保函等非现金形式提交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w:t>
      </w:r>
    </w:p>
    <w:p w14:paraId="02146247">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50F6F394">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电子交易活动的中止</w:t>
      </w:r>
    </w:p>
    <w:p w14:paraId="0DD72848">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49044024">
      <w:pPr>
        <w:pStyle w:val="47"/>
        <w:snapToGrid w:val="0"/>
        <w:spacing w:before="0"/>
        <w:ind w:firstLine="480"/>
        <w:rPr>
          <w:rFonts w:hint="eastAsia" w:ascii="仿宋" w:hAnsi="仿宋" w:eastAsia="仿宋" w:cs="仿宋"/>
        </w:rPr>
      </w:pPr>
      <w:r>
        <w:rPr>
          <w:rFonts w:hint="eastAsia" w:ascii="仿宋" w:hAnsi="仿宋" w:eastAsia="仿宋" w:cs="仿宋"/>
        </w:rPr>
        <w:t>24.1电子交易平台发生故障而无法登录访问的；</w:t>
      </w:r>
    </w:p>
    <w:p w14:paraId="3A7F24DB">
      <w:pPr>
        <w:pStyle w:val="47"/>
        <w:snapToGrid w:val="0"/>
        <w:spacing w:before="0"/>
        <w:ind w:firstLine="480"/>
        <w:rPr>
          <w:rFonts w:hint="eastAsia" w:ascii="仿宋" w:hAnsi="仿宋" w:eastAsia="仿宋" w:cs="仿宋"/>
        </w:rPr>
      </w:pPr>
      <w:r>
        <w:rPr>
          <w:rFonts w:hint="eastAsia" w:ascii="仿宋" w:hAnsi="仿宋" w:eastAsia="仿宋" w:cs="仿宋"/>
        </w:rPr>
        <w:t>24.2电子交易平台应用或数据库出现错误，不能进行正常操作的；</w:t>
      </w:r>
    </w:p>
    <w:p w14:paraId="6600C6A4">
      <w:pPr>
        <w:pStyle w:val="47"/>
        <w:snapToGrid w:val="0"/>
        <w:spacing w:before="0"/>
        <w:ind w:firstLine="480"/>
        <w:rPr>
          <w:rFonts w:hint="eastAsia" w:ascii="仿宋" w:hAnsi="仿宋" w:eastAsia="仿宋" w:cs="仿宋"/>
        </w:rPr>
      </w:pPr>
      <w:r>
        <w:rPr>
          <w:rFonts w:hint="eastAsia" w:ascii="仿宋" w:hAnsi="仿宋" w:eastAsia="仿宋" w:cs="仿宋"/>
        </w:rPr>
        <w:t>24.3电子交易平台发现严重安全漏洞，有潜在泄密危险的；</w:t>
      </w:r>
    </w:p>
    <w:p w14:paraId="62F1B03F">
      <w:pPr>
        <w:pStyle w:val="47"/>
        <w:snapToGrid w:val="0"/>
        <w:spacing w:before="0"/>
        <w:ind w:firstLine="480"/>
        <w:rPr>
          <w:rFonts w:hint="eastAsia" w:ascii="仿宋" w:hAnsi="仿宋" w:eastAsia="仿宋" w:cs="仿宋"/>
        </w:rPr>
      </w:pPr>
      <w:r>
        <w:rPr>
          <w:rFonts w:hint="eastAsia" w:ascii="仿宋" w:hAnsi="仿宋" w:eastAsia="仿宋" w:cs="仿宋"/>
        </w:rPr>
        <w:t>24.4病毒发作导致不能进行正常操作的；</w:t>
      </w:r>
    </w:p>
    <w:p w14:paraId="7DCF1166">
      <w:pPr>
        <w:pStyle w:val="47"/>
        <w:snapToGrid w:val="0"/>
        <w:spacing w:before="0"/>
        <w:ind w:firstLine="480"/>
        <w:rPr>
          <w:rFonts w:hint="eastAsia" w:ascii="仿宋" w:hAnsi="仿宋" w:eastAsia="仿宋" w:cs="仿宋"/>
        </w:rPr>
      </w:pPr>
      <w:r>
        <w:rPr>
          <w:rFonts w:hint="eastAsia" w:ascii="仿宋" w:hAnsi="仿宋" w:eastAsia="仿宋" w:cs="仿宋"/>
        </w:rPr>
        <w:t>24.5其他无法保证电子交易的公平、公正和安全的情况。</w:t>
      </w:r>
    </w:p>
    <w:p w14:paraId="02EC6330">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4D64481A">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验收</w:t>
      </w:r>
    </w:p>
    <w:p w14:paraId="17C216B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E20FBF">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CFF438">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bookmarkStart w:id="14" w:name="_Hlt74730295"/>
      <w:bookmarkEnd w:id="14"/>
      <w:bookmarkStart w:id="15" w:name="_Hlt68072998"/>
      <w:bookmarkEnd w:id="15"/>
      <w:bookmarkStart w:id="16" w:name="_Hlt68073093"/>
      <w:bookmarkEnd w:id="16"/>
      <w:bookmarkStart w:id="17" w:name="_Hlt68403820"/>
      <w:bookmarkEnd w:id="17"/>
      <w:bookmarkStart w:id="18" w:name="_Hlt74714665"/>
      <w:bookmarkEnd w:id="18"/>
      <w:bookmarkStart w:id="19" w:name="_Hlt74729768"/>
      <w:bookmarkEnd w:id="19"/>
      <w:bookmarkStart w:id="20" w:name="_Hlt75236011"/>
      <w:bookmarkEnd w:id="20"/>
      <w:bookmarkStart w:id="21" w:name="_Hlt75236290"/>
      <w:bookmarkEnd w:id="21"/>
      <w:bookmarkStart w:id="22" w:name="_Hlt74707468"/>
      <w:bookmarkEnd w:id="22"/>
      <w:bookmarkStart w:id="23" w:name="_Hlt75236101"/>
      <w:bookmarkEnd w:id="23"/>
      <w:bookmarkStart w:id="24" w:name="_Hlt68072990"/>
      <w:bookmarkEnd w:id="24"/>
      <w:bookmarkStart w:id="25" w:name="_Hlt68057669"/>
      <w:bookmarkEnd w:id="25"/>
      <w:bookmarkStart w:id="26" w:name="第四部分"/>
    </w:p>
    <w:p w14:paraId="00945383">
      <w:pPr>
        <w:numPr>
          <w:ilvl w:val="0"/>
          <w:numId w:val="3"/>
        </w:numPr>
        <w:spacing w:line="360" w:lineRule="auto"/>
        <w:jc w:val="center"/>
        <w:outlineLvl w:val="0"/>
        <w:rPr>
          <w:rFonts w:hint="eastAsia" w:ascii="仿宋" w:hAnsi="仿宋" w:eastAsia="仿宋" w:cs="仿宋"/>
          <w:b/>
          <w:sz w:val="36"/>
          <w:szCs w:val="20"/>
        </w:rPr>
      </w:pPr>
      <w:r>
        <w:rPr>
          <w:rFonts w:hint="eastAsia" w:ascii="仿宋" w:hAnsi="仿宋" w:eastAsia="仿宋" w:cs="仿宋"/>
          <w:kern w:val="0"/>
          <w:sz w:val="24"/>
        </w:rPr>
        <w:br w:type="page"/>
      </w:r>
      <w:r>
        <w:rPr>
          <w:rFonts w:hint="eastAsia" w:ascii="仿宋" w:hAnsi="仿宋" w:eastAsia="仿宋" w:cs="仿宋"/>
          <w:b/>
          <w:sz w:val="36"/>
          <w:szCs w:val="20"/>
        </w:rPr>
        <w:t xml:space="preserve"> 采购需求</w:t>
      </w:r>
    </w:p>
    <w:p w14:paraId="21BDA4A6">
      <w:pPr>
        <w:tabs>
          <w:tab w:val="left" w:pos="2520"/>
        </w:tabs>
        <w:spacing w:line="360" w:lineRule="auto"/>
        <w:jc w:val="left"/>
        <w:outlineLvl w:val="1"/>
        <w:rPr>
          <w:rFonts w:hint="eastAsia" w:ascii="仿宋" w:hAnsi="仿宋" w:eastAsia="仿宋" w:cs="仿宋"/>
          <w:b/>
          <w:sz w:val="24"/>
          <w:szCs w:val="24"/>
        </w:rPr>
      </w:pPr>
      <w:bookmarkStart w:id="27" w:name="_Toc15407762"/>
      <w:r>
        <w:rPr>
          <w:rFonts w:hint="eastAsia" w:ascii="仿宋" w:hAnsi="仿宋" w:eastAsia="仿宋" w:cs="仿宋"/>
          <w:b/>
          <w:sz w:val="24"/>
          <w:szCs w:val="24"/>
        </w:rPr>
        <w:t>一、项目概况</w:t>
      </w:r>
    </w:p>
    <w:p w14:paraId="6A49B274">
      <w:pPr>
        <w:tabs>
          <w:tab w:val="left" w:pos="25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项目名称：象山县中心城区垃圾中转站服务外包项目</w:t>
      </w:r>
    </w:p>
    <w:p w14:paraId="25869EDE">
      <w:pPr>
        <w:tabs>
          <w:tab w:val="left" w:pos="252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w:t>
      </w:r>
      <w:r>
        <w:rPr>
          <w:rFonts w:hint="eastAsia" w:ascii="仿宋" w:hAnsi="仿宋" w:eastAsia="仿宋" w:cs="仿宋"/>
          <w:sz w:val="24"/>
          <w:szCs w:val="24"/>
        </w:rPr>
        <w:t>内容：对中心城区5座垃圾中转站进行日常运行管理，包括生活垃圾压缩处理、中转站除臭控臭、站内设备设施安全操作及资产保管、站内环境卫生及绿化的日常保洁、维护等工作</w:t>
      </w:r>
      <w:r>
        <w:rPr>
          <w:rFonts w:hint="eastAsia" w:ascii="仿宋" w:hAnsi="仿宋" w:eastAsia="仿宋" w:cs="仿宋"/>
          <w:sz w:val="24"/>
          <w:szCs w:val="24"/>
          <w:lang w:eastAsia="zh-CN"/>
        </w:rPr>
        <w:t>。</w:t>
      </w:r>
    </w:p>
    <w:p w14:paraId="3AAADF2B">
      <w:pPr>
        <w:tabs>
          <w:tab w:val="left" w:pos="25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质量要求：达到</w:t>
      </w:r>
      <w:r>
        <w:rPr>
          <w:rFonts w:hint="eastAsia" w:ascii="仿宋" w:hAnsi="仿宋" w:eastAsia="仿宋" w:cs="仿宋"/>
          <w:sz w:val="24"/>
          <w:szCs w:val="24"/>
          <w:lang w:val="en-US" w:eastAsia="zh-CN"/>
        </w:rPr>
        <w:t>采购人</w:t>
      </w:r>
      <w:r>
        <w:rPr>
          <w:rFonts w:hint="eastAsia" w:ascii="仿宋" w:hAnsi="仿宋" w:eastAsia="仿宋" w:cs="仿宋"/>
          <w:sz w:val="24"/>
          <w:szCs w:val="24"/>
        </w:rPr>
        <w:t>作业考核标准。</w:t>
      </w:r>
    </w:p>
    <w:p w14:paraId="390E9AD0">
      <w:pPr>
        <w:tabs>
          <w:tab w:val="left" w:pos="252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考核要求：根据《</w:t>
      </w:r>
      <w:r>
        <w:rPr>
          <w:rFonts w:hint="eastAsia" w:ascii="仿宋" w:hAnsi="仿宋" w:eastAsia="仿宋" w:cs="仿宋"/>
          <w:sz w:val="24"/>
          <w:szCs w:val="24"/>
          <w:lang w:eastAsia="zh-CN"/>
        </w:rPr>
        <w:t>象山县城市管理服务中心</w:t>
      </w:r>
      <w:r>
        <w:rPr>
          <w:rFonts w:hint="eastAsia" w:ascii="仿宋" w:hAnsi="仿宋" w:eastAsia="仿宋" w:cs="仿宋"/>
          <w:sz w:val="24"/>
          <w:szCs w:val="24"/>
        </w:rPr>
        <w:t>岗位责任管理考核办法》及其他相关规定的内容进行日常考核、处罚，如我中心根据实际情况对《</w:t>
      </w:r>
      <w:r>
        <w:rPr>
          <w:rFonts w:hint="eastAsia" w:ascii="仿宋" w:hAnsi="仿宋" w:eastAsia="仿宋" w:cs="仿宋"/>
          <w:sz w:val="24"/>
          <w:szCs w:val="24"/>
          <w:lang w:eastAsia="zh-CN"/>
        </w:rPr>
        <w:t>象山县城市管理服务中心</w:t>
      </w:r>
      <w:r>
        <w:rPr>
          <w:rFonts w:hint="eastAsia" w:ascii="仿宋" w:hAnsi="仿宋" w:eastAsia="仿宋" w:cs="仿宋"/>
          <w:sz w:val="24"/>
          <w:szCs w:val="24"/>
        </w:rPr>
        <w:t>岗位责任管理考核办法》有调整的，中标单位需无条件接受新的考核办法。若中标单位承包的中转站运行状况及内部环境卫生未达到考核细则的要求，</w:t>
      </w:r>
      <w:r>
        <w:rPr>
          <w:rFonts w:hint="eastAsia" w:ascii="仿宋" w:hAnsi="仿宋" w:eastAsia="仿宋" w:cs="仿宋"/>
          <w:sz w:val="24"/>
          <w:szCs w:val="24"/>
          <w:lang w:val="en-US" w:eastAsia="zh-CN"/>
        </w:rPr>
        <w:t>采购人</w:t>
      </w:r>
      <w:r>
        <w:rPr>
          <w:rFonts w:hint="eastAsia" w:ascii="仿宋" w:hAnsi="仿宋" w:eastAsia="仿宋" w:cs="仿宋"/>
          <w:sz w:val="24"/>
          <w:szCs w:val="24"/>
        </w:rPr>
        <w:t>将根据考核的具体成绩扣减中标单位的月考核奖金。</w:t>
      </w:r>
    </w:p>
    <w:p w14:paraId="35DC7FEE">
      <w:pPr>
        <w:tabs>
          <w:tab w:val="left" w:pos="2520"/>
        </w:tabs>
        <w:spacing w:line="360" w:lineRule="auto"/>
        <w:jc w:val="left"/>
        <w:outlineLvl w:val="1"/>
        <w:rPr>
          <w:rFonts w:hint="eastAsia" w:ascii="仿宋" w:hAnsi="仿宋" w:eastAsia="仿宋" w:cs="仿宋"/>
          <w:b/>
          <w:sz w:val="24"/>
          <w:szCs w:val="24"/>
        </w:rPr>
      </w:pPr>
      <w:r>
        <w:rPr>
          <w:rFonts w:hint="eastAsia" w:ascii="仿宋" w:hAnsi="仿宋" w:eastAsia="仿宋" w:cs="仿宋"/>
          <w:b/>
          <w:sz w:val="24"/>
          <w:szCs w:val="24"/>
        </w:rPr>
        <w:t>二、招标范围</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预算</w:t>
      </w:r>
      <w:r>
        <w:rPr>
          <w:rFonts w:hint="eastAsia" w:ascii="仿宋" w:hAnsi="仿宋" w:eastAsia="仿宋" w:cs="仿宋"/>
          <w:b/>
          <w:sz w:val="24"/>
          <w:szCs w:val="24"/>
        </w:rPr>
        <w:t>及说明</w:t>
      </w:r>
    </w:p>
    <w:p w14:paraId="1D368468">
      <w:pPr>
        <w:tabs>
          <w:tab w:val="left" w:pos="2520"/>
        </w:tabs>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（一）招标范围及预算费用</w:t>
      </w:r>
    </w:p>
    <w:p w14:paraId="77004E15">
      <w:pPr>
        <w:pStyle w:val="19"/>
        <w:spacing w:before="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1、招标范围及内容：</w:t>
      </w:r>
      <w:r>
        <w:rPr>
          <w:rFonts w:hint="eastAsia" w:ascii="仿宋" w:hAnsi="仿宋" w:eastAsia="仿宋" w:cs="仿宋"/>
          <w:sz w:val="24"/>
          <w:szCs w:val="24"/>
          <w:lang w:val="en-US" w:eastAsia="zh-CN"/>
        </w:rPr>
        <w:t>对</w:t>
      </w:r>
      <w:r>
        <w:rPr>
          <w:rFonts w:hint="eastAsia" w:ascii="仿宋" w:hAnsi="仿宋" w:eastAsia="仿宋" w:cs="仿宋"/>
          <w:lang w:val="en-US" w:eastAsia="zh-CN"/>
        </w:rPr>
        <w:t>来薰中转站、白鹤中转站、第四中转站、大目湾中转站及大目山中转站进行日常运行管理，包括生活垃圾压缩处理、中转站除臭控臭、站内设备设施安全操作及资产保管、站内环境卫生及绿化的日常保洁、维护等工作,配备管理人员、工程维修人员、操作工及扫帚、</w:t>
      </w:r>
      <w:r>
        <w:rPr>
          <w:rFonts w:hint="eastAsia" w:ascii="仿宋" w:hAnsi="仿宋" w:eastAsia="仿宋" w:cs="仿宋"/>
          <w:color w:val="auto"/>
          <w:lang w:val="en-US" w:eastAsia="zh-CN"/>
        </w:rPr>
        <w:t>畚斗、铁锹</w:t>
      </w:r>
      <w:r>
        <w:rPr>
          <w:rFonts w:hint="eastAsia" w:ascii="仿宋" w:hAnsi="仿宋" w:eastAsia="仿宋" w:cs="仿宋"/>
          <w:lang w:val="en-US" w:eastAsia="zh-CN"/>
        </w:rPr>
        <w:t>、雨靴、洗衣粉、消耗配件等日常性保洁工具用品</w:t>
      </w:r>
      <w:r>
        <w:rPr>
          <w:rFonts w:hint="eastAsia" w:ascii="仿宋" w:hAnsi="仿宋" w:eastAsia="仿宋" w:cs="仿宋"/>
        </w:rPr>
        <w:t>。</w:t>
      </w:r>
    </w:p>
    <w:p w14:paraId="4621DA02">
      <w:pPr>
        <w:tabs>
          <w:tab w:val="left" w:pos="252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2、服务期限：</w:t>
      </w:r>
      <w:r>
        <w:rPr>
          <w:rFonts w:hint="eastAsia" w:ascii="仿宋" w:hAnsi="仿宋" w:eastAsia="仿宋" w:cs="仿宋"/>
          <w:sz w:val="24"/>
          <w:szCs w:val="24"/>
          <w:lang w:eastAsia="zh-CN"/>
        </w:rPr>
        <w:t>三年，合同一年一签。第一阶段：自合同签订之日起1年；后两阶段：采购人根据中标人在上一阶段合同履约及考核情况决定是否续签。</w:t>
      </w:r>
    </w:p>
    <w:p w14:paraId="18ABFBEA">
      <w:pPr>
        <w:spacing w:line="360" w:lineRule="auto"/>
        <w:ind w:firstLine="480" w:firstLineChars="200"/>
        <w:rPr>
          <w:rFonts w:hint="eastAsia" w:ascii="仿宋" w:hAnsi="仿宋" w:eastAsia="仿宋" w:cs="仿宋"/>
          <w:color w:val="FF0000"/>
          <w:sz w:val="24"/>
          <w:szCs w:val="24"/>
          <w:highlight w:val="yellow"/>
          <w:lang w:val="en-US" w:eastAsia="zh-CN"/>
        </w:rPr>
      </w:pPr>
      <w:bookmarkStart w:id="28" w:name="_Toc34671903"/>
      <w:r>
        <w:rPr>
          <w:rFonts w:hint="eastAsia" w:ascii="仿宋" w:hAnsi="仿宋" w:eastAsia="仿宋" w:cs="仿宋"/>
          <w:sz w:val="24"/>
          <w:szCs w:val="24"/>
        </w:rPr>
        <w:t>3、预算金额：</w:t>
      </w:r>
      <w:r>
        <w:rPr>
          <w:rFonts w:hint="eastAsia" w:ascii="仿宋" w:hAnsi="仿宋" w:eastAsia="仿宋" w:cs="仿宋"/>
          <w:sz w:val="24"/>
          <w:szCs w:val="24"/>
          <w:lang w:val="en-US" w:eastAsia="zh-CN"/>
        </w:rPr>
        <w:t>513</w:t>
      </w:r>
      <w:r>
        <w:rPr>
          <w:rFonts w:hint="eastAsia" w:ascii="仿宋" w:hAnsi="仿宋" w:eastAsia="仿宋" w:cs="仿宋"/>
          <w:sz w:val="24"/>
          <w:szCs w:val="24"/>
        </w:rPr>
        <w:t>万元/</w:t>
      </w:r>
      <w:r>
        <w:rPr>
          <w:rFonts w:hint="eastAsia" w:ascii="仿宋" w:hAnsi="仿宋" w:eastAsia="仿宋" w:cs="仿宋"/>
          <w:sz w:val="24"/>
          <w:szCs w:val="24"/>
          <w:lang w:val="en-US" w:eastAsia="zh-CN"/>
        </w:rPr>
        <w:t>三</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包括28万元/年的维修金，根据实际维修情况按实结算。</w:t>
      </w:r>
    </w:p>
    <w:tbl>
      <w:tblPr>
        <w:tblStyle w:val="22"/>
        <w:tblW w:w="93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84"/>
        <w:gridCol w:w="4187"/>
        <w:gridCol w:w="2781"/>
      </w:tblGrid>
      <w:tr w14:paraId="3BB77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14:paraId="3C2092F8">
            <w:pPr>
              <w:jc w:val="center"/>
              <w:rPr>
                <w:rFonts w:hint="eastAsia" w:ascii="仿宋" w:hAnsi="仿宋" w:eastAsia="仿宋" w:cs="Times New Roman"/>
                <w:b/>
                <w:bCs/>
                <w:highlight w:val="none"/>
              </w:rPr>
            </w:pPr>
            <w:r>
              <w:rPr>
                <w:rFonts w:hint="eastAsia" w:ascii="仿宋" w:hAnsi="仿宋" w:eastAsia="仿宋" w:cs="Times New Roman"/>
                <w:b/>
                <w:bCs/>
                <w:highlight w:val="none"/>
              </w:rPr>
              <w:t>序号</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72FF6F9">
            <w:pPr>
              <w:jc w:val="center"/>
              <w:rPr>
                <w:rFonts w:hint="eastAsia" w:ascii="仿宋" w:hAnsi="仿宋" w:eastAsia="仿宋" w:cs="Times New Roman"/>
                <w:b/>
                <w:bCs/>
                <w:highlight w:val="none"/>
              </w:rPr>
            </w:pPr>
            <w:r>
              <w:rPr>
                <w:rFonts w:hint="eastAsia" w:ascii="仿宋" w:hAnsi="仿宋" w:eastAsia="仿宋" w:cs="Times New Roman"/>
                <w:b/>
                <w:bCs/>
                <w:highlight w:val="none"/>
              </w:rPr>
              <w:t>计价方式</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500D9BDA">
            <w:pPr>
              <w:jc w:val="center"/>
              <w:rPr>
                <w:rFonts w:hint="eastAsia" w:ascii="仿宋" w:hAnsi="仿宋" w:eastAsia="仿宋" w:cs="Times New Roman"/>
                <w:b/>
                <w:bCs/>
                <w:highlight w:val="none"/>
              </w:rPr>
            </w:pPr>
            <w:r>
              <w:rPr>
                <w:rFonts w:hint="eastAsia" w:ascii="仿宋" w:hAnsi="仿宋" w:eastAsia="仿宋" w:cs="Times New Roman"/>
                <w:b/>
                <w:bCs/>
                <w:highlight w:val="none"/>
                <w:lang w:val="en-US" w:eastAsia="zh-CN"/>
              </w:rPr>
              <w:t>内容</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3D2FB814">
            <w:pPr>
              <w:jc w:val="center"/>
              <w:rPr>
                <w:rFonts w:hint="eastAsia" w:ascii="仿宋" w:hAnsi="仿宋" w:eastAsia="仿宋" w:cs="Times New Roman"/>
                <w:b/>
                <w:bCs/>
                <w:highlight w:val="none"/>
              </w:rPr>
            </w:pPr>
            <w:r>
              <w:rPr>
                <w:rFonts w:hint="eastAsia" w:ascii="仿宋" w:hAnsi="仿宋" w:eastAsia="仿宋" w:cs="Times New Roman"/>
                <w:b/>
                <w:bCs/>
                <w:highlight w:val="none"/>
              </w:rPr>
              <w:t>预算金额</w:t>
            </w:r>
          </w:p>
        </w:tc>
      </w:tr>
      <w:tr w14:paraId="305EA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14:paraId="4278E3D0">
            <w:pPr>
              <w:jc w:val="center"/>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1</w:t>
            </w:r>
          </w:p>
        </w:tc>
        <w:tc>
          <w:tcPr>
            <w:tcW w:w="1584" w:type="dxa"/>
            <w:tcBorders>
              <w:top w:val="single" w:color="auto" w:sz="4" w:space="0"/>
              <w:left w:val="single" w:color="auto" w:sz="4" w:space="0"/>
              <w:right w:val="single" w:color="auto" w:sz="4" w:space="0"/>
            </w:tcBorders>
            <w:noWrap w:val="0"/>
            <w:vAlign w:val="center"/>
          </w:tcPr>
          <w:p w14:paraId="11505741">
            <w:pPr>
              <w:jc w:val="center"/>
              <w:rPr>
                <w:rFonts w:hint="eastAsia" w:ascii="仿宋" w:hAnsi="仿宋" w:eastAsia="仿宋" w:cs="Times New Roman"/>
                <w:highlight w:val="none"/>
              </w:rPr>
            </w:pPr>
            <w:r>
              <w:rPr>
                <w:rFonts w:hint="eastAsia" w:ascii="仿宋" w:hAnsi="仿宋" w:eastAsia="仿宋" w:cs="Times New Roman"/>
                <w:highlight w:val="none"/>
              </w:rPr>
              <w:t>包干价部分</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3E13B3EF">
            <w:pPr>
              <w:jc w:val="center"/>
              <w:rPr>
                <w:rFonts w:hint="eastAsia" w:ascii="仿宋" w:hAnsi="仿宋" w:eastAsia="仿宋" w:cs="Times New Roman"/>
                <w:highlight w:val="none"/>
              </w:rPr>
            </w:pPr>
            <w:r>
              <w:rPr>
                <w:rFonts w:hint="eastAsia" w:ascii="仿宋" w:hAnsi="仿宋" w:eastAsia="仿宋" w:cs="仿宋"/>
                <w:highlight w:val="none"/>
                <w:lang w:val="en-US" w:eastAsia="zh-CN"/>
              </w:rPr>
              <w:t>生活垃圾压缩处理、中转站除臭控臭、站内设备设施安全操作及资产保管、站内环境卫生及绿化的日常保洁、维护等工作。</w:t>
            </w:r>
          </w:p>
        </w:tc>
        <w:tc>
          <w:tcPr>
            <w:tcW w:w="2781" w:type="dxa"/>
            <w:tcBorders>
              <w:top w:val="single" w:color="auto" w:sz="4" w:space="0"/>
              <w:left w:val="single" w:color="auto" w:sz="4" w:space="0"/>
              <w:right w:val="single" w:color="auto" w:sz="4" w:space="0"/>
            </w:tcBorders>
            <w:noWrap w:val="0"/>
            <w:vAlign w:val="center"/>
          </w:tcPr>
          <w:p w14:paraId="4CBD62E2">
            <w:pPr>
              <w:jc w:val="center"/>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143万元/年</w:t>
            </w:r>
          </w:p>
        </w:tc>
      </w:tr>
      <w:tr w14:paraId="52502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14:paraId="59C4926B">
            <w:pPr>
              <w:jc w:val="center"/>
              <w:rPr>
                <w:rFonts w:hint="eastAsia" w:ascii="仿宋" w:hAnsi="仿宋" w:eastAsia="仿宋" w:cs="Times New Roman"/>
                <w:highlight w:val="none"/>
                <w:lang w:val="en-US" w:eastAsia="zh-CN"/>
              </w:rPr>
            </w:pPr>
            <w:r>
              <w:rPr>
                <w:rFonts w:hint="eastAsia" w:ascii="仿宋" w:hAnsi="仿宋" w:eastAsia="仿宋" w:cs="Times New Roman"/>
                <w:highlight w:val="none"/>
                <w:lang w:val="en-US" w:eastAsia="zh-CN"/>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597B4E4">
            <w:pPr>
              <w:jc w:val="center"/>
              <w:rPr>
                <w:rFonts w:hint="eastAsia" w:ascii="仿宋" w:hAnsi="仿宋" w:eastAsia="仿宋" w:cs="Times New Roman"/>
                <w:highlight w:val="none"/>
              </w:rPr>
            </w:pPr>
            <w:r>
              <w:rPr>
                <w:rFonts w:hint="eastAsia" w:ascii="仿宋" w:hAnsi="仿宋" w:eastAsia="仿宋" w:cs="Times New Roman"/>
                <w:highlight w:val="none"/>
              </w:rPr>
              <w:t>按实结算部分</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608605D0">
            <w:pPr>
              <w:jc w:val="center"/>
              <w:rPr>
                <w:rFonts w:hint="default" w:ascii="仿宋" w:hAnsi="仿宋" w:eastAsia="仿宋" w:cs="Times New Roman"/>
                <w:highlight w:val="none"/>
                <w:lang w:val="en-US"/>
              </w:rPr>
            </w:pPr>
            <w:r>
              <w:rPr>
                <w:rFonts w:hint="eastAsia" w:ascii="仿宋" w:hAnsi="仿宋" w:eastAsia="仿宋" w:cs="Times New Roman"/>
                <w:highlight w:val="none"/>
                <w:lang w:val="en-US" w:eastAsia="zh-CN"/>
              </w:rPr>
              <w:t>中转站设备设施维修</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5995EFCC">
            <w:pPr>
              <w:jc w:val="center"/>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28万元/年</w:t>
            </w:r>
          </w:p>
        </w:tc>
      </w:tr>
      <w:tr w14:paraId="79DF8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14:paraId="5ABABE96">
            <w:pPr>
              <w:jc w:val="center"/>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3</w:t>
            </w:r>
          </w:p>
        </w:tc>
        <w:tc>
          <w:tcPr>
            <w:tcW w:w="5771" w:type="dxa"/>
            <w:gridSpan w:val="2"/>
            <w:tcBorders>
              <w:top w:val="single" w:color="auto" w:sz="4" w:space="0"/>
              <w:left w:val="single" w:color="auto" w:sz="4" w:space="0"/>
              <w:bottom w:val="single" w:color="auto" w:sz="4" w:space="0"/>
              <w:right w:val="single" w:color="auto" w:sz="4" w:space="0"/>
            </w:tcBorders>
            <w:noWrap w:val="0"/>
            <w:vAlign w:val="center"/>
          </w:tcPr>
          <w:p w14:paraId="3E963B7D">
            <w:pPr>
              <w:jc w:val="center"/>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合计</w:t>
            </w:r>
          </w:p>
        </w:tc>
        <w:tc>
          <w:tcPr>
            <w:tcW w:w="2781" w:type="dxa"/>
            <w:tcBorders>
              <w:top w:val="single" w:color="auto" w:sz="4" w:space="0"/>
              <w:left w:val="single" w:color="auto" w:sz="4" w:space="0"/>
              <w:bottom w:val="single" w:color="auto" w:sz="4" w:space="0"/>
              <w:right w:val="single" w:color="auto" w:sz="4" w:space="0"/>
            </w:tcBorders>
            <w:noWrap w:val="0"/>
            <w:vAlign w:val="center"/>
          </w:tcPr>
          <w:p w14:paraId="1D95DA13">
            <w:pPr>
              <w:jc w:val="center"/>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171万元/年，513万元/三年</w:t>
            </w:r>
          </w:p>
        </w:tc>
      </w:tr>
    </w:tbl>
    <w:p w14:paraId="11EF3B17">
      <w:pPr>
        <w:spacing w:line="360" w:lineRule="auto"/>
        <w:ind w:firstLine="480" w:firstLineChars="200"/>
        <w:rPr>
          <w:rFonts w:hint="default" w:ascii="仿宋" w:hAnsi="仿宋" w:eastAsia="仿宋" w:cs="仿宋"/>
          <w:color w:val="FF0000"/>
          <w:sz w:val="24"/>
          <w:szCs w:val="24"/>
          <w:highlight w:val="yellow"/>
          <w:lang w:val="en-US" w:eastAsia="zh-CN"/>
        </w:rPr>
      </w:pPr>
    </w:p>
    <w:p w14:paraId="645FB915">
      <w:pPr>
        <w:spacing w:line="360" w:lineRule="auto"/>
        <w:ind w:firstLine="482" w:firstLineChars="200"/>
        <w:rPr>
          <w:rFonts w:hint="default" w:ascii="仿宋" w:hAnsi="仿宋" w:eastAsia="仿宋" w:cs="仿宋"/>
          <w:b/>
          <w:sz w:val="24"/>
          <w:szCs w:val="24"/>
          <w:lang w:val="en-US" w:eastAsia="zh-CN"/>
        </w:rPr>
      </w:pPr>
      <w:r>
        <w:rPr>
          <w:rFonts w:hint="eastAsia" w:ascii="仿宋" w:hAnsi="仿宋" w:eastAsia="仿宋" w:cs="仿宋"/>
          <w:b/>
          <w:sz w:val="24"/>
          <w:szCs w:val="24"/>
        </w:rPr>
        <w:t>（二）</w:t>
      </w:r>
      <w:bookmarkEnd w:id="28"/>
      <w:r>
        <w:rPr>
          <w:rFonts w:hint="eastAsia" w:ascii="仿宋" w:hAnsi="仿宋" w:eastAsia="仿宋" w:cs="仿宋"/>
          <w:b/>
          <w:sz w:val="24"/>
          <w:szCs w:val="24"/>
          <w:lang w:val="en-US" w:eastAsia="zh-CN"/>
        </w:rPr>
        <w:t>具体要求</w:t>
      </w:r>
    </w:p>
    <w:p w14:paraId="76D31EFF">
      <w:pPr>
        <w:spacing w:line="360" w:lineRule="auto"/>
        <w:ind w:firstLine="482" w:firstLineChars="200"/>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包干价部分工作要求</w:t>
      </w:r>
    </w:p>
    <w:p w14:paraId="16F3962E">
      <w:pPr>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rPr>
        <w:t>1、承包各中转站压缩垃圾等日常工作，设备设施的日常管理和维护保养，职工的工资福利（包括应办理的各项保险）及处理好事故善后工作等。做好中转站内一切设备设施的日常维护保养工作、场内环境卫生及绿化的日常维护保养工作。中标单位需负责</w:t>
      </w:r>
      <w:r>
        <w:rPr>
          <w:rFonts w:hint="eastAsia" w:ascii="仿宋" w:hAnsi="仿宋" w:eastAsia="仿宋" w:cs="仿宋"/>
          <w:b w:val="0"/>
          <w:bCs/>
          <w:sz w:val="24"/>
          <w:szCs w:val="24"/>
          <w:highlight w:val="none"/>
        </w:rPr>
        <w:t>垃圾压缩设备液压油</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根据往年情况，液压油约为4万元/年</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水</w:t>
      </w:r>
      <w:r>
        <w:rPr>
          <w:rFonts w:hint="eastAsia" w:ascii="仿宋" w:hAnsi="仿宋" w:eastAsia="仿宋" w:cs="仿宋"/>
          <w:b w:val="0"/>
          <w:bCs/>
          <w:sz w:val="24"/>
          <w:szCs w:val="24"/>
        </w:rPr>
        <w:t>龙头、灯泡、水管、开关、插座、电线、拖把</w:t>
      </w:r>
      <w:r>
        <w:rPr>
          <w:rFonts w:hint="eastAsia" w:ascii="仿宋" w:hAnsi="仿宋" w:eastAsia="仿宋" w:cs="仿宋"/>
          <w:b w:val="0"/>
          <w:bCs/>
          <w:sz w:val="24"/>
          <w:szCs w:val="24"/>
          <w:highlight w:val="none"/>
        </w:rPr>
        <w:t>等</w:t>
      </w:r>
      <w:r>
        <w:rPr>
          <w:rFonts w:hint="eastAsia" w:ascii="仿宋" w:hAnsi="仿宋" w:eastAsia="仿宋" w:cs="仿宋"/>
          <w:b w:val="0"/>
          <w:bCs/>
          <w:sz w:val="24"/>
          <w:szCs w:val="24"/>
          <w:highlight w:val="none"/>
          <w:lang w:val="en-US" w:eastAsia="zh-CN"/>
        </w:rPr>
        <w:t>补充、</w:t>
      </w:r>
      <w:r>
        <w:rPr>
          <w:rFonts w:hint="eastAsia" w:ascii="仿宋" w:hAnsi="仿宋" w:eastAsia="仿宋" w:cs="仿宋"/>
          <w:b w:val="0"/>
          <w:bCs/>
          <w:sz w:val="24"/>
          <w:szCs w:val="24"/>
          <w:highlight w:val="none"/>
        </w:rPr>
        <w:t>更换费用</w:t>
      </w:r>
      <w:r>
        <w:rPr>
          <w:rFonts w:hint="eastAsia" w:ascii="仿宋" w:hAnsi="仿宋" w:eastAsia="仿宋" w:cs="仿宋"/>
          <w:b w:val="0"/>
          <w:bCs/>
          <w:sz w:val="24"/>
          <w:szCs w:val="24"/>
          <w:highlight w:val="none"/>
          <w:lang w:eastAsia="zh-CN"/>
        </w:rPr>
        <w:t>。</w:t>
      </w:r>
    </w:p>
    <w:p w14:paraId="1C2A400C">
      <w:pPr>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2、五</w:t>
      </w:r>
      <w:r>
        <w:rPr>
          <w:rFonts w:hint="eastAsia" w:ascii="仿宋" w:hAnsi="仿宋" w:eastAsia="仿宋" w:cs="仿宋"/>
          <w:b w:val="0"/>
          <w:bCs/>
          <w:sz w:val="24"/>
          <w:szCs w:val="24"/>
          <w:highlight w:val="none"/>
        </w:rPr>
        <w:t>个中转站绿化面积约为 1732.5平方米，养护内容为：范围内花草树木定期施肥、浇水、防病治虫、中耕除草，并及时修枝整型、负责及时处理枯枝落叶、白色垃圾，做好绿化带卫生保洁等。</w:t>
      </w:r>
    </w:p>
    <w:p w14:paraId="5501B505">
      <w:pPr>
        <w:spacing w:line="360" w:lineRule="auto"/>
        <w:ind w:firstLine="480" w:firstLineChars="200"/>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w:t>
      </w:r>
      <w:r>
        <w:rPr>
          <w:rFonts w:hint="default" w:ascii="仿宋" w:hAnsi="仿宋" w:eastAsia="仿宋" w:cs="仿宋"/>
          <w:b w:val="0"/>
          <w:bCs/>
          <w:sz w:val="24"/>
          <w:szCs w:val="24"/>
          <w:highlight w:val="none"/>
          <w:lang w:val="en-US" w:eastAsia="zh-CN"/>
        </w:rPr>
        <w:t>为消除中转站恶臭气体对周围环境的影响，需要定期进行除臭作业。植物液除臭剂由中标人提供，植物液除臭剂的原液植物提取物含量不低于10%，根据往年使用情况，5个中转站植物液除臭剂原液的一年使用量不得少于24吨。在合同履行过程中，中标单位需提供植物液除臭剂的采购凭证、检验报告、除臭剂使用登记表等，中标单位所采购植物液除臭剂参数、数量不满足采购人要求的，每次扣罚5000元；因除臭剂使用量不足或其他原因导致除臭效果不达标，不满足采购人要求的，每次扣罚5000元。中标单位需做好除臭、灭蝇工作，同时保持中转站地面、墙面、绿化区、厕所、操作车间、洗桶区、停车位、配电房、管理房、宿舍等区域整洁；中标单位需做好中转站内的绿化养护工作：做好除草、灭虫、浇水等日常养护工作，场区内如有绿化枯死等现象，需照价赔偿。其中，第四中转站围墙外的绿化也属中标单位管理范围</w:t>
      </w:r>
      <w:r>
        <w:rPr>
          <w:rFonts w:hint="eastAsia" w:ascii="仿宋" w:hAnsi="仿宋" w:eastAsia="仿宋" w:cs="仿宋"/>
          <w:b w:val="0"/>
          <w:bCs/>
          <w:sz w:val="24"/>
          <w:szCs w:val="24"/>
          <w:highlight w:val="none"/>
          <w:lang w:val="en-US" w:eastAsia="zh-CN"/>
        </w:rPr>
        <w:t>。</w:t>
      </w:r>
    </w:p>
    <w:p w14:paraId="36DA5033">
      <w:pPr>
        <w:spacing w:line="360" w:lineRule="auto"/>
        <w:ind w:firstLine="482" w:firstLineChars="200"/>
        <w:rPr>
          <w:rFonts w:hint="eastAsia" w:ascii="仿宋" w:hAnsi="仿宋" w:eastAsia="仿宋" w:cs="仿宋"/>
          <w:b w:val="0"/>
          <w:bCs/>
          <w:sz w:val="24"/>
          <w:szCs w:val="24"/>
          <w:lang w:val="en-US" w:eastAsia="zh-CN"/>
        </w:rPr>
      </w:pPr>
      <w:r>
        <w:rPr>
          <w:rFonts w:hint="eastAsia" w:ascii="仿宋" w:hAnsi="仿宋" w:eastAsia="仿宋" w:cs="仿宋"/>
          <w:b/>
          <w:bCs w:val="0"/>
          <w:sz w:val="24"/>
          <w:szCs w:val="24"/>
          <w:lang w:val="en-US" w:eastAsia="zh-CN"/>
        </w:rPr>
        <w:t>按实结算部分具体要求</w:t>
      </w:r>
    </w:p>
    <w:p w14:paraId="29DC89CE">
      <w:pPr>
        <w:spacing w:line="360" w:lineRule="auto"/>
        <w:ind w:firstLine="480" w:firstLineChars="20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因中转站设备设施老化、损坏等造成无法正常运营的，由中标单位负责维修或更换并承担相关费用。中标单位进行维修或更换前，需报采购人确认维修、更换内容，经采购人同意后方可进行维修或更换。如因操作不当或维护工作不到位而造成设备设施损坏的，所需维修、更换等费用由中标单位承担。如因中标单位原因造成采购人其他方面损失的，中标单位应承担相应的赔偿责任。</w:t>
      </w:r>
    </w:p>
    <w:p w14:paraId="63825DEF">
      <w:pPr>
        <w:spacing w:line="360" w:lineRule="auto"/>
        <w:ind w:firstLine="480" w:firstLineChars="20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2、中转站设备设施的维修，按实结算，维修费需提供相应维修清单明细，经采购人或第三方审核确认。</w:t>
      </w:r>
    </w:p>
    <w:p w14:paraId="523EB056">
      <w:pPr>
        <w:spacing w:line="360" w:lineRule="auto"/>
        <w:ind w:firstLine="482" w:firstLineChars="200"/>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（三）其他具体要求</w:t>
      </w:r>
    </w:p>
    <w:p w14:paraId="486E560D">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、具体作业时间：</w:t>
      </w:r>
    </w:p>
    <w:p w14:paraId="0CBD6F7A">
      <w:pPr>
        <w:spacing w:line="360" w:lineRule="auto"/>
        <w:ind w:firstLine="480" w:firstLineChars="20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来薰</w:t>
      </w:r>
      <w:r>
        <w:rPr>
          <w:rFonts w:hint="eastAsia" w:ascii="仿宋" w:hAnsi="仿宋" w:eastAsia="仿宋" w:cs="仿宋"/>
          <w:b w:val="0"/>
          <w:bCs/>
          <w:sz w:val="24"/>
          <w:szCs w:val="24"/>
          <w:highlight w:val="none"/>
        </w:rPr>
        <w:t xml:space="preserve">中转站  </w:t>
      </w:r>
      <w:r>
        <w:rPr>
          <w:rFonts w:hint="eastAsia" w:ascii="仿宋" w:hAnsi="仿宋" w:eastAsia="仿宋" w:cs="仿宋"/>
          <w:b w:val="0"/>
          <w:bCs/>
          <w:sz w:val="24"/>
          <w:szCs w:val="24"/>
          <w:highlight w:val="none"/>
          <w:lang w:val="en-US" w:eastAsia="zh-CN"/>
        </w:rPr>
        <w:t xml:space="preserve">  4</w:t>
      </w:r>
      <w:r>
        <w:rPr>
          <w:rFonts w:hint="eastAsia" w:ascii="仿宋" w:hAnsi="仿宋" w:eastAsia="仿宋" w:cs="仿宋"/>
          <w:b w:val="0"/>
          <w:bCs/>
          <w:sz w:val="24"/>
          <w:szCs w:val="24"/>
          <w:highlight w:val="none"/>
        </w:rPr>
        <w:t>:00—2</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:00</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每天18小时</w:t>
      </w:r>
      <w:r>
        <w:rPr>
          <w:rFonts w:hint="eastAsia" w:ascii="仿宋" w:hAnsi="仿宋" w:eastAsia="仿宋" w:cs="仿宋"/>
          <w:b w:val="0"/>
          <w:bCs/>
          <w:sz w:val="24"/>
          <w:szCs w:val="24"/>
          <w:highlight w:val="none"/>
          <w:lang w:eastAsia="zh-CN"/>
        </w:rPr>
        <w:t>）</w:t>
      </w:r>
    </w:p>
    <w:p w14:paraId="688D856A">
      <w:pPr>
        <w:spacing w:line="360" w:lineRule="auto"/>
        <w:ind w:firstLine="480" w:firstLineChars="20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 xml:space="preserve">白鹤中转站 </w:t>
      </w:r>
      <w:r>
        <w:rPr>
          <w:rFonts w:hint="eastAsia" w:ascii="仿宋" w:hAnsi="仿宋" w:eastAsia="仿宋" w:cs="仿宋"/>
          <w:b w:val="0"/>
          <w:bCs/>
          <w:sz w:val="24"/>
          <w:szCs w:val="24"/>
          <w:highlight w:val="none"/>
          <w:lang w:val="en-US" w:eastAsia="zh-CN"/>
        </w:rPr>
        <w:t xml:space="preserve">   4</w:t>
      </w:r>
      <w:r>
        <w:rPr>
          <w:rFonts w:hint="eastAsia" w:ascii="仿宋" w:hAnsi="仿宋" w:eastAsia="仿宋" w:cs="仿宋"/>
          <w:b w:val="0"/>
          <w:bCs/>
          <w:sz w:val="24"/>
          <w:szCs w:val="24"/>
          <w:highlight w:val="none"/>
        </w:rPr>
        <w:t>:00—</w:t>
      </w:r>
      <w:r>
        <w:rPr>
          <w:rFonts w:hint="eastAsia" w:ascii="仿宋" w:hAnsi="仿宋" w:eastAsia="仿宋" w:cs="仿宋"/>
          <w:b w:val="0"/>
          <w:bCs/>
          <w:sz w:val="24"/>
          <w:szCs w:val="24"/>
          <w:highlight w:val="none"/>
          <w:lang w:val="en-US" w:eastAsia="zh-CN"/>
        </w:rPr>
        <w:t>19</w:t>
      </w:r>
      <w:r>
        <w:rPr>
          <w:rFonts w:hint="eastAsia" w:ascii="仿宋" w:hAnsi="仿宋" w:eastAsia="仿宋" w:cs="仿宋"/>
          <w:b w:val="0"/>
          <w:bCs/>
          <w:sz w:val="24"/>
          <w:szCs w:val="24"/>
          <w:highlight w:val="none"/>
        </w:rPr>
        <w:t>:00</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每天15小时</w:t>
      </w:r>
      <w:r>
        <w:rPr>
          <w:rFonts w:hint="eastAsia" w:ascii="仿宋" w:hAnsi="仿宋" w:eastAsia="仿宋" w:cs="仿宋"/>
          <w:b w:val="0"/>
          <w:bCs/>
          <w:sz w:val="24"/>
          <w:szCs w:val="24"/>
          <w:highlight w:val="none"/>
          <w:lang w:eastAsia="zh-CN"/>
        </w:rPr>
        <w:t>）</w:t>
      </w:r>
    </w:p>
    <w:p w14:paraId="1CBDAB10">
      <w:pPr>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第四中转站  </w:t>
      </w:r>
      <w:r>
        <w:rPr>
          <w:rFonts w:hint="eastAsia" w:ascii="仿宋" w:hAnsi="仿宋" w:eastAsia="仿宋" w:cs="仿宋"/>
          <w:b w:val="0"/>
          <w:bCs/>
          <w:sz w:val="24"/>
          <w:szCs w:val="24"/>
          <w:highlight w:val="none"/>
          <w:lang w:val="en-US" w:eastAsia="zh-CN"/>
        </w:rPr>
        <w:t xml:space="preserve">  4</w:t>
      </w:r>
      <w:r>
        <w:rPr>
          <w:rFonts w:hint="eastAsia" w:ascii="仿宋" w:hAnsi="仿宋" w:eastAsia="仿宋" w:cs="仿宋"/>
          <w:b w:val="0"/>
          <w:bCs/>
          <w:sz w:val="24"/>
          <w:szCs w:val="24"/>
          <w:highlight w:val="none"/>
        </w:rPr>
        <w:t>:00—1</w:t>
      </w:r>
      <w:r>
        <w:rPr>
          <w:rFonts w:hint="eastAsia" w:ascii="仿宋" w:hAnsi="仿宋" w:eastAsia="仿宋" w:cs="仿宋"/>
          <w:b w:val="0"/>
          <w:bCs/>
          <w:sz w:val="24"/>
          <w:szCs w:val="24"/>
          <w:highlight w:val="none"/>
          <w:lang w:val="en-US" w:eastAsia="zh-CN"/>
        </w:rPr>
        <w:t>9</w:t>
      </w:r>
      <w:r>
        <w:rPr>
          <w:rFonts w:hint="eastAsia" w:ascii="仿宋" w:hAnsi="仿宋" w:eastAsia="仿宋" w:cs="仿宋"/>
          <w:b w:val="0"/>
          <w:bCs/>
          <w:sz w:val="24"/>
          <w:szCs w:val="24"/>
          <w:highlight w:val="none"/>
        </w:rPr>
        <w:t>:00</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每天15小时</w:t>
      </w:r>
      <w:r>
        <w:rPr>
          <w:rFonts w:hint="eastAsia" w:ascii="仿宋" w:hAnsi="仿宋" w:eastAsia="仿宋" w:cs="仿宋"/>
          <w:b w:val="0"/>
          <w:bCs/>
          <w:sz w:val="24"/>
          <w:szCs w:val="24"/>
          <w:highlight w:val="none"/>
          <w:lang w:eastAsia="zh-CN"/>
        </w:rPr>
        <w:t>）</w:t>
      </w:r>
    </w:p>
    <w:p w14:paraId="1FCF0B2F">
      <w:pPr>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大目湾中转站 </w:t>
      </w:r>
      <w:r>
        <w:rPr>
          <w:rFonts w:hint="eastAsia" w:ascii="仿宋" w:hAnsi="仿宋" w:eastAsia="仿宋" w:cs="仿宋"/>
          <w:b w:val="0"/>
          <w:bCs/>
          <w:sz w:val="24"/>
          <w:szCs w:val="24"/>
          <w:highlight w:val="none"/>
          <w:lang w:val="en-US" w:eastAsia="zh-CN"/>
        </w:rPr>
        <w:t xml:space="preserve"> 4</w:t>
      </w:r>
      <w:r>
        <w:rPr>
          <w:rFonts w:hint="eastAsia" w:ascii="仿宋" w:hAnsi="仿宋" w:eastAsia="仿宋" w:cs="仿宋"/>
          <w:b w:val="0"/>
          <w:bCs/>
          <w:sz w:val="24"/>
          <w:szCs w:val="24"/>
          <w:highlight w:val="none"/>
        </w:rPr>
        <w:t>:00—1</w:t>
      </w:r>
      <w:r>
        <w:rPr>
          <w:rFonts w:hint="eastAsia" w:ascii="仿宋" w:hAnsi="仿宋" w:eastAsia="仿宋" w:cs="仿宋"/>
          <w:b w:val="0"/>
          <w:bCs/>
          <w:sz w:val="24"/>
          <w:szCs w:val="24"/>
          <w:highlight w:val="none"/>
          <w:lang w:val="en-US" w:eastAsia="zh-CN"/>
        </w:rPr>
        <w:t>9</w:t>
      </w:r>
      <w:r>
        <w:rPr>
          <w:rFonts w:hint="eastAsia" w:ascii="仿宋" w:hAnsi="仿宋" w:eastAsia="仿宋" w:cs="仿宋"/>
          <w:b w:val="0"/>
          <w:bCs/>
          <w:sz w:val="24"/>
          <w:szCs w:val="24"/>
          <w:highlight w:val="none"/>
        </w:rPr>
        <w:t>:00</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每天15小时</w:t>
      </w:r>
      <w:r>
        <w:rPr>
          <w:rFonts w:hint="eastAsia" w:ascii="仿宋" w:hAnsi="仿宋" w:eastAsia="仿宋" w:cs="仿宋"/>
          <w:b w:val="0"/>
          <w:bCs/>
          <w:sz w:val="24"/>
          <w:szCs w:val="24"/>
          <w:highlight w:val="none"/>
          <w:lang w:eastAsia="zh-CN"/>
        </w:rPr>
        <w:t>）</w:t>
      </w:r>
    </w:p>
    <w:p w14:paraId="36FA285A">
      <w:pPr>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大目山中转站  </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:00—1</w:t>
      </w:r>
      <w:r>
        <w:rPr>
          <w:rFonts w:hint="eastAsia" w:ascii="仿宋" w:hAnsi="仿宋" w:eastAsia="仿宋" w:cs="仿宋"/>
          <w:b w:val="0"/>
          <w:bCs/>
          <w:sz w:val="24"/>
          <w:szCs w:val="24"/>
          <w:highlight w:val="none"/>
          <w:lang w:val="en-US" w:eastAsia="zh-CN"/>
        </w:rPr>
        <w:t>9</w:t>
      </w:r>
      <w:r>
        <w:rPr>
          <w:rFonts w:hint="eastAsia" w:ascii="仿宋" w:hAnsi="仿宋" w:eastAsia="仿宋" w:cs="仿宋"/>
          <w:b w:val="0"/>
          <w:bCs/>
          <w:sz w:val="24"/>
          <w:szCs w:val="24"/>
          <w:highlight w:val="none"/>
        </w:rPr>
        <w:t>:00</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每天15小时</w:t>
      </w:r>
      <w:r>
        <w:rPr>
          <w:rFonts w:hint="eastAsia" w:ascii="仿宋" w:hAnsi="仿宋" w:eastAsia="仿宋" w:cs="仿宋"/>
          <w:b w:val="0"/>
          <w:bCs/>
          <w:sz w:val="24"/>
          <w:szCs w:val="24"/>
          <w:highlight w:val="none"/>
          <w:lang w:eastAsia="zh-CN"/>
        </w:rPr>
        <w:t>）</w:t>
      </w:r>
    </w:p>
    <w:p w14:paraId="7EBEE585">
      <w:pPr>
        <w:numPr>
          <w:ilvl w:val="0"/>
          <w:numId w:val="0"/>
        </w:num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2、</w:t>
      </w:r>
      <w:r>
        <w:rPr>
          <w:rFonts w:hint="eastAsia" w:ascii="仿宋" w:hAnsi="仿宋" w:eastAsia="仿宋" w:cs="仿宋"/>
          <w:b w:val="0"/>
          <w:bCs/>
          <w:sz w:val="24"/>
          <w:szCs w:val="24"/>
          <w:lang w:val="en-US" w:eastAsia="zh-CN"/>
        </w:rPr>
        <w:t>人员要求</w:t>
      </w:r>
      <w:r>
        <w:rPr>
          <w:rFonts w:hint="eastAsia" w:ascii="仿宋" w:hAnsi="仿宋" w:eastAsia="仿宋" w:cs="仿宋"/>
          <w:b w:val="0"/>
          <w:bCs/>
          <w:sz w:val="24"/>
          <w:szCs w:val="24"/>
        </w:rPr>
        <w:t>：本项目共需配置1</w:t>
      </w:r>
      <w:r>
        <w:rPr>
          <w:rFonts w:hint="eastAsia" w:ascii="仿宋" w:hAnsi="仿宋" w:eastAsia="仿宋" w:cs="仿宋"/>
          <w:b w:val="0"/>
          <w:bCs/>
          <w:sz w:val="24"/>
          <w:szCs w:val="24"/>
          <w:lang w:val="en-US" w:eastAsia="zh-CN"/>
        </w:rPr>
        <w:t>8</w:t>
      </w:r>
      <w:r>
        <w:rPr>
          <w:rFonts w:hint="eastAsia" w:ascii="仿宋" w:hAnsi="仿宋" w:eastAsia="仿宋" w:cs="仿宋"/>
          <w:b w:val="0"/>
          <w:bCs/>
          <w:sz w:val="24"/>
          <w:szCs w:val="24"/>
        </w:rPr>
        <w:t>人，其中操作工16人，管理</w:t>
      </w:r>
      <w:r>
        <w:rPr>
          <w:rFonts w:hint="eastAsia" w:ascii="仿宋" w:hAnsi="仿宋" w:eastAsia="仿宋" w:cs="仿宋"/>
          <w:b w:val="0"/>
          <w:bCs/>
          <w:sz w:val="24"/>
          <w:szCs w:val="24"/>
          <w:lang w:val="en-US" w:eastAsia="zh-CN"/>
        </w:rPr>
        <w:t>人员</w:t>
      </w:r>
      <w:r>
        <w:rPr>
          <w:rFonts w:hint="eastAsia" w:ascii="仿宋" w:hAnsi="仿宋" w:eastAsia="仿宋" w:cs="仿宋"/>
          <w:b w:val="0"/>
          <w:bCs/>
          <w:sz w:val="24"/>
          <w:szCs w:val="24"/>
        </w:rPr>
        <w:t>、工程维修各1人。</w:t>
      </w:r>
      <w:r>
        <w:rPr>
          <w:rFonts w:hint="eastAsia" w:ascii="仿宋" w:hAnsi="仿宋" w:eastAsia="仿宋" w:cs="仿宋"/>
          <w:b w:val="0"/>
          <w:bCs/>
          <w:sz w:val="24"/>
          <w:szCs w:val="24"/>
          <w:lang w:val="en-US" w:eastAsia="zh-CN"/>
        </w:rPr>
        <w:t>管理人员</w:t>
      </w:r>
      <w:r>
        <w:rPr>
          <w:rFonts w:hint="eastAsia" w:ascii="仿宋" w:hAnsi="仿宋" w:eastAsia="仿宋" w:cs="仿宋"/>
          <w:b w:val="0"/>
          <w:bCs/>
          <w:sz w:val="24"/>
          <w:szCs w:val="24"/>
        </w:rPr>
        <w:t>主要负责中转站的日常管理工作。</w:t>
      </w:r>
      <w:r>
        <w:rPr>
          <w:rFonts w:hint="eastAsia" w:ascii="仿宋" w:hAnsi="仿宋" w:eastAsia="仿宋" w:cs="仿宋"/>
          <w:b w:val="0"/>
          <w:bCs/>
          <w:sz w:val="24"/>
          <w:szCs w:val="24"/>
          <w:lang w:val="en-US" w:eastAsia="zh-CN"/>
        </w:rPr>
        <w:t>工程维修</w:t>
      </w:r>
      <w:r>
        <w:rPr>
          <w:rFonts w:hint="eastAsia" w:ascii="仿宋" w:hAnsi="仿宋" w:eastAsia="仿宋" w:cs="仿宋"/>
          <w:b w:val="0"/>
          <w:bCs/>
          <w:sz w:val="24"/>
          <w:szCs w:val="24"/>
        </w:rPr>
        <w:t>主要负责各类机械设施的日常巡查、养护、维修、运行和管理，并且负责监督安全生产工作，防止安全责任事故发生；同时负责中转站内零星部件的维修更换，包括灯泡、水龙头和水管等。</w:t>
      </w:r>
    </w:p>
    <w:p w14:paraId="12A4DCA5">
      <w:pPr>
        <w:numPr>
          <w:ilvl w:val="0"/>
          <w:numId w:val="0"/>
        </w:numPr>
        <w:spacing w:line="360" w:lineRule="auto"/>
        <w:ind w:firstLine="480" w:firstLineChars="200"/>
        <w:rPr>
          <w:rFonts w:hint="default" w:ascii="仿宋" w:hAnsi="仿宋" w:eastAsia="仿宋" w:cs="仿宋"/>
          <w:b w:val="0"/>
          <w:bCs/>
          <w:sz w:val="24"/>
          <w:szCs w:val="24"/>
          <w:vertAlign w:val="baseline"/>
          <w:lang w:val="en-US" w:eastAsia="zh-CN"/>
        </w:rPr>
      </w:pPr>
      <w:r>
        <w:rPr>
          <w:rFonts w:hint="eastAsia" w:ascii="仿宋" w:hAnsi="仿宋" w:eastAsia="仿宋" w:cs="仿宋"/>
          <w:b w:val="0"/>
          <w:bCs/>
          <w:kern w:val="2"/>
          <w:sz w:val="24"/>
          <w:szCs w:val="24"/>
          <w:vertAlign w:val="baseline"/>
          <w:lang w:val="en-US" w:eastAsia="zh-CN" w:bidi="ar-SA"/>
        </w:rPr>
        <w:t>3、</w:t>
      </w:r>
      <w:r>
        <w:rPr>
          <w:rFonts w:hint="eastAsia" w:ascii="仿宋" w:hAnsi="仿宋" w:eastAsia="仿宋" w:cs="仿宋"/>
          <w:b w:val="0"/>
          <w:bCs/>
          <w:sz w:val="24"/>
          <w:szCs w:val="24"/>
        </w:rPr>
        <w:t>中标单位所招聘人员必须身体健康、思想端正、年龄合适、服从安排，并需对新入职人员进行政治思想教育、安全教育和必要的岗位业务培训，合格者方可正式聘用上岗。</w:t>
      </w:r>
      <w:r>
        <w:rPr>
          <w:rFonts w:hint="eastAsia" w:ascii="仿宋" w:hAnsi="仿宋" w:eastAsia="仿宋" w:cs="仿宋"/>
          <w:b w:val="0"/>
          <w:bCs/>
          <w:sz w:val="24"/>
          <w:szCs w:val="24"/>
          <w:lang w:val="en-US" w:eastAsia="zh-CN"/>
        </w:rPr>
        <w:t>全部人员需缴纳社保。</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2656"/>
        <w:gridCol w:w="1914"/>
        <w:gridCol w:w="1914"/>
        <w:gridCol w:w="1915"/>
      </w:tblGrid>
      <w:tr w14:paraId="0D9A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72" w:type="dxa"/>
            <w:noWrap w:val="0"/>
            <w:vAlign w:val="center"/>
          </w:tcPr>
          <w:p w14:paraId="42EC08F7">
            <w:pPr>
              <w:spacing w:line="360" w:lineRule="auto"/>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序号</w:t>
            </w:r>
          </w:p>
        </w:tc>
        <w:tc>
          <w:tcPr>
            <w:tcW w:w="2656" w:type="dxa"/>
            <w:noWrap w:val="0"/>
            <w:vAlign w:val="center"/>
          </w:tcPr>
          <w:p w14:paraId="361C6111">
            <w:pPr>
              <w:spacing w:line="360" w:lineRule="auto"/>
              <w:jc w:val="center"/>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中转站名称</w:t>
            </w:r>
          </w:p>
        </w:tc>
        <w:tc>
          <w:tcPr>
            <w:tcW w:w="1914" w:type="dxa"/>
            <w:noWrap w:val="0"/>
            <w:vAlign w:val="center"/>
          </w:tcPr>
          <w:p w14:paraId="1FD5382D">
            <w:pPr>
              <w:spacing w:line="360" w:lineRule="auto"/>
              <w:jc w:val="center"/>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操作人员</w:t>
            </w:r>
          </w:p>
        </w:tc>
        <w:tc>
          <w:tcPr>
            <w:tcW w:w="1914" w:type="dxa"/>
            <w:noWrap w:val="0"/>
            <w:vAlign w:val="center"/>
          </w:tcPr>
          <w:p w14:paraId="6ED32CD1">
            <w:pPr>
              <w:spacing w:line="360" w:lineRule="auto"/>
              <w:jc w:val="center"/>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管理人员</w:t>
            </w:r>
          </w:p>
        </w:tc>
        <w:tc>
          <w:tcPr>
            <w:tcW w:w="1915" w:type="dxa"/>
            <w:noWrap w:val="0"/>
            <w:vAlign w:val="center"/>
          </w:tcPr>
          <w:p w14:paraId="1D9D68C8">
            <w:pPr>
              <w:spacing w:line="360" w:lineRule="auto"/>
              <w:jc w:val="center"/>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工程维修</w:t>
            </w:r>
          </w:p>
        </w:tc>
      </w:tr>
      <w:tr w14:paraId="393B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14:paraId="74C03026">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2656" w:type="dxa"/>
            <w:noWrap w:val="0"/>
            <w:vAlign w:val="center"/>
          </w:tcPr>
          <w:p w14:paraId="57B12C9B">
            <w:pPr>
              <w:spacing w:line="360" w:lineRule="auto"/>
              <w:jc w:val="center"/>
              <w:rPr>
                <w:rFonts w:hint="eastAsia" w:ascii="仿宋" w:hAnsi="仿宋" w:eastAsia="仿宋" w:cs="仿宋"/>
                <w:b w:val="0"/>
                <w:bCs/>
                <w:sz w:val="24"/>
                <w:szCs w:val="24"/>
                <w:vertAlign w:val="baseline"/>
              </w:rPr>
            </w:pPr>
            <w:r>
              <w:rPr>
                <w:rFonts w:hint="eastAsia" w:ascii="仿宋" w:hAnsi="仿宋" w:eastAsia="仿宋" w:cs="仿宋"/>
                <w:b w:val="0"/>
                <w:bCs/>
                <w:sz w:val="24"/>
                <w:szCs w:val="24"/>
                <w:lang w:eastAsia="zh-CN"/>
              </w:rPr>
              <w:t>来薰</w:t>
            </w:r>
            <w:r>
              <w:rPr>
                <w:rFonts w:hint="eastAsia" w:ascii="仿宋" w:hAnsi="仿宋" w:eastAsia="仿宋" w:cs="仿宋"/>
                <w:b w:val="0"/>
                <w:bCs/>
                <w:sz w:val="24"/>
                <w:szCs w:val="24"/>
              </w:rPr>
              <w:t>中转站</w:t>
            </w:r>
          </w:p>
        </w:tc>
        <w:tc>
          <w:tcPr>
            <w:tcW w:w="1914" w:type="dxa"/>
            <w:noWrap w:val="0"/>
            <w:vAlign w:val="center"/>
          </w:tcPr>
          <w:p w14:paraId="246E6BC2">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1914" w:type="dxa"/>
            <w:vMerge w:val="restart"/>
            <w:noWrap w:val="0"/>
            <w:vAlign w:val="center"/>
          </w:tcPr>
          <w:p w14:paraId="138B54DA">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1915" w:type="dxa"/>
            <w:vMerge w:val="restart"/>
            <w:noWrap w:val="0"/>
            <w:vAlign w:val="center"/>
          </w:tcPr>
          <w:p w14:paraId="5AE8475A">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r>
      <w:tr w14:paraId="772F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14:paraId="499B3895">
            <w:pPr>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2656" w:type="dxa"/>
            <w:noWrap w:val="0"/>
            <w:vAlign w:val="center"/>
          </w:tcPr>
          <w:p w14:paraId="41068E93">
            <w:pPr>
              <w:spacing w:line="360" w:lineRule="auto"/>
              <w:jc w:val="center"/>
              <w:rPr>
                <w:rFonts w:hint="eastAsia" w:ascii="仿宋" w:hAnsi="仿宋" w:eastAsia="仿宋" w:cs="仿宋"/>
                <w:b w:val="0"/>
                <w:bCs/>
                <w:sz w:val="24"/>
                <w:szCs w:val="24"/>
                <w:vertAlign w:val="baseline"/>
              </w:rPr>
            </w:pPr>
            <w:r>
              <w:rPr>
                <w:rFonts w:hint="eastAsia" w:ascii="仿宋" w:hAnsi="仿宋" w:eastAsia="仿宋" w:cs="仿宋"/>
                <w:b w:val="0"/>
                <w:bCs/>
                <w:sz w:val="24"/>
                <w:szCs w:val="24"/>
              </w:rPr>
              <w:t>白鹤中转站</w:t>
            </w:r>
          </w:p>
        </w:tc>
        <w:tc>
          <w:tcPr>
            <w:tcW w:w="1914" w:type="dxa"/>
            <w:noWrap w:val="0"/>
            <w:vAlign w:val="center"/>
          </w:tcPr>
          <w:p w14:paraId="39BDCFCC">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1914" w:type="dxa"/>
            <w:vMerge w:val="continue"/>
            <w:noWrap w:val="0"/>
            <w:vAlign w:val="center"/>
          </w:tcPr>
          <w:p w14:paraId="53D3C6E5">
            <w:pPr>
              <w:spacing w:line="360" w:lineRule="auto"/>
              <w:jc w:val="center"/>
              <w:rPr>
                <w:rFonts w:hint="eastAsia" w:ascii="仿宋" w:hAnsi="仿宋" w:eastAsia="仿宋" w:cs="仿宋"/>
                <w:b w:val="0"/>
                <w:bCs/>
                <w:sz w:val="24"/>
                <w:szCs w:val="24"/>
                <w:vertAlign w:val="baseline"/>
              </w:rPr>
            </w:pPr>
          </w:p>
        </w:tc>
        <w:tc>
          <w:tcPr>
            <w:tcW w:w="1915" w:type="dxa"/>
            <w:vMerge w:val="continue"/>
            <w:noWrap w:val="0"/>
            <w:vAlign w:val="center"/>
          </w:tcPr>
          <w:p w14:paraId="18A43187">
            <w:pPr>
              <w:spacing w:line="360" w:lineRule="auto"/>
              <w:jc w:val="center"/>
              <w:rPr>
                <w:rFonts w:hint="eastAsia" w:ascii="仿宋" w:hAnsi="仿宋" w:eastAsia="仿宋" w:cs="仿宋"/>
                <w:b w:val="0"/>
                <w:bCs/>
                <w:sz w:val="24"/>
                <w:szCs w:val="24"/>
                <w:vertAlign w:val="baseline"/>
              </w:rPr>
            </w:pPr>
          </w:p>
        </w:tc>
      </w:tr>
      <w:tr w14:paraId="0DD4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14:paraId="43947459">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2656" w:type="dxa"/>
            <w:noWrap w:val="0"/>
            <w:vAlign w:val="center"/>
          </w:tcPr>
          <w:p w14:paraId="065FD8BB">
            <w:pPr>
              <w:spacing w:line="360" w:lineRule="auto"/>
              <w:jc w:val="center"/>
              <w:rPr>
                <w:rFonts w:hint="eastAsia" w:ascii="仿宋" w:hAnsi="仿宋" w:eastAsia="仿宋" w:cs="仿宋"/>
                <w:b w:val="0"/>
                <w:bCs/>
                <w:sz w:val="24"/>
                <w:szCs w:val="24"/>
                <w:vertAlign w:val="baseline"/>
              </w:rPr>
            </w:pPr>
            <w:r>
              <w:rPr>
                <w:rFonts w:hint="eastAsia" w:ascii="仿宋" w:hAnsi="仿宋" w:eastAsia="仿宋" w:cs="仿宋"/>
                <w:b w:val="0"/>
                <w:bCs/>
                <w:sz w:val="24"/>
                <w:szCs w:val="24"/>
              </w:rPr>
              <w:t>第四中转站</w:t>
            </w:r>
          </w:p>
        </w:tc>
        <w:tc>
          <w:tcPr>
            <w:tcW w:w="1914" w:type="dxa"/>
            <w:noWrap w:val="0"/>
            <w:vAlign w:val="center"/>
          </w:tcPr>
          <w:p w14:paraId="6A703F20">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1914" w:type="dxa"/>
            <w:vMerge w:val="continue"/>
            <w:noWrap w:val="0"/>
            <w:vAlign w:val="center"/>
          </w:tcPr>
          <w:p w14:paraId="469EA1EE">
            <w:pPr>
              <w:spacing w:line="360" w:lineRule="auto"/>
              <w:jc w:val="center"/>
              <w:rPr>
                <w:rFonts w:hint="eastAsia" w:ascii="仿宋" w:hAnsi="仿宋" w:eastAsia="仿宋" w:cs="仿宋"/>
                <w:b w:val="0"/>
                <w:bCs/>
                <w:sz w:val="24"/>
                <w:szCs w:val="24"/>
                <w:vertAlign w:val="baseline"/>
              </w:rPr>
            </w:pPr>
          </w:p>
        </w:tc>
        <w:tc>
          <w:tcPr>
            <w:tcW w:w="1915" w:type="dxa"/>
            <w:vMerge w:val="continue"/>
            <w:noWrap w:val="0"/>
            <w:vAlign w:val="center"/>
          </w:tcPr>
          <w:p w14:paraId="61C044BF">
            <w:pPr>
              <w:spacing w:line="360" w:lineRule="auto"/>
              <w:jc w:val="center"/>
              <w:rPr>
                <w:rFonts w:hint="eastAsia" w:ascii="仿宋" w:hAnsi="仿宋" w:eastAsia="仿宋" w:cs="仿宋"/>
                <w:b w:val="0"/>
                <w:bCs/>
                <w:sz w:val="24"/>
                <w:szCs w:val="24"/>
                <w:vertAlign w:val="baseline"/>
              </w:rPr>
            </w:pPr>
          </w:p>
        </w:tc>
      </w:tr>
      <w:tr w14:paraId="1681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14:paraId="458F8BB3">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2656" w:type="dxa"/>
            <w:noWrap w:val="0"/>
            <w:vAlign w:val="center"/>
          </w:tcPr>
          <w:p w14:paraId="163095CA">
            <w:pPr>
              <w:spacing w:line="360" w:lineRule="auto"/>
              <w:jc w:val="center"/>
              <w:rPr>
                <w:rFonts w:hint="eastAsia" w:ascii="仿宋" w:hAnsi="仿宋" w:eastAsia="仿宋" w:cs="仿宋"/>
                <w:b w:val="0"/>
                <w:bCs/>
                <w:sz w:val="24"/>
                <w:szCs w:val="24"/>
                <w:vertAlign w:val="baseline"/>
              </w:rPr>
            </w:pPr>
            <w:r>
              <w:rPr>
                <w:rFonts w:hint="eastAsia" w:ascii="仿宋" w:hAnsi="仿宋" w:eastAsia="仿宋" w:cs="仿宋"/>
                <w:b w:val="0"/>
                <w:bCs/>
                <w:sz w:val="24"/>
                <w:szCs w:val="24"/>
              </w:rPr>
              <w:t>大目湾中转站</w:t>
            </w:r>
          </w:p>
        </w:tc>
        <w:tc>
          <w:tcPr>
            <w:tcW w:w="1914" w:type="dxa"/>
            <w:noWrap w:val="0"/>
            <w:vAlign w:val="center"/>
          </w:tcPr>
          <w:p w14:paraId="1605412F">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1914" w:type="dxa"/>
            <w:vMerge w:val="continue"/>
            <w:noWrap w:val="0"/>
            <w:vAlign w:val="center"/>
          </w:tcPr>
          <w:p w14:paraId="56681851">
            <w:pPr>
              <w:spacing w:line="360" w:lineRule="auto"/>
              <w:jc w:val="center"/>
              <w:rPr>
                <w:rFonts w:hint="eastAsia" w:ascii="仿宋" w:hAnsi="仿宋" w:eastAsia="仿宋" w:cs="仿宋"/>
                <w:b w:val="0"/>
                <w:bCs/>
                <w:sz w:val="24"/>
                <w:szCs w:val="24"/>
                <w:vertAlign w:val="baseline"/>
              </w:rPr>
            </w:pPr>
          </w:p>
        </w:tc>
        <w:tc>
          <w:tcPr>
            <w:tcW w:w="1915" w:type="dxa"/>
            <w:vMerge w:val="continue"/>
            <w:noWrap w:val="0"/>
            <w:vAlign w:val="center"/>
          </w:tcPr>
          <w:p w14:paraId="411712F4">
            <w:pPr>
              <w:spacing w:line="360" w:lineRule="auto"/>
              <w:jc w:val="center"/>
              <w:rPr>
                <w:rFonts w:hint="eastAsia" w:ascii="仿宋" w:hAnsi="仿宋" w:eastAsia="仿宋" w:cs="仿宋"/>
                <w:b w:val="0"/>
                <w:bCs/>
                <w:sz w:val="24"/>
                <w:szCs w:val="24"/>
                <w:vertAlign w:val="baseline"/>
              </w:rPr>
            </w:pPr>
          </w:p>
        </w:tc>
      </w:tr>
      <w:tr w14:paraId="207A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14:paraId="3DC6CCD8">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w:t>
            </w:r>
          </w:p>
        </w:tc>
        <w:tc>
          <w:tcPr>
            <w:tcW w:w="2656" w:type="dxa"/>
            <w:noWrap w:val="0"/>
            <w:vAlign w:val="center"/>
          </w:tcPr>
          <w:p w14:paraId="43B6250E">
            <w:pPr>
              <w:spacing w:line="360" w:lineRule="auto"/>
              <w:jc w:val="center"/>
              <w:rPr>
                <w:rFonts w:hint="eastAsia" w:ascii="仿宋" w:hAnsi="仿宋" w:eastAsia="仿宋" w:cs="仿宋"/>
                <w:b w:val="0"/>
                <w:bCs/>
                <w:sz w:val="24"/>
                <w:szCs w:val="24"/>
                <w:vertAlign w:val="baseline"/>
              </w:rPr>
            </w:pPr>
            <w:r>
              <w:rPr>
                <w:rFonts w:hint="eastAsia" w:ascii="仿宋" w:hAnsi="仿宋" w:eastAsia="仿宋" w:cs="仿宋"/>
                <w:b w:val="0"/>
                <w:bCs/>
                <w:sz w:val="24"/>
                <w:szCs w:val="24"/>
              </w:rPr>
              <w:t>大目山中转站</w:t>
            </w:r>
          </w:p>
        </w:tc>
        <w:tc>
          <w:tcPr>
            <w:tcW w:w="1914" w:type="dxa"/>
            <w:noWrap w:val="0"/>
            <w:vAlign w:val="center"/>
          </w:tcPr>
          <w:p w14:paraId="3DED7EAA">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1914" w:type="dxa"/>
            <w:vMerge w:val="continue"/>
            <w:noWrap w:val="0"/>
            <w:vAlign w:val="center"/>
          </w:tcPr>
          <w:p w14:paraId="574C6917">
            <w:pPr>
              <w:spacing w:line="360" w:lineRule="auto"/>
              <w:jc w:val="center"/>
              <w:rPr>
                <w:rFonts w:hint="eastAsia" w:ascii="仿宋" w:hAnsi="仿宋" w:eastAsia="仿宋" w:cs="仿宋"/>
                <w:b w:val="0"/>
                <w:bCs/>
                <w:sz w:val="24"/>
                <w:szCs w:val="24"/>
                <w:vertAlign w:val="baseline"/>
              </w:rPr>
            </w:pPr>
          </w:p>
        </w:tc>
        <w:tc>
          <w:tcPr>
            <w:tcW w:w="1915" w:type="dxa"/>
            <w:vMerge w:val="continue"/>
            <w:noWrap w:val="0"/>
            <w:vAlign w:val="center"/>
          </w:tcPr>
          <w:p w14:paraId="033586C3">
            <w:pPr>
              <w:spacing w:line="360" w:lineRule="auto"/>
              <w:jc w:val="center"/>
              <w:rPr>
                <w:rFonts w:hint="eastAsia" w:ascii="仿宋" w:hAnsi="仿宋" w:eastAsia="仿宋" w:cs="仿宋"/>
                <w:b w:val="0"/>
                <w:bCs/>
                <w:sz w:val="24"/>
                <w:szCs w:val="24"/>
                <w:vertAlign w:val="baseline"/>
              </w:rPr>
            </w:pPr>
          </w:p>
        </w:tc>
      </w:tr>
      <w:tr w14:paraId="5FA6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gridSpan w:val="2"/>
            <w:noWrap w:val="0"/>
            <w:vAlign w:val="center"/>
          </w:tcPr>
          <w:p w14:paraId="2D41003B">
            <w:pPr>
              <w:spacing w:line="360" w:lineRule="auto"/>
              <w:jc w:val="center"/>
              <w:rPr>
                <w:rFonts w:hint="default" w:ascii="仿宋" w:hAnsi="仿宋" w:eastAsia="仿宋" w:cs="仿宋"/>
                <w:b w:val="0"/>
                <w:bCs/>
                <w:sz w:val="24"/>
                <w:szCs w:val="24"/>
                <w:vertAlign w:val="baseline"/>
                <w:lang w:val="en-US"/>
              </w:rPr>
            </w:pPr>
            <w:r>
              <w:rPr>
                <w:rFonts w:hint="eastAsia" w:ascii="仿宋" w:hAnsi="仿宋" w:eastAsia="仿宋" w:cs="仿宋"/>
                <w:b w:val="0"/>
                <w:bCs/>
                <w:sz w:val="24"/>
                <w:szCs w:val="24"/>
                <w:vertAlign w:val="baseline"/>
                <w:lang w:val="en-US" w:eastAsia="zh-CN"/>
              </w:rPr>
              <w:t>合计</w:t>
            </w:r>
          </w:p>
        </w:tc>
        <w:tc>
          <w:tcPr>
            <w:tcW w:w="1914" w:type="dxa"/>
            <w:noWrap w:val="0"/>
            <w:vAlign w:val="center"/>
          </w:tcPr>
          <w:p w14:paraId="5F891913">
            <w:pPr>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16</w:t>
            </w:r>
          </w:p>
        </w:tc>
        <w:tc>
          <w:tcPr>
            <w:tcW w:w="1914" w:type="dxa"/>
            <w:noWrap w:val="0"/>
            <w:vAlign w:val="center"/>
          </w:tcPr>
          <w:p w14:paraId="558605D6">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1915" w:type="dxa"/>
            <w:noWrap w:val="0"/>
            <w:vAlign w:val="center"/>
          </w:tcPr>
          <w:p w14:paraId="6E28542C">
            <w:pPr>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r>
    </w:tbl>
    <w:p w14:paraId="56678A01">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、作业要求：</w:t>
      </w:r>
    </w:p>
    <w:p w14:paraId="3B29E7D8">
      <w:pPr>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第一班作业时间</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:00—11:30（其中5:30—10:00保证操作工2人）</w:t>
      </w:r>
    </w:p>
    <w:p w14:paraId="3089132B">
      <w:pPr>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第二班作业时间11:30—1</w:t>
      </w:r>
      <w:r>
        <w:rPr>
          <w:rFonts w:hint="eastAsia" w:ascii="仿宋" w:hAnsi="仿宋" w:eastAsia="仿宋" w:cs="仿宋"/>
          <w:b w:val="0"/>
          <w:bCs/>
          <w:sz w:val="24"/>
          <w:szCs w:val="24"/>
          <w:highlight w:val="none"/>
          <w:lang w:val="en-US" w:eastAsia="zh-CN"/>
        </w:rPr>
        <w:t>9</w:t>
      </w:r>
      <w:r>
        <w:rPr>
          <w:rFonts w:hint="eastAsia" w:ascii="仿宋" w:hAnsi="仿宋" w:eastAsia="仿宋" w:cs="仿宋"/>
          <w:b w:val="0"/>
          <w:bCs/>
          <w:sz w:val="24"/>
          <w:szCs w:val="24"/>
          <w:highlight w:val="none"/>
        </w:rPr>
        <w:t>:00（其中13:30—16:00保证操作工2人）</w:t>
      </w:r>
    </w:p>
    <w:p w14:paraId="10AC3124">
      <w:pPr>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第三班作业时间（</w:t>
      </w:r>
      <w:r>
        <w:rPr>
          <w:rFonts w:hint="eastAsia" w:ascii="仿宋" w:hAnsi="仿宋" w:eastAsia="仿宋" w:cs="仿宋"/>
          <w:b w:val="0"/>
          <w:bCs/>
          <w:sz w:val="24"/>
          <w:szCs w:val="24"/>
          <w:highlight w:val="none"/>
          <w:lang w:eastAsia="zh-CN"/>
        </w:rPr>
        <w:t>来薰</w:t>
      </w:r>
      <w:r>
        <w:rPr>
          <w:rFonts w:hint="eastAsia" w:ascii="仿宋" w:hAnsi="仿宋" w:eastAsia="仿宋" w:cs="仿宋"/>
          <w:b w:val="0"/>
          <w:bCs/>
          <w:sz w:val="24"/>
          <w:szCs w:val="24"/>
          <w:highlight w:val="none"/>
        </w:rPr>
        <w:t>中转站）1</w:t>
      </w:r>
      <w:r>
        <w:rPr>
          <w:rFonts w:hint="eastAsia" w:ascii="仿宋" w:hAnsi="仿宋" w:eastAsia="仿宋" w:cs="仿宋"/>
          <w:b w:val="0"/>
          <w:bCs/>
          <w:sz w:val="24"/>
          <w:szCs w:val="24"/>
          <w:highlight w:val="none"/>
          <w:lang w:val="en-US" w:eastAsia="zh-CN"/>
        </w:rPr>
        <w:t>9</w:t>
      </w:r>
      <w:r>
        <w:rPr>
          <w:rFonts w:hint="eastAsia" w:ascii="仿宋" w:hAnsi="仿宋" w:eastAsia="仿宋" w:cs="仿宋"/>
          <w:b w:val="0"/>
          <w:bCs/>
          <w:sz w:val="24"/>
          <w:szCs w:val="24"/>
          <w:highlight w:val="none"/>
        </w:rPr>
        <w:t>:00—2</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 xml:space="preserve">:00(全时段保证操作工1人)    </w:t>
      </w:r>
    </w:p>
    <w:p w14:paraId="3B36BD0C">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中标单位应切实抓好安全生产，做好工作人员的岗前培训及安全教育培训等工作。在作业过程中，所发生的安全事故（包括安全事故、劳动争议及各类纠纷处理等），均由中标单位自行负责处理并承担相应责任，与采购人无涉。</w:t>
      </w:r>
    </w:p>
    <w:p w14:paraId="0DC64E4F">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、如遇国家政策变更、城市规划调整等事由，采购人可随时单方面收回部分或全部中转站运行权，也可增加中转站的运行权</w:t>
      </w:r>
      <w:r>
        <w:rPr>
          <w:rFonts w:hint="eastAsia" w:ascii="仿宋" w:hAnsi="仿宋" w:eastAsia="仿宋" w:cs="仿宋"/>
          <w:b w:val="0"/>
          <w:bCs/>
          <w:sz w:val="24"/>
          <w:szCs w:val="24"/>
          <w:highlight w:val="none"/>
        </w:rPr>
        <w:t>，经费按</w:t>
      </w:r>
      <w:r>
        <w:rPr>
          <w:rFonts w:hint="eastAsia" w:ascii="仿宋" w:hAnsi="仿宋" w:eastAsia="仿宋" w:cs="仿宋"/>
          <w:b w:val="0"/>
          <w:bCs/>
          <w:sz w:val="24"/>
          <w:szCs w:val="24"/>
          <w:highlight w:val="none"/>
          <w:lang w:val="en-US" w:eastAsia="zh-CN"/>
        </w:rPr>
        <w:t>实</w:t>
      </w:r>
      <w:r>
        <w:rPr>
          <w:rFonts w:hint="eastAsia" w:ascii="仿宋" w:hAnsi="仿宋" w:eastAsia="仿宋" w:cs="仿宋"/>
          <w:b w:val="0"/>
          <w:bCs/>
          <w:sz w:val="24"/>
          <w:szCs w:val="24"/>
          <w:highlight w:val="none"/>
        </w:rPr>
        <w:t>结算。</w:t>
      </w:r>
    </w:p>
    <w:p w14:paraId="66A69640">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rPr>
        <w:t>、中标单位应建有管理制度、巡查、考核、外运记录等台</w:t>
      </w:r>
      <w:r>
        <w:rPr>
          <w:rFonts w:hint="eastAsia" w:ascii="仿宋" w:hAnsi="仿宋" w:eastAsia="仿宋" w:cs="仿宋"/>
          <w:b w:val="0"/>
          <w:bCs/>
          <w:sz w:val="24"/>
          <w:szCs w:val="24"/>
          <w:lang w:val="en-US" w:eastAsia="zh-CN"/>
        </w:rPr>
        <w:t>账</w:t>
      </w:r>
      <w:r>
        <w:rPr>
          <w:rFonts w:hint="eastAsia" w:ascii="仿宋" w:hAnsi="仿宋" w:eastAsia="仿宋" w:cs="仿宋"/>
          <w:b w:val="0"/>
          <w:bCs/>
          <w:sz w:val="24"/>
          <w:szCs w:val="24"/>
        </w:rPr>
        <w:t>资料。</w:t>
      </w:r>
    </w:p>
    <w:p w14:paraId="6C5CC909">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8</w:t>
      </w:r>
      <w:r>
        <w:rPr>
          <w:rFonts w:hint="eastAsia" w:ascii="仿宋" w:hAnsi="仿宋" w:eastAsia="仿宋" w:cs="仿宋"/>
          <w:b w:val="0"/>
          <w:bCs/>
          <w:sz w:val="24"/>
          <w:szCs w:val="24"/>
        </w:rPr>
        <w:t>、中标单位要及时完成</w:t>
      </w:r>
      <w:r>
        <w:rPr>
          <w:rFonts w:hint="eastAsia" w:ascii="仿宋" w:hAnsi="仿宋" w:eastAsia="仿宋" w:cs="仿宋"/>
          <w:b w:val="0"/>
          <w:bCs/>
          <w:sz w:val="24"/>
          <w:szCs w:val="24"/>
          <w:lang w:val="en-US" w:eastAsia="zh-CN"/>
        </w:rPr>
        <w:t>采购人</w:t>
      </w:r>
      <w:r>
        <w:rPr>
          <w:rFonts w:hint="eastAsia" w:ascii="仿宋" w:hAnsi="仿宋" w:eastAsia="仿宋" w:cs="仿宋"/>
          <w:b w:val="0"/>
          <w:bCs/>
          <w:sz w:val="24"/>
          <w:szCs w:val="24"/>
        </w:rPr>
        <w:t>及相关部门各项指令性突击性任务，及时处理落实整改群众各项投拆，不能因节假日拖延。</w:t>
      </w:r>
    </w:p>
    <w:p w14:paraId="64F8C1BD">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9</w:t>
      </w:r>
      <w:r>
        <w:rPr>
          <w:rFonts w:hint="eastAsia" w:ascii="仿宋" w:hAnsi="仿宋" w:eastAsia="仿宋" w:cs="仿宋"/>
          <w:b w:val="0"/>
          <w:bCs/>
          <w:sz w:val="24"/>
          <w:szCs w:val="24"/>
        </w:rPr>
        <w:t>、中标单位必须依据国家的有关法律、法规依法经营。</w:t>
      </w:r>
    </w:p>
    <w:p w14:paraId="38CEA7D2">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eastAsia="仿宋" w:cs="仿宋"/>
          <w:b w:val="0"/>
          <w:bCs/>
          <w:sz w:val="24"/>
          <w:szCs w:val="24"/>
          <w:lang w:val="en-US" w:eastAsia="zh-CN"/>
        </w:rPr>
        <w:t>0</w:t>
      </w:r>
      <w:r>
        <w:rPr>
          <w:rFonts w:hint="eastAsia" w:ascii="仿宋" w:hAnsi="仿宋" w:eastAsia="仿宋" w:cs="仿宋"/>
          <w:b w:val="0"/>
          <w:bCs/>
          <w:sz w:val="24"/>
          <w:szCs w:val="24"/>
        </w:rPr>
        <w:t>、中标单位不得将本项目非法分包或整体转包给任何单位和个人。否则，采购单位有权即刻终止合同，并要求中标人赔偿相应损失。</w:t>
      </w:r>
    </w:p>
    <w:p w14:paraId="7794F8D4">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、本次招标的项目需求、作业标准等内容由采购人每年根据实际情况作相应调整。</w:t>
      </w:r>
    </w:p>
    <w:p w14:paraId="7E052F01">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、投标人需分年报价，但以三年的总价为中标价，经费内容包括：</w:t>
      </w:r>
    </w:p>
    <w:p w14:paraId="39663132">
      <w:pPr>
        <w:spacing w:line="360" w:lineRule="auto"/>
        <w:ind w:firstLine="480" w:firstLineChars="200"/>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rPr>
        <w:t>(1)工作人员工资（包括工资、公积金等）及各种福利补贴、社保（五金）等。工作人员工资不低于象山县最低月工资标准的1.1倍《宁波市人民政府关于调整全市最低工资标准的通知》（甬政发〔2024〕27号）；《宁波市2023年度人力资源市场部分职位工资价位及2022年度行业人工成本信息》（甬人社办发〔2023〕21号）、《关于公布2024年社会保险有关基数的通知》（浙人社发〔2024〕61号）、《宁波市城市管理局关于开展环卫工人“爱心早餐”工作的通知》（甬城管〔2015〕12号）、《浙江省人民政府关于调整全省最低工资标准的通知》（浙政发〔2024〕3号）、《关于公布2023年社会保险有关基数的通知》（浙人社发〔2024〕61 号）等相</w:t>
      </w:r>
      <w:r>
        <w:rPr>
          <w:rFonts w:hint="eastAsia" w:ascii="仿宋" w:hAnsi="仿宋" w:eastAsia="仿宋" w:cs="仿宋"/>
          <w:b w:val="0"/>
          <w:bCs/>
          <w:sz w:val="24"/>
          <w:szCs w:val="24"/>
          <w:highlight w:val="none"/>
        </w:rPr>
        <w:t>关文件</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以上政策性文件如有最新文件按最新文件执行。</w:t>
      </w:r>
    </w:p>
    <w:p w14:paraId="6B890138">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(2)材料工具费用：如绿化养护材料及工具，扫帚、</w:t>
      </w:r>
      <w:r>
        <w:rPr>
          <w:rFonts w:hint="eastAsia" w:ascii="仿宋" w:hAnsi="仿宋" w:eastAsia="仿宋" w:cs="仿宋"/>
          <w:b w:val="0"/>
          <w:bCs/>
          <w:color w:val="auto"/>
          <w:sz w:val="24"/>
          <w:szCs w:val="24"/>
          <w:lang w:val="en-US" w:eastAsia="zh-CN"/>
        </w:rPr>
        <w:t>畚斗、</w:t>
      </w:r>
      <w:r>
        <w:rPr>
          <w:rFonts w:hint="eastAsia" w:ascii="仿宋" w:hAnsi="仿宋" w:eastAsia="仿宋" w:cs="仿宋"/>
          <w:b w:val="0"/>
          <w:bCs/>
          <w:color w:val="auto"/>
          <w:sz w:val="24"/>
          <w:szCs w:val="24"/>
        </w:rPr>
        <w:t>铁</w:t>
      </w:r>
      <w:r>
        <w:rPr>
          <w:rFonts w:hint="eastAsia" w:ascii="仿宋" w:hAnsi="仿宋" w:eastAsia="仿宋" w:cs="仿宋"/>
          <w:b w:val="0"/>
          <w:bCs/>
          <w:sz w:val="24"/>
          <w:szCs w:val="24"/>
        </w:rPr>
        <w:t>锹等保洁工具，雨鞋、解放鞋、手套等劳保用品，水龙头、灯泡、水管等设备部件材料费</w:t>
      </w:r>
      <w:r>
        <w:rPr>
          <w:rFonts w:hint="eastAsia" w:ascii="仿宋" w:hAnsi="仿宋" w:eastAsia="仿宋" w:cs="仿宋"/>
          <w:b w:val="0"/>
          <w:bCs/>
          <w:sz w:val="24"/>
          <w:szCs w:val="24"/>
          <w:lang w:eastAsia="zh-CN"/>
        </w:rPr>
        <w:t>。</w:t>
      </w:r>
    </w:p>
    <w:p w14:paraId="7E91DC0E">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(3)管理费用（人员培训费和其他管理费）</w:t>
      </w:r>
      <w:r>
        <w:rPr>
          <w:rFonts w:hint="eastAsia" w:ascii="仿宋" w:hAnsi="仿宋" w:eastAsia="仿宋" w:cs="仿宋"/>
          <w:b w:val="0"/>
          <w:bCs/>
          <w:sz w:val="24"/>
          <w:szCs w:val="24"/>
          <w:lang w:eastAsia="zh-CN"/>
        </w:rPr>
        <w:t>。</w:t>
      </w:r>
    </w:p>
    <w:p w14:paraId="07AE5456">
      <w:pPr>
        <w:spacing w:line="360" w:lineRule="auto"/>
        <w:ind w:firstLine="480" w:firstLineChars="200"/>
        <w:rPr>
          <w:rFonts w:hint="eastAsia" w:ascii="仿宋" w:hAnsi="仿宋" w:eastAsia="仿宋" w:cs="仿宋"/>
          <w:b/>
          <w:sz w:val="24"/>
          <w:szCs w:val="24"/>
        </w:rPr>
      </w:pPr>
      <w:r>
        <w:rPr>
          <w:rFonts w:hint="eastAsia" w:ascii="仿宋" w:hAnsi="仿宋" w:eastAsia="仿宋" w:cs="仿宋"/>
          <w:b w:val="0"/>
          <w:bCs/>
          <w:sz w:val="24"/>
          <w:szCs w:val="24"/>
        </w:rPr>
        <w:t>(4)税收和其他费用。中标单位在运营过程中如遇国家政策最低工资、社保等调整，相应增加的费用不作调整；其他运营成本提高所造成的费用增加，由中标单位自行承担。</w:t>
      </w:r>
    </w:p>
    <w:p w14:paraId="4E877A58">
      <w:pPr>
        <w:tabs>
          <w:tab w:val="left" w:pos="2520"/>
        </w:tabs>
        <w:spacing w:line="360" w:lineRule="auto"/>
        <w:jc w:val="left"/>
        <w:outlineLvl w:val="1"/>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、其</w:t>
      </w:r>
      <w:r>
        <w:rPr>
          <w:rFonts w:hint="eastAsia" w:ascii="仿宋" w:hAnsi="仿宋" w:eastAsia="仿宋" w:cs="仿宋"/>
          <w:b/>
          <w:bCs/>
          <w:sz w:val="24"/>
          <w:szCs w:val="24"/>
          <w:lang w:val="en-US" w:eastAsia="zh-CN"/>
        </w:rPr>
        <w:t>他</w:t>
      </w:r>
      <w:r>
        <w:rPr>
          <w:rFonts w:hint="eastAsia" w:ascii="仿宋" w:hAnsi="仿宋" w:eastAsia="仿宋" w:cs="仿宋"/>
          <w:b/>
          <w:bCs/>
          <w:sz w:val="24"/>
          <w:szCs w:val="24"/>
        </w:rPr>
        <w:t>要求</w:t>
      </w:r>
    </w:p>
    <w:p w14:paraId="3BAD16C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若遇如突击检查、上级部门考核、各类创建活动等特殊情况，中标人须无条件做好服务范围内的相关工作，服从采购人指挥，增加或调配人员和调整作业时间，并组织完成突击性任务，所需一切费用由中标人自理。</w:t>
      </w:r>
    </w:p>
    <w:p w14:paraId="0474B515">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制定重大活动、节庆假日、突击检查、创先评优、气象灾害和极端天气等特殊时期的应急保障措施，提供</w:t>
      </w:r>
      <w:r>
        <w:rPr>
          <w:rFonts w:hint="eastAsia" w:ascii="仿宋" w:hAnsi="仿宋" w:eastAsia="仿宋" w:cs="仿宋"/>
          <w:bCs/>
          <w:sz w:val="24"/>
          <w:szCs w:val="24"/>
          <w:lang w:val="en-US" w:eastAsia="zh-CN"/>
        </w:rPr>
        <w:t>操作</w:t>
      </w:r>
      <w:r>
        <w:rPr>
          <w:rFonts w:hint="eastAsia" w:ascii="仿宋" w:hAnsi="仿宋" w:eastAsia="仿宋" w:cs="仿宋"/>
          <w:bCs/>
          <w:sz w:val="24"/>
          <w:szCs w:val="24"/>
          <w:highlight w:val="none"/>
        </w:rPr>
        <w:t>人员安排表，并无条件配合</w:t>
      </w:r>
      <w:r>
        <w:rPr>
          <w:rFonts w:hint="eastAsia" w:ascii="仿宋" w:hAnsi="仿宋" w:eastAsia="仿宋" w:cs="仿宋"/>
          <w:bCs/>
          <w:sz w:val="24"/>
          <w:szCs w:val="24"/>
          <w:highlight w:val="none"/>
          <w:lang w:val="en-US" w:eastAsia="zh-CN"/>
        </w:rPr>
        <w:t>采购人进行绿化保洁、垃圾清理等相关保障工作</w:t>
      </w:r>
      <w:r>
        <w:rPr>
          <w:rFonts w:hint="eastAsia" w:ascii="仿宋" w:hAnsi="仿宋" w:eastAsia="仿宋" w:cs="仿宋"/>
          <w:bCs/>
          <w:sz w:val="24"/>
          <w:szCs w:val="24"/>
          <w:highlight w:val="none"/>
        </w:rPr>
        <w:t>，所</w:t>
      </w:r>
      <w:r>
        <w:rPr>
          <w:rFonts w:hint="eastAsia" w:ascii="仿宋" w:hAnsi="仿宋" w:eastAsia="仿宋" w:cs="仿宋"/>
          <w:bCs/>
          <w:sz w:val="24"/>
          <w:szCs w:val="24"/>
        </w:rPr>
        <w:t>需一切费用由中标人自理。</w:t>
      </w:r>
    </w:p>
    <w:p w14:paraId="31DD372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中标人应在签订合同之日起一个月内向采购人提交</w:t>
      </w:r>
      <w:r>
        <w:rPr>
          <w:rFonts w:hint="eastAsia" w:ascii="仿宋" w:hAnsi="仿宋" w:eastAsia="仿宋" w:cs="仿宋"/>
          <w:bCs/>
          <w:sz w:val="24"/>
          <w:szCs w:val="24"/>
          <w:lang w:val="en-US" w:eastAsia="zh-CN"/>
        </w:rPr>
        <w:t>中转站运行</w:t>
      </w:r>
      <w:r>
        <w:rPr>
          <w:rFonts w:hint="eastAsia" w:ascii="仿宋" w:hAnsi="仿宋" w:eastAsia="仿宋" w:cs="仿宋"/>
          <w:bCs/>
          <w:sz w:val="24"/>
          <w:szCs w:val="24"/>
        </w:rPr>
        <w:t>管理规定、负责人岗位职责、人员岗位职责等规章制度，并作为合同条款。</w:t>
      </w:r>
    </w:p>
    <w:p w14:paraId="16BC9F4F">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建立健全公司各项管理制度，包括岗位职责、考勤制度、考核及奖惩制度等。</w:t>
      </w:r>
    </w:p>
    <w:p w14:paraId="32ADA33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做好人员安排、</w:t>
      </w:r>
      <w:r>
        <w:rPr>
          <w:rFonts w:hint="eastAsia" w:ascii="仿宋" w:hAnsi="仿宋" w:eastAsia="仿宋" w:cs="仿宋"/>
          <w:bCs/>
          <w:sz w:val="24"/>
          <w:szCs w:val="24"/>
          <w:lang w:val="en-US" w:eastAsia="zh-CN"/>
        </w:rPr>
        <w:t>维修</w:t>
      </w:r>
      <w:r>
        <w:rPr>
          <w:rFonts w:hint="eastAsia" w:ascii="仿宋" w:hAnsi="仿宋" w:eastAsia="仿宋" w:cs="仿宋"/>
          <w:bCs/>
          <w:sz w:val="24"/>
          <w:szCs w:val="24"/>
        </w:rPr>
        <w:t>管理等台</w:t>
      </w:r>
      <w:r>
        <w:rPr>
          <w:rFonts w:hint="eastAsia" w:ascii="仿宋" w:hAnsi="仿宋" w:eastAsia="仿宋" w:cs="仿宋"/>
          <w:bCs/>
          <w:sz w:val="24"/>
          <w:szCs w:val="24"/>
          <w:lang w:val="en-US" w:eastAsia="zh-CN"/>
        </w:rPr>
        <w:t>账</w:t>
      </w:r>
      <w:r>
        <w:rPr>
          <w:rFonts w:hint="eastAsia" w:ascii="仿宋" w:hAnsi="仿宋" w:eastAsia="仿宋" w:cs="仿宋"/>
          <w:bCs/>
          <w:sz w:val="24"/>
          <w:szCs w:val="24"/>
        </w:rPr>
        <w:t>的记录，积极落实投诉、通报情况，并以书面形式进行上报。</w:t>
      </w:r>
    </w:p>
    <w:p w14:paraId="61B176F1">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选择聘用身体健康、思想端正的人员，加强管理并根据预算足额发放劳动报酬（含基本工资、特殊岗位津贴、节假日加班费、高温补贴以及购买社会保险等福利）。</w:t>
      </w:r>
    </w:p>
    <w:p w14:paraId="1435A421">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加强对公司管理人员及重要特殊岗位工作人员的相关业务培训。</w:t>
      </w:r>
    </w:p>
    <w:p w14:paraId="6D24241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安全生产管理职责：</w:t>
      </w:r>
    </w:p>
    <w:p w14:paraId="53A93301">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8.1</w:t>
      </w:r>
      <w:r>
        <w:rPr>
          <w:rFonts w:hint="eastAsia" w:ascii="仿宋" w:hAnsi="仿宋" w:eastAsia="仿宋" w:cs="仿宋"/>
          <w:bCs/>
          <w:sz w:val="24"/>
          <w:szCs w:val="24"/>
        </w:rPr>
        <w:t>成立安全生产领导小组，落实安全生产责任人，制定安全生产相关制度和应急预案。配备安全生产专员，合理开支安全生产专项管理经费。</w:t>
      </w:r>
    </w:p>
    <w:p w14:paraId="4097793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8.2</w:t>
      </w:r>
      <w:r>
        <w:rPr>
          <w:rFonts w:hint="eastAsia" w:ascii="仿宋" w:hAnsi="仿宋" w:eastAsia="仿宋" w:cs="仿宋"/>
          <w:bCs/>
          <w:sz w:val="24"/>
          <w:szCs w:val="24"/>
        </w:rPr>
        <w:t>办公场所、</w:t>
      </w:r>
      <w:r>
        <w:rPr>
          <w:rFonts w:hint="eastAsia" w:ascii="仿宋" w:hAnsi="仿宋" w:eastAsia="仿宋" w:cs="仿宋"/>
          <w:bCs/>
          <w:sz w:val="24"/>
          <w:szCs w:val="24"/>
          <w:lang w:val="en-US" w:eastAsia="zh-CN"/>
        </w:rPr>
        <w:t>中转站</w:t>
      </w:r>
      <w:r>
        <w:rPr>
          <w:rFonts w:hint="eastAsia" w:ascii="仿宋" w:hAnsi="仿宋" w:eastAsia="仿宋" w:cs="仿宋"/>
          <w:bCs/>
          <w:sz w:val="24"/>
          <w:szCs w:val="24"/>
        </w:rPr>
        <w:t>场地必须按标准配备灭火器等消防设备，安全用水用电，定期组织消防安全演练，宣传安全生产相关知识。</w:t>
      </w:r>
    </w:p>
    <w:p w14:paraId="63B1FC5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8.3</w:t>
      </w:r>
      <w:r>
        <w:rPr>
          <w:rFonts w:hint="eastAsia" w:ascii="仿宋" w:hAnsi="仿宋" w:eastAsia="仿宋" w:cs="仿宋"/>
          <w:bCs/>
          <w:sz w:val="24"/>
          <w:szCs w:val="24"/>
        </w:rPr>
        <w:t>加强巡查，加强安全隐患排查，发现问题及时整改，彻底杜绝安全事故的发生。如发生安全事故及时上报，不得瞒报。</w:t>
      </w:r>
    </w:p>
    <w:p w14:paraId="615C4E9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8.4</w:t>
      </w:r>
      <w:r>
        <w:rPr>
          <w:rFonts w:hint="eastAsia" w:ascii="仿宋" w:hAnsi="仿宋" w:eastAsia="仿宋" w:cs="仿宋"/>
          <w:bCs/>
          <w:sz w:val="24"/>
          <w:szCs w:val="24"/>
        </w:rPr>
        <w:t>每季度召开一次安全会议。</w:t>
      </w:r>
    </w:p>
    <w:p w14:paraId="5B97E6A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9、</w:t>
      </w:r>
      <w:r>
        <w:rPr>
          <w:rFonts w:hint="eastAsia" w:ascii="仿宋" w:hAnsi="仿宋" w:eastAsia="仿宋" w:cs="仿宋"/>
          <w:bCs/>
          <w:sz w:val="24"/>
          <w:szCs w:val="24"/>
        </w:rPr>
        <w:t>积极落实环卫行业相关文件精神，做好企业文化宣传，积极参加环卫行业重大活动。</w:t>
      </w:r>
    </w:p>
    <w:p w14:paraId="41E3E9C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中标人要提供完备的相关（包括安全）台账资料的登记、管理制度，制作的各类台账要规范、真实、清晰、准确。</w:t>
      </w:r>
    </w:p>
    <w:p w14:paraId="0D5B8E01">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10.1</w:t>
      </w:r>
      <w:r>
        <w:rPr>
          <w:rFonts w:hint="eastAsia" w:ascii="仿宋" w:hAnsi="仿宋" w:eastAsia="仿宋" w:cs="仿宋"/>
          <w:bCs/>
          <w:sz w:val="24"/>
          <w:szCs w:val="24"/>
        </w:rPr>
        <w:t>根据采购人要求上交花名册、工资清单、社保清单等。</w:t>
      </w:r>
    </w:p>
    <w:p w14:paraId="2D4560EE">
      <w:pPr>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10.2</w:t>
      </w:r>
      <w:r>
        <w:rPr>
          <w:rFonts w:hint="eastAsia" w:ascii="仿宋" w:hAnsi="仿宋" w:eastAsia="仿宋" w:cs="仿宋"/>
          <w:bCs/>
          <w:sz w:val="24"/>
          <w:szCs w:val="24"/>
        </w:rPr>
        <w:t>不得干扰、谩骂、挑衅、延误、干扰考核人员或上级检查人员正常检查（拍照取证）。</w:t>
      </w:r>
    </w:p>
    <w:p w14:paraId="16107E3D">
      <w:pPr>
        <w:numPr>
          <w:ilvl w:val="0"/>
          <w:numId w:val="0"/>
        </w:numPr>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kern w:val="2"/>
          <w:sz w:val="24"/>
          <w:szCs w:val="24"/>
          <w:lang w:val="en-US" w:eastAsia="zh-CN" w:bidi="ar-SA"/>
        </w:rPr>
        <w:t>11、</w:t>
      </w:r>
      <w:r>
        <w:rPr>
          <w:rFonts w:hint="eastAsia" w:ascii="仿宋" w:hAnsi="仿宋" w:eastAsia="仿宋" w:cs="仿宋"/>
          <w:bCs/>
          <w:sz w:val="24"/>
          <w:szCs w:val="24"/>
          <w:lang w:val="en-US" w:eastAsia="zh-CN"/>
        </w:rPr>
        <w:t>投标人</w:t>
      </w:r>
      <w:r>
        <w:rPr>
          <w:rFonts w:hint="eastAsia" w:ascii="仿宋" w:hAnsi="仿宋" w:eastAsia="仿宋" w:cs="仿宋"/>
          <w:bCs/>
          <w:sz w:val="24"/>
          <w:szCs w:val="24"/>
          <w:lang w:eastAsia="zh-CN"/>
        </w:rPr>
        <w:t>需在投标文件中提供项目理解，服务方案（包括</w:t>
      </w:r>
      <w:r>
        <w:rPr>
          <w:rFonts w:hint="eastAsia" w:ascii="仿宋" w:hAnsi="仿宋" w:eastAsia="仿宋" w:cs="仿宋"/>
          <w:bCs/>
          <w:sz w:val="24"/>
          <w:szCs w:val="24"/>
          <w:lang w:val="en-US" w:eastAsia="zh-CN"/>
        </w:rPr>
        <w:t>中转站管理方案、设备设施日常管和维护方案、日常保洁方案</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重难点分析及解决方案</w:t>
      </w:r>
      <w:r>
        <w:rPr>
          <w:rFonts w:hint="eastAsia" w:ascii="仿宋" w:hAnsi="仿宋" w:eastAsia="仿宋" w:cs="仿宋"/>
          <w:bCs/>
          <w:sz w:val="24"/>
          <w:szCs w:val="24"/>
          <w:lang w:eastAsia="zh-CN"/>
        </w:rPr>
        <w:t>、工作管理（包括管理体系、工作质量保障措施方案、内部工作管理制度、岗位责任制度、管理运作制度、工作操作规程等），考核制度，</w:t>
      </w:r>
      <w:r>
        <w:rPr>
          <w:rFonts w:hint="eastAsia" w:ascii="仿宋" w:hAnsi="仿宋" w:eastAsia="仿宋" w:cs="仿宋"/>
          <w:bCs/>
          <w:sz w:val="24"/>
          <w:szCs w:val="24"/>
          <w:lang w:val="en-US" w:eastAsia="zh-CN"/>
        </w:rPr>
        <w:t>督检制度、</w:t>
      </w:r>
      <w:r>
        <w:rPr>
          <w:rFonts w:hint="eastAsia" w:ascii="仿宋" w:hAnsi="仿宋" w:eastAsia="仿宋" w:cs="仿宋"/>
          <w:bCs/>
          <w:sz w:val="24"/>
          <w:szCs w:val="24"/>
          <w:lang w:eastAsia="zh-CN"/>
        </w:rPr>
        <w:t>安全教育（包括安全教育、安全生产责任分配、安全事故善后措施及赔偿方案措施），应急处理方案，人员配置方案，</w:t>
      </w:r>
      <w:r>
        <w:rPr>
          <w:rFonts w:hint="eastAsia" w:ascii="仿宋" w:hAnsi="仿宋" w:eastAsia="仿宋" w:cs="仿宋"/>
          <w:bCs/>
          <w:sz w:val="24"/>
          <w:szCs w:val="24"/>
          <w:lang w:val="en-US" w:eastAsia="zh-CN"/>
        </w:rPr>
        <w:t>认证证书及</w:t>
      </w:r>
      <w:r>
        <w:rPr>
          <w:rFonts w:hint="eastAsia" w:ascii="仿宋" w:hAnsi="仿宋" w:eastAsia="仿宋" w:cs="仿宋"/>
          <w:bCs/>
          <w:sz w:val="24"/>
          <w:szCs w:val="24"/>
          <w:lang w:eastAsia="zh-CN"/>
        </w:rPr>
        <w:t>业绩证明材料。</w:t>
      </w:r>
    </w:p>
    <w:p w14:paraId="2E1A9BDB">
      <w:pPr>
        <w:numPr>
          <w:ilvl w:val="0"/>
          <w:numId w:val="0"/>
        </w:numPr>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kern w:val="2"/>
          <w:sz w:val="24"/>
          <w:szCs w:val="24"/>
          <w:lang w:val="en-US" w:eastAsia="zh-CN" w:bidi="ar-SA"/>
        </w:rPr>
        <w:t>12、</w:t>
      </w:r>
      <w:r>
        <w:rPr>
          <w:rFonts w:hint="eastAsia" w:ascii="仿宋" w:hAnsi="仿宋" w:eastAsia="仿宋" w:cs="仿宋"/>
          <w:bCs/>
          <w:sz w:val="24"/>
          <w:szCs w:val="24"/>
          <w:lang w:val="en-US" w:eastAsia="zh-CN"/>
        </w:rPr>
        <w:t>考核办法见附件。</w:t>
      </w:r>
    </w:p>
    <w:p w14:paraId="0F577E5B">
      <w:pPr>
        <w:tabs>
          <w:tab w:val="left" w:pos="2520"/>
        </w:tabs>
        <w:spacing w:line="360" w:lineRule="auto"/>
        <w:jc w:val="left"/>
        <w:outlineLvl w:val="1"/>
        <w:rPr>
          <w:rFonts w:hint="eastAsia" w:ascii="仿宋" w:hAnsi="仿宋" w:eastAsia="仿宋" w:cs="仿宋"/>
          <w:b/>
          <w:bCs/>
          <w:sz w:val="24"/>
          <w:szCs w:val="24"/>
          <w:highlight w:val="none"/>
        </w:rPr>
      </w:pPr>
      <w:bookmarkStart w:id="29" w:name="_Toc43230709"/>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、商务条款</w:t>
      </w:r>
      <w:bookmarkEnd w:id="29"/>
    </w:p>
    <w:p w14:paraId="068B5E7F">
      <w:pPr>
        <w:spacing w:line="360" w:lineRule="auto"/>
        <w:ind w:firstLine="482" w:firstLineChars="200"/>
        <w:rPr>
          <w:rFonts w:hint="eastAsia" w:ascii="仿宋" w:hAnsi="仿宋" w:eastAsia="仿宋" w:cs="仿宋"/>
          <w:bCs/>
          <w:sz w:val="24"/>
          <w:szCs w:val="24"/>
          <w:highlight w:val="none"/>
          <w:lang w:eastAsia="zh-CN"/>
        </w:rPr>
      </w:pPr>
      <w:r>
        <w:rPr>
          <w:rFonts w:hint="eastAsia" w:ascii="仿宋" w:hAnsi="仿宋" w:eastAsia="仿宋" w:cs="仿宋"/>
          <w:b/>
          <w:sz w:val="24"/>
          <w:szCs w:val="24"/>
          <w:highlight w:val="none"/>
        </w:rPr>
        <w:t>1、合同履行期限：</w:t>
      </w:r>
      <w:r>
        <w:rPr>
          <w:rFonts w:hint="eastAsia" w:ascii="仿宋" w:hAnsi="仿宋" w:eastAsia="仿宋" w:cs="仿宋"/>
          <w:bCs/>
          <w:sz w:val="24"/>
          <w:szCs w:val="24"/>
          <w:highlight w:val="none"/>
          <w:lang w:eastAsia="zh-CN"/>
        </w:rPr>
        <w:t>三年，合同一年一签。第一阶段：自合同签订之日起1年；后两阶段：采购人根据中标人在上一阶段合同履约及考核情况决定是否续签。</w:t>
      </w:r>
    </w:p>
    <w:p w14:paraId="7FAFAC6E">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2、签订合同时间：</w:t>
      </w:r>
      <w:r>
        <w:rPr>
          <w:rFonts w:hint="eastAsia" w:ascii="仿宋" w:hAnsi="仿宋" w:eastAsia="仿宋" w:cs="仿宋"/>
          <w:bCs/>
          <w:sz w:val="24"/>
          <w:szCs w:val="24"/>
          <w:highlight w:val="none"/>
        </w:rPr>
        <w:t>中标通知书发出后30天内。</w:t>
      </w:r>
    </w:p>
    <w:p w14:paraId="1337A917">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3、付款方式：</w:t>
      </w:r>
    </w:p>
    <w:p w14:paraId="7CDEFF5B">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lang w:val="en-US" w:eastAsia="zh-CN"/>
        </w:rPr>
        <w:t>1）合同签订生效以及具备实施条件后7个工作日内，采购人向中标人支付总服务经费包干价部分的40%</w:t>
      </w:r>
      <w:r>
        <w:rPr>
          <w:rFonts w:hint="eastAsia" w:ascii="仿宋" w:hAnsi="仿宋" w:eastAsia="仿宋" w:cs="仿宋"/>
          <w:sz w:val="24"/>
          <w:highlight w:val="none"/>
          <w:lang w:val="en-US" w:eastAsia="zh-CN"/>
        </w:rPr>
        <w:t xml:space="preserve">作为预付款（支付前中标人需提交等额预付款保函并经采购人认可）。  </w:t>
      </w:r>
    </w:p>
    <w:p w14:paraId="5435FB30">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服务经费和考核奖金按包干价部分的1/12按月拨付（其中预付款的20%在每月应付款项中予以抵扣，直至扣完为止）。采购人将根据《象山县城市管理服务中心岗位责任管理考核办法》考核措施的规定，对月服务经费和月考核奖金作相应扣减后拨付中标人实际数额。</w:t>
      </w:r>
    </w:p>
    <w:p w14:paraId="512C69EF">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2）维修费用根据维修清单按季度结算，维修费用=∑实际维修金额X中标折扣。</w:t>
      </w:r>
    </w:p>
    <w:p w14:paraId="2DA2C229">
      <w:pPr>
        <w:numPr>
          <w:ilvl w:val="0"/>
          <w:numId w:val="0"/>
        </w:numPr>
        <w:spacing w:line="360" w:lineRule="auto"/>
        <w:ind w:firstLine="480" w:firstLineChars="200"/>
        <w:rPr>
          <w:rFonts w:hint="default"/>
          <w:highlight w:val="none"/>
          <w:lang w:val="en-US"/>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highlight w:val="none"/>
          <w:lang w:val="en-US" w:eastAsia="zh-CN"/>
        </w:rPr>
        <w:t>月服务经费、月考核奖金、维修费用均通过县城投集团下属公司（象山县顺鸿城市运营有限公司），开增值税专用发票进行结算,一般在次月5日前拨付，最后一笔月服务经费和月考核奖金</w:t>
      </w:r>
      <w:r>
        <w:rPr>
          <w:rFonts w:hint="eastAsia" w:ascii="仿宋" w:hAnsi="仿宋" w:eastAsia="仿宋" w:cs="仿宋"/>
          <w:strike w:val="0"/>
          <w:dstrike w:val="0"/>
          <w:sz w:val="24"/>
          <w:highlight w:val="none"/>
          <w:lang w:val="en-US" w:eastAsia="zh-CN"/>
        </w:rPr>
        <w:t>在</w:t>
      </w:r>
      <w:r>
        <w:rPr>
          <w:rFonts w:hint="eastAsia" w:ascii="仿宋" w:hAnsi="仿宋" w:eastAsia="仿宋" w:cs="仿宋"/>
          <w:sz w:val="24"/>
          <w:highlight w:val="none"/>
          <w:lang w:val="en-US" w:eastAsia="zh-CN"/>
        </w:rPr>
        <w:t>合同履约完成后拨付。</w:t>
      </w:r>
    </w:p>
    <w:p w14:paraId="2BA88E2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4、履约保证金：</w:t>
      </w:r>
    </w:p>
    <w:p w14:paraId="2055199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4.1</w:t>
      </w:r>
      <w:r>
        <w:rPr>
          <w:rFonts w:hint="eastAsia" w:ascii="仿宋" w:hAnsi="仿宋" w:eastAsia="仿宋" w:cs="仿宋"/>
          <w:sz w:val="24"/>
          <w:szCs w:val="24"/>
        </w:rPr>
        <w:t>履约保证金金额：合同总金额的1%。</w:t>
      </w:r>
    </w:p>
    <w:p w14:paraId="1571217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4.2</w:t>
      </w:r>
      <w:r>
        <w:rPr>
          <w:rFonts w:hint="eastAsia" w:ascii="仿宋" w:hAnsi="仿宋" w:eastAsia="仿宋" w:cs="仿宋"/>
          <w:sz w:val="24"/>
          <w:szCs w:val="24"/>
        </w:rPr>
        <w:t>履约保证金形式：电汇、转账支票、银行保函、保险保单等；</w:t>
      </w:r>
    </w:p>
    <w:p w14:paraId="456E1A7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4.3</w:t>
      </w:r>
      <w:r>
        <w:rPr>
          <w:rFonts w:hint="eastAsia" w:ascii="仿宋" w:hAnsi="仿宋" w:eastAsia="仿宋" w:cs="仿宋"/>
          <w:sz w:val="24"/>
          <w:szCs w:val="24"/>
        </w:rPr>
        <w:t>履约保证金提交时间：合同签订后5个工作日内；</w:t>
      </w:r>
    </w:p>
    <w:p w14:paraId="3566DD3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4.4</w:t>
      </w:r>
      <w:r>
        <w:rPr>
          <w:rFonts w:hint="eastAsia" w:ascii="仿宋" w:hAnsi="仿宋" w:eastAsia="仿宋" w:cs="仿宋"/>
          <w:sz w:val="24"/>
          <w:szCs w:val="24"/>
        </w:rPr>
        <w:t>履约保证金的退还：在合同履行完毕，完成终交验收手续后一周内无息退还（如中标人未能履行合同规定的任何义务，采购人有权从履约保证金中优先受偿）；</w:t>
      </w:r>
    </w:p>
    <w:p w14:paraId="2DBD63F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4.5</w:t>
      </w:r>
      <w:r>
        <w:rPr>
          <w:rFonts w:hint="eastAsia" w:ascii="仿宋" w:hAnsi="仿宋" w:eastAsia="仿宋" w:cs="仿宋"/>
          <w:sz w:val="24"/>
          <w:szCs w:val="24"/>
        </w:rPr>
        <w:t>履约保证金在中标人履行合同规定义务期间必须保持有效，若发生履约保证金扣除情形的，在扣除后须补足履约保证金金额；</w:t>
      </w:r>
    </w:p>
    <w:p w14:paraId="51623BA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4.6</w:t>
      </w:r>
      <w:r>
        <w:rPr>
          <w:rFonts w:hint="eastAsia" w:ascii="仿宋" w:hAnsi="仿宋" w:eastAsia="仿宋" w:cs="仿宋"/>
          <w:sz w:val="24"/>
          <w:szCs w:val="24"/>
        </w:rPr>
        <w:t>履约保证金不予退还或扣除情形：①因中标人原因导致本合同被解除的，中标人除承担相关责任外，采购人还将扣除中标人的履约保证金。②因中标人经营不善而造成拖欠工人工资或其它违反劳动合同法等法律法规的，采购人有权从履约保证金中代付相关费用。③中标人损坏甲方设施、设备且不按规定赔偿，采购人有权从履约保证金中扣除相关赔偿费用。若损失超过履约保证金数额的，中标人还应当对超过部分予以赔偿。④中标人未能履行合同规定的任何义务给采购人造成直接或间接损失的，采购人有权直接从履约保证金中扣除。⑤中标人无正当理由拖延或拒绝履行合同规定的任何义务，经书面催告后在合理期限内仍不履行的，采购人有权扣除全部履约保证金，并另行追索违约赔偿金。⑥中标人提供的服务须和响应文件中所承诺的相符（合同中另有规定除外），如不符，并造成损失的，采购人有权从履约保证金中扣除。</w:t>
      </w:r>
    </w:p>
    <w:p w14:paraId="73D5520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、合同终止</w:t>
      </w:r>
    </w:p>
    <w:p w14:paraId="51F0487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人在合同有效期内，不得以任何理由终止合同，确有特殊情况的，须提前两个月向采购人提出书面申请，经采购人书面同意后，方可终止合同，同时酌情扣除履约保证金。因中标人不能保证工作质量，或发生重大差错事故的，采购人可有权终止协议，中标人承担全部责任。</w:t>
      </w:r>
    </w:p>
    <w:p w14:paraId="62ED78CE">
      <w:pPr>
        <w:tabs>
          <w:tab w:val="left" w:pos="780"/>
        </w:tabs>
        <w:spacing w:line="360" w:lineRule="auto"/>
        <w:jc w:val="left"/>
        <w:outlineLvl w:val="1"/>
        <w:rPr>
          <w:rFonts w:hint="eastAsia" w:ascii="仿宋" w:hAnsi="仿宋" w:eastAsia="仿宋" w:cs="仿宋"/>
          <w:b/>
          <w:bCs/>
          <w:sz w:val="24"/>
          <w:szCs w:val="24"/>
          <w:lang w:val="en-US" w:eastAsia="zh-CN"/>
        </w:rPr>
      </w:pPr>
      <w:r>
        <w:rPr>
          <w:rFonts w:hint="eastAsia" w:ascii="仿宋" w:hAnsi="仿宋" w:eastAsia="仿宋" w:cs="仿宋"/>
          <w:b/>
          <w:sz w:val="32"/>
          <w:szCs w:val="32"/>
        </w:rPr>
        <w:br w:type="page"/>
      </w:r>
      <w:r>
        <w:rPr>
          <w:rFonts w:hint="eastAsia" w:ascii="仿宋" w:hAnsi="仿宋" w:eastAsia="仿宋" w:cs="仿宋"/>
          <w:b/>
          <w:bCs/>
          <w:sz w:val="24"/>
          <w:szCs w:val="24"/>
          <w:lang w:val="en-US" w:eastAsia="zh-CN"/>
        </w:rPr>
        <w:t>附件：</w:t>
      </w:r>
    </w:p>
    <w:p w14:paraId="5EC543DA">
      <w:pPr>
        <w:tabs>
          <w:tab w:val="left" w:pos="780"/>
        </w:tabs>
        <w:spacing w:line="360" w:lineRule="auto"/>
        <w:jc w:val="center"/>
        <w:outlineLvl w:val="1"/>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象山县城市管理服务中心岗位责任管理考核办法</w:t>
      </w:r>
      <w:bookmarkEnd w:id="27"/>
    </w:p>
    <w:p w14:paraId="5B7990C9">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 总则</w:t>
      </w:r>
    </w:p>
    <w:p w14:paraId="719E3D0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第一条 为切实加强岗位责任考核，规范内部管理，进一步增强广大职工的责任意识和服务意识，不断提升环境卫生管理水平，现结合管理工作实际，特制定本考核办法。</w:t>
      </w:r>
    </w:p>
    <w:p w14:paraId="1646780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第二条 本办法由中心考核督导科牵头实施。考核督导科应遵循“公开、公平、公正”的原则，严格按照本办法及单位有关规章制度对各科室人员及各承包公司进行考核。各科室、承包公司及广大职工应积极配合考核督导科开展日常考核工作。设施运维科负责县静脉产业园区域的日常监管考核。</w:t>
      </w:r>
    </w:p>
    <w:p w14:paraId="224A632A">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 考勤管理</w:t>
      </w:r>
    </w:p>
    <w:p w14:paraId="23CDA33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第三条 对中心管理层人员实施签到考勤管理，主要采取签到考勤（部分人员人脸识别考勤）和随机抽查考勤相结合的方式进行。签到考勤以指纹考勤为主，指纹考勤未能运行情况下采取人工签到考勤。随机抽查考勤采取专项检查或结合会议、学习等集体活动随机检查的方式不定期进行。</w:t>
      </w:r>
    </w:p>
    <w:p w14:paraId="0AF6F95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第四条 原则上要求按时参加签到考勤，确有特殊情况因公外出或因私请假外出无法正常签到考勤的，应在事后及时填写《考勤特殊事由说明表》或提供《工作人员请假审批表》，经逐级审批同意后，及时报中心综合科备案。</w:t>
      </w:r>
    </w:p>
    <w:p w14:paraId="00B7A6C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第五条 按规定上下班时间考勤，推迟或提前进行考勤的作迟到、早退处理，每半个工作日内无故迟到、早退超过两个小时的按旷工半天计算；每个工作日内无正当理由缺签一次按旷工半天计算，缺签两次按旷工一天计算。</w:t>
      </w:r>
    </w:p>
    <w:p w14:paraId="2E0D4C5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第六条 无故迟到、早退、中途擅自离岗每次扣考核奖20元，旷工半天扣考核奖50元，旷工一天扣考核奖100元。如发现有代考情况的，代考者与被代考者各作旷工半天处理。全年无故迟到、早退、擅自离岗15次以上，或旷工连续超过5天，或全年旷工累计超过10天的，直接解除劳动（劳务）合同。</w:t>
      </w:r>
    </w:p>
    <w:p w14:paraId="68234A7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第七条 事业在编人员规定</w:t>
      </w:r>
    </w:p>
    <w:p w14:paraId="7915009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1、全年无故迟到、早退、擅自离岗5次及以上的，当年考核不能评为优秀、上档等次。</w:t>
      </w:r>
    </w:p>
    <w:p w14:paraId="2EC1F5B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2、全年无故迟到、早退、擅自离岗10次及以上的，或连续旷工超过5天、或全年旷工累计超过10天的，当年考核不能评为称职及以上等次。</w:t>
      </w:r>
    </w:p>
    <w:p w14:paraId="69D595E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3、连续旷工超过10天，或全年旷工累计超过20天的，依据上级规定给予辞退或解聘处理。</w:t>
      </w:r>
    </w:p>
    <w:p w14:paraId="184606C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第八条 所有人员认真贯彻落实“四条禁令”、“八项规定”，严格遵守《象山县城市管理服务中心岗位责任管理考核办法》等相关制度，全部签订《承诺书》，承诺绝不酒后驾驶（含酒后驾驶电动车），绝不参与打架斗殴、聚众闹事、赌博等行为，如有违反，按《承诺书》内容给予处罚。事业人员参照《事业单位人事管理条例》《事业单位工作人员处分暂行规定》《象山县机关人员问责办法》执行。</w:t>
      </w:r>
    </w:p>
    <w:p w14:paraId="0F757478">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 请销假管理</w:t>
      </w:r>
    </w:p>
    <w:p w14:paraId="183DFF1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第九条 请事假、病假在3天内（含3天，下同），由科室负责人签字后报分管副主任逐级审批；3天以上的报中心主任审批。经审批同意后方可休假，未经审批同意一律不得休假，否则按旷工处理。</w:t>
      </w:r>
    </w:p>
    <w:p w14:paraId="04C80A4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第十条 节假日值班迟到10分钟以内扣20元，半小时以内的扣40元，半小时以上扣100元；无故不参加值班，按旷工处理，并扣值班组长50元。</w:t>
      </w:r>
    </w:p>
    <w:p w14:paraId="553637C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第十一条 单位组织的各类学习、会议、活动，应参加无故不参加的，每次扣当月考核奖50元；当月累计达到2次，全额扣除当月考核奖。</w:t>
      </w:r>
    </w:p>
    <w:p w14:paraId="08506B0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第十二条 重大节假日、重大活动、应急任务，以及全国文明城市创建等明查暗访期间，职工不服从单位同意安排的，全额扣除当月考核奖；因个人问题被媒体或上级文件通报，严重影响单位形象的，直接解除劳动（劳务）合同，事业人员参照《事业单位人事管理条例》《事业单位工作人员处分暂行规定》《象山县机关人员问责办法》执行。</w:t>
      </w:r>
    </w:p>
    <w:p w14:paraId="1C33A62E">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 病假管理</w:t>
      </w:r>
    </w:p>
    <w:p w14:paraId="1F2C238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第十三条 职工因病或非因工负伤连续休假在6个月内的，病假期间连续环卫工龄（下同）不满2年的，按本人工资的60%计发；连续工龄满2年不满4年的按本人工资的70%计发；连续工龄满4年不满6年的按本人工资80%计发；连续工龄满6年不满8年的按本人工资的90%计发；连续工龄满8年及以上的按本人工资的100%计发。</w:t>
      </w:r>
    </w:p>
    <w:p w14:paraId="70F1CBD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第十四条 职工因病或非因工负伤连续休假超过6个月的，病假期间连续工龄不满1年的按本人工资的40%计发；连续工龄满1年不满3年的按本人工资的50%计发；连续工龄满3年及以上的按本人工资的60%计发。</w:t>
      </w:r>
    </w:p>
    <w:p w14:paraId="6B0C1E6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第十五条 实际工作年限10年以下，在本单位工作年限5年以下的病假时间为3个月，5年以上的为6个月；实际工作年限10年以上，在本单位工作年限5年以下的为6个月，5年以上10年以下的为9个月，10年以上15年以下的为12个月，15年以上20年以下的为18个月，20年以上的为24个月，超出以上规定时间，直接解除劳动（劳务）合同。</w:t>
      </w:r>
    </w:p>
    <w:p w14:paraId="08FA6A4A">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 道路保洁</w:t>
      </w:r>
    </w:p>
    <w:p w14:paraId="1DC3621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第十六条 劳动纪律、文明作业、安全生产规定</w:t>
      </w:r>
    </w:p>
    <w:p w14:paraId="7457D95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1、保洁员应严格遵守上下班制度，如有迟到、早退、中途脱岗等情况之一的，每项每次扣100元,夜班路段每项每次扣200元。同一个月内迟到、早退或中途脱岗被查三次及以上的，直接解除劳动（劳务）合同。</w:t>
      </w:r>
    </w:p>
    <w:p w14:paraId="1B18696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洁员上班时间就地休息时间超过10分钟、聚众聊天、未拿工具手插口袋闲逛站立等，做与保洁工作无关事情的，每项每次扣50元；上班时间带耳机听音乐、玩手机、就地睡觉等影响环卫工人形象的，每项每次扣100元；中午10:30-11:30，下午5:00-6:00，该时间段保洁员需动态巡回保洁，出现就地休息等做与保洁无关事项的每人每次扣200元，累计扣款500元及以上的加扣2000元，一年内同一情况被查三次及以上的，直接解除劳动（劳务）合同。</w:t>
      </w:r>
    </w:p>
    <w:p w14:paraId="0EFD2CF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3、保洁员上班时间未按规定着环卫制服或着装不整齐、未佩戴胸牌上岗、穿拖鞋、带小孩上班等情况的，每项每次扣50元，累计扣款150元及以上的加扣2000元。</w:t>
      </w:r>
    </w:p>
    <w:p w14:paraId="75817EC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4、保洁员上班时间不带清扫工具的，每次扣50元，并在次月开始减少配给相关清扫工具3-6个月。</w:t>
      </w:r>
    </w:p>
    <w:p w14:paraId="1A906AA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5、保洁员上班时间出现跨越护栏、隔离带等违反文明安全规定行为的，每项每次扣100元。</w:t>
      </w:r>
    </w:p>
    <w:p w14:paraId="73ADC4E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6、保洁员不得随意和他人更换保洁路段或随意找他人代班，如需调班、代班、更换路段的，需说明事由并经公司批准，公司及时报中心考核督导科备案，未备案的扣2000元。</w:t>
      </w:r>
    </w:p>
    <w:p w14:paraId="7D18A31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7、保洁员雨雪天气作业，故意不带、不穿防护用具的或以拿防护用具为由擅自离岗的，每次扣100元。</w:t>
      </w:r>
    </w:p>
    <w:p w14:paraId="520049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8、拾金不昧者视情况应给予50—500元的物质奖励，拾金不交或有盗窃现象者，一经查实，直接解除劳动（劳务）合同，情节严重的移交公安机关处理。</w:t>
      </w:r>
    </w:p>
    <w:p w14:paraId="56FF7A2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9、保洁员当日上班时间喝酒的，每次扣150元，出现酒后驾驶、打架斗殴、聚众闹事、参与赌博或其他违法行为的参照第八条执行。</w:t>
      </w:r>
    </w:p>
    <w:p w14:paraId="2E51EA3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10、保洁员工作懈怠，不服从管理的，每次扣50-150元；谩骂、威胁考核管理人员或以其他各种形式阻碍考核管理人员正常工作的，扣150-300元，情节严重的，直接解除劳动（劳务）合同。</w:t>
      </w:r>
    </w:p>
    <w:p w14:paraId="07A1F7E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11、保洁员在工作期间如有三轮保洁车乱停放影响道路交通、三轮车上挂袋或上下班途中撑伞骑三轮车、闯红灯、逆向行驶等情况的，每项每次扣100元，累计扣款200元及以上的加扣2000元。</w:t>
      </w:r>
    </w:p>
    <w:p w14:paraId="660728C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12、三轮保洁车长期不使用停放在道路两侧的，每辆每次扣500元；造成周边环境污染的，每辆每次扣500-2000元；通知后未及时整改的，扣5000元。</w:t>
      </w:r>
    </w:p>
    <w:p w14:paraId="5C5FDC1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13、保洁员如存在一人扫两个（含）以上路段现象或在其他单位兼职的，扣1000元并直接解除劳动（劳务）合同。</w:t>
      </w:r>
    </w:p>
    <w:p w14:paraId="7660313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14、保洁员擅自以短信群发或其他形式散布考核动向的，一经查实，直接解除劳动（劳务）合同。</w:t>
      </w:r>
    </w:p>
    <w:p w14:paraId="55A9F99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15、保洁员对考核扣款有异议的，应向所属公司逐级反映、核实，如擅自向城市管理服务中心反映投诉的，扣2000-5000元。</w:t>
      </w:r>
    </w:p>
    <w:p w14:paraId="4BF3EEC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第十七条 路段保洁规定</w:t>
      </w:r>
    </w:p>
    <w:p w14:paraId="75E41D1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每天上午7:30前必须完成一次普扫，如未完成或有跳扫、漏扫情况的每项每次扣50元。</w:t>
      </w:r>
    </w:p>
    <w:p w14:paraId="38224C0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2、路面不洁或垃圾停留时间一级道路超过15分钟、二级道路超过18分钟、三、四级道路超过20分钟的，每处每次扣50—100元。</w:t>
      </w:r>
    </w:p>
    <w:p w14:paraId="2DC1EE2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3、路面有明显积沙、积泥、积水及零星垃圾的，每处每项扣50—100元。</w:t>
      </w:r>
    </w:p>
    <w:p w14:paraId="1B46387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4、将垃圾扫入窨井、河道或倒入果壳箱、树穴等，以及窨井口堵塞未及时清理的，每次扣50—100元。</w:t>
      </w:r>
    </w:p>
    <w:p w14:paraId="34C4314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5、两个保洁地段交界处要求相互跨过1米以上保洁，不按要求保洁留有卫生死角的，每处扣500元，涉及两个公司的，每个公司各扣500元。</w:t>
      </w:r>
    </w:p>
    <w:p w14:paraId="1D3F116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6、道路两侧人行道、侧石有杂草的，每处扣20—50元。</w:t>
      </w:r>
    </w:p>
    <w:p w14:paraId="2523019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7、道路两侧明沟或水渠有垃圾、杂物、树枝，或沟底积淤较厚的，每处扣20—50元。</w:t>
      </w:r>
    </w:p>
    <w:p w14:paraId="7030318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8、墙夹缝垃圾杂物未及时清理的，每处扣20-50元。</w:t>
      </w:r>
    </w:p>
    <w:p w14:paraId="7366A0D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9、公交车亭路面不洁或垃圾停留时间过长的、路面有杂草的、侧石有积沙积泥的、果壳箱不洁及垃圾袋未及时更换和垃圾未日产日清的，每项每次扣20-50元。</w:t>
      </w:r>
    </w:p>
    <w:p w14:paraId="5DD1921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第十八条 绿化带保洁规定</w:t>
      </w:r>
    </w:p>
    <w:p w14:paraId="3A7DA70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1、绿化带内有白色垃圾、显眼处有砖石块、断树枝等杂物的，每处每次扣20-50元。</w:t>
      </w:r>
    </w:p>
    <w:p w14:paraId="6837A47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2、将泥沙、落叶及生活垃圾倒入绿化带的，每处每次扣50-100元。</w:t>
      </w:r>
    </w:p>
    <w:p w14:paraId="62EEA24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3、树穴内有白色垃圾、烟蒂及有碍于视线的石块、动物粪便等杂物的，每处每次扣10-50元。</w:t>
      </w:r>
    </w:p>
    <w:p w14:paraId="0FE113B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第十九条 果壳箱保洁规定</w:t>
      </w:r>
    </w:p>
    <w:p w14:paraId="4058766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1、果壳箱箱体、入料口不洁及箱门未关闭的，每只扣20-50元；内部有隔夜垃圾、垃圾外溢、垃圾袋破损未及时更换的每项扣50元；未放置垃圾袋的每只扣100元，累计扣款150元及以上的，加扣2000元。</w:t>
      </w:r>
    </w:p>
    <w:p w14:paraId="416D20A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2、果壳箱倾斜或损坏公司未及时报修的，每只扣500元，报修后次日内未及时加固、维护、修复的，扣责任人月考核奖。</w:t>
      </w:r>
    </w:p>
    <w:p w14:paraId="51C5BA2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第二十条 垃圾桶设置、保洁规定</w:t>
      </w:r>
    </w:p>
    <w:p w14:paraId="665D6B2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1、沿街垃圾桶应将印有“象山环卫”字样的一面朝向道路统一摆放整齐，未做到的每只扣50元。</w:t>
      </w:r>
    </w:p>
    <w:p w14:paraId="3591375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2、实行公交站点式收运的沿街垃圾桶未做到撤桶并点的，每日每只扣50元。</w:t>
      </w:r>
    </w:p>
    <w:p w14:paraId="684DE76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3、归集点垃圾桶摆放不整齐、不规范的，每处扣100-300元。</w:t>
      </w:r>
    </w:p>
    <w:p w14:paraId="6D791E8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4、垃圾桶桶盖未盖的，每只扣10—20元。</w:t>
      </w:r>
    </w:p>
    <w:p w14:paraId="6951A3D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5、垃圾桶内垃圾满溢外露的，每只扣10-20元。</w:t>
      </w:r>
    </w:p>
    <w:p w14:paraId="090A372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6、垃圾桶周边地面有残留垃圾或杂物、垃圾桶未满周边有垃圾未入桶的，每处扣20-50元。</w:t>
      </w:r>
    </w:p>
    <w:p w14:paraId="59FEB1F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7、弄堂、小巷内的垃圾桶，归集时间过早、归集时摆放不整齐影响市容的，每处每项扣500元。</w:t>
      </w:r>
    </w:p>
    <w:p w14:paraId="0C790C5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第二十一条 公司对考核扣款有异议的，应向中心考核督导科核对，经查实确实处罚不当或错罚的，可以予以减少或免除处罚扣款（需中心分管副主任审核批准），以欺骗、威胁、无中生有等方式处理或借机闹事的，按原扣款2倍处罚。</w:t>
      </w:r>
    </w:p>
    <w:p w14:paraId="775E8D5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第二十二条 在执行处罚的同时，可按当事人平时工作表现情况和违规次数处待岗5-15天处罚，一年内被待岗两次的，直接解除劳动（劳务）合同。</w:t>
      </w:r>
    </w:p>
    <w:p w14:paraId="38FCEC8B">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 公厕管理保洁</w:t>
      </w:r>
    </w:p>
    <w:p w14:paraId="0487210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第二十三条 公厕管理员不按规定着装、佩戴胸牌上岗或工作时间擅离岗位的，每项每次扣100元，累计扣款超过200元的，加扣1000元。</w:t>
      </w:r>
    </w:p>
    <w:p w14:paraId="5A46870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第二十四条 公厕实行十四小时保洁（即：上午5：20至10：20、中午11：20至16：20、晚上17：20至21：20），二十四小时开放并进行一天两次全面保洁（上午7：00前、下午4：20前）和其他时段进行循环保洁。未按规定时间保洁、迟到、早退、中途擅自离岗的，每项每次扣100元，累计扣款超过300元的加扣2000元；厕所内有蜘蛛网、积水、积灰、积粪、痰迹或臭气较重、隔板、洁具、台盆不洁、镜面不洁、制度牌不洁、墙面、地面等不洁的，每项每次扣20—50元，累计扣款超过200元的，加扣1000元；以水管直接冲洗厕内墙面隔板或开关、感应设施的，每项每次扣100元，造成设施损坏的，按实赔偿。</w:t>
      </w:r>
    </w:p>
    <w:p w14:paraId="2BC54AC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第二十五条 爱心驿站不整洁、各类服务设施缺失、工具箱存放与保洁无关物品、第三卫生间或母婴室、残疾人专用坑位上锁或存放其他物品的，每项每次扣50元，累计扣款200元及以上的，加扣1000元。</w:t>
      </w:r>
    </w:p>
    <w:p w14:paraId="1DD6C99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第二十六条 在爱心驿站房内烧饭、用餐、就寝或做其他与工作无关事项的，每次扣100元，累计扣款200元及以上的，加扣2000元。</w:t>
      </w:r>
    </w:p>
    <w:p w14:paraId="3CA8EB5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第二十七条 公厕实行长明灯制。为节约用电，夜晚可关闭部分电源，但必须确保室内明亮，发现晚间公厕内未亮灯的每次扣50元，累计扣款200元及以上的，加扣1000元。</w:t>
      </w:r>
    </w:p>
    <w:p w14:paraId="0D9DC95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第二十八条 公厕无障碍设施、标识、以及灯光、龙头、感应器、门锁等各类设施损坏未及时挂牌告知的每项每次扣50元；未及时修复，应报告中心维修而未报告的，每项每次扣200元，累计扣款300元及以上的，加扣2000元。</w:t>
      </w:r>
    </w:p>
    <w:p w14:paraId="04E1B7C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第二十九条 厕所外墙体、出入口路面、周边责任区、路面及绿化带等不洁、乱晾晒、乱吊挂、乱堆放的，每项每次扣50元，累计扣款200元及以上的，加扣1000元。</w:t>
      </w:r>
    </w:p>
    <w:p w14:paraId="5836091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第三十条 未按规定设置干手机、洗手液、卫生纸及保洁工具不入箱的，每项每次扣50元；下雨天、潮湿天气未设置防滑提示牌的，扣500元；造成人员伤亡所产生的一切费用自行负担。</w:t>
      </w:r>
    </w:p>
    <w:p w14:paraId="568683A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第三十一条 卫生纸、洗手液用完未及时补充，每项每次扣50元，连续抽查5座及以上，累计扣款250元及以上的，加扣1000元。</w:t>
      </w:r>
    </w:p>
    <w:p w14:paraId="61A126C2">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 中转站管理</w:t>
      </w:r>
    </w:p>
    <w:p w14:paraId="006EECC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第三十二条 作业人员有迟到、早退、中途脱岗情况的，每项每次扣100元；未按规定着装的扣50元；未按规定时间运行的每次每座扣5000元。</w:t>
      </w:r>
    </w:p>
    <w:p w14:paraId="3319640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第三十三条 作业人员未持操作证操作或交给没有操作证的人员操作压缩机的，每项每次扣500元；造成设备损坏的，按实际维修费用赔偿。</w:t>
      </w:r>
    </w:p>
    <w:p w14:paraId="1BB9A97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第三十四条 作业人员监管不到位造成设备设施损坏，或设施设备损坏未及时报修，每次扣500元（智能地磅、快速门故障不及时报修的扣2000元），如影响正常作业的，每次扣1000元。</w:t>
      </w:r>
    </w:p>
    <w:p w14:paraId="6FFA25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第三十五条 未做好除臭灭蝇工作、无故不开启除臭设备的，每项每次扣1000元。</w:t>
      </w:r>
    </w:p>
    <w:p w14:paraId="4104FBC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第三十六条 上午5至10时，无专人清扫场内卫生的，扣1000元；一周内被查二次及以上的，加扣2000元；下午16时前未完成全面清洗场内所有设备、设施及地面、墙面、冲洗区、窨井、绿化带卫生的，扣1000元；一周内被查二次及以上的，加扣2000元。</w:t>
      </w:r>
    </w:p>
    <w:p w14:paraId="590AB14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第三十七条 中转站地面、墙面、绿化区、厕所、操作车间、洗桶区、停车位、配电房、管理房、宿舍等卫生不洁的，每项每次扣50元，累计扣款200元及以上的，加扣2000元。</w:t>
      </w:r>
    </w:p>
    <w:p w14:paraId="2670AFB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第三十八条 场内有杂物堆放的、机坑内有垃圾、推板与油缸连接处垃圾未清理、设备未及时清洗的，每项扣500元。</w:t>
      </w:r>
    </w:p>
    <w:p w14:paraId="1B370C7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第三十九条 未做好场内、外指定的绿化养护工作、因养护不周造成树木、花草死亡的，扣5000元，并按同款树木、花草种植，直至成活；堆放杂物及种植蔬菜的，每项扣1000元。</w:t>
      </w:r>
    </w:p>
    <w:p w14:paraId="050D472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第四十条 场内寄养动物、家禽的，每次扣200元。</w:t>
      </w:r>
    </w:p>
    <w:p w14:paraId="1BD3CA3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第四十一条 站内管理房只供环卫管理、作业人员使用，不得有未成年人入内，否则一经查实，每座每次扣1000元，全年累计三次（含）以上的，直接解除劳动（劳务）合同。</w:t>
      </w:r>
    </w:p>
    <w:p w14:paraId="75573197">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 车辆管理</w:t>
      </w:r>
    </w:p>
    <w:p w14:paraId="76A483E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第四十二条 劳动纪律、车辆维护规定</w:t>
      </w:r>
    </w:p>
    <w:p w14:paraId="0D65D8A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驾驶员不按时上下班、不按规定路线、范围及作业频次作业、不按规定车速行驶、未完成工作任务的，每项每次扣100元；未按规定着装的扣50元；不服从指挥调度的，视情扣发1—3个月考核奖；如有谩骂、威胁、殴打管理人员的情况，直接解除劳动（劳务）合同。</w:t>
      </w:r>
    </w:p>
    <w:p w14:paraId="1FF1A98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2、所有车辆作业完工后应根据车辆类型、特点规定进行清洗，确保车辆功能正常、车体清洁，未做到的，每次扣驾驶员50—200元。</w:t>
      </w:r>
    </w:p>
    <w:p w14:paraId="2480FA7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3、所有车辆作业完工后应按指定地点停放，未做到的，每次扣驾驶员100元。</w:t>
      </w:r>
    </w:p>
    <w:p w14:paraId="7F46E01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4、驾驶员不按规定对车辆进行日常维护保养检查致使车辆损坏、部件缺失的，照价赔偿。</w:t>
      </w:r>
    </w:p>
    <w:p w14:paraId="3F743AA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5、驾驶员因缺水、缺油行车或操作不当造成车辆损坏的，视情扣发1—3个月考核奖；造成直接损失2000元以上的，视情扣发4—6个月考核，情节严重的，直接解除劳动（劳务）合同。</w:t>
      </w:r>
    </w:p>
    <w:p w14:paraId="3637A56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6、驾驶员因操作不当造成车辆刮擦等事故，应及时与中心设施运维科负责人联系，如不及时上报并自行安排维修的，查实后，车辆维修费自行承担，视情扣3-6个月考核奖。</w:t>
      </w:r>
    </w:p>
    <w:p w14:paraId="31D88A3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7、驾驶员无故不参加车辆安全知识学习培训及其他相关活动的，每次扣200元，并取消当年度安全驾驶员评选资格；车辆加油时抽烟的，每发现一次扣200元。</w:t>
      </w:r>
    </w:p>
    <w:p w14:paraId="613A7EC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8、车辆作业时注意噪声污染，被投诉的，经核实，每次扣作业人员100元。</w:t>
      </w:r>
    </w:p>
    <w:p w14:paraId="0CF7293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9、驾驶员人为干扰车载监控设施的直接解除劳动合同。</w:t>
      </w:r>
    </w:p>
    <w:p w14:paraId="496E51D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第四十三条 机扫车（洗扫一体机）作业规定</w:t>
      </w:r>
    </w:p>
    <w:p w14:paraId="4303578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1、不按要求调整吸盘高度（吸盘边缘离地一公分为准）、扫帚角度，车辆零部件损坏不及时修复，作业质量未达到要求的，每项扣500元。</w:t>
      </w:r>
    </w:p>
    <w:p w14:paraId="24755A0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2、作业期间不按要求开启警示灯、喷水压尘装置的，或故障不修复的，每次每项扣100元。</w:t>
      </w:r>
    </w:p>
    <w:p w14:paraId="037E45C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3、不按规定倾倒垃圾、污水的，每项扣1000元。</w:t>
      </w:r>
    </w:p>
    <w:p w14:paraId="4C26E4B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第四十四条 洒水车、高压冲洗车、小型清洗车作业规定</w:t>
      </w:r>
    </w:p>
    <w:p w14:paraId="1F99CF3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1、在洒水、清洗作业时应避开道路交通高峰期，不按规定开启警示灯、播放提示音乐、影响道路交通的，每项每次扣500元。</w:t>
      </w:r>
    </w:p>
    <w:p w14:paraId="6C6CF59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2、在洒水、清洗作业时通过十字路口、人行横道和非机动车道未减速控制水幅，未避让非机动车或行人被投诉的，每次每项扣800元。</w:t>
      </w:r>
    </w:p>
    <w:p w14:paraId="41E21DD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气温在3摄氏度以下暂停路面洒水、清洗作业。不按规定作业，致使路面结冰打滑被行人或有关部门投诉的，每次扣1000元；没有根据天气变化及时调整作业方式和作业时间的，每次扣500元，造成人员伤亡的，直接解除劳动（劳务）合同并赔偿。 </w:t>
      </w:r>
    </w:p>
    <w:p w14:paraId="4D26D24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4、小型冲洗车作业时未设置安全警示牌的扣100元；造成事故发生的扣2000元；发生重大事故的扣5000元。</w:t>
      </w:r>
    </w:p>
    <w:p w14:paraId="6C3C514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第四十五条 垃圾压缩车、垃圾清运车、桶装车、厨余垃圾车、其他垃圾车及果壳箱垃圾收集车作业规定</w:t>
      </w:r>
    </w:p>
    <w:p w14:paraId="793B675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1、驾驶员在车辆运输途中因人为操作原因致使垃圾及污水滴、漏、洒污染路面的，每次扣100元。</w:t>
      </w:r>
    </w:p>
    <w:p w14:paraId="6174EEA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2、驾驶员未经允许不及时清运垃圾造成隔夜积压的，每次扣100元。</w:t>
      </w:r>
    </w:p>
    <w:p w14:paraId="6FFF448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3、驾驶员夹带超载垃圾桶或将垃圾倒入车箱清运（部分袋装无水垃圾除外）的，每次扣500元；如因此发生交通事故的，每次扣2000元。全年违规清运垃圾累计3次（含）以上的，直接解除劳动（劳务）合同。</w:t>
      </w:r>
    </w:p>
    <w:p w14:paraId="7A023C9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4、垃圾桶未卸车不经清洗直接使用的，每桶扣50元，全年被查三次及以上的，直接解除劳动（劳务）合同。</w:t>
      </w:r>
    </w:p>
    <w:p w14:paraId="06964EA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垃圾压缩车、垃圾转运车出站前驾驶员未下车检查车辆尾部是否夹带垃圾的每次扣500元；尾部夹带垃圾出站的每次扣100元；被投诉的每次扣300元；进焚烧厂倾倒垃圾后未关闭后厢门直接行驶的每次扣100元，如损坏场内设施的照价赔偿；不服从现场管理人员指挥的每次扣200元；致使垃圾撒落作业平台影响其他车辆通行的，扣发驾驶员当月考核奖；全年累计3次（含）以上的，属城市管理服务中心人员的，直接解除劳动（劳务）合同，属承包公司人员的，扣500-2000元。</w:t>
      </w:r>
    </w:p>
    <w:p w14:paraId="1213B7E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跟车工应积极主动做好垃圾定时、定点分类投放的宣传、督导、问题收集工作。收集沿街店铺（单位）、果壳箱垃圾时，收运车不按规定时间出车；不按规定路线及时速行驶；有漏收、跳收、未收垃圾的，每次每项扣50元。</w:t>
      </w:r>
    </w:p>
    <w:p w14:paraId="07E5179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7、作业时未开启提示喇叭的，扣100元。</w:t>
      </w:r>
    </w:p>
    <w:p w14:paraId="79C7DE9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8、垃圾收运车辆无故不安装视频监控的，扣10000元每车次；新增、更换车辆未及时变更信息的，扣5000元每车次。</w:t>
      </w:r>
    </w:p>
    <w:p w14:paraId="2DF06B6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9、公司垃圾收运车辆未过磅进入中转站倾倒垃圾的，处1000元以上5000元以下罚款；中心垃圾收运车辆未过磅进入中转站倾倒垃圾的，每车次扣50元；垃圾转运车辆未过磅驶出中转站的，每车次扣50元。</w:t>
      </w:r>
    </w:p>
    <w:p w14:paraId="10AFD4A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10、公司垃圾分类收运车辆未按规定使用手机进行定时收运APP打卡的，根据实际情况综合评判，处2000元以上20000元以下罚款；中心垃圾分类收运车辆未按规定使用手机进行定时收运APP打卡的，每点次扣50元。</w:t>
      </w:r>
    </w:p>
    <w:p w14:paraId="52A1539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以上条款作业人员属中心的从本人考核奖中扣款。</w:t>
      </w:r>
    </w:p>
    <w:p w14:paraId="6BA7632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第四十六条 吸粪车（吸污车）、餐厨垃圾车规定</w:t>
      </w:r>
    </w:p>
    <w:p w14:paraId="54CCAC8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1、驾驶员操作不当致使车辆清运途中滴、漏、洒污染路面的，每次扣100元。</w:t>
      </w:r>
    </w:p>
    <w:p w14:paraId="19A8038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2、驾驶员不按规定倾倒处理垃圾的，每次扣100元。</w:t>
      </w:r>
    </w:p>
    <w:p w14:paraId="2360A2C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3、驾驶员未按时完成粪便抽运或餐厨垃圾清运任务的，每次扣100元。</w:t>
      </w:r>
    </w:p>
    <w:p w14:paraId="5574109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4、对外开展有偿服务态度恶劣、作业完工后未及时密闭各类管盖或未及时对作业场地周边进行清洗被投诉一经核实的，每人每次扣100元。</w:t>
      </w:r>
    </w:p>
    <w:p w14:paraId="12F8EB5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5、对外开展有偿服务乱收费或收费未开具收据被投诉的，视情节轻重扣发当事人1—6个月考核奖、解除劳动合同或移交有关部门处理。</w:t>
      </w:r>
    </w:p>
    <w:p w14:paraId="21B5C7FB">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 辅助工</w:t>
      </w:r>
    </w:p>
    <w:p w14:paraId="75A0238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第四十七条 不按规定时间上下班或未完成作业任务的，每次扣100元；未按规定着装（包括未穿防滑雨鞋、戴橡胶手套）的，每次扣50元；不服从指挥管理的，每次扣200元，全年累计三次（含）以上的，直接解除劳动（劳务）合同。</w:t>
      </w:r>
    </w:p>
    <w:p w14:paraId="3CD4CF1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第四十八条 倒桶工在作业时因噪声污染被投诉的，每次扣100元；不按规定操作致使车辆或垃圾桶受损的，每次扣100—200元；受损情况严重的，责令单位（承包公司）与辅助工直接解除劳动（劳务）合同，如涉及桶装车驾驶员责任的，也作相应处罚；空桶归位不规范、不整齐的每处扣50元。</w:t>
      </w:r>
    </w:p>
    <w:p w14:paraId="2AA638F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第四十九条 洗桶工不按规定操作，存在漏洗或清洗质量不达标情况以及作业完工后垃圾桶未分类摆放或摆放不整齐、相关设备设施未及时维护、场地未及时清理的，每项每人扣50元；洗桶区完工后集砂井未及时清理的，每人扣100元；造成堵塞的，每人扣200元。</w:t>
      </w:r>
    </w:p>
    <w:p w14:paraId="341456BB">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 智慧环卫</w:t>
      </w:r>
    </w:p>
    <w:p w14:paraId="3A34E8A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第五十条 车辆GPS、油耗检测规定</w:t>
      </w:r>
    </w:p>
    <w:p w14:paraId="7BFB763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过监测系统显示车辆油耗异常，经查实系驾驶员偷油造成的，责令单位（承包公司）与驾驶员直接解除劳动（劳务）合同，情节严重的移交公安机关处理，未安装油耗检测系统的车辆驾驶员如存在偷油行为，作相同处理。</w:t>
      </w:r>
    </w:p>
    <w:p w14:paraId="6010725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2、驾驶员故意损坏车辆GPS定位及油耗检测系统，一经查实的，直接解除劳动（劳务）合同。</w:t>
      </w:r>
    </w:p>
    <w:p w14:paraId="146186B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第五十一条 人员定位终端规定   </w:t>
      </w:r>
    </w:p>
    <w:p w14:paraId="3D268C1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定位终端不及时开机或不按时充电造成关机或不随身携带的，每次扣100元；一个月内被查实二次或一年内被查实三次的，责令单位（承包公司）与保洁员直接解除劳动（劳务）合同；考核检查时开机，检查结束后关机的，一经查实，直接解除劳动（劳务）合同。</w:t>
      </w:r>
    </w:p>
    <w:p w14:paraId="5B27ECE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2、管理平台显示定位终端异常违规，经查实按考核办法相应条款规定进行处罚。</w:t>
      </w:r>
    </w:p>
    <w:p w14:paraId="45E55DB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3、定位终端损坏未及时报修的，第一次扣50元，第二次扣100元，第三次直接解除劳动（劳务）合同；人为损坏定位终端的，直接解除劳动（劳务）合同。</w:t>
      </w:r>
    </w:p>
    <w:p w14:paraId="4F9880E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4、定位终端遗失的，第一次扣100元，第二次按价赔偿，第三次直接解除劳动（劳务）合同。</w:t>
      </w:r>
    </w:p>
    <w:p w14:paraId="61A9621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5、因终端故障发生误报、错报造成相应处罚，经技术部门核实确认，可以免予处罚；借机纠缠、闹事的，直接解除劳动（劳务）合同。</w:t>
      </w:r>
    </w:p>
    <w:p w14:paraId="694626F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第五十二条 监控设施规定</w:t>
      </w:r>
    </w:p>
    <w:p w14:paraId="384815D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1、监控设施显示人员、车辆违规，按前面所涉及的相应条款进行处罚。</w:t>
      </w:r>
    </w:p>
    <w:p w14:paraId="7E9C876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2、故意损坏监控设施的，直接解除劳动（劳务）合同。</w:t>
      </w:r>
    </w:p>
    <w:p w14:paraId="2B26BB8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第五十三条 考核通规定</w:t>
      </w:r>
    </w:p>
    <w:p w14:paraId="6E27059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1、不按规定使用考核通、当月未完成绩效考核任务（每组指标暂定为220张/月，以后根据实际再作调整）、每组每月未检查出保洁员迟到、早退5人次及以上的，出现其中一项扣考核人员当月量化考核奖100元。</w:t>
      </w:r>
    </w:p>
    <w:p w14:paraId="0E701B1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未完成临时下达的考核任务，每次扣考核人员当月量化考核奖50—100元，扣完为止。</w:t>
      </w:r>
    </w:p>
    <w:p w14:paraId="183B1B6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3、考核通损坏后未及时报修的，扣当月量化考核奖50元；人为损坏考核通的，编外职工直接解除劳动（劳务）合同，在编人员扣1-3个月考核奖。</w:t>
      </w:r>
    </w:p>
    <w:p w14:paraId="15006A85">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 对填埋场、焚烧发电厂、沼气综合利用项目的考核</w:t>
      </w:r>
    </w:p>
    <w:p w14:paraId="1DF3EDF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第五十四条 内部管理</w:t>
      </w:r>
    </w:p>
    <w:p w14:paraId="43BA9EE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1、工作人员应严格遵守岗位职责，如有不在岗情况的，每次扣100元。</w:t>
      </w:r>
    </w:p>
    <w:p w14:paraId="2CC7D5D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2、应保持整个厂区内整洁有序，厂内道路、厕所、操作间、设备间、中控室及厂区周边有零星垃圾、蜘蛛网、异味的，每次每项扣100元；有乱杂物堆放或影响设备操作的，每次扣200元。</w:t>
      </w:r>
    </w:p>
    <w:p w14:paraId="3056CA9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3、未做好厂内绿化养护，绿化带杂乱的，视情扣50－300元。</w:t>
      </w:r>
    </w:p>
    <w:p w14:paraId="23706A7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4、库区作业人员未按要求穿工作服、安全帽、佩戴工作证的，每项每次扣50元。</w:t>
      </w:r>
    </w:p>
    <w:p w14:paraId="6055968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5、场区及场区周边有白色垃圾及杂物的，视情扣20－100元；办公场所卫生不整洁，每次扣50元。</w:t>
      </w:r>
    </w:p>
    <w:p w14:paraId="0DDCEFF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6、在各项检查过程中发现相关问题，在整改期限内未完成整改的，每次扣3000元。</w:t>
      </w:r>
    </w:p>
    <w:p w14:paraId="3D91AAC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7、进场道路未按规定及时进行冲洗的，每次扣100元；路面不整洁的，视情扣200－500元。</w:t>
      </w:r>
    </w:p>
    <w:p w14:paraId="1C07B2F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8、截洪沟有垃圾、杂物导致排水不畅的，视情扣200－500元。</w:t>
      </w:r>
    </w:p>
    <w:p w14:paraId="635B592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9、同一问题在规定整改期限内未及时整改到位的，加倍处罚。</w:t>
      </w:r>
    </w:p>
    <w:p w14:paraId="60F5E2D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第五十五条 工艺操作控制</w:t>
      </w:r>
    </w:p>
    <w:p w14:paraId="6D0D33C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计量和在线监测设备应保持正常运行，定期进行校对，建立相应台帐。发生故障时，立即给予修复，如遇较大故障暂不能排除的，应及时汇报，采用人工记录；若发现计量和在线监测设备数据异常且无汇报的，每次视情扣500－2000元；不能提供校对检验报告的，每次扣1000元。</w:t>
      </w:r>
    </w:p>
    <w:p w14:paraId="014FA66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加强设备运行工况监测，发生故障立即排除，并做好台帐。设备设施无故不开启或未按规定正常运行的，每次扣500－1000元；明知发生故障未排除的，每次扣500元；台帐不全的视情扣50－100元；无检查台帐的扣200元。</w:t>
      </w:r>
    </w:p>
    <w:p w14:paraId="52B1E27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3、污水按规定每日对进出水水质进行检测和定期委托第三方进行检测，并建立相应台帐；如有漏测情况的，每次扣500元，三次及以上的，加倍处罚；检测数据超标且无情况说明的，每次每项扣3000元。</w:t>
      </w:r>
    </w:p>
    <w:p w14:paraId="48AD2D8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第五十六条 设施设备管理维护</w:t>
      </w:r>
    </w:p>
    <w:p w14:paraId="1EB3C0C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1、地磅故障未在整改期限内修复的，每次扣5000元。</w:t>
      </w:r>
    </w:p>
    <w:p w14:paraId="41FF10E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2、闲置作业车辆未停放在规定位置，停放不整齐的，每辆次扣500元；材料堆放凌乱的，视情扣200－1000元。</w:t>
      </w:r>
    </w:p>
    <w:p w14:paraId="11A21AF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3、保持所有监控设施设备正常运作，如有损坏应及时修复，未及时修复的，每次扣3000元。</w:t>
      </w:r>
    </w:p>
    <w:p w14:paraId="13669E4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4、除臭设备无故不开启或未按要求正常运行的，每次扣5000元；对库区及周边道路除臭每日未达到8次的，每少一次扣2000元。</w:t>
      </w:r>
    </w:p>
    <w:p w14:paraId="0EF071A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5、未进行除臭作业的，每次扣1000元；未按规定对场区及办公场所进行灭蝇消杀的，苍蝇密度过大、因除臭消杀不到位被投诉的每次扣5000元。</w:t>
      </w:r>
    </w:p>
    <w:p w14:paraId="37DDA2A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6、人员、设施设备未按合同要求配备到位的，每项次扣5000元。</w:t>
      </w:r>
    </w:p>
    <w:p w14:paraId="523F7FE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7、污水处理的设施设备应保持整洁完好、功能正常、管路无锈蚀、生产车间内无积水、设施设备表面无灰尘，如有上述情况的，每次每项扣100元。</w:t>
      </w:r>
    </w:p>
    <w:p w14:paraId="40A4818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8、未按规定进行环境监测的，每次扣5000元；监测台帐资料不全的，每项扣500元。</w:t>
      </w:r>
    </w:p>
    <w:p w14:paraId="6A1B76A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9、各项工艺（技术）参数按国家相关标准执行，被检测不符合工艺标准的（按招标文件、特许经营协议、相关合同等）予以处罚。</w:t>
      </w:r>
    </w:p>
    <w:p w14:paraId="263E8C6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10、定期对处理设备进行维护保养，并建立相应台帐。无维护保养台帐的，每次扣200元；记录不全的，每次扣100元；对故障设备应及时维修，如维修不及时且无情况说明的，每次每项扣500元。</w:t>
      </w:r>
    </w:p>
    <w:p w14:paraId="673898B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第五十七条 厂区安全</w:t>
      </w:r>
    </w:p>
    <w:p w14:paraId="364FF1E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厂内危险化学品应按危险化学品管理规定单独存放，在存放和使用位置设置警示标识标牌、操作使用规定、应急处置预案和应急处置设施，如未按规定存放的，每次扣1000元；未设置警示标识标牌或标识标牌不清楚的，每次扣100元；无应急处置设施或应急处置设施不全的每次扣1000元；违反危险化学品使用操作规定的，每次扣5000元。</w:t>
      </w:r>
    </w:p>
    <w:p w14:paraId="796DA02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2、厂区操作间、中控室、危险化学品存储点等重点区域内应严禁烟火，设置警示标牌，如发现在上述区域抽烟、使用明火等影响厂区安全的，每次扣2000元。</w:t>
      </w:r>
    </w:p>
    <w:p w14:paraId="4F5535B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3、各类台帐资料应如实记录，记录不全的，每次扣100元；弄虚作假的，每次扣3000元。</w:t>
      </w:r>
    </w:p>
    <w:p w14:paraId="1DF79E1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4、在整改限期内未完成整改的每次扣3000元，无情况说明且拒不整改的，对整改项加倍处罚。</w:t>
      </w:r>
    </w:p>
    <w:p w14:paraId="05EA3EE6">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 日常考核</w:t>
      </w:r>
    </w:p>
    <w:p w14:paraId="2690EA5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第五十八条 目标考核规定</w:t>
      </w:r>
    </w:p>
    <w:p w14:paraId="66154F2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1、根据不同季节、不同的时间，合理安排人员班次，对各项目按考核内容要求进行日常考核，并根据实际情况及时调整考核方式、方法。</w:t>
      </w:r>
    </w:p>
    <w:p w14:paraId="29EE222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当年扣款累计达到1000元或处罚次数达到30次的，责令单位（承包公司）与人员直接解除劳动（劳务）合同，并扣直接负责的管理人员每人1个月考核奖，加扣承包公司2000元。事业在编人员按照本办法第七条执行。</w:t>
      </w:r>
    </w:p>
    <w:p w14:paraId="5CBD191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第五十九条 任务考核规定</w:t>
      </w:r>
    </w:p>
    <w:p w14:paraId="6ECF44E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1、根据实际情况及时下发各项考核任务，未完成的，每次扣考核人员当月考核奖50—100元，扣完300元为止。</w:t>
      </w:r>
    </w:p>
    <w:p w14:paraId="28D1EB8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2、根据各项创建活动和各类检查、测评、调研活动及时下发各项临时性考核任务，未完成的，每次扣考核人员当月考核奖50-100元，扣完300元为止。</w:t>
      </w:r>
    </w:p>
    <w:p w14:paraId="24E2DFF4">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十三 量化考核</w:t>
      </w:r>
    </w:p>
    <w:p w14:paraId="5986C9D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第六十条 量化考核对象规定</w:t>
      </w:r>
    </w:p>
    <w:p w14:paraId="022698F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城市管理服务中心各科室，包括填埋场、污水厂、净化中心、机修车间、停车场。</w:t>
      </w:r>
    </w:p>
    <w:p w14:paraId="2CEE941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承担道路保洁、垃圾中转压缩、公厕管理及其他项目的承包公司。</w:t>
      </w:r>
    </w:p>
    <w:p w14:paraId="6A7A5A5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第六十一条 量化考核有关规定</w:t>
      </w:r>
    </w:p>
    <w:p w14:paraId="72080DE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将承包公司，按照保洁难易程度及保洁面积划分为若干个网格，量化考核小组采取车巡、步行相结合的方式，随机抽取一个网格进行考核，原则上只扣分不扣款，每月2次取平均值。同时，对机修车间、停车场、净化中心、填埋场、污水厂、内部卫生管理进行量化考核。</w:t>
      </w:r>
    </w:p>
    <w:p w14:paraId="5D69A94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2、量化考核小组采取车巡、步行相结合的方式对上述所有责任区域进行全面量化考核，每月1次，并结合实际酌情扣分，然后根据保洁难易程度得出月量化考核分。</w:t>
      </w:r>
    </w:p>
    <w:p w14:paraId="245FB07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3、班子成员分组参与量化考核，原则上一个星期不少于2次。</w:t>
      </w:r>
    </w:p>
    <w:p w14:paraId="5B1DDC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4、如有必要，通过公开招标或委托具有相关资质的第三方进行考核。</w:t>
      </w:r>
    </w:p>
    <w:p w14:paraId="12AAEB9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第六十二条 量化评分标准规定</w:t>
      </w:r>
    </w:p>
    <w:p w14:paraId="4DF88DB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1、保洁质量（80分）</w:t>
      </w:r>
    </w:p>
    <w:p w14:paraId="6558CB1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（1）根据考核内容及保洁质量每项扣0.1—0.5分，原则上一个路段每次检查扣分不超过2分。</w:t>
      </w:r>
    </w:p>
    <w:p w14:paraId="0EB6B0D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（2）根据道路、公厕等保洁难易程度不等，设置一定的保洁难度系数分（另行制定）。</w:t>
      </w:r>
    </w:p>
    <w:p w14:paraId="15333D7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2、劳动纪律（18分）</w:t>
      </w:r>
    </w:p>
    <w:p w14:paraId="4BE704A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（1）按照劳动纪律有关规定每项扣0.1—0.5分，原则上一个路段每次检查扣分不超过1分。</w:t>
      </w:r>
    </w:p>
    <w:p w14:paraId="52699FCA">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（2）在每一次检查考核中，每个网格保洁员脱岗率达到10%的，扣该网格负责单位0.5分；脱岗率达到20%的，扣1分；脱岗率在30%（含）以上的，扣1.5—3分。</w:t>
      </w:r>
    </w:p>
    <w:p w14:paraId="62120CB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3、日常考核（2分）</w:t>
      </w:r>
    </w:p>
    <w:p w14:paraId="5844FED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（1）日常考核扣款1—1000元的扣0.2分；1001—2000元的扣0.4分；2001—3000元的扣0.6分；3001—4000元的扣0.8分；4001—5000元的扣1分；5001—10000元的扣1.5分；10000元以上的扣2分。</w:t>
      </w:r>
    </w:p>
    <w:p w14:paraId="2C98067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（2）通过“智慧环卫”系统进行检查考核，原则上只扣款不扣分。</w:t>
      </w:r>
    </w:p>
    <w:p w14:paraId="41AB603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第六十三条 奖罚措施规定</w:t>
      </w:r>
    </w:p>
    <w:p w14:paraId="7358C3A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1、月量化考核得分在95分（含）以上的为优秀，90（含）—95分为合格，90分以下为不合格。</w:t>
      </w:r>
    </w:p>
    <w:p w14:paraId="4751DA3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月量化考核得分均在97分（含）以上的前三名给予一定的物质奖励，第一名1500元，第二名1000元，第三名500元。各承包公司在3年承包期内，年终量化考核分每年在95分（含）以上且三次排名在前二名的，发给保洁质量优胜单位荣誉证书。</w:t>
      </w:r>
    </w:p>
    <w:p w14:paraId="121BA9C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3、各承包公司在承包期内月量化考核得分不合格的，第一次扣2000元，第二次扣5000元，第三次扣10000元，第四次县城市管理服务中心有权单方面终止协议。</w:t>
      </w:r>
    </w:p>
    <w:p w14:paraId="118C6C9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4.污水厂、净化中心、机修车间、停车场的考核参照执行。</w:t>
      </w:r>
    </w:p>
    <w:p w14:paraId="26AD7BAB">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十四 对承包公司的考核</w:t>
      </w:r>
    </w:p>
    <w:p w14:paraId="09378A8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第六十四条 对各承包公司的日常考核扣款，全部由承包公司承担，扣款在当月下拨的保洁经费中扣除。</w:t>
      </w:r>
    </w:p>
    <w:p w14:paraId="1E6AD66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第六十五条 在每一次检查考核中，各承包公司每个网格保洁员脱岗率达到10%的，除扣量化考核分外，加扣该承包公司当月保洁经费3000元；脱岗率达到20%的，除扣量化考核分外，加扣该承包公司当月保洁经费5000元；脱岗率在30%（含）以上的，除扣量化考核分外，加扣该承包公司当月保洁经费10000—20000元。</w:t>
      </w:r>
    </w:p>
    <w:p w14:paraId="6A03F56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第六十六条 各承包公司应建立职工信誉登记制度，作业人员必须持证上岗，接受社会监管；聘用职工必须到城市管理服务中心备案，未备案的每人次扣1000元；聘用因违反本考核办法被其他承包公司或城市管理服务中心解除劳动合同的人员的，每人次扣10000元。</w:t>
      </w:r>
    </w:p>
    <w:p w14:paraId="37CC791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第六十七条 各保洁公司应提供每个保洁路段的范围界址，考核员姓名及联系电话，需设置电子台账；如有调整及时报城市管理服务中心考核督导科备案；所有作业车辆行驶证报信息管理科备案，以上三点未及时提供备案的每项每次扣5000元，次月还未提供备案的每项每次扣10000元。</w:t>
      </w:r>
    </w:p>
    <w:p w14:paraId="6404D26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第六十八条 各承包公司应建立安全管理台账，安全检查时未提供安全管理台账的每项扣1000元。</w:t>
      </w:r>
    </w:p>
    <w:p w14:paraId="6D491F5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第六十九条 承包公司未按规定对车辆作业情况进行记录、未完成月度车辆作业台账的扣2000元，未完成全年车辆作业台帐的，扣5000元；根据第四十二条规定驾驶员不按规定作业频次作业的，每少1次扣500元。</w:t>
      </w:r>
    </w:p>
    <w:p w14:paraId="1255F1A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第七十条 各承包公司未按招标文件或承包合同要求足额配备相关人员，如果合同年度内，月量化考核得分出现不合格的，按不足人数年人员经费的2倍进行罚款。情节严重的，县城市管理服务中心可单方面终止协议。</w:t>
      </w:r>
    </w:p>
    <w:p w14:paraId="065BB27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第七十一条 各承包公司未按中标文件或承包合同要求配备车辆，未安装视频监控；车辆变更或调离作业区域未及时向市监管平台单位报备的，按当月下拨经费的10%罚款；情节严重的，县城市管理服务中心可单方面终止协议。</w:t>
      </w:r>
    </w:p>
    <w:p w14:paraId="63F7B047">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第七十二条 各承包公司未建立二级考核制度、奖罚措施和重大事故、突发事件、极端天气应急预案的，扣保洁经费10000元；工作不得力造成负面影响的，按当月下拨经费的10%进行处罚；情节严重的，县城市管理服务中心可单方面终止协议。</w:t>
      </w:r>
    </w:p>
    <w:p w14:paraId="575D76B1">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第七十三条 各公司的二级考核制度、奖罚实施台账资料应在次月10日前报中心分管副主任签字确认并备案，未及时上报的扣10000元，弄虚作假的扣50000元。</w:t>
      </w:r>
    </w:p>
    <w:p w14:paraId="45B6BCD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第七十四条 各承包公司未按中心核定金额要求支付职工工资、缴纳各种保险现象的，首月扣50000元，次月未整改的扣150000，以此类推；因管理不力等原因造成职工集体上访（5人及以上）累计2次（含）以上的，扣当月保洁经费20000元，并且县城市管理服务中心可单方面终止协议。</w:t>
      </w:r>
    </w:p>
    <w:p w14:paraId="2F06FA0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第七十五条 各承包公司必须对自己所管辖的设施设备完好情况进行督查检查，包括但不限于果壳箱、垃圾桶、作业车辆定位系统等相关设施设备，发现缺失破损或未能正常使用的，必须及时维修或上报。如被县城市管理服务中心检查到，每次扣该承包公司2000-10000元，情节严重的县城市管理服务中心可单方面终止协议。</w:t>
      </w:r>
    </w:p>
    <w:p w14:paraId="792A592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第七十六条 各承包公司被县级部门、县城市管理服务中心督办以及被各级新闻媒体曝光或市民投诉的，扣当月保洁经费10000元，在整改期限内未完成的，扣当月保洁经费20000元；造成严重负面影响的，县城市管理服务中心可单方面终止协议。</w:t>
      </w:r>
    </w:p>
    <w:p w14:paraId="26D884D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第七十七条 各承包公司在县重大活动和各类创建活动、检查、测评、调研活动期间应无条件配合做好相关保障工作，因工作开展不力被扣考核分1分以上的，扣当月下拨保洁经费10000—20000元；造成严重负面影响的，县城市管理服务中心可单方面终止协议。</w:t>
      </w:r>
    </w:p>
    <w:p w14:paraId="72E26ACA">
      <w:pPr>
        <w:spacing w:line="360" w:lineRule="auto"/>
        <w:ind w:firstLine="480" w:firstLineChars="200"/>
        <w:rPr>
          <w:rFonts w:hint="eastAsia" w:ascii="仿宋" w:hAnsi="仿宋" w:eastAsia="仿宋" w:cs="仿宋"/>
          <w:sz w:val="24"/>
          <w:szCs w:val="24"/>
          <w:lang w:val="en-US" w:eastAsia="zh-CN"/>
        </w:rPr>
        <w:sectPr>
          <w:headerReference r:id="rId3" w:type="default"/>
          <w:footerReference r:id="rId4" w:type="default"/>
          <w:pgSz w:w="11906" w:h="16838"/>
          <w:pgMar w:top="1474" w:right="850" w:bottom="1247" w:left="1701" w:header="851" w:footer="851" w:gutter="0"/>
          <w:pgNumType w:fmt="decimal"/>
          <w:cols w:space="720" w:num="1"/>
          <w:docGrid w:linePitch="312" w:charSpace="0"/>
        </w:sectPr>
      </w:pPr>
      <w:r>
        <w:rPr>
          <w:rFonts w:hint="eastAsia" w:ascii="仿宋" w:hAnsi="仿宋" w:eastAsia="仿宋" w:cs="仿宋"/>
          <w:sz w:val="24"/>
          <w:szCs w:val="24"/>
          <w:lang w:val="en-US" w:eastAsia="zh-CN"/>
        </w:rPr>
        <w:t>本办法由考核督导科负责解释，自正式发文之日起施行。</w:t>
      </w:r>
    </w:p>
    <w:p w14:paraId="0CEF06B1">
      <w:pPr>
        <w:spacing w:line="360" w:lineRule="auto"/>
        <w:rPr>
          <w:rFonts w:hint="eastAsia" w:ascii="仿宋" w:hAnsi="仿宋" w:eastAsia="仿宋" w:cs="仿宋"/>
          <w:bCs/>
          <w:sz w:val="24"/>
          <w:szCs w:val="24"/>
          <w:highlight w:val="none"/>
          <w:lang w:eastAsia="zh-CN"/>
        </w:rPr>
      </w:pPr>
    </w:p>
    <w:p w14:paraId="7BB265D5">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 xml:space="preserve">第四部分   </w:t>
      </w:r>
      <w:bookmarkStart w:id="30" w:name="_Toc184312102"/>
      <w:bookmarkEnd w:id="30"/>
      <w:bookmarkStart w:id="31" w:name="_Toc184312097"/>
      <w:bookmarkEnd w:id="31"/>
      <w:bookmarkStart w:id="32" w:name="_Toc184313306"/>
      <w:bookmarkEnd w:id="32"/>
      <w:bookmarkStart w:id="33" w:name="_Toc184314451"/>
      <w:bookmarkEnd w:id="33"/>
      <w:bookmarkStart w:id="34" w:name="_Toc184313263"/>
      <w:bookmarkEnd w:id="34"/>
      <w:bookmarkStart w:id="35" w:name="_Toc184314470"/>
      <w:bookmarkEnd w:id="35"/>
      <w:bookmarkStart w:id="36" w:name="_Toc184314460"/>
      <w:bookmarkEnd w:id="36"/>
      <w:bookmarkStart w:id="37" w:name="_Toc184310291"/>
      <w:bookmarkEnd w:id="37"/>
      <w:bookmarkStart w:id="38" w:name="_Toc184310274"/>
      <w:bookmarkEnd w:id="38"/>
      <w:bookmarkStart w:id="39" w:name="_Toc184312089"/>
      <w:bookmarkEnd w:id="39"/>
      <w:bookmarkStart w:id="40" w:name="_Toc184308048"/>
      <w:bookmarkEnd w:id="40"/>
      <w:bookmarkStart w:id="41" w:name="_Toc184308108"/>
      <w:bookmarkEnd w:id="41"/>
      <w:bookmarkStart w:id="42" w:name="_Toc184313276"/>
      <w:bookmarkEnd w:id="42"/>
      <w:bookmarkStart w:id="43" w:name="_Toc184308036"/>
      <w:bookmarkEnd w:id="43"/>
      <w:bookmarkStart w:id="44" w:name="_Toc184310304"/>
      <w:bookmarkEnd w:id="44"/>
      <w:bookmarkStart w:id="45" w:name="_Toc184310302"/>
      <w:bookmarkEnd w:id="45"/>
      <w:bookmarkStart w:id="46" w:name="_Toc184314463"/>
      <w:bookmarkEnd w:id="46"/>
      <w:bookmarkStart w:id="47" w:name="_Toc184314417"/>
      <w:bookmarkEnd w:id="47"/>
      <w:bookmarkStart w:id="48" w:name="_Toc184308101"/>
      <w:bookmarkEnd w:id="48"/>
      <w:bookmarkStart w:id="49" w:name="_Toc184310330"/>
      <w:bookmarkEnd w:id="49"/>
      <w:bookmarkStart w:id="50" w:name="_Toc184313309"/>
      <w:bookmarkEnd w:id="50"/>
      <w:bookmarkStart w:id="51" w:name="_Toc184308086"/>
      <w:bookmarkEnd w:id="51"/>
      <w:bookmarkStart w:id="52" w:name="_Toc184308052"/>
      <w:bookmarkEnd w:id="52"/>
      <w:bookmarkStart w:id="53" w:name="_Toc184314436"/>
      <w:bookmarkEnd w:id="53"/>
      <w:bookmarkStart w:id="54" w:name="_Toc184310329"/>
      <w:bookmarkEnd w:id="54"/>
      <w:bookmarkStart w:id="55" w:name="_Toc184310289"/>
      <w:bookmarkEnd w:id="55"/>
      <w:bookmarkStart w:id="56" w:name="_Toc184312104"/>
      <w:bookmarkEnd w:id="56"/>
      <w:bookmarkStart w:id="57" w:name="_Toc184312078"/>
      <w:bookmarkEnd w:id="57"/>
      <w:bookmarkStart w:id="58" w:name="_Toc184310290"/>
      <w:bookmarkEnd w:id="58"/>
      <w:bookmarkStart w:id="59" w:name="_Toc184308083"/>
      <w:bookmarkEnd w:id="59"/>
      <w:bookmarkStart w:id="60" w:name="_Toc184308074"/>
      <w:bookmarkEnd w:id="60"/>
      <w:bookmarkStart w:id="61" w:name="_Toc184312103"/>
      <w:bookmarkEnd w:id="61"/>
      <w:bookmarkStart w:id="62" w:name="_Toc184310283"/>
      <w:bookmarkEnd w:id="62"/>
      <w:bookmarkStart w:id="63" w:name="_Toc184312123"/>
      <w:bookmarkEnd w:id="63"/>
      <w:bookmarkStart w:id="64" w:name="_Toc184308103"/>
      <w:bookmarkEnd w:id="64"/>
      <w:bookmarkStart w:id="65" w:name="_Toc184308064"/>
      <w:bookmarkEnd w:id="65"/>
      <w:bookmarkStart w:id="66" w:name="_Toc184314420"/>
      <w:bookmarkEnd w:id="66"/>
      <w:bookmarkStart w:id="67" w:name="_Toc184308061"/>
      <w:bookmarkEnd w:id="67"/>
      <w:bookmarkStart w:id="68" w:name="_Toc184313290"/>
      <w:bookmarkEnd w:id="68"/>
      <w:bookmarkStart w:id="69" w:name="_Toc184314469"/>
      <w:bookmarkEnd w:id="69"/>
      <w:bookmarkStart w:id="70" w:name="_Toc184308092"/>
      <w:bookmarkEnd w:id="70"/>
      <w:bookmarkStart w:id="71" w:name="_Toc184308088"/>
      <w:bookmarkEnd w:id="71"/>
      <w:bookmarkStart w:id="72" w:name="_Toc184308043"/>
      <w:bookmarkEnd w:id="72"/>
      <w:bookmarkStart w:id="73" w:name="_Toc184310338"/>
      <w:bookmarkEnd w:id="73"/>
      <w:bookmarkStart w:id="74" w:name="_Toc184310286"/>
      <w:bookmarkEnd w:id="74"/>
      <w:bookmarkStart w:id="75" w:name="_Toc184308094"/>
      <w:bookmarkEnd w:id="75"/>
      <w:bookmarkStart w:id="76" w:name="_Toc184312110"/>
      <w:bookmarkEnd w:id="76"/>
      <w:bookmarkStart w:id="77" w:name="_Toc184310280"/>
      <w:bookmarkEnd w:id="77"/>
      <w:bookmarkStart w:id="78" w:name="_Toc184308065"/>
      <w:bookmarkEnd w:id="78"/>
      <w:bookmarkStart w:id="79" w:name="_Toc184313305"/>
      <w:bookmarkEnd w:id="79"/>
      <w:bookmarkStart w:id="80" w:name="_Toc184314445"/>
      <w:bookmarkEnd w:id="80"/>
      <w:bookmarkStart w:id="81" w:name="_Toc184314471"/>
      <w:bookmarkEnd w:id="81"/>
      <w:bookmarkStart w:id="82" w:name="_Toc184308098"/>
      <w:bookmarkEnd w:id="82"/>
      <w:bookmarkStart w:id="83" w:name="_Toc184308085"/>
      <w:bookmarkEnd w:id="83"/>
      <w:bookmarkStart w:id="84" w:name="_Toc184312130"/>
      <w:bookmarkEnd w:id="84"/>
      <w:bookmarkStart w:id="85" w:name="_Toc184313293"/>
      <w:bookmarkEnd w:id="85"/>
      <w:bookmarkStart w:id="86" w:name="_Toc184310318"/>
      <w:bookmarkEnd w:id="86"/>
      <w:bookmarkStart w:id="87" w:name="_Toc184313284"/>
      <w:bookmarkEnd w:id="87"/>
      <w:bookmarkStart w:id="88" w:name="_Toc184314416"/>
      <w:bookmarkEnd w:id="88"/>
      <w:bookmarkStart w:id="89" w:name="_Toc184314472"/>
      <w:bookmarkEnd w:id="89"/>
      <w:bookmarkStart w:id="90" w:name="_Toc184308077"/>
      <w:bookmarkEnd w:id="90"/>
      <w:bookmarkStart w:id="91" w:name="_Toc184314478"/>
      <w:bookmarkEnd w:id="91"/>
      <w:bookmarkStart w:id="92" w:name="_Toc184312137"/>
      <w:bookmarkEnd w:id="92"/>
      <w:bookmarkStart w:id="93" w:name="_Toc184310310"/>
      <w:bookmarkEnd w:id="93"/>
      <w:bookmarkStart w:id="94" w:name="_Toc184308050"/>
      <w:bookmarkEnd w:id="94"/>
      <w:bookmarkStart w:id="95" w:name="_Toc184308045"/>
      <w:bookmarkEnd w:id="95"/>
      <w:bookmarkStart w:id="96" w:name="_Toc184308079"/>
      <w:bookmarkEnd w:id="96"/>
      <w:bookmarkStart w:id="97" w:name="_Toc184308100"/>
      <w:bookmarkEnd w:id="97"/>
      <w:bookmarkStart w:id="98" w:name="_Toc184312126"/>
      <w:bookmarkEnd w:id="98"/>
      <w:bookmarkStart w:id="99" w:name="_Toc184312129"/>
      <w:bookmarkEnd w:id="99"/>
      <w:bookmarkStart w:id="100" w:name="_Toc184308054"/>
      <w:bookmarkEnd w:id="100"/>
      <w:bookmarkStart w:id="101" w:name="_Toc184310279"/>
      <w:bookmarkEnd w:id="101"/>
      <w:bookmarkStart w:id="102" w:name="_Toc184314437"/>
      <w:bookmarkEnd w:id="102"/>
      <w:bookmarkStart w:id="103" w:name="_Toc184312112"/>
      <w:bookmarkEnd w:id="103"/>
      <w:bookmarkStart w:id="104" w:name="_Toc184313299"/>
      <w:bookmarkEnd w:id="104"/>
      <w:bookmarkStart w:id="105" w:name="_Toc184308082"/>
      <w:bookmarkEnd w:id="105"/>
      <w:bookmarkStart w:id="106" w:name="_Toc184308058"/>
      <w:bookmarkEnd w:id="106"/>
      <w:bookmarkStart w:id="107" w:name="_Toc184312114"/>
      <w:bookmarkEnd w:id="107"/>
      <w:bookmarkStart w:id="108" w:name="_Toc184308057"/>
      <w:bookmarkEnd w:id="108"/>
      <w:bookmarkStart w:id="109" w:name="_Toc184310331"/>
      <w:bookmarkEnd w:id="109"/>
      <w:bookmarkStart w:id="110" w:name="_Toc184313271"/>
      <w:bookmarkEnd w:id="110"/>
      <w:bookmarkStart w:id="111" w:name="_Toc184312076"/>
      <w:bookmarkEnd w:id="111"/>
      <w:bookmarkStart w:id="112" w:name="_Toc184314442"/>
      <w:bookmarkEnd w:id="112"/>
      <w:bookmarkStart w:id="113" w:name="_Toc184313300"/>
      <w:bookmarkEnd w:id="113"/>
      <w:bookmarkStart w:id="114" w:name="_Toc184314439"/>
      <w:bookmarkEnd w:id="114"/>
      <w:bookmarkStart w:id="115" w:name="_Toc184308038"/>
      <w:bookmarkEnd w:id="115"/>
      <w:bookmarkStart w:id="116" w:name="_Toc184308060"/>
      <w:bookmarkEnd w:id="116"/>
      <w:bookmarkStart w:id="117" w:name="_Toc184313254"/>
      <w:bookmarkEnd w:id="117"/>
      <w:bookmarkStart w:id="118" w:name="_Toc184313286"/>
      <w:bookmarkEnd w:id="118"/>
      <w:bookmarkStart w:id="119" w:name="_Toc184314414"/>
      <w:bookmarkEnd w:id="119"/>
      <w:bookmarkStart w:id="120" w:name="_Toc184308044"/>
      <w:bookmarkEnd w:id="120"/>
      <w:bookmarkStart w:id="121" w:name="_Toc184313258"/>
      <w:bookmarkEnd w:id="121"/>
      <w:bookmarkStart w:id="122" w:name="_Toc184310341"/>
      <w:bookmarkEnd w:id="122"/>
      <w:bookmarkStart w:id="123" w:name="_Toc184312079"/>
      <w:bookmarkEnd w:id="123"/>
      <w:bookmarkStart w:id="124" w:name="_Toc184314432"/>
      <w:bookmarkEnd w:id="124"/>
      <w:bookmarkStart w:id="125" w:name="_Toc184314448"/>
      <w:bookmarkEnd w:id="125"/>
      <w:bookmarkStart w:id="126" w:name="_Toc184314427"/>
      <w:bookmarkEnd w:id="126"/>
      <w:bookmarkStart w:id="127" w:name="_Toc184310313"/>
      <w:bookmarkEnd w:id="127"/>
      <w:bookmarkStart w:id="128" w:name="_Toc184314474"/>
      <w:bookmarkEnd w:id="128"/>
      <w:bookmarkStart w:id="129" w:name="_Toc184312077"/>
      <w:bookmarkEnd w:id="129"/>
      <w:bookmarkStart w:id="130" w:name="_Toc184310297"/>
      <w:bookmarkEnd w:id="130"/>
      <w:bookmarkStart w:id="131" w:name="_Toc184314446"/>
      <w:bookmarkEnd w:id="131"/>
      <w:bookmarkStart w:id="132" w:name="_Toc184314466"/>
      <w:bookmarkEnd w:id="132"/>
      <w:bookmarkStart w:id="133" w:name="_Toc184310305"/>
      <w:bookmarkEnd w:id="133"/>
      <w:bookmarkStart w:id="134" w:name="_Toc184310300"/>
      <w:bookmarkEnd w:id="134"/>
      <w:bookmarkStart w:id="135" w:name="_Toc184313279"/>
      <w:bookmarkEnd w:id="135"/>
      <w:bookmarkStart w:id="136" w:name="_Toc184312136"/>
      <w:bookmarkEnd w:id="136"/>
      <w:bookmarkStart w:id="137" w:name="_Toc184308047"/>
      <w:bookmarkEnd w:id="137"/>
      <w:bookmarkStart w:id="138" w:name="_Toc184310314"/>
      <w:bookmarkEnd w:id="138"/>
      <w:bookmarkStart w:id="139" w:name="_Toc184310335"/>
      <w:bookmarkEnd w:id="139"/>
      <w:bookmarkStart w:id="140" w:name="_Toc184312101"/>
      <w:bookmarkEnd w:id="140"/>
      <w:bookmarkStart w:id="141" w:name="_Toc184312106"/>
      <w:bookmarkEnd w:id="141"/>
      <w:bookmarkStart w:id="142" w:name="_Toc184308104"/>
      <w:bookmarkEnd w:id="142"/>
      <w:bookmarkStart w:id="143" w:name="_Toc184310342"/>
      <w:bookmarkEnd w:id="143"/>
      <w:bookmarkStart w:id="144" w:name="_Toc184308068"/>
      <w:bookmarkEnd w:id="144"/>
      <w:bookmarkStart w:id="145" w:name="_Toc184313289"/>
      <w:bookmarkEnd w:id="145"/>
      <w:bookmarkStart w:id="146" w:name="_Toc184313303"/>
      <w:bookmarkEnd w:id="146"/>
      <w:bookmarkStart w:id="147" w:name="_Toc184312107"/>
      <w:bookmarkEnd w:id="147"/>
      <w:bookmarkStart w:id="148" w:name="_Toc184314443"/>
      <w:bookmarkEnd w:id="148"/>
      <w:bookmarkStart w:id="149" w:name="_Toc184308090"/>
      <w:bookmarkEnd w:id="149"/>
      <w:bookmarkStart w:id="150" w:name="_Toc184308059"/>
      <w:bookmarkEnd w:id="150"/>
      <w:bookmarkStart w:id="151" w:name="_Toc184310334"/>
      <w:bookmarkEnd w:id="151"/>
      <w:bookmarkStart w:id="152" w:name="_Toc184310296"/>
      <w:bookmarkEnd w:id="152"/>
      <w:bookmarkStart w:id="153" w:name="_Toc184310317"/>
      <w:bookmarkEnd w:id="153"/>
      <w:bookmarkStart w:id="154" w:name="_Toc184313267"/>
      <w:bookmarkEnd w:id="154"/>
      <w:bookmarkStart w:id="155" w:name="_Toc184310343"/>
      <w:bookmarkEnd w:id="155"/>
      <w:bookmarkStart w:id="156" w:name="_Toc184310309"/>
      <w:bookmarkEnd w:id="156"/>
      <w:bookmarkStart w:id="157" w:name="_Toc184314450"/>
      <w:bookmarkEnd w:id="157"/>
      <w:bookmarkStart w:id="158" w:name="_Toc184310293"/>
      <w:bookmarkEnd w:id="158"/>
      <w:bookmarkStart w:id="159" w:name="_Toc184312096"/>
      <w:bookmarkEnd w:id="159"/>
      <w:bookmarkStart w:id="160" w:name="_Toc184313296"/>
      <w:bookmarkEnd w:id="160"/>
      <w:bookmarkStart w:id="161" w:name="_Toc184308107"/>
      <w:bookmarkEnd w:id="161"/>
      <w:bookmarkStart w:id="162" w:name="_Toc184312115"/>
      <w:bookmarkEnd w:id="162"/>
      <w:bookmarkStart w:id="163" w:name="_Toc184308106"/>
      <w:bookmarkEnd w:id="163"/>
      <w:bookmarkStart w:id="164" w:name="_Toc184312088"/>
      <w:bookmarkEnd w:id="164"/>
      <w:bookmarkStart w:id="165" w:name="_Toc184314480"/>
      <w:bookmarkEnd w:id="165"/>
      <w:bookmarkStart w:id="166" w:name="_Toc184312082"/>
      <w:bookmarkEnd w:id="166"/>
      <w:bookmarkStart w:id="167" w:name="_Toc184308105"/>
      <w:bookmarkEnd w:id="167"/>
      <w:bookmarkStart w:id="168" w:name="_Toc184313310"/>
      <w:bookmarkEnd w:id="168"/>
      <w:bookmarkStart w:id="169" w:name="_Toc184312083"/>
      <w:bookmarkEnd w:id="169"/>
      <w:bookmarkStart w:id="170" w:name="_Toc184312117"/>
      <w:bookmarkEnd w:id="170"/>
      <w:bookmarkStart w:id="171" w:name="_Toc184312095"/>
      <w:bookmarkEnd w:id="171"/>
      <w:bookmarkStart w:id="172" w:name="_Toc184313262"/>
      <w:bookmarkEnd w:id="172"/>
      <w:bookmarkStart w:id="173" w:name="_Toc184313278"/>
      <w:bookmarkEnd w:id="173"/>
      <w:bookmarkStart w:id="174" w:name="_Toc184313242"/>
      <w:bookmarkEnd w:id="174"/>
      <w:bookmarkStart w:id="175" w:name="_Toc184313301"/>
      <w:bookmarkEnd w:id="175"/>
      <w:bookmarkStart w:id="176" w:name="_Toc184313270"/>
      <w:bookmarkEnd w:id="176"/>
      <w:bookmarkStart w:id="177" w:name="_Toc184313307"/>
      <w:bookmarkEnd w:id="177"/>
      <w:bookmarkStart w:id="178" w:name="_Toc184310303"/>
      <w:bookmarkEnd w:id="178"/>
      <w:bookmarkStart w:id="179" w:name="_Toc184314441"/>
      <w:bookmarkEnd w:id="179"/>
      <w:bookmarkStart w:id="180" w:name="_Toc184312071"/>
      <w:bookmarkEnd w:id="180"/>
      <w:bookmarkStart w:id="181" w:name="_Toc184310337"/>
      <w:bookmarkEnd w:id="181"/>
      <w:bookmarkStart w:id="182" w:name="_Toc184310333"/>
      <w:bookmarkEnd w:id="182"/>
      <w:bookmarkStart w:id="183" w:name="_Toc184310284"/>
      <w:bookmarkEnd w:id="183"/>
      <w:bookmarkStart w:id="184" w:name="_Toc184310308"/>
      <w:bookmarkEnd w:id="184"/>
      <w:bookmarkStart w:id="185" w:name="_Toc184312084"/>
      <w:bookmarkEnd w:id="185"/>
      <w:bookmarkStart w:id="186" w:name="_Toc184314464"/>
      <w:bookmarkEnd w:id="186"/>
      <w:bookmarkStart w:id="187" w:name="_Toc184313272"/>
      <w:bookmarkEnd w:id="187"/>
      <w:bookmarkStart w:id="188" w:name="_Toc184308078"/>
      <w:bookmarkEnd w:id="188"/>
      <w:bookmarkStart w:id="189" w:name="_Toc184313274"/>
      <w:bookmarkEnd w:id="189"/>
      <w:bookmarkStart w:id="190" w:name="_Toc184314425"/>
      <w:bookmarkEnd w:id="190"/>
      <w:bookmarkStart w:id="191" w:name="_Toc184310324"/>
      <w:bookmarkEnd w:id="191"/>
      <w:bookmarkStart w:id="192" w:name="_Toc184314467"/>
      <w:bookmarkEnd w:id="192"/>
      <w:bookmarkStart w:id="193" w:name="_Toc184310325"/>
      <w:bookmarkEnd w:id="193"/>
      <w:bookmarkStart w:id="194" w:name="_Toc184310340"/>
      <w:bookmarkEnd w:id="194"/>
      <w:bookmarkStart w:id="195" w:name="_Toc184314475"/>
      <w:bookmarkEnd w:id="195"/>
      <w:bookmarkStart w:id="196" w:name="_Toc184308055"/>
      <w:bookmarkEnd w:id="196"/>
      <w:bookmarkStart w:id="197" w:name="_Toc184314476"/>
      <w:bookmarkEnd w:id="197"/>
      <w:bookmarkStart w:id="198" w:name="_Toc184310339"/>
      <w:bookmarkEnd w:id="198"/>
      <w:bookmarkStart w:id="199" w:name="_Toc184312086"/>
      <w:bookmarkEnd w:id="199"/>
      <w:bookmarkStart w:id="200" w:name="_Toc184312116"/>
      <w:bookmarkEnd w:id="200"/>
      <w:bookmarkStart w:id="201" w:name="_Toc184312132"/>
      <w:bookmarkEnd w:id="201"/>
      <w:bookmarkStart w:id="202" w:name="_Toc184313243"/>
      <w:bookmarkEnd w:id="202"/>
      <w:bookmarkStart w:id="203" w:name="_Toc184313273"/>
      <w:bookmarkEnd w:id="203"/>
      <w:bookmarkStart w:id="204" w:name="_Toc184308102"/>
      <w:bookmarkEnd w:id="204"/>
      <w:bookmarkStart w:id="205" w:name="_Toc184313261"/>
      <w:bookmarkEnd w:id="205"/>
      <w:bookmarkStart w:id="206" w:name="_Toc184310307"/>
      <w:bookmarkEnd w:id="206"/>
      <w:bookmarkStart w:id="207" w:name="_Toc184314461"/>
      <w:bookmarkEnd w:id="207"/>
      <w:bookmarkStart w:id="208" w:name="_Toc184312108"/>
      <w:bookmarkEnd w:id="208"/>
      <w:bookmarkStart w:id="209" w:name="_Toc184313287"/>
      <w:bookmarkEnd w:id="209"/>
      <w:bookmarkStart w:id="210" w:name="_Toc184312120"/>
      <w:bookmarkEnd w:id="210"/>
      <w:bookmarkStart w:id="211" w:name="_Toc184310328"/>
      <w:bookmarkEnd w:id="211"/>
      <w:bookmarkStart w:id="212" w:name="_Toc184310306"/>
      <w:bookmarkEnd w:id="212"/>
      <w:bookmarkStart w:id="213" w:name="_Toc184310316"/>
      <w:bookmarkEnd w:id="213"/>
      <w:bookmarkStart w:id="214" w:name="_Toc184310282"/>
      <w:bookmarkEnd w:id="214"/>
      <w:bookmarkStart w:id="215" w:name="_Toc184308075"/>
      <w:bookmarkEnd w:id="215"/>
      <w:bookmarkStart w:id="216" w:name="_Toc184312075"/>
      <w:bookmarkEnd w:id="216"/>
      <w:bookmarkStart w:id="217" w:name="_Toc184313302"/>
      <w:bookmarkEnd w:id="217"/>
      <w:bookmarkStart w:id="218" w:name="_Toc184314452"/>
      <w:bookmarkEnd w:id="218"/>
      <w:bookmarkStart w:id="219" w:name="_Toc184310319"/>
      <w:bookmarkEnd w:id="219"/>
      <w:bookmarkStart w:id="220" w:name="_Toc184308041"/>
      <w:bookmarkEnd w:id="220"/>
      <w:bookmarkStart w:id="221" w:name="_Toc184312092"/>
      <w:bookmarkEnd w:id="221"/>
      <w:bookmarkStart w:id="222" w:name="_Toc184312124"/>
      <w:bookmarkEnd w:id="222"/>
      <w:bookmarkStart w:id="223" w:name="_Toc184308067"/>
      <w:bookmarkEnd w:id="223"/>
      <w:bookmarkStart w:id="224" w:name="_Toc184313288"/>
      <w:bookmarkEnd w:id="224"/>
      <w:bookmarkStart w:id="225" w:name="_Toc184312091"/>
      <w:bookmarkEnd w:id="225"/>
      <w:bookmarkStart w:id="226" w:name="_Toc184310311"/>
      <w:bookmarkEnd w:id="226"/>
      <w:bookmarkStart w:id="227" w:name="_Toc184312085"/>
      <w:bookmarkEnd w:id="227"/>
      <w:bookmarkStart w:id="228" w:name="_Toc184312073"/>
      <w:bookmarkEnd w:id="228"/>
      <w:bookmarkStart w:id="229" w:name="_Toc184314482"/>
      <w:bookmarkEnd w:id="229"/>
      <w:bookmarkStart w:id="230" w:name="_Toc184313246"/>
      <w:bookmarkEnd w:id="230"/>
      <w:bookmarkStart w:id="231" w:name="_Toc184312127"/>
      <w:bookmarkEnd w:id="231"/>
      <w:bookmarkStart w:id="232" w:name="_Toc184308049"/>
      <w:bookmarkEnd w:id="232"/>
      <w:bookmarkStart w:id="233" w:name="_Toc184308053"/>
      <w:bookmarkEnd w:id="233"/>
      <w:bookmarkStart w:id="234" w:name="_Toc184314468"/>
      <w:bookmarkEnd w:id="234"/>
      <w:bookmarkStart w:id="235" w:name="_Toc184313281"/>
      <w:bookmarkEnd w:id="235"/>
      <w:bookmarkStart w:id="236" w:name="_Toc184314453"/>
      <w:bookmarkEnd w:id="236"/>
      <w:bookmarkStart w:id="237" w:name="_Toc184313275"/>
      <w:bookmarkEnd w:id="237"/>
      <w:bookmarkStart w:id="238" w:name="_Toc184312109"/>
      <w:bookmarkEnd w:id="238"/>
      <w:bookmarkStart w:id="239" w:name="_Toc184310278"/>
      <w:bookmarkEnd w:id="239"/>
      <w:bookmarkStart w:id="240" w:name="_Toc184313252"/>
      <w:bookmarkEnd w:id="240"/>
      <w:bookmarkStart w:id="241" w:name="_Toc184314477"/>
      <w:bookmarkEnd w:id="241"/>
      <w:bookmarkStart w:id="242" w:name="_Toc184313264"/>
      <w:bookmarkEnd w:id="242"/>
      <w:bookmarkStart w:id="243" w:name="_Toc184314422"/>
      <w:bookmarkEnd w:id="243"/>
      <w:bookmarkStart w:id="244" w:name="_Toc184310336"/>
      <w:bookmarkEnd w:id="244"/>
      <w:bookmarkStart w:id="245" w:name="_Toc184310326"/>
      <w:bookmarkEnd w:id="245"/>
      <w:bookmarkStart w:id="246" w:name="_Toc184313304"/>
      <w:bookmarkEnd w:id="246"/>
      <w:bookmarkStart w:id="247" w:name="_Toc184313297"/>
      <w:bookmarkEnd w:id="247"/>
      <w:bookmarkStart w:id="248" w:name="_Toc184308063"/>
      <w:bookmarkEnd w:id="248"/>
      <w:bookmarkStart w:id="249" w:name="_Toc184314410"/>
      <w:bookmarkEnd w:id="249"/>
      <w:bookmarkStart w:id="250" w:name="_Toc184312067"/>
      <w:bookmarkEnd w:id="250"/>
      <w:bookmarkStart w:id="251" w:name="_Toc184313280"/>
      <w:bookmarkEnd w:id="251"/>
      <w:bookmarkStart w:id="252" w:name="_Toc184312128"/>
      <w:bookmarkEnd w:id="252"/>
      <w:bookmarkStart w:id="253" w:name="_Toc184312093"/>
      <w:bookmarkEnd w:id="253"/>
      <w:bookmarkStart w:id="254" w:name="_Toc184312098"/>
      <w:bookmarkEnd w:id="254"/>
      <w:bookmarkStart w:id="255" w:name="_Toc184313269"/>
      <w:bookmarkEnd w:id="255"/>
      <w:bookmarkStart w:id="256" w:name="_Toc184310323"/>
      <w:bookmarkEnd w:id="256"/>
      <w:bookmarkStart w:id="257" w:name="_Toc184313295"/>
      <w:bookmarkEnd w:id="257"/>
      <w:bookmarkStart w:id="258" w:name="_Toc184314423"/>
      <w:bookmarkEnd w:id="258"/>
      <w:bookmarkStart w:id="259" w:name="_Toc184312094"/>
      <w:bookmarkEnd w:id="259"/>
      <w:bookmarkStart w:id="260" w:name="_Toc184313268"/>
      <w:bookmarkEnd w:id="260"/>
      <w:bookmarkStart w:id="261" w:name="_Toc184308039"/>
      <w:bookmarkEnd w:id="261"/>
      <w:bookmarkStart w:id="262" w:name="_Toc184310327"/>
      <w:bookmarkEnd w:id="262"/>
      <w:bookmarkStart w:id="263" w:name="_Toc184308051"/>
      <w:bookmarkEnd w:id="263"/>
      <w:bookmarkStart w:id="264" w:name="_Toc184314429"/>
      <w:bookmarkEnd w:id="264"/>
      <w:bookmarkStart w:id="265" w:name="_Toc184310322"/>
      <w:bookmarkEnd w:id="265"/>
      <w:bookmarkStart w:id="266" w:name="_Toc184310288"/>
      <w:bookmarkEnd w:id="266"/>
      <w:bookmarkStart w:id="267" w:name="_Toc184312113"/>
      <w:bookmarkEnd w:id="267"/>
      <w:bookmarkStart w:id="268" w:name="_Toc184314426"/>
      <w:bookmarkEnd w:id="268"/>
      <w:bookmarkStart w:id="269" w:name="_Toc184310294"/>
      <w:bookmarkEnd w:id="269"/>
      <w:bookmarkStart w:id="270" w:name="_Toc184313255"/>
      <w:bookmarkEnd w:id="270"/>
      <w:bookmarkStart w:id="271" w:name="_Toc184310320"/>
      <w:bookmarkEnd w:id="271"/>
      <w:bookmarkStart w:id="272" w:name="_Toc184314415"/>
      <w:bookmarkEnd w:id="272"/>
      <w:bookmarkStart w:id="273" w:name="_Toc184314428"/>
      <w:bookmarkEnd w:id="273"/>
      <w:bookmarkStart w:id="274" w:name="_Toc184308091"/>
      <w:bookmarkEnd w:id="274"/>
      <w:bookmarkStart w:id="275" w:name="_Toc184312099"/>
      <w:bookmarkEnd w:id="275"/>
      <w:bookmarkStart w:id="276" w:name="_Toc184308071"/>
      <w:bookmarkEnd w:id="276"/>
      <w:bookmarkStart w:id="277" w:name="_Toc184310287"/>
      <w:bookmarkEnd w:id="277"/>
      <w:bookmarkStart w:id="278" w:name="_Toc184314479"/>
      <w:bookmarkEnd w:id="278"/>
      <w:bookmarkStart w:id="279" w:name="_Toc184313253"/>
      <w:bookmarkEnd w:id="279"/>
      <w:bookmarkStart w:id="280" w:name="_Toc184308073"/>
      <w:bookmarkEnd w:id="280"/>
      <w:bookmarkStart w:id="281" w:name="_Toc184313241"/>
      <w:bookmarkEnd w:id="281"/>
      <w:bookmarkStart w:id="282" w:name="_Toc184313277"/>
      <w:bookmarkEnd w:id="282"/>
      <w:bookmarkStart w:id="283" w:name="_Toc184310277"/>
      <w:bookmarkEnd w:id="283"/>
      <w:bookmarkStart w:id="284" w:name="_Toc184312087"/>
      <w:bookmarkEnd w:id="284"/>
      <w:bookmarkStart w:id="285" w:name="_Toc184308066"/>
      <w:bookmarkEnd w:id="285"/>
      <w:bookmarkStart w:id="286" w:name="_Toc184312111"/>
      <w:bookmarkEnd w:id="286"/>
      <w:bookmarkStart w:id="287" w:name="_Toc184313238"/>
      <w:bookmarkEnd w:id="287"/>
      <w:bookmarkStart w:id="288" w:name="_Toc184313282"/>
      <w:bookmarkEnd w:id="288"/>
      <w:bookmarkStart w:id="289" w:name="_Toc184313257"/>
      <w:bookmarkEnd w:id="289"/>
      <w:bookmarkStart w:id="290" w:name="_Toc184313247"/>
      <w:bookmarkEnd w:id="290"/>
      <w:bookmarkStart w:id="291" w:name="_Toc184308037"/>
      <w:bookmarkEnd w:id="291"/>
      <w:bookmarkStart w:id="292" w:name="_Toc184308076"/>
      <w:bookmarkEnd w:id="292"/>
      <w:bookmarkStart w:id="293" w:name="_Toc184310273"/>
      <w:bookmarkEnd w:id="293"/>
      <w:bookmarkStart w:id="294" w:name="_Toc184312090"/>
      <w:bookmarkEnd w:id="294"/>
      <w:bookmarkStart w:id="295" w:name="_Toc184312118"/>
      <w:bookmarkEnd w:id="295"/>
      <w:bookmarkStart w:id="296" w:name="_Toc184314449"/>
      <w:bookmarkEnd w:id="296"/>
      <w:bookmarkStart w:id="297" w:name="_Toc184308062"/>
      <w:bookmarkEnd w:id="297"/>
      <w:bookmarkStart w:id="298" w:name="_Toc184310312"/>
      <w:bookmarkEnd w:id="298"/>
      <w:bookmarkStart w:id="299" w:name="_Toc184313283"/>
      <w:bookmarkEnd w:id="299"/>
      <w:bookmarkStart w:id="300" w:name="_Toc184312100"/>
      <w:bookmarkEnd w:id="300"/>
      <w:bookmarkStart w:id="301" w:name="_Toc184313292"/>
      <w:bookmarkEnd w:id="301"/>
      <w:bookmarkStart w:id="302" w:name="_Toc184310272"/>
      <w:bookmarkEnd w:id="302"/>
      <w:bookmarkStart w:id="303" w:name="_Toc184313298"/>
      <w:bookmarkEnd w:id="303"/>
      <w:bookmarkStart w:id="304" w:name="_Toc184308089"/>
      <w:bookmarkEnd w:id="304"/>
      <w:bookmarkStart w:id="305" w:name="_Toc184308070"/>
      <w:bookmarkEnd w:id="305"/>
      <w:bookmarkStart w:id="306" w:name="_Toc184314465"/>
      <w:bookmarkEnd w:id="306"/>
      <w:bookmarkStart w:id="307" w:name="_Toc184308093"/>
      <w:bookmarkEnd w:id="307"/>
      <w:bookmarkStart w:id="308" w:name="_Toc184312121"/>
      <w:bookmarkEnd w:id="308"/>
      <w:bookmarkStart w:id="309" w:name="_Toc184310344"/>
      <w:bookmarkEnd w:id="309"/>
      <w:bookmarkStart w:id="310" w:name="_Toc184314431"/>
      <w:bookmarkEnd w:id="310"/>
      <w:bookmarkStart w:id="311" w:name="_Toc184314433"/>
      <w:bookmarkEnd w:id="311"/>
      <w:bookmarkStart w:id="312" w:name="_Toc184308046"/>
      <w:bookmarkEnd w:id="312"/>
      <w:bookmarkStart w:id="313" w:name="_Toc184314440"/>
      <w:bookmarkEnd w:id="313"/>
      <w:bookmarkStart w:id="314" w:name="_Toc184310301"/>
      <w:bookmarkEnd w:id="314"/>
      <w:bookmarkStart w:id="315" w:name="_Toc184312131"/>
      <w:bookmarkEnd w:id="315"/>
      <w:bookmarkStart w:id="316" w:name="_Toc184312139"/>
      <w:bookmarkEnd w:id="316"/>
      <w:bookmarkStart w:id="317" w:name="_Toc184310298"/>
      <w:bookmarkEnd w:id="317"/>
      <w:bookmarkStart w:id="318" w:name="_Toc184314430"/>
      <w:bookmarkEnd w:id="318"/>
      <w:bookmarkStart w:id="319" w:name="_Toc184314419"/>
      <w:bookmarkEnd w:id="319"/>
      <w:bookmarkStart w:id="320" w:name="_Toc184310321"/>
      <w:bookmarkEnd w:id="320"/>
      <w:bookmarkStart w:id="321" w:name="_Toc184313239"/>
      <w:bookmarkEnd w:id="321"/>
      <w:bookmarkStart w:id="322" w:name="_Toc184312133"/>
      <w:bookmarkEnd w:id="322"/>
      <w:bookmarkStart w:id="323" w:name="_Toc184313249"/>
      <w:bookmarkEnd w:id="323"/>
      <w:bookmarkStart w:id="324" w:name="_Toc184314434"/>
      <w:bookmarkEnd w:id="324"/>
      <w:bookmarkStart w:id="325" w:name="_Toc184314413"/>
      <w:bookmarkEnd w:id="325"/>
      <w:bookmarkStart w:id="326" w:name="_Toc184314418"/>
      <w:bookmarkEnd w:id="326"/>
      <w:bookmarkStart w:id="327" w:name="_Toc184313244"/>
      <w:bookmarkEnd w:id="327"/>
      <w:bookmarkStart w:id="328" w:name="_Toc184312070"/>
      <w:bookmarkEnd w:id="328"/>
      <w:bookmarkStart w:id="329" w:name="_Toc184314462"/>
      <w:bookmarkEnd w:id="329"/>
      <w:bookmarkStart w:id="330" w:name="_Toc184312125"/>
      <w:bookmarkEnd w:id="330"/>
      <w:bookmarkStart w:id="331" w:name="_Toc184310275"/>
      <w:bookmarkEnd w:id="331"/>
      <w:bookmarkStart w:id="332" w:name="_Toc184310276"/>
      <w:bookmarkEnd w:id="332"/>
      <w:bookmarkStart w:id="333" w:name="_Toc184314459"/>
      <w:bookmarkEnd w:id="333"/>
      <w:bookmarkStart w:id="334" w:name="_Toc184310285"/>
      <w:bookmarkEnd w:id="334"/>
      <w:bookmarkStart w:id="335" w:name="_Toc184308096"/>
      <w:bookmarkEnd w:id="335"/>
      <w:bookmarkStart w:id="336" w:name="_Toc184308099"/>
      <w:bookmarkEnd w:id="336"/>
      <w:bookmarkStart w:id="337" w:name="_Toc184314455"/>
      <w:bookmarkEnd w:id="337"/>
      <w:bookmarkStart w:id="338" w:name="_Toc184313294"/>
      <w:bookmarkEnd w:id="338"/>
      <w:bookmarkStart w:id="339" w:name="_Toc184313256"/>
      <w:bookmarkEnd w:id="339"/>
      <w:bookmarkStart w:id="340" w:name="_Toc184310295"/>
      <w:bookmarkEnd w:id="340"/>
      <w:bookmarkStart w:id="341" w:name="_Toc184314411"/>
      <w:bookmarkEnd w:id="341"/>
      <w:bookmarkStart w:id="342" w:name="_Toc184310332"/>
      <w:bookmarkEnd w:id="342"/>
      <w:bookmarkStart w:id="343" w:name="_Toc184308095"/>
      <w:bookmarkEnd w:id="343"/>
      <w:bookmarkStart w:id="344" w:name="_Toc184312080"/>
      <w:bookmarkEnd w:id="344"/>
      <w:bookmarkStart w:id="345" w:name="_Toc184312134"/>
      <w:bookmarkEnd w:id="345"/>
      <w:bookmarkStart w:id="346" w:name="_Toc184312119"/>
      <w:bookmarkEnd w:id="346"/>
      <w:bookmarkStart w:id="347" w:name="_Toc184314421"/>
      <w:bookmarkEnd w:id="347"/>
      <w:bookmarkStart w:id="348" w:name="_Toc184308040"/>
      <w:bookmarkEnd w:id="348"/>
      <w:bookmarkStart w:id="349" w:name="_Toc184312105"/>
      <w:bookmarkEnd w:id="349"/>
      <w:bookmarkStart w:id="350" w:name="_Toc184312068"/>
      <w:bookmarkEnd w:id="350"/>
      <w:bookmarkStart w:id="351" w:name="_Toc184308042"/>
      <w:bookmarkEnd w:id="351"/>
      <w:bookmarkStart w:id="352" w:name="_Toc184312072"/>
      <w:bookmarkEnd w:id="352"/>
      <w:bookmarkStart w:id="353" w:name="_Toc184314412"/>
      <w:bookmarkEnd w:id="353"/>
      <w:bookmarkStart w:id="354" w:name="_Toc184312138"/>
      <w:bookmarkEnd w:id="354"/>
      <w:bookmarkStart w:id="355" w:name="_Toc184313251"/>
      <w:bookmarkEnd w:id="355"/>
      <w:bookmarkStart w:id="356" w:name="_Toc184312069"/>
      <w:bookmarkEnd w:id="356"/>
      <w:bookmarkStart w:id="357" w:name="_Toc184308072"/>
      <w:bookmarkEnd w:id="357"/>
      <w:bookmarkStart w:id="358" w:name="_Toc184312135"/>
      <w:bookmarkEnd w:id="358"/>
      <w:bookmarkStart w:id="359" w:name="_Toc184308069"/>
      <w:bookmarkEnd w:id="359"/>
      <w:bookmarkStart w:id="360" w:name="_Toc184313265"/>
      <w:bookmarkEnd w:id="360"/>
      <w:bookmarkStart w:id="361" w:name="_Toc184314457"/>
      <w:bookmarkEnd w:id="361"/>
      <w:bookmarkStart w:id="362" w:name="_Toc184314424"/>
      <w:bookmarkEnd w:id="362"/>
      <w:bookmarkStart w:id="363" w:name="_Toc184310315"/>
      <w:bookmarkEnd w:id="363"/>
      <w:bookmarkStart w:id="364" w:name="_Toc184308097"/>
      <w:bookmarkEnd w:id="364"/>
      <w:bookmarkStart w:id="365" w:name="_Toc184313308"/>
      <w:bookmarkEnd w:id="365"/>
      <w:bookmarkStart w:id="366" w:name="_Toc184313245"/>
      <w:bookmarkEnd w:id="366"/>
      <w:bookmarkStart w:id="367" w:name="_Toc184310299"/>
      <w:bookmarkEnd w:id="367"/>
      <w:bookmarkStart w:id="368" w:name="_Toc184313240"/>
      <w:bookmarkEnd w:id="368"/>
      <w:bookmarkStart w:id="369" w:name="_Toc184314473"/>
      <w:bookmarkEnd w:id="369"/>
      <w:bookmarkStart w:id="370" w:name="_Toc184313248"/>
      <w:bookmarkEnd w:id="370"/>
      <w:bookmarkStart w:id="371" w:name="_Toc184312081"/>
      <w:bookmarkEnd w:id="371"/>
      <w:bookmarkStart w:id="372" w:name="_Toc184314447"/>
      <w:bookmarkEnd w:id="372"/>
      <w:bookmarkStart w:id="373" w:name="_Toc184314481"/>
      <w:bookmarkEnd w:id="373"/>
      <w:bookmarkStart w:id="374" w:name="_Toc184308084"/>
      <w:bookmarkEnd w:id="374"/>
      <w:bookmarkStart w:id="375" w:name="_Toc184308087"/>
      <w:bookmarkEnd w:id="375"/>
      <w:bookmarkStart w:id="376" w:name="_Toc184314458"/>
      <w:bookmarkEnd w:id="376"/>
      <w:bookmarkStart w:id="377" w:name="_Toc184313291"/>
      <w:bookmarkEnd w:id="377"/>
      <w:bookmarkStart w:id="378" w:name="_Toc184314435"/>
      <w:bookmarkEnd w:id="378"/>
      <w:bookmarkStart w:id="379" w:name="_Toc184308080"/>
      <w:bookmarkEnd w:id="379"/>
      <w:bookmarkStart w:id="380" w:name="_Toc184313266"/>
      <w:bookmarkEnd w:id="380"/>
      <w:bookmarkStart w:id="381" w:name="_Toc184314456"/>
      <w:bookmarkEnd w:id="381"/>
      <w:bookmarkStart w:id="382" w:name="_Toc184314444"/>
      <w:bookmarkEnd w:id="382"/>
      <w:bookmarkStart w:id="383" w:name="_Toc184312074"/>
      <w:bookmarkEnd w:id="383"/>
      <w:bookmarkStart w:id="384" w:name="_Toc184313260"/>
      <w:bookmarkEnd w:id="384"/>
      <w:bookmarkStart w:id="385" w:name="_Toc184310281"/>
      <w:bookmarkEnd w:id="385"/>
      <w:bookmarkStart w:id="386" w:name="_Toc184314438"/>
      <w:bookmarkEnd w:id="386"/>
      <w:bookmarkStart w:id="387" w:name="_Toc184313259"/>
      <w:bookmarkEnd w:id="387"/>
      <w:bookmarkStart w:id="388" w:name="_Toc184308056"/>
      <w:bookmarkEnd w:id="388"/>
      <w:bookmarkStart w:id="389" w:name="_Toc184310292"/>
      <w:bookmarkEnd w:id="389"/>
      <w:bookmarkStart w:id="390" w:name="_Toc184308081"/>
      <w:bookmarkEnd w:id="390"/>
      <w:bookmarkStart w:id="391" w:name="_Toc184314454"/>
      <w:bookmarkEnd w:id="391"/>
      <w:bookmarkStart w:id="392" w:name="_Toc184313285"/>
      <w:bookmarkEnd w:id="392"/>
      <w:bookmarkStart w:id="393" w:name="_Toc184312122"/>
      <w:bookmarkEnd w:id="393"/>
      <w:bookmarkStart w:id="394" w:name="_Toc184313250"/>
      <w:bookmarkEnd w:id="394"/>
      <w:r>
        <w:rPr>
          <w:rFonts w:hint="eastAsia" w:ascii="仿宋" w:hAnsi="仿宋" w:eastAsia="仿宋" w:cs="仿宋"/>
          <w:b/>
          <w:sz w:val="36"/>
          <w:szCs w:val="20"/>
        </w:rPr>
        <w:t>评标办法</w:t>
      </w:r>
    </w:p>
    <w:p w14:paraId="71FC6F6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22"/>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6538"/>
        <w:gridCol w:w="862"/>
        <w:gridCol w:w="720"/>
      </w:tblGrid>
      <w:tr w14:paraId="31C4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1157" w:type="dxa"/>
            <w:tcBorders>
              <w:top w:val="single" w:color="auto" w:sz="4" w:space="0"/>
              <w:left w:val="single" w:color="auto" w:sz="4" w:space="0"/>
              <w:bottom w:val="single" w:color="auto" w:sz="4" w:space="0"/>
              <w:right w:val="single" w:color="auto" w:sz="4" w:space="0"/>
            </w:tcBorders>
            <w:noWrap w:val="0"/>
            <w:vAlign w:val="center"/>
          </w:tcPr>
          <w:p w14:paraId="54741F5D">
            <w:pPr>
              <w:suppressAutoHyphens/>
              <w:bidi w:val="0"/>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评分内容</w:t>
            </w:r>
          </w:p>
        </w:tc>
        <w:tc>
          <w:tcPr>
            <w:tcW w:w="6538" w:type="dxa"/>
            <w:tcBorders>
              <w:top w:val="single" w:color="auto" w:sz="4" w:space="0"/>
              <w:left w:val="single" w:color="auto" w:sz="4" w:space="0"/>
              <w:bottom w:val="single" w:color="auto" w:sz="4" w:space="0"/>
              <w:right w:val="single" w:color="auto" w:sz="4" w:space="0"/>
            </w:tcBorders>
            <w:noWrap w:val="0"/>
            <w:vAlign w:val="center"/>
          </w:tcPr>
          <w:p w14:paraId="14CAFB47">
            <w:pPr>
              <w:suppressAutoHyphens/>
              <w:bidi w:val="0"/>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评分标准及得分</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38BD7A6">
            <w:pPr>
              <w:suppressAutoHyphens/>
              <w:bidi w:val="0"/>
              <w:spacing w:line="360" w:lineRule="auto"/>
              <w:jc w:val="center"/>
              <w:rPr>
                <w:rFonts w:hint="eastAsia"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分值</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F7AC755">
            <w:pPr>
              <w:suppressAutoHyphens/>
              <w:bidi w:val="0"/>
              <w:spacing w:line="360" w:lineRule="auto"/>
              <w:jc w:val="center"/>
              <w:rPr>
                <w:rFonts w:hint="eastAsia"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得分</w:t>
            </w:r>
          </w:p>
        </w:tc>
      </w:tr>
      <w:tr w14:paraId="74C7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1157" w:type="dxa"/>
            <w:tcBorders>
              <w:top w:val="single" w:color="auto" w:sz="4" w:space="0"/>
              <w:left w:val="single" w:color="auto" w:sz="4" w:space="0"/>
              <w:bottom w:val="single" w:color="auto" w:sz="4" w:space="0"/>
              <w:right w:val="single" w:color="auto" w:sz="4" w:space="0"/>
            </w:tcBorders>
            <w:noWrap w:val="0"/>
            <w:vAlign w:val="center"/>
          </w:tcPr>
          <w:p w14:paraId="02AD916C">
            <w:pPr>
              <w:suppressAutoHyphens/>
              <w:bidi w:val="0"/>
              <w:spacing w:line="360" w:lineRule="auto"/>
              <w:rPr>
                <w:rFonts w:hint="eastAsia" w:ascii="仿宋" w:hAnsi="仿宋" w:eastAsia="仿宋" w:cs="仿宋"/>
                <w:b/>
                <w:bCs/>
                <w:color w:val="000000"/>
                <w:szCs w:val="21"/>
              </w:rPr>
            </w:pPr>
            <w:r>
              <w:rPr>
                <w:rFonts w:hint="eastAsia" w:ascii="仿宋" w:hAnsi="仿宋" w:eastAsia="仿宋" w:cs="仿宋"/>
                <w:b/>
                <w:bCs/>
                <w:color w:val="000000"/>
                <w:szCs w:val="21"/>
              </w:rPr>
              <w:t>投标报价（</w:t>
            </w:r>
            <w:r>
              <w:rPr>
                <w:rFonts w:hint="eastAsia" w:ascii="仿宋" w:hAnsi="仿宋" w:eastAsia="仿宋" w:cs="仿宋"/>
                <w:b/>
                <w:bCs/>
                <w:color w:val="000000"/>
                <w:szCs w:val="21"/>
                <w:lang w:val="en-US" w:eastAsia="zh-CN"/>
              </w:rPr>
              <w:t>4</w:t>
            </w:r>
            <w:r>
              <w:rPr>
                <w:rFonts w:hint="eastAsia" w:ascii="仿宋" w:hAnsi="仿宋" w:eastAsia="仿宋" w:cs="仿宋"/>
                <w:b/>
                <w:bCs/>
                <w:color w:val="000000"/>
                <w:szCs w:val="21"/>
              </w:rPr>
              <w:t>0分）</w:t>
            </w:r>
          </w:p>
        </w:tc>
        <w:tc>
          <w:tcPr>
            <w:tcW w:w="6538" w:type="dxa"/>
            <w:tcBorders>
              <w:top w:val="single" w:color="auto" w:sz="4" w:space="0"/>
              <w:left w:val="single" w:color="auto" w:sz="4" w:space="0"/>
              <w:bottom w:val="single" w:color="auto" w:sz="4" w:space="0"/>
              <w:right w:val="single" w:color="auto" w:sz="4" w:space="0"/>
            </w:tcBorders>
            <w:noWrap w:val="0"/>
            <w:vAlign w:val="center"/>
          </w:tcPr>
          <w:p w14:paraId="4CC1CDE7">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在符合用户需求的前提下，以投标报价最低为基准价，基准价为满分；其他投标人的价格分按以下方式计算。</w:t>
            </w:r>
          </w:p>
          <w:p w14:paraId="59F3F698">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投标报价得分=（评标基准价/投标报价）×</w:t>
            </w:r>
            <w:r>
              <w:rPr>
                <w:rFonts w:hint="eastAsia" w:ascii="仿宋" w:hAnsi="仿宋" w:eastAsia="仿宋" w:cs="仿宋"/>
                <w:color w:val="000000"/>
                <w:szCs w:val="21"/>
                <w:lang w:val="en-US" w:eastAsia="zh-CN"/>
              </w:rPr>
              <w:t>40</w:t>
            </w:r>
            <w:r>
              <w:rPr>
                <w:rFonts w:hint="eastAsia" w:ascii="仿宋" w:hAnsi="仿宋" w:eastAsia="仿宋" w:cs="仿宋"/>
                <w:color w:val="000000"/>
                <w:szCs w:val="21"/>
              </w:rPr>
              <w:t>×100%</w:t>
            </w:r>
          </w:p>
          <w:p w14:paraId="6F9F65A5">
            <w:pPr>
              <w:suppressAutoHyphens/>
              <w:bidi w:val="0"/>
              <w:spacing w:line="380" w:lineRule="exact"/>
              <w:rPr>
                <w:rFonts w:hint="default" w:ascii="仿宋" w:hAnsi="仿宋" w:eastAsia="仿宋" w:cs="仿宋"/>
                <w:color w:val="000000"/>
                <w:szCs w:val="21"/>
                <w:lang w:val="en-US" w:eastAsia="zh-CN"/>
              </w:rPr>
            </w:pPr>
            <w:r>
              <w:rPr>
                <w:rFonts w:hint="eastAsia" w:ascii="仿宋" w:hAnsi="仿宋" w:eastAsia="仿宋" w:cs="仿宋"/>
                <w:b/>
                <w:bCs/>
                <w:color w:val="000000"/>
                <w:szCs w:val="21"/>
              </w:rPr>
              <w:t>（本项目采购需求对应的中小企业划分标准所属行业为：</w:t>
            </w:r>
            <w:r>
              <w:rPr>
                <w:rFonts w:hint="eastAsia" w:ascii="仿宋" w:hAnsi="仿宋" w:eastAsia="仿宋" w:cs="仿宋"/>
                <w:b/>
                <w:bCs/>
                <w:color w:val="000000"/>
                <w:szCs w:val="21"/>
                <w:lang w:val="en-US" w:eastAsia="zh-CN"/>
              </w:rPr>
              <w:t>其他未列明</w:t>
            </w:r>
            <w:r>
              <w:rPr>
                <w:rFonts w:hint="eastAsia" w:ascii="仿宋" w:hAnsi="仿宋" w:eastAsia="仿宋" w:cs="仿宋"/>
                <w:b/>
                <w:bCs/>
                <w:color w:val="000000"/>
                <w:szCs w:val="21"/>
              </w:rPr>
              <w:t>行业。投标人为小微企业的，投标价格在评审时</w:t>
            </w:r>
            <w:r>
              <w:rPr>
                <w:rFonts w:hint="eastAsia" w:ascii="仿宋" w:hAnsi="仿宋" w:eastAsia="仿宋" w:cs="仿宋"/>
                <w:b/>
                <w:bCs/>
                <w:color w:val="000000"/>
                <w:szCs w:val="21"/>
                <w:lang w:val="en-US" w:eastAsia="zh-CN"/>
              </w:rPr>
              <w:t>减去</w:t>
            </w:r>
            <w:r>
              <w:rPr>
                <w:rFonts w:hint="eastAsia" w:ascii="仿宋" w:hAnsi="仿宋" w:eastAsia="仿宋" w:cs="仿宋"/>
                <w:b/>
                <w:bCs/>
                <w:color w:val="000000"/>
                <w:szCs w:val="21"/>
              </w:rPr>
              <w:t>小微企业价格扣除优惠值，用扣除后的价格参与评审，投标时需提供企业声明函。）</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7E79D93">
            <w:pPr>
              <w:tabs>
                <w:tab w:val="left" w:pos="105"/>
                <w:tab w:val="left" w:pos="945"/>
                <w:tab w:val="left" w:pos="3360"/>
              </w:tabs>
              <w:suppressAutoHyphens/>
              <w:bidi w:val="0"/>
              <w:adjustRightInd w:val="0"/>
              <w:snapToGrid w:val="0"/>
              <w:spacing w:line="360" w:lineRule="auto"/>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40分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2B7CD20">
            <w:pPr>
              <w:tabs>
                <w:tab w:val="left" w:pos="105"/>
                <w:tab w:val="left" w:pos="945"/>
                <w:tab w:val="left" w:pos="3360"/>
              </w:tabs>
              <w:suppressAutoHyphens/>
              <w:bidi w:val="0"/>
              <w:adjustRightInd w:val="0"/>
              <w:snapToGrid w:val="0"/>
              <w:spacing w:line="360" w:lineRule="auto"/>
              <w:rPr>
                <w:rFonts w:hint="eastAsia" w:ascii="仿宋" w:hAnsi="仿宋" w:eastAsia="仿宋" w:cs="仿宋"/>
                <w:color w:val="000000"/>
                <w:szCs w:val="21"/>
              </w:rPr>
            </w:pPr>
          </w:p>
        </w:tc>
      </w:tr>
      <w:tr w14:paraId="1997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157" w:type="dxa"/>
            <w:vMerge w:val="restart"/>
            <w:tcBorders>
              <w:top w:val="single" w:color="auto" w:sz="4" w:space="0"/>
              <w:left w:val="single" w:color="auto" w:sz="4" w:space="0"/>
              <w:right w:val="single" w:color="auto" w:sz="4" w:space="0"/>
            </w:tcBorders>
            <w:noWrap w:val="0"/>
            <w:vAlign w:val="center"/>
          </w:tcPr>
          <w:p w14:paraId="1C0BC1EB">
            <w:pPr>
              <w:suppressAutoHyphens/>
              <w:bidi w:val="0"/>
              <w:spacing w:line="360" w:lineRule="auto"/>
              <w:jc w:val="center"/>
              <w:rPr>
                <w:rFonts w:hint="eastAsia"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技术</w:t>
            </w:r>
          </w:p>
          <w:p w14:paraId="55734840">
            <w:pPr>
              <w:suppressAutoHyphens/>
              <w:bidi w:val="0"/>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整体方案</w:t>
            </w:r>
          </w:p>
          <w:p w14:paraId="5F738F07">
            <w:pPr>
              <w:suppressAutoHyphens/>
              <w:bidi w:val="0"/>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w:t>
            </w:r>
            <w:r>
              <w:rPr>
                <w:rFonts w:hint="eastAsia" w:ascii="仿宋" w:hAnsi="仿宋" w:eastAsia="仿宋" w:cs="仿宋"/>
                <w:b/>
                <w:bCs/>
                <w:color w:val="000000"/>
                <w:szCs w:val="21"/>
                <w:lang w:val="en-US" w:eastAsia="zh-CN"/>
              </w:rPr>
              <w:t>52</w:t>
            </w:r>
            <w:bookmarkStart w:id="403" w:name="_GoBack"/>
            <w:bookmarkEnd w:id="403"/>
            <w:r>
              <w:rPr>
                <w:rFonts w:hint="eastAsia" w:ascii="仿宋" w:hAnsi="仿宋" w:eastAsia="仿宋" w:cs="仿宋"/>
                <w:b/>
                <w:bCs/>
                <w:color w:val="000000"/>
                <w:szCs w:val="21"/>
              </w:rPr>
              <w:t xml:space="preserve">分）    </w:t>
            </w:r>
          </w:p>
        </w:tc>
        <w:tc>
          <w:tcPr>
            <w:tcW w:w="6538" w:type="dxa"/>
            <w:tcBorders>
              <w:top w:val="single" w:color="auto" w:sz="4" w:space="0"/>
              <w:left w:val="single" w:color="auto" w:sz="4" w:space="0"/>
              <w:bottom w:val="single" w:color="auto" w:sz="4" w:space="0"/>
              <w:right w:val="single" w:color="auto" w:sz="4" w:space="0"/>
            </w:tcBorders>
            <w:noWrap w:val="0"/>
            <w:vAlign w:val="center"/>
          </w:tcPr>
          <w:p w14:paraId="2C416031">
            <w:pPr>
              <w:suppressAutoHyphens/>
              <w:bidi w:val="0"/>
              <w:spacing w:line="38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rPr>
              <w:t>1、</w:t>
            </w:r>
            <w:r>
              <w:rPr>
                <w:rFonts w:hint="eastAsia" w:ascii="仿宋" w:hAnsi="仿宋" w:eastAsia="仿宋" w:cs="仿宋"/>
                <w:color w:val="000000"/>
                <w:szCs w:val="21"/>
                <w:lang w:val="en-US" w:eastAsia="zh-CN"/>
              </w:rPr>
              <w:t>项目情况分析及重难点解决措施方案</w:t>
            </w:r>
          </w:p>
          <w:p w14:paraId="647128C7">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评委根据</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针对本项目的现状</w:t>
            </w:r>
            <w:r>
              <w:rPr>
                <w:rFonts w:hint="eastAsia" w:ascii="仿宋" w:hAnsi="仿宋" w:eastAsia="仿宋" w:cs="仿宋"/>
                <w:color w:val="000000"/>
                <w:szCs w:val="21"/>
                <w:lang w:val="en-US" w:eastAsia="zh-CN"/>
              </w:rPr>
              <w:t>的</w:t>
            </w:r>
            <w:r>
              <w:rPr>
                <w:rFonts w:hint="eastAsia" w:ascii="仿宋" w:hAnsi="仿宋" w:eastAsia="仿宋" w:cs="仿宋"/>
                <w:color w:val="000000"/>
                <w:szCs w:val="21"/>
              </w:rPr>
              <w:t>难点、重点问题的调查剖析，并针对性的提出克服解决措施</w:t>
            </w:r>
            <w:r>
              <w:rPr>
                <w:rFonts w:hint="eastAsia" w:ascii="仿宋" w:hAnsi="仿宋" w:eastAsia="仿宋" w:cs="仿宋"/>
                <w:color w:val="000000"/>
                <w:szCs w:val="21"/>
                <w:lang w:val="en-US" w:eastAsia="zh-CN"/>
              </w:rPr>
              <w:t>方案</w:t>
            </w:r>
            <w:r>
              <w:rPr>
                <w:rFonts w:hint="eastAsia" w:ascii="仿宋" w:hAnsi="仿宋" w:eastAsia="仿宋" w:cs="仿宋"/>
                <w:color w:val="000000"/>
                <w:szCs w:val="21"/>
              </w:rPr>
              <w:t>进行评议（</w:t>
            </w:r>
            <w:r>
              <w:rPr>
                <w:rFonts w:hint="eastAsia" w:ascii="仿宋" w:hAnsi="仿宋" w:eastAsia="仿宋" w:cs="仿宋"/>
                <w:color w:val="000000"/>
                <w:szCs w:val="21"/>
                <w:lang w:val="en-US" w:eastAsia="zh-CN"/>
              </w:rPr>
              <w:t>7</w:t>
            </w:r>
            <w:r>
              <w:rPr>
                <w:rFonts w:hint="eastAsia" w:ascii="仿宋" w:hAnsi="仿宋" w:eastAsia="仿宋" w:cs="仿宋"/>
                <w:color w:val="000000"/>
                <w:szCs w:val="21"/>
              </w:rPr>
              <w:t>分）：</w:t>
            </w:r>
          </w:p>
          <w:p w14:paraId="010E7F84">
            <w:pPr>
              <w:suppressAutoHyphens/>
              <w:bidi w:val="0"/>
              <w:spacing w:line="380" w:lineRule="exact"/>
              <w:rPr>
                <w:rFonts w:hint="eastAsia" w:ascii="仿宋" w:hAnsi="仿宋" w:eastAsia="仿宋" w:cs="仿宋"/>
                <w:color w:val="FF0000"/>
                <w:szCs w:val="21"/>
                <w:highlight w:val="none"/>
                <w:lang w:val="en-US" w:eastAsia="zh-CN"/>
              </w:rPr>
            </w:pPr>
            <w:r>
              <w:rPr>
                <w:rFonts w:hint="eastAsia" w:ascii="仿宋" w:hAnsi="仿宋" w:eastAsia="仿宋" w:cs="仿宋"/>
                <w:color w:val="000000"/>
                <w:szCs w:val="21"/>
              </w:rPr>
              <w:t>对本项目的现状了解透彻，对难点、重点调查剖析精准，并给出针对性的解决</w:t>
            </w:r>
            <w:r>
              <w:rPr>
                <w:rFonts w:hint="eastAsia" w:ascii="仿宋" w:hAnsi="仿宋" w:eastAsia="仿宋" w:cs="仿宋"/>
                <w:color w:val="000000"/>
                <w:szCs w:val="21"/>
                <w:lang w:val="en-US" w:eastAsia="zh-CN"/>
              </w:rPr>
              <w:t>措施</w:t>
            </w:r>
            <w:r>
              <w:rPr>
                <w:rFonts w:hint="eastAsia" w:ascii="仿宋" w:hAnsi="仿宋" w:eastAsia="仿宋" w:cs="仿宋"/>
                <w:color w:val="000000"/>
                <w:szCs w:val="21"/>
              </w:rPr>
              <w:t>的得</w:t>
            </w:r>
            <w:r>
              <w:rPr>
                <w:rFonts w:hint="eastAsia" w:ascii="仿宋" w:hAnsi="仿宋" w:eastAsia="仿宋" w:cs="仿宋"/>
                <w:color w:val="000000"/>
                <w:szCs w:val="21"/>
                <w:highlight w:val="none"/>
                <w:lang w:val="en-US" w:eastAsia="zh-CN"/>
              </w:rPr>
              <w:t>7-5.1</w:t>
            </w:r>
            <w:r>
              <w:rPr>
                <w:rFonts w:hint="eastAsia" w:ascii="仿宋" w:hAnsi="仿宋" w:eastAsia="仿宋" w:cs="仿宋"/>
                <w:color w:val="000000"/>
                <w:szCs w:val="21"/>
                <w:highlight w:val="none"/>
              </w:rPr>
              <w:t>分；</w:t>
            </w:r>
          </w:p>
          <w:p w14:paraId="470A8594">
            <w:pPr>
              <w:suppressAutoHyphens/>
              <w:bidi w:val="0"/>
              <w:spacing w:line="380" w:lineRule="exact"/>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对本项目的现状基本了解，对难点、重点调查剖析准确，有基本的解决措施的得</w:t>
            </w:r>
            <w:r>
              <w:rPr>
                <w:rFonts w:hint="eastAsia" w:ascii="仿宋" w:hAnsi="仿宋" w:eastAsia="仿宋" w:cs="仿宋"/>
                <w:color w:val="000000"/>
                <w:szCs w:val="21"/>
                <w:highlight w:val="none"/>
                <w:lang w:val="en-US" w:eastAsia="zh-CN"/>
              </w:rPr>
              <w:t>5-3.1</w:t>
            </w:r>
            <w:r>
              <w:rPr>
                <w:rFonts w:hint="eastAsia" w:ascii="仿宋" w:hAnsi="仿宋" w:eastAsia="仿宋" w:cs="仿宋"/>
                <w:color w:val="000000"/>
                <w:szCs w:val="21"/>
                <w:highlight w:val="none"/>
              </w:rPr>
              <w:t>分；</w:t>
            </w:r>
          </w:p>
          <w:p w14:paraId="19E3C49F">
            <w:pPr>
              <w:suppressAutoHyphens/>
              <w:bidi w:val="0"/>
              <w:spacing w:line="380" w:lineRule="exact"/>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Cs w:val="21"/>
                <w:highlight w:val="none"/>
              </w:rPr>
              <w:t>对本项目现状有所了解，对难点、重点分析不全面，无针对性解决措施的得</w:t>
            </w:r>
            <w:r>
              <w:rPr>
                <w:rFonts w:hint="eastAsia" w:ascii="仿宋" w:hAnsi="仿宋" w:eastAsia="仿宋" w:cs="仿宋"/>
                <w:color w:val="000000"/>
                <w:szCs w:val="21"/>
                <w:highlight w:val="none"/>
                <w:lang w:val="en-US" w:eastAsia="zh-CN"/>
              </w:rPr>
              <w:t>3-0</w:t>
            </w:r>
            <w:r>
              <w:rPr>
                <w:rFonts w:hint="eastAsia" w:ascii="仿宋" w:hAnsi="仿宋" w:eastAsia="仿宋" w:cs="仿宋"/>
                <w:color w:val="000000"/>
                <w:szCs w:val="21"/>
                <w:highlight w:val="none"/>
              </w:rPr>
              <w:t>分。</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E62B52E">
            <w:pPr>
              <w:suppressAutoHyphens/>
              <w:bidi w:val="0"/>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highlight w:val="none"/>
                <w:lang w:val="en-US" w:eastAsia="zh-CN"/>
              </w:rPr>
              <w:t>7分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4E33536">
            <w:pPr>
              <w:suppressAutoHyphens/>
              <w:bidi w:val="0"/>
              <w:spacing w:line="360" w:lineRule="auto"/>
              <w:jc w:val="center"/>
              <w:rPr>
                <w:rFonts w:hint="eastAsia" w:ascii="仿宋" w:hAnsi="仿宋" w:eastAsia="仿宋" w:cs="仿宋"/>
                <w:color w:val="000000"/>
                <w:szCs w:val="21"/>
                <w:lang w:val="en-US" w:eastAsia="zh-CN"/>
              </w:rPr>
            </w:pPr>
          </w:p>
        </w:tc>
      </w:tr>
      <w:tr w14:paraId="0D07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8" w:hRule="atLeast"/>
          <w:jc w:val="center"/>
        </w:trPr>
        <w:tc>
          <w:tcPr>
            <w:tcW w:w="1157" w:type="dxa"/>
            <w:vMerge w:val="continue"/>
            <w:tcBorders>
              <w:left w:val="single" w:color="auto" w:sz="4" w:space="0"/>
              <w:right w:val="single" w:color="auto" w:sz="4" w:space="0"/>
            </w:tcBorders>
            <w:noWrap w:val="0"/>
            <w:vAlign w:val="center"/>
          </w:tcPr>
          <w:p w14:paraId="4889A74C">
            <w:pPr>
              <w:suppressAutoHyphens/>
              <w:bidi w:val="0"/>
              <w:spacing w:line="360" w:lineRule="auto"/>
              <w:jc w:val="center"/>
              <w:rPr>
                <w:rFonts w:hint="eastAsia" w:ascii="仿宋" w:hAnsi="仿宋" w:eastAsia="仿宋" w:cs="仿宋"/>
                <w:b/>
                <w:bCs/>
                <w:color w:val="000000"/>
                <w:szCs w:val="21"/>
              </w:rPr>
            </w:pPr>
          </w:p>
        </w:tc>
        <w:tc>
          <w:tcPr>
            <w:tcW w:w="6538" w:type="dxa"/>
            <w:tcBorders>
              <w:top w:val="single" w:color="auto" w:sz="4" w:space="0"/>
              <w:left w:val="single" w:color="auto" w:sz="4" w:space="0"/>
              <w:bottom w:val="single" w:color="auto" w:sz="4" w:space="0"/>
              <w:right w:val="single" w:color="auto" w:sz="4" w:space="0"/>
            </w:tcBorders>
            <w:noWrap w:val="0"/>
            <w:vAlign w:val="center"/>
          </w:tcPr>
          <w:p w14:paraId="310DFBC2">
            <w:pPr>
              <w:suppressAutoHyphens/>
              <w:bidi w:val="0"/>
              <w:spacing w:line="38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rPr>
              <w:t>2、</w:t>
            </w:r>
            <w:r>
              <w:rPr>
                <w:rFonts w:hint="eastAsia" w:ascii="仿宋" w:hAnsi="仿宋" w:eastAsia="仿宋" w:cs="仿宋"/>
                <w:color w:val="000000"/>
                <w:szCs w:val="21"/>
                <w:lang w:val="en-US" w:eastAsia="zh-CN"/>
              </w:rPr>
              <w:t>日常保洁方案</w:t>
            </w:r>
          </w:p>
          <w:p w14:paraId="630A953A">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评委根据</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针对本项目的</w:t>
            </w:r>
            <w:r>
              <w:rPr>
                <w:rFonts w:hint="eastAsia" w:ascii="仿宋" w:hAnsi="仿宋" w:eastAsia="仿宋" w:cs="仿宋"/>
                <w:color w:val="000000"/>
                <w:szCs w:val="21"/>
                <w:lang w:val="en-US" w:eastAsia="zh-CN"/>
              </w:rPr>
              <w:t>垃圾中转站工作环境及设备设施日常保洁、除尘除臭、绿化养护等</w:t>
            </w:r>
            <w:r>
              <w:rPr>
                <w:rFonts w:hint="eastAsia" w:ascii="仿宋" w:hAnsi="仿宋" w:eastAsia="仿宋" w:cs="仿宋"/>
                <w:color w:val="000000"/>
                <w:szCs w:val="21"/>
              </w:rPr>
              <w:t>实施方案的全面性、可实施性进行评议（</w:t>
            </w:r>
            <w:r>
              <w:rPr>
                <w:rFonts w:hint="eastAsia" w:ascii="仿宋" w:hAnsi="仿宋" w:eastAsia="仿宋" w:cs="仿宋"/>
                <w:color w:val="000000"/>
                <w:szCs w:val="21"/>
                <w:lang w:val="en-US" w:eastAsia="zh-CN"/>
              </w:rPr>
              <w:t>7</w:t>
            </w:r>
            <w:r>
              <w:rPr>
                <w:rFonts w:hint="eastAsia" w:ascii="仿宋" w:hAnsi="仿宋" w:eastAsia="仿宋" w:cs="仿宋"/>
                <w:color w:val="000000"/>
                <w:szCs w:val="21"/>
              </w:rPr>
              <w:t>分）：</w:t>
            </w:r>
          </w:p>
          <w:p w14:paraId="1EAEC1A7">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服务方案针对性强，总体思路、技术方法科学合理可行</w:t>
            </w:r>
            <w:r>
              <w:rPr>
                <w:rFonts w:hint="eastAsia" w:ascii="仿宋" w:hAnsi="仿宋" w:eastAsia="仿宋" w:cs="仿宋"/>
                <w:color w:val="000000"/>
                <w:szCs w:val="21"/>
                <w:lang w:eastAsia="zh-CN"/>
              </w:rPr>
              <w:t>、</w:t>
            </w:r>
            <w:r>
              <w:rPr>
                <w:rFonts w:hint="eastAsia" w:ascii="仿宋" w:hAnsi="仿宋" w:eastAsia="仿宋" w:cs="仿宋"/>
                <w:color w:val="000000"/>
                <w:szCs w:val="21"/>
              </w:rPr>
              <w:t>完全满足本项目需求，工作内容完善、实施方案可操作性强的得</w:t>
            </w:r>
            <w:r>
              <w:rPr>
                <w:rFonts w:hint="eastAsia" w:ascii="仿宋" w:hAnsi="仿宋" w:eastAsia="仿宋" w:cs="仿宋"/>
                <w:color w:val="000000"/>
                <w:szCs w:val="21"/>
                <w:lang w:val="en-US" w:eastAsia="zh-CN"/>
              </w:rPr>
              <w:t>7-5.1</w:t>
            </w:r>
            <w:r>
              <w:rPr>
                <w:rFonts w:hint="eastAsia" w:ascii="仿宋" w:hAnsi="仿宋" w:eastAsia="仿宋" w:cs="仿宋"/>
                <w:color w:val="000000"/>
                <w:szCs w:val="21"/>
              </w:rPr>
              <w:t>分；</w:t>
            </w:r>
          </w:p>
          <w:p w14:paraId="34DD1512">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服务方案针对性强，总体思路、技术方法基本满足本项目需求，工作内容基本全面、实施方案基本可操作的得</w:t>
            </w:r>
            <w:r>
              <w:rPr>
                <w:rFonts w:hint="eastAsia" w:ascii="仿宋" w:hAnsi="仿宋" w:eastAsia="仿宋" w:cs="仿宋"/>
                <w:color w:val="000000"/>
                <w:szCs w:val="21"/>
                <w:lang w:val="en-US" w:eastAsia="zh-CN"/>
              </w:rPr>
              <w:t>5-3.1</w:t>
            </w:r>
            <w:r>
              <w:rPr>
                <w:rFonts w:hint="eastAsia" w:ascii="仿宋" w:hAnsi="仿宋" w:eastAsia="仿宋" w:cs="仿宋"/>
                <w:color w:val="000000"/>
                <w:szCs w:val="21"/>
              </w:rPr>
              <w:t>分；</w:t>
            </w:r>
          </w:p>
          <w:p w14:paraId="09053A32">
            <w:pPr>
              <w:suppressAutoHyphens/>
              <w:bidi w:val="0"/>
              <w:spacing w:line="38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服务方案无针对性、工作内容不齐全的得</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0分。</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ADCD782">
            <w:pPr>
              <w:suppressAutoHyphens/>
              <w:bidi w:val="0"/>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7分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95B63B1">
            <w:pPr>
              <w:suppressAutoHyphens/>
              <w:bidi w:val="0"/>
              <w:spacing w:line="360" w:lineRule="auto"/>
              <w:jc w:val="center"/>
              <w:rPr>
                <w:rFonts w:hint="eastAsia" w:ascii="仿宋" w:hAnsi="仿宋" w:eastAsia="仿宋" w:cs="仿宋"/>
                <w:color w:val="000000"/>
                <w:szCs w:val="21"/>
                <w:lang w:val="en-US" w:eastAsia="zh-CN"/>
              </w:rPr>
            </w:pPr>
          </w:p>
        </w:tc>
      </w:tr>
      <w:tr w14:paraId="0F4C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8" w:hRule="atLeast"/>
          <w:jc w:val="center"/>
        </w:trPr>
        <w:tc>
          <w:tcPr>
            <w:tcW w:w="1157" w:type="dxa"/>
            <w:vMerge w:val="continue"/>
            <w:tcBorders>
              <w:left w:val="single" w:color="auto" w:sz="4" w:space="0"/>
              <w:right w:val="single" w:color="auto" w:sz="4" w:space="0"/>
            </w:tcBorders>
            <w:noWrap w:val="0"/>
            <w:vAlign w:val="center"/>
          </w:tcPr>
          <w:p w14:paraId="181AD1E9">
            <w:pPr>
              <w:suppressAutoHyphens/>
              <w:bidi w:val="0"/>
              <w:spacing w:line="360" w:lineRule="auto"/>
              <w:jc w:val="center"/>
              <w:rPr>
                <w:rFonts w:hint="eastAsia" w:ascii="仿宋" w:hAnsi="仿宋" w:eastAsia="仿宋" w:cs="仿宋"/>
                <w:b/>
                <w:bCs/>
                <w:color w:val="000000"/>
                <w:szCs w:val="21"/>
              </w:rPr>
            </w:pPr>
          </w:p>
        </w:tc>
        <w:tc>
          <w:tcPr>
            <w:tcW w:w="6538" w:type="dxa"/>
            <w:tcBorders>
              <w:top w:val="single" w:color="auto" w:sz="4" w:space="0"/>
              <w:left w:val="single" w:color="auto" w:sz="4" w:space="0"/>
              <w:bottom w:val="single" w:color="auto" w:sz="4" w:space="0"/>
              <w:right w:val="single" w:color="auto" w:sz="4" w:space="0"/>
            </w:tcBorders>
            <w:noWrap w:val="0"/>
            <w:vAlign w:val="center"/>
          </w:tcPr>
          <w:p w14:paraId="17E61003">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3、</w:t>
            </w:r>
            <w:r>
              <w:rPr>
                <w:rFonts w:hint="eastAsia" w:ascii="仿宋" w:hAnsi="仿宋" w:eastAsia="仿宋" w:cs="仿宋"/>
                <w:color w:val="000000"/>
                <w:szCs w:val="21"/>
                <w:lang w:val="en-US" w:eastAsia="zh-CN"/>
              </w:rPr>
              <w:t>设备设施的日常管理和维护</w:t>
            </w:r>
            <w:r>
              <w:rPr>
                <w:rFonts w:hint="eastAsia" w:ascii="仿宋" w:hAnsi="仿宋" w:eastAsia="仿宋" w:cs="仿宋"/>
                <w:color w:val="000000"/>
                <w:szCs w:val="21"/>
              </w:rPr>
              <w:t>方案</w:t>
            </w:r>
          </w:p>
          <w:p w14:paraId="1DDDA00C">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评委根据</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针对</w:t>
            </w:r>
            <w:r>
              <w:rPr>
                <w:rFonts w:hint="eastAsia" w:ascii="仿宋" w:hAnsi="仿宋" w:eastAsia="仿宋" w:cs="仿宋"/>
                <w:color w:val="000000"/>
                <w:szCs w:val="21"/>
                <w:lang w:val="en-US" w:eastAsia="zh-CN"/>
              </w:rPr>
              <w:t>垃圾中转站设备设施运营的日常管理和维护</w:t>
            </w:r>
            <w:r>
              <w:rPr>
                <w:rFonts w:hint="eastAsia" w:ascii="仿宋" w:hAnsi="仿宋" w:eastAsia="仿宋" w:cs="仿宋"/>
                <w:color w:val="000000"/>
                <w:szCs w:val="21"/>
              </w:rPr>
              <w:t>方案的针对性、可操作性进行评议（</w:t>
            </w:r>
            <w:r>
              <w:rPr>
                <w:rFonts w:hint="eastAsia" w:ascii="仿宋" w:hAnsi="仿宋" w:eastAsia="仿宋" w:cs="仿宋"/>
                <w:color w:val="000000"/>
                <w:szCs w:val="21"/>
                <w:lang w:val="en-US" w:eastAsia="zh-CN"/>
              </w:rPr>
              <w:t>7</w:t>
            </w:r>
            <w:r>
              <w:rPr>
                <w:rFonts w:hint="eastAsia" w:ascii="仿宋" w:hAnsi="仿宋" w:eastAsia="仿宋" w:cs="仿宋"/>
                <w:color w:val="000000"/>
                <w:szCs w:val="21"/>
              </w:rPr>
              <w:t>分）：</w:t>
            </w:r>
          </w:p>
          <w:p w14:paraId="5DD6F162">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服务方案针对性强，总体思路、技术方法科学合理可行</w:t>
            </w:r>
            <w:r>
              <w:rPr>
                <w:rFonts w:hint="eastAsia" w:ascii="仿宋" w:hAnsi="仿宋" w:eastAsia="仿宋" w:cs="仿宋"/>
                <w:color w:val="000000"/>
                <w:szCs w:val="21"/>
                <w:lang w:eastAsia="zh-CN"/>
              </w:rPr>
              <w:t>、</w:t>
            </w:r>
            <w:r>
              <w:rPr>
                <w:rFonts w:hint="eastAsia" w:ascii="仿宋" w:hAnsi="仿宋" w:eastAsia="仿宋" w:cs="仿宋"/>
                <w:color w:val="000000"/>
                <w:szCs w:val="21"/>
              </w:rPr>
              <w:t>完全满足本项目需求，工作内容完善、实施方案可操作性强的得</w:t>
            </w:r>
            <w:r>
              <w:rPr>
                <w:rFonts w:hint="eastAsia" w:ascii="仿宋" w:hAnsi="仿宋" w:eastAsia="仿宋" w:cs="仿宋"/>
                <w:color w:val="000000"/>
                <w:szCs w:val="21"/>
                <w:lang w:val="en-US" w:eastAsia="zh-CN"/>
              </w:rPr>
              <w:t>7-5.1</w:t>
            </w:r>
            <w:r>
              <w:rPr>
                <w:rFonts w:hint="eastAsia" w:ascii="仿宋" w:hAnsi="仿宋" w:eastAsia="仿宋" w:cs="仿宋"/>
                <w:color w:val="000000"/>
                <w:szCs w:val="21"/>
              </w:rPr>
              <w:t>分；</w:t>
            </w:r>
          </w:p>
          <w:p w14:paraId="74DF00E5">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服务方案针对性强，总体思路、技术方法基本满足本项目需求，工作内容基本全面、实施方案基本可操作的得</w:t>
            </w:r>
            <w:r>
              <w:rPr>
                <w:rFonts w:hint="eastAsia" w:ascii="仿宋" w:hAnsi="仿宋" w:eastAsia="仿宋" w:cs="仿宋"/>
                <w:color w:val="000000"/>
                <w:szCs w:val="21"/>
                <w:lang w:val="en-US" w:eastAsia="zh-CN"/>
              </w:rPr>
              <w:t>5-3.1</w:t>
            </w:r>
            <w:r>
              <w:rPr>
                <w:rFonts w:hint="eastAsia" w:ascii="仿宋" w:hAnsi="仿宋" w:eastAsia="仿宋" w:cs="仿宋"/>
                <w:color w:val="000000"/>
                <w:szCs w:val="21"/>
              </w:rPr>
              <w:t>分；</w:t>
            </w:r>
          </w:p>
          <w:p w14:paraId="18FE0B1E">
            <w:pPr>
              <w:suppressAutoHyphens/>
              <w:bidi w:val="0"/>
              <w:spacing w:line="38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服务方案无针对性、工作内容不齐全的得</w:t>
            </w:r>
            <w:r>
              <w:rPr>
                <w:rFonts w:hint="eastAsia" w:ascii="仿宋" w:hAnsi="仿宋" w:eastAsia="仿宋" w:cs="仿宋"/>
                <w:color w:val="000000"/>
                <w:szCs w:val="21"/>
                <w:lang w:val="en-US" w:eastAsia="zh-CN"/>
              </w:rPr>
              <w:t>3-0</w:t>
            </w:r>
            <w:r>
              <w:rPr>
                <w:rFonts w:hint="eastAsia" w:ascii="仿宋" w:hAnsi="仿宋" w:eastAsia="仿宋" w:cs="仿宋"/>
                <w:color w:val="000000"/>
                <w:szCs w:val="21"/>
              </w:rPr>
              <w:t>分。</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ED56C9F">
            <w:pPr>
              <w:suppressAutoHyphens/>
              <w:bidi w:val="0"/>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7分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39E3B66">
            <w:pPr>
              <w:suppressAutoHyphens/>
              <w:bidi w:val="0"/>
              <w:spacing w:line="360" w:lineRule="auto"/>
              <w:jc w:val="center"/>
              <w:rPr>
                <w:rFonts w:hint="eastAsia" w:ascii="仿宋" w:hAnsi="仿宋" w:eastAsia="仿宋" w:cs="仿宋"/>
                <w:color w:val="000000"/>
                <w:szCs w:val="21"/>
                <w:lang w:val="en-US" w:eastAsia="zh-CN"/>
              </w:rPr>
            </w:pPr>
          </w:p>
        </w:tc>
      </w:tr>
      <w:tr w14:paraId="4489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jc w:val="center"/>
        </w:trPr>
        <w:tc>
          <w:tcPr>
            <w:tcW w:w="1157" w:type="dxa"/>
            <w:vMerge w:val="continue"/>
            <w:tcBorders>
              <w:left w:val="single" w:color="auto" w:sz="4" w:space="0"/>
              <w:right w:val="single" w:color="auto" w:sz="4" w:space="0"/>
            </w:tcBorders>
            <w:noWrap w:val="0"/>
            <w:vAlign w:val="center"/>
          </w:tcPr>
          <w:p w14:paraId="62CFCB2B">
            <w:pPr>
              <w:suppressAutoHyphens/>
              <w:bidi w:val="0"/>
              <w:spacing w:line="360" w:lineRule="auto"/>
              <w:jc w:val="center"/>
              <w:rPr>
                <w:rFonts w:hint="eastAsia" w:ascii="仿宋" w:hAnsi="仿宋" w:eastAsia="仿宋" w:cs="仿宋"/>
                <w:b/>
                <w:bCs/>
                <w:color w:val="000000"/>
                <w:szCs w:val="21"/>
              </w:rPr>
            </w:pPr>
          </w:p>
        </w:tc>
        <w:tc>
          <w:tcPr>
            <w:tcW w:w="6538" w:type="dxa"/>
            <w:tcBorders>
              <w:top w:val="single" w:color="auto" w:sz="4" w:space="0"/>
              <w:left w:val="single" w:color="auto" w:sz="4" w:space="0"/>
              <w:bottom w:val="single" w:color="auto" w:sz="4" w:space="0"/>
              <w:right w:val="single" w:color="auto" w:sz="4" w:space="0"/>
            </w:tcBorders>
            <w:noWrap w:val="0"/>
            <w:vAlign w:val="center"/>
          </w:tcPr>
          <w:p w14:paraId="04C8C829">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lang w:val="en-US" w:eastAsia="zh-CN"/>
              </w:rPr>
              <w:t>4、应急方案及保障措施</w:t>
            </w:r>
          </w:p>
          <w:p w14:paraId="76A26B0A">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评委根据</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针对本项目的应急突发事情或重大活动（针对防汛抗台、防雪抗冻、重大活动和节日、重大检查等）的及保障措施方案的科学性、合理性、可操作性进行评议（</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分）：</w:t>
            </w:r>
          </w:p>
          <w:p w14:paraId="068512A6">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措施方案符合要求，内容完整、充实的得</w:t>
            </w:r>
            <w:r>
              <w:rPr>
                <w:rFonts w:hint="eastAsia" w:ascii="仿宋" w:hAnsi="仿宋" w:eastAsia="仿宋" w:cs="仿宋"/>
                <w:color w:val="000000"/>
                <w:szCs w:val="21"/>
                <w:lang w:val="en-US" w:eastAsia="zh-CN"/>
              </w:rPr>
              <w:t>6-4.1</w:t>
            </w:r>
            <w:r>
              <w:rPr>
                <w:rFonts w:hint="eastAsia" w:ascii="仿宋" w:hAnsi="仿宋" w:eastAsia="仿宋" w:cs="仿宋"/>
                <w:color w:val="000000"/>
                <w:szCs w:val="21"/>
              </w:rPr>
              <w:t>分；</w:t>
            </w:r>
          </w:p>
          <w:p w14:paraId="4F9E73B0">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措施方案符合要求，内容完整，但有所欠缺的得</w:t>
            </w:r>
            <w:r>
              <w:rPr>
                <w:rFonts w:hint="eastAsia" w:ascii="仿宋" w:hAnsi="仿宋" w:eastAsia="仿宋" w:cs="仿宋"/>
                <w:color w:val="000000"/>
                <w:szCs w:val="21"/>
                <w:lang w:val="en-US" w:eastAsia="zh-CN"/>
              </w:rPr>
              <w:t>4-2.1</w:t>
            </w:r>
            <w:r>
              <w:rPr>
                <w:rFonts w:hint="eastAsia" w:ascii="仿宋" w:hAnsi="仿宋" w:eastAsia="仿宋" w:cs="仿宋"/>
                <w:color w:val="000000"/>
                <w:szCs w:val="21"/>
              </w:rPr>
              <w:t>分；</w:t>
            </w:r>
          </w:p>
          <w:p w14:paraId="30A7F837">
            <w:pPr>
              <w:suppressAutoHyphens/>
              <w:bidi w:val="0"/>
              <w:spacing w:line="38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措施方案符合要求，但内容不完整的得</w:t>
            </w:r>
            <w:r>
              <w:rPr>
                <w:rFonts w:hint="eastAsia" w:ascii="仿宋" w:hAnsi="仿宋" w:eastAsia="仿宋" w:cs="仿宋"/>
                <w:color w:val="000000"/>
                <w:szCs w:val="21"/>
                <w:lang w:val="en-US" w:eastAsia="zh-CN"/>
              </w:rPr>
              <w:t>2-0</w:t>
            </w:r>
            <w:r>
              <w:rPr>
                <w:rFonts w:hint="eastAsia" w:ascii="仿宋" w:hAnsi="仿宋" w:eastAsia="仿宋" w:cs="仿宋"/>
                <w:color w:val="000000"/>
                <w:szCs w:val="21"/>
              </w:rPr>
              <w:t>分。</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FFBCE7D">
            <w:pPr>
              <w:suppressAutoHyphens/>
              <w:bidi w:val="0"/>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EB1C170">
            <w:pPr>
              <w:suppressAutoHyphens/>
              <w:bidi w:val="0"/>
              <w:spacing w:line="360" w:lineRule="auto"/>
              <w:jc w:val="center"/>
              <w:rPr>
                <w:rFonts w:hint="eastAsia" w:ascii="仿宋" w:hAnsi="仿宋" w:eastAsia="仿宋" w:cs="仿宋"/>
                <w:color w:val="000000"/>
                <w:szCs w:val="21"/>
                <w:lang w:val="en-US" w:eastAsia="zh-CN"/>
              </w:rPr>
            </w:pPr>
          </w:p>
        </w:tc>
      </w:tr>
      <w:tr w14:paraId="0CEF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8" w:hRule="atLeast"/>
          <w:jc w:val="center"/>
        </w:trPr>
        <w:tc>
          <w:tcPr>
            <w:tcW w:w="1157" w:type="dxa"/>
            <w:vMerge w:val="continue"/>
            <w:tcBorders>
              <w:left w:val="single" w:color="auto" w:sz="4" w:space="0"/>
              <w:right w:val="single" w:color="auto" w:sz="4" w:space="0"/>
            </w:tcBorders>
            <w:noWrap w:val="0"/>
            <w:vAlign w:val="center"/>
          </w:tcPr>
          <w:p w14:paraId="5FE41D79">
            <w:pPr>
              <w:suppressAutoHyphens/>
              <w:bidi w:val="0"/>
              <w:spacing w:line="360" w:lineRule="auto"/>
              <w:jc w:val="center"/>
              <w:rPr>
                <w:rFonts w:hint="eastAsia" w:ascii="仿宋" w:hAnsi="仿宋" w:eastAsia="仿宋" w:cs="仿宋"/>
                <w:b/>
                <w:bCs/>
                <w:color w:val="000000"/>
                <w:szCs w:val="21"/>
              </w:rPr>
            </w:pPr>
          </w:p>
        </w:tc>
        <w:tc>
          <w:tcPr>
            <w:tcW w:w="6538" w:type="dxa"/>
            <w:tcBorders>
              <w:top w:val="single" w:color="auto" w:sz="4" w:space="0"/>
              <w:left w:val="single" w:color="auto" w:sz="4" w:space="0"/>
              <w:bottom w:val="single" w:color="auto" w:sz="4" w:space="0"/>
              <w:right w:val="single" w:color="auto" w:sz="4" w:space="0"/>
            </w:tcBorders>
            <w:noWrap w:val="0"/>
            <w:vAlign w:val="center"/>
          </w:tcPr>
          <w:p w14:paraId="61A997D6">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lang w:val="en-US" w:eastAsia="zh-CN"/>
              </w:rPr>
              <w:t>5</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工作管理措施</w:t>
            </w:r>
          </w:p>
          <w:p w14:paraId="101D0275">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评委根据</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针对本项目各项内部岗位责任制度、管理运作制度、考核制度及标准、档案资料管理、管理服务组织机构设置、运作流程、激励机制、监督机制、自我约束机制和信息反馈渠道及处理机制的全面性、可行性、合理性进行评议（</w:t>
            </w:r>
            <w:r>
              <w:rPr>
                <w:rFonts w:hint="eastAsia" w:ascii="仿宋" w:hAnsi="仿宋" w:eastAsia="仿宋" w:cs="仿宋"/>
                <w:color w:val="000000"/>
                <w:szCs w:val="21"/>
                <w:lang w:val="en-US" w:eastAsia="zh-CN"/>
              </w:rPr>
              <w:t>7</w:t>
            </w:r>
            <w:r>
              <w:rPr>
                <w:rFonts w:hint="eastAsia" w:ascii="仿宋" w:hAnsi="仿宋" w:eastAsia="仿宋" w:cs="仿宋"/>
                <w:color w:val="000000"/>
                <w:szCs w:val="21"/>
              </w:rPr>
              <w:t>分）：</w:t>
            </w:r>
          </w:p>
          <w:p w14:paraId="42DF3E85">
            <w:pPr>
              <w:suppressAutoHyphens/>
              <w:bidi w:val="0"/>
              <w:spacing w:line="380" w:lineRule="exact"/>
              <w:rPr>
                <w:rFonts w:hint="eastAsia" w:ascii="仿宋" w:hAnsi="仿宋" w:eastAsia="仿宋" w:cs="仿宋"/>
                <w:color w:val="000000"/>
                <w:szCs w:val="21"/>
                <w:lang w:eastAsia="zh-CN"/>
              </w:rPr>
            </w:pPr>
            <w:r>
              <w:rPr>
                <w:rFonts w:hint="eastAsia" w:ascii="仿宋" w:hAnsi="仿宋" w:eastAsia="仿宋" w:cs="仿宋"/>
                <w:color w:val="000000"/>
                <w:szCs w:val="21"/>
              </w:rPr>
              <w:t>规章制度</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工作管理措施</w:t>
            </w:r>
            <w:r>
              <w:rPr>
                <w:rFonts w:hint="eastAsia" w:ascii="仿宋" w:hAnsi="仿宋" w:eastAsia="仿宋" w:cs="仿宋"/>
                <w:color w:val="000000"/>
                <w:szCs w:val="21"/>
              </w:rPr>
              <w:t>完整、详细、切合本项目实际情况的得</w:t>
            </w:r>
            <w:r>
              <w:rPr>
                <w:rFonts w:hint="eastAsia" w:ascii="仿宋" w:hAnsi="仿宋" w:eastAsia="仿宋" w:cs="仿宋"/>
                <w:color w:val="000000"/>
                <w:szCs w:val="21"/>
                <w:lang w:val="en-US" w:eastAsia="zh-CN"/>
              </w:rPr>
              <w:t>7-5.1</w:t>
            </w:r>
            <w:r>
              <w:rPr>
                <w:rFonts w:hint="eastAsia" w:ascii="仿宋" w:hAnsi="仿宋" w:eastAsia="仿宋" w:cs="仿宋"/>
                <w:color w:val="000000"/>
                <w:szCs w:val="21"/>
              </w:rPr>
              <w:t>分</w:t>
            </w:r>
            <w:r>
              <w:rPr>
                <w:rFonts w:hint="eastAsia" w:ascii="仿宋" w:hAnsi="仿宋" w:eastAsia="仿宋" w:cs="仿宋"/>
                <w:color w:val="000000"/>
                <w:szCs w:val="21"/>
                <w:lang w:eastAsia="zh-CN"/>
              </w:rPr>
              <w:t>；</w:t>
            </w:r>
          </w:p>
          <w:p w14:paraId="02164913">
            <w:pPr>
              <w:suppressAutoHyphens/>
              <w:bidi w:val="0"/>
              <w:spacing w:line="380" w:lineRule="exact"/>
              <w:rPr>
                <w:rFonts w:hint="eastAsia" w:ascii="仿宋" w:hAnsi="仿宋" w:eastAsia="仿宋" w:cs="仿宋"/>
                <w:color w:val="000000"/>
                <w:szCs w:val="21"/>
                <w:lang w:eastAsia="zh-CN"/>
              </w:rPr>
            </w:pPr>
            <w:r>
              <w:rPr>
                <w:rFonts w:hint="eastAsia" w:ascii="仿宋" w:hAnsi="仿宋" w:eastAsia="仿宋" w:cs="仿宋"/>
                <w:color w:val="000000"/>
                <w:szCs w:val="21"/>
              </w:rPr>
              <w:t>规章制度</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工作管理措施</w:t>
            </w:r>
            <w:r>
              <w:rPr>
                <w:rFonts w:hint="eastAsia" w:ascii="仿宋" w:hAnsi="仿宋" w:eastAsia="仿宋" w:cs="仿宋"/>
                <w:color w:val="000000"/>
                <w:szCs w:val="21"/>
              </w:rPr>
              <w:t>基本完整，内容略有瑕疵的得</w:t>
            </w:r>
            <w:r>
              <w:rPr>
                <w:rFonts w:hint="eastAsia" w:ascii="仿宋" w:hAnsi="仿宋" w:eastAsia="仿宋" w:cs="仿宋"/>
                <w:color w:val="000000"/>
                <w:szCs w:val="21"/>
                <w:lang w:val="en-US" w:eastAsia="zh-CN"/>
              </w:rPr>
              <w:t>5-3.1</w:t>
            </w:r>
            <w:r>
              <w:rPr>
                <w:rFonts w:hint="eastAsia" w:ascii="仿宋" w:hAnsi="仿宋" w:eastAsia="仿宋" w:cs="仿宋"/>
                <w:color w:val="000000"/>
                <w:szCs w:val="21"/>
              </w:rPr>
              <w:t>分</w:t>
            </w:r>
            <w:r>
              <w:rPr>
                <w:rFonts w:hint="eastAsia" w:ascii="仿宋" w:hAnsi="仿宋" w:eastAsia="仿宋" w:cs="仿宋"/>
                <w:color w:val="000000"/>
                <w:szCs w:val="21"/>
                <w:lang w:eastAsia="zh-CN"/>
              </w:rPr>
              <w:t>；</w:t>
            </w:r>
          </w:p>
          <w:p w14:paraId="3A1CBFC5">
            <w:pPr>
              <w:suppressAutoHyphens/>
              <w:bidi w:val="0"/>
              <w:spacing w:line="38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规章制度</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工作管理措施</w:t>
            </w:r>
            <w:r>
              <w:rPr>
                <w:rFonts w:hint="eastAsia" w:ascii="仿宋" w:hAnsi="仿宋" w:eastAsia="仿宋" w:cs="仿宋"/>
                <w:color w:val="000000"/>
                <w:szCs w:val="21"/>
              </w:rPr>
              <w:t>不完整，或有明显不合理之处的得</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-0分。</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8E2F363">
            <w:pPr>
              <w:suppressAutoHyphens/>
              <w:bidi w:val="0"/>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7分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B1F0DD4">
            <w:pPr>
              <w:suppressAutoHyphens/>
              <w:bidi w:val="0"/>
              <w:spacing w:line="360" w:lineRule="auto"/>
              <w:jc w:val="center"/>
              <w:rPr>
                <w:rFonts w:hint="eastAsia" w:ascii="仿宋" w:hAnsi="仿宋" w:eastAsia="仿宋" w:cs="仿宋"/>
                <w:color w:val="000000"/>
                <w:szCs w:val="21"/>
                <w:lang w:val="en-US" w:eastAsia="zh-CN"/>
              </w:rPr>
            </w:pPr>
          </w:p>
        </w:tc>
      </w:tr>
      <w:tr w14:paraId="540D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1157" w:type="dxa"/>
            <w:vMerge w:val="continue"/>
            <w:tcBorders>
              <w:left w:val="single" w:color="auto" w:sz="4" w:space="0"/>
              <w:right w:val="single" w:color="auto" w:sz="4" w:space="0"/>
            </w:tcBorders>
            <w:noWrap w:val="0"/>
            <w:vAlign w:val="center"/>
          </w:tcPr>
          <w:p w14:paraId="20A32A9F">
            <w:pPr>
              <w:suppressAutoHyphens/>
              <w:bidi w:val="0"/>
              <w:spacing w:line="360" w:lineRule="auto"/>
              <w:jc w:val="center"/>
              <w:rPr>
                <w:rFonts w:hint="eastAsia" w:ascii="仿宋" w:hAnsi="仿宋" w:eastAsia="仿宋" w:cs="仿宋"/>
                <w:b/>
                <w:bCs/>
                <w:color w:val="000000"/>
                <w:szCs w:val="21"/>
              </w:rPr>
            </w:pPr>
          </w:p>
        </w:tc>
        <w:tc>
          <w:tcPr>
            <w:tcW w:w="6538" w:type="dxa"/>
            <w:tcBorders>
              <w:top w:val="single" w:color="auto" w:sz="4" w:space="0"/>
              <w:left w:val="single" w:color="auto" w:sz="4" w:space="0"/>
              <w:bottom w:val="single" w:color="auto" w:sz="4" w:space="0"/>
              <w:right w:val="single" w:color="auto" w:sz="4" w:space="0"/>
            </w:tcBorders>
            <w:noWrap w:val="0"/>
            <w:vAlign w:val="center"/>
          </w:tcPr>
          <w:p w14:paraId="0B5B4E6D">
            <w:pPr>
              <w:suppressAutoHyphens/>
              <w:bidi w:val="0"/>
              <w:spacing w:line="38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6、人员保障措施</w:t>
            </w:r>
          </w:p>
          <w:p w14:paraId="4F6F7973">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评委根据</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针对本项目人员稳定保障措施的合理性、适用性进行评议（</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分）：</w:t>
            </w:r>
          </w:p>
          <w:p w14:paraId="3DF3AFC9">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措施方案符合要求，内容完整、充实的得</w:t>
            </w:r>
            <w:r>
              <w:rPr>
                <w:rFonts w:hint="eastAsia" w:ascii="仿宋" w:hAnsi="仿宋" w:eastAsia="仿宋" w:cs="仿宋"/>
                <w:color w:val="000000"/>
                <w:szCs w:val="21"/>
                <w:lang w:val="en-US" w:eastAsia="zh-CN"/>
              </w:rPr>
              <w:t>6-4.1</w:t>
            </w:r>
            <w:r>
              <w:rPr>
                <w:rFonts w:hint="eastAsia" w:ascii="仿宋" w:hAnsi="仿宋" w:eastAsia="仿宋" w:cs="仿宋"/>
                <w:color w:val="000000"/>
                <w:szCs w:val="21"/>
              </w:rPr>
              <w:t>分；</w:t>
            </w:r>
          </w:p>
          <w:p w14:paraId="3C0F3BF4">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措施方案符合要求，内容完整，但有所欠缺的得</w:t>
            </w:r>
            <w:r>
              <w:rPr>
                <w:rFonts w:hint="eastAsia" w:ascii="仿宋" w:hAnsi="仿宋" w:eastAsia="仿宋" w:cs="仿宋"/>
                <w:color w:val="000000"/>
                <w:szCs w:val="21"/>
                <w:lang w:val="en-US" w:eastAsia="zh-CN"/>
              </w:rPr>
              <w:t>4-2.1</w:t>
            </w:r>
            <w:r>
              <w:rPr>
                <w:rFonts w:hint="eastAsia" w:ascii="仿宋" w:hAnsi="仿宋" w:eastAsia="仿宋" w:cs="仿宋"/>
                <w:color w:val="000000"/>
                <w:szCs w:val="21"/>
              </w:rPr>
              <w:t>分；</w:t>
            </w:r>
          </w:p>
          <w:p w14:paraId="2610EB8A">
            <w:pPr>
              <w:suppressAutoHyphens/>
              <w:bidi w:val="0"/>
              <w:spacing w:line="38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措施方案符合要求，但内容不完整的得</w:t>
            </w:r>
            <w:r>
              <w:rPr>
                <w:rFonts w:hint="eastAsia" w:ascii="仿宋" w:hAnsi="仿宋" w:eastAsia="仿宋" w:cs="仿宋"/>
                <w:color w:val="000000"/>
                <w:szCs w:val="21"/>
                <w:lang w:val="en-US" w:eastAsia="zh-CN"/>
              </w:rPr>
              <w:t>2-0</w:t>
            </w:r>
            <w:r>
              <w:rPr>
                <w:rFonts w:hint="eastAsia" w:ascii="仿宋" w:hAnsi="仿宋" w:eastAsia="仿宋" w:cs="仿宋"/>
                <w:color w:val="000000"/>
                <w:szCs w:val="21"/>
              </w:rPr>
              <w:t>分。</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819FFB7">
            <w:pPr>
              <w:suppressAutoHyphens/>
              <w:bidi w:val="0"/>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35587AC">
            <w:pPr>
              <w:suppressAutoHyphens/>
              <w:bidi w:val="0"/>
              <w:spacing w:line="360" w:lineRule="auto"/>
              <w:jc w:val="center"/>
              <w:rPr>
                <w:rFonts w:hint="eastAsia" w:ascii="仿宋" w:hAnsi="仿宋" w:eastAsia="仿宋" w:cs="仿宋"/>
                <w:color w:val="000000"/>
                <w:szCs w:val="21"/>
                <w:lang w:val="en-US" w:eastAsia="zh-CN"/>
              </w:rPr>
            </w:pPr>
          </w:p>
        </w:tc>
      </w:tr>
      <w:tr w14:paraId="6282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1157" w:type="dxa"/>
            <w:vMerge w:val="continue"/>
            <w:tcBorders>
              <w:left w:val="single" w:color="auto" w:sz="4" w:space="0"/>
              <w:right w:val="single" w:color="auto" w:sz="4" w:space="0"/>
            </w:tcBorders>
            <w:noWrap w:val="0"/>
            <w:vAlign w:val="center"/>
          </w:tcPr>
          <w:p w14:paraId="410170A4">
            <w:pPr>
              <w:suppressAutoHyphens/>
              <w:bidi w:val="0"/>
              <w:spacing w:line="360" w:lineRule="auto"/>
              <w:jc w:val="center"/>
              <w:rPr>
                <w:rFonts w:hint="eastAsia" w:ascii="仿宋" w:hAnsi="仿宋" w:eastAsia="仿宋" w:cs="仿宋"/>
                <w:b/>
                <w:bCs/>
                <w:color w:val="000000"/>
                <w:szCs w:val="21"/>
              </w:rPr>
            </w:pPr>
          </w:p>
        </w:tc>
        <w:tc>
          <w:tcPr>
            <w:tcW w:w="6538" w:type="dxa"/>
            <w:tcBorders>
              <w:top w:val="single" w:color="auto" w:sz="4" w:space="0"/>
              <w:left w:val="single" w:color="auto" w:sz="4" w:space="0"/>
              <w:bottom w:val="single" w:color="auto" w:sz="4" w:space="0"/>
              <w:right w:val="single" w:color="auto" w:sz="4" w:space="0"/>
            </w:tcBorders>
            <w:noWrap w:val="0"/>
            <w:vAlign w:val="center"/>
          </w:tcPr>
          <w:p w14:paraId="0FBD6D66">
            <w:pPr>
              <w:suppressAutoHyphens/>
              <w:bidi w:val="0"/>
              <w:spacing w:line="38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7、安全教育及安全经营方案</w:t>
            </w:r>
          </w:p>
          <w:p w14:paraId="02C92083">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评委根据</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针对本项目</w:t>
            </w:r>
            <w:r>
              <w:rPr>
                <w:rFonts w:hint="eastAsia" w:ascii="仿宋" w:hAnsi="仿宋" w:eastAsia="仿宋" w:cs="仿宋"/>
                <w:color w:val="000000"/>
                <w:szCs w:val="21"/>
                <w:lang w:val="en-US" w:eastAsia="zh-CN"/>
              </w:rPr>
              <w:t>制定</w:t>
            </w:r>
            <w:r>
              <w:rPr>
                <w:rFonts w:hint="eastAsia" w:ascii="仿宋" w:hAnsi="仿宋" w:eastAsia="仿宋" w:cs="仿宋"/>
                <w:color w:val="000000"/>
                <w:szCs w:val="21"/>
              </w:rPr>
              <w:t>的安全教育、安全生产责任分配、安全事故善后措施及赔偿方案的合理性、全面性、可操作性进行评议（</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分）：</w:t>
            </w:r>
          </w:p>
          <w:p w14:paraId="7D84FB61">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措施方案符合要求，内容完整、充实的得</w:t>
            </w:r>
            <w:r>
              <w:rPr>
                <w:rFonts w:hint="eastAsia" w:ascii="仿宋" w:hAnsi="仿宋" w:eastAsia="仿宋" w:cs="仿宋"/>
                <w:color w:val="000000"/>
                <w:szCs w:val="21"/>
                <w:lang w:val="en-US" w:eastAsia="zh-CN"/>
              </w:rPr>
              <w:t>6-4.1</w:t>
            </w:r>
            <w:r>
              <w:rPr>
                <w:rFonts w:hint="eastAsia" w:ascii="仿宋" w:hAnsi="仿宋" w:eastAsia="仿宋" w:cs="仿宋"/>
                <w:color w:val="000000"/>
                <w:szCs w:val="21"/>
              </w:rPr>
              <w:t>分；</w:t>
            </w:r>
          </w:p>
          <w:p w14:paraId="5D105C01">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措施方案符合要求，内容完整，但有所欠缺的得</w:t>
            </w:r>
            <w:r>
              <w:rPr>
                <w:rFonts w:hint="eastAsia" w:ascii="仿宋" w:hAnsi="仿宋" w:eastAsia="仿宋" w:cs="仿宋"/>
                <w:color w:val="000000"/>
                <w:szCs w:val="21"/>
                <w:lang w:val="en-US" w:eastAsia="zh-CN"/>
              </w:rPr>
              <w:t>4-2.1</w:t>
            </w:r>
            <w:r>
              <w:rPr>
                <w:rFonts w:hint="eastAsia" w:ascii="仿宋" w:hAnsi="仿宋" w:eastAsia="仿宋" w:cs="仿宋"/>
                <w:color w:val="000000"/>
                <w:szCs w:val="21"/>
              </w:rPr>
              <w:t>分；</w:t>
            </w:r>
          </w:p>
          <w:p w14:paraId="58814F50">
            <w:pPr>
              <w:suppressAutoHyphens/>
              <w:bidi w:val="0"/>
              <w:spacing w:line="38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措施方案符合要求，但内容不完整的得</w:t>
            </w:r>
            <w:r>
              <w:rPr>
                <w:rFonts w:hint="eastAsia" w:ascii="仿宋" w:hAnsi="仿宋" w:eastAsia="仿宋" w:cs="仿宋"/>
                <w:color w:val="000000"/>
                <w:szCs w:val="21"/>
                <w:lang w:val="en-US" w:eastAsia="zh-CN"/>
              </w:rPr>
              <w:t>2-0</w:t>
            </w:r>
            <w:r>
              <w:rPr>
                <w:rFonts w:hint="eastAsia" w:ascii="仿宋" w:hAnsi="仿宋" w:eastAsia="仿宋" w:cs="仿宋"/>
                <w:color w:val="000000"/>
                <w:szCs w:val="21"/>
              </w:rPr>
              <w:t>分。</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048D2A7">
            <w:pPr>
              <w:suppressAutoHyphens/>
              <w:bidi w:val="0"/>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CC65398">
            <w:pPr>
              <w:suppressAutoHyphens/>
              <w:bidi w:val="0"/>
              <w:spacing w:line="360" w:lineRule="auto"/>
              <w:jc w:val="center"/>
              <w:rPr>
                <w:rFonts w:hint="eastAsia" w:ascii="仿宋" w:hAnsi="仿宋" w:eastAsia="仿宋" w:cs="仿宋"/>
                <w:color w:val="000000"/>
                <w:szCs w:val="21"/>
                <w:lang w:val="en-US" w:eastAsia="zh-CN"/>
              </w:rPr>
            </w:pPr>
          </w:p>
        </w:tc>
      </w:tr>
      <w:tr w14:paraId="3B5B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1157" w:type="dxa"/>
            <w:vMerge w:val="continue"/>
            <w:tcBorders>
              <w:left w:val="single" w:color="auto" w:sz="4" w:space="0"/>
              <w:right w:val="single" w:color="auto" w:sz="4" w:space="0"/>
            </w:tcBorders>
            <w:noWrap w:val="0"/>
            <w:vAlign w:val="center"/>
          </w:tcPr>
          <w:p w14:paraId="61D344FF">
            <w:pPr>
              <w:suppressAutoHyphens/>
              <w:bidi w:val="0"/>
              <w:spacing w:line="360" w:lineRule="auto"/>
              <w:jc w:val="center"/>
              <w:rPr>
                <w:rFonts w:hint="eastAsia" w:ascii="仿宋" w:hAnsi="仿宋" w:eastAsia="仿宋" w:cs="仿宋"/>
                <w:b/>
                <w:bCs/>
                <w:color w:val="000000"/>
                <w:szCs w:val="21"/>
              </w:rPr>
            </w:pPr>
          </w:p>
        </w:tc>
        <w:tc>
          <w:tcPr>
            <w:tcW w:w="6538" w:type="dxa"/>
            <w:tcBorders>
              <w:top w:val="single" w:color="auto" w:sz="4" w:space="0"/>
              <w:left w:val="single" w:color="auto" w:sz="4" w:space="0"/>
              <w:bottom w:val="single" w:color="auto" w:sz="4" w:space="0"/>
              <w:right w:val="single" w:color="auto" w:sz="4" w:space="0"/>
            </w:tcBorders>
            <w:noWrap w:val="0"/>
            <w:vAlign w:val="center"/>
          </w:tcPr>
          <w:p w14:paraId="7E0C50C3">
            <w:pPr>
              <w:suppressAutoHyphens/>
              <w:bidi w:val="0"/>
              <w:spacing w:line="38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8、工作创新方案</w:t>
            </w:r>
          </w:p>
          <w:p w14:paraId="49C5458C">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评委根据</w:t>
            </w:r>
            <w:r>
              <w:rPr>
                <w:rFonts w:hint="eastAsia" w:ascii="仿宋" w:hAnsi="仿宋" w:eastAsia="仿宋" w:cs="仿宋"/>
                <w:color w:val="000000"/>
                <w:szCs w:val="21"/>
                <w:lang w:eastAsia="zh-CN"/>
              </w:rPr>
              <w:t>投标人</w:t>
            </w:r>
            <w:r>
              <w:rPr>
                <w:rFonts w:hint="eastAsia" w:ascii="仿宋" w:hAnsi="仿宋" w:eastAsia="仿宋" w:cs="仿宋"/>
                <w:color w:val="000000"/>
                <w:szCs w:val="21"/>
              </w:rPr>
              <w:t>针对本项目实际制定的</w:t>
            </w:r>
            <w:r>
              <w:rPr>
                <w:rFonts w:hint="eastAsia" w:ascii="仿宋" w:hAnsi="仿宋" w:eastAsia="仿宋" w:cs="仿宋"/>
                <w:color w:val="000000"/>
                <w:szCs w:val="21"/>
                <w:lang w:val="en-US" w:eastAsia="zh-CN"/>
              </w:rPr>
              <w:t>日常保洁</w:t>
            </w:r>
            <w:r>
              <w:rPr>
                <w:rFonts w:hint="eastAsia" w:ascii="仿宋" w:hAnsi="仿宋" w:eastAsia="仿宋" w:cs="仿宋"/>
                <w:color w:val="000000"/>
                <w:szCs w:val="21"/>
              </w:rPr>
              <w:t>、作业措施、使用的设施设备等是否突破传统运作模式的创新方案进行评议（</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分）：</w:t>
            </w:r>
          </w:p>
          <w:p w14:paraId="20AF833F">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内容科学、合理、完善的得</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4.1</w:t>
            </w:r>
            <w:r>
              <w:rPr>
                <w:rFonts w:hint="eastAsia" w:ascii="仿宋" w:hAnsi="仿宋" w:eastAsia="仿宋" w:cs="仿宋"/>
                <w:color w:val="000000"/>
                <w:szCs w:val="21"/>
              </w:rPr>
              <w:t>分；</w:t>
            </w:r>
          </w:p>
          <w:p w14:paraId="185DF801">
            <w:pPr>
              <w:suppressAutoHyphens/>
              <w:bidi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基本能够满足采购需求的得</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2.1</w:t>
            </w:r>
            <w:r>
              <w:rPr>
                <w:rFonts w:hint="eastAsia" w:ascii="仿宋" w:hAnsi="仿宋" w:eastAsia="仿宋" w:cs="仿宋"/>
                <w:color w:val="000000"/>
                <w:szCs w:val="21"/>
              </w:rPr>
              <w:t>分；</w:t>
            </w:r>
          </w:p>
          <w:p w14:paraId="12DDFB8E">
            <w:pPr>
              <w:suppressAutoHyphens/>
              <w:bidi w:val="0"/>
              <w:spacing w:line="38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存在缺陷或不能满足采购需求的得</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-0分</w:t>
            </w:r>
            <w:r>
              <w:rPr>
                <w:rFonts w:hint="eastAsia" w:ascii="仿宋" w:hAnsi="仿宋" w:eastAsia="仿宋" w:cs="仿宋"/>
                <w:color w:val="000000"/>
                <w:szCs w:val="21"/>
                <w:lang w:eastAsia="zh-CN"/>
              </w:rPr>
              <w:t>。</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0F4963E">
            <w:pPr>
              <w:suppressAutoHyphens/>
              <w:bidi w:val="0"/>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6分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028AABA">
            <w:pPr>
              <w:suppressAutoHyphens/>
              <w:bidi w:val="0"/>
              <w:spacing w:line="360" w:lineRule="auto"/>
              <w:jc w:val="center"/>
              <w:rPr>
                <w:rFonts w:hint="eastAsia" w:ascii="仿宋" w:hAnsi="仿宋" w:eastAsia="仿宋" w:cs="仿宋"/>
                <w:color w:val="000000"/>
                <w:szCs w:val="21"/>
                <w:lang w:val="en-US" w:eastAsia="zh-CN"/>
              </w:rPr>
            </w:pPr>
          </w:p>
        </w:tc>
      </w:tr>
      <w:tr w14:paraId="12F3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1157" w:type="dxa"/>
            <w:vMerge w:val="restart"/>
            <w:noWrap w:val="0"/>
            <w:vAlign w:val="center"/>
          </w:tcPr>
          <w:p w14:paraId="29EFC01F">
            <w:pPr>
              <w:suppressAutoHyphens/>
              <w:bidi w:val="0"/>
              <w:spacing w:line="360" w:lineRule="auto"/>
              <w:jc w:val="center"/>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商务（8分）</w:t>
            </w:r>
          </w:p>
          <w:p w14:paraId="4760F6B5">
            <w:pPr>
              <w:widowControl/>
              <w:suppressAutoHyphens/>
              <w:bidi w:val="0"/>
              <w:spacing w:before="100" w:beforeAutospacing="1" w:after="100" w:afterAutospacing="1"/>
              <w:jc w:val="left"/>
              <w:outlineLvl w:val="1"/>
              <w:rPr>
                <w:rFonts w:hint="eastAsia" w:ascii="仿宋" w:hAnsi="仿宋" w:eastAsia="仿宋" w:cs="仿宋"/>
                <w:b/>
                <w:bCs/>
                <w:color w:val="000000"/>
                <w:kern w:val="0"/>
                <w:sz w:val="24"/>
                <w:szCs w:val="36"/>
                <w:lang w:val="en-US" w:eastAsia="zh-CN" w:bidi="ar-SA"/>
              </w:rPr>
            </w:pPr>
          </w:p>
        </w:tc>
        <w:tc>
          <w:tcPr>
            <w:tcW w:w="6538" w:type="dxa"/>
            <w:noWrap w:val="0"/>
            <w:vAlign w:val="center"/>
          </w:tcPr>
          <w:p w14:paraId="555447B8">
            <w:pPr>
              <w:suppressAutoHyphens/>
              <w:bidi w:val="0"/>
              <w:spacing w:line="38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1、体系认证</w:t>
            </w:r>
          </w:p>
          <w:p w14:paraId="4B079071">
            <w:pPr>
              <w:suppressAutoHyphens/>
              <w:bidi w:val="0"/>
              <w:spacing w:line="38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投标人具有质量管理体系认证证书的得1分；环境管理体系认证证书的得1分；职业健康安全管理体系认证证书的得1分；三项累计最高得3分。</w:t>
            </w:r>
            <w:r>
              <w:rPr>
                <w:rFonts w:hint="eastAsia" w:ascii="仿宋" w:hAnsi="仿宋" w:eastAsia="仿宋" w:cs="仿宋"/>
                <w:b/>
                <w:bCs/>
                <w:color w:val="000000"/>
                <w:szCs w:val="21"/>
                <w:lang w:val="en-US" w:eastAsia="zh-CN"/>
              </w:rPr>
              <w:t>（投标文件中提供中国国家认证认可监督管理委员会网上查询截图和证书复印件加盖公章）</w:t>
            </w:r>
          </w:p>
        </w:tc>
        <w:tc>
          <w:tcPr>
            <w:tcW w:w="862" w:type="dxa"/>
            <w:noWrap w:val="0"/>
            <w:vAlign w:val="center"/>
          </w:tcPr>
          <w:p w14:paraId="3A4EDEFD">
            <w:pPr>
              <w:suppressAutoHyphens/>
              <w:bidi w:val="0"/>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3分</w:t>
            </w:r>
          </w:p>
        </w:tc>
        <w:tc>
          <w:tcPr>
            <w:tcW w:w="720" w:type="dxa"/>
            <w:noWrap w:val="0"/>
            <w:vAlign w:val="center"/>
          </w:tcPr>
          <w:p w14:paraId="06E497C3">
            <w:pPr>
              <w:suppressAutoHyphens/>
              <w:bidi w:val="0"/>
              <w:spacing w:line="360" w:lineRule="auto"/>
              <w:jc w:val="center"/>
              <w:rPr>
                <w:rFonts w:hint="eastAsia" w:ascii="仿宋" w:hAnsi="仿宋" w:eastAsia="仿宋" w:cs="仿宋"/>
                <w:color w:val="000000"/>
                <w:szCs w:val="21"/>
                <w:lang w:val="en-US" w:eastAsia="zh-CN"/>
              </w:rPr>
            </w:pPr>
          </w:p>
        </w:tc>
      </w:tr>
      <w:tr w14:paraId="0B2B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1157" w:type="dxa"/>
            <w:vMerge w:val="continue"/>
            <w:noWrap w:val="0"/>
            <w:vAlign w:val="center"/>
          </w:tcPr>
          <w:p w14:paraId="12AD3478">
            <w:pPr>
              <w:suppressAutoHyphens/>
              <w:bidi w:val="0"/>
              <w:spacing w:line="360" w:lineRule="auto"/>
              <w:jc w:val="center"/>
              <w:rPr>
                <w:rFonts w:hint="eastAsia" w:ascii="仿宋" w:hAnsi="仿宋" w:eastAsia="仿宋" w:cs="仿宋"/>
                <w:b/>
                <w:bCs/>
                <w:color w:val="000000"/>
                <w:szCs w:val="21"/>
                <w:lang w:val="en-US" w:eastAsia="zh-CN"/>
              </w:rPr>
            </w:pPr>
          </w:p>
        </w:tc>
        <w:tc>
          <w:tcPr>
            <w:tcW w:w="6538" w:type="dxa"/>
            <w:noWrap w:val="0"/>
            <w:vAlign w:val="center"/>
          </w:tcPr>
          <w:p w14:paraId="7BCEB366">
            <w:pPr>
              <w:suppressAutoHyphens/>
              <w:bidi w:val="0"/>
              <w:spacing w:line="38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2、工作人员能力</w:t>
            </w:r>
          </w:p>
          <w:p w14:paraId="68FE219A">
            <w:pPr>
              <w:suppressAutoHyphens/>
              <w:bidi w:val="0"/>
              <w:spacing w:line="380" w:lineRule="exact"/>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szCs w:val="21"/>
                <w:lang w:val="en-US" w:eastAsia="zh-CN"/>
              </w:rPr>
              <w:t>投标人拟派项目的管理人员或工作人员有安全培训合格证书的得1分；</w:t>
            </w:r>
            <w:r>
              <w:rPr>
                <w:rFonts w:hint="eastAsia" w:ascii="仿宋" w:hAnsi="仿宋" w:eastAsia="仿宋" w:cs="仿宋"/>
                <w:b/>
                <w:bCs/>
                <w:color w:val="000000"/>
                <w:szCs w:val="21"/>
                <w:lang w:val="en-US" w:eastAsia="zh-CN"/>
              </w:rPr>
              <w:t>（投标文件中提供相应的证书及近开标日3个月的由投标人为其缴纳的有效社保证明复印件加盖公章）</w:t>
            </w:r>
          </w:p>
        </w:tc>
        <w:tc>
          <w:tcPr>
            <w:tcW w:w="862" w:type="dxa"/>
            <w:noWrap w:val="0"/>
            <w:vAlign w:val="center"/>
          </w:tcPr>
          <w:p w14:paraId="36AA2117">
            <w:pPr>
              <w:suppressAutoHyphens/>
              <w:bidi w:val="0"/>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1分</w:t>
            </w:r>
          </w:p>
        </w:tc>
        <w:tc>
          <w:tcPr>
            <w:tcW w:w="720" w:type="dxa"/>
            <w:noWrap w:val="0"/>
            <w:vAlign w:val="center"/>
          </w:tcPr>
          <w:p w14:paraId="03ACA710">
            <w:pPr>
              <w:suppressAutoHyphens/>
              <w:bidi w:val="0"/>
              <w:spacing w:line="360" w:lineRule="auto"/>
              <w:jc w:val="center"/>
              <w:rPr>
                <w:rFonts w:hint="eastAsia" w:ascii="仿宋" w:hAnsi="仿宋" w:eastAsia="仿宋" w:cs="仿宋"/>
                <w:color w:val="000000"/>
                <w:szCs w:val="21"/>
                <w:lang w:val="en-US" w:eastAsia="zh-CN"/>
              </w:rPr>
            </w:pPr>
          </w:p>
        </w:tc>
      </w:tr>
      <w:tr w14:paraId="6E1A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1157" w:type="dxa"/>
            <w:vMerge w:val="continue"/>
            <w:noWrap w:val="0"/>
            <w:vAlign w:val="center"/>
          </w:tcPr>
          <w:p w14:paraId="4FACD52E">
            <w:pPr>
              <w:suppressAutoHyphens/>
              <w:bidi w:val="0"/>
              <w:spacing w:line="360" w:lineRule="auto"/>
              <w:jc w:val="center"/>
              <w:rPr>
                <w:rFonts w:hint="eastAsia" w:ascii="仿宋" w:hAnsi="仿宋" w:eastAsia="仿宋" w:cs="仿宋"/>
                <w:b/>
                <w:bCs/>
                <w:color w:val="000000"/>
                <w:szCs w:val="21"/>
                <w:lang w:val="en-US" w:eastAsia="zh-CN"/>
              </w:rPr>
            </w:pPr>
          </w:p>
        </w:tc>
        <w:tc>
          <w:tcPr>
            <w:tcW w:w="6538" w:type="dxa"/>
            <w:noWrap w:val="0"/>
            <w:vAlign w:val="center"/>
          </w:tcPr>
          <w:p w14:paraId="0B8B7EDB">
            <w:pPr>
              <w:suppressAutoHyphens/>
              <w:bidi w:val="0"/>
              <w:spacing w:line="38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3、项目管理经验</w:t>
            </w:r>
          </w:p>
          <w:p w14:paraId="149C34A9">
            <w:pPr>
              <w:suppressAutoHyphens/>
              <w:bidi w:val="0"/>
              <w:spacing w:line="38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投标人拟投入本项目的项目管理人员具有垃圾中转站项目管理经验的得2分。</w:t>
            </w:r>
            <w:r>
              <w:rPr>
                <w:rFonts w:hint="eastAsia" w:ascii="仿宋" w:hAnsi="仿宋" w:eastAsia="仿宋" w:cs="仿宋"/>
                <w:b/>
                <w:bCs/>
                <w:color w:val="000000"/>
                <w:szCs w:val="21"/>
              </w:rPr>
              <w:t>（投标文件中提供</w:t>
            </w:r>
            <w:r>
              <w:rPr>
                <w:rFonts w:hint="eastAsia" w:ascii="仿宋" w:hAnsi="仿宋" w:eastAsia="仿宋" w:cs="仿宋"/>
                <w:b/>
                <w:bCs/>
                <w:color w:val="000000"/>
                <w:szCs w:val="21"/>
                <w:lang w:val="en-US" w:eastAsia="zh-CN"/>
              </w:rPr>
              <w:t>业主单位证明及近开标日3个月的由投标人为其缴纳的有效社保证明复印件加盖公章</w:t>
            </w:r>
            <w:r>
              <w:rPr>
                <w:rFonts w:hint="eastAsia" w:ascii="仿宋" w:hAnsi="仿宋" w:eastAsia="仿宋" w:cs="仿宋"/>
                <w:b/>
                <w:bCs/>
                <w:color w:val="000000"/>
                <w:szCs w:val="21"/>
              </w:rPr>
              <w:t>）</w:t>
            </w:r>
          </w:p>
        </w:tc>
        <w:tc>
          <w:tcPr>
            <w:tcW w:w="862" w:type="dxa"/>
            <w:noWrap w:val="0"/>
            <w:vAlign w:val="center"/>
          </w:tcPr>
          <w:p w14:paraId="19C691C7">
            <w:pPr>
              <w:suppressAutoHyphens/>
              <w:bidi w:val="0"/>
              <w:spacing w:line="360" w:lineRule="auto"/>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2分</w:t>
            </w:r>
          </w:p>
        </w:tc>
        <w:tc>
          <w:tcPr>
            <w:tcW w:w="720" w:type="dxa"/>
            <w:noWrap w:val="0"/>
            <w:vAlign w:val="center"/>
          </w:tcPr>
          <w:p w14:paraId="7E1E23CF">
            <w:pPr>
              <w:suppressAutoHyphens/>
              <w:bidi w:val="0"/>
              <w:spacing w:line="360" w:lineRule="auto"/>
              <w:jc w:val="center"/>
              <w:rPr>
                <w:rFonts w:hint="eastAsia" w:ascii="仿宋" w:hAnsi="仿宋" w:eastAsia="仿宋" w:cs="仿宋"/>
                <w:color w:val="000000"/>
                <w:szCs w:val="21"/>
                <w:lang w:val="en-US" w:eastAsia="zh-CN"/>
              </w:rPr>
            </w:pPr>
          </w:p>
        </w:tc>
      </w:tr>
      <w:tr w14:paraId="1690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1157" w:type="dxa"/>
            <w:vMerge w:val="continue"/>
            <w:noWrap w:val="0"/>
            <w:vAlign w:val="center"/>
          </w:tcPr>
          <w:p w14:paraId="44FA90E5">
            <w:pPr>
              <w:suppressAutoHyphens/>
              <w:bidi w:val="0"/>
              <w:spacing w:line="360" w:lineRule="auto"/>
              <w:jc w:val="center"/>
              <w:rPr>
                <w:rFonts w:hint="eastAsia" w:ascii="仿宋" w:hAnsi="仿宋" w:eastAsia="仿宋" w:cs="仿宋"/>
                <w:b/>
                <w:bCs/>
                <w:color w:val="000000"/>
                <w:szCs w:val="21"/>
                <w:lang w:val="en-US" w:eastAsia="zh-CN"/>
              </w:rPr>
            </w:pPr>
          </w:p>
        </w:tc>
        <w:tc>
          <w:tcPr>
            <w:tcW w:w="6538" w:type="dxa"/>
            <w:noWrap w:val="0"/>
            <w:vAlign w:val="center"/>
          </w:tcPr>
          <w:p w14:paraId="37521509">
            <w:pPr>
              <w:suppressAutoHyphens/>
              <w:bidi w:val="0"/>
              <w:spacing w:line="380" w:lineRule="exact"/>
              <w:rPr>
                <w:rFonts w:hint="eastAsia" w:ascii="仿宋" w:hAnsi="仿宋" w:eastAsia="仿宋" w:cs="仿宋"/>
                <w:color w:val="FF0000"/>
                <w:szCs w:val="21"/>
                <w:lang w:val="en-US" w:eastAsia="zh-CN"/>
              </w:rPr>
            </w:pPr>
            <w:r>
              <w:rPr>
                <w:rFonts w:hint="eastAsia" w:ascii="仿宋" w:hAnsi="仿宋" w:eastAsia="仿宋" w:cs="仿宋"/>
                <w:color w:val="000000"/>
                <w:szCs w:val="21"/>
                <w:lang w:val="en-US" w:eastAsia="zh-CN"/>
              </w:rPr>
              <w:t>4</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同类业绩</w:t>
            </w:r>
          </w:p>
          <w:p w14:paraId="51CA4F0A">
            <w:pPr>
              <w:suppressAutoHyphens/>
              <w:bidi w:val="0"/>
              <w:spacing w:line="38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eastAsia="zh-CN"/>
              </w:rPr>
              <w:t>投标</w:t>
            </w:r>
            <w:r>
              <w:rPr>
                <w:rFonts w:hint="eastAsia" w:ascii="仿宋" w:hAnsi="仿宋" w:eastAsia="仿宋" w:cs="仿宋"/>
                <w:color w:val="000000"/>
                <w:szCs w:val="21"/>
                <w:highlight w:val="none"/>
                <w:lang w:eastAsia="zh-CN"/>
              </w:rPr>
              <w:t>人</w:t>
            </w:r>
            <w:r>
              <w:rPr>
                <w:rFonts w:hint="eastAsia" w:ascii="仿宋" w:hAnsi="仿宋" w:eastAsia="仿宋" w:cs="仿宋"/>
                <w:color w:val="000000"/>
                <w:szCs w:val="21"/>
                <w:highlight w:val="none"/>
              </w:rPr>
              <w:t>20</w:t>
            </w:r>
            <w:r>
              <w:rPr>
                <w:rFonts w:hint="eastAsia" w:ascii="仿宋" w:hAnsi="仿宋" w:eastAsia="仿宋" w:cs="仿宋"/>
                <w:color w:val="000000"/>
                <w:szCs w:val="21"/>
                <w:highlight w:val="none"/>
                <w:lang w:val="en-US" w:eastAsia="zh-CN"/>
              </w:rPr>
              <w:t>22</w:t>
            </w:r>
            <w:r>
              <w:rPr>
                <w:rFonts w:hint="eastAsia" w:ascii="仿宋" w:hAnsi="仿宋" w:eastAsia="仿宋" w:cs="仿宋"/>
                <w:color w:val="000000"/>
                <w:szCs w:val="21"/>
                <w:highlight w:val="none"/>
              </w:rPr>
              <w:t>年1</w:t>
            </w:r>
            <w:r>
              <w:rPr>
                <w:rFonts w:hint="eastAsia" w:ascii="仿宋" w:hAnsi="仿宋" w:eastAsia="仿宋" w:cs="仿宋"/>
                <w:color w:val="000000"/>
                <w:szCs w:val="21"/>
              </w:rPr>
              <w:t>月1日以来（以合同签订日期为准），具有从事过中转站管理项目服务业绩的，每提供1个合同得</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分，</w:t>
            </w:r>
            <w:r>
              <w:rPr>
                <w:rFonts w:hint="eastAsia" w:ascii="仿宋" w:hAnsi="仿宋" w:eastAsia="仿宋" w:cs="仿宋"/>
                <w:color w:val="000000"/>
                <w:lang w:val="en-US" w:eastAsia="zh-CN"/>
              </w:rPr>
              <w:t>累计最高得</w:t>
            </w:r>
            <w:r>
              <w:rPr>
                <w:rFonts w:hint="eastAsia" w:ascii="仿宋" w:hAnsi="仿宋" w:eastAsia="仿宋" w:cs="仿宋"/>
                <w:color w:val="000000"/>
                <w:szCs w:val="21"/>
                <w:lang w:val="en-US" w:eastAsia="zh-CN"/>
              </w:rPr>
              <w:t>2分</w:t>
            </w:r>
            <w:r>
              <w:rPr>
                <w:rFonts w:hint="eastAsia" w:ascii="仿宋" w:hAnsi="仿宋" w:eastAsia="仿宋" w:cs="仿宋"/>
                <w:color w:val="000000"/>
                <w:szCs w:val="21"/>
                <w:lang w:eastAsia="zh-CN"/>
              </w:rPr>
              <w:t>。</w:t>
            </w:r>
            <w:r>
              <w:rPr>
                <w:rFonts w:hint="eastAsia" w:ascii="仿宋" w:hAnsi="仿宋" w:eastAsia="仿宋" w:cs="仿宋"/>
                <w:b/>
                <w:bCs/>
                <w:color w:val="000000"/>
                <w:szCs w:val="21"/>
              </w:rPr>
              <w:t>（</w:t>
            </w:r>
            <w:r>
              <w:rPr>
                <w:rFonts w:hint="eastAsia" w:ascii="仿宋" w:hAnsi="仿宋" w:eastAsia="仿宋" w:cs="仿宋"/>
                <w:b/>
                <w:bCs/>
                <w:color w:val="000000"/>
                <w:lang w:val="en-US" w:eastAsia="zh-CN"/>
              </w:rPr>
              <w:t>投标文件</w:t>
            </w:r>
            <w:r>
              <w:rPr>
                <w:rFonts w:hint="eastAsia" w:ascii="仿宋" w:hAnsi="仿宋" w:eastAsia="仿宋" w:cs="仿宋"/>
                <w:b/>
                <w:bCs/>
                <w:color w:val="000000"/>
                <w:szCs w:val="21"/>
              </w:rPr>
              <w:t>中提供合同复印件加盖公章）</w:t>
            </w:r>
          </w:p>
        </w:tc>
        <w:tc>
          <w:tcPr>
            <w:tcW w:w="862" w:type="dxa"/>
            <w:noWrap w:val="0"/>
            <w:vAlign w:val="center"/>
          </w:tcPr>
          <w:p w14:paraId="7CED81AA">
            <w:pPr>
              <w:suppressAutoHyphens/>
              <w:bidi w:val="0"/>
              <w:spacing w:line="360"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2分</w:t>
            </w:r>
          </w:p>
        </w:tc>
        <w:tc>
          <w:tcPr>
            <w:tcW w:w="720" w:type="dxa"/>
            <w:noWrap w:val="0"/>
            <w:vAlign w:val="center"/>
          </w:tcPr>
          <w:p w14:paraId="661FE184">
            <w:pPr>
              <w:suppressAutoHyphens/>
              <w:bidi w:val="0"/>
              <w:spacing w:line="360" w:lineRule="auto"/>
              <w:jc w:val="center"/>
              <w:rPr>
                <w:rFonts w:hint="eastAsia" w:ascii="仿宋" w:hAnsi="仿宋" w:eastAsia="仿宋" w:cs="仿宋"/>
                <w:color w:val="000000"/>
                <w:szCs w:val="21"/>
                <w:lang w:val="en-US" w:eastAsia="zh-CN"/>
              </w:rPr>
            </w:pPr>
          </w:p>
        </w:tc>
      </w:tr>
    </w:tbl>
    <w:p w14:paraId="169F6D9A">
      <w:pPr>
        <w:suppressAutoHyphens/>
        <w:bidi w:val="0"/>
        <w:snapToGrid w:val="0"/>
        <w:spacing w:line="280" w:lineRule="exact"/>
        <w:ind w:firstLine="422" w:firstLineChars="200"/>
        <w:rPr>
          <w:rFonts w:hint="eastAsia" w:ascii="仿宋" w:hAnsi="仿宋" w:eastAsia="仿宋" w:cs="仿宋"/>
          <w:b/>
          <w:color w:val="000000"/>
          <w:szCs w:val="21"/>
        </w:rPr>
      </w:pPr>
    </w:p>
    <w:p w14:paraId="10934973">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val="en-US" w:eastAsia="zh-CN"/>
        </w:rPr>
        <w:t>注：</w:t>
      </w:r>
      <w:r>
        <w:rPr>
          <w:rFonts w:hint="eastAsia" w:ascii="仿宋" w:hAnsi="仿宋" w:eastAsia="仿宋" w:cs="仿宋"/>
          <w:b/>
          <w:bCs/>
          <w:sz w:val="24"/>
        </w:rPr>
        <w:t>以上评分项目中的证书、合同、截图等</w:t>
      </w:r>
      <w:r>
        <w:rPr>
          <w:rFonts w:hint="eastAsia" w:ascii="仿宋" w:hAnsi="仿宋" w:eastAsia="仿宋" w:cs="仿宋"/>
          <w:b/>
          <w:bCs/>
          <w:sz w:val="24"/>
          <w:lang w:val="en-US" w:eastAsia="zh-CN"/>
        </w:rPr>
        <w:t>证明</w:t>
      </w:r>
      <w:r>
        <w:rPr>
          <w:rFonts w:hint="eastAsia" w:ascii="仿宋" w:hAnsi="仿宋" w:eastAsia="仿宋" w:cs="仿宋"/>
          <w:b/>
          <w:bCs/>
          <w:sz w:val="24"/>
        </w:rPr>
        <w:t>资料须在投标文件中提供扫描件（复印件），证书中有有效期要求的必须在有效期内。</w:t>
      </w:r>
    </w:p>
    <w:p w14:paraId="52AEC0B0">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kern w:val="0"/>
          <w:sz w:val="24"/>
          <w:lang w:val="zh-CN"/>
        </w:rPr>
        <w:t>供应商</w:t>
      </w:r>
      <w:r>
        <w:rPr>
          <w:rFonts w:hint="eastAsia" w:ascii="仿宋" w:hAnsi="仿宋" w:eastAsia="仿宋" w:cs="仿宋"/>
          <w:sz w:val="24"/>
        </w:rPr>
        <w:t>编制投标文件（商务技术文件部分）时，建议按此目录（序号和内容）提供评标标准相应的商务技术资料。</w:t>
      </w:r>
    </w:p>
    <w:p w14:paraId="22135EB0">
      <w:pPr>
        <w:snapToGrid w:val="0"/>
        <w:spacing w:line="360" w:lineRule="auto"/>
        <w:ind w:firstLine="482" w:firstLineChars="200"/>
        <w:rPr>
          <w:rFonts w:hint="eastAsia" w:ascii="仿宋" w:hAnsi="仿宋" w:eastAsia="仿宋" w:cs="仿宋"/>
          <w:b/>
          <w:sz w:val="32"/>
          <w:szCs w:val="20"/>
        </w:rPr>
      </w:pPr>
      <w:r>
        <w:rPr>
          <w:rFonts w:hint="eastAsia" w:ascii="仿宋" w:hAnsi="仿宋" w:eastAsia="仿宋" w:cs="仿宋"/>
          <w:b/>
          <w:bCs/>
          <w:sz w:val="24"/>
        </w:rPr>
        <w:t>评分办法前附表内的“</w:t>
      </w:r>
      <w:r>
        <w:rPr>
          <w:rFonts w:hint="eastAsia" w:ascii="仿宋" w:hAnsi="仿宋" w:eastAsia="仿宋" w:cs="仿宋"/>
          <w:b/>
          <w:bCs/>
          <w:sz w:val="24"/>
          <w:lang w:val="en-US" w:eastAsia="zh-CN"/>
        </w:rPr>
        <w:t>供应商</w:t>
      </w:r>
      <w:r>
        <w:rPr>
          <w:rFonts w:hint="eastAsia" w:ascii="仿宋" w:hAnsi="仿宋" w:eastAsia="仿宋" w:cs="仿宋"/>
          <w:b/>
          <w:bCs/>
          <w:sz w:val="24"/>
        </w:rPr>
        <w:t>”如未标注的统一按照“</w:t>
      </w:r>
      <w:r>
        <w:rPr>
          <w:rFonts w:hint="eastAsia" w:ascii="仿宋" w:hAnsi="仿宋" w:eastAsia="仿宋" w:cs="仿宋"/>
          <w:b/>
          <w:bCs/>
          <w:sz w:val="24"/>
          <w:lang w:val="en-US" w:eastAsia="zh-CN"/>
        </w:rPr>
        <w:t>供应商</w:t>
      </w:r>
      <w:r>
        <w:rPr>
          <w:rFonts w:hint="eastAsia" w:ascii="仿宋" w:hAnsi="仿宋" w:eastAsia="仿宋" w:cs="仿宋"/>
          <w:b/>
          <w:bCs/>
          <w:sz w:val="24"/>
        </w:rPr>
        <w:t>（联合体投标的指联合体任意一方）”理解。</w:t>
      </w:r>
    </w:p>
    <w:p w14:paraId="7FA43FF7">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一、评标方法</w:t>
      </w:r>
    </w:p>
    <w:p w14:paraId="2E3EB3A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1.本项目采用综合评分法。</w:t>
      </w:r>
      <w:r>
        <w:rPr>
          <w:rFonts w:hint="eastAsia" w:ascii="仿宋" w:hAnsi="仿宋" w:eastAsia="仿宋" w:cs="仿宋"/>
          <w:sz w:val="24"/>
        </w:rPr>
        <w:t>综合评分法，是指投标文件满足招标文件全部实质性要求，且按照评审因素的量化指标评审得分最高的供应商为中标候选人的评标方法。</w:t>
      </w:r>
    </w:p>
    <w:p w14:paraId="6966FA30">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二、评标标准</w:t>
      </w:r>
    </w:p>
    <w:p w14:paraId="4829C1F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2.评标标准。</w:t>
      </w:r>
      <w:r>
        <w:rPr>
          <w:rFonts w:hint="eastAsia" w:ascii="仿宋" w:hAnsi="仿宋" w:eastAsia="仿宋" w:cs="仿宋"/>
          <w:sz w:val="24"/>
        </w:rPr>
        <w:t>见评标办法前附表。</w:t>
      </w:r>
    </w:p>
    <w:p w14:paraId="54975DEF">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三、评标程序</w:t>
      </w:r>
    </w:p>
    <w:p w14:paraId="01EED418">
      <w:pPr>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本项目为两阶段评标，先评商务技术文件，公布商务技术文件评审结果后，评审报价文件。具体流程参照浙财采监(2015)13号文件规定的评标流程。</w:t>
      </w:r>
    </w:p>
    <w:p w14:paraId="4933663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3.1符合性审查。</w:t>
      </w:r>
      <w:r>
        <w:rPr>
          <w:rFonts w:hint="eastAsia" w:ascii="仿宋" w:hAnsi="仿宋" w:eastAsia="仿宋" w:cs="仿宋"/>
          <w:sz w:val="24"/>
        </w:rPr>
        <w:t>评标委员会应当对符合资格的供应商的投标文件进行符合性审查，以确定其是否满足招标文件的实质性要求。不满足招标文件的实质性要求的，投标无效。</w:t>
      </w:r>
    </w:p>
    <w:p w14:paraId="758FEB1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3.2商务技术评审。</w:t>
      </w:r>
      <w:r>
        <w:rPr>
          <w:rFonts w:hint="eastAsia" w:ascii="仿宋" w:hAnsi="仿宋" w:eastAsia="仿宋" w:cs="仿宋"/>
          <w:sz w:val="24"/>
        </w:rPr>
        <w:t>评标委员会应当按照招标文件中规定的评标方法和标准，对符合性审查合格的投标文件进行商务和技术评估。</w:t>
      </w:r>
    </w:p>
    <w:p w14:paraId="0F5DC32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3.3汇总商务技术得分。</w:t>
      </w:r>
      <w:r>
        <w:rPr>
          <w:rFonts w:hint="eastAsia" w:ascii="仿宋" w:hAnsi="仿宋" w:eastAsia="仿宋" w:cs="仿宋"/>
          <w:sz w:val="24"/>
        </w:rPr>
        <w:t>评标委员会各成员应当独立对每个供应商的商务和技术文件进行评价，并汇总商务技术得分情况。</w:t>
      </w:r>
    </w:p>
    <w:p w14:paraId="436F3CA0">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3.4报价评审。</w:t>
      </w:r>
    </w:p>
    <w:p w14:paraId="1CE62292">
      <w:pPr>
        <w:spacing w:line="360" w:lineRule="auto"/>
        <w:ind w:firstLine="480" w:firstLineChars="200"/>
        <w:rPr>
          <w:rFonts w:hint="eastAsia" w:ascii="仿宋" w:hAnsi="仿宋" w:eastAsia="仿宋" w:cs="仿宋"/>
          <w:sz w:val="24"/>
        </w:rPr>
      </w:pPr>
      <w:r>
        <w:rPr>
          <w:rFonts w:hint="eastAsia" w:ascii="仿宋" w:hAnsi="仿宋" w:eastAsia="仿宋" w:cs="仿宋"/>
          <w:sz w:val="24"/>
        </w:rPr>
        <w:t>3.4.1投标文件报价出现前后不一致的，按照下列规定修正：</w:t>
      </w:r>
    </w:p>
    <w:p w14:paraId="727E3572">
      <w:pPr>
        <w:spacing w:line="360" w:lineRule="auto"/>
        <w:ind w:firstLine="480" w:firstLineChars="200"/>
        <w:rPr>
          <w:rFonts w:hint="eastAsia" w:ascii="仿宋" w:hAnsi="仿宋" w:eastAsia="仿宋" w:cs="仿宋"/>
          <w:sz w:val="24"/>
        </w:rPr>
      </w:pPr>
      <w:r>
        <w:rPr>
          <w:rFonts w:hint="eastAsia" w:ascii="仿宋" w:hAnsi="仿宋" w:eastAsia="仿宋" w:cs="仿宋"/>
          <w:sz w:val="24"/>
        </w:rPr>
        <w:t>3.4.1.1电子交易平台生成的开标记录表(报价表)内容与投标文件中开标一览表(报价表)不一致的，以投标文件中开标一览表(报价表)为准；</w:t>
      </w:r>
    </w:p>
    <w:p w14:paraId="017677AB">
      <w:pPr>
        <w:spacing w:line="360" w:lineRule="auto"/>
        <w:ind w:firstLine="480" w:firstLineChars="200"/>
        <w:rPr>
          <w:rFonts w:hint="eastAsia" w:ascii="仿宋" w:hAnsi="仿宋" w:eastAsia="仿宋" w:cs="仿宋"/>
          <w:sz w:val="24"/>
        </w:rPr>
      </w:pPr>
      <w:r>
        <w:rPr>
          <w:rFonts w:hint="eastAsia" w:ascii="仿宋" w:hAnsi="仿宋" w:eastAsia="仿宋" w:cs="仿宋"/>
          <w:sz w:val="24"/>
        </w:rPr>
        <w:t>3.4.1.2投标文件中开标一览表(报价表)内容与投标文件中相应内容不一致的，以开标一览表(报价表)为准；</w:t>
      </w:r>
    </w:p>
    <w:p w14:paraId="531229BE">
      <w:pPr>
        <w:spacing w:line="360" w:lineRule="auto"/>
        <w:ind w:firstLine="480" w:firstLineChars="200"/>
        <w:rPr>
          <w:rFonts w:hint="eastAsia" w:ascii="仿宋" w:hAnsi="仿宋" w:eastAsia="仿宋" w:cs="仿宋"/>
          <w:sz w:val="24"/>
        </w:rPr>
      </w:pPr>
      <w:r>
        <w:rPr>
          <w:rFonts w:hint="eastAsia" w:ascii="仿宋" w:hAnsi="仿宋" w:eastAsia="仿宋" w:cs="仿宋"/>
          <w:sz w:val="24"/>
        </w:rPr>
        <w:t>3.4.1.3大写金额和小写金额不一致的，以大写金额为准;</w:t>
      </w:r>
    </w:p>
    <w:p w14:paraId="17E7C75F">
      <w:pPr>
        <w:spacing w:line="360" w:lineRule="auto"/>
        <w:ind w:firstLine="480" w:firstLineChars="200"/>
        <w:rPr>
          <w:rFonts w:hint="eastAsia" w:ascii="仿宋" w:hAnsi="仿宋" w:eastAsia="仿宋" w:cs="仿宋"/>
          <w:sz w:val="24"/>
        </w:rPr>
      </w:pPr>
      <w:r>
        <w:rPr>
          <w:rFonts w:hint="eastAsia" w:ascii="仿宋" w:hAnsi="仿宋" w:eastAsia="仿宋" w:cs="仿宋"/>
          <w:sz w:val="24"/>
        </w:rPr>
        <w:t>3.4.1.4单价金额小数点或者百分比有明显错位的，以开标一览表的总价为准，并修改单价;</w:t>
      </w:r>
    </w:p>
    <w:p w14:paraId="2198FBDF">
      <w:pPr>
        <w:spacing w:line="360" w:lineRule="auto"/>
        <w:ind w:firstLine="480" w:firstLineChars="200"/>
        <w:rPr>
          <w:rFonts w:hint="eastAsia" w:ascii="仿宋" w:hAnsi="仿宋" w:eastAsia="仿宋" w:cs="仿宋"/>
          <w:sz w:val="24"/>
        </w:rPr>
      </w:pPr>
      <w:r>
        <w:rPr>
          <w:rFonts w:hint="eastAsia" w:ascii="仿宋" w:hAnsi="仿宋" w:eastAsia="仿宋" w:cs="仿宋"/>
          <w:sz w:val="24"/>
        </w:rPr>
        <w:t>3.4.1.5总价金额与按单价汇总金额不一致的，以单价金额计算结果为准；</w:t>
      </w:r>
    </w:p>
    <w:p w14:paraId="1EBE5222">
      <w:pPr>
        <w:spacing w:line="360" w:lineRule="auto"/>
        <w:ind w:firstLine="480" w:firstLineChars="200"/>
        <w:rPr>
          <w:rFonts w:hint="eastAsia" w:ascii="仿宋" w:hAnsi="仿宋" w:eastAsia="仿宋" w:cs="仿宋"/>
          <w:sz w:val="24"/>
        </w:rPr>
      </w:pPr>
      <w:r>
        <w:rPr>
          <w:rFonts w:hint="eastAsia" w:ascii="仿宋" w:hAnsi="仿宋" w:eastAsia="仿宋" w:cs="仿宋"/>
          <w:sz w:val="24"/>
        </w:rPr>
        <w:t>3.4.1.6同时出现两种以上不一致的，按照3.4.1规定的顺序修正。修正后的报价按照财政部第87号令《政府采购货物和服务招标投标管理办法》第五十一条第二款的规定经供应商确认后产生约束力。</w:t>
      </w:r>
    </w:p>
    <w:p w14:paraId="44E2FCD4">
      <w:pPr>
        <w:spacing w:line="360" w:lineRule="auto"/>
        <w:ind w:firstLine="480" w:firstLineChars="200"/>
        <w:rPr>
          <w:rFonts w:hint="eastAsia" w:ascii="仿宋" w:hAnsi="仿宋" w:eastAsia="仿宋" w:cs="仿宋"/>
          <w:sz w:val="24"/>
        </w:rPr>
      </w:pPr>
      <w:r>
        <w:rPr>
          <w:rFonts w:hint="eastAsia" w:ascii="仿宋" w:hAnsi="仿宋" w:eastAsia="仿宋" w:cs="仿宋"/>
          <w:sz w:val="24"/>
        </w:rPr>
        <w:t>3.4.2投标文件出现不是唯一的、有选择性投标报价的，投标无效。</w:t>
      </w:r>
    </w:p>
    <w:p w14:paraId="34C799ED">
      <w:pPr>
        <w:spacing w:line="360" w:lineRule="auto"/>
        <w:ind w:firstLine="480" w:firstLineChars="200"/>
        <w:rPr>
          <w:rFonts w:hint="eastAsia" w:ascii="仿宋" w:hAnsi="仿宋" w:eastAsia="仿宋" w:cs="仿宋"/>
          <w:sz w:val="24"/>
        </w:rPr>
      </w:pPr>
      <w:r>
        <w:rPr>
          <w:rFonts w:hint="eastAsia" w:ascii="仿宋" w:hAnsi="仿宋" w:eastAsia="仿宋" w:cs="仿宋"/>
          <w:sz w:val="24"/>
        </w:rPr>
        <w:t>3.4.3投标报价超过招标文件中规定的预算金额或者最高限价的，投标无效。</w:t>
      </w:r>
    </w:p>
    <w:p w14:paraId="73CE0BE0">
      <w:pPr>
        <w:spacing w:line="360" w:lineRule="auto"/>
        <w:ind w:firstLine="480" w:firstLineChars="200"/>
        <w:rPr>
          <w:rFonts w:hint="eastAsia" w:ascii="仿宋" w:hAnsi="仿宋" w:eastAsia="仿宋" w:cs="仿宋"/>
          <w:sz w:val="24"/>
        </w:rPr>
      </w:pPr>
      <w:r>
        <w:rPr>
          <w:rFonts w:hint="eastAsia" w:ascii="仿宋" w:hAnsi="仿宋" w:eastAsia="仿宋" w:cs="仿宋"/>
          <w:sz w:val="24"/>
        </w:rPr>
        <w:t>3.4.4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5847B0F0">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3.4.5对于未预留份额专门面向中小企业的政府采购货物或服务项目，以及预留份额政府采购货物或服务项目中的非预留部分标项，对小型和微型企业的投标报价</w:t>
      </w:r>
      <w:r>
        <w:rPr>
          <w:rFonts w:hint="eastAsia" w:ascii="仿宋" w:hAnsi="仿宋" w:eastAsia="仿宋" w:cs="仿宋"/>
          <w:sz w:val="24"/>
          <w:highlight w:val="none"/>
        </w:rPr>
        <w:t>给予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的</w:t>
      </w:r>
      <w:r>
        <w:rPr>
          <w:rFonts w:hint="eastAsia" w:ascii="仿宋" w:hAnsi="仿宋" w:eastAsia="仿宋" w:cs="仿宋"/>
          <w:sz w:val="24"/>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7B338FE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3.5编写评标报告。</w:t>
      </w:r>
      <w:r>
        <w:rPr>
          <w:rFonts w:hint="eastAsia" w:ascii="仿宋" w:hAnsi="仿宋" w:eastAsia="仿宋" w:cs="仿宋"/>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B36292">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四、评标中的其他事项</w:t>
      </w:r>
    </w:p>
    <w:p w14:paraId="2F9E7C5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4.1投标澄清、说明或者补正。</w:t>
      </w:r>
      <w:r>
        <w:rPr>
          <w:rFonts w:hint="eastAsia" w:ascii="仿宋" w:hAnsi="仿宋" w:eastAsia="仿宋" w:cs="仿宋"/>
          <w:sz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为半小时，供应商已经明确表示澄清说明或补正完毕的除外。供应商的澄清、说明或者补正不得超出投标文件的范围或者改变投标文件的实质性内容。</w:t>
      </w:r>
    </w:p>
    <w:p w14:paraId="0E93C448">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4.2投标无效的情形。</w:t>
      </w:r>
    </w:p>
    <w:p w14:paraId="4540E831">
      <w:pPr>
        <w:spacing w:line="360" w:lineRule="auto"/>
        <w:ind w:firstLine="480" w:firstLineChars="200"/>
        <w:rPr>
          <w:rFonts w:hint="eastAsia" w:ascii="仿宋" w:hAnsi="仿宋" w:eastAsia="仿宋" w:cs="仿宋"/>
          <w:sz w:val="24"/>
        </w:rPr>
      </w:pPr>
      <w:r>
        <w:rPr>
          <w:rFonts w:hint="eastAsia" w:ascii="仿宋" w:hAnsi="仿宋" w:eastAsia="仿宋" w:cs="仿宋"/>
          <w:sz w:val="24"/>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必要的澄清、说明或者补正，但不得超出投标文件的范围或者改变投标文件的实质性内容。限期内不澄清说明补正或经澄清说明补正后仍不符合采购文件要求的，应认定其投标无效。投标人澄清说明补正投标文件后，不影响评标委员会对其投标文件所作的评价和评分结果。</w:t>
      </w:r>
    </w:p>
    <w:p w14:paraId="16F4DD98">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4.2.1在电子开评标时，如发现下列情形之一的，将被视为无效投标文件：</w:t>
      </w:r>
    </w:p>
    <w:p w14:paraId="6E7A6ED0">
      <w:pPr>
        <w:spacing w:line="360" w:lineRule="auto"/>
        <w:ind w:firstLine="480" w:firstLineChars="200"/>
        <w:rPr>
          <w:rFonts w:hint="eastAsia" w:ascii="仿宋" w:hAnsi="仿宋" w:eastAsia="仿宋" w:cs="仿宋"/>
          <w:sz w:val="24"/>
        </w:rPr>
      </w:pPr>
      <w:r>
        <w:rPr>
          <w:rFonts w:hint="eastAsia" w:ascii="仿宋" w:hAnsi="仿宋" w:eastAsia="仿宋" w:cs="仿宋"/>
          <w:sz w:val="24"/>
        </w:rPr>
        <w:t>4.2.1.1电子投标文件解密失败的；</w:t>
      </w:r>
    </w:p>
    <w:p w14:paraId="59A8F9BC">
      <w:pPr>
        <w:spacing w:line="360" w:lineRule="auto"/>
        <w:ind w:firstLine="480" w:firstLineChars="200"/>
        <w:rPr>
          <w:rFonts w:hint="eastAsia" w:ascii="仿宋" w:hAnsi="仿宋" w:eastAsia="仿宋" w:cs="仿宋"/>
          <w:sz w:val="24"/>
        </w:rPr>
      </w:pPr>
      <w:r>
        <w:rPr>
          <w:rFonts w:hint="eastAsia" w:ascii="仿宋" w:hAnsi="仿宋" w:eastAsia="仿宋" w:cs="仿宋"/>
          <w:sz w:val="24"/>
        </w:rPr>
        <w:t>4.2.1.2投标文件未按招标文件要求加密、签字、盖章的；</w:t>
      </w:r>
    </w:p>
    <w:p w14:paraId="710DBF3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4.2.2在资格审查、符合性审查和商务评审时，如发现下列情形之一的，将被视为无效投标文件：</w:t>
      </w:r>
    </w:p>
    <w:p w14:paraId="283B7E45">
      <w:pPr>
        <w:spacing w:line="360" w:lineRule="auto"/>
        <w:ind w:firstLine="480" w:firstLineChars="200"/>
        <w:rPr>
          <w:rFonts w:hint="eastAsia" w:ascii="仿宋" w:hAnsi="仿宋" w:eastAsia="仿宋" w:cs="仿宋"/>
          <w:sz w:val="24"/>
        </w:rPr>
      </w:pPr>
      <w:r>
        <w:rPr>
          <w:rFonts w:hint="eastAsia" w:ascii="仿宋" w:hAnsi="仿宋" w:eastAsia="仿宋" w:cs="仿宋"/>
          <w:sz w:val="24"/>
        </w:rPr>
        <w:t>4.2.2.1资格证明文件不全的或者不符合招标文件标明的资格要求的；</w:t>
      </w:r>
    </w:p>
    <w:p w14:paraId="3E6A9AAA">
      <w:pPr>
        <w:spacing w:line="360" w:lineRule="auto"/>
        <w:ind w:firstLine="480" w:firstLineChars="200"/>
        <w:rPr>
          <w:rFonts w:hint="eastAsia" w:ascii="仿宋" w:hAnsi="仿宋" w:eastAsia="仿宋" w:cs="仿宋"/>
          <w:sz w:val="24"/>
        </w:rPr>
      </w:pPr>
      <w:r>
        <w:rPr>
          <w:rFonts w:hint="eastAsia" w:ascii="仿宋" w:hAnsi="仿宋" w:eastAsia="仿宋" w:cs="仿宋"/>
          <w:sz w:val="24"/>
        </w:rPr>
        <w:t>4.2.2.2投标文件未按招标文件要求签署、盖章的；</w:t>
      </w:r>
    </w:p>
    <w:p w14:paraId="4AF0C36F">
      <w:pPr>
        <w:spacing w:line="360" w:lineRule="auto"/>
        <w:ind w:firstLine="480" w:firstLineChars="200"/>
        <w:rPr>
          <w:rFonts w:ascii="仿宋" w:hAnsi="仿宋" w:eastAsia="仿宋" w:cs="仿宋"/>
          <w:sz w:val="24"/>
        </w:rPr>
      </w:pPr>
      <w:r>
        <w:rPr>
          <w:rFonts w:hint="eastAsia" w:ascii="仿宋" w:hAnsi="仿宋" w:eastAsia="仿宋" w:cs="仿宋"/>
          <w:sz w:val="24"/>
        </w:rPr>
        <w:t>4.2.2.3 投标代表人未能出具身份证明或身份证明与法定代表授权委托书不符的。</w:t>
      </w:r>
    </w:p>
    <w:p w14:paraId="7C44CF70">
      <w:pPr>
        <w:spacing w:line="360" w:lineRule="auto"/>
        <w:ind w:firstLine="480" w:firstLineChars="200"/>
        <w:rPr>
          <w:rFonts w:hint="eastAsia" w:ascii="仿宋" w:hAnsi="仿宋" w:eastAsia="仿宋" w:cs="仿宋"/>
          <w:sz w:val="24"/>
        </w:rPr>
      </w:pPr>
      <w:r>
        <w:rPr>
          <w:rFonts w:hint="eastAsia" w:ascii="仿宋" w:hAnsi="仿宋" w:eastAsia="仿宋" w:cs="仿宋"/>
          <w:sz w:val="24"/>
        </w:rPr>
        <w:t>4.2.2.4投标文件格式不规范影响评审或者效力的、或者内容虚假的；</w:t>
      </w:r>
    </w:p>
    <w:p w14:paraId="035C3726">
      <w:pPr>
        <w:spacing w:line="360" w:lineRule="auto"/>
        <w:ind w:firstLine="480" w:firstLineChars="200"/>
        <w:rPr>
          <w:rFonts w:hint="eastAsia" w:ascii="仿宋" w:hAnsi="仿宋" w:eastAsia="仿宋" w:cs="仿宋"/>
          <w:sz w:val="24"/>
        </w:rPr>
      </w:pPr>
      <w:r>
        <w:rPr>
          <w:rFonts w:hint="eastAsia" w:ascii="仿宋" w:hAnsi="仿宋" w:eastAsia="仿宋" w:cs="仿宋"/>
          <w:sz w:val="24"/>
        </w:rPr>
        <w:t>4.2.2.5投标文件的实质性内容未使用中文表述、意思表述不明确、前后矛盾或者使用计量单位不符合招标文件要求的（经评标委员会认定并允许其当场更正的笔误除外）；</w:t>
      </w:r>
    </w:p>
    <w:p w14:paraId="197B6148">
      <w:pPr>
        <w:spacing w:line="360" w:lineRule="auto"/>
        <w:ind w:firstLine="480" w:firstLineChars="200"/>
        <w:rPr>
          <w:rFonts w:hint="eastAsia" w:ascii="仿宋" w:hAnsi="仿宋" w:eastAsia="仿宋" w:cs="仿宋"/>
          <w:sz w:val="24"/>
        </w:rPr>
      </w:pPr>
      <w:r>
        <w:rPr>
          <w:rFonts w:hint="eastAsia" w:ascii="仿宋" w:hAnsi="仿宋" w:eastAsia="仿宋" w:cs="仿宋"/>
          <w:sz w:val="24"/>
        </w:rPr>
        <w:t>4.2.2.6投标有效期、交货时间、质保期等商务条款不能满足招标文件要求的；</w:t>
      </w:r>
    </w:p>
    <w:p w14:paraId="5C876345">
      <w:pPr>
        <w:spacing w:line="360" w:lineRule="auto"/>
        <w:ind w:firstLine="480" w:firstLineChars="200"/>
        <w:rPr>
          <w:rFonts w:hint="eastAsia" w:ascii="仿宋" w:hAnsi="仿宋" w:eastAsia="仿宋" w:cs="仿宋"/>
          <w:sz w:val="24"/>
        </w:rPr>
      </w:pPr>
      <w:r>
        <w:rPr>
          <w:rFonts w:hint="eastAsia" w:ascii="仿宋" w:hAnsi="仿宋" w:eastAsia="仿宋" w:cs="仿宋"/>
          <w:sz w:val="24"/>
        </w:rPr>
        <w:t>4.2.2.7带“▲”的条款不能满足招标文件要求、未实质性响应招标文件要求或者投标文件有采购人不能接受的附加条件的；</w:t>
      </w:r>
    </w:p>
    <w:p w14:paraId="35B99C46">
      <w:pPr>
        <w:spacing w:line="360" w:lineRule="auto"/>
        <w:ind w:firstLine="480" w:firstLineChars="200"/>
        <w:rPr>
          <w:rFonts w:hint="eastAsia" w:ascii="仿宋" w:hAnsi="仿宋" w:eastAsia="仿宋" w:cs="仿宋"/>
          <w:sz w:val="24"/>
        </w:rPr>
      </w:pPr>
      <w:r>
        <w:rPr>
          <w:rFonts w:hint="eastAsia" w:ascii="仿宋" w:hAnsi="仿宋" w:eastAsia="仿宋" w:cs="仿宋"/>
          <w:sz w:val="24"/>
        </w:rPr>
        <w:t>4.2.2.8单位负责人为同一人或者存在直接控股、管理关系的不同供应商参加同一合同项下的政府采购活动的；</w:t>
      </w:r>
    </w:p>
    <w:p w14:paraId="78CC0EE5">
      <w:pPr>
        <w:spacing w:line="360" w:lineRule="auto"/>
        <w:ind w:firstLine="480" w:firstLineChars="200"/>
        <w:rPr>
          <w:rFonts w:hint="eastAsia" w:ascii="仿宋" w:hAnsi="仿宋" w:eastAsia="仿宋" w:cs="仿宋"/>
          <w:sz w:val="24"/>
        </w:rPr>
      </w:pPr>
      <w:r>
        <w:rPr>
          <w:rFonts w:hint="eastAsia" w:ascii="仿宋" w:hAnsi="仿宋" w:eastAsia="仿宋" w:cs="仿宋"/>
          <w:sz w:val="24"/>
        </w:rPr>
        <w:t>4.2.2.9为采购项目提供整体设计、规范编制或者项目管理、监理、检测等服务的供应商参加该采购项目的其他采购活动的；</w:t>
      </w:r>
    </w:p>
    <w:p w14:paraId="3B75067C">
      <w:pPr>
        <w:spacing w:line="360" w:lineRule="auto"/>
        <w:ind w:firstLine="480" w:firstLineChars="200"/>
        <w:rPr>
          <w:rFonts w:hint="eastAsia" w:ascii="仿宋" w:hAnsi="仿宋" w:eastAsia="仿宋" w:cs="仿宋"/>
          <w:sz w:val="24"/>
        </w:rPr>
      </w:pPr>
      <w:r>
        <w:rPr>
          <w:rFonts w:hint="eastAsia" w:ascii="仿宋" w:hAnsi="仿宋" w:eastAsia="仿宋" w:cs="仿宋"/>
          <w:sz w:val="24"/>
        </w:rPr>
        <w:t>4.2.2.10商务技术文件中出现本项目投标报价或单价的。</w:t>
      </w:r>
    </w:p>
    <w:p w14:paraId="3AC6951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4.2.3在技术评审时，如发现下列情形之一的，将被视为无效投标文件：</w:t>
      </w:r>
    </w:p>
    <w:p w14:paraId="0994C13E">
      <w:pPr>
        <w:spacing w:line="360" w:lineRule="auto"/>
        <w:ind w:firstLine="480" w:firstLineChars="200"/>
        <w:rPr>
          <w:rFonts w:hint="eastAsia" w:ascii="仿宋" w:hAnsi="仿宋" w:eastAsia="仿宋" w:cs="仿宋"/>
          <w:sz w:val="24"/>
        </w:rPr>
      </w:pPr>
      <w:r>
        <w:rPr>
          <w:rFonts w:hint="eastAsia" w:ascii="仿宋" w:hAnsi="仿宋" w:eastAsia="仿宋" w:cs="仿宋"/>
          <w:sz w:val="24"/>
        </w:rPr>
        <w:t>4.2.3.1未提供或未如实提供投标货物的技术参数，或者投标文件标明的响应或偏离与事实不符或虚假投标的；</w:t>
      </w:r>
    </w:p>
    <w:p w14:paraId="221D95C2">
      <w:pPr>
        <w:spacing w:line="360" w:lineRule="auto"/>
        <w:ind w:firstLine="480" w:firstLineChars="200"/>
        <w:rPr>
          <w:rFonts w:hint="eastAsia" w:ascii="仿宋" w:hAnsi="仿宋" w:eastAsia="仿宋" w:cs="仿宋"/>
          <w:sz w:val="24"/>
        </w:rPr>
      </w:pPr>
      <w:r>
        <w:rPr>
          <w:rFonts w:hint="eastAsia" w:ascii="仿宋" w:hAnsi="仿宋" w:eastAsia="仿宋" w:cs="仿宋"/>
          <w:sz w:val="24"/>
        </w:rPr>
        <w:t>4.2.3.2明显不符合招标文件要求的规格型号、质量标准，或者与招标文件中标“▲”的技术指标、主要功能项目发生实质性偏离的；</w:t>
      </w:r>
    </w:p>
    <w:p w14:paraId="7739677D">
      <w:pPr>
        <w:spacing w:line="360" w:lineRule="auto"/>
        <w:ind w:firstLine="480" w:firstLineChars="200"/>
        <w:rPr>
          <w:rFonts w:hint="eastAsia" w:ascii="仿宋" w:hAnsi="仿宋" w:eastAsia="仿宋" w:cs="仿宋"/>
          <w:sz w:val="24"/>
        </w:rPr>
      </w:pPr>
      <w:r>
        <w:rPr>
          <w:rFonts w:hint="eastAsia" w:ascii="仿宋" w:hAnsi="仿宋" w:eastAsia="仿宋" w:cs="仿宋"/>
          <w:sz w:val="24"/>
        </w:rPr>
        <w:t>4.2.3.3允许偏离的技术、性能指标或辅助功能项发生负偏离达</w:t>
      </w:r>
      <w:r>
        <w:rPr>
          <w:rFonts w:hint="eastAsia" w:ascii="仿宋" w:hAnsi="仿宋" w:eastAsia="仿宋" w:cs="仿宋"/>
          <w:sz w:val="24"/>
          <w:u w:val="single"/>
        </w:rPr>
        <w:t>/</w:t>
      </w:r>
      <w:r>
        <w:rPr>
          <w:rFonts w:hint="eastAsia" w:ascii="仿宋" w:hAnsi="仿宋" w:eastAsia="仿宋" w:cs="仿宋"/>
          <w:sz w:val="24"/>
        </w:rPr>
        <w:t>项（含）以上的；</w:t>
      </w:r>
    </w:p>
    <w:p w14:paraId="58626F0D">
      <w:pPr>
        <w:spacing w:line="360" w:lineRule="auto"/>
        <w:ind w:firstLine="480" w:firstLineChars="200"/>
        <w:rPr>
          <w:rFonts w:hint="eastAsia" w:ascii="仿宋" w:hAnsi="仿宋" w:eastAsia="仿宋" w:cs="仿宋"/>
          <w:sz w:val="24"/>
        </w:rPr>
      </w:pPr>
      <w:r>
        <w:rPr>
          <w:rFonts w:hint="eastAsia" w:ascii="仿宋" w:hAnsi="仿宋" w:eastAsia="仿宋" w:cs="仿宋"/>
          <w:sz w:val="24"/>
        </w:rPr>
        <w:t>4.2.3.4投标技术方案不明确，存在一个或一个以上备选（替代）投标方案的；</w:t>
      </w:r>
    </w:p>
    <w:p w14:paraId="574548F3">
      <w:pPr>
        <w:spacing w:line="360" w:lineRule="auto"/>
        <w:ind w:firstLine="480" w:firstLineChars="200"/>
        <w:rPr>
          <w:rFonts w:hint="eastAsia" w:ascii="仿宋" w:hAnsi="仿宋" w:eastAsia="仿宋" w:cs="仿宋"/>
          <w:sz w:val="24"/>
        </w:rPr>
      </w:pPr>
      <w:r>
        <w:rPr>
          <w:rFonts w:hint="eastAsia" w:ascii="仿宋" w:hAnsi="仿宋" w:eastAsia="仿宋" w:cs="仿宋"/>
          <w:sz w:val="24"/>
        </w:rPr>
        <w:t>4.2.3.5与其他参加本次投标供应商的投标文件（技术文件）的文字表述内容差错相同2处以上的；</w:t>
      </w:r>
    </w:p>
    <w:p w14:paraId="37803920">
      <w:pPr>
        <w:spacing w:line="360" w:lineRule="auto"/>
        <w:ind w:firstLine="480" w:firstLineChars="200"/>
        <w:rPr>
          <w:rFonts w:hint="eastAsia" w:ascii="仿宋" w:hAnsi="仿宋" w:eastAsia="仿宋" w:cs="仿宋"/>
          <w:sz w:val="24"/>
        </w:rPr>
      </w:pPr>
      <w:r>
        <w:rPr>
          <w:rFonts w:hint="eastAsia" w:ascii="仿宋" w:hAnsi="仿宋" w:eastAsia="仿宋" w:cs="仿宋"/>
          <w:sz w:val="24"/>
        </w:rPr>
        <w:t>4.2.3.6采购人拟采购的产品属于政府强制采购的节能产品品目清单范围的，供应商未按招标文件要求提供国家确定的认证机构出具的、处于有效期之内的节能产品认证证书的。</w:t>
      </w:r>
    </w:p>
    <w:p w14:paraId="2A7FBC6B">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4.2.4在报价评审时，如发现下列情形之一的，投标文件将被视为无效：</w:t>
      </w:r>
    </w:p>
    <w:p w14:paraId="03F4EE42">
      <w:pPr>
        <w:spacing w:line="360" w:lineRule="auto"/>
        <w:ind w:firstLine="480" w:firstLineChars="200"/>
        <w:rPr>
          <w:rFonts w:hint="eastAsia" w:ascii="仿宋" w:hAnsi="仿宋" w:eastAsia="仿宋" w:cs="仿宋"/>
          <w:sz w:val="24"/>
        </w:rPr>
      </w:pPr>
      <w:r>
        <w:rPr>
          <w:rFonts w:hint="eastAsia" w:ascii="仿宋" w:hAnsi="仿宋" w:eastAsia="仿宋" w:cs="仿宋"/>
          <w:sz w:val="24"/>
        </w:rPr>
        <w:t>4.2.4.1未采用人民币报价或者未按照招标文件标明的币种报价的；</w:t>
      </w:r>
    </w:p>
    <w:p w14:paraId="5DC25C2D">
      <w:pPr>
        <w:spacing w:line="360" w:lineRule="auto"/>
        <w:ind w:firstLine="480" w:firstLineChars="200"/>
        <w:rPr>
          <w:rFonts w:hint="eastAsia" w:ascii="仿宋" w:hAnsi="仿宋" w:eastAsia="仿宋" w:cs="仿宋"/>
          <w:sz w:val="24"/>
        </w:rPr>
      </w:pPr>
      <w:r>
        <w:rPr>
          <w:rFonts w:hint="eastAsia" w:ascii="仿宋" w:hAnsi="仿宋" w:eastAsia="仿宋" w:cs="仿宋"/>
          <w:sz w:val="24"/>
        </w:rPr>
        <w:t>4.2.4.2报价超出最高限价，或者超出采购预算金额的；</w:t>
      </w:r>
    </w:p>
    <w:p w14:paraId="707FB716">
      <w:pPr>
        <w:spacing w:line="360" w:lineRule="auto"/>
        <w:ind w:firstLine="480" w:firstLineChars="200"/>
        <w:rPr>
          <w:rFonts w:hint="eastAsia" w:ascii="仿宋" w:hAnsi="仿宋" w:eastAsia="仿宋" w:cs="仿宋"/>
          <w:sz w:val="24"/>
        </w:rPr>
      </w:pPr>
      <w:r>
        <w:rPr>
          <w:rFonts w:hint="eastAsia" w:ascii="仿宋" w:hAnsi="仿宋" w:eastAsia="仿宋" w:cs="仿宋"/>
          <w:sz w:val="24"/>
        </w:rPr>
        <w:t>4.2.4.3投标报价具有选择性的；</w:t>
      </w:r>
    </w:p>
    <w:p w14:paraId="0E9B1800">
      <w:pPr>
        <w:spacing w:line="360" w:lineRule="auto"/>
        <w:ind w:firstLine="480" w:firstLineChars="200"/>
        <w:rPr>
          <w:rFonts w:hint="eastAsia" w:ascii="仿宋" w:hAnsi="仿宋" w:eastAsia="仿宋" w:cs="仿宋"/>
          <w:sz w:val="24"/>
        </w:rPr>
      </w:pPr>
      <w:r>
        <w:rPr>
          <w:rFonts w:hint="eastAsia" w:ascii="仿宋" w:hAnsi="仿宋" w:eastAsia="仿宋" w:cs="仿宋"/>
          <w:sz w:val="24"/>
        </w:rPr>
        <w:t>4.2.4.4投标报价中出现缺项、漏项或被评标委员会认定为有可能影响产品质量或者不能诚信履约的且不能在合理的时间内证明其报价合理性的；</w:t>
      </w:r>
    </w:p>
    <w:p w14:paraId="2013671F">
      <w:pPr>
        <w:spacing w:line="360" w:lineRule="auto"/>
        <w:ind w:firstLine="480" w:firstLineChars="200"/>
        <w:rPr>
          <w:rFonts w:hint="eastAsia" w:ascii="仿宋" w:hAnsi="仿宋" w:eastAsia="仿宋" w:cs="仿宋"/>
          <w:sz w:val="24"/>
        </w:rPr>
      </w:pPr>
      <w:r>
        <w:rPr>
          <w:rFonts w:hint="eastAsia" w:ascii="仿宋" w:hAnsi="仿宋" w:eastAsia="仿宋" w:cs="仿宋"/>
          <w:sz w:val="24"/>
        </w:rPr>
        <w:t>4.2.4.5供应商对根据修正原则修正后的报价不确认的。</w:t>
      </w:r>
    </w:p>
    <w:p w14:paraId="1B938A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4.2.4.6评委会认为投标人报价明显低于其他通过符合性审查投标人的报价，有可能影响产品质量或者不能诚信履约的且投标人不能提交相关证明材料或提交的证明材料不被评委会认可，不能证明其报价合理性的；投标人应当做好详细且依据充分的成本测算资料,有下列情形之一的，将视为不合理报价；</w:t>
      </w:r>
    </w:p>
    <w:p w14:paraId="1920D1D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于低于最高限价50%的投标报价视为'过低报价'，评审委员会应当要求其在评标现场0.5小时内提供书面说明及相关证明材料，若投标人未提供或虽然提供了证明资料，但评审委员会三分之二以上成员认为其证明材料依据不合理的，由三分之二以上评委书面确认后，该报价不再作为评标基准价，且价格得分为0分；</w:t>
      </w:r>
    </w:p>
    <w:p w14:paraId="6BF6004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（2）评审委员会半数以上成员认为投标人的报价明显低于其他投标人报价的，投标人未在1小时内向评审委员会提供成本测算资料；</w:t>
      </w:r>
    </w:p>
    <w:p w14:paraId="591B32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（3）投标人虽然提供了成本测算资料，但测算内容不完整、或依据不充分、或评审委员会半数以上成员经分析认为其成本测算依据不合理或明显低于市场价。</w:t>
      </w:r>
    </w:p>
    <w:p w14:paraId="0E13931B">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highlight w:val="none"/>
        </w:rPr>
        <w:t>（4）特别说明：若存在多家投标人'过低报价'情形，提供书面说明及相关证明材料的投标人被认定为非'过低报价'的，高于该投标人投标报价的其他投标人未在规定时间内提供证明资料的应认定为有效</w:t>
      </w:r>
    </w:p>
    <w:p w14:paraId="76C803B7">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4.2.5其他无效情形：</w:t>
      </w:r>
    </w:p>
    <w:p w14:paraId="3342119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4.2.5.1两家或两家以上供应商提供的投标文件出自同一终端设备的，或在相同Internet主机分配地址（相同IP地址）获取招标文件或不同投标人的电子投标文件上传计算机的网卡 MAC 地址、 CPU 序列号和硬盘序列号等硬件信息相同的，且经询标澄清供应商无令人信服的理由和可靠证据证明其合理性的；</w:t>
      </w:r>
    </w:p>
    <w:p w14:paraId="43DB0210">
      <w:pPr>
        <w:spacing w:line="360" w:lineRule="auto"/>
        <w:ind w:firstLine="480" w:firstLineChars="200"/>
        <w:rPr>
          <w:rFonts w:hint="eastAsia" w:ascii="仿宋" w:hAnsi="仿宋" w:eastAsia="仿宋" w:cs="仿宋"/>
          <w:sz w:val="24"/>
        </w:rPr>
      </w:pPr>
      <w:r>
        <w:rPr>
          <w:rFonts w:hint="eastAsia" w:ascii="仿宋" w:hAnsi="仿宋" w:eastAsia="仿宋" w:cs="仿宋"/>
          <w:sz w:val="24"/>
        </w:rPr>
        <w:t>4.2.5.2法律、法规、规章（适用本市的）及省级以上规范性文件（适用本市的）规定的其他无效情形。</w:t>
      </w:r>
    </w:p>
    <w:p w14:paraId="1E62D0B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5.废标。</w:t>
      </w:r>
      <w:r>
        <w:rPr>
          <w:rFonts w:hint="eastAsia" w:ascii="仿宋" w:hAnsi="仿宋" w:eastAsia="仿宋" w:cs="仿宋"/>
          <w:sz w:val="24"/>
        </w:rPr>
        <w:t>根据《中华人民共和国政府采购法》第三十六条之规定，在采购中，出现下列情形之一的，应予废标：</w:t>
      </w:r>
    </w:p>
    <w:p w14:paraId="44E315C0">
      <w:pPr>
        <w:spacing w:line="360" w:lineRule="auto"/>
        <w:ind w:firstLine="480" w:firstLineChars="200"/>
        <w:rPr>
          <w:rFonts w:hint="eastAsia" w:ascii="仿宋" w:hAnsi="仿宋" w:eastAsia="仿宋" w:cs="仿宋"/>
          <w:sz w:val="24"/>
        </w:rPr>
      </w:pPr>
      <w:r>
        <w:rPr>
          <w:rFonts w:hint="eastAsia" w:ascii="仿宋" w:hAnsi="仿宋" w:eastAsia="仿宋" w:cs="仿宋"/>
          <w:sz w:val="24"/>
        </w:rPr>
        <w:t>5.1符合专业条件的供应商或者对招标文件作实质响应的供应商不足3家的；</w:t>
      </w:r>
    </w:p>
    <w:p w14:paraId="530880FC">
      <w:pPr>
        <w:spacing w:line="360" w:lineRule="auto"/>
        <w:ind w:firstLine="480" w:firstLineChars="200"/>
        <w:rPr>
          <w:rFonts w:hint="eastAsia" w:ascii="仿宋" w:hAnsi="仿宋" w:eastAsia="仿宋" w:cs="仿宋"/>
          <w:sz w:val="24"/>
        </w:rPr>
      </w:pPr>
      <w:r>
        <w:rPr>
          <w:rFonts w:hint="eastAsia" w:ascii="仿宋" w:hAnsi="仿宋" w:eastAsia="仿宋" w:cs="仿宋"/>
          <w:sz w:val="24"/>
        </w:rPr>
        <w:t>5.2出现影响采购公正的违法、违规行为的；</w:t>
      </w:r>
    </w:p>
    <w:p w14:paraId="3720BA15">
      <w:pPr>
        <w:spacing w:line="360" w:lineRule="auto"/>
        <w:ind w:firstLine="480" w:firstLineChars="200"/>
        <w:rPr>
          <w:rFonts w:hint="eastAsia" w:ascii="仿宋" w:hAnsi="仿宋" w:eastAsia="仿宋" w:cs="仿宋"/>
          <w:sz w:val="24"/>
        </w:rPr>
      </w:pPr>
      <w:r>
        <w:rPr>
          <w:rFonts w:hint="eastAsia" w:ascii="仿宋" w:hAnsi="仿宋" w:eastAsia="仿宋" w:cs="仿宋"/>
          <w:sz w:val="24"/>
        </w:rPr>
        <w:t>5.3供应商的报价均超过了采购预算，采购人不能支付的；</w:t>
      </w:r>
    </w:p>
    <w:p w14:paraId="1BCCFF63">
      <w:pPr>
        <w:spacing w:line="360" w:lineRule="auto"/>
        <w:ind w:firstLine="480" w:firstLineChars="200"/>
        <w:rPr>
          <w:rFonts w:hint="eastAsia" w:ascii="仿宋" w:hAnsi="仿宋" w:eastAsia="仿宋" w:cs="仿宋"/>
          <w:sz w:val="24"/>
        </w:rPr>
      </w:pPr>
      <w:r>
        <w:rPr>
          <w:rFonts w:hint="eastAsia" w:ascii="仿宋" w:hAnsi="仿宋" w:eastAsia="仿宋" w:cs="仿宋"/>
          <w:sz w:val="24"/>
        </w:rPr>
        <w:t>5.4因重大变故，采购任务取消的。</w:t>
      </w:r>
    </w:p>
    <w:p w14:paraId="66F5395A">
      <w:pPr>
        <w:spacing w:line="360" w:lineRule="auto"/>
        <w:ind w:firstLine="480" w:firstLineChars="200"/>
        <w:rPr>
          <w:rFonts w:hint="eastAsia" w:ascii="仿宋" w:hAnsi="仿宋" w:eastAsia="仿宋" w:cs="仿宋"/>
          <w:sz w:val="24"/>
        </w:rPr>
      </w:pPr>
      <w:r>
        <w:rPr>
          <w:rFonts w:hint="eastAsia" w:ascii="仿宋" w:hAnsi="仿宋" w:eastAsia="仿宋" w:cs="仿宋"/>
          <w:sz w:val="24"/>
        </w:rPr>
        <w:t>废标后，采购代理机构应当将废标理由通知所有供应商。</w:t>
      </w:r>
    </w:p>
    <w:p w14:paraId="027BEF0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6.修改招标文件，重新组织采购活动。</w:t>
      </w: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9AB1B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7.重新开展采购。</w:t>
      </w:r>
      <w:r>
        <w:rPr>
          <w:rFonts w:hint="eastAsia" w:ascii="仿宋" w:hAnsi="仿宋" w:eastAsia="仿宋" w:cs="仿宋"/>
          <w:sz w:val="24"/>
        </w:rPr>
        <w:t>有政府采购法第七十一条、第七十二条规定的违法行为之一，影响或者可能影响中标、成交结果的，依照下列规定处理：</w:t>
      </w:r>
    </w:p>
    <w:p w14:paraId="6066E58B">
      <w:pPr>
        <w:spacing w:line="360" w:lineRule="auto"/>
        <w:ind w:firstLine="480" w:firstLineChars="200"/>
        <w:rPr>
          <w:rFonts w:hint="eastAsia" w:ascii="仿宋" w:hAnsi="仿宋" w:eastAsia="仿宋" w:cs="仿宋"/>
          <w:sz w:val="24"/>
        </w:rPr>
      </w:pPr>
      <w:r>
        <w:rPr>
          <w:rFonts w:hint="eastAsia" w:ascii="仿宋" w:hAnsi="仿宋" w:eastAsia="仿宋" w:cs="仿宋"/>
          <w:sz w:val="24"/>
        </w:rPr>
        <w:t>7.1未确定中标或者中标人的，终止本次政府采购活动，重新开展政府采购活动。</w:t>
      </w:r>
    </w:p>
    <w:p w14:paraId="38D1A202">
      <w:pPr>
        <w:spacing w:line="360" w:lineRule="auto"/>
        <w:ind w:firstLine="480" w:firstLineChars="200"/>
        <w:rPr>
          <w:rFonts w:hint="eastAsia" w:ascii="仿宋" w:hAnsi="仿宋" w:eastAsia="仿宋" w:cs="仿宋"/>
          <w:sz w:val="24"/>
        </w:rPr>
      </w:pPr>
      <w:r>
        <w:rPr>
          <w:rFonts w:hint="eastAsia" w:ascii="仿宋" w:hAnsi="仿宋" w:eastAsia="仿宋" w:cs="仿宋"/>
          <w:sz w:val="24"/>
        </w:rPr>
        <w:t>7.2已确定中标或者中标人但尚未签订政府采购合同的，中标或者成交结果无效，重新开展政府采购活动。</w:t>
      </w:r>
    </w:p>
    <w:p w14:paraId="6B14FB1E">
      <w:pPr>
        <w:spacing w:line="360" w:lineRule="auto"/>
        <w:ind w:firstLine="480" w:firstLineChars="200"/>
        <w:rPr>
          <w:rFonts w:hint="eastAsia" w:ascii="仿宋" w:hAnsi="仿宋" w:eastAsia="仿宋" w:cs="仿宋"/>
          <w:sz w:val="24"/>
        </w:rPr>
      </w:pPr>
      <w:r>
        <w:rPr>
          <w:rFonts w:hint="eastAsia" w:ascii="仿宋" w:hAnsi="仿宋" w:eastAsia="仿宋" w:cs="仿宋"/>
          <w:sz w:val="24"/>
        </w:rPr>
        <w:t>7.3政府采购合同已签订但尚未履行的，撤销合同，重新开展政府采购活动。</w:t>
      </w:r>
    </w:p>
    <w:p w14:paraId="2049C4A7">
      <w:pPr>
        <w:spacing w:line="360" w:lineRule="auto"/>
        <w:ind w:firstLine="480" w:firstLineChars="200"/>
        <w:rPr>
          <w:rFonts w:hint="eastAsia" w:ascii="仿宋" w:hAnsi="仿宋" w:eastAsia="仿宋" w:cs="仿宋"/>
          <w:sz w:val="24"/>
        </w:rPr>
      </w:pPr>
      <w:r>
        <w:rPr>
          <w:rFonts w:hint="eastAsia" w:ascii="仿宋" w:hAnsi="仿宋" w:eastAsia="仿宋" w:cs="仿宋"/>
          <w:sz w:val="24"/>
        </w:rPr>
        <w:t>7.4政府采购合同已经履行，给采购人、供应商造成损失的，由责任人承担赔偿责任。</w:t>
      </w:r>
    </w:p>
    <w:p w14:paraId="2AE7B6AF">
      <w:pPr>
        <w:spacing w:line="360" w:lineRule="auto"/>
        <w:ind w:firstLine="480" w:firstLineChars="200"/>
        <w:rPr>
          <w:rFonts w:hint="eastAsia" w:ascii="仿宋" w:hAnsi="仿宋" w:eastAsia="仿宋" w:cs="仿宋"/>
          <w:sz w:val="24"/>
        </w:rPr>
      </w:pPr>
      <w:r>
        <w:rPr>
          <w:rFonts w:hint="eastAsia" w:ascii="仿宋" w:hAnsi="仿宋" w:eastAsia="仿宋" w:cs="仿宋"/>
          <w:sz w:val="24"/>
        </w:rPr>
        <w:t>7.5政府采购当事人有其他违反政府采购法或者政府采购法实施条例等法律法规规定的行为，经改正后仍然影响或者可能影响中标、成交结果或者依法被认定为中标、成交无效的，依照7.1-7.4规定处理。</w:t>
      </w:r>
      <w:bookmarkEnd w:id="26"/>
      <w:bookmarkStart w:id="395" w:name="第五部分"/>
      <w:bookmarkStart w:id="396" w:name="_Toc86217003"/>
    </w:p>
    <w:p w14:paraId="2E12C666">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36"/>
        </w:rPr>
        <w:br w:type="page"/>
      </w:r>
      <w:r>
        <w:rPr>
          <w:rFonts w:hint="eastAsia" w:ascii="仿宋" w:hAnsi="仿宋" w:eastAsia="仿宋" w:cs="仿宋"/>
          <w:b/>
          <w:sz w:val="36"/>
          <w:szCs w:val="20"/>
        </w:rPr>
        <w:t>第五部分   政府采购合同文本</w:t>
      </w:r>
    </w:p>
    <w:p w14:paraId="6FF1147A">
      <w:pPr>
        <w:spacing w:line="360" w:lineRule="auto"/>
        <w:rPr>
          <w:rFonts w:hint="eastAsia" w:ascii="仿宋" w:hAnsi="仿宋" w:eastAsia="仿宋" w:cs="仿宋"/>
          <w:sz w:val="24"/>
        </w:rPr>
      </w:pPr>
    </w:p>
    <w:p w14:paraId="560B7219">
      <w:pPr>
        <w:pStyle w:val="21"/>
        <w:ind w:firstLine="480"/>
        <w:rPr>
          <w:rFonts w:hint="eastAsia"/>
        </w:rPr>
      </w:pPr>
    </w:p>
    <w:p w14:paraId="25B2F36D">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B16638E">
      <w:pPr>
        <w:pStyle w:val="42"/>
        <w:ind w:firstLine="560"/>
        <w:rPr>
          <w:rFonts w:hint="eastAsia"/>
        </w:rPr>
      </w:pPr>
    </w:p>
    <w:p w14:paraId="29F00792">
      <w:pPr>
        <w:pStyle w:val="42"/>
        <w:ind w:firstLine="560"/>
        <w:rPr>
          <w:rFonts w:hint="eastAsia"/>
        </w:rPr>
      </w:pPr>
    </w:p>
    <w:p w14:paraId="42F89ECD">
      <w:pPr>
        <w:pStyle w:val="42"/>
        <w:ind w:firstLine="560"/>
      </w:pPr>
    </w:p>
    <w:p w14:paraId="1B218B31">
      <w:pPr>
        <w:pStyle w:val="12"/>
        <w:snapToGrid w:val="0"/>
        <w:spacing w:before="156" w:after="156" w:line="720" w:lineRule="exact"/>
        <w:jc w:val="center"/>
        <w:rPr>
          <w:rFonts w:hint="eastAsia" w:ascii="仿宋" w:hAnsi="仿宋" w:eastAsia="仿宋"/>
          <w:b/>
          <w:sz w:val="44"/>
          <w:szCs w:val="44"/>
          <w:lang w:eastAsia="zh-CN"/>
        </w:rPr>
      </w:pPr>
      <w:r>
        <w:rPr>
          <w:rFonts w:hint="eastAsia" w:ascii="仿宋" w:hAnsi="仿宋" w:eastAsia="仿宋"/>
          <w:b/>
          <w:sz w:val="44"/>
          <w:szCs w:val="44"/>
          <w:lang w:eastAsia="zh-CN"/>
        </w:rPr>
        <w:t>象山县中心城区垃圾中转站服务外包项目</w:t>
      </w:r>
    </w:p>
    <w:p w14:paraId="37427857">
      <w:pPr>
        <w:pStyle w:val="12"/>
        <w:snapToGrid w:val="0"/>
        <w:spacing w:before="156" w:after="156" w:line="720" w:lineRule="exact"/>
        <w:jc w:val="center"/>
        <w:rPr>
          <w:rFonts w:ascii="仿宋" w:hAnsi="仿宋" w:eastAsia="仿宋"/>
          <w:b/>
          <w:sz w:val="44"/>
          <w:szCs w:val="44"/>
        </w:rPr>
      </w:pPr>
      <w:r>
        <w:rPr>
          <w:rFonts w:hint="eastAsia" w:ascii="仿宋" w:hAnsi="仿宋" w:eastAsia="仿宋"/>
          <w:b/>
          <w:sz w:val="44"/>
          <w:szCs w:val="44"/>
        </w:rPr>
        <w:t>承包合同</w:t>
      </w:r>
    </w:p>
    <w:p w14:paraId="5277B9F0">
      <w:pPr>
        <w:pStyle w:val="35"/>
        <w:spacing w:before="120"/>
        <w:rPr>
          <w:rFonts w:hint="eastAsia" w:ascii="仿宋" w:hAnsi="仿宋" w:eastAsia="仿宋" w:cs="仿宋"/>
          <w:sz w:val="28"/>
          <w:szCs w:val="28"/>
        </w:rPr>
      </w:pPr>
    </w:p>
    <w:p w14:paraId="41F224CD"/>
    <w:p w14:paraId="6C804EDC">
      <w:pPr>
        <w:spacing w:line="360" w:lineRule="auto"/>
        <w:rPr>
          <w:rFonts w:ascii="仿宋" w:hAnsi="仿宋" w:eastAsia="仿宋" w:cs="仿宋"/>
          <w:sz w:val="28"/>
          <w:szCs w:val="28"/>
        </w:rPr>
      </w:pPr>
    </w:p>
    <w:p w14:paraId="095BE66E">
      <w:pPr>
        <w:spacing w:before="120" w:line="480" w:lineRule="auto"/>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lang w:eastAsia="zh-CN"/>
        </w:rPr>
        <w:t xml:space="preserve">象山县城市管理服务中心 </w:t>
      </w:r>
      <w:r>
        <w:rPr>
          <w:rFonts w:hint="eastAsia" w:ascii="仿宋" w:hAnsi="仿宋" w:eastAsia="仿宋" w:cs="仿宋"/>
          <w:sz w:val="28"/>
          <w:szCs w:val="28"/>
          <w:u w:val="single"/>
        </w:rPr>
        <w:t xml:space="preserve">               </w:t>
      </w:r>
    </w:p>
    <w:p w14:paraId="7F703E40">
      <w:pPr>
        <w:spacing w:before="120" w:line="480" w:lineRule="auto"/>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p>
    <w:p w14:paraId="5B0F5E67">
      <w:pPr>
        <w:spacing w:before="120" w:line="480" w:lineRule="auto"/>
        <w:rPr>
          <w:rFonts w:ascii="仿宋" w:hAnsi="仿宋" w:eastAsia="仿宋" w:cs="仿宋"/>
          <w:sz w:val="28"/>
          <w:szCs w:val="28"/>
        </w:rPr>
      </w:pPr>
    </w:p>
    <w:p w14:paraId="0F297FF0">
      <w:pPr>
        <w:spacing w:before="120" w:line="480" w:lineRule="auto"/>
        <w:rPr>
          <w:rFonts w:hint="eastAsia" w:ascii="仿宋" w:hAnsi="仿宋" w:eastAsia="仿宋" w:cs="仿宋"/>
          <w:sz w:val="28"/>
          <w:szCs w:val="28"/>
        </w:rPr>
      </w:pPr>
      <w:r>
        <w:rPr>
          <w:rFonts w:hint="eastAsia" w:ascii="仿宋" w:hAnsi="仿宋" w:eastAsia="仿宋" w:cs="仿宋"/>
          <w:sz w:val="28"/>
          <w:szCs w:val="28"/>
        </w:rPr>
        <w:t>签订地</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浙江</w:t>
      </w:r>
      <w:r>
        <w:rPr>
          <w:rFonts w:hint="eastAsia" w:ascii="仿宋" w:hAnsi="仿宋" w:eastAsia="仿宋" w:cs="仿宋"/>
          <w:sz w:val="28"/>
          <w:szCs w:val="28"/>
          <w:highlight w:val="none"/>
          <w:u w:val="single"/>
        </w:rPr>
        <w:t xml:space="preserve">象山  </w:t>
      </w:r>
      <w:r>
        <w:rPr>
          <w:rFonts w:hint="eastAsia" w:ascii="仿宋" w:hAnsi="仿宋" w:eastAsia="仿宋" w:cs="仿宋"/>
          <w:sz w:val="28"/>
          <w:szCs w:val="28"/>
          <w:u w:val="single"/>
        </w:rPr>
        <w:t xml:space="preserve">                          </w:t>
      </w:r>
    </w:p>
    <w:p w14:paraId="73A3DF12">
      <w:pPr>
        <w:spacing w:before="120" w:line="480" w:lineRule="auto"/>
        <w:rPr>
          <w:rFonts w:ascii="仿宋" w:hAnsi="仿宋" w:eastAsia="仿宋" w:cs="仿宋"/>
          <w:sz w:val="28"/>
          <w:szCs w:val="28"/>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D990BE6">
      <w:pPr>
        <w:pStyle w:val="12"/>
        <w:snapToGrid w:val="0"/>
        <w:spacing w:before="156" w:after="156" w:line="420" w:lineRule="exact"/>
        <w:jc w:val="center"/>
        <w:rPr>
          <w:rFonts w:hint="eastAsia" w:ascii="仿宋" w:hAnsi="仿宋" w:eastAsia="仿宋"/>
          <w:b/>
          <w:sz w:val="28"/>
          <w:szCs w:val="28"/>
          <w:lang w:eastAsia="zh-CN"/>
        </w:rPr>
      </w:pPr>
      <w:r>
        <w:rPr>
          <w:rFonts w:hint="eastAsia" w:ascii="仿宋" w:hAnsi="仿宋" w:eastAsia="仿宋" w:cs="仿宋"/>
          <w:sz w:val="24"/>
          <w:u w:val="single"/>
          <w:lang w:val="zh-CN"/>
        </w:rPr>
        <w:br w:type="page"/>
      </w:r>
      <w:r>
        <w:rPr>
          <w:rFonts w:hint="eastAsia" w:ascii="仿宋" w:hAnsi="仿宋" w:eastAsia="仿宋"/>
          <w:b/>
          <w:sz w:val="28"/>
          <w:szCs w:val="28"/>
          <w:lang w:eastAsia="zh-CN"/>
        </w:rPr>
        <w:t>象山县中心城区垃圾中转站服务外包项目</w:t>
      </w:r>
      <w:r>
        <w:rPr>
          <w:rFonts w:hint="eastAsia" w:ascii="仿宋" w:hAnsi="仿宋" w:eastAsia="仿宋"/>
          <w:b/>
          <w:sz w:val="28"/>
          <w:szCs w:val="28"/>
        </w:rPr>
        <w:t>承包合同</w:t>
      </w:r>
    </w:p>
    <w:p w14:paraId="269A1A0A">
      <w:pPr>
        <w:pStyle w:val="12"/>
        <w:snapToGrid w:val="0"/>
        <w:spacing w:before="156" w:after="156" w:line="420" w:lineRule="exact"/>
        <w:rPr>
          <w:rFonts w:hint="eastAsia" w:ascii="仿宋" w:hAnsi="仿宋" w:eastAsia="仿宋"/>
        </w:rPr>
      </w:pPr>
    </w:p>
    <w:p w14:paraId="77D1A5ED">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甲方（发包人）：</w:t>
      </w:r>
      <w:r>
        <w:rPr>
          <w:rFonts w:hint="eastAsia" w:ascii="仿宋" w:hAnsi="仿宋" w:eastAsia="仿宋" w:cs="仿宋"/>
          <w:sz w:val="24"/>
          <w:u w:val="single"/>
          <w:lang w:val="en-US" w:eastAsia="zh-CN"/>
        </w:rPr>
        <w:t xml:space="preserve">象山县城市管理服务中心 </w:t>
      </w:r>
      <w:r>
        <w:rPr>
          <w:rFonts w:hint="eastAsia" w:ascii="仿宋" w:hAnsi="仿宋" w:eastAsia="仿宋" w:cs="仿宋"/>
          <w:sz w:val="24"/>
          <w:lang w:val="en-US" w:eastAsia="zh-CN"/>
        </w:rPr>
        <w:t>（以下简称甲方）</w:t>
      </w:r>
    </w:p>
    <w:p w14:paraId="27238B3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乙方（承包人）：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（以下简称乙方）</w:t>
      </w:r>
    </w:p>
    <w:p w14:paraId="6347A17A">
      <w:pPr>
        <w:spacing w:line="360" w:lineRule="auto"/>
        <w:ind w:firstLine="480" w:firstLineChars="200"/>
        <w:rPr>
          <w:rFonts w:hint="eastAsia" w:ascii="仿宋" w:hAnsi="仿宋" w:eastAsia="仿宋" w:cs="仿宋"/>
          <w:sz w:val="24"/>
          <w:lang w:val="en-US" w:eastAsia="zh-CN"/>
        </w:rPr>
      </w:pPr>
    </w:p>
    <w:p w14:paraId="691EC0CA">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象山县中心城区垃圾中转站服务外包项目于2025年</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月</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日，在象山县公共资源交易中心进行政府采购招标活动，确定由乙方中标。根据《中华人民共和国民法典》、《中华人民共和国政府采购法》等相关法律法规之规定和政府采购结果，按照平等、自愿、公平、诚实信用和绿色的原则，就乙方向甲方提供垃圾中转站服务外包签订本协议，以兹共同遵守、全面履行。</w:t>
      </w:r>
    </w:p>
    <w:p w14:paraId="6F50A378">
      <w:pPr>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一、服务范围及作业要求</w:t>
      </w:r>
    </w:p>
    <w:p w14:paraId="396AA35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服务范围：对来薰中转站、白鹤中转站、第四中转站、大目湾中转站及大目山中转站进行日常运行管理，包括生活垃圾压缩处理、中转站除臭控臭、站内设备设施安全操作及资产保管、站内环境卫生及绿化的日常保洁、维护等工作,配备管理人员、工程维修人员、操作工及扫帚、畚斗、铁锹、雨靴、洗衣粉、消耗配件等日常性保洁工具用品。</w:t>
      </w:r>
    </w:p>
    <w:p w14:paraId="678255F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2、作业要求：</w:t>
      </w:r>
    </w:p>
    <w:p w14:paraId="21271F23">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乙方对垃圾中转站的管理、运行应当严格按照甲方规定的时间（来薰中转站4:00—22:00；第四中转站4:00—19:00；白鹤中转站4:00—19:00；大目湾中转站4:00—19:00；大目山中转站4:00—19:00）以及《象山县城市管理服务中心岗位责任管理考核办法》等规定确保中转站正常运行。</w:t>
      </w:r>
    </w:p>
    <w:p w14:paraId="73FDA4E5">
      <w:pPr>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二、经费拨付 </w:t>
      </w:r>
    </w:p>
    <w:p w14:paraId="3805F880">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1、服务经费</w:t>
      </w:r>
    </w:p>
    <w:p w14:paraId="1F49FFF1">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本年度合同总金额（含税）为人民币：</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（大写：</w:t>
      </w:r>
      <w:r>
        <w:rPr>
          <w:rFonts w:hint="eastAsia" w:ascii="仿宋" w:hAnsi="仿宋" w:eastAsia="仿宋" w:cs="仿宋"/>
          <w:sz w:val="24"/>
          <w:u w:val="single"/>
          <w:lang w:val="en-US" w:eastAsia="zh-CN"/>
        </w:rPr>
        <w:t xml:space="preserve">       元</w:t>
      </w:r>
      <w:r>
        <w:rPr>
          <w:rFonts w:hint="eastAsia" w:ascii="仿宋" w:hAnsi="仿宋" w:eastAsia="仿宋" w:cs="仿宋"/>
          <w:sz w:val="24"/>
          <w:u w:val="none"/>
          <w:lang w:val="en-US" w:eastAsia="zh-CN"/>
        </w:rPr>
        <w:t>）</w:t>
      </w:r>
      <w:r>
        <w:rPr>
          <w:rFonts w:hint="eastAsia" w:ascii="仿宋" w:hAnsi="仿宋" w:eastAsia="仿宋" w:cs="仿宋"/>
          <w:sz w:val="24"/>
          <w:lang w:val="en-US" w:eastAsia="zh-CN"/>
        </w:rPr>
        <w:t>。</w:t>
      </w:r>
    </w:p>
    <w:p w14:paraId="12915810">
      <w:pPr>
        <w:spacing w:line="360" w:lineRule="auto"/>
        <w:ind w:firstLine="480" w:firstLineChars="200"/>
        <w:rPr>
          <w:rFonts w:hint="eastAsia" w:ascii="仿宋" w:hAnsi="仿宋" w:eastAsia="仿宋" w:cs="仿宋"/>
          <w:sz w:val="24"/>
          <w:u w:val="none"/>
          <w:lang w:val="en-US" w:eastAsia="zh-CN"/>
        </w:rPr>
      </w:pPr>
      <w:r>
        <w:rPr>
          <w:rFonts w:hint="eastAsia" w:ascii="仿宋" w:hAnsi="仿宋" w:eastAsia="仿宋" w:cs="仿宋"/>
          <w:sz w:val="24"/>
          <w:lang w:val="en-US" w:eastAsia="zh-CN"/>
        </w:rPr>
        <w:t>包干价部分金额（含税）为人民币：</w:t>
      </w:r>
      <w:r>
        <w:rPr>
          <w:rFonts w:hint="eastAsia" w:ascii="仿宋" w:hAnsi="仿宋" w:eastAsia="仿宋" w:cs="仿宋"/>
          <w:sz w:val="24"/>
          <w:u w:val="single"/>
          <w:lang w:val="en-US" w:eastAsia="zh-CN"/>
        </w:rPr>
        <w:t xml:space="preserve"> ¥            </w:t>
      </w:r>
      <w:r>
        <w:rPr>
          <w:rFonts w:hint="eastAsia" w:ascii="仿宋" w:hAnsi="仿宋" w:eastAsia="仿宋" w:cs="仿宋"/>
          <w:sz w:val="24"/>
          <w:u w:val="none"/>
          <w:lang w:val="en-US" w:eastAsia="zh-CN"/>
        </w:rPr>
        <w:t>（大写：</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元），其中</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元（</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元）单独列为考核奖金。</w:t>
      </w:r>
    </w:p>
    <w:p w14:paraId="51A7BD6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按实结算部分维修暂列金部分金额（含税）为人民币：</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（大写：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元），维修折扣为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%。维修费用=∑实际维修金额X中标折扣。</w:t>
      </w:r>
    </w:p>
    <w:p w14:paraId="6E2121AD">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2、拨付方式及时间 </w:t>
      </w:r>
    </w:p>
    <w:p w14:paraId="33A2EF4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合同签订生效以及具备实施条件后7个工作日内，甲方向乙方支付总服务经费包干价部分的40%即</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元作为预付款（支付前乙方需提交等额预付款保函并经甲方认可）。</w:t>
      </w:r>
    </w:p>
    <w:p w14:paraId="7E881EE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lang w:val="en-US" w:eastAsia="zh-CN"/>
        </w:rPr>
        <w:t>服务经费和考核奖金按包干价部分的1/12按月拨付（其中预付款的20%在每月应付款项中予以抵扣，直至扣完为止），即前5个月应付服务经费和考核奖金为每月</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元，后7个月应付服务经费和考核奖金为每月</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元。甲方将根据本合同第五条考核措施的规定，对月服务经费和月考核奖金作相应扣减后拨付乙方实际数额。</w:t>
      </w:r>
      <w:r>
        <w:rPr>
          <w:rFonts w:hint="eastAsia" w:ascii="仿宋" w:hAnsi="仿宋" w:eastAsia="仿宋" w:cs="仿宋"/>
          <w:sz w:val="24"/>
          <w:highlight w:val="none"/>
          <w:lang w:val="en-US" w:eastAsia="zh-CN"/>
        </w:rPr>
        <w:t>维修费用根据维修清单按季度结算。</w:t>
      </w:r>
    </w:p>
    <w:p w14:paraId="50B6EFA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月服务经费、月考核奖金、维修费用均通过县城投集团下属公司（象山县顺鸿城市运营有限公司），开增值税专用发票进行结算,一般在次月5日前拨付，最后一笔月服务经费和月考核奖金在</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年</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月</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日前全部结清拨付。</w:t>
      </w:r>
    </w:p>
    <w:p w14:paraId="28B3714A">
      <w:pPr>
        <w:spacing w:line="360" w:lineRule="auto"/>
        <w:ind w:firstLine="482" w:firstLineChars="200"/>
        <w:rPr>
          <w:rFonts w:hint="eastAsia" w:ascii="仿宋" w:hAnsi="仿宋" w:eastAsia="仿宋" w:cs="仿宋"/>
          <w:b/>
          <w:bCs/>
          <w:i/>
          <w:iCs/>
          <w:sz w:val="24"/>
          <w:lang w:val="en-US" w:eastAsia="zh-CN"/>
        </w:rPr>
      </w:pPr>
      <w:r>
        <w:rPr>
          <w:rFonts w:hint="eastAsia" w:ascii="仿宋" w:hAnsi="仿宋" w:eastAsia="仿宋" w:cs="仿宋"/>
          <w:b/>
          <w:bCs/>
          <w:i/>
          <w:iCs/>
          <w:sz w:val="24"/>
          <w:lang w:val="en-US" w:eastAsia="zh-CN"/>
        </w:rPr>
        <w:t>如乙方明确表示无需预付款或者主动要求降低预付款比例的，以乙方意愿为准。</w:t>
      </w:r>
    </w:p>
    <w:p w14:paraId="0862C88B">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3、其他</w:t>
      </w:r>
    </w:p>
    <w:p w14:paraId="3A2F2A3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服务期内如遇国家政策最低工资、社保等调整，乙方需按要求进行调整，调整增加经费部分由乙方自行承担，甲方不予增补，其他因素（包括突击任务造成中转站加班运营增加）造成运营成本提高而产生的经费均由乙方自行承担。</w:t>
      </w:r>
    </w:p>
    <w:p w14:paraId="37DA940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（2）服务期内如遇国家政策变更、城市规划调整等事由，甲方可随时单方面收回部分或全部中转站运营权，也可增加中转站的运营权，经费按每座中转站的中标价按日结算。</w:t>
      </w:r>
    </w:p>
    <w:p w14:paraId="2EE98E3E">
      <w:pPr>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三、履约保证金</w:t>
      </w:r>
    </w:p>
    <w:p w14:paraId="040E7DD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1、履约保证金金额：合同总金额的1%，具体金额为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p w14:paraId="569380C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2、履约保证金形式：电汇、转账支票、银行保函、保险保单等；</w:t>
      </w:r>
    </w:p>
    <w:p w14:paraId="2EE21CD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3、履约保证金提交时间：合同签订后5个工作日内；</w:t>
      </w:r>
    </w:p>
    <w:p w14:paraId="731D90C0">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4、履约保证金的退还：在合同履行完毕，完成终交验收手续后一周内无息退还（如乙方未能履行合同规定的任何义务，甲方有权从履约保证金中优先受偿）；</w:t>
      </w:r>
    </w:p>
    <w:p w14:paraId="34A4A64D">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5、履约保证金在乙方履行合同规定义务期间必须保持有效，若发生履约保证金扣除情形的，在扣除后须补足履约保证金金额；</w:t>
      </w:r>
    </w:p>
    <w:p w14:paraId="353A2B79">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履约保证金不予退还或扣除情形：①因乙方原因导致本合同被解除的，乙方除承担相关责任外，甲方还将扣除乙方履约保证金。②因乙方经营不善而造成拖欠工人工资或其它违反劳动合同法等法律法规的，甲方有权从履约保证金中代付相关费用。③乙方损坏甲方设施、设备且不按规定赔偿，甲方有权从履约保证金中扣除相关赔偿费用；若损失超过履约保证金数额的，乙方还应当对超过部分予以赔偿。④乙方未能履行合同规定的任何义务给甲方造成直接或间接损失的，甲方有权直接从履约保证金中扣除。⑤乙方无正当理由拖延或拒绝履行合同规定的任何义务，经书面催告后在合理期限内仍不履行的，甲方有权扣除全部履约保证金，并另行追索违约赔偿金。⑥乙方提供的服务须和响应文件中所承诺的相符（合同中另有规定除外），如不符，并造成损失的，甲方有权从履约保证金中扣除。</w:t>
      </w:r>
    </w:p>
    <w:p w14:paraId="5552D606">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lang w:val="en-US" w:eastAsia="zh-CN"/>
        </w:rPr>
        <w:t>四、甲、乙双方的权利和义务</w:t>
      </w:r>
    </w:p>
    <w:p w14:paraId="2CCD3E57">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（一）甲方的权利和义务</w:t>
      </w:r>
    </w:p>
    <w:p w14:paraId="73E9974B">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1、甲方提供乙方运营中转站所需的主要设备设施、操作工具及场地。</w:t>
      </w:r>
    </w:p>
    <w:p w14:paraId="3EE8D8EB">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2、甲方有权要求乙方按照以下岗位、人数的要求安排保洁人员及分配工作内容：管理人员</w:t>
      </w:r>
      <w:r>
        <w:rPr>
          <w:rFonts w:hint="eastAsia" w:ascii="仿宋" w:hAnsi="仿宋" w:eastAsia="仿宋" w:cs="仿宋"/>
          <w:sz w:val="24"/>
          <w:u w:val="single"/>
          <w:lang w:val="en-US" w:eastAsia="zh-CN"/>
        </w:rPr>
        <w:t xml:space="preserve">  1 </w:t>
      </w:r>
      <w:r>
        <w:rPr>
          <w:rFonts w:hint="eastAsia" w:ascii="仿宋" w:hAnsi="仿宋" w:eastAsia="仿宋" w:cs="仿宋"/>
          <w:sz w:val="24"/>
          <w:lang w:val="en-US" w:eastAsia="zh-CN"/>
        </w:rPr>
        <w:t>人，维修人员</w:t>
      </w:r>
      <w:r>
        <w:rPr>
          <w:rFonts w:hint="eastAsia" w:ascii="仿宋" w:hAnsi="仿宋" w:eastAsia="仿宋" w:cs="仿宋"/>
          <w:sz w:val="24"/>
          <w:u w:val="single"/>
          <w:lang w:val="en-US" w:eastAsia="zh-CN"/>
        </w:rPr>
        <w:t xml:space="preserve"> 1 </w:t>
      </w:r>
      <w:r>
        <w:rPr>
          <w:rFonts w:hint="eastAsia" w:ascii="仿宋" w:hAnsi="仿宋" w:eastAsia="仿宋" w:cs="仿宋"/>
          <w:sz w:val="24"/>
          <w:lang w:val="en-US" w:eastAsia="zh-CN"/>
        </w:rPr>
        <w:t>人，操作工</w:t>
      </w:r>
      <w:r>
        <w:rPr>
          <w:rFonts w:hint="eastAsia" w:ascii="仿宋" w:hAnsi="仿宋" w:eastAsia="仿宋" w:cs="仿宋"/>
          <w:sz w:val="24"/>
          <w:u w:val="single"/>
          <w:lang w:val="en-US" w:eastAsia="zh-CN"/>
        </w:rPr>
        <w:t>16</w:t>
      </w:r>
      <w:r>
        <w:rPr>
          <w:rFonts w:hint="eastAsia" w:ascii="仿宋" w:hAnsi="仿宋" w:eastAsia="仿宋" w:cs="仿宋"/>
          <w:sz w:val="24"/>
          <w:lang w:val="en-US" w:eastAsia="zh-CN"/>
        </w:rPr>
        <w:t>人，共计</w:t>
      </w:r>
      <w:r>
        <w:rPr>
          <w:rFonts w:hint="eastAsia" w:ascii="仿宋" w:hAnsi="仿宋" w:eastAsia="仿宋" w:cs="仿宋"/>
          <w:sz w:val="24"/>
          <w:u w:val="single"/>
          <w:lang w:val="en-US" w:eastAsia="zh-CN"/>
        </w:rPr>
        <w:t>18</w:t>
      </w:r>
      <w:r>
        <w:rPr>
          <w:rFonts w:hint="eastAsia" w:ascii="仿宋" w:hAnsi="仿宋" w:eastAsia="仿宋" w:cs="仿宋"/>
          <w:sz w:val="24"/>
          <w:lang w:val="en-US" w:eastAsia="zh-CN"/>
        </w:rPr>
        <w:t>人。人员清单以附件形式提供。</w:t>
      </w:r>
    </w:p>
    <w:p w14:paraId="72923134">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3、甲方有权对乙方服务的保洁区域进行日常检查考核，并对乙方的保洁工作进行相应指导。</w:t>
      </w:r>
    </w:p>
    <w:p w14:paraId="7DA998F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4、垃圾压缩设备液压油、中转站水龙头、灯泡、水管、开关、插座、电线、拖把等更换费用由乙方承担 。</w:t>
      </w:r>
    </w:p>
    <w:p w14:paraId="5D87DF6A">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5、甲方需要在中转站处置生活垃圾以外的其他杂物的，乙方应无条件服从。</w:t>
      </w:r>
    </w:p>
    <w:p w14:paraId="3176C740">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6、乙方在服务期内如有下列情况其中之一的，甲方有权单方面解除本合同，并没收履约保证金：</w:t>
      </w:r>
    </w:p>
    <w:p w14:paraId="59196A2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（1）乙方未按甲方要求足额配备保洁人员，经甲方提出后15天未予改正的；</w:t>
      </w:r>
    </w:p>
    <w:p w14:paraId="48AC6874">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（2）乙方未按照甲方规定的时间以及中转站运行有关制度规定确保中转站正常运行，对甲方造成严重影响的；</w:t>
      </w:r>
    </w:p>
    <w:p w14:paraId="61C5B3D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（3）在象山县内举办重大活动期间，因乙方原因被新闻媒体曝光，对甲方造成严重负面影响的；</w:t>
      </w:r>
    </w:p>
    <w:p w14:paraId="60D8C7B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（4）乙方在收到甲方的限期整改通知单后，未在规定时间内采取积极、合理的整改措施或方案，情节特别严重的；</w:t>
      </w:r>
    </w:p>
    <w:p w14:paraId="45FB0E1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（5）乙方无故拖欠职工工资，影响工作正常开展，对五个垃圾中转站正常运行以及相应保洁区域的保洁质量的造成严重影响的；</w:t>
      </w:r>
    </w:p>
    <w:p w14:paraId="6875B111">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（6）乙方无故拖欠职工工资，影响工作正常开展，对五个垃圾中转站正常运行以及相应保洁区域的保洁质量的造成严重影响的；</w:t>
      </w:r>
    </w:p>
    <w:p w14:paraId="0F43565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（7）因乙方自身经营不善或乙方聘用的人员的原因，导致乙方无法履行本协议约定的工作内容的。</w:t>
      </w:r>
    </w:p>
    <w:p w14:paraId="4D56710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（二）乙方的权利和义务</w:t>
      </w:r>
    </w:p>
    <w:p w14:paraId="6BED9201">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1、乙方应在本合同签订后，甲方支付预付款前，一次性向甲方支付</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元作为履约保证金。</w:t>
      </w:r>
    </w:p>
    <w:p w14:paraId="0CDE646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2、乙方应当自行招聘所需的保洁人员，且按照甲方核定的人数、岗位足额配备相关保洁人员。</w:t>
      </w:r>
    </w:p>
    <w:p w14:paraId="79D8CF1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3、乙方应当按照有关规定为聘用的保洁人员办理社会保险，及时支付工资。</w:t>
      </w:r>
    </w:p>
    <w:p w14:paraId="32AF5E76">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4、乙方应严格按照甲方规定的时间以及中转站运行有关制度确保中转站正常运行。</w:t>
      </w:r>
    </w:p>
    <w:p w14:paraId="4D0731D7">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乙方应切实做好中转站内一切设备设施、责任区范围内环境卫生及绿化的日常维护保养工作（包括各设备设施的清洁、责任区内除臭、灭蝇及浇水、除虫、清理杂物、杂草等），绿地内不能自行种植其他植物。如因管理工作不到位、操作不当或维护工作不到位导致设备设施损坏、遗失的，维修、更换等费用由乙方全额承担，如因乙方原因造成甲方其他方面损失的，乙方应承担相应的赔偿责任。</w:t>
      </w:r>
    </w:p>
    <w:p w14:paraId="1960CD41">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6、乙方应自觉接受、配合甲方的工作指导、检查考核，并自觉做好县内各项大型活动期间的生活垃圾中转及其他临时性、突击性任务，不能因节假日拖延。</w:t>
      </w:r>
    </w:p>
    <w:p w14:paraId="05CE9454">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7、乙方不得将所服务的中转站运营权转包给其他法人及组织，也不得未经甲方同意单方面解除本合同。</w:t>
      </w:r>
    </w:p>
    <w:p w14:paraId="0D7798A5">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lang w:val="en-US" w:eastAsia="zh-CN"/>
        </w:rPr>
        <w:t>五、考核措施</w:t>
      </w:r>
    </w:p>
    <w:p w14:paraId="1A809BF6">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1、若乙方未按甲方的要求足额配备保洁人员，每缺一名人员,甲方可以按照相应岗位人员经费的2倍扣减乙方的服务经费。</w:t>
      </w:r>
    </w:p>
    <w:p w14:paraId="1CC5187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2、在服务期间内，因乙方原因被新闻媒体曝光批评一次，甲方将扣减乙方总服务经费的1%；县内重大活动期间被新闻媒体曝光，造成负面影响的，甲方将扣减乙方总服务经费的3%。</w:t>
      </w:r>
    </w:p>
    <w:p w14:paraId="26D06C8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3、乙方在规定的期限内，对甲方未采取积极、合理的整改措施或方案的，甲方将每次扣减经费500-3000元。</w:t>
      </w:r>
    </w:p>
    <w:p w14:paraId="6F6BB909">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4、若乙方服务的中转站内部环境卫生及运行状况未达到考核细则的要求，甲方将根据考核的具体成绩扣减乙方的月考核奖金，月考核奖总额为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元，扣完为止。</w:t>
      </w:r>
    </w:p>
    <w:p w14:paraId="49B7A749">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5、考核措施以《象山县城市管理服务中心岗位责任管理考核办法》为准并参照执行，如甲方根据实际情况对《象山县城市管理服务中心岗位责任管理考核办法》有调整的，乙方需无条件接受新的考核办法。</w:t>
      </w:r>
    </w:p>
    <w:p w14:paraId="54DCD128">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lang w:val="en-US" w:eastAsia="zh-CN"/>
        </w:rPr>
        <w:t>六、安全生产</w:t>
      </w:r>
    </w:p>
    <w:p w14:paraId="41A51883">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乙方应切实抓好安全生产，做好保洁人员的岗前培训及安全教育培训等工作。在作业过程中，所发生的安全事故（包括安全事故、劳动争议及各类纠纷处理等），均由乙方自行负责处理并承担相应责任，与甲方无涉。</w:t>
      </w:r>
    </w:p>
    <w:p w14:paraId="035AEF0E">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lang w:val="en-US" w:eastAsia="zh-CN"/>
        </w:rPr>
        <w:t>七、合同履行期限</w:t>
      </w:r>
    </w:p>
    <w:p w14:paraId="414C2869">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本项目服务期限从2025年</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月</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日至2028年</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月</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日止（共计3年），合同一年一签。经甲方考核合格，双方同意后，续签下一年度的合同。</w:t>
      </w:r>
    </w:p>
    <w:p w14:paraId="5A06467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第一阶段（第一年）合同：</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年</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月</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日至</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年</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月</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日止；</w:t>
      </w:r>
    </w:p>
    <w:p w14:paraId="329B7BD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第二阶段（第二年）合同：根据第一阶段合同履行情况，另行签订；</w:t>
      </w:r>
    </w:p>
    <w:p w14:paraId="5C7807BD">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第三阶段（第三年）合同：根据第二阶段合同履行情况，另行签订。</w:t>
      </w:r>
    </w:p>
    <w:p w14:paraId="5C10AB4F">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lang w:val="en-US" w:eastAsia="zh-CN"/>
        </w:rPr>
        <w:t>八、不可抗力事件处理</w:t>
      </w:r>
    </w:p>
    <w:p w14:paraId="37BB8DC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1、在合同有效期内，任何一方因不可抗力事件导致不能履行合同，则合同履行期可延长，其延长期与不可抗力影响期相同。</w:t>
      </w:r>
    </w:p>
    <w:p w14:paraId="6E7441D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2、不可抗力事件发生后，应立即通知对方，并寄送有关权威机构出具的证明。</w:t>
      </w:r>
    </w:p>
    <w:p w14:paraId="54A63E0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3、不可抗力事件延续120天以上，双方应通过友好协商，确定是否继续履行合同。</w:t>
      </w:r>
    </w:p>
    <w:p w14:paraId="475980F5">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lang w:val="en-US" w:eastAsia="zh-CN"/>
        </w:rPr>
        <w:t>九、诉讼</w:t>
      </w:r>
    </w:p>
    <w:p w14:paraId="78CD3D6A">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双方在执行合同中所发生的一切争议，应通过友好协商解决。如协商不成，可向甲方所在地法院起诉。</w:t>
      </w:r>
    </w:p>
    <w:p w14:paraId="5B1D88E0">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lang w:val="en-US" w:eastAsia="zh-CN"/>
        </w:rPr>
        <w:t>十、合同生效及其他</w:t>
      </w:r>
    </w:p>
    <w:p w14:paraId="1481C7D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1、合同经双方法定代表人或授权委托代理人签字、加盖单位公章后生效。</w:t>
      </w:r>
    </w:p>
    <w:p w14:paraId="6F6B2CA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2、合同执行中涉及采购资金和采购内容修改或补充的，须经财政部门审批，并签书面补充协议报政府采购监督管理部门备案，方可作为主合同不可分割的一部分。</w:t>
      </w:r>
    </w:p>
    <w:p w14:paraId="6D9D114C">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3、本合同未尽事宜，若采购文件有规定的，以采购文件为准，采购文件没有规定的，双方另行协商，并签署书面协议，该协议将作为本合同组成部分，与本合同具有同等的法律效力。</w:t>
      </w:r>
    </w:p>
    <w:p w14:paraId="5B93E53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4、本合同一式肆份，甲乙双方各执贰份。</w:t>
      </w:r>
    </w:p>
    <w:p w14:paraId="5BF35E8C">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5、下列文件构成本合同的组成部分，应该认为是一个整体，彼此相互解释，相互补充。若存在不一致的情形按照如下序号优先级进行解释。</w:t>
      </w:r>
    </w:p>
    <w:p w14:paraId="310F79E7">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（1）本合同书；</w:t>
      </w:r>
    </w:p>
    <w:p w14:paraId="04A7B831">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（2）中标通知书；</w:t>
      </w:r>
    </w:p>
    <w:p w14:paraId="2206592A">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（3）变更补充文件；</w:t>
      </w:r>
    </w:p>
    <w:p w14:paraId="64C5C0A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（4）招标文件（含澄清修改文件）；</w:t>
      </w:r>
    </w:p>
    <w:p w14:paraId="04430587">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（5）乙方投标文件（含澄清内容）；</w:t>
      </w:r>
    </w:p>
    <w:p w14:paraId="1C262E4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（6）甲乙双方商定的其他必要文件；</w:t>
      </w:r>
    </w:p>
    <w:p w14:paraId="086615C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（7）在项目实施过程中双方共同签署的补充与修正文件。</w:t>
      </w:r>
    </w:p>
    <w:p w14:paraId="7EF579F6">
      <w:pPr>
        <w:spacing w:line="360" w:lineRule="auto"/>
        <w:ind w:firstLine="480" w:firstLineChars="200"/>
        <w:rPr>
          <w:rFonts w:hint="eastAsia" w:ascii="仿宋" w:hAnsi="仿宋" w:eastAsia="仿宋" w:cs="仿宋"/>
          <w:sz w:val="24"/>
          <w:lang w:val="en-US" w:eastAsia="zh-CN"/>
        </w:rPr>
      </w:pPr>
    </w:p>
    <w:p w14:paraId="1CC910E1">
      <w:pPr>
        <w:spacing w:line="360" w:lineRule="auto"/>
        <w:ind w:firstLine="480" w:firstLineChars="200"/>
        <w:rPr>
          <w:rFonts w:hint="eastAsia" w:ascii="仿宋" w:hAnsi="仿宋" w:eastAsia="仿宋" w:cs="仿宋"/>
          <w:sz w:val="24"/>
          <w:lang w:val="en-US" w:eastAsia="zh-CN"/>
        </w:rPr>
      </w:pPr>
    </w:p>
    <w:p w14:paraId="31C4C9BD">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甲方（盖章）：                        乙方（盖章）： </w:t>
      </w:r>
    </w:p>
    <w:p w14:paraId="5F285695">
      <w:pPr>
        <w:spacing w:line="360" w:lineRule="auto"/>
        <w:ind w:firstLine="480" w:firstLineChars="200"/>
        <w:rPr>
          <w:rFonts w:hint="eastAsia" w:ascii="仿宋" w:hAnsi="仿宋" w:eastAsia="仿宋" w:cs="仿宋"/>
          <w:sz w:val="24"/>
          <w:lang w:val="en-US" w:eastAsia="zh-CN"/>
        </w:rPr>
      </w:pPr>
    </w:p>
    <w:p w14:paraId="73E94635">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法定代表人或授权人：                  法定代表人或授权人:</w:t>
      </w:r>
    </w:p>
    <w:p w14:paraId="65FF6070">
      <w:pPr>
        <w:spacing w:line="360" w:lineRule="auto"/>
        <w:ind w:firstLine="480" w:firstLineChars="200"/>
        <w:rPr>
          <w:rFonts w:hint="eastAsia" w:ascii="仿宋" w:hAnsi="仿宋" w:eastAsia="仿宋" w:cs="仿宋"/>
          <w:sz w:val="24"/>
          <w:lang w:val="en-US" w:eastAsia="zh-CN"/>
        </w:rPr>
      </w:pPr>
    </w:p>
    <w:p w14:paraId="6F977127">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签字：                                签字：</w:t>
      </w:r>
    </w:p>
    <w:p w14:paraId="0FBF684D">
      <w:pPr>
        <w:spacing w:line="360" w:lineRule="auto"/>
        <w:rPr>
          <w:rFonts w:hint="eastAsia" w:ascii="仿宋" w:hAnsi="仿宋" w:eastAsia="仿宋" w:cs="仿宋"/>
          <w:sz w:val="24"/>
          <w:lang w:val="en-US" w:eastAsia="zh-CN"/>
        </w:rPr>
      </w:pPr>
    </w:p>
    <w:p w14:paraId="5D250705">
      <w:pPr>
        <w:spacing w:line="360" w:lineRule="auto"/>
        <w:ind w:firstLine="5280" w:firstLineChars="2200"/>
        <w:rPr>
          <w:rFonts w:hint="eastAsia" w:ascii="仿宋" w:hAnsi="仿宋" w:eastAsia="仿宋" w:cs="仿宋"/>
          <w:sz w:val="24"/>
          <w:lang w:val="en-US" w:eastAsia="zh-CN"/>
        </w:rPr>
      </w:pPr>
      <w:r>
        <w:rPr>
          <w:rFonts w:hint="eastAsia" w:ascii="仿宋" w:hAnsi="仿宋" w:eastAsia="仿宋" w:cs="仿宋"/>
          <w:sz w:val="24"/>
          <w:lang w:val="en-US" w:eastAsia="zh-CN"/>
        </w:rPr>
        <w:t>年   月  日</w:t>
      </w:r>
    </w:p>
    <w:p w14:paraId="6FF47EDD">
      <w:pPr>
        <w:tabs>
          <w:tab w:val="left" w:pos="780"/>
        </w:tabs>
        <w:spacing w:line="360" w:lineRule="auto"/>
        <w:jc w:val="both"/>
        <w:outlineLvl w:val="1"/>
        <w:rPr>
          <w:rFonts w:hint="eastAsia" w:ascii="仿宋" w:hAnsi="仿宋" w:eastAsia="仿宋" w:cs="仿宋"/>
          <w:b/>
          <w:bCs/>
          <w:sz w:val="24"/>
          <w:szCs w:val="24"/>
          <w:lang w:val="en-US" w:eastAsia="zh-CN"/>
        </w:rPr>
        <w:sectPr>
          <w:pgSz w:w="11906" w:h="16838"/>
          <w:pgMar w:top="1274" w:right="850" w:bottom="1247" w:left="1701" w:header="851" w:footer="851" w:gutter="0"/>
          <w:pgNumType w:fmt="decimal"/>
          <w:cols w:space="720" w:num="1"/>
          <w:docGrid w:linePitch="312" w:charSpace="0"/>
        </w:sectPr>
      </w:pPr>
    </w:p>
    <w:p w14:paraId="43E18EAA">
      <w:pPr>
        <w:spacing w:line="360" w:lineRule="auto"/>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95"/>
      <w:r>
        <w:rPr>
          <w:rFonts w:hint="eastAsia" w:ascii="仿宋" w:hAnsi="仿宋" w:eastAsia="仿宋" w:cs="仿宋"/>
          <w:b/>
          <w:sz w:val="36"/>
          <w:szCs w:val="20"/>
        </w:rPr>
        <w:t xml:space="preserve">   </w:t>
      </w:r>
      <w:bookmarkEnd w:id="396"/>
      <w:r>
        <w:rPr>
          <w:rFonts w:hint="eastAsia" w:ascii="仿宋" w:hAnsi="仿宋" w:eastAsia="仿宋" w:cs="仿宋"/>
          <w:b/>
          <w:sz w:val="36"/>
          <w:szCs w:val="20"/>
        </w:rPr>
        <w:t>应提交的有关格式范例</w:t>
      </w:r>
    </w:p>
    <w:p w14:paraId="423D78B9">
      <w:pPr>
        <w:spacing w:line="360" w:lineRule="auto"/>
        <w:jc w:val="center"/>
        <w:rPr>
          <w:rFonts w:hint="eastAsia" w:ascii="仿宋" w:hAnsi="仿宋" w:eastAsia="仿宋" w:cs="仿宋"/>
          <w:b/>
          <w:kern w:val="0"/>
          <w:sz w:val="36"/>
          <w:szCs w:val="36"/>
        </w:rPr>
      </w:pPr>
    </w:p>
    <w:p w14:paraId="726AEF7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资格文件部分</w:t>
      </w:r>
    </w:p>
    <w:p w14:paraId="5598F959">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目录</w:t>
      </w:r>
    </w:p>
    <w:p w14:paraId="223B47FA">
      <w:pPr>
        <w:spacing w:line="360" w:lineRule="auto"/>
        <w:jc w:val="center"/>
        <w:rPr>
          <w:rFonts w:hint="eastAsia" w:ascii="仿宋" w:hAnsi="仿宋" w:eastAsia="仿宋" w:cs="仿宋"/>
          <w:b/>
          <w:kern w:val="0"/>
          <w:sz w:val="36"/>
          <w:szCs w:val="36"/>
        </w:rPr>
      </w:pPr>
    </w:p>
    <w:p w14:paraId="5E1041E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1.有效的企业法人营业执照（或事业法人登记证）、其他组织（个体工商户）的营业执照或者民办非企业单位登记证书；（联合体投标的联合体各方均需提供）。</w:t>
      </w:r>
    </w:p>
    <w:p w14:paraId="09862E09">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2.符合参加政府采购活动应当具备的一般条件的承诺函；（联合体投标的联合体各方均需提供）。</w:t>
      </w:r>
    </w:p>
    <w:p w14:paraId="6031B474">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.落实政府采购政策需满足的资格要求</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如有</w:t>
      </w:r>
      <w:r>
        <w:rPr>
          <w:rFonts w:hint="eastAsia" w:ascii="仿宋" w:hAnsi="仿宋" w:eastAsia="仿宋" w:cs="仿宋"/>
          <w:sz w:val="28"/>
          <w:szCs w:val="28"/>
        </w:rPr>
        <w:t>）；</w:t>
      </w:r>
    </w:p>
    <w:p w14:paraId="3C00CD8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3.1中小企业声明函；</w:t>
      </w:r>
    </w:p>
    <w:p w14:paraId="71423445">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3.2残疾人福利性单位声明函；</w:t>
      </w:r>
    </w:p>
    <w:p w14:paraId="2BE6D4AB">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3.3监狱企业的证明文件</w:t>
      </w:r>
    </w:p>
    <w:p w14:paraId="745FB388">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联合协议（如有）；</w:t>
      </w:r>
    </w:p>
    <w:p w14:paraId="4A3B2693">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.分包意向协议（如有）；</w:t>
      </w:r>
    </w:p>
    <w:p w14:paraId="0F7614D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.本项目的特定资格要求（如有）。</w:t>
      </w:r>
    </w:p>
    <w:p w14:paraId="1E95A573">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一、符合参加政府采购活动应当具备的一般条件的承诺函</w:t>
      </w:r>
    </w:p>
    <w:p w14:paraId="709198CB">
      <w:pPr>
        <w:snapToGrid w:val="0"/>
        <w:spacing w:line="360" w:lineRule="auto"/>
        <w:rPr>
          <w:rFonts w:hint="eastAsia" w:ascii="仿宋" w:hAnsi="仿宋" w:eastAsia="仿宋" w:cs="仿宋"/>
          <w:sz w:val="24"/>
        </w:rPr>
      </w:pPr>
    </w:p>
    <w:p w14:paraId="3CC6392A">
      <w:pPr>
        <w:snapToGrid w:val="0"/>
        <w:spacing w:line="360" w:lineRule="auto"/>
        <w:rPr>
          <w:rFonts w:hint="eastAsia" w:ascii="仿宋" w:hAnsi="仿宋" w:eastAsia="仿宋" w:cs="仿宋"/>
          <w:sz w:val="24"/>
        </w:rPr>
      </w:pPr>
      <w:r>
        <w:rPr>
          <w:rFonts w:hint="eastAsia" w:ascii="仿宋" w:hAnsi="仿宋" w:eastAsia="仿宋" w:cs="仿宋"/>
          <w:sz w:val="24"/>
          <w:lang w:eastAsia="zh-CN"/>
        </w:rPr>
        <w:t>宁波越升质量技术服务有限公司</w:t>
      </w:r>
      <w:r>
        <w:rPr>
          <w:rFonts w:hint="eastAsia" w:ascii="仿宋" w:hAnsi="仿宋" w:eastAsia="仿宋" w:cs="仿宋"/>
          <w:sz w:val="24"/>
        </w:rPr>
        <w:t>/</w:t>
      </w:r>
      <w:r>
        <w:rPr>
          <w:rFonts w:hint="eastAsia" w:ascii="仿宋" w:hAnsi="仿宋" w:eastAsia="仿宋" w:cs="仿宋"/>
          <w:sz w:val="24"/>
          <w:lang w:eastAsia="zh-CN"/>
        </w:rPr>
        <w:t xml:space="preserve">象山县城市管理服务中心 </w:t>
      </w:r>
      <w:r>
        <w:rPr>
          <w:rFonts w:hint="eastAsia" w:ascii="仿宋" w:hAnsi="仿宋" w:eastAsia="仿宋" w:cs="仿宋"/>
          <w:sz w:val="24"/>
        </w:rPr>
        <w:t>：</w:t>
      </w:r>
    </w:p>
    <w:p w14:paraId="022FC52E">
      <w:pPr>
        <w:snapToGrid w:val="0"/>
        <w:spacing w:line="360" w:lineRule="auto"/>
        <w:ind w:firstLine="480" w:firstLineChars="200"/>
        <w:rPr>
          <w:rFonts w:hint="eastAsia" w:ascii="仿宋" w:hAnsi="仿宋" w:eastAsia="仿宋" w:cs="仿宋"/>
          <w:sz w:val="24"/>
        </w:rPr>
      </w:pPr>
    </w:p>
    <w:p w14:paraId="1DD524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象山县中心城区垃圾中转站服务外包项目</w:t>
      </w:r>
      <w:r>
        <w:rPr>
          <w:rFonts w:hint="eastAsia" w:ascii="仿宋" w:hAnsi="仿宋" w:eastAsia="仿宋" w:cs="仿宋"/>
          <w:sz w:val="24"/>
        </w:rPr>
        <w:t>【招标编号：</w:t>
      </w:r>
      <w:r>
        <w:rPr>
          <w:rFonts w:hint="eastAsia" w:ascii="仿宋" w:hAnsi="仿宋" w:eastAsia="仿宋" w:cs="仿宋"/>
          <w:sz w:val="24"/>
          <w:lang w:eastAsia="zh-CN"/>
        </w:rPr>
        <w:t>NBYS2025023G</w:t>
      </w:r>
      <w:r>
        <w:rPr>
          <w:rFonts w:hint="eastAsia" w:ascii="仿宋" w:hAnsi="仿宋" w:eastAsia="仿宋" w:cs="仿宋"/>
          <w:sz w:val="24"/>
        </w:rPr>
        <w:t>】政府采购活动，郑重承诺：</w:t>
      </w:r>
    </w:p>
    <w:p w14:paraId="786307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D42D2E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86A59F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DE6EA2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0E522A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14EBFE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225D89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3A2F7E5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w:t>
      </w:r>
      <w:r>
        <w:rPr>
          <w:rFonts w:hint="eastAsia" w:ascii="仿宋" w:hAnsi="仿宋" w:eastAsia="仿宋" w:cs="仿宋"/>
          <w:sz w:val="24"/>
          <w:lang w:eastAsia="zh-CN"/>
        </w:rPr>
        <w:t>重大税收违法失信主体</w:t>
      </w:r>
      <w:r>
        <w:rPr>
          <w:rFonts w:hint="eastAsia" w:ascii="仿宋" w:hAnsi="仿宋" w:eastAsia="仿宋" w:cs="仿宋"/>
          <w:sz w:val="24"/>
        </w:rPr>
        <w:t>（即重大税收违法失信主体）、政府采购严重违法失信行为记录名单。</w:t>
      </w:r>
    </w:p>
    <w:p w14:paraId="4FCEA34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579C9F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881008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3BD5937">
      <w:pPr>
        <w:snapToGrid w:val="0"/>
        <w:spacing w:line="360" w:lineRule="auto"/>
        <w:ind w:firstLine="5520" w:firstLineChars="2300"/>
        <w:rPr>
          <w:rFonts w:hint="eastAsia" w:ascii="仿宋" w:hAnsi="仿宋" w:eastAsia="仿宋" w:cs="仿宋"/>
          <w:kern w:val="0"/>
          <w:sz w:val="24"/>
          <w:lang w:val="zh-CN"/>
        </w:rPr>
      </w:pPr>
    </w:p>
    <w:p w14:paraId="11D481C9">
      <w:pPr>
        <w:snapToGrid w:val="0"/>
        <w:spacing w:line="360" w:lineRule="auto"/>
        <w:ind w:firstLine="5520" w:firstLineChars="2300"/>
        <w:rPr>
          <w:rFonts w:hint="eastAsia" w:ascii="仿宋" w:hAnsi="仿宋" w:eastAsia="仿宋" w:cs="仿宋"/>
          <w:kern w:val="0"/>
          <w:sz w:val="24"/>
          <w:lang w:val="zh-CN"/>
        </w:rPr>
      </w:pPr>
    </w:p>
    <w:p w14:paraId="5BF3EE4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7A2A25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0E2A180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5166B3A3">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二、落实政府采购政策需满足的资格要求</w:t>
      </w:r>
    </w:p>
    <w:p w14:paraId="3EF754E0">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3519ABC8">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.专门面向中小企业，货物全部由符合政策要求的中小企业（或小微企业）制造或者服务全部由符合政策要求的中小企业（或小微企业）承接的，提供相应的中小企业声明函。</w:t>
      </w:r>
    </w:p>
    <w:p w14:paraId="4B8ED8EB">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187EDC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14:paraId="135F9ECC">
      <w:pPr>
        <w:rPr>
          <w:rFonts w:hint="eastAsia" w:ascii="仿宋" w:hAnsi="仿宋" w:eastAsia="仿宋" w:cs="仿宋"/>
          <w:sz w:val="24"/>
        </w:rPr>
      </w:pPr>
      <w:r>
        <w:rPr>
          <w:rFonts w:hint="eastAsia" w:ascii="仿宋" w:hAnsi="仿宋" w:eastAsia="仿宋" w:cs="仿宋"/>
          <w:sz w:val="24"/>
        </w:rPr>
        <w:br w:type="page"/>
      </w:r>
    </w:p>
    <w:p w14:paraId="605D998A">
      <w:pPr>
        <w:spacing w:before="120" w:beforeLines="50" w:after="120" w:afterLines="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中小企业声明函</w:t>
      </w:r>
    </w:p>
    <w:p w14:paraId="7AC8712F">
      <w:pPr>
        <w:spacing w:line="360" w:lineRule="auto"/>
        <w:ind w:firstLine="480" w:firstLineChars="200"/>
        <w:rPr>
          <w:rFonts w:hint="eastAsia" w:ascii="仿宋" w:hAnsi="仿宋" w:eastAsia="仿宋"/>
          <w:sz w:val="24"/>
        </w:rPr>
      </w:pPr>
      <w:r>
        <w:rPr>
          <w:rFonts w:hint="eastAsia" w:ascii="仿宋" w:hAnsi="仿宋" w:eastAsia="仿宋"/>
          <w:sz w:val="24"/>
        </w:rPr>
        <w:t>本公司郑重声明，</w:t>
      </w:r>
      <w:r>
        <w:rPr>
          <w:rFonts w:ascii="仿宋" w:hAnsi="仿宋" w:eastAsia="仿宋"/>
          <w:sz w:val="24"/>
        </w:rPr>
        <w:t>根据《政府采购促进中小企业发展</w:t>
      </w:r>
      <w:r>
        <w:rPr>
          <w:rFonts w:hint="eastAsia" w:ascii="仿宋" w:hAnsi="仿宋" w:eastAsia="仿宋"/>
          <w:sz w:val="24"/>
        </w:rPr>
        <w:t>管理</w:t>
      </w:r>
      <w:r>
        <w:rPr>
          <w:rFonts w:ascii="仿宋" w:hAnsi="仿宋" w:eastAsia="仿宋"/>
          <w:sz w:val="24"/>
        </w:rPr>
        <w:t>办法》（财库</w:t>
      </w:r>
      <w:r>
        <w:rPr>
          <w:rFonts w:hint="eastAsia" w:ascii="仿宋" w:hAnsi="仿宋" w:eastAsia="仿宋"/>
          <w:sz w:val="24"/>
        </w:rPr>
        <w:t>〔</w:t>
      </w:r>
      <w:r>
        <w:rPr>
          <w:rFonts w:ascii="仿宋" w:hAnsi="仿宋" w:eastAsia="仿宋"/>
          <w:sz w:val="24"/>
        </w:rPr>
        <w:t>20</w:t>
      </w:r>
      <w:r>
        <w:rPr>
          <w:rFonts w:hint="eastAsia" w:ascii="仿宋" w:hAnsi="仿宋" w:eastAsia="仿宋"/>
          <w:sz w:val="24"/>
        </w:rPr>
        <w:t>20〕46</w:t>
      </w:r>
      <w:r>
        <w:rPr>
          <w:rFonts w:ascii="仿宋" w:hAnsi="仿宋" w:eastAsia="仿宋"/>
          <w:sz w:val="24"/>
        </w:rPr>
        <w:t>号）</w:t>
      </w:r>
      <w:r>
        <w:rPr>
          <w:rFonts w:hint="eastAsia" w:ascii="仿宋" w:hAnsi="仿宋" w:eastAsia="仿宋"/>
          <w:sz w:val="24"/>
        </w:rPr>
        <w:t>的规定，本公司参加</w:t>
      </w:r>
      <w:r>
        <w:rPr>
          <w:rFonts w:hint="eastAsia" w:ascii="仿宋" w:hAnsi="仿宋" w:eastAsia="仿宋"/>
          <w:sz w:val="24"/>
          <w:u w:val="single"/>
          <w:lang w:eastAsia="zh-CN"/>
        </w:rPr>
        <w:t xml:space="preserve">象山县城市管理服务中心 </w:t>
      </w:r>
      <w:r>
        <w:rPr>
          <w:rFonts w:hint="eastAsia" w:ascii="仿宋" w:hAnsi="仿宋" w:eastAsia="仿宋"/>
          <w:sz w:val="24"/>
        </w:rPr>
        <w:t>的</w:t>
      </w:r>
      <w:r>
        <w:rPr>
          <w:rFonts w:hint="eastAsia" w:ascii="仿宋" w:hAnsi="仿宋" w:eastAsia="仿宋"/>
          <w:sz w:val="24"/>
          <w:u w:val="single"/>
          <w:lang w:eastAsia="zh-CN"/>
        </w:rPr>
        <w:t>象山县中心城区垃圾中转站服务外包项目</w:t>
      </w:r>
      <w:r>
        <w:rPr>
          <w:rFonts w:hint="eastAsia" w:ascii="仿宋" w:hAnsi="仿宋" w:eastAsia="仿宋"/>
          <w:sz w:val="24"/>
        </w:rPr>
        <w:t>采购活动，服务全部由符合政策要求的中小企业承接。相关企业（含联合体中的中小企业、签订分包意向协议的中小企业）的具体情况如下：</w:t>
      </w:r>
    </w:p>
    <w:p w14:paraId="7F0627B7">
      <w:pPr>
        <w:numPr>
          <w:ilvl w:val="0"/>
          <w:numId w:val="0"/>
        </w:numPr>
        <w:spacing w:line="360" w:lineRule="auto"/>
        <w:ind w:firstLine="480" w:firstLineChars="0"/>
        <w:rPr>
          <w:rFonts w:hint="eastAsia" w:ascii="仿宋" w:hAnsi="仿宋" w:eastAsia="仿宋"/>
          <w:sz w:val="24"/>
        </w:rPr>
      </w:pPr>
      <w:r>
        <w:rPr>
          <w:rFonts w:hint="eastAsia" w:ascii="仿宋" w:hAnsi="仿宋" w:eastAsia="仿宋"/>
          <w:kern w:val="2"/>
          <w:sz w:val="24"/>
          <w:szCs w:val="24"/>
          <w:lang w:val="en-US" w:eastAsia="zh-CN" w:bidi="ar-SA"/>
        </w:rPr>
        <w:t>1、</w:t>
      </w:r>
      <w:r>
        <w:rPr>
          <w:rFonts w:hint="eastAsia" w:ascii="仿宋" w:hAnsi="仿宋" w:eastAsia="仿宋"/>
          <w:sz w:val="24"/>
          <w:u w:val="single"/>
          <w:lang w:eastAsia="zh-CN"/>
        </w:rPr>
        <w:t>垃圾中转站服务外包</w:t>
      </w:r>
      <w:r>
        <w:rPr>
          <w:rFonts w:hint="eastAsia" w:ascii="仿宋" w:hAnsi="仿宋" w:eastAsia="仿宋"/>
          <w:sz w:val="24"/>
        </w:rPr>
        <w:t>，属于</w:t>
      </w:r>
      <w:r>
        <w:rPr>
          <w:rFonts w:hint="eastAsia" w:ascii="仿宋" w:hAnsi="仿宋" w:eastAsia="仿宋"/>
          <w:sz w:val="24"/>
          <w:u w:val="single"/>
        </w:rPr>
        <w:t>其他未列明行业</w:t>
      </w:r>
      <w:r>
        <w:rPr>
          <w:rFonts w:hint="eastAsia" w:ascii="仿宋" w:hAnsi="仿宋" w:eastAsia="仿宋"/>
          <w:sz w:val="24"/>
        </w:rPr>
        <w:t>；承接企业为</w:t>
      </w:r>
      <w:r>
        <w:rPr>
          <w:rFonts w:hint="eastAsia" w:ascii="仿宋" w:hAnsi="仿宋" w:eastAsia="仿宋"/>
          <w:sz w:val="24"/>
          <w:u w:val="single"/>
        </w:rPr>
        <w:t xml:space="preserve">   （</w:t>
      </w:r>
      <w:r>
        <w:rPr>
          <w:rFonts w:hint="eastAsia" w:ascii="仿宋" w:hAnsi="仿宋" w:eastAsia="仿宋"/>
          <w:i/>
          <w:sz w:val="24"/>
          <w:u w:val="single"/>
        </w:rPr>
        <w:t>企业名称</w:t>
      </w:r>
      <w:r>
        <w:rPr>
          <w:rFonts w:hint="eastAsia" w:ascii="仿宋" w:hAnsi="仿宋" w:eastAsia="仿宋"/>
          <w:sz w:val="24"/>
          <w:u w:val="single"/>
        </w:rPr>
        <w:t xml:space="preserve">）   </w:t>
      </w:r>
      <w:r>
        <w:rPr>
          <w:rFonts w:hint="eastAsia" w:ascii="仿宋" w:hAnsi="仿宋" w:eastAsia="仿宋"/>
          <w:sz w:val="24"/>
        </w:rPr>
        <w:t>，从业人员</w:t>
      </w:r>
      <w:r>
        <w:rPr>
          <w:rFonts w:hint="eastAsia" w:ascii="仿宋" w:hAnsi="仿宋" w:eastAsia="仿宋"/>
          <w:sz w:val="24"/>
          <w:u w:val="single"/>
        </w:rPr>
        <w:t xml:space="preserve">     </w:t>
      </w:r>
      <w:r>
        <w:rPr>
          <w:rFonts w:hint="eastAsia" w:ascii="仿宋" w:hAnsi="仿宋" w:eastAsia="仿宋"/>
          <w:sz w:val="24"/>
        </w:rPr>
        <w:t>人，营业收入为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 xml:space="preserve">  （</w:t>
      </w:r>
      <w:r>
        <w:rPr>
          <w:rFonts w:hint="eastAsia" w:ascii="仿宋" w:hAnsi="仿宋" w:eastAsia="仿宋"/>
          <w:i/>
          <w:sz w:val="24"/>
          <w:u w:val="single"/>
        </w:rPr>
        <w:t>中型企业、小型企业、微型企业</w:t>
      </w:r>
      <w:r>
        <w:rPr>
          <w:rFonts w:hint="eastAsia" w:ascii="仿宋" w:hAnsi="仿宋" w:eastAsia="仿宋"/>
          <w:sz w:val="24"/>
          <w:u w:val="single"/>
        </w:rPr>
        <w:t xml:space="preserve">）  </w:t>
      </w:r>
      <w:r>
        <w:rPr>
          <w:rFonts w:hint="eastAsia" w:ascii="仿宋" w:hAnsi="仿宋" w:eastAsia="仿宋"/>
          <w:sz w:val="24"/>
        </w:rPr>
        <w:t>；</w:t>
      </w:r>
    </w:p>
    <w:p w14:paraId="556355FF">
      <w:pPr>
        <w:spacing w:line="360" w:lineRule="auto"/>
        <w:ind w:firstLine="480" w:firstLineChars="200"/>
        <w:rPr>
          <w:rFonts w:hint="eastAsia"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14:paraId="68C84017">
      <w:pPr>
        <w:spacing w:line="360" w:lineRule="auto"/>
        <w:ind w:firstLine="480" w:firstLineChars="200"/>
        <w:jc w:val="left"/>
        <w:rPr>
          <w:rFonts w:hint="eastAsia" w:ascii="仿宋" w:hAnsi="仿宋" w:eastAsia="仿宋"/>
          <w:sz w:val="24"/>
        </w:rPr>
      </w:pPr>
      <w:r>
        <w:rPr>
          <w:rFonts w:hint="eastAsia" w:ascii="仿宋" w:hAnsi="仿宋" w:eastAsia="仿宋"/>
          <w:sz w:val="24"/>
        </w:rPr>
        <w:t>本企业对上述声明内容的真实性负责。如有虚假，将依法承担相应责任。</w:t>
      </w:r>
    </w:p>
    <w:p w14:paraId="392AE5D9">
      <w:pPr>
        <w:adjustRightInd w:val="0"/>
        <w:spacing w:line="360" w:lineRule="auto"/>
        <w:ind w:firstLine="2400" w:firstLineChars="1000"/>
        <w:jc w:val="left"/>
        <w:rPr>
          <w:rFonts w:hint="eastAsia" w:ascii="仿宋" w:hAnsi="仿宋" w:eastAsia="仿宋" w:cs="仿宋"/>
          <w:sz w:val="24"/>
        </w:rPr>
      </w:pPr>
    </w:p>
    <w:p w14:paraId="1AA4364C">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E7D37F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332B07E">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3D59E6D5">
      <w:pPr>
        <w:spacing w:line="360" w:lineRule="auto"/>
        <w:ind w:right="-283"/>
        <w:rPr>
          <w:rFonts w:hint="eastAsia" w:ascii="仿宋" w:hAnsi="仿宋" w:eastAsia="仿宋" w:cs="仿宋"/>
          <w:b/>
          <w:sz w:val="24"/>
        </w:rPr>
      </w:pPr>
    </w:p>
    <w:p w14:paraId="330763D7">
      <w:pPr>
        <w:spacing w:line="360" w:lineRule="auto"/>
        <w:ind w:right="-283"/>
        <w:rPr>
          <w:rFonts w:hint="eastAsia" w:ascii="仿宋" w:hAnsi="仿宋" w:eastAsia="仿宋" w:cs="仿宋"/>
          <w:b/>
          <w:sz w:val="24"/>
        </w:rPr>
      </w:pPr>
      <w:r>
        <w:rPr>
          <w:rFonts w:hint="eastAsia" w:ascii="仿宋" w:hAnsi="仿宋" w:eastAsia="仿宋" w:cs="仿宋"/>
          <w:b/>
          <w:sz w:val="24"/>
        </w:rPr>
        <w:t>从业人员、营业收入、资产总额填报上一年度数据，无上一年度数据的新成立企业可不填报。但符合政府采购相关政策情况下，提供中小企业声明函的可享受政府采购关于中小企业的优惠政策。</w:t>
      </w:r>
    </w:p>
    <w:p w14:paraId="67923E3D">
      <w:pPr>
        <w:spacing w:line="360" w:lineRule="auto"/>
        <w:ind w:right="-283"/>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E19C7B">
      <w:pPr>
        <w:spacing w:line="360" w:lineRule="auto"/>
        <w:rPr>
          <w:rFonts w:hint="eastAsia"/>
        </w:rPr>
      </w:pPr>
    </w:p>
    <w:p w14:paraId="140F58B4">
      <w:pPr>
        <w:pStyle w:val="42"/>
        <w:ind w:firstLine="0" w:firstLineChars="0"/>
        <w:rPr>
          <w:rFonts w:hint="eastAsia" w:ascii="仿宋" w:hAnsi="仿宋" w:eastAsia="仿宋" w:cs="仿宋"/>
          <w:b/>
          <w:sz w:val="24"/>
        </w:rPr>
      </w:pPr>
      <w:r>
        <w:rPr>
          <w:rFonts w:hint="eastAsia" w:ascii="仿宋" w:hAnsi="仿宋" w:eastAsia="仿宋" w:cs="仿宋"/>
          <w:b/>
          <w:sz w:val="24"/>
        </w:rPr>
        <w:t>联合体投标的，联合体各方均需提供中小企业声明函。</w:t>
      </w:r>
    </w:p>
    <w:p w14:paraId="44D1AE02">
      <w:pPr>
        <w:pStyle w:val="42"/>
        <w:ind w:firstLine="0" w:firstLineChars="0"/>
        <w:rPr>
          <w:rFonts w:hint="eastAsia" w:ascii="仿宋" w:hAnsi="仿宋" w:eastAsia="仿宋" w:cs="仿宋"/>
          <w:b/>
          <w:sz w:val="24"/>
        </w:rPr>
      </w:pPr>
    </w:p>
    <w:p w14:paraId="356B32E3">
      <w:pPr>
        <w:pStyle w:val="42"/>
        <w:ind w:firstLine="0" w:firstLineChars="0"/>
        <w:rPr>
          <w:rFonts w:hint="eastAsia" w:ascii="仿宋" w:hAnsi="仿宋" w:eastAsia="仿宋" w:cs="仿宋"/>
          <w:b/>
          <w:sz w:val="24"/>
        </w:rPr>
      </w:pPr>
    </w:p>
    <w:p w14:paraId="3052507B">
      <w:pPr>
        <w:pStyle w:val="42"/>
        <w:ind w:firstLine="0" w:firstLineChars="0"/>
        <w:rPr>
          <w:rFonts w:hint="eastAsia" w:ascii="仿宋" w:hAnsi="仿宋" w:eastAsia="仿宋" w:cs="仿宋"/>
          <w:b/>
          <w:sz w:val="24"/>
        </w:rPr>
      </w:pPr>
    </w:p>
    <w:p w14:paraId="455BDD6E">
      <w:pPr>
        <w:pStyle w:val="42"/>
        <w:ind w:firstLine="0" w:firstLineChars="0"/>
        <w:rPr>
          <w:rFonts w:hint="eastAsia" w:ascii="仿宋" w:hAnsi="仿宋" w:eastAsia="仿宋" w:cs="仿宋"/>
          <w:b/>
          <w:sz w:val="24"/>
        </w:rPr>
      </w:pPr>
    </w:p>
    <w:p w14:paraId="2225D791">
      <w:pPr>
        <w:pStyle w:val="42"/>
        <w:ind w:firstLine="0" w:firstLineChars="0"/>
        <w:rPr>
          <w:rFonts w:hint="eastAsia" w:ascii="仿宋" w:hAnsi="仿宋" w:eastAsia="仿宋" w:cs="仿宋"/>
          <w:b/>
          <w:sz w:val="24"/>
        </w:rPr>
      </w:pPr>
    </w:p>
    <w:p w14:paraId="7E6C1F6E">
      <w:pPr>
        <w:pStyle w:val="42"/>
        <w:ind w:firstLine="0" w:firstLineChars="0"/>
        <w:rPr>
          <w:rFonts w:ascii="仿宋" w:hAnsi="仿宋" w:eastAsia="仿宋" w:cs="仿宋"/>
          <w:b/>
          <w:sz w:val="24"/>
        </w:rPr>
        <w:sectPr>
          <w:pgSz w:w="11906" w:h="16838"/>
          <w:pgMar w:top="1418" w:right="1287" w:bottom="1134" w:left="1622" w:header="624" w:footer="624" w:gutter="0"/>
          <w:pgNumType w:fmt="decimal"/>
          <w:cols w:space="720" w:num="1"/>
          <w:docGrid w:linePitch="312" w:charSpace="0"/>
        </w:sectPr>
      </w:pPr>
    </w:p>
    <w:tbl>
      <w:tblPr>
        <w:tblStyle w:val="22"/>
        <w:tblW w:w="0" w:type="auto"/>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14:paraId="67E7E5D1">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noWrap w:val="0"/>
            <w:vAlign w:val="bottom"/>
          </w:tcPr>
          <w:p w14:paraId="285834FD">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中小微行业划型标准规定（根据工信部联企业〔2011〕300号制定）</w:t>
            </w:r>
          </w:p>
        </w:tc>
      </w:tr>
      <w:tr w14:paraId="5D11887F">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0ED7406C">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1205C78B">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中型企业</w:t>
            </w:r>
          </w:p>
        </w:tc>
        <w:tc>
          <w:tcPr>
            <w:tcW w:w="4614" w:type="dxa"/>
            <w:gridSpan w:val="3"/>
            <w:tcBorders>
              <w:top w:val="single" w:color="auto" w:sz="8" w:space="0"/>
              <w:left w:val="nil"/>
              <w:bottom w:val="single" w:color="auto" w:sz="4" w:space="0"/>
              <w:right w:val="single" w:color="000000" w:sz="8" w:space="0"/>
            </w:tcBorders>
            <w:noWrap w:val="0"/>
            <w:vAlign w:val="bottom"/>
          </w:tcPr>
          <w:p w14:paraId="1646CB05">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432A11A5">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微型企业</w:t>
            </w:r>
          </w:p>
        </w:tc>
      </w:tr>
      <w:tr w14:paraId="094F91BF">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4C9216D1">
            <w:pPr>
              <w:widowControl/>
              <w:jc w:val="left"/>
              <w:rPr>
                <w:rFonts w:ascii="仿宋" w:hAnsi="仿宋" w:eastAsia="仿宋" w:cs="宋体"/>
                <w:b/>
                <w:bCs/>
                <w:kern w:val="0"/>
                <w:sz w:val="20"/>
                <w:szCs w:val="20"/>
              </w:rPr>
            </w:pPr>
          </w:p>
        </w:tc>
        <w:tc>
          <w:tcPr>
            <w:tcW w:w="1498" w:type="dxa"/>
            <w:tcBorders>
              <w:top w:val="nil"/>
              <w:left w:val="nil"/>
              <w:bottom w:val="single" w:color="auto" w:sz="4" w:space="0"/>
              <w:right w:val="single" w:color="auto" w:sz="4" w:space="0"/>
            </w:tcBorders>
            <w:noWrap w:val="0"/>
            <w:vAlign w:val="bottom"/>
          </w:tcPr>
          <w:p w14:paraId="5894A1AE">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763" w:type="dxa"/>
            <w:tcBorders>
              <w:top w:val="nil"/>
              <w:left w:val="nil"/>
              <w:bottom w:val="single" w:color="auto" w:sz="4" w:space="0"/>
              <w:right w:val="single" w:color="auto" w:sz="4" w:space="0"/>
            </w:tcBorders>
            <w:noWrap w:val="0"/>
            <w:vAlign w:val="bottom"/>
          </w:tcPr>
          <w:p w14:paraId="313E5EB8">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1DD5DAA7">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660" w:type="dxa"/>
            <w:tcBorders>
              <w:top w:val="nil"/>
              <w:left w:val="nil"/>
              <w:bottom w:val="single" w:color="auto" w:sz="4" w:space="0"/>
              <w:right w:val="single" w:color="auto" w:sz="8" w:space="0"/>
            </w:tcBorders>
            <w:noWrap w:val="0"/>
            <w:vAlign w:val="bottom"/>
          </w:tcPr>
          <w:p w14:paraId="092EE7B3">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56F44840">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458" w:type="dxa"/>
            <w:tcBorders>
              <w:top w:val="nil"/>
              <w:left w:val="nil"/>
              <w:bottom w:val="single" w:color="auto" w:sz="4" w:space="0"/>
              <w:right w:val="single" w:color="auto" w:sz="4" w:space="0"/>
            </w:tcBorders>
            <w:noWrap w:val="0"/>
            <w:vAlign w:val="bottom"/>
          </w:tcPr>
          <w:p w14:paraId="07C6DD55">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636" w:type="dxa"/>
            <w:tcBorders>
              <w:top w:val="nil"/>
              <w:left w:val="nil"/>
              <w:bottom w:val="single" w:color="auto" w:sz="4" w:space="0"/>
              <w:right w:val="single" w:color="auto" w:sz="4" w:space="0"/>
            </w:tcBorders>
            <w:noWrap w:val="0"/>
            <w:vAlign w:val="bottom"/>
          </w:tcPr>
          <w:p w14:paraId="7D880669">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213908DA">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520" w:type="dxa"/>
            <w:tcBorders>
              <w:top w:val="nil"/>
              <w:left w:val="nil"/>
              <w:bottom w:val="single" w:color="auto" w:sz="4" w:space="0"/>
              <w:right w:val="single" w:color="auto" w:sz="8" w:space="0"/>
            </w:tcBorders>
            <w:noWrap w:val="0"/>
            <w:vAlign w:val="bottom"/>
          </w:tcPr>
          <w:p w14:paraId="51857BBE">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27EB632A">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285" w:type="dxa"/>
            <w:tcBorders>
              <w:top w:val="nil"/>
              <w:left w:val="nil"/>
              <w:bottom w:val="single" w:color="auto" w:sz="4" w:space="0"/>
              <w:right w:val="single" w:color="auto" w:sz="4" w:space="0"/>
            </w:tcBorders>
            <w:noWrap w:val="0"/>
            <w:vAlign w:val="bottom"/>
          </w:tcPr>
          <w:p w14:paraId="75276E17">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275" w:type="dxa"/>
            <w:tcBorders>
              <w:top w:val="nil"/>
              <w:left w:val="nil"/>
              <w:bottom w:val="single" w:color="auto" w:sz="4" w:space="0"/>
              <w:right w:val="single" w:color="auto" w:sz="4" w:space="0"/>
            </w:tcBorders>
            <w:noWrap w:val="0"/>
            <w:vAlign w:val="bottom"/>
          </w:tcPr>
          <w:p w14:paraId="0A79A113">
            <w:pPr>
              <w:widowControl/>
              <w:jc w:val="center"/>
              <w:rPr>
                <w:rFonts w:ascii="仿宋" w:hAnsi="仿宋" w:eastAsia="仿宋" w:cs="宋体"/>
                <w:kern w:val="0"/>
                <w:sz w:val="20"/>
                <w:szCs w:val="20"/>
              </w:rPr>
            </w:pPr>
            <w:r>
              <w:rPr>
                <w:rFonts w:hint="eastAsia" w:ascii="仿宋" w:hAnsi="仿宋" w:eastAsia="仿宋" w:cs="宋体"/>
                <w:kern w:val="0"/>
                <w:sz w:val="20"/>
                <w:szCs w:val="20"/>
              </w:rPr>
              <w:t>营业收入Y（万元）</w:t>
            </w:r>
          </w:p>
        </w:tc>
        <w:tc>
          <w:tcPr>
            <w:tcW w:w="1221" w:type="dxa"/>
            <w:tcBorders>
              <w:top w:val="nil"/>
              <w:left w:val="nil"/>
              <w:bottom w:val="single" w:color="auto" w:sz="4" w:space="0"/>
              <w:right w:val="single" w:color="auto" w:sz="8" w:space="0"/>
            </w:tcBorders>
            <w:noWrap w:val="0"/>
            <w:vAlign w:val="bottom"/>
          </w:tcPr>
          <w:p w14:paraId="6091D3BA">
            <w:pPr>
              <w:widowControl/>
              <w:jc w:val="center"/>
              <w:rPr>
                <w:rFonts w:ascii="仿宋" w:hAnsi="仿宋" w:eastAsia="仿宋" w:cs="宋体"/>
                <w:kern w:val="0"/>
                <w:sz w:val="20"/>
                <w:szCs w:val="20"/>
              </w:rPr>
            </w:pPr>
            <w:r>
              <w:rPr>
                <w:rFonts w:hint="eastAsia" w:ascii="仿宋" w:hAnsi="仿宋" w:eastAsia="仿宋" w:cs="宋体"/>
                <w:kern w:val="0"/>
                <w:sz w:val="20"/>
                <w:szCs w:val="20"/>
              </w:rPr>
              <w:t>资产总额Z（万元）</w:t>
            </w:r>
          </w:p>
        </w:tc>
      </w:tr>
      <w:tr w14:paraId="054280F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5047F65">
            <w:pPr>
              <w:widowControl/>
              <w:jc w:val="left"/>
              <w:rPr>
                <w:rFonts w:ascii="仿宋" w:hAnsi="仿宋" w:eastAsia="仿宋" w:cs="宋体"/>
                <w:kern w:val="0"/>
                <w:sz w:val="20"/>
                <w:szCs w:val="20"/>
              </w:rPr>
            </w:pPr>
            <w:r>
              <w:rPr>
                <w:rFonts w:hint="eastAsia" w:ascii="仿宋" w:hAnsi="仿宋" w:eastAsia="仿宋" w:cs="宋体"/>
                <w:kern w:val="0"/>
                <w:sz w:val="20"/>
                <w:szCs w:val="20"/>
              </w:rPr>
              <w:t>1、农林牧渔业</w:t>
            </w:r>
          </w:p>
        </w:tc>
        <w:tc>
          <w:tcPr>
            <w:tcW w:w="1498" w:type="dxa"/>
            <w:tcBorders>
              <w:top w:val="nil"/>
              <w:left w:val="nil"/>
              <w:bottom w:val="single" w:color="auto" w:sz="4" w:space="0"/>
              <w:right w:val="single" w:color="auto" w:sz="4" w:space="0"/>
            </w:tcBorders>
            <w:noWrap w:val="0"/>
            <w:vAlign w:val="bottom"/>
          </w:tcPr>
          <w:p w14:paraId="00374E7D">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68DE7949">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54A82FE8">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367175D0">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7A927CA8">
            <w:pPr>
              <w:widowControl/>
              <w:jc w:val="left"/>
              <w:rPr>
                <w:rFonts w:ascii="仿宋" w:hAnsi="仿宋" w:eastAsia="仿宋" w:cs="宋体"/>
                <w:kern w:val="0"/>
                <w:sz w:val="20"/>
                <w:szCs w:val="20"/>
              </w:rPr>
            </w:pPr>
            <w:r>
              <w:rPr>
                <w:rFonts w:hint="eastAsia" w:ascii="仿宋" w:hAnsi="仿宋" w:eastAsia="仿宋" w:cs="宋体"/>
                <w:kern w:val="0"/>
                <w:sz w:val="20"/>
                <w:szCs w:val="20"/>
              </w:rPr>
              <w:t>50≤Y＜500</w:t>
            </w:r>
          </w:p>
        </w:tc>
        <w:tc>
          <w:tcPr>
            <w:tcW w:w="1520" w:type="dxa"/>
            <w:tcBorders>
              <w:top w:val="nil"/>
              <w:left w:val="nil"/>
              <w:bottom w:val="single" w:color="auto" w:sz="4" w:space="0"/>
              <w:right w:val="single" w:color="auto" w:sz="8" w:space="0"/>
            </w:tcBorders>
            <w:noWrap w:val="0"/>
            <w:vAlign w:val="bottom"/>
          </w:tcPr>
          <w:p w14:paraId="76CE47F3">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3BE20FD">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78BDFEE2">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45B0FFDA">
            <w:pPr>
              <w:widowControl/>
              <w:jc w:val="left"/>
              <w:rPr>
                <w:rFonts w:ascii="仿宋" w:hAnsi="仿宋" w:eastAsia="仿宋" w:cs="宋体"/>
                <w:kern w:val="0"/>
                <w:sz w:val="20"/>
                <w:szCs w:val="20"/>
              </w:rPr>
            </w:pPr>
          </w:p>
        </w:tc>
      </w:tr>
      <w:tr w14:paraId="37A4CDC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9F14854">
            <w:pPr>
              <w:widowControl/>
              <w:jc w:val="left"/>
              <w:rPr>
                <w:rFonts w:ascii="仿宋" w:hAnsi="仿宋" w:eastAsia="仿宋" w:cs="宋体"/>
                <w:kern w:val="0"/>
                <w:sz w:val="20"/>
                <w:szCs w:val="20"/>
              </w:rPr>
            </w:pPr>
            <w:r>
              <w:rPr>
                <w:rFonts w:hint="eastAsia" w:ascii="仿宋" w:hAnsi="仿宋" w:eastAsia="仿宋" w:cs="宋体"/>
                <w:kern w:val="0"/>
                <w:sz w:val="20"/>
                <w:szCs w:val="20"/>
              </w:rPr>
              <w:t>2、工业</w:t>
            </w:r>
          </w:p>
        </w:tc>
        <w:tc>
          <w:tcPr>
            <w:tcW w:w="1498" w:type="dxa"/>
            <w:tcBorders>
              <w:top w:val="nil"/>
              <w:left w:val="nil"/>
              <w:bottom w:val="single" w:color="auto" w:sz="4" w:space="0"/>
              <w:right w:val="single" w:color="auto" w:sz="4" w:space="0"/>
            </w:tcBorders>
            <w:noWrap w:val="0"/>
            <w:vAlign w:val="bottom"/>
          </w:tcPr>
          <w:p w14:paraId="616D12BC">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65847C28">
            <w:pPr>
              <w:widowControl/>
              <w:jc w:val="left"/>
              <w:rPr>
                <w:rFonts w:ascii="仿宋" w:hAnsi="仿宋" w:eastAsia="仿宋" w:cs="宋体"/>
                <w:kern w:val="0"/>
                <w:sz w:val="20"/>
                <w:szCs w:val="20"/>
              </w:rPr>
            </w:pPr>
            <w:r>
              <w:rPr>
                <w:rFonts w:hint="eastAsia" w:ascii="仿宋" w:hAnsi="仿宋" w:eastAsia="仿宋" w:cs="宋体"/>
                <w:kern w:val="0"/>
                <w:sz w:val="20"/>
                <w:szCs w:val="20"/>
              </w:rPr>
              <w:t>2000≤Y＜40000</w:t>
            </w:r>
          </w:p>
        </w:tc>
        <w:tc>
          <w:tcPr>
            <w:tcW w:w="1660" w:type="dxa"/>
            <w:tcBorders>
              <w:top w:val="nil"/>
              <w:left w:val="nil"/>
              <w:bottom w:val="single" w:color="auto" w:sz="4" w:space="0"/>
              <w:right w:val="single" w:color="auto" w:sz="8" w:space="0"/>
            </w:tcBorders>
            <w:noWrap w:val="0"/>
            <w:vAlign w:val="bottom"/>
          </w:tcPr>
          <w:p w14:paraId="1A326002">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717B232">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3503739C">
            <w:pPr>
              <w:widowControl/>
              <w:jc w:val="left"/>
              <w:rPr>
                <w:rFonts w:ascii="仿宋" w:hAnsi="仿宋" w:eastAsia="仿宋" w:cs="宋体"/>
                <w:kern w:val="0"/>
                <w:sz w:val="20"/>
                <w:szCs w:val="20"/>
              </w:rPr>
            </w:pPr>
            <w:r>
              <w:rPr>
                <w:rFonts w:hint="eastAsia" w:ascii="仿宋" w:hAnsi="仿宋" w:eastAsia="仿宋" w:cs="宋体"/>
                <w:kern w:val="0"/>
                <w:sz w:val="20"/>
                <w:szCs w:val="20"/>
              </w:rPr>
              <w:t>300≤Y＜2000</w:t>
            </w:r>
          </w:p>
        </w:tc>
        <w:tc>
          <w:tcPr>
            <w:tcW w:w="1520" w:type="dxa"/>
            <w:tcBorders>
              <w:top w:val="nil"/>
              <w:left w:val="nil"/>
              <w:bottom w:val="single" w:color="auto" w:sz="4" w:space="0"/>
              <w:right w:val="single" w:color="auto" w:sz="8" w:space="0"/>
            </w:tcBorders>
            <w:noWrap w:val="0"/>
            <w:vAlign w:val="bottom"/>
          </w:tcPr>
          <w:p w14:paraId="6590173F">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53F3C7EA">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0D8AFE71">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31337D77">
            <w:pPr>
              <w:widowControl/>
              <w:jc w:val="left"/>
              <w:rPr>
                <w:rFonts w:ascii="仿宋" w:hAnsi="仿宋" w:eastAsia="仿宋" w:cs="宋体"/>
                <w:kern w:val="0"/>
                <w:sz w:val="20"/>
                <w:szCs w:val="20"/>
              </w:rPr>
            </w:pPr>
          </w:p>
        </w:tc>
      </w:tr>
      <w:tr w14:paraId="686284D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BE500E3">
            <w:pPr>
              <w:widowControl/>
              <w:jc w:val="left"/>
              <w:rPr>
                <w:rFonts w:ascii="仿宋" w:hAnsi="仿宋" w:eastAsia="仿宋" w:cs="宋体"/>
                <w:kern w:val="0"/>
                <w:sz w:val="20"/>
                <w:szCs w:val="20"/>
              </w:rPr>
            </w:pPr>
            <w:r>
              <w:rPr>
                <w:rFonts w:hint="eastAsia" w:ascii="仿宋" w:hAnsi="仿宋" w:eastAsia="仿宋" w:cs="宋体"/>
                <w:kern w:val="0"/>
                <w:sz w:val="20"/>
                <w:szCs w:val="20"/>
              </w:rPr>
              <w:t>3、建筑业</w:t>
            </w:r>
          </w:p>
        </w:tc>
        <w:tc>
          <w:tcPr>
            <w:tcW w:w="1498" w:type="dxa"/>
            <w:tcBorders>
              <w:top w:val="nil"/>
              <w:left w:val="nil"/>
              <w:bottom w:val="single" w:color="auto" w:sz="4" w:space="0"/>
              <w:right w:val="single" w:color="auto" w:sz="4" w:space="0"/>
            </w:tcBorders>
            <w:noWrap w:val="0"/>
            <w:vAlign w:val="bottom"/>
          </w:tcPr>
          <w:p w14:paraId="408945B8">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0E2E890C">
            <w:pPr>
              <w:widowControl/>
              <w:jc w:val="left"/>
              <w:rPr>
                <w:rFonts w:ascii="仿宋" w:hAnsi="仿宋" w:eastAsia="仿宋" w:cs="宋体"/>
                <w:kern w:val="0"/>
                <w:sz w:val="20"/>
                <w:szCs w:val="20"/>
              </w:rPr>
            </w:pPr>
            <w:r>
              <w:rPr>
                <w:rFonts w:hint="eastAsia" w:ascii="仿宋" w:hAnsi="仿宋" w:eastAsia="仿宋" w:cs="宋体"/>
                <w:kern w:val="0"/>
                <w:sz w:val="20"/>
                <w:szCs w:val="20"/>
              </w:rPr>
              <w:t>6000≤Y＜80000</w:t>
            </w:r>
          </w:p>
        </w:tc>
        <w:tc>
          <w:tcPr>
            <w:tcW w:w="1660" w:type="dxa"/>
            <w:tcBorders>
              <w:top w:val="nil"/>
              <w:left w:val="nil"/>
              <w:bottom w:val="single" w:color="auto" w:sz="4" w:space="0"/>
              <w:right w:val="single" w:color="auto" w:sz="8" w:space="0"/>
            </w:tcBorders>
            <w:noWrap w:val="0"/>
            <w:vAlign w:val="bottom"/>
          </w:tcPr>
          <w:p w14:paraId="1B8C095E">
            <w:pPr>
              <w:widowControl/>
              <w:jc w:val="left"/>
              <w:rPr>
                <w:rFonts w:ascii="仿宋" w:hAnsi="仿宋" w:eastAsia="仿宋" w:cs="宋体"/>
                <w:kern w:val="0"/>
                <w:sz w:val="20"/>
                <w:szCs w:val="20"/>
              </w:rPr>
            </w:pPr>
            <w:r>
              <w:rPr>
                <w:rFonts w:hint="eastAsia" w:ascii="仿宋" w:hAnsi="仿宋" w:eastAsia="仿宋" w:cs="宋体"/>
                <w:kern w:val="0"/>
                <w:sz w:val="20"/>
                <w:szCs w:val="20"/>
              </w:rPr>
              <w:t>5000≤Z＜80000</w:t>
            </w:r>
          </w:p>
        </w:tc>
        <w:tc>
          <w:tcPr>
            <w:tcW w:w="1458" w:type="dxa"/>
            <w:tcBorders>
              <w:top w:val="nil"/>
              <w:left w:val="nil"/>
              <w:bottom w:val="single" w:color="auto" w:sz="4" w:space="0"/>
              <w:right w:val="single" w:color="auto" w:sz="4" w:space="0"/>
            </w:tcBorders>
            <w:noWrap w:val="0"/>
            <w:vAlign w:val="bottom"/>
          </w:tcPr>
          <w:p w14:paraId="526BB469">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54EC26BA">
            <w:pPr>
              <w:widowControl/>
              <w:jc w:val="left"/>
              <w:rPr>
                <w:rFonts w:ascii="仿宋" w:hAnsi="仿宋" w:eastAsia="仿宋" w:cs="宋体"/>
                <w:kern w:val="0"/>
                <w:sz w:val="20"/>
                <w:szCs w:val="20"/>
              </w:rPr>
            </w:pPr>
            <w:r>
              <w:rPr>
                <w:rFonts w:hint="eastAsia" w:ascii="仿宋" w:hAnsi="仿宋" w:eastAsia="仿宋" w:cs="宋体"/>
                <w:kern w:val="0"/>
                <w:sz w:val="20"/>
                <w:szCs w:val="20"/>
              </w:rPr>
              <w:t>300≤Y＜6000</w:t>
            </w:r>
          </w:p>
        </w:tc>
        <w:tc>
          <w:tcPr>
            <w:tcW w:w="1520" w:type="dxa"/>
            <w:tcBorders>
              <w:top w:val="nil"/>
              <w:left w:val="nil"/>
              <w:bottom w:val="single" w:color="auto" w:sz="4" w:space="0"/>
              <w:right w:val="single" w:color="auto" w:sz="8" w:space="0"/>
            </w:tcBorders>
            <w:noWrap w:val="0"/>
            <w:vAlign w:val="bottom"/>
          </w:tcPr>
          <w:p w14:paraId="6F9ED88D">
            <w:pPr>
              <w:widowControl/>
              <w:jc w:val="left"/>
              <w:rPr>
                <w:rFonts w:ascii="仿宋" w:hAnsi="仿宋" w:eastAsia="仿宋" w:cs="宋体"/>
                <w:kern w:val="0"/>
                <w:sz w:val="20"/>
                <w:szCs w:val="20"/>
              </w:rPr>
            </w:pPr>
            <w:r>
              <w:rPr>
                <w:rFonts w:hint="eastAsia" w:ascii="仿宋" w:hAnsi="仿宋" w:eastAsia="仿宋" w:cs="宋体"/>
                <w:kern w:val="0"/>
                <w:sz w:val="20"/>
                <w:szCs w:val="20"/>
              </w:rPr>
              <w:t>300≤Z＜5000</w:t>
            </w:r>
          </w:p>
        </w:tc>
        <w:tc>
          <w:tcPr>
            <w:tcW w:w="1285" w:type="dxa"/>
            <w:tcBorders>
              <w:top w:val="nil"/>
              <w:left w:val="nil"/>
              <w:bottom w:val="single" w:color="auto" w:sz="4" w:space="0"/>
              <w:right w:val="single" w:color="auto" w:sz="4" w:space="0"/>
            </w:tcBorders>
            <w:noWrap w:val="0"/>
            <w:vAlign w:val="bottom"/>
          </w:tcPr>
          <w:p w14:paraId="0E772980">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4F1639F9">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3D8ADF11">
            <w:pPr>
              <w:widowControl/>
              <w:jc w:val="left"/>
              <w:rPr>
                <w:rFonts w:ascii="仿宋" w:hAnsi="仿宋" w:eastAsia="仿宋" w:cs="宋体"/>
                <w:kern w:val="0"/>
                <w:sz w:val="20"/>
                <w:szCs w:val="20"/>
              </w:rPr>
            </w:pPr>
            <w:r>
              <w:rPr>
                <w:rFonts w:hint="eastAsia" w:ascii="仿宋" w:hAnsi="仿宋" w:eastAsia="仿宋" w:cs="宋体"/>
                <w:kern w:val="0"/>
                <w:sz w:val="20"/>
                <w:szCs w:val="20"/>
              </w:rPr>
              <w:t>Z＜300</w:t>
            </w:r>
          </w:p>
        </w:tc>
      </w:tr>
      <w:tr w14:paraId="48F3552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53E4F1C">
            <w:pPr>
              <w:widowControl/>
              <w:jc w:val="left"/>
              <w:rPr>
                <w:rFonts w:ascii="仿宋" w:hAnsi="仿宋" w:eastAsia="仿宋" w:cs="宋体"/>
                <w:kern w:val="0"/>
                <w:sz w:val="20"/>
                <w:szCs w:val="20"/>
              </w:rPr>
            </w:pPr>
            <w:r>
              <w:rPr>
                <w:rFonts w:hint="eastAsia" w:ascii="仿宋" w:hAnsi="仿宋" w:eastAsia="仿宋" w:cs="宋体"/>
                <w:kern w:val="0"/>
                <w:sz w:val="20"/>
                <w:szCs w:val="20"/>
              </w:rPr>
              <w:t>4、批发业</w:t>
            </w:r>
          </w:p>
        </w:tc>
        <w:tc>
          <w:tcPr>
            <w:tcW w:w="1498" w:type="dxa"/>
            <w:tcBorders>
              <w:top w:val="nil"/>
              <w:left w:val="nil"/>
              <w:bottom w:val="single" w:color="auto" w:sz="4" w:space="0"/>
              <w:right w:val="single" w:color="auto" w:sz="4" w:space="0"/>
            </w:tcBorders>
            <w:noWrap w:val="0"/>
            <w:vAlign w:val="bottom"/>
          </w:tcPr>
          <w:p w14:paraId="6534A772">
            <w:pPr>
              <w:widowControl/>
              <w:jc w:val="left"/>
              <w:rPr>
                <w:rFonts w:ascii="仿宋" w:hAnsi="仿宋" w:eastAsia="仿宋" w:cs="宋体"/>
                <w:kern w:val="0"/>
                <w:sz w:val="20"/>
                <w:szCs w:val="20"/>
              </w:rPr>
            </w:pPr>
            <w:r>
              <w:rPr>
                <w:rFonts w:hint="eastAsia" w:ascii="仿宋" w:hAnsi="仿宋" w:eastAsia="仿宋" w:cs="宋体"/>
                <w:kern w:val="0"/>
                <w:sz w:val="20"/>
                <w:szCs w:val="20"/>
              </w:rPr>
              <w:t>20≤X＜200</w:t>
            </w:r>
          </w:p>
        </w:tc>
        <w:tc>
          <w:tcPr>
            <w:tcW w:w="1763" w:type="dxa"/>
            <w:tcBorders>
              <w:top w:val="nil"/>
              <w:left w:val="nil"/>
              <w:bottom w:val="single" w:color="auto" w:sz="4" w:space="0"/>
              <w:right w:val="single" w:color="auto" w:sz="4" w:space="0"/>
            </w:tcBorders>
            <w:noWrap w:val="0"/>
            <w:vAlign w:val="bottom"/>
          </w:tcPr>
          <w:p w14:paraId="74FCCD27">
            <w:pPr>
              <w:widowControl/>
              <w:jc w:val="left"/>
              <w:rPr>
                <w:rFonts w:ascii="仿宋" w:hAnsi="仿宋" w:eastAsia="仿宋" w:cs="宋体"/>
                <w:kern w:val="0"/>
                <w:sz w:val="20"/>
                <w:szCs w:val="20"/>
              </w:rPr>
            </w:pPr>
            <w:r>
              <w:rPr>
                <w:rFonts w:hint="eastAsia" w:ascii="仿宋" w:hAnsi="仿宋" w:eastAsia="仿宋" w:cs="宋体"/>
                <w:kern w:val="0"/>
                <w:sz w:val="20"/>
                <w:szCs w:val="20"/>
              </w:rPr>
              <w:t>5000≤Y＜40000</w:t>
            </w:r>
          </w:p>
        </w:tc>
        <w:tc>
          <w:tcPr>
            <w:tcW w:w="1660" w:type="dxa"/>
            <w:tcBorders>
              <w:top w:val="nil"/>
              <w:left w:val="nil"/>
              <w:bottom w:val="single" w:color="auto" w:sz="4" w:space="0"/>
              <w:right w:val="single" w:color="auto" w:sz="8" w:space="0"/>
            </w:tcBorders>
            <w:noWrap w:val="0"/>
            <w:vAlign w:val="bottom"/>
          </w:tcPr>
          <w:p w14:paraId="0E780AB2">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2B3E1CF">
            <w:pPr>
              <w:widowControl/>
              <w:jc w:val="left"/>
              <w:rPr>
                <w:rFonts w:ascii="仿宋" w:hAnsi="仿宋" w:eastAsia="仿宋" w:cs="宋体"/>
                <w:kern w:val="0"/>
                <w:sz w:val="20"/>
                <w:szCs w:val="20"/>
              </w:rPr>
            </w:pPr>
            <w:r>
              <w:rPr>
                <w:rFonts w:hint="eastAsia" w:ascii="仿宋" w:hAnsi="仿宋" w:eastAsia="仿宋" w:cs="宋体"/>
                <w:kern w:val="0"/>
                <w:sz w:val="20"/>
                <w:szCs w:val="20"/>
              </w:rPr>
              <w:t>5≤X＜20</w:t>
            </w:r>
          </w:p>
        </w:tc>
        <w:tc>
          <w:tcPr>
            <w:tcW w:w="1636" w:type="dxa"/>
            <w:tcBorders>
              <w:top w:val="nil"/>
              <w:left w:val="nil"/>
              <w:bottom w:val="single" w:color="auto" w:sz="4" w:space="0"/>
              <w:right w:val="single" w:color="auto" w:sz="4" w:space="0"/>
            </w:tcBorders>
            <w:noWrap w:val="0"/>
            <w:vAlign w:val="bottom"/>
          </w:tcPr>
          <w:p w14:paraId="09FD79F3">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520" w:type="dxa"/>
            <w:tcBorders>
              <w:top w:val="nil"/>
              <w:left w:val="nil"/>
              <w:bottom w:val="single" w:color="auto" w:sz="4" w:space="0"/>
              <w:right w:val="single" w:color="auto" w:sz="8" w:space="0"/>
            </w:tcBorders>
            <w:noWrap w:val="0"/>
            <w:vAlign w:val="bottom"/>
          </w:tcPr>
          <w:p w14:paraId="12B45D92">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703E2AC7">
            <w:pPr>
              <w:widowControl/>
              <w:jc w:val="left"/>
              <w:rPr>
                <w:rFonts w:ascii="仿宋" w:hAnsi="仿宋" w:eastAsia="仿宋" w:cs="宋体"/>
                <w:kern w:val="0"/>
                <w:sz w:val="20"/>
                <w:szCs w:val="20"/>
              </w:rPr>
            </w:pPr>
            <w:r>
              <w:rPr>
                <w:rFonts w:hint="eastAsia" w:ascii="仿宋" w:hAnsi="仿宋" w:eastAsia="仿宋" w:cs="宋体"/>
                <w:kern w:val="0"/>
                <w:sz w:val="20"/>
                <w:szCs w:val="20"/>
              </w:rPr>
              <w:t>X＜5</w:t>
            </w:r>
          </w:p>
        </w:tc>
        <w:tc>
          <w:tcPr>
            <w:tcW w:w="1275" w:type="dxa"/>
            <w:tcBorders>
              <w:top w:val="nil"/>
              <w:left w:val="nil"/>
              <w:bottom w:val="single" w:color="auto" w:sz="4" w:space="0"/>
              <w:right w:val="single" w:color="auto" w:sz="4" w:space="0"/>
            </w:tcBorders>
            <w:noWrap w:val="0"/>
            <w:vAlign w:val="bottom"/>
          </w:tcPr>
          <w:p w14:paraId="3A513707">
            <w:pPr>
              <w:widowControl/>
              <w:jc w:val="left"/>
              <w:rPr>
                <w:rFonts w:ascii="仿宋" w:hAnsi="仿宋" w:eastAsia="仿宋" w:cs="宋体"/>
                <w:kern w:val="0"/>
                <w:sz w:val="20"/>
                <w:szCs w:val="20"/>
              </w:rPr>
            </w:pPr>
            <w:r>
              <w:rPr>
                <w:rFonts w:hint="eastAsia" w:ascii="仿宋" w:hAnsi="仿宋" w:eastAsia="仿宋" w:cs="宋体"/>
                <w:kern w:val="0"/>
                <w:sz w:val="20"/>
                <w:szCs w:val="20"/>
              </w:rPr>
              <w:t>Y＜1000</w:t>
            </w:r>
          </w:p>
        </w:tc>
        <w:tc>
          <w:tcPr>
            <w:tcW w:w="1221" w:type="dxa"/>
            <w:tcBorders>
              <w:top w:val="nil"/>
              <w:left w:val="nil"/>
              <w:bottom w:val="single" w:color="auto" w:sz="4" w:space="0"/>
              <w:right w:val="single" w:color="auto" w:sz="8" w:space="0"/>
            </w:tcBorders>
            <w:noWrap w:val="0"/>
            <w:vAlign w:val="bottom"/>
          </w:tcPr>
          <w:p w14:paraId="77C67E8C">
            <w:pPr>
              <w:widowControl/>
              <w:jc w:val="left"/>
              <w:rPr>
                <w:rFonts w:ascii="仿宋" w:hAnsi="仿宋" w:eastAsia="仿宋" w:cs="宋体"/>
                <w:kern w:val="0"/>
                <w:sz w:val="20"/>
                <w:szCs w:val="20"/>
              </w:rPr>
            </w:pPr>
          </w:p>
        </w:tc>
      </w:tr>
      <w:tr w14:paraId="40FB3F1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AA43490">
            <w:pPr>
              <w:widowControl/>
              <w:jc w:val="left"/>
              <w:rPr>
                <w:rFonts w:ascii="仿宋" w:hAnsi="仿宋" w:eastAsia="仿宋" w:cs="宋体"/>
                <w:kern w:val="0"/>
                <w:sz w:val="20"/>
                <w:szCs w:val="20"/>
              </w:rPr>
            </w:pPr>
            <w:r>
              <w:rPr>
                <w:rFonts w:hint="eastAsia" w:ascii="仿宋" w:hAnsi="仿宋" w:eastAsia="仿宋" w:cs="宋体"/>
                <w:kern w:val="0"/>
                <w:sz w:val="20"/>
                <w:szCs w:val="20"/>
              </w:rPr>
              <w:t>5、零售业</w:t>
            </w:r>
          </w:p>
        </w:tc>
        <w:tc>
          <w:tcPr>
            <w:tcW w:w="1498" w:type="dxa"/>
            <w:tcBorders>
              <w:top w:val="nil"/>
              <w:left w:val="nil"/>
              <w:bottom w:val="single" w:color="auto" w:sz="4" w:space="0"/>
              <w:right w:val="single" w:color="auto" w:sz="4" w:space="0"/>
            </w:tcBorders>
            <w:noWrap w:val="0"/>
            <w:vAlign w:val="bottom"/>
          </w:tcPr>
          <w:p w14:paraId="3ADAFC76">
            <w:pPr>
              <w:widowControl/>
              <w:jc w:val="left"/>
              <w:rPr>
                <w:rFonts w:ascii="仿宋" w:hAnsi="仿宋" w:eastAsia="仿宋" w:cs="宋体"/>
                <w:kern w:val="0"/>
                <w:sz w:val="20"/>
                <w:szCs w:val="20"/>
              </w:rPr>
            </w:pPr>
            <w:r>
              <w:rPr>
                <w:rFonts w:hint="eastAsia" w:ascii="仿宋" w:hAnsi="仿宋" w:eastAsia="仿宋" w:cs="宋体"/>
                <w:kern w:val="0"/>
                <w:sz w:val="20"/>
                <w:szCs w:val="20"/>
              </w:rPr>
              <w:t>50≤X＜300</w:t>
            </w:r>
          </w:p>
        </w:tc>
        <w:tc>
          <w:tcPr>
            <w:tcW w:w="1763" w:type="dxa"/>
            <w:tcBorders>
              <w:top w:val="nil"/>
              <w:left w:val="nil"/>
              <w:bottom w:val="single" w:color="auto" w:sz="4" w:space="0"/>
              <w:right w:val="single" w:color="auto" w:sz="4" w:space="0"/>
            </w:tcBorders>
            <w:noWrap w:val="0"/>
            <w:vAlign w:val="bottom"/>
          </w:tcPr>
          <w:p w14:paraId="12E2BF8B">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3CC09873">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728A1531">
            <w:pPr>
              <w:widowControl/>
              <w:jc w:val="left"/>
              <w:rPr>
                <w:rFonts w:ascii="仿宋" w:hAnsi="仿宋" w:eastAsia="仿宋" w:cs="宋体"/>
                <w:kern w:val="0"/>
                <w:sz w:val="20"/>
                <w:szCs w:val="20"/>
              </w:rPr>
            </w:pPr>
            <w:r>
              <w:rPr>
                <w:rFonts w:hint="eastAsia" w:ascii="仿宋" w:hAnsi="仿宋" w:eastAsia="仿宋" w:cs="宋体"/>
                <w:kern w:val="0"/>
                <w:sz w:val="20"/>
                <w:szCs w:val="20"/>
              </w:rPr>
              <w:t>10≤X＜50</w:t>
            </w:r>
          </w:p>
        </w:tc>
        <w:tc>
          <w:tcPr>
            <w:tcW w:w="1636" w:type="dxa"/>
            <w:tcBorders>
              <w:top w:val="nil"/>
              <w:left w:val="nil"/>
              <w:bottom w:val="single" w:color="auto" w:sz="4" w:space="0"/>
              <w:right w:val="single" w:color="auto" w:sz="4" w:space="0"/>
            </w:tcBorders>
            <w:noWrap w:val="0"/>
            <w:vAlign w:val="bottom"/>
          </w:tcPr>
          <w:p w14:paraId="23C62C89">
            <w:pPr>
              <w:widowControl/>
              <w:jc w:val="left"/>
              <w:rPr>
                <w:rFonts w:ascii="仿宋" w:hAnsi="仿宋" w:eastAsia="仿宋" w:cs="宋体"/>
                <w:kern w:val="0"/>
                <w:sz w:val="20"/>
                <w:szCs w:val="20"/>
              </w:rPr>
            </w:pPr>
            <w:r>
              <w:rPr>
                <w:rFonts w:hint="eastAsia" w:ascii="仿宋" w:hAnsi="仿宋" w:eastAsia="仿宋" w:cs="宋体"/>
                <w:kern w:val="0"/>
                <w:sz w:val="20"/>
                <w:szCs w:val="20"/>
              </w:rPr>
              <w:t>100≤Y＜500</w:t>
            </w:r>
          </w:p>
        </w:tc>
        <w:tc>
          <w:tcPr>
            <w:tcW w:w="1520" w:type="dxa"/>
            <w:tcBorders>
              <w:top w:val="nil"/>
              <w:left w:val="nil"/>
              <w:bottom w:val="single" w:color="auto" w:sz="4" w:space="0"/>
              <w:right w:val="single" w:color="auto" w:sz="8" w:space="0"/>
            </w:tcBorders>
            <w:noWrap w:val="0"/>
            <w:vAlign w:val="bottom"/>
          </w:tcPr>
          <w:p w14:paraId="11304602">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1CCB2401">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6FA7E804">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8953FDB">
            <w:pPr>
              <w:widowControl/>
              <w:jc w:val="left"/>
              <w:rPr>
                <w:rFonts w:ascii="仿宋" w:hAnsi="仿宋" w:eastAsia="仿宋" w:cs="宋体"/>
                <w:kern w:val="0"/>
                <w:sz w:val="20"/>
                <w:szCs w:val="20"/>
              </w:rPr>
            </w:pPr>
          </w:p>
        </w:tc>
      </w:tr>
      <w:tr w14:paraId="07B7879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B6418DC">
            <w:pPr>
              <w:widowControl/>
              <w:jc w:val="left"/>
              <w:rPr>
                <w:rFonts w:ascii="仿宋" w:hAnsi="仿宋" w:eastAsia="仿宋" w:cs="宋体"/>
                <w:kern w:val="0"/>
                <w:sz w:val="20"/>
                <w:szCs w:val="20"/>
              </w:rPr>
            </w:pPr>
            <w:r>
              <w:rPr>
                <w:rFonts w:hint="eastAsia" w:ascii="仿宋" w:hAnsi="仿宋" w:eastAsia="仿宋" w:cs="宋体"/>
                <w:kern w:val="0"/>
                <w:sz w:val="20"/>
                <w:szCs w:val="20"/>
              </w:rPr>
              <w:t>6、交通运输业</w:t>
            </w:r>
          </w:p>
        </w:tc>
        <w:tc>
          <w:tcPr>
            <w:tcW w:w="1498" w:type="dxa"/>
            <w:tcBorders>
              <w:top w:val="nil"/>
              <w:left w:val="nil"/>
              <w:bottom w:val="single" w:color="auto" w:sz="4" w:space="0"/>
              <w:right w:val="single" w:color="auto" w:sz="4" w:space="0"/>
            </w:tcBorders>
            <w:noWrap w:val="0"/>
            <w:vAlign w:val="bottom"/>
          </w:tcPr>
          <w:p w14:paraId="275BA074">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4F199782">
            <w:pPr>
              <w:widowControl/>
              <w:jc w:val="left"/>
              <w:rPr>
                <w:rFonts w:ascii="仿宋" w:hAnsi="仿宋" w:eastAsia="仿宋" w:cs="宋体"/>
                <w:kern w:val="0"/>
                <w:sz w:val="20"/>
                <w:szCs w:val="20"/>
              </w:rPr>
            </w:pPr>
            <w:r>
              <w:rPr>
                <w:rFonts w:hint="eastAsia" w:ascii="仿宋" w:hAnsi="仿宋" w:eastAsia="仿宋" w:cs="宋体"/>
                <w:kern w:val="0"/>
                <w:sz w:val="20"/>
                <w:szCs w:val="20"/>
              </w:rPr>
              <w:t>3000≤Y＜30000</w:t>
            </w:r>
          </w:p>
        </w:tc>
        <w:tc>
          <w:tcPr>
            <w:tcW w:w="1660" w:type="dxa"/>
            <w:tcBorders>
              <w:top w:val="nil"/>
              <w:left w:val="nil"/>
              <w:bottom w:val="single" w:color="auto" w:sz="4" w:space="0"/>
              <w:right w:val="single" w:color="auto" w:sz="8" w:space="0"/>
            </w:tcBorders>
            <w:noWrap w:val="0"/>
            <w:vAlign w:val="bottom"/>
          </w:tcPr>
          <w:p w14:paraId="78DEC0FB">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3A3FC2A">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3057F87D">
            <w:pPr>
              <w:widowControl/>
              <w:jc w:val="left"/>
              <w:rPr>
                <w:rFonts w:ascii="仿宋" w:hAnsi="仿宋" w:eastAsia="仿宋" w:cs="宋体"/>
                <w:kern w:val="0"/>
                <w:sz w:val="20"/>
                <w:szCs w:val="20"/>
              </w:rPr>
            </w:pPr>
            <w:r>
              <w:rPr>
                <w:rFonts w:hint="eastAsia" w:ascii="仿宋" w:hAnsi="仿宋" w:eastAsia="仿宋" w:cs="宋体"/>
                <w:kern w:val="0"/>
                <w:sz w:val="20"/>
                <w:szCs w:val="20"/>
              </w:rPr>
              <w:t>200≤Y＜3000</w:t>
            </w:r>
          </w:p>
        </w:tc>
        <w:tc>
          <w:tcPr>
            <w:tcW w:w="1520" w:type="dxa"/>
            <w:tcBorders>
              <w:top w:val="nil"/>
              <w:left w:val="nil"/>
              <w:bottom w:val="single" w:color="auto" w:sz="4" w:space="0"/>
              <w:right w:val="single" w:color="auto" w:sz="8" w:space="0"/>
            </w:tcBorders>
            <w:noWrap w:val="0"/>
            <w:vAlign w:val="bottom"/>
          </w:tcPr>
          <w:p w14:paraId="01EC0D4A">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3C01E59F">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0616D5E4">
            <w:pPr>
              <w:widowControl/>
              <w:jc w:val="left"/>
              <w:rPr>
                <w:rFonts w:ascii="仿宋" w:hAnsi="仿宋" w:eastAsia="仿宋" w:cs="宋体"/>
                <w:kern w:val="0"/>
                <w:sz w:val="20"/>
                <w:szCs w:val="20"/>
              </w:rPr>
            </w:pPr>
            <w:r>
              <w:rPr>
                <w:rFonts w:hint="eastAsia" w:ascii="仿宋" w:hAnsi="仿宋" w:eastAsia="仿宋" w:cs="宋体"/>
                <w:kern w:val="0"/>
                <w:sz w:val="20"/>
                <w:szCs w:val="20"/>
              </w:rPr>
              <w:t>V＜200</w:t>
            </w:r>
          </w:p>
        </w:tc>
        <w:tc>
          <w:tcPr>
            <w:tcW w:w="1221" w:type="dxa"/>
            <w:tcBorders>
              <w:top w:val="nil"/>
              <w:left w:val="nil"/>
              <w:bottom w:val="single" w:color="auto" w:sz="4" w:space="0"/>
              <w:right w:val="single" w:color="auto" w:sz="8" w:space="0"/>
            </w:tcBorders>
            <w:noWrap w:val="0"/>
            <w:vAlign w:val="bottom"/>
          </w:tcPr>
          <w:p w14:paraId="6C928141">
            <w:pPr>
              <w:widowControl/>
              <w:jc w:val="left"/>
              <w:rPr>
                <w:rFonts w:ascii="仿宋" w:hAnsi="仿宋" w:eastAsia="仿宋" w:cs="宋体"/>
                <w:kern w:val="0"/>
                <w:sz w:val="20"/>
                <w:szCs w:val="20"/>
              </w:rPr>
            </w:pPr>
          </w:p>
        </w:tc>
      </w:tr>
      <w:tr w14:paraId="373E9A3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065B4C7">
            <w:pPr>
              <w:widowControl/>
              <w:jc w:val="left"/>
              <w:rPr>
                <w:rFonts w:ascii="仿宋" w:hAnsi="仿宋" w:eastAsia="仿宋" w:cs="宋体"/>
                <w:kern w:val="0"/>
                <w:sz w:val="20"/>
                <w:szCs w:val="20"/>
              </w:rPr>
            </w:pPr>
            <w:r>
              <w:rPr>
                <w:rFonts w:hint="eastAsia" w:ascii="仿宋" w:hAnsi="仿宋" w:eastAsia="仿宋" w:cs="宋体"/>
                <w:kern w:val="0"/>
                <w:sz w:val="20"/>
                <w:szCs w:val="20"/>
              </w:rPr>
              <w:t>7、仓储业</w:t>
            </w:r>
          </w:p>
        </w:tc>
        <w:tc>
          <w:tcPr>
            <w:tcW w:w="1498" w:type="dxa"/>
            <w:tcBorders>
              <w:top w:val="nil"/>
              <w:left w:val="nil"/>
              <w:bottom w:val="single" w:color="auto" w:sz="4" w:space="0"/>
              <w:right w:val="single" w:color="auto" w:sz="4" w:space="0"/>
            </w:tcBorders>
            <w:noWrap w:val="0"/>
            <w:vAlign w:val="bottom"/>
          </w:tcPr>
          <w:p w14:paraId="7A4569C9">
            <w:pPr>
              <w:widowControl/>
              <w:jc w:val="left"/>
              <w:rPr>
                <w:rFonts w:ascii="仿宋" w:hAnsi="仿宋" w:eastAsia="仿宋" w:cs="宋体"/>
                <w:kern w:val="0"/>
                <w:sz w:val="20"/>
                <w:szCs w:val="20"/>
              </w:rPr>
            </w:pPr>
            <w:r>
              <w:rPr>
                <w:rFonts w:hint="eastAsia" w:ascii="仿宋" w:hAnsi="仿宋" w:eastAsia="仿宋" w:cs="宋体"/>
                <w:kern w:val="0"/>
                <w:sz w:val="20"/>
                <w:szCs w:val="20"/>
              </w:rPr>
              <w:t>100≤X＜200</w:t>
            </w:r>
          </w:p>
        </w:tc>
        <w:tc>
          <w:tcPr>
            <w:tcW w:w="1763" w:type="dxa"/>
            <w:tcBorders>
              <w:top w:val="nil"/>
              <w:left w:val="nil"/>
              <w:bottom w:val="single" w:color="auto" w:sz="4" w:space="0"/>
              <w:right w:val="single" w:color="auto" w:sz="4" w:space="0"/>
            </w:tcBorders>
            <w:noWrap w:val="0"/>
            <w:vAlign w:val="bottom"/>
          </w:tcPr>
          <w:p w14:paraId="4A55E40A">
            <w:pPr>
              <w:widowControl/>
              <w:jc w:val="left"/>
              <w:rPr>
                <w:rFonts w:ascii="仿宋" w:hAnsi="仿宋" w:eastAsia="仿宋" w:cs="宋体"/>
                <w:kern w:val="0"/>
                <w:sz w:val="20"/>
                <w:szCs w:val="20"/>
              </w:rPr>
            </w:pPr>
            <w:r>
              <w:rPr>
                <w:rFonts w:hint="eastAsia" w:ascii="仿宋" w:hAnsi="仿宋" w:eastAsia="仿宋" w:cs="宋体"/>
                <w:kern w:val="0"/>
                <w:sz w:val="20"/>
                <w:szCs w:val="20"/>
              </w:rPr>
              <w:t>1000≤Y＜30000</w:t>
            </w:r>
          </w:p>
        </w:tc>
        <w:tc>
          <w:tcPr>
            <w:tcW w:w="1660" w:type="dxa"/>
            <w:tcBorders>
              <w:top w:val="nil"/>
              <w:left w:val="nil"/>
              <w:bottom w:val="single" w:color="auto" w:sz="4" w:space="0"/>
              <w:right w:val="single" w:color="auto" w:sz="8" w:space="0"/>
            </w:tcBorders>
            <w:noWrap w:val="0"/>
            <w:vAlign w:val="bottom"/>
          </w:tcPr>
          <w:p w14:paraId="460AADBF">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6D52FD08">
            <w:pPr>
              <w:widowControl/>
              <w:jc w:val="left"/>
              <w:rPr>
                <w:rFonts w:ascii="仿宋" w:hAnsi="仿宋" w:eastAsia="仿宋" w:cs="宋体"/>
                <w:kern w:val="0"/>
                <w:sz w:val="20"/>
                <w:szCs w:val="20"/>
              </w:rPr>
            </w:pPr>
            <w:r>
              <w:rPr>
                <w:rFonts w:hint="eastAsia" w:ascii="仿宋" w:hAnsi="仿宋" w:eastAsia="仿宋" w:cs="宋体"/>
                <w:kern w:val="0"/>
                <w:sz w:val="20"/>
                <w:szCs w:val="20"/>
              </w:rPr>
              <w:t>20≤X＜100</w:t>
            </w:r>
          </w:p>
        </w:tc>
        <w:tc>
          <w:tcPr>
            <w:tcW w:w="1636" w:type="dxa"/>
            <w:tcBorders>
              <w:top w:val="nil"/>
              <w:left w:val="nil"/>
              <w:bottom w:val="single" w:color="auto" w:sz="4" w:space="0"/>
              <w:right w:val="single" w:color="auto" w:sz="4" w:space="0"/>
            </w:tcBorders>
            <w:noWrap w:val="0"/>
            <w:vAlign w:val="bottom"/>
          </w:tcPr>
          <w:p w14:paraId="20A4D6D2">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13D063DB">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6ECE5AE">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66FF027C">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18DEDECF">
            <w:pPr>
              <w:widowControl/>
              <w:jc w:val="left"/>
              <w:rPr>
                <w:rFonts w:ascii="仿宋" w:hAnsi="仿宋" w:eastAsia="仿宋" w:cs="宋体"/>
                <w:kern w:val="0"/>
                <w:sz w:val="20"/>
                <w:szCs w:val="20"/>
              </w:rPr>
            </w:pPr>
          </w:p>
        </w:tc>
      </w:tr>
      <w:tr w14:paraId="5B18252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C4B7F17">
            <w:pPr>
              <w:widowControl/>
              <w:jc w:val="left"/>
              <w:rPr>
                <w:rFonts w:ascii="仿宋" w:hAnsi="仿宋" w:eastAsia="仿宋" w:cs="宋体"/>
                <w:kern w:val="0"/>
                <w:sz w:val="20"/>
                <w:szCs w:val="20"/>
              </w:rPr>
            </w:pPr>
            <w:r>
              <w:rPr>
                <w:rFonts w:hint="eastAsia" w:ascii="仿宋" w:hAnsi="仿宋" w:eastAsia="仿宋" w:cs="宋体"/>
                <w:kern w:val="0"/>
                <w:sz w:val="20"/>
                <w:szCs w:val="20"/>
              </w:rPr>
              <w:t>8、邮政业</w:t>
            </w:r>
          </w:p>
        </w:tc>
        <w:tc>
          <w:tcPr>
            <w:tcW w:w="1498" w:type="dxa"/>
            <w:tcBorders>
              <w:top w:val="nil"/>
              <w:left w:val="nil"/>
              <w:bottom w:val="single" w:color="auto" w:sz="4" w:space="0"/>
              <w:right w:val="single" w:color="auto" w:sz="4" w:space="0"/>
            </w:tcBorders>
            <w:noWrap w:val="0"/>
            <w:vAlign w:val="bottom"/>
          </w:tcPr>
          <w:p w14:paraId="0FE9AD1F">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34F079E0">
            <w:pPr>
              <w:widowControl/>
              <w:jc w:val="left"/>
              <w:rPr>
                <w:rFonts w:ascii="仿宋" w:hAnsi="仿宋" w:eastAsia="仿宋" w:cs="宋体"/>
                <w:kern w:val="0"/>
                <w:sz w:val="20"/>
                <w:szCs w:val="20"/>
              </w:rPr>
            </w:pPr>
            <w:r>
              <w:rPr>
                <w:rFonts w:hint="eastAsia" w:ascii="仿宋" w:hAnsi="仿宋" w:eastAsia="仿宋" w:cs="宋体"/>
                <w:kern w:val="0"/>
                <w:sz w:val="20"/>
                <w:szCs w:val="20"/>
              </w:rPr>
              <w:t>2000≤Y＜30000</w:t>
            </w:r>
          </w:p>
        </w:tc>
        <w:tc>
          <w:tcPr>
            <w:tcW w:w="1660" w:type="dxa"/>
            <w:tcBorders>
              <w:top w:val="nil"/>
              <w:left w:val="nil"/>
              <w:bottom w:val="single" w:color="auto" w:sz="4" w:space="0"/>
              <w:right w:val="single" w:color="auto" w:sz="8" w:space="0"/>
            </w:tcBorders>
            <w:noWrap w:val="0"/>
            <w:vAlign w:val="bottom"/>
          </w:tcPr>
          <w:p w14:paraId="290E9B40">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8BBC821">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1523F46C">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2F37487D">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32BB6A27">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038AC3AB">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38331D4E">
            <w:pPr>
              <w:widowControl/>
              <w:jc w:val="left"/>
              <w:rPr>
                <w:rFonts w:ascii="仿宋" w:hAnsi="仿宋" w:eastAsia="仿宋" w:cs="宋体"/>
                <w:kern w:val="0"/>
                <w:sz w:val="20"/>
                <w:szCs w:val="20"/>
              </w:rPr>
            </w:pPr>
          </w:p>
        </w:tc>
      </w:tr>
      <w:tr w14:paraId="679FD84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D318FB2">
            <w:pPr>
              <w:widowControl/>
              <w:jc w:val="left"/>
              <w:rPr>
                <w:rFonts w:ascii="仿宋" w:hAnsi="仿宋" w:eastAsia="仿宋" w:cs="宋体"/>
                <w:kern w:val="0"/>
                <w:sz w:val="20"/>
                <w:szCs w:val="20"/>
              </w:rPr>
            </w:pPr>
            <w:r>
              <w:rPr>
                <w:rFonts w:hint="eastAsia" w:ascii="仿宋" w:hAnsi="仿宋" w:eastAsia="仿宋" w:cs="宋体"/>
                <w:kern w:val="0"/>
                <w:sz w:val="20"/>
                <w:szCs w:val="20"/>
              </w:rPr>
              <w:t>9、住宿业</w:t>
            </w:r>
          </w:p>
        </w:tc>
        <w:tc>
          <w:tcPr>
            <w:tcW w:w="1498" w:type="dxa"/>
            <w:tcBorders>
              <w:top w:val="nil"/>
              <w:left w:val="nil"/>
              <w:bottom w:val="single" w:color="auto" w:sz="4" w:space="0"/>
              <w:right w:val="single" w:color="auto" w:sz="4" w:space="0"/>
            </w:tcBorders>
            <w:noWrap w:val="0"/>
            <w:vAlign w:val="bottom"/>
          </w:tcPr>
          <w:p w14:paraId="6F72D128">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40306ECC">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3F321FD5">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7998CF89">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2DA2011D">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04CDD503">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C1BE966">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44634FBB">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A5B8EEC">
            <w:pPr>
              <w:widowControl/>
              <w:jc w:val="left"/>
              <w:rPr>
                <w:rFonts w:ascii="仿宋" w:hAnsi="仿宋" w:eastAsia="仿宋" w:cs="宋体"/>
                <w:kern w:val="0"/>
                <w:sz w:val="20"/>
                <w:szCs w:val="20"/>
              </w:rPr>
            </w:pPr>
          </w:p>
        </w:tc>
      </w:tr>
      <w:tr w14:paraId="4A99216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5A99E03">
            <w:pPr>
              <w:widowControl/>
              <w:jc w:val="left"/>
              <w:rPr>
                <w:rFonts w:ascii="仿宋" w:hAnsi="仿宋" w:eastAsia="仿宋" w:cs="宋体"/>
                <w:kern w:val="0"/>
                <w:sz w:val="20"/>
                <w:szCs w:val="20"/>
              </w:rPr>
            </w:pPr>
            <w:r>
              <w:rPr>
                <w:rFonts w:hint="eastAsia" w:ascii="仿宋" w:hAnsi="仿宋" w:eastAsia="仿宋" w:cs="宋体"/>
                <w:kern w:val="0"/>
                <w:sz w:val="20"/>
                <w:szCs w:val="20"/>
              </w:rPr>
              <w:t>10、餐饮业</w:t>
            </w:r>
          </w:p>
        </w:tc>
        <w:tc>
          <w:tcPr>
            <w:tcW w:w="1498" w:type="dxa"/>
            <w:tcBorders>
              <w:top w:val="nil"/>
              <w:left w:val="nil"/>
              <w:bottom w:val="single" w:color="auto" w:sz="4" w:space="0"/>
              <w:right w:val="single" w:color="auto" w:sz="4" w:space="0"/>
            </w:tcBorders>
            <w:noWrap w:val="0"/>
            <w:vAlign w:val="bottom"/>
          </w:tcPr>
          <w:p w14:paraId="36AF6F7A">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69F11687">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762503A2">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22CA3B94">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65362514">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7C5637D1">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6B8BB86">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51CBE64E">
            <w:pPr>
              <w:widowControl/>
              <w:jc w:val="left"/>
              <w:rPr>
                <w:rFonts w:ascii="仿宋" w:hAnsi="仿宋" w:eastAsia="仿宋" w:cs="宋体"/>
                <w:kern w:val="0"/>
                <w:sz w:val="20"/>
                <w:szCs w:val="20"/>
              </w:rPr>
            </w:pPr>
            <w:r>
              <w:rPr>
                <w:rFonts w:hint="eastAsia" w:ascii="仿宋" w:hAnsi="仿宋" w:eastAsia="仿宋" w:cs="宋体"/>
                <w:kern w:val="0"/>
                <w:sz w:val="20"/>
                <w:szCs w:val="20"/>
              </w:rPr>
              <w:t>V＜100</w:t>
            </w:r>
          </w:p>
        </w:tc>
        <w:tc>
          <w:tcPr>
            <w:tcW w:w="1221" w:type="dxa"/>
            <w:tcBorders>
              <w:top w:val="nil"/>
              <w:left w:val="nil"/>
              <w:bottom w:val="single" w:color="auto" w:sz="4" w:space="0"/>
              <w:right w:val="single" w:color="auto" w:sz="8" w:space="0"/>
            </w:tcBorders>
            <w:noWrap w:val="0"/>
            <w:vAlign w:val="bottom"/>
          </w:tcPr>
          <w:p w14:paraId="214EB84A">
            <w:pPr>
              <w:widowControl/>
              <w:jc w:val="left"/>
              <w:rPr>
                <w:rFonts w:ascii="仿宋" w:hAnsi="仿宋" w:eastAsia="仿宋" w:cs="宋体"/>
                <w:kern w:val="0"/>
                <w:sz w:val="20"/>
                <w:szCs w:val="20"/>
              </w:rPr>
            </w:pPr>
          </w:p>
        </w:tc>
      </w:tr>
      <w:tr w14:paraId="707DBCE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9DA9BDD">
            <w:pPr>
              <w:widowControl/>
              <w:jc w:val="left"/>
              <w:rPr>
                <w:rFonts w:ascii="仿宋" w:hAnsi="仿宋" w:eastAsia="仿宋" w:cs="宋体"/>
                <w:kern w:val="0"/>
                <w:sz w:val="20"/>
                <w:szCs w:val="20"/>
              </w:rPr>
            </w:pPr>
            <w:r>
              <w:rPr>
                <w:rFonts w:hint="eastAsia" w:ascii="仿宋" w:hAnsi="仿宋" w:eastAsia="仿宋" w:cs="宋体"/>
                <w:kern w:val="0"/>
                <w:sz w:val="20"/>
                <w:szCs w:val="20"/>
              </w:rPr>
              <w:t>11、信息传输业</w:t>
            </w:r>
          </w:p>
        </w:tc>
        <w:tc>
          <w:tcPr>
            <w:tcW w:w="1498" w:type="dxa"/>
            <w:tcBorders>
              <w:top w:val="nil"/>
              <w:left w:val="nil"/>
              <w:bottom w:val="single" w:color="auto" w:sz="4" w:space="0"/>
              <w:right w:val="single" w:color="auto" w:sz="4" w:space="0"/>
            </w:tcBorders>
            <w:noWrap w:val="0"/>
            <w:vAlign w:val="bottom"/>
          </w:tcPr>
          <w:p w14:paraId="39E63507">
            <w:pPr>
              <w:widowControl/>
              <w:jc w:val="left"/>
              <w:rPr>
                <w:rFonts w:ascii="仿宋" w:hAnsi="仿宋" w:eastAsia="仿宋" w:cs="宋体"/>
                <w:kern w:val="0"/>
                <w:sz w:val="20"/>
                <w:szCs w:val="20"/>
              </w:rPr>
            </w:pPr>
            <w:r>
              <w:rPr>
                <w:rFonts w:hint="eastAsia" w:ascii="仿宋" w:hAnsi="仿宋" w:eastAsia="仿宋" w:cs="宋体"/>
                <w:kern w:val="0"/>
                <w:sz w:val="20"/>
                <w:szCs w:val="20"/>
              </w:rPr>
              <w:t>100≤X＜2000</w:t>
            </w:r>
          </w:p>
        </w:tc>
        <w:tc>
          <w:tcPr>
            <w:tcW w:w="1763" w:type="dxa"/>
            <w:tcBorders>
              <w:top w:val="nil"/>
              <w:left w:val="nil"/>
              <w:bottom w:val="single" w:color="auto" w:sz="4" w:space="0"/>
              <w:right w:val="single" w:color="auto" w:sz="4" w:space="0"/>
            </w:tcBorders>
            <w:noWrap w:val="0"/>
            <w:vAlign w:val="bottom"/>
          </w:tcPr>
          <w:p w14:paraId="5C8E6F92">
            <w:pPr>
              <w:widowControl/>
              <w:jc w:val="left"/>
              <w:rPr>
                <w:rFonts w:ascii="仿宋" w:hAnsi="仿宋" w:eastAsia="仿宋" w:cs="宋体"/>
                <w:kern w:val="0"/>
                <w:sz w:val="20"/>
                <w:szCs w:val="20"/>
              </w:rPr>
            </w:pPr>
            <w:r>
              <w:rPr>
                <w:rFonts w:hint="eastAsia" w:ascii="仿宋" w:hAnsi="仿宋" w:eastAsia="仿宋" w:cs="宋体"/>
                <w:kern w:val="0"/>
                <w:sz w:val="20"/>
                <w:szCs w:val="20"/>
              </w:rPr>
              <w:t>1000≤Y＜100000</w:t>
            </w:r>
          </w:p>
        </w:tc>
        <w:tc>
          <w:tcPr>
            <w:tcW w:w="1660" w:type="dxa"/>
            <w:tcBorders>
              <w:top w:val="nil"/>
              <w:left w:val="nil"/>
              <w:bottom w:val="single" w:color="auto" w:sz="4" w:space="0"/>
              <w:right w:val="single" w:color="auto" w:sz="8" w:space="0"/>
            </w:tcBorders>
            <w:noWrap w:val="0"/>
            <w:vAlign w:val="bottom"/>
          </w:tcPr>
          <w:p w14:paraId="6FAA36F4">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18E1CB1">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40134897">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4F1EB231">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7DF9AAED">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369DC492">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F56639B">
            <w:pPr>
              <w:widowControl/>
              <w:jc w:val="left"/>
              <w:rPr>
                <w:rFonts w:ascii="仿宋" w:hAnsi="仿宋" w:eastAsia="仿宋" w:cs="宋体"/>
                <w:kern w:val="0"/>
                <w:sz w:val="20"/>
                <w:szCs w:val="20"/>
              </w:rPr>
            </w:pPr>
          </w:p>
        </w:tc>
      </w:tr>
      <w:tr w14:paraId="2E87220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A263CDA">
            <w:pPr>
              <w:widowControl/>
              <w:jc w:val="left"/>
              <w:rPr>
                <w:rFonts w:ascii="仿宋" w:hAnsi="仿宋" w:eastAsia="仿宋" w:cs="宋体"/>
                <w:kern w:val="0"/>
                <w:sz w:val="20"/>
                <w:szCs w:val="20"/>
              </w:rPr>
            </w:pPr>
            <w:r>
              <w:rPr>
                <w:rFonts w:hint="eastAsia" w:ascii="仿宋" w:hAnsi="仿宋" w:eastAsia="仿宋" w:cs="宋体"/>
                <w:kern w:val="0"/>
                <w:sz w:val="20"/>
                <w:szCs w:val="20"/>
              </w:rPr>
              <w:t>12、软件和信息技术服务业</w:t>
            </w:r>
          </w:p>
        </w:tc>
        <w:tc>
          <w:tcPr>
            <w:tcW w:w="1498" w:type="dxa"/>
            <w:tcBorders>
              <w:top w:val="nil"/>
              <w:left w:val="nil"/>
              <w:bottom w:val="single" w:color="auto" w:sz="4" w:space="0"/>
              <w:right w:val="single" w:color="auto" w:sz="4" w:space="0"/>
            </w:tcBorders>
            <w:noWrap w:val="0"/>
            <w:vAlign w:val="bottom"/>
          </w:tcPr>
          <w:p w14:paraId="50A1118B">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7B66325A">
            <w:pPr>
              <w:widowControl/>
              <w:jc w:val="left"/>
              <w:rPr>
                <w:rFonts w:ascii="仿宋" w:hAnsi="仿宋" w:eastAsia="仿宋" w:cs="宋体"/>
                <w:kern w:val="0"/>
                <w:sz w:val="20"/>
                <w:szCs w:val="20"/>
              </w:rPr>
            </w:pPr>
            <w:r>
              <w:rPr>
                <w:rFonts w:hint="eastAsia" w:ascii="仿宋" w:hAnsi="仿宋" w:eastAsia="仿宋" w:cs="宋体"/>
                <w:kern w:val="0"/>
                <w:sz w:val="20"/>
                <w:szCs w:val="20"/>
              </w:rPr>
              <w:t>1000≤Y＜10000</w:t>
            </w:r>
          </w:p>
        </w:tc>
        <w:tc>
          <w:tcPr>
            <w:tcW w:w="1660" w:type="dxa"/>
            <w:tcBorders>
              <w:top w:val="nil"/>
              <w:left w:val="nil"/>
              <w:bottom w:val="single" w:color="auto" w:sz="4" w:space="0"/>
              <w:right w:val="single" w:color="auto" w:sz="8" w:space="0"/>
            </w:tcBorders>
            <w:noWrap w:val="0"/>
            <w:vAlign w:val="bottom"/>
          </w:tcPr>
          <w:p w14:paraId="1CF3B6BB">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44E170ED">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13555DDB">
            <w:pPr>
              <w:widowControl/>
              <w:jc w:val="left"/>
              <w:rPr>
                <w:rFonts w:ascii="仿宋" w:hAnsi="仿宋" w:eastAsia="仿宋" w:cs="宋体"/>
                <w:kern w:val="0"/>
                <w:sz w:val="20"/>
                <w:szCs w:val="20"/>
              </w:rPr>
            </w:pPr>
            <w:r>
              <w:rPr>
                <w:rFonts w:hint="eastAsia" w:ascii="仿宋" w:hAnsi="仿宋" w:eastAsia="仿宋" w:cs="宋体"/>
                <w:kern w:val="0"/>
                <w:sz w:val="20"/>
                <w:szCs w:val="20"/>
              </w:rPr>
              <w:t>50≤Y＜1000</w:t>
            </w:r>
          </w:p>
        </w:tc>
        <w:tc>
          <w:tcPr>
            <w:tcW w:w="1520" w:type="dxa"/>
            <w:tcBorders>
              <w:top w:val="nil"/>
              <w:left w:val="nil"/>
              <w:bottom w:val="single" w:color="auto" w:sz="4" w:space="0"/>
              <w:right w:val="single" w:color="auto" w:sz="8" w:space="0"/>
            </w:tcBorders>
            <w:noWrap w:val="0"/>
            <w:vAlign w:val="bottom"/>
          </w:tcPr>
          <w:p w14:paraId="2B014EBE">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1185451F">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1A86C2C6">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6ACC9087">
            <w:pPr>
              <w:widowControl/>
              <w:jc w:val="left"/>
              <w:rPr>
                <w:rFonts w:ascii="仿宋" w:hAnsi="仿宋" w:eastAsia="仿宋" w:cs="宋体"/>
                <w:kern w:val="0"/>
                <w:sz w:val="20"/>
                <w:szCs w:val="20"/>
              </w:rPr>
            </w:pPr>
          </w:p>
        </w:tc>
      </w:tr>
      <w:tr w14:paraId="6269BC6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42C2E61">
            <w:pPr>
              <w:widowControl/>
              <w:jc w:val="left"/>
              <w:rPr>
                <w:rFonts w:ascii="仿宋" w:hAnsi="仿宋" w:eastAsia="仿宋" w:cs="宋体"/>
                <w:kern w:val="0"/>
                <w:sz w:val="20"/>
                <w:szCs w:val="20"/>
              </w:rPr>
            </w:pPr>
            <w:r>
              <w:rPr>
                <w:rFonts w:hint="eastAsia" w:ascii="仿宋" w:hAnsi="仿宋" w:eastAsia="仿宋" w:cs="宋体"/>
                <w:kern w:val="0"/>
                <w:sz w:val="20"/>
                <w:szCs w:val="20"/>
              </w:rPr>
              <w:t>13、房地产开发经营</w:t>
            </w:r>
          </w:p>
        </w:tc>
        <w:tc>
          <w:tcPr>
            <w:tcW w:w="1498" w:type="dxa"/>
            <w:tcBorders>
              <w:top w:val="nil"/>
              <w:left w:val="nil"/>
              <w:bottom w:val="single" w:color="auto" w:sz="4" w:space="0"/>
              <w:right w:val="single" w:color="auto" w:sz="4" w:space="0"/>
            </w:tcBorders>
            <w:noWrap w:val="0"/>
            <w:vAlign w:val="bottom"/>
          </w:tcPr>
          <w:p w14:paraId="2696FB37">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247D46E8">
            <w:pPr>
              <w:widowControl/>
              <w:jc w:val="left"/>
              <w:rPr>
                <w:rFonts w:ascii="仿宋" w:hAnsi="仿宋" w:eastAsia="仿宋" w:cs="宋体"/>
                <w:kern w:val="0"/>
                <w:sz w:val="20"/>
                <w:szCs w:val="20"/>
              </w:rPr>
            </w:pPr>
            <w:r>
              <w:rPr>
                <w:rFonts w:hint="eastAsia" w:ascii="仿宋" w:hAnsi="仿宋" w:eastAsia="仿宋" w:cs="宋体"/>
                <w:kern w:val="0"/>
                <w:sz w:val="20"/>
                <w:szCs w:val="20"/>
              </w:rPr>
              <w:t>1000≤Y＜200000</w:t>
            </w:r>
          </w:p>
        </w:tc>
        <w:tc>
          <w:tcPr>
            <w:tcW w:w="1660" w:type="dxa"/>
            <w:tcBorders>
              <w:top w:val="nil"/>
              <w:left w:val="nil"/>
              <w:bottom w:val="single" w:color="auto" w:sz="4" w:space="0"/>
              <w:right w:val="single" w:color="auto" w:sz="8" w:space="0"/>
            </w:tcBorders>
            <w:noWrap w:val="0"/>
            <w:vAlign w:val="bottom"/>
          </w:tcPr>
          <w:p w14:paraId="7F7A71A4">
            <w:pPr>
              <w:widowControl/>
              <w:jc w:val="left"/>
              <w:rPr>
                <w:rFonts w:ascii="仿宋" w:hAnsi="仿宋" w:eastAsia="仿宋" w:cs="宋体"/>
                <w:kern w:val="0"/>
                <w:sz w:val="20"/>
                <w:szCs w:val="20"/>
              </w:rPr>
            </w:pPr>
            <w:r>
              <w:rPr>
                <w:rFonts w:hint="eastAsia" w:ascii="仿宋" w:hAnsi="仿宋" w:eastAsia="仿宋" w:cs="宋体"/>
                <w:kern w:val="0"/>
                <w:sz w:val="20"/>
                <w:szCs w:val="20"/>
              </w:rPr>
              <w:t>5000≤Z＜10000</w:t>
            </w:r>
          </w:p>
        </w:tc>
        <w:tc>
          <w:tcPr>
            <w:tcW w:w="1458" w:type="dxa"/>
            <w:tcBorders>
              <w:top w:val="nil"/>
              <w:left w:val="nil"/>
              <w:bottom w:val="single" w:color="auto" w:sz="4" w:space="0"/>
              <w:right w:val="single" w:color="auto" w:sz="4" w:space="0"/>
            </w:tcBorders>
            <w:noWrap w:val="0"/>
            <w:vAlign w:val="bottom"/>
          </w:tcPr>
          <w:p w14:paraId="559B982A">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2E4E4C76">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3455C747">
            <w:pPr>
              <w:widowControl/>
              <w:jc w:val="left"/>
              <w:rPr>
                <w:rFonts w:ascii="仿宋" w:hAnsi="仿宋" w:eastAsia="仿宋" w:cs="宋体"/>
                <w:kern w:val="0"/>
                <w:sz w:val="20"/>
                <w:szCs w:val="20"/>
              </w:rPr>
            </w:pPr>
            <w:r>
              <w:rPr>
                <w:rFonts w:hint="eastAsia" w:ascii="仿宋" w:hAnsi="仿宋" w:eastAsia="仿宋" w:cs="宋体"/>
                <w:kern w:val="0"/>
                <w:sz w:val="20"/>
                <w:szCs w:val="20"/>
              </w:rPr>
              <w:t>2000≤Z＜5000</w:t>
            </w:r>
          </w:p>
        </w:tc>
        <w:tc>
          <w:tcPr>
            <w:tcW w:w="1285" w:type="dxa"/>
            <w:tcBorders>
              <w:top w:val="nil"/>
              <w:left w:val="nil"/>
              <w:bottom w:val="single" w:color="auto" w:sz="4" w:space="0"/>
              <w:right w:val="single" w:color="auto" w:sz="4" w:space="0"/>
            </w:tcBorders>
            <w:noWrap w:val="0"/>
            <w:vAlign w:val="bottom"/>
          </w:tcPr>
          <w:p w14:paraId="11944CA2">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2AC72BA8">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06BB7EDF">
            <w:pPr>
              <w:widowControl/>
              <w:jc w:val="left"/>
              <w:rPr>
                <w:rFonts w:ascii="仿宋" w:hAnsi="仿宋" w:eastAsia="仿宋" w:cs="宋体"/>
                <w:kern w:val="0"/>
                <w:sz w:val="20"/>
                <w:szCs w:val="20"/>
              </w:rPr>
            </w:pPr>
            <w:r>
              <w:rPr>
                <w:rFonts w:hint="eastAsia" w:ascii="仿宋" w:hAnsi="仿宋" w:eastAsia="仿宋" w:cs="宋体"/>
                <w:kern w:val="0"/>
                <w:sz w:val="20"/>
                <w:szCs w:val="20"/>
              </w:rPr>
              <w:t>Z＜2000</w:t>
            </w:r>
          </w:p>
        </w:tc>
      </w:tr>
      <w:tr w14:paraId="630ABD6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12AD9FA">
            <w:pPr>
              <w:widowControl/>
              <w:jc w:val="left"/>
              <w:rPr>
                <w:rFonts w:ascii="仿宋" w:hAnsi="仿宋" w:eastAsia="仿宋" w:cs="宋体"/>
                <w:kern w:val="0"/>
                <w:sz w:val="20"/>
                <w:szCs w:val="20"/>
              </w:rPr>
            </w:pPr>
            <w:r>
              <w:rPr>
                <w:rFonts w:hint="eastAsia" w:ascii="仿宋" w:hAnsi="仿宋" w:eastAsia="仿宋" w:cs="宋体"/>
                <w:kern w:val="0"/>
                <w:sz w:val="20"/>
                <w:szCs w:val="20"/>
              </w:rPr>
              <w:t>14、物业管理</w:t>
            </w:r>
          </w:p>
        </w:tc>
        <w:tc>
          <w:tcPr>
            <w:tcW w:w="1498" w:type="dxa"/>
            <w:tcBorders>
              <w:top w:val="nil"/>
              <w:left w:val="nil"/>
              <w:bottom w:val="single" w:color="auto" w:sz="4" w:space="0"/>
              <w:right w:val="single" w:color="auto" w:sz="4" w:space="0"/>
            </w:tcBorders>
            <w:noWrap w:val="0"/>
            <w:vAlign w:val="bottom"/>
          </w:tcPr>
          <w:p w14:paraId="2152B75B">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007D67A1">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660" w:type="dxa"/>
            <w:tcBorders>
              <w:top w:val="nil"/>
              <w:left w:val="nil"/>
              <w:bottom w:val="single" w:color="auto" w:sz="4" w:space="0"/>
              <w:right w:val="single" w:color="auto" w:sz="8" w:space="0"/>
            </w:tcBorders>
            <w:noWrap w:val="0"/>
            <w:vAlign w:val="bottom"/>
          </w:tcPr>
          <w:p w14:paraId="40F0E975">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42313275">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636" w:type="dxa"/>
            <w:tcBorders>
              <w:top w:val="nil"/>
              <w:left w:val="nil"/>
              <w:bottom w:val="single" w:color="auto" w:sz="4" w:space="0"/>
              <w:right w:val="single" w:color="auto" w:sz="4" w:space="0"/>
            </w:tcBorders>
            <w:noWrap w:val="0"/>
            <w:vAlign w:val="bottom"/>
          </w:tcPr>
          <w:p w14:paraId="12B551EB">
            <w:pPr>
              <w:widowControl/>
              <w:jc w:val="left"/>
              <w:rPr>
                <w:rFonts w:ascii="仿宋" w:hAnsi="仿宋" w:eastAsia="仿宋" w:cs="宋体"/>
                <w:kern w:val="0"/>
                <w:sz w:val="20"/>
                <w:szCs w:val="20"/>
              </w:rPr>
            </w:pPr>
            <w:r>
              <w:rPr>
                <w:rFonts w:hint="eastAsia" w:ascii="仿宋" w:hAnsi="仿宋" w:eastAsia="仿宋" w:cs="宋体"/>
                <w:kern w:val="0"/>
                <w:sz w:val="20"/>
                <w:szCs w:val="20"/>
              </w:rPr>
              <w:t>500≤Y＜1000</w:t>
            </w:r>
          </w:p>
        </w:tc>
        <w:tc>
          <w:tcPr>
            <w:tcW w:w="1520" w:type="dxa"/>
            <w:tcBorders>
              <w:top w:val="nil"/>
              <w:left w:val="nil"/>
              <w:bottom w:val="single" w:color="auto" w:sz="4" w:space="0"/>
              <w:right w:val="single" w:color="auto" w:sz="8" w:space="0"/>
            </w:tcBorders>
            <w:noWrap w:val="0"/>
            <w:vAlign w:val="bottom"/>
          </w:tcPr>
          <w:p w14:paraId="191415F7">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A7AA6C9">
            <w:pPr>
              <w:widowControl/>
              <w:jc w:val="left"/>
              <w:rPr>
                <w:rFonts w:ascii="仿宋" w:hAnsi="仿宋" w:eastAsia="仿宋" w:cs="宋体"/>
                <w:kern w:val="0"/>
                <w:sz w:val="20"/>
                <w:szCs w:val="20"/>
              </w:rPr>
            </w:pPr>
            <w:r>
              <w:rPr>
                <w:rFonts w:hint="eastAsia" w:ascii="仿宋" w:hAnsi="仿宋" w:eastAsia="仿宋" w:cs="宋体"/>
                <w:kern w:val="0"/>
                <w:sz w:val="20"/>
                <w:szCs w:val="20"/>
              </w:rPr>
              <w:t>X＜100</w:t>
            </w:r>
          </w:p>
        </w:tc>
        <w:tc>
          <w:tcPr>
            <w:tcW w:w="1275" w:type="dxa"/>
            <w:tcBorders>
              <w:top w:val="nil"/>
              <w:left w:val="nil"/>
              <w:bottom w:val="single" w:color="auto" w:sz="4" w:space="0"/>
              <w:right w:val="single" w:color="auto" w:sz="4" w:space="0"/>
            </w:tcBorders>
            <w:noWrap w:val="0"/>
            <w:vAlign w:val="bottom"/>
          </w:tcPr>
          <w:p w14:paraId="6E319574">
            <w:pPr>
              <w:widowControl/>
              <w:jc w:val="left"/>
              <w:rPr>
                <w:rFonts w:ascii="仿宋" w:hAnsi="仿宋" w:eastAsia="仿宋" w:cs="宋体"/>
                <w:kern w:val="0"/>
                <w:sz w:val="20"/>
                <w:szCs w:val="20"/>
              </w:rPr>
            </w:pPr>
            <w:r>
              <w:rPr>
                <w:rFonts w:hint="eastAsia" w:ascii="仿宋" w:hAnsi="仿宋" w:eastAsia="仿宋" w:cs="宋体"/>
                <w:kern w:val="0"/>
                <w:sz w:val="20"/>
                <w:szCs w:val="20"/>
              </w:rPr>
              <w:t>Y＜500</w:t>
            </w:r>
          </w:p>
        </w:tc>
        <w:tc>
          <w:tcPr>
            <w:tcW w:w="1221" w:type="dxa"/>
            <w:tcBorders>
              <w:top w:val="nil"/>
              <w:left w:val="nil"/>
              <w:bottom w:val="single" w:color="auto" w:sz="4" w:space="0"/>
              <w:right w:val="single" w:color="auto" w:sz="8" w:space="0"/>
            </w:tcBorders>
            <w:noWrap w:val="0"/>
            <w:vAlign w:val="bottom"/>
          </w:tcPr>
          <w:p w14:paraId="13039376">
            <w:pPr>
              <w:widowControl/>
              <w:jc w:val="left"/>
              <w:rPr>
                <w:rFonts w:ascii="仿宋" w:hAnsi="仿宋" w:eastAsia="仿宋" w:cs="宋体"/>
                <w:kern w:val="0"/>
                <w:sz w:val="20"/>
                <w:szCs w:val="20"/>
              </w:rPr>
            </w:pPr>
          </w:p>
        </w:tc>
      </w:tr>
      <w:tr w14:paraId="36B4E95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2DFFA1D">
            <w:pPr>
              <w:widowControl/>
              <w:jc w:val="left"/>
              <w:rPr>
                <w:rFonts w:ascii="仿宋" w:hAnsi="仿宋" w:eastAsia="仿宋" w:cs="宋体"/>
                <w:kern w:val="0"/>
                <w:sz w:val="20"/>
                <w:szCs w:val="20"/>
              </w:rPr>
            </w:pPr>
            <w:r>
              <w:rPr>
                <w:rFonts w:hint="eastAsia" w:ascii="仿宋" w:hAnsi="仿宋" w:eastAsia="仿宋" w:cs="宋体"/>
                <w:kern w:val="0"/>
                <w:sz w:val="20"/>
                <w:szCs w:val="20"/>
              </w:rPr>
              <w:t>15、租赁和商务服务业</w:t>
            </w:r>
          </w:p>
        </w:tc>
        <w:tc>
          <w:tcPr>
            <w:tcW w:w="1498" w:type="dxa"/>
            <w:tcBorders>
              <w:top w:val="nil"/>
              <w:left w:val="nil"/>
              <w:bottom w:val="single" w:color="auto" w:sz="4" w:space="0"/>
              <w:right w:val="single" w:color="auto" w:sz="4" w:space="0"/>
            </w:tcBorders>
            <w:noWrap w:val="0"/>
            <w:vAlign w:val="bottom"/>
          </w:tcPr>
          <w:p w14:paraId="38EF888F">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49CEA295">
            <w:pPr>
              <w:widowControl/>
              <w:jc w:val="left"/>
              <w:rPr>
                <w:rFonts w:ascii="仿宋" w:hAnsi="仿宋" w:eastAsia="仿宋" w:cs="宋体"/>
                <w:kern w:val="0"/>
                <w:sz w:val="20"/>
                <w:szCs w:val="20"/>
              </w:rPr>
            </w:pPr>
          </w:p>
        </w:tc>
        <w:tc>
          <w:tcPr>
            <w:tcW w:w="1660" w:type="dxa"/>
            <w:tcBorders>
              <w:top w:val="nil"/>
              <w:left w:val="nil"/>
              <w:bottom w:val="single" w:color="auto" w:sz="4" w:space="0"/>
              <w:right w:val="single" w:color="auto" w:sz="8" w:space="0"/>
            </w:tcBorders>
            <w:noWrap w:val="0"/>
            <w:vAlign w:val="bottom"/>
          </w:tcPr>
          <w:p w14:paraId="71294EEE">
            <w:pPr>
              <w:widowControl/>
              <w:jc w:val="left"/>
              <w:rPr>
                <w:rFonts w:ascii="仿宋" w:hAnsi="仿宋" w:eastAsia="仿宋" w:cs="宋体"/>
                <w:kern w:val="0"/>
                <w:sz w:val="20"/>
                <w:szCs w:val="20"/>
              </w:rPr>
            </w:pPr>
            <w:r>
              <w:rPr>
                <w:rFonts w:hint="eastAsia" w:ascii="仿宋" w:hAnsi="仿宋" w:eastAsia="仿宋" w:cs="宋体"/>
                <w:kern w:val="0"/>
                <w:sz w:val="20"/>
                <w:szCs w:val="20"/>
              </w:rPr>
              <w:t>8000≤Z＜120000</w:t>
            </w:r>
          </w:p>
        </w:tc>
        <w:tc>
          <w:tcPr>
            <w:tcW w:w="1458" w:type="dxa"/>
            <w:tcBorders>
              <w:top w:val="nil"/>
              <w:left w:val="nil"/>
              <w:bottom w:val="single" w:color="auto" w:sz="4" w:space="0"/>
              <w:right w:val="single" w:color="auto" w:sz="4" w:space="0"/>
            </w:tcBorders>
            <w:noWrap w:val="0"/>
            <w:vAlign w:val="bottom"/>
          </w:tcPr>
          <w:p w14:paraId="5A7C866E">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6EFA9FA9">
            <w:pPr>
              <w:widowControl/>
              <w:jc w:val="left"/>
              <w:rPr>
                <w:rFonts w:ascii="仿宋" w:hAnsi="仿宋" w:eastAsia="仿宋" w:cs="宋体"/>
                <w:kern w:val="0"/>
                <w:sz w:val="20"/>
                <w:szCs w:val="20"/>
              </w:rPr>
            </w:pPr>
          </w:p>
        </w:tc>
        <w:tc>
          <w:tcPr>
            <w:tcW w:w="1520" w:type="dxa"/>
            <w:tcBorders>
              <w:top w:val="nil"/>
              <w:left w:val="nil"/>
              <w:bottom w:val="single" w:color="auto" w:sz="4" w:space="0"/>
              <w:right w:val="single" w:color="auto" w:sz="8" w:space="0"/>
            </w:tcBorders>
            <w:noWrap w:val="0"/>
            <w:vAlign w:val="bottom"/>
          </w:tcPr>
          <w:p w14:paraId="5DE78148">
            <w:pPr>
              <w:widowControl/>
              <w:jc w:val="left"/>
              <w:rPr>
                <w:rFonts w:ascii="仿宋" w:hAnsi="仿宋" w:eastAsia="仿宋" w:cs="宋体"/>
                <w:kern w:val="0"/>
                <w:sz w:val="20"/>
                <w:szCs w:val="20"/>
              </w:rPr>
            </w:pPr>
            <w:r>
              <w:rPr>
                <w:rFonts w:hint="eastAsia" w:ascii="仿宋" w:hAnsi="仿宋" w:eastAsia="仿宋" w:cs="宋体"/>
                <w:kern w:val="0"/>
                <w:sz w:val="20"/>
                <w:szCs w:val="20"/>
              </w:rPr>
              <w:t>100≤Z＜8000</w:t>
            </w:r>
          </w:p>
        </w:tc>
        <w:tc>
          <w:tcPr>
            <w:tcW w:w="1285" w:type="dxa"/>
            <w:tcBorders>
              <w:top w:val="nil"/>
              <w:left w:val="nil"/>
              <w:bottom w:val="single" w:color="auto" w:sz="4" w:space="0"/>
              <w:right w:val="single" w:color="auto" w:sz="4" w:space="0"/>
            </w:tcBorders>
            <w:noWrap w:val="0"/>
            <w:vAlign w:val="bottom"/>
          </w:tcPr>
          <w:p w14:paraId="076A90F2">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7FC2209E">
            <w:pPr>
              <w:widowControl/>
              <w:jc w:val="left"/>
              <w:rPr>
                <w:rFonts w:ascii="仿宋" w:hAnsi="仿宋" w:eastAsia="仿宋" w:cs="宋体"/>
                <w:kern w:val="0"/>
                <w:sz w:val="20"/>
                <w:szCs w:val="20"/>
              </w:rPr>
            </w:pPr>
          </w:p>
        </w:tc>
        <w:tc>
          <w:tcPr>
            <w:tcW w:w="1221" w:type="dxa"/>
            <w:tcBorders>
              <w:top w:val="nil"/>
              <w:left w:val="nil"/>
              <w:bottom w:val="single" w:color="auto" w:sz="4" w:space="0"/>
              <w:right w:val="single" w:color="auto" w:sz="8" w:space="0"/>
            </w:tcBorders>
            <w:noWrap w:val="0"/>
            <w:vAlign w:val="bottom"/>
          </w:tcPr>
          <w:p w14:paraId="7F5E6690">
            <w:pPr>
              <w:widowControl/>
              <w:jc w:val="left"/>
              <w:rPr>
                <w:rFonts w:ascii="仿宋" w:hAnsi="仿宋" w:eastAsia="仿宋" w:cs="宋体"/>
                <w:kern w:val="0"/>
                <w:sz w:val="20"/>
                <w:szCs w:val="20"/>
              </w:rPr>
            </w:pPr>
            <w:r>
              <w:rPr>
                <w:rFonts w:hint="eastAsia" w:ascii="仿宋" w:hAnsi="仿宋" w:eastAsia="仿宋" w:cs="宋体"/>
                <w:kern w:val="0"/>
                <w:sz w:val="20"/>
                <w:szCs w:val="20"/>
              </w:rPr>
              <w:t>Z＜100</w:t>
            </w:r>
          </w:p>
        </w:tc>
      </w:tr>
      <w:tr w14:paraId="3354CB9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14:paraId="4ACE03B7">
            <w:pPr>
              <w:widowControl/>
              <w:jc w:val="left"/>
              <w:rPr>
                <w:rFonts w:ascii="仿宋" w:hAnsi="仿宋" w:eastAsia="仿宋" w:cs="宋体"/>
                <w:kern w:val="0"/>
                <w:sz w:val="20"/>
                <w:szCs w:val="20"/>
              </w:rPr>
            </w:pPr>
            <w:r>
              <w:rPr>
                <w:rFonts w:hint="eastAsia" w:ascii="仿宋" w:hAnsi="仿宋" w:eastAsia="仿宋" w:cs="宋体"/>
                <w:kern w:val="0"/>
                <w:sz w:val="20"/>
                <w:szCs w:val="20"/>
              </w:rPr>
              <w:t>16、其他未列明行业</w:t>
            </w:r>
          </w:p>
        </w:tc>
        <w:tc>
          <w:tcPr>
            <w:tcW w:w="1498" w:type="dxa"/>
            <w:tcBorders>
              <w:top w:val="nil"/>
              <w:left w:val="nil"/>
              <w:bottom w:val="single" w:color="auto" w:sz="8" w:space="0"/>
              <w:right w:val="single" w:color="auto" w:sz="4" w:space="0"/>
            </w:tcBorders>
            <w:noWrap w:val="0"/>
            <w:vAlign w:val="bottom"/>
          </w:tcPr>
          <w:p w14:paraId="26AEC040">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8" w:space="0"/>
              <w:right w:val="single" w:color="auto" w:sz="4" w:space="0"/>
            </w:tcBorders>
            <w:noWrap w:val="0"/>
            <w:vAlign w:val="bottom"/>
          </w:tcPr>
          <w:p w14:paraId="059A3DC5">
            <w:pPr>
              <w:widowControl/>
              <w:jc w:val="left"/>
              <w:rPr>
                <w:rFonts w:ascii="仿宋" w:hAnsi="仿宋" w:eastAsia="仿宋" w:cs="宋体"/>
                <w:kern w:val="0"/>
                <w:sz w:val="20"/>
                <w:szCs w:val="20"/>
              </w:rPr>
            </w:pPr>
          </w:p>
        </w:tc>
        <w:tc>
          <w:tcPr>
            <w:tcW w:w="1660" w:type="dxa"/>
            <w:tcBorders>
              <w:top w:val="nil"/>
              <w:left w:val="nil"/>
              <w:bottom w:val="single" w:color="auto" w:sz="8" w:space="0"/>
              <w:right w:val="single" w:color="auto" w:sz="8" w:space="0"/>
            </w:tcBorders>
            <w:noWrap w:val="0"/>
            <w:vAlign w:val="bottom"/>
          </w:tcPr>
          <w:p w14:paraId="017A4756">
            <w:pPr>
              <w:widowControl/>
              <w:jc w:val="left"/>
              <w:rPr>
                <w:rFonts w:ascii="仿宋" w:hAnsi="仿宋" w:eastAsia="仿宋" w:cs="宋体"/>
                <w:kern w:val="0"/>
                <w:sz w:val="20"/>
                <w:szCs w:val="20"/>
              </w:rPr>
            </w:pPr>
          </w:p>
        </w:tc>
        <w:tc>
          <w:tcPr>
            <w:tcW w:w="1458" w:type="dxa"/>
            <w:tcBorders>
              <w:top w:val="nil"/>
              <w:left w:val="nil"/>
              <w:bottom w:val="single" w:color="auto" w:sz="8" w:space="0"/>
              <w:right w:val="single" w:color="auto" w:sz="4" w:space="0"/>
            </w:tcBorders>
            <w:noWrap w:val="0"/>
            <w:vAlign w:val="bottom"/>
          </w:tcPr>
          <w:p w14:paraId="675B0687">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8" w:space="0"/>
              <w:right w:val="single" w:color="auto" w:sz="4" w:space="0"/>
            </w:tcBorders>
            <w:noWrap w:val="0"/>
            <w:vAlign w:val="bottom"/>
          </w:tcPr>
          <w:p w14:paraId="00AEA735">
            <w:pPr>
              <w:widowControl/>
              <w:jc w:val="left"/>
              <w:rPr>
                <w:rFonts w:ascii="仿宋" w:hAnsi="仿宋" w:eastAsia="仿宋" w:cs="宋体"/>
                <w:kern w:val="0"/>
                <w:sz w:val="20"/>
                <w:szCs w:val="20"/>
              </w:rPr>
            </w:pPr>
          </w:p>
        </w:tc>
        <w:tc>
          <w:tcPr>
            <w:tcW w:w="1520" w:type="dxa"/>
            <w:tcBorders>
              <w:top w:val="nil"/>
              <w:left w:val="nil"/>
              <w:bottom w:val="single" w:color="auto" w:sz="8" w:space="0"/>
              <w:right w:val="single" w:color="auto" w:sz="8" w:space="0"/>
            </w:tcBorders>
            <w:noWrap w:val="0"/>
            <w:vAlign w:val="bottom"/>
          </w:tcPr>
          <w:p w14:paraId="18F921CF">
            <w:pPr>
              <w:widowControl/>
              <w:jc w:val="left"/>
              <w:rPr>
                <w:rFonts w:ascii="仿宋" w:hAnsi="仿宋" w:eastAsia="仿宋" w:cs="宋体"/>
                <w:kern w:val="0"/>
                <w:sz w:val="20"/>
                <w:szCs w:val="20"/>
              </w:rPr>
            </w:pPr>
          </w:p>
        </w:tc>
        <w:tc>
          <w:tcPr>
            <w:tcW w:w="1285" w:type="dxa"/>
            <w:tcBorders>
              <w:top w:val="nil"/>
              <w:left w:val="nil"/>
              <w:bottom w:val="single" w:color="auto" w:sz="8" w:space="0"/>
              <w:right w:val="single" w:color="auto" w:sz="4" w:space="0"/>
            </w:tcBorders>
            <w:noWrap w:val="0"/>
            <w:vAlign w:val="bottom"/>
          </w:tcPr>
          <w:p w14:paraId="037C315F">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8" w:space="0"/>
              <w:right w:val="single" w:color="auto" w:sz="4" w:space="0"/>
            </w:tcBorders>
            <w:noWrap w:val="0"/>
            <w:vAlign w:val="bottom"/>
          </w:tcPr>
          <w:p w14:paraId="49B26484">
            <w:pPr>
              <w:widowControl/>
              <w:jc w:val="left"/>
              <w:rPr>
                <w:rFonts w:ascii="仿宋" w:hAnsi="仿宋" w:eastAsia="仿宋" w:cs="宋体"/>
                <w:kern w:val="0"/>
                <w:sz w:val="20"/>
                <w:szCs w:val="20"/>
              </w:rPr>
            </w:pPr>
          </w:p>
        </w:tc>
        <w:tc>
          <w:tcPr>
            <w:tcW w:w="1221" w:type="dxa"/>
            <w:tcBorders>
              <w:top w:val="nil"/>
              <w:left w:val="nil"/>
              <w:bottom w:val="single" w:color="auto" w:sz="8" w:space="0"/>
              <w:right w:val="single" w:color="auto" w:sz="8" w:space="0"/>
            </w:tcBorders>
            <w:noWrap w:val="0"/>
            <w:vAlign w:val="bottom"/>
          </w:tcPr>
          <w:p w14:paraId="5CEDDB41">
            <w:pPr>
              <w:widowControl/>
              <w:jc w:val="left"/>
              <w:rPr>
                <w:rFonts w:ascii="仿宋" w:hAnsi="仿宋" w:eastAsia="仿宋" w:cs="宋体"/>
                <w:kern w:val="0"/>
                <w:sz w:val="20"/>
                <w:szCs w:val="20"/>
              </w:rPr>
            </w:pPr>
          </w:p>
        </w:tc>
      </w:tr>
    </w:tbl>
    <w:p w14:paraId="2CA1F61E">
      <w:pPr>
        <w:widowControl/>
        <w:jc w:val="left"/>
        <w:rPr>
          <w:rFonts w:hint="eastAsia" w:ascii="仿宋" w:hAnsi="仿宋" w:eastAsia="仿宋" w:cs="宋体"/>
          <w:kern w:val="0"/>
          <w:sz w:val="20"/>
        </w:rPr>
      </w:pPr>
      <w:r>
        <w:rPr>
          <w:rFonts w:hint="eastAsia" w:ascii="仿宋" w:hAnsi="仿宋" w:eastAsia="仿宋" w:cs="宋体"/>
          <w:kern w:val="0"/>
          <w:sz w:val="20"/>
        </w:rPr>
        <w:t>说明：1、企业类型的划分以统计部门的统计数据为依据。</w:t>
      </w:r>
    </w:p>
    <w:p w14:paraId="3732E64B">
      <w:pPr>
        <w:widowControl/>
        <w:numPr>
          <w:ilvl w:val="0"/>
          <w:numId w:val="0"/>
        </w:numPr>
        <w:ind w:left="30" w:leftChars="0" w:firstLine="600" w:firstLineChars="0"/>
        <w:jc w:val="left"/>
        <w:rPr>
          <w:rFonts w:hint="eastAsia" w:ascii="仿宋" w:hAnsi="仿宋" w:eastAsia="仿宋" w:cs="宋体"/>
          <w:kern w:val="0"/>
          <w:sz w:val="20"/>
        </w:rPr>
      </w:pPr>
      <w:r>
        <w:rPr>
          <w:rFonts w:hint="eastAsia" w:ascii="仿宋" w:hAnsi="仿宋" w:eastAsia="仿宋" w:cs="宋体"/>
          <w:kern w:val="0"/>
          <w:sz w:val="20"/>
          <w:szCs w:val="24"/>
          <w:lang w:val="en-US" w:eastAsia="zh-CN" w:bidi="ar-SA"/>
        </w:rPr>
        <w:t>2、</w:t>
      </w:r>
      <w:r>
        <w:rPr>
          <w:rFonts w:hint="eastAsia" w:ascii="仿宋" w:hAnsi="仿宋" w:eastAsia="仿宋" w:cs="宋体"/>
          <w:kern w:val="0"/>
          <w:sz w:val="20"/>
        </w:rPr>
        <w:t>个体工商户和本规定以外的行业，参照本规定进行划型。</w:t>
      </w:r>
    </w:p>
    <w:p w14:paraId="25F2B4BF">
      <w:pPr>
        <w:widowControl/>
        <w:ind w:firstLine="600" w:firstLineChars="300"/>
        <w:jc w:val="left"/>
        <w:rPr>
          <w:rFonts w:ascii="仿宋" w:hAnsi="仿宋" w:eastAsia="仿宋" w:cs="宋体"/>
          <w:kern w:val="0"/>
          <w:sz w:val="20"/>
        </w:rPr>
      </w:pPr>
      <w:r>
        <w:rPr>
          <w:rFonts w:hint="eastAsia" w:ascii="仿宋" w:hAnsi="仿宋" w:eastAsia="仿宋" w:cs="宋体"/>
          <w:kern w:val="0"/>
          <w:sz w:val="20"/>
        </w:rPr>
        <w:t>3、本规定的中型企业标准上限即为大型企业标准的下限。</w:t>
      </w:r>
    </w:p>
    <w:p w14:paraId="02051DC7">
      <w:pPr>
        <w:pStyle w:val="42"/>
        <w:ind w:firstLine="560"/>
        <w:rPr>
          <w:rFonts w:hint="eastAsia"/>
        </w:rPr>
        <w:sectPr>
          <w:footerReference r:id="rId6" w:type="first"/>
          <w:footerReference r:id="rId5" w:type="default"/>
          <w:pgSz w:w="16838" w:h="11906" w:orient="landscape"/>
          <w:pgMar w:top="1622" w:right="1418" w:bottom="1287" w:left="1134" w:header="624" w:footer="624" w:gutter="0"/>
          <w:pgNumType w:fmt="decimal"/>
          <w:cols w:space="720" w:num="1"/>
          <w:titlePg/>
          <w:docGrid w:linePitch="321" w:charSpace="0"/>
        </w:sectPr>
      </w:pPr>
    </w:p>
    <w:p w14:paraId="3635FEAA">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残疾人福利性单位声明函</w:t>
      </w:r>
    </w:p>
    <w:p w14:paraId="0C2EBDD8">
      <w:pPr>
        <w:spacing w:line="360" w:lineRule="auto"/>
        <w:ind w:firstLine="480" w:firstLineChars="200"/>
        <w:rPr>
          <w:rFonts w:hint="eastAsia" w:ascii="仿宋" w:hAnsi="仿宋" w:eastAsia="仿宋"/>
          <w:sz w:val="24"/>
        </w:rPr>
      </w:pPr>
      <w:r>
        <w:rPr>
          <w:rFonts w:hint="eastAsia" w:ascii="仿宋" w:hAnsi="仿宋" w:eastAsia="仿宋"/>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sz w:val="24"/>
          <w:u w:val="single"/>
        </w:rPr>
        <w:t>______</w:t>
      </w:r>
      <w:r>
        <w:rPr>
          <w:rFonts w:hint="eastAsia" w:ascii="仿宋" w:hAnsi="仿宋" w:eastAsia="仿宋"/>
          <w:sz w:val="24"/>
        </w:rPr>
        <w:t>单位的</w:t>
      </w:r>
      <w:r>
        <w:rPr>
          <w:rFonts w:hint="eastAsia" w:ascii="仿宋" w:hAnsi="仿宋" w:eastAsia="仿宋"/>
          <w:sz w:val="24"/>
          <w:u w:val="single"/>
        </w:rPr>
        <w:t>______</w:t>
      </w:r>
      <w:r>
        <w:rPr>
          <w:rFonts w:hint="eastAsia" w:ascii="仿宋" w:hAnsi="仿宋" w:eastAsia="仿宋"/>
          <w:sz w:val="24"/>
        </w:rPr>
        <w:t>项目采购活动提供本单位制造的货物（由本单位承担工程/提供服务），或者提供其他残疾人福利性单位制造的货物（不包括使用非残疾人福利性单位注册商标的货物）。</w:t>
      </w:r>
    </w:p>
    <w:p w14:paraId="6D813269">
      <w:pPr>
        <w:spacing w:line="360" w:lineRule="auto"/>
        <w:ind w:firstLine="480" w:firstLineChars="200"/>
        <w:rPr>
          <w:rFonts w:hint="eastAsia" w:ascii="仿宋" w:hAnsi="仿宋" w:eastAsia="仿宋"/>
          <w:sz w:val="24"/>
        </w:rPr>
      </w:pPr>
      <w:r>
        <w:rPr>
          <w:rFonts w:hint="eastAsia" w:ascii="仿宋" w:hAnsi="仿宋" w:eastAsia="仿宋"/>
          <w:sz w:val="24"/>
        </w:rPr>
        <w:t>本单位对上述声明的真实性负责。如有虚假，将依法承担相应责任。</w:t>
      </w:r>
    </w:p>
    <w:p w14:paraId="366F14EE">
      <w:pPr>
        <w:spacing w:line="360" w:lineRule="auto"/>
        <w:ind w:firstLine="480" w:firstLineChars="200"/>
        <w:rPr>
          <w:rFonts w:hint="eastAsia" w:ascii="仿宋" w:hAnsi="仿宋" w:eastAsia="仿宋"/>
          <w:sz w:val="24"/>
        </w:rPr>
      </w:pPr>
    </w:p>
    <w:p w14:paraId="04253348">
      <w:pPr>
        <w:spacing w:line="360" w:lineRule="auto"/>
        <w:ind w:firstLine="480" w:firstLineChars="200"/>
        <w:rPr>
          <w:rFonts w:hint="eastAsia" w:ascii="仿宋" w:hAnsi="仿宋" w:eastAsia="仿宋"/>
          <w:sz w:val="24"/>
        </w:rPr>
      </w:pPr>
    </w:p>
    <w:p w14:paraId="59EEC63E">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13E7A86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3F870D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4DA87026">
      <w:pPr>
        <w:rPr>
          <w:rFonts w:hint="eastAsia"/>
        </w:rPr>
      </w:pPr>
      <w:r>
        <w:rPr>
          <w:rFonts w:hint="eastAsia"/>
        </w:rPr>
        <w:br w:type="page"/>
      </w:r>
    </w:p>
    <w:p w14:paraId="192C2EA4">
      <w:pPr>
        <w:pStyle w:val="3"/>
        <w:rPr>
          <w:rFonts w:hint="eastAsia"/>
        </w:rPr>
        <w:sectPr>
          <w:footerReference r:id="rId8" w:type="first"/>
          <w:footerReference r:id="rId7" w:type="default"/>
          <w:pgSz w:w="11906" w:h="16838"/>
          <w:pgMar w:top="1276" w:right="1418" w:bottom="1247" w:left="1418" w:header="851" w:footer="992" w:gutter="0"/>
          <w:pgNumType w:fmt="decimal"/>
          <w:cols w:space="720" w:num="1"/>
          <w:titlePg/>
          <w:docGrid w:linePitch="312" w:charSpace="0"/>
        </w:sectPr>
      </w:pPr>
    </w:p>
    <w:p w14:paraId="5F075690">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12B6D14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i/>
          <w:kern w:val="0"/>
          <w:sz w:val="24"/>
          <w:u w:val="single"/>
        </w:rPr>
        <w:t>联合体所有成员名称</w:t>
      </w:r>
      <w:r>
        <w:rPr>
          <w:rFonts w:hint="eastAsia" w:ascii="仿宋" w:hAnsi="仿宋" w:eastAsia="仿宋" w:cs="仿宋"/>
          <w:kern w:val="0"/>
          <w:sz w:val="24"/>
          <w:u w:val="single"/>
        </w:rPr>
        <w:t>）</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u w:val="single"/>
          <w:lang w:eastAsia="zh-CN"/>
        </w:rPr>
        <w:t>象山县中心城区垃圾中转站服务外包项目</w:t>
      </w:r>
      <w:r>
        <w:rPr>
          <w:rFonts w:hint="eastAsia" w:ascii="仿宋" w:hAnsi="仿宋" w:eastAsia="仿宋" w:cs="仿宋"/>
          <w:sz w:val="24"/>
        </w:rPr>
        <w:t>【招标编号：</w:t>
      </w:r>
      <w:r>
        <w:rPr>
          <w:rFonts w:hint="eastAsia" w:ascii="仿宋" w:hAnsi="仿宋" w:eastAsia="仿宋" w:cs="仿宋"/>
          <w:sz w:val="24"/>
          <w:lang w:eastAsia="zh-CN"/>
        </w:rPr>
        <w:t>NBYS2025023G</w:t>
      </w:r>
      <w:r>
        <w:rPr>
          <w:rFonts w:hint="eastAsia" w:ascii="仿宋" w:hAnsi="仿宋" w:eastAsia="仿宋" w:cs="仿宋"/>
          <w:sz w:val="24"/>
        </w:rPr>
        <w:t>】</w:t>
      </w:r>
      <w:r>
        <w:rPr>
          <w:rFonts w:hint="eastAsia" w:ascii="仿宋" w:hAnsi="仿宋" w:eastAsia="仿宋" w:cs="仿宋"/>
          <w:kern w:val="0"/>
          <w:sz w:val="24"/>
          <w:lang w:val="zh-CN"/>
        </w:rPr>
        <w:t>投标。</w:t>
      </w:r>
    </w:p>
    <w:p w14:paraId="20921F7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w:t>
      </w:r>
      <w:r>
        <w:rPr>
          <w:rFonts w:hint="eastAsia" w:ascii="仿宋" w:hAnsi="仿宋" w:eastAsia="仿宋" w:cs="仿宋"/>
          <w:i/>
          <w:kern w:val="0"/>
          <w:sz w:val="24"/>
          <w:u w:val="single"/>
        </w:rPr>
        <w:t>某联合体成员名称</w:t>
      </w:r>
      <w:r>
        <w:rPr>
          <w:rFonts w:hint="eastAsia" w:ascii="仿宋" w:hAnsi="仿宋" w:eastAsia="仿宋" w:cs="仿宋"/>
          <w:kern w:val="0"/>
          <w:sz w:val="24"/>
          <w:u w:val="single"/>
        </w:rPr>
        <w:t>）</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A04D60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28BF47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3FE251F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i/>
          <w:kern w:val="0"/>
          <w:sz w:val="24"/>
          <w:u w:val="single"/>
        </w:rPr>
        <w:t>联合体其中一方成员名称</w:t>
      </w:r>
      <w:r>
        <w:rPr>
          <w:rFonts w:hint="eastAsia" w:ascii="仿宋" w:hAnsi="仿宋" w:eastAsia="仿宋" w:cs="仿宋"/>
          <w:kern w:val="0"/>
          <w:sz w:val="24"/>
          <w:u w:val="single"/>
        </w:rPr>
        <w:t>）</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28467A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i/>
          <w:kern w:val="0"/>
          <w:sz w:val="24"/>
          <w:u w:val="single"/>
        </w:rPr>
        <w:t>联合体其中一方成员名称</w:t>
      </w:r>
      <w:r>
        <w:rPr>
          <w:rFonts w:hint="eastAsia" w:ascii="仿宋" w:hAnsi="仿宋" w:eastAsia="仿宋" w:cs="仿宋"/>
          <w:kern w:val="0"/>
          <w:sz w:val="24"/>
          <w:u w:val="single"/>
        </w:rPr>
        <w:t>）</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2AF1687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5FC8D6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60BC9B4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8A17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0A00B5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F17D6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997F02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DD4580F">
      <w:pPr>
        <w:snapToGrid w:val="0"/>
        <w:spacing w:line="360" w:lineRule="auto"/>
        <w:ind w:firstLine="3240" w:firstLineChars="1350"/>
        <w:rPr>
          <w:rFonts w:hint="eastAsia" w:ascii="仿宋" w:hAnsi="仿宋" w:eastAsia="仿宋" w:cs="仿宋"/>
          <w:kern w:val="0"/>
          <w:sz w:val="24"/>
          <w:lang w:val="zh-CN"/>
        </w:rPr>
      </w:pPr>
    </w:p>
    <w:p w14:paraId="624B7793">
      <w:pPr>
        <w:snapToGrid w:val="0"/>
        <w:spacing w:line="360" w:lineRule="auto"/>
        <w:ind w:firstLine="3240" w:firstLineChars="135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6A2C4F9">
      <w:pPr>
        <w:snapToGrid w:val="0"/>
        <w:spacing w:line="360" w:lineRule="auto"/>
        <w:ind w:firstLine="3240" w:firstLineChars="135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92F7A09">
      <w:pPr>
        <w:snapToGrid w:val="0"/>
        <w:spacing w:line="360" w:lineRule="auto"/>
        <w:ind w:firstLine="3240" w:firstLineChars="135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546C9EA1">
      <w:pPr>
        <w:spacing w:line="360" w:lineRule="auto"/>
        <w:jc w:val="center"/>
        <w:rPr>
          <w:rFonts w:hint="eastAsia" w:ascii="仿宋" w:hAnsi="仿宋" w:eastAsia="仿宋" w:cs="仿宋"/>
          <w:b/>
          <w:kern w:val="0"/>
          <w:sz w:val="32"/>
          <w:szCs w:val="32"/>
          <w:lang w:val="zh-CN"/>
        </w:rPr>
      </w:pPr>
      <w:r>
        <w:rPr>
          <w:rFonts w:ascii="仿宋" w:hAnsi="仿宋" w:eastAsia="仿宋" w:cs="仿宋"/>
          <w:b/>
          <w:sz w:val="24"/>
        </w:rPr>
        <w:br w:type="page"/>
      </w:r>
      <w:r>
        <w:rPr>
          <w:rFonts w:hint="eastAsia" w:ascii="仿宋" w:hAnsi="仿宋" w:eastAsia="仿宋" w:cs="仿宋"/>
          <w:b/>
          <w:kern w:val="0"/>
          <w:sz w:val="32"/>
          <w:szCs w:val="32"/>
          <w:lang w:val="zh-CN"/>
        </w:rPr>
        <w:t>分包意向协议</w:t>
      </w:r>
    </w:p>
    <w:p w14:paraId="4ECBE716">
      <w:pPr>
        <w:widowControl/>
        <w:spacing w:line="360" w:lineRule="auto"/>
        <w:ind w:firstLine="120" w:firstLineChars="50"/>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C24C79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i/>
          <w:kern w:val="0"/>
          <w:sz w:val="24"/>
          <w:u w:val="single"/>
        </w:rPr>
        <w:t>投标人名称</w:t>
      </w:r>
      <w:r>
        <w:rPr>
          <w:rFonts w:hint="eastAsia" w:ascii="仿宋" w:hAnsi="仿宋" w:eastAsia="仿宋" w:cs="仿宋"/>
          <w:kern w:val="0"/>
          <w:sz w:val="24"/>
          <w:u w:val="single"/>
        </w:rPr>
        <w:t>）</w:t>
      </w:r>
      <w:r>
        <w:rPr>
          <w:rFonts w:hint="eastAsia" w:ascii="仿宋" w:hAnsi="仿宋" w:eastAsia="仿宋" w:cs="仿宋"/>
          <w:kern w:val="0"/>
          <w:sz w:val="24"/>
          <w:lang w:val="zh-CN"/>
        </w:rPr>
        <w:t>若成为</w:t>
      </w:r>
      <w:r>
        <w:rPr>
          <w:rFonts w:hint="eastAsia" w:ascii="仿宋" w:hAnsi="仿宋" w:eastAsia="仿宋" w:cs="仿宋"/>
          <w:sz w:val="24"/>
          <w:u w:val="single"/>
          <w:lang w:eastAsia="zh-CN"/>
        </w:rPr>
        <w:t>象山县中心城区垃圾中转站服务外包项目</w:t>
      </w:r>
      <w:r>
        <w:rPr>
          <w:rFonts w:hint="eastAsia" w:ascii="仿宋" w:hAnsi="仿宋" w:eastAsia="仿宋" w:cs="仿宋"/>
          <w:sz w:val="24"/>
        </w:rPr>
        <w:t>【招标编号：</w:t>
      </w:r>
      <w:r>
        <w:rPr>
          <w:rFonts w:hint="eastAsia" w:ascii="仿宋" w:hAnsi="仿宋" w:eastAsia="仿宋" w:cs="仿宋"/>
          <w:sz w:val="24"/>
          <w:lang w:eastAsia="zh-CN"/>
        </w:rPr>
        <w:t>NBYS2025023G</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w:t>
      </w:r>
      <w:r>
        <w:rPr>
          <w:rFonts w:hint="eastAsia" w:ascii="仿宋" w:hAnsi="仿宋" w:eastAsia="仿宋" w:cs="仿宋"/>
          <w:i/>
          <w:kern w:val="0"/>
          <w:sz w:val="24"/>
          <w:u w:val="single"/>
        </w:rPr>
        <w:t>投标人名称</w:t>
      </w:r>
      <w:r>
        <w:rPr>
          <w:rFonts w:hint="eastAsia" w:ascii="仿宋" w:hAnsi="仿宋" w:eastAsia="仿宋" w:cs="仿宋"/>
          <w:kern w:val="0"/>
          <w:sz w:val="24"/>
          <w:u w:val="single"/>
        </w:rPr>
        <w:t>）</w:t>
      </w:r>
      <w:r>
        <w:rPr>
          <w:rFonts w:hint="eastAsia" w:ascii="仿宋" w:hAnsi="仿宋" w:eastAsia="仿宋" w:cs="仿宋"/>
          <w:kern w:val="0"/>
          <w:sz w:val="24"/>
        </w:rPr>
        <w:t>与</w:t>
      </w:r>
      <w:r>
        <w:rPr>
          <w:rFonts w:hint="eastAsia" w:ascii="仿宋" w:hAnsi="仿宋" w:eastAsia="仿宋" w:cs="仿宋"/>
          <w:kern w:val="0"/>
          <w:sz w:val="24"/>
          <w:u w:val="single"/>
        </w:rPr>
        <w:t>（</w:t>
      </w:r>
      <w:r>
        <w:rPr>
          <w:rFonts w:hint="eastAsia" w:ascii="仿宋" w:hAnsi="仿宋" w:eastAsia="仿宋" w:cs="仿宋"/>
          <w:i/>
          <w:kern w:val="0"/>
          <w:sz w:val="24"/>
          <w:u w:val="single"/>
        </w:rPr>
        <w:t>所有分包供应商名称</w:t>
      </w:r>
      <w:r>
        <w:rPr>
          <w:rFonts w:hint="eastAsia" w:ascii="仿宋" w:hAnsi="仿宋" w:eastAsia="仿宋" w:cs="仿宋"/>
          <w:kern w:val="0"/>
          <w:sz w:val="24"/>
          <w:u w:val="single"/>
        </w:rPr>
        <w:t>）</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14:paraId="546782F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F472B5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i/>
          <w:kern w:val="0"/>
          <w:sz w:val="24"/>
          <w:u w:val="single"/>
        </w:rPr>
        <w:t>投标人名称</w:t>
      </w:r>
      <w:r>
        <w:rPr>
          <w:rFonts w:hint="eastAsia" w:ascii="仿宋" w:hAnsi="仿宋" w:eastAsia="仿宋" w:cs="仿宋"/>
          <w:kern w:val="0"/>
          <w:sz w:val="24"/>
          <w:u w:val="single"/>
        </w:rPr>
        <w:t>）</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w:t>
      </w:r>
      <w:r>
        <w:rPr>
          <w:rFonts w:hint="eastAsia" w:ascii="仿宋" w:hAnsi="仿宋" w:eastAsia="仿宋" w:cs="仿宋"/>
          <w:i/>
          <w:kern w:val="0"/>
          <w:sz w:val="24"/>
          <w:u w:val="single"/>
        </w:rPr>
        <w:t>某分包供应商名称</w:t>
      </w:r>
      <w:r>
        <w:rPr>
          <w:rFonts w:hint="eastAsia" w:ascii="仿宋" w:hAnsi="仿宋" w:eastAsia="仿宋" w:cs="仿宋"/>
          <w:kern w:val="0"/>
          <w:sz w:val="24"/>
          <w:u w:val="single"/>
        </w:rPr>
        <w:t>）</w:t>
      </w:r>
      <w:r>
        <w:rPr>
          <w:rFonts w:hint="eastAsia" w:ascii="仿宋" w:hAnsi="仿宋" w:eastAsia="仿宋" w:cs="仿宋"/>
          <w:kern w:val="0"/>
          <w:sz w:val="24"/>
          <w:lang w:val="zh-CN"/>
        </w:rPr>
        <w:t>，</w:t>
      </w:r>
      <w:r>
        <w:rPr>
          <w:rFonts w:hint="eastAsia" w:ascii="仿宋" w:hAnsi="仿宋" w:eastAsia="仿宋" w:cs="仿宋"/>
          <w:kern w:val="0"/>
          <w:sz w:val="24"/>
          <w:u w:val="single"/>
        </w:rPr>
        <w:t>（</w:t>
      </w:r>
      <w:r>
        <w:rPr>
          <w:rFonts w:hint="eastAsia" w:ascii="仿宋" w:hAnsi="仿宋" w:eastAsia="仿宋" w:cs="仿宋"/>
          <w:i/>
          <w:kern w:val="0"/>
          <w:sz w:val="24"/>
          <w:u w:val="single"/>
        </w:rPr>
        <w:t>某分包供应商名称</w:t>
      </w:r>
      <w:r>
        <w:rPr>
          <w:rFonts w:hint="eastAsia" w:ascii="仿宋" w:hAnsi="仿宋" w:eastAsia="仿宋" w:cs="仿宋"/>
          <w:kern w:val="0"/>
          <w:sz w:val="24"/>
          <w:u w:val="single"/>
        </w:rPr>
        <w:t>），</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u w:val="single"/>
        </w:rPr>
        <w:t xml:space="preserve">   XX工作内容   </w:t>
      </w:r>
      <w:r>
        <w:rPr>
          <w:rFonts w:hint="eastAsia" w:ascii="仿宋" w:hAnsi="仿宋" w:eastAsia="仿宋" w:cs="仿宋"/>
          <w:kern w:val="0"/>
          <w:sz w:val="24"/>
          <w:lang w:val="zh-CN"/>
        </w:rPr>
        <w:t>相应资质条件且不得再次分包；</w:t>
      </w:r>
    </w:p>
    <w:p w14:paraId="359F6163">
      <w:pPr>
        <w:tabs>
          <w:tab w:val="left" w:pos="432"/>
        </w:tabs>
        <w:spacing w:line="360" w:lineRule="auto"/>
        <w:ind w:left="664" w:leftChars="316" w:firstLine="228" w:firstLineChars="95"/>
        <w:rPr>
          <w:rFonts w:hint="eastAsia" w:ascii="仿宋" w:hAnsi="仿宋" w:eastAsia="仿宋" w:cs="仿宋"/>
        </w:rPr>
      </w:pPr>
      <w:r>
        <w:rPr>
          <w:rFonts w:hint="eastAsia" w:ascii="仿宋" w:hAnsi="仿宋" w:eastAsia="仿宋" w:cs="仿宋"/>
          <w:kern w:val="0"/>
          <w:sz w:val="24"/>
        </w:rPr>
        <w:t>……</w:t>
      </w:r>
    </w:p>
    <w:p w14:paraId="65AABF0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0ECCF0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71359A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727C66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7559B2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5DD3F2D0">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3FF74800">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3039112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18B5E2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4DD23E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70F88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2A7269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525FB4A9">
      <w:pPr>
        <w:pStyle w:val="42"/>
        <w:ind w:firstLine="560"/>
        <w:rPr>
          <w:rFonts w:hint="eastAsia"/>
          <w:lang w:val="zh-CN"/>
        </w:rPr>
      </w:pPr>
    </w:p>
    <w:p w14:paraId="085C99A7">
      <w:pPr>
        <w:pStyle w:val="42"/>
        <w:ind w:firstLine="560"/>
        <w:rPr>
          <w:rFonts w:hint="eastAsia"/>
          <w:lang w:val="zh-CN"/>
        </w:rPr>
      </w:pPr>
    </w:p>
    <w:p w14:paraId="3B66F5A0">
      <w:pPr>
        <w:snapToGrid w:val="0"/>
        <w:spacing w:line="360" w:lineRule="auto"/>
        <w:ind w:left="5880" w:leftChars="2800"/>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68902790">
      <w:pPr>
        <w:snapToGrid w:val="0"/>
        <w:spacing w:line="360" w:lineRule="auto"/>
        <w:ind w:left="5880" w:leftChars="280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15362C6E">
      <w:pPr>
        <w:snapToGrid w:val="0"/>
        <w:spacing w:line="360" w:lineRule="auto"/>
        <w:ind w:left="5880" w:leftChars="2800"/>
        <w:rPr>
          <w:rFonts w:hint="eastAsia" w:ascii="仿宋" w:hAnsi="仿宋" w:eastAsia="仿宋" w:cs="仿宋"/>
        </w:rPr>
      </w:pPr>
      <w:r>
        <w:rPr>
          <w:rFonts w:hint="eastAsia" w:ascii="仿宋" w:hAnsi="仿宋" w:eastAsia="仿宋" w:cs="仿宋"/>
          <w:kern w:val="0"/>
          <w:sz w:val="24"/>
          <w:lang w:val="zh-CN"/>
        </w:rPr>
        <w:t>……</w:t>
      </w:r>
    </w:p>
    <w:p w14:paraId="6412957A">
      <w:pPr>
        <w:spacing w:line="360" w:lineRule="auto"/>
        <w:ind w:left="5880" w:leftChars="2800"/>
        <w:rPr>
          <w:rFonts w:hint="eastAsia" w:ascii="仿宋" w:hAnsi="仿宋" w:eastAsia="仿宋" w:cs="仿宋"/>
          <w:b/>
          <w:kern w:val="0"/>
          <w:sz w:val="32"/>
          <w:szCs w:val="32"/>
        </w:rPr>
      </w:pPr>
      <w:r>
        <w:rPr>
          <w:rFonts w:hint="eastAsia" w:ascii="仿宋" w:hAnsi="仿宋" w:eastAsia="仿宋" w:cs="仿宋"/>
          <w:kern w:val="0"/>
          <w:sz w:val="24"/>
          <w:lang w:val="zh-CN"/>
        </w:rPr>
        <w:t>日期：  年  月   日</w:t>
      </w:r>
    </w:p>
    <w:p w14:paraId="0236402B">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三、本项目的特定资格要求</w:t>
      </w:r>
    </w:p>
    <w:p w14:paraId="78F1328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A96A18C">
      <w:pPr>
        <w:pStyle w:val="42"/>
        <w:ind w:firstLine="560"/>
        <w:rPr>
          <w:rFonts w:hint="eastAsia"/>
        </w:rPr>
      </w:pPr>
    </w:p>
    <w:p w14:paraId="39E6ED13">
      <w:pPr>
        <w:pStyle w:val="42"/>
        <w:ind w:firstLine="560"/>
        <w:rPr>
          <w:rFonts w:hint="eastAsia"/>
        </w:rPr>
      </w:pPr>
    </w:p>
    <w:p w14:paraId="631A8675">
      <w:pPr>
        <w:pStyle w:val="42"/>
        <w:ind w:firstLine="560"/>
        <w:rPr>
          <w:rFonts w:hint="eastAsia"/>
        </w:rPr>
      </w:pPr>
    </w:p>
    <w:p w14:paraId="5E4AD75E">
      <w:pPr>
        <w:pStyle w:val="42"/>
        <w:ind w:firstLine="560"/>
        <w:rPr>
          <w:rFonts w:hint="eastAsia"/>
        </w:rPr>
      </w:pPr>
    </w:p>
    <w:p w14:paraId="299D95D2">
      <w:pPr>
        <w:pStyle w:val="42"/>
        <w:ind w:firstLine="560"/>
        <w:rPr>
          <w:rFonts w:hint="eastAsia"/>
        </w:rPr>
      </w:pPr>
    </w:p>
    <w:p w14:paraId="5C6D59F1">
      <w:pPr>
        <w:pStyle w:val="42"/>
        <w:ind w:firstLine="560"/>
        <w:rPr>
          <w:rFonts w:hint="eastAsia"/>
        </w:rPr>
      </w:pPr>
    </w:p>
    <w:p w14:paraId="11465249">
      <w:pPr>
        <w:spacing w:before="120" w:beforeLines="50" w:after="120" w:afterLines="50" w:line="360" w:lineRule="auto"/>
        <w:jc w:val="center"/>
        <w:outlineLvl w:val="0"/>
        <w:rPr>
          <w:rFonts w:hint="eastAsia" w:ascii="仿宋" w:hAnsi="仿宋" w:eastAsia="仿宋" w:cs="仿宋"/>
          <w:b/>
          <w:sz w:val="32"/>
          <w:szCs w:val="20"/>
        </w:rPr>
      </w:pPr>
      <w:r>
        <w:rPr>
          <w:rFonts w:ascii="仿宋" w:hAnsi="仿宋" w:eastAsia="仿宋" w:cs="仿宋"/>
          <w:b/>
          <w:kern w:val="0"/>
          <w:sz w:val="36"/>
          <w:szCs w:val="36"/>
        </w:rPr>
        <w:br w:type="page"/>
      </w:r>
      <w:r>
        <w:rPr>
          <w:rFonts w:hint="eastAsia" w:ascii="仿宋" w:hAnsi="仿宋" w:eastAsia="仿宋" w:cs="仿宋"/>
          <w:b/>
          <w:sz w:val="32"/>
          <w:szCs w:val="20"/>
        </w:rPr>
        <w:t>商务技术文件部分</w:t>
      </w:r>
    </w:p>
    <w:p w14:paraId="0E2C277C">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 录</w:t>
      </w:r>
    </w:p>
    <w:p w14:paraId="558F374B">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1.符合性自查表；</w:t>
      </w:r>
    </w:p>
    <w:p w14:paraId="74E04974">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2.投标函；</w:t>
      </w:r>
    </w:p>
    <w:p w14:paraId="1B3E30D4">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3.授权委托书或法定代表人（单位负责人、自然人本人）身份证明；</w:t>
      </w:r>
    </w:p>
    <w:p w14:paraId="0CF613CE">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4.供应商情况表；</w:t>
      </w:r>
    </w:p>
    <w:p w14:paraId="28B934F5">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5.距采购人最近或者能为本项目提供最优服务的网点情况表；</w:t>
      </w:r>
    </w:p>
    <w:p w14:paraId="79D37C53">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6.评标标准相应的商务技术资料；</w:t>
      </w:r>
    </w:p>
    <w:p w14:paraId="66A1A438">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7.商务响应表；</w:t>
      </w:r>
    </w:p>
    <w:p w14:paraId="118A92D9">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8.技术响应表；</w:t>
      </w:r>
    </w:p>
    <w:p w14:paraId="03C3E41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9.同类业绩情况一览表；</w:t>
      </w:r>
    </w:p>
    <w:p w14:paraId="7F174EA5">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10.政府采购供应商廉洁自律承诺书；</w:t>
      </w:r>
    </w:p>
    <w:p w14:paraId="42774CD5">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11.其他资料。</w:t>
      </w:r>
    </w:p>
    <w:p w14:paraId="539BB0D3">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符合性自查表</w:t>
      </w:r>
    </w:p>
    <w:tbl>
      <w:tblPr>
        <w:tblStyle w:val="22"/>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423"/>
        <w:gridCol w:w="2099"/>
        <w:gridCol w:w="1185"/>
        <w:gridCol w:w="1785"/>
      </w:tblGrid>
      <w:tr w14:paraId="4D52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noWrap w:val="0"/>
            <w:vAlign w:val="center"/>
          </w:tcPr>
          <w:p w14:paraId="0B05D740">
            <w:pPr>
              <w:spacing w:line="400" w:lineRule="exact"/>
              <w:jc w:val="center"/>
              <w:rPr>
                <w:rFonts w:hint="eastAsia" w:ascii="仿宋" w:hAnsi="仿宋" w:eastAsia="仿宋"/>
                <w:b/>
                <w:szCs w:val="21"/>
              </w:rPr>
            </w:pPr>
            <w:r>
              <w:rPr>
                <w:rFonts w:hint="eastAsia" w:ascii="仿宋" w:hAnsi="仿宋" w:eastAsia="仿宋"/>
                <w:b/>
                <w:szCs w:val="21"/>
              </w:rPr>
              <w:t>序号</w:t>
            </w:r>
          </w:p>
        </w:tc>
        <w:tc>
          <w:tcPr>
            <w:tcW w:w="4423" w:type="dxa"/>
            <w:noWrap w:val="0"/>
            <w:vAlign w:val="center"/>
          </w:tcPr>
          <w:p w14:paraId="1DEAF3FC">
            <w:pPr>
              <w:spacing w:line="400" w:lineRule="exact"/>
              <w:jc w:val="center"/>
              <w:rPr>
                <w:rFonts w:hint="eastAsia" w:ascii="仿宋" w:hAnsi="仿宋" w:eastAsia="仿宋"/>
                <w:b/>
                <w:szCs w:val="21"/>
              </w:rPr>
            </w:pPr>
            <w:r>
              <w:rPr>
                <w:rFonts w:hint="eastAsia" w:ascii="仿宋" w:hAnsi="仿宋" w:eastAsia="仿宋"/>
                <w:b/>
                <w:szCs w:val="21"/>
              </w:rPr>
              <w:t>实质性要求</w:t>
            </w:r>
          </w:p>
        </w:tc>
        <w:tc>
          <w:tcPr>
            <w:tcW w:w="2099" w:type="dxa"/>
            <w:noWrap w:val="0"/>
            <w:vAlign w:val="center"/>
          </w:tcPr>
          <w:p w14:paraId="1E386C57">
            <w:pPr>
              <w:spacing w:line="400" w:lineRule="exact"/>
              <w:jc w:val="center"/>
              <w:rPr>
                <w:rFonts w:hint="eastAsia" w:ascii="仿宋" w:hAnsi="仿宋" w:eastAsia="仿宋"/>
                <w:b/>
                <w:szCs w:val="21"/>
              </w:rPr>
            </w:pPr>
            <w:r>
              <w:rPr>
                <w:rFonts w:hint="eastAsia" w:ascii="仿宋" w:hAnsi="仿宋" w:eastAsia="仿宋"/>
                <w:b/>
                <w:szCs w:val="21"/>
              </w:rPr>
              <w:t>需要提供的符合性审查资料</w:t>
            </w:r>
          </w:p>
        </w:tc>
        <w:tc>
          <w:tcPr>
            <w:tcW w:w="1185" w:type="dxa"/>
            <w:noWrap w:val="0"/>
            <w:vAlign w:val="center"/>
          </w:tcPr>
          <w:p w14:paraId="03E62CFF">
            <w:pPr>
              <w:spacing w:line="400" w:lineRule="exact"/>
              <w:jc w:val="center"/>
              <w:rPr>
                <w:rFonts w:hint="eastAsia" w:ascii="仿宋" w:hAnsi="仿宋" w:eastAsia="仿宋"/>
                <w:b/>
                <w:szCs w:val="21"/>
              </w:rPr>
            </w:pPr>
            <w:r>
              <w:rPr>
                <w:rFonts w:hint="eastAsia" w:ascii="仿宋" w:hAnsi="仿宋" w:eastAsia="仿宋"/>
                <w:b/>
                <w:szCs w:val="21"/>
              </w:rPr>
              <w:t>自查结论</w:t>
            </w:r>
          </w:p>
        </w:tc>
        <w:tc>
          <w:tcPr>
            <w:tcW w:w="1785" w:type="dxa"/>
            <w:noWrap w:val="0"/>
            <w:vAlign w:val="center"/>
          </w:tcPr>
          <w:p w14:paraId="0850BEB2">
            <w:pPr>
              <w:spacing w:line="400" w:lineRule="exact"/>
              <w:jc w:val="center"/>
              <w:rPr>
                <w:rFonts w:hint="eastAsia" w:ascii="仿宋" w:hAnsi="仿宋" w:eastAsia="仿宋"/>
                <w:b/>
                <w:szCs w:val="21"/>
              </w:rPr>
            </w:pPr>
            <w:r>
              <w:rPr>
                <w:rFonts w:hint="eastAsia" w:ascii="仿宋" w:hAnsi="仿宋" w:eastAsia="仿宋"/>
                <w:b/>
                <w:szCs w:val="21"/>
              </w:rPr>
              <w:t>投标文件中的</w:t>
            </w:r>
          </w:p>
          <w:p w14:paraId="4F2B308F">
            <w:pPr>
              <w:spacing w:line="400" w:lineRule="exact"/>
              <w:jc w:val="center"/>
              <w:rPr>
                <w:rFonts w:hint="eastAsia" w:ascii="仿宋" w:hAnsi="仿宋" w:eastAsia="仿宋"/>
                <w:b/>
                <w:szCs w:val="21"/>
              </w:rPr>
            </w:pPr>
            <w:r>
              <w:rPr>
                <w:rFonts w:hint="eastAsia" w:ascii="仿宋" w:hAnsi="仿宋" w:eastAsia="仿宋"/>
                <w:b/>
                <w:szCs w:val="21"/>
              </w:rPr>
              <w:t>页码位置</w:t>
            </w:r>
          </w:p>
        </w:tc>
      </w:tr>
      <w:tr w14:paraId="7A7A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2A7A2EDD">
            <w:pPr>
              <w:spacing w:line="400" w:lineRule="exact"/>
              <w:jc w:val="center"/>
              <w:rPr>
                <w:rFonts w:hint="eastAsia" w:ascii="仿宋" w:hAnsi="仿宋" w:eastAsia="仿宋"/>
                <w:szCs w:val="21"/>
              </w:rPr>
            </w:pPr>
            <w:r>
              <w:rPr>
                <w:rFonts w:hint="eastAsia" w:ascii="仿宋" w:hAnsi="仿宋" w:eastAsia="仿宋"/>
                <w:szCs w:val="21"/>
              </w:rPr>
              <w:t>1</w:t>
            </w:r>
          </w:p>
        </w:tc>
        <w:tc>
          <w:tcPr>
            <w:tcW w:w="4423" w:type="dxa"/>
            <w:noWrap w:val="0"/>
            <w:vAlign w:val="center"/>
          </w:tcPr>
          <w:p w14:paraId="18B64DC1">
            <w:pPr>
              <w:spacing w:line="400" w:lineRule="exact"/>
              <w:jc w:val="left"/>
              <w:rPr>
                <w:rFonts w:hint="eastAsia" w:ascii="仿宋" w:hAnsi="仿宋" w:eastAsia="仿宋"/>
                <w:szCs w:val="21"/>
              </w:rPr>
            </w:pPr>
            <w:r>
              <w:rPr>
                <w:rFonts w:hint="eastAsia" w:ascii="仿宋" w:hAnsi="仿宋" w:eastAsia="仿宋"/>
                <w:szCs w:val="21"/>
              </w:rPr>
              <w:t>投标文件按照招标文件要求签署、盖章。</w:t>
            </w:r>
          </w:p>
        </w:tc>
        <w:tc>
          <w:tcPr>
            <w:tcW w:w="2099" w:type="dxa"/>
            <w:noWrap w:val="0"/>
            <w:vAlign w:val="center"/>
          </w:tcPr>
          <w:p w14:paraId="6465FE7A">
            <w:pPr>
              <w:spacing w:line="400" w:lineRule="exact"/>
              <w:jc w:val="left"/>
              <w:rPr>
                <w:rFonts w:hint="eastAsia" w:ascii="仿宋" w:hAnsi="仿宋" w:eastAsia="仿宋"/>
                <w:szCs w:val="21"/>
              </w:rPr>
            </w:pPr>
            <w:r>
              <w:rPr>
                <w:rFonts w:hint="eastAsia" w:ascii="仿宋" w:hAnsi="仿宋" w:eastAsia="仿宋"/>
                <w:szCs w:val="21"/>
              </w:rPr>
              <w:t>需要使用电子签名或者签字盖章的投标文件的组成部分</w:t>
            </w:r>
          </w:p>
        </w:tc>
        <w:tc>
          <w:tcPr>
            <w:tcW w:w="1185" w:type="dxa"/>
            <w:noWrap w:val="0"/>
            <w:vAlign w:val="center"/>
          </w:tcPr>
          <w:p w14:paraId="795E7C33">
            <w:pPr>
              <w:spacing w:line="400" w:lineRule="exact"/>
              <w:jc w:val="left"/>
              <w:rPr>
                <w:rFonts w:hint="eastAsia" w:ascii="仿宋" w:hAnsi="仿宋" w:eastAsia="仿宋"/>
                <w:szCs w:val="21"/>
              </w:rPr>
            </w:pPr>
            <w:r>
              <w:rPr>
                <w:rFonts w:hint="eastAsia" w:ascii="仿宋" w:hAnsi="仿宋" w:eastAsia="仿宋"/>
                <w:szCs w:val="21"/>
              </w:rPr>
              <w:t>□通过</w:t>
            </w:r>
          </w:p>
          <w:p w14:paraId="766BA3A7">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46A292F0">
            <w:pPr>
              <w:spacing w:line="400" w:lineRule="exact"/>
              <w:jc w:val="center"/>
              <w:rPr>
                <w:rFonts w:hint="eastAsia" w:ascii="仿宋" w:hAnsi="仿宋" w:eastAsia="仿宋"/>
                <w:szCs w:val="21"/>
              </w:rPr>
            </w:pPr>
            <w:r>
              <w:rPr>
                <w:rFonts w:hint="eastAsia" w:ascii="仿宋" w:hAnsi="仿宋" w:eastAsia="仿宋"/>
                <w:szCs w:val="21"/>
              </w:rPr>
              <w:t>见投标文件</w:t>
            </w:r>
          </w:p>
          <w:p w14:paraId="0480F8E6">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19E2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3F4D32F0">
            <w:pPr>
              <w:spacing w:line="400" w:lineRule="exact"/>
              <w:jc w:val="center"/>
              <w:rPr>
                <w:rFonts w:hint="eastAsia" w:ascii="仿宋" w:hAnsi="仿宋" w:eastAsia="仿宋"/>
                <w:szCs w:val="21"/>
              </w:rPr>
            </w:pPr>
            <w:r>
              <w:rPr>
                <w:rFonts w:hint="eastAsia" w:ascii="仿宋" w:hAnsi="仿宋" w:eastAsia="仿宋"/>
                <w:szCs w:val="21"/>
              </w:rPr>
              <w:t>2</w:t>
            </w:r>
          </w:p>
        </w:tc>
        <w:tc>
          <w:tcPr>
            <w:tcW w:w="4423" w:type="dxa"/>
            <w:noWrap w:val="0"/>
            <w:vAlign w:val="center"/>
          </w:tcPr>
          <w:p w14:paraId="3E68C714">
            <w:pPr>
              <w:spacing w:line="400" w:lineRule="exact"/>
              <w:jc w:val="left"/>
              <w:rPr>
                <w:rFonts w:hint="eastAsia" w:ascii="仿宋" w:hAnsi="仿宋" w:eastAsia="仿宋"/>
                <w:szCs w:val="21"/>
              </w:rPr>
            </w:pPr>
            <w:r>
              <w:rPr>
                <w:rFonts w:hint="eastAsia" w:ascii="仿宋" w:hAnsi="仿宋" w:eastAsia="仿宋"/>
                <w:szCs w:val="21"/>
              </w:rPr>
              <w:t>投标文件中承诺的投标有效期不少于招标文件中载明的投标有效期。</w:t>
            </w:r>
          </w:p>
        </w:tc>
        <w:tc>
          <w:tcPr>
            <w:tcW w:w="2099" w:type="dxa"/>
            <w:noWrap w:val="0"/>
            <w:vAlign w:val="center"/>
          </w:tcPr>
          <w:p w14:paraId="32E5A104">
            <w:pPr>
              <w:spacing w:line="400" w:lineRule="exact"/>
              <w:jc w:val="left"/>
              <w:rPr>
                <w:rFonts w:hint="eastAsia" w:ascii="仿宋" w:hAnsi="仿宋" w:eastAsia="仿宋"/>
                <w:szCs w:val="21"/>
              </w:rPr>
            </w:pPr>
            <w:r>
              <w:rPr>
                <w:rFonts w:hint="eastAsia" w:ascii="仿宋" w:hAnsi="仿宋" w:eastAsia="仿宋"/>
                <w:szCs w:val="21"/>
              </w:rPr>
              <w:t>投标函</w:t>
            </w:r>
          </w:p>
        </w:tc>
        <w:tc>
          <w:tcPr>
            <w:tcW w:w="1185" w:type="dxa"/>
            <w:noWrap w:val="0"/>
            <w:vAlign w:val="center"/>
          </w:tcPr>
          <w:p w14:paraId="04008F4E">
            <w:pPr>
              <w:spacing w:line="400" w:lineRule="exact"/>
              <w:jc w:val="left"/>
              <w:rPr>
                <w:rFonts w:hint="eastAsia" w:ascii="仿宋" w:hAnsi="仿宋" w:eastAsia="仿宋"/>
                <w:szCs w:val="21"/>
              </w:rPr>
            </w:pPr>
            <w:r>
              <w:rPr>
                <w:rFonts w:hint="eastAsia" w:ascii="仿宋" w:hAnsi="仿宋" w:eastAsia="仿宋"/>
                <w:szCs w:val="21"/>
              </w:rPr>
              <w:t>□通过</w:t>
            </w:r>
          </w:p>
          <w:p w14:paraId="77BCE8FB">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312E3A37">
            <w:pPr>
              <w:spacing w:line="400" w:lineRule="exact"/>
              <w:jc w:val="center"/>
              <w:rPr>
                <w:rFonts w:hint="eastAsia" w:ascii="仿宋" w:hAnsi="仿宋" w:eastAsia="仿宋"/>
                <w:szCs w:val="21"/>
              </w:rPr>
            </w:pPr>
            <w:r>
              <w:rPr>
                <w:rFonts w:hint="eastAsia" w:ascii="仿宋" w:hAnsi="仿宋" w:eastAsia="仿宋"/>
                <w:szCs w:val="21"/>
              </w:rPr>
              <w:t>见投标文件</w:t>
            </w:r>
          </w:p>
          <w:p w14:paraId="5CE95386">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081D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noWrap w:val="0"/>
            <w:vAlign w:val="center"/>
          </w:tcPr>
          <w:p w14:paraId="09161361">
            <w:pPr>
              <w:spacing w:line="400" w:lineRule="exact"/>
              <w:jc w:val="center"/>
              <w:rPr>
                <w:rFonts w:hint="eastAsia" w:ascii="仿宋" w:hAnsi="仿宋" w:eastAsia="仿宋"/>
                <w:szCs w:val="21"/>
              </w:rPr>
            </w:pPr>
            <w:r>
              <w:rPr>
                <w:rFonts w:hint="eastAsia" w:ascii="仿宋" w:hAnsi="仿宋" w:eastAsia="仿宋"/>
                <w:szCs w:val="21"/>
              </w:rPr>
              <w:t>3</w:t>
            </w:r>
          </w:p>
        </w:tc>
        <w:tc>
          <w:tcPr>
            <w:tcW w:w="4423" w:type="dxa"/>
            <w:noWrap w:val="0"/>
            <w:vAlign w:val="center"/>
          </w:tcPr>
          <w:p w14:paraId="3A46322F">
            <w:pPr>
              <w:spacing w:line="400" w:lineRule="exact"/>
              <w:jc w:val="left"/>
              <w:rPr>
                <w:rFonts w:hint="eastAsia" w:ascii="仿宋" w:hAnsi="仿宋" w:eastAsia="仿宋"/>
                <w:szCs w:val="21"/>
              </w:rPr>
            </w:pPr>
            <w:r>
              <w:rPr>
                <w:rFonts w:hint="eastAsia" w:ascii="仿宋" w:hAnsi="仿宋" w:eastAsia="仿宋"/>
                <w:szCs w:val="21"/>
              </w:rPr>
              <w:t>投标文件满足招标文件的其它实质性要求。</w:t>
            </w:r>
          </w:p>
        </w:tc>
        <w:tc>
          <w:tcPr>
            <w:tcW w:w="2099" w:type="dxa"/>
            <w:noWrap w:val="0"/>
            <w:vAlign w:val="center"/>
          </w:tcPr>
          <w:p w14:paraId="54E41389">
            <w:pPr>
              <w:spacing w:line="400" w:lineRule="exact"/>
              <w:jc w:val="left"/>
              <w:rPr>
                <w:rFonts w:hint="eastAsia" w:ascii="仿宋" w:hAnsi="仿宋" w:eastAsia="仿宋"/>
                <w:szCs w:val="21"/>
              </w:rPr>
            </w:pPr>
            <w:r>
              <w:rPr>
                <w:rFonts w:hint="eastAsia" w:ascii="仿宋" w:hAnsi="仿宋" w:eastAsia="仿宋"/>
                <w:szCs w:val="21"/>
              </w:rPr>
              <w:t>招标文件其它实质性要求相应的材料（“▲”系指实质性要求条款，招标文件无其它实质性要求的，无需提供）</w:t>
            </w:r>
          </w:p>
        </w:tc>
        <w:tc>
          <w:tcPr>
            <w:tcW w:w="1185" w:type="dxa"/>
            <w:noWrap w:val="0"/>
            <w:vAlign w:val="center"/>
          </w:tcPr>
          <w:p w14:paraId="3F6D1F4F">
            <w:pPr>
              <w:spacing w:line="400" w:lineRule="exact"/>
              <w:jc w:val="left"/>
              <w:rPr>
                <w:rFonts w:hint="eastAsia" w:ascii="仿宋" w:hAnsi="仿宋" w:eastAsia="仿宋"/>
                <w:szCs w:val="21"/>
              </w:rPr>
            </w:pPr>
            <w:r>
              <w:rPr>
                <w:rFonts w:hint="eastAsia" w:ascii="仿宋" w:hAnsi="仿宋" w:eastAsia="仿宋"/>
                <w:szCs w:val="21"/>
              </w:rPr>
              <w:t>□通过</w:t>
            </w:r>
          </w:p>
          <w:p w14:paraId="5376DAE7">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3D22268D">
            <w:pPr>
              <w:spacing w:line="400" w:lineRule="exact"/>
              <w:jc w:val="center"/>
              <w:rPr>
                <w:rFonts w:hint="eastAsia" w:ascii="仿宋" w:hAnsi="仿宋" w:eastAsia="仿宋"/>
                <w:szCs w:val="21"/>
              </w:rPr>
            </w:pPr>
            <w:r>
              <w:rPr>
                <w:rFonts w:hint="eastAsia" w:ascii="仿宋" w:hAnsi="仿宋" w:eastAsia="仿宋"/>
                <w:szCs w:val="21"/>
              </w:rPr>
              <w:t>见投标文件</w:t>
            </w:r>
          </w:p>
          <w:p w14:paraId="0F6F3EB2">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1FB6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01547D95">
            <w:pPr>
              <w:spacing w:line="400" w:lineRule="exact"/>
              <w:jc w:val="center"/>
              <w:rPr>
                <w:rFonts w:hint="eastAsia" w:ascii="仿宋" w:hAnsi="仿宋" w:eastAsia="仿宋"/>
                <w:szCs w:val="21"/>
              </w:rPr>
            </w:pPr>
            <w:r>
              <w:rPr>
                <w:rFonts w:hint="eastAsia" w:ascii="仿宋" w:hAnsi="仿宋" w:eastAsia="仿宋"/>
                <w:szCs w:val="21"/>
              </w:rPr>
              <w:t>4</w:t>
            </w:r>
          </w:p>
        </w:tc>
        <w:tc>
          <w:tcPr>
            <w:tcW w:w="4423" w:type="dxa"/>
            <w:noWrap w:val="0"/>
            <w:vAlign w:val="center"/>
          </w:tcPr>
          <w:p w14:paraId="792234DD">
            <w:pPr>
              <w:spacing w:line="400" w:lineRule="exact"/>
              <w:jc w:val="left"/>
              <w:rPr>
                <w:rFonts w:hint="eastAsia" w:ascii="仿宋" w:hAnsi="仿宋" w:eastAsia="仿宋"/>
                <w:szCs w:val="21"/>
              </w:rPr>
            </w:pPr>
            <w:r>
              <w:rPr>
                <w:rFonts w:hint="eastAsia" w:ascii="仿宋" w:hAnsi="仿宋" w:eastAsia="仿宋"/>
                <w:szCs w:val="21"/>
              </w:rPr>
              <w:t>投标文件没有招标文件中规定的其它无效投标条款的。</w:t>
            </w:r>
          </w:p>
        </w:tc>
        <w:tc>
          <w:tcPr>
            <w:tcW w:w="2099" w:type="dxa"/>
            <w:noWrap w:val="0"/>
            <w:vAlign w:val="center"/>
          </w:tcPr>
          <w:p w14:paraId="10757FE7">
            <w:pPr>
              <w:spacing w:line="400" w:lineRule="exact"/>
              <w:jc w:val="left"/>
              <w:rPr>
                <w:rFonts w:hint="eastAsia" w:ascii="仿宋" w:hAnsi="仿宋" w:eastAsia="仿宋"/>
                <w:szCs w:val="21"/>
              </w:rPr>
            </w:pPr>
          </w:p>
        </w:tc>
        <w:tc>
          <w:tcPr>
            <w:tcW w:w="1185" w:type="dxa"/>
            <w:noWrap w:val="0"/>
            <w:vAlign w:val="center"/>
          </w:tcPr>
          <w:p w14:paraId="331E7932">
            <w:pPr>
              <w:spacing w:line="400" w:lineRule="exact"/>
              <w:jc w:val="left"/>
              <w:rPr>
                <w:rFonts w:hint="eastAsia" w:ascii="仿宋" w:hAnsi="仿宋" w:eastAsia="仿宋"/>
                <w:szCs w:val="21"/>
              </w:rPr>
            </w:pPr>
            <w:r>
              <w:rPr>
                <w:rFonts w:hint="eastAsia" w:ascii="仿宋" w:hAnsi="仿宋" w:eastAsia="仿宋"/>
                <w:szCs w:val="21"/>
              </w:rPr>
              <w:t>□通过</w:t>
            </w:r>
          </w:p>
          <w:p w14:paraId="22CF2A2A">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63C82C03">
            <w:pPr>
              <w:spacing w:line="400" w:lineRule="exact"/>
              <w:jc w:val="center"/>
              <w:rPr>
                <w:rFonts w:hint="eastAsia" w:ascii="仿宋" w:hAnsi="仿宋" w:eastAsia="仿宋"/>
                <w:szCs w:val="21"/>
              </w:rPr>
            </w:pPr>
          </w:p>
        </w:tc>
      </w:tr>
      <w:tr w14:paraId="067D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77471BE8">
            <w:pPr>
              <w:spacing w:line="400" w:lineRule="exact"/>
              <w:jc w:val="center"/>
              <w:rPr>
                <w:rFonts w:hint="eastAsia" w:ascii="仿宋" w:hAnsi="仿宋" w:eastAsia="仿宋"/>
                <w:szCs w:val="21"/>
              </w:rPr>
            </w:pPr>
            <w:r>
              <w:rPr>
                <w:rFonts w:hint="eastAsia" w:ascii="仿宋" w:hAnsi="仿宋" w:eastAsia="仿宋"/>
                <w:szCs w:val="21"/>
              </w:rPr>
              <w:t>5</w:t>
            </w:r>
          </w:p>
        </w:tc>
        <w:tc>
          <w:tcPr>
            <w:tcW w:w="4423" w:type="dxa"/>
            <w:noWrap w:val="0"/>
            <w:vAlign w:val="center"/>
          </w:tcPr>
          <w:p w14:paraId="32970ACE">
            <w:pPr>
              <w:spacing w:line="400" w:lineRule="exact"/>
              <w:jc w:val="left"/>
              <w:rPr>
                <w:rFonts w:hint="eastAsia" w:ascii="仿宋" w:hAnsi="仿宋" w:eastAsia="仿宋"/>
                <w:szCs w:val="21"/>
              </w:rPr>
            </w:pPr>
            <w:r>
              <w:rPr>
                <w:rFonts w:hint="eastAsia" w:ascii="仿宋" w:hAnsi="仿宋" w:eastAsia="仿宋"/>
                <w:szCs w:val="21"/>
              </w:rPr>
              <w:t>按有关法律、法规、规章不属于投标无效的。</w:t>
            </w:r>
          </w:p>
        </w:tc>
        <w:tc>
          <w:tcPr>
            <w:tcW w:w="2099" w:type="dxa"/>
            <w:noWrap w:val="0"/>
            <w:vAlign w:val="center"/>
          </w:tcPr>
          <w:p w14:paraId="0A3EB52C">
            <w:pPr>
              <w:spacing w:line="400" w:lineRule="exact"/>
              <w:jc w:val="left"/>
              <w:rPr>
                <w:rFonts w:hint="eastAsia" w:ascii="仿宋" w:hAnsi="仿宋" w:eastAsia="仿宋"/>
                <w:szCs w:val="21"/>
              </w:rPr>
            </w:pPr>
          </w:p>
        </w:tc>
        <w:tc>
          <w:tcPr>
            <w:tcW w:w="1185" w:type="dxa"/>
            <w:noWrap w:val="0"/>
            <w:vAlign w:val="center"/>
          </w:tcPr>
          <w:p w14:paraId="5ECD8F6E">
            <w:pPr>
              <w:spacing w:line="400" w:lineRule="exact"/>
              <w:jc w:val="left"/>
              <w:rPr>
                <w:rFonts w:hint="eastAsia" w:ascii="仿宋" w:hAnsi="仿宋" w:eastAsia="仿宋"/>
                <w:szCs w:val="21"/>
              </w:rPr>
            </w:pPr>
            <w:r>
              <w:rPr>
                <w:rFonts w:hint="eastAsia" w:ascii="仿宋" w:hAnsi="仿宋" w:eastAsia="仿宋"/>
                <w:szCs w:val="21"/>
              </w:rPr>
              <w:t>□通过</w:t>
            </w:r>
          </w:p>
          <w:p w14:paraId="71A92D45">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67C984F2">
            <w:pPr>
              <w:spacing w:line="400" w:lineRule="exact"/>
              <w:jc w:val="center"/>
              <w:rPr>
                <w:rFonts w:hint="eastAsia" w:ascii="仿宋" w:hAnsi="仿宋" w:eastAsia="仿宋"/>
                <w:szCs w:val="21"/>
              </w:rPr>
            </w:pPr>
          </w:p>
        </w:tc>
      </w:tr>
    </w:tbl>
    <w:p w14:paraId="25F98A21">
      <w:pPr>
        <w:snapToGrid w:val="0"/>
        <w:spacing w:line="360" w:lineRule="auto"/>
        <w:jc w:val="left"/>
        <w:rPr>
          <w:rFonts w:hint="eastAsia" w:ascii="仿宋" w:hAnsi="仿宋" w:eastAsia="仿宋" w:cs="仿宋"/>
          <w:b/>
          <w:sz w:val="32"/>
          <w:szCs w:val="32"/>
        </w:rPr>
      </w:pPr>
      <w:r>
        <w:rPr>
          <w:rFonts w:hint="eastAsia" w:ascii="仿宋" w:hAnsi="仿宋" w:eastAsia="仿宋" w:cs="仿宋"/>
          <w:b/>
          <w:sz w:val="24"/>
        </w:rPr>
        <w:t>备注：投标人自查表将作为投标投标人有效性审查的重要内容之一，投标投标人必须严格按照其内容及序列要求在投标文件中对应如实提供，对资格性证明文件的任何缺漏和不符合项将会直接导致投标无效！</w:t>
      </w:r>
    </w:p>
    <w:p w14:paraId="511C0D28">
      <w:pPr>
        <w:numPr>
          <w:ilvl w:val="0"/>
          <w:numId w:val="4"/>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66B07B38">
      <w:pPr>
        <w:snapToGrid w:val="0"/>
        <w:spacing w:line="360" w:lineRule="auto"/>
        <w:rPr>
          <w:rFonts w:hint="eastAsia" w:ascii="仿宋" w:hAnsi="仿宋" w:eastAsia="仿宋" w:cs="仿宋"/>
          <w:sz w:val="24"/>
        </w:rPr>
      </w:pPr>
      <w:r>
        <w:rPr>
          <w:rFonts w:hint="eastAsia" w:ascii="仿宋" w:hAnsi="仿宋" w:eastAsia="仿宋" w:cs="仿宋"/>
          <w:sz w:val="24"/>
          <w:lang w:eastAsia="zh-CN"/>
        </w:rPr>
        <w:t>宁波越升质量技术服务有限公司</w:t>
      </w:r>
      <w:r>
        <w:rPr>
          <w:rFonts w:hint="eastAsia" w:ascii="仿宋" w:hAnsi="仿宋" w:eastAsia="仿宋" w:cs="仿宋"/>
          <w:sz w:val="24"/>
        </w:rPr>
        <w:t>/</w:t>
      </w:r>
      <w:r>
        <w:rPr>
          <w:rFonts w:hint="eastAsia" w:ascii="仿宋" w:hAnsi="仿宋" w:eastAsia="仿宋" w:cs="仿宋"/>
          <w:sz w:val="24"/>
          <w:lang w:eastAsia="zh-CN"/>
        </w:rPr>
        <w:t xml:space="preserve">象山县城市管理服务中心 </w:t>
      </w:r>
      <w:r>
        <w:rPr>
          <w:rFonts w:hint="eastAsia" w:ascii="仿宋" w:hAnsi="仿宋" w:eastAsia="仿宋" w:cs="仿宋"/>
          <w:sz w:val="24"/>
        </w:rPr>
        <w:t>：</w:t>
      </w:r>
    </w:p>
    <w:p w14:paraId="34A7D4D6">
      <w:pPr>
        <w:snapToGrid w:val="0"/>
        <w:spacing w:line="360" w:lineRule="auto"/>
        <w:ind w:firstLine="480" w:firstLineChars="200"/>
        <w:rPr>
          <w:rFonts w:hint="eastAsia" w:ascii="仿宋" w:hAnsi="仿宋" w:eastAsia="仿宋" w:cs="仿宋"/>
          <w:sz w:val="24"/>
        </w:rPr>
      </w:pPr>
    </w:p>
    <w:p w14:paraId="02D650F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象山县中心城区垃圾中转站服务外包项目</w:t>
      </w:r>
      <w:r>
        <w:rPr>
          <w:rFonts w:hint="eastAsia" w:ascii="仿宋" w:hAnsi="仿宋" w:eastAsia="仿宋" w:cs="仿宋"/>
          <w:sz w:val="24"/>
        </w:rPr>
        <w:t>【招标编号：</w:t>
      </w:r>
      <w:r>
        <w:rPr>
          <w:rFonts w:hint="eastAsia" w:ascii="仿宋" w:hAnsi="仿宋" w:eastAsia="仿宋" w:cs="仿宋"/>
          <w:sz w:val="24"/>
          <w:lang w:eastAsia="zh-CN"/>
        </w:rPr>
        <w:t>NBYS2025023G</w:t>
      </w:r>
      <w:r>
        <w:rPr>
          <w:rFonts w:hint="eastAsia" w:ascii="仿宋" w:hAnsi="仿宋" w:eastAsia="仿宋" w:cs="仿宋"/>
          <w:sz w:val="24"/>
        </w:rPr>
        <w:t>】招标的有关活动，并对此项目进行投标。为此：</w:t>
      </w:r>
    </w:p>
    <w:p w14:paraId="2AC87C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8C27B6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6E40AC0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74247BC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2.1.1有效的企业法人营业执照（或事业法人登记证）、其他组织（个体工商户）的营业执照或者民办非企业单位登记证书；</w:t>
      </w:r>
    </w:p>
    <w:p w14:paraId="099F7B3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2.1.2符合参加政府采购活动应当具备的一般条件的承诺函；</w:t>
      </w:r>
    </w:p>
    <w:p w14:paraId="58F5993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w:t>
      </w:r>
      <w:r>
        <w:rPr>
          <w:rFonts w:hint="eastAsia" w:ascii="仿宋" w:hAnsi="仿宋" w:eastAsia="仿宋" w:cs="仿宋"/>
          <w:sz w:val="24"/>
          <w:lang w:eastAsia="zh-CN"/>
        </w:rPr>
        <w:t>：</w:t>
      </w:r>
      <w:r>
        <w:rPr>
          <w:rFonts w:hint="eastAsia" w:ascii="仿宋" w:hAnsi="仿宋" w:eastAsia="仿宋" w:cs="仿宋"/>
          <w:sz w:val="24"/>
          <w:lang w:val="en-US" w:eastAsia="zh-CN"/>
        </w:rPr>
        <w:t>（如有）</w:t>
      </w:r>
      <w:r>
        <w:rPr>
          <w:rFonts w:hint="eastAsia" w:ascii="仿宋" w:hAnsi="仿宋" w:eastAsia="仿宋" w:cs="仿宋"/>
          <w:sz w:val="24"/>
        </w:rPr>
        <w:t>；</w:t>
      </w:r>
    </w:p>
    <w:p w14:paraId="2F77681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2.1.3.1中小企业声明函；</w:t>
      </w:r>
    </w:p>
    <w:p w14:paraId="7F3EA0F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2.1.3.2残疾人福利性单位声明函；</w:t>
      </w:r>
    </w:p>
    <w:p w14:paraId="03BB118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2.1.3.3监狱企业的证明文件；</w:t>
      </w:r>
    </w:p>
    <w:p w14:paraId="049750A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联合协议（如果有）；</w:t>
      </w:r>
    </w:p>
    <w:p w14:paraId="34415F9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5</w:t>
      </w:r>
      <w:r>
        <w:rPr>
          <w:rFonts w:hint="eastAsia" w:ascii="仿宋" w:hAnsi="仿宋" w:eastAsia="仿宋" w:cs="仿宋"/>
          <w:sz w:val="24"/>
        </w:rPr>
        <w:t>分包意向协议（如果有）；</w:t>
      </w:r>
    </w:p>
    <w:p w14:paraId="1B3297C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6</w:t>
      </w:r>
      <w:r>
        <w:rPr>
          <w:rFonts w:hint="eastAsia" w:ascii="仿宋" w:hAnsi="仿宋" w:eastAsia="仿宋" w:cs="仿宋"/>
          <w:sz w:val="24"/>
        </w:rPr>
        <w:t>本项目的特定资格要求。</w:t>
      </w:r>
    </w:p>
    <w:p w14:paraId="02D08751">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78863E5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2.2.1符合性自查表；</w:t>
      </w:r>
    </w:p>
    <w:p w14:paraId="5149310A">
      <w:pPr>
        <w:snapToGrid w:val="0"/>
        <w:spacing w:line="360" w:lineRule="auto"/>
        <w:ind w:left="420" w:leftChars="200" w:firstLine="480" w:firstLineChars="200"/>
        <w:rPr>
          <w:rFonts w:hint="eastAsia" w:ascii="仿宋" w:hAnsi="仿宋" w:eastAsia="仿宋" w:cs="仿宋"/>
          <w:lang w:val="zh-CN"/>
        </w:rPr>
      </w:pPr>
      <w:r>
        <w:rPr>
          <w:rFonts w:hint="eastAsia" w:ascii="仿宋" w:hAnsi="仿宋" w:eastAsia="仿宋" w:cs="仿宋"/>
          <w:sz w:val="24"/>
        </w:rPr>
        <w:t>2.2.2投标函；</w:t>
      </w:r>
      <w:r>
        <w:rPr>
          <w:rFonts w:hint="eastAsia" w:ascii="仿宋" w:hAnsi="仿宋" w:eastAsia="仿宋" w:cs="仿宋"/>
          <w:sz w:val="24"/>
          <w:lang w:val="zh-CN"/>
        </w:rPr>
        <w:t xml:space="preserve"> </w:t>
      </w:r>
    </w:p>
    <w:p w14:paraId="5A38D39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2.2.3授权委托书或法定代表人（单位负责人）身份证明；</w:t>
      </w:r>
    </w:p>
    <w:p w14:paraId="6336421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2.2.4供应商情况表；</w:t>
      </w:r>
    </w:p>
    <w:p w14:paraId="7D5ABFF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589CAB8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6商务响应表；</w:t>
      </w:r>
    </w:p>
    <w:p w14:paraId="0C66486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7技术响应表；</w:t>
      </w:r>
    </w:p>
    <w:p w14:paraId="1415E86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8同类业绩情况一览表；</w:t>
      </w:r>
    </w:p>
    <w:p w14:paraId="4A099F63">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2.2.9</w:t>
      </w:r>
      <w:r>
        <w:rPr>
          <w:rFonts w:hint="eastAsia" w:ascii="仿宋" w:hAnsi="仿宋" w:eastAsia="仿宋" w:cs="仿宋"/>
          <w:sz w:val="24"/>
          <w:lang w:val="zh-CN"/>
        </w:rPr>
        <w:t>政府采购供应商廉洁自律承诺书；</w:t>
      </w:r>
    </w:p>
    <w:p w14:paraId="4B53EF99">
      <w:pPr>
        <w:snapToGrid w:val="0"/>
        <w:spacing w:line="360" w:lineRule="auto"/>
        <w:ind w:left="420" w:leftChars="200" w:firstLine="480" w:firstLineChars="200"/>
        <w:rPr>
          <w:rFonts w:ascii="仿宋" w:hAnsi="仿宋" w:eastAsia="仿宋" w:cs="仿宋"/>
        </w:rPr>
      </w:pPr>
      <w:r>
        <w:rPr>
          <w:rFonts w:hint="eastAsia" w:ascii="仿宋" w:hAnsi="仿宋" w:eastAsia="仿宋" w:cs="仿宋"/>
          <w:sz w:val="24"/>
        </w:rPr>
        <w:t>2.2.10其他资料。</w:t>
      </w:r>
    </w:p>
    <w:p w14:paraId="5658EF1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435082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2.3.1开标一览表；</w:t>
      </w:r>
    </w:p>
    <w:p w14:paraId="695F09E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2.3.2投标报价明细表；</w:t>
      </w:r>
    </w:p>
    <w:p w14:paraId="5F9C5C0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sz w:val="24"/>
          <w:lang w:val="en-US" w:eastAsia="zh-CN"/>
        </w:rPr>
        <w:t>3</w:t>
      </w:r>
      <w:r>
        <w:rPr>
          <w:rFonts w:hint="eastAsia" w:ascii="仿宋" w:hAnsi="仿宋" w:eastAsia="仿宋" w:cs="仿宋"/>
          <w:sz w:val="24"/>
        </w:rPr>
        <w:t>政府采购统计基础信息表；</w:t>
      </w:r>
    </w:p>
    <w:p w14:paraId="59341A0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sz w:val="24"/>
          <w:lang w:val="en-US" w:eastAsia="zh-CN"/>
        </w:rPr>
        <w:t>4</w:t>
      </w:r>
      <w:r>
        <w:rPr>
          <w:rFonts w:hint="eastAsia" w:ascii="仿宋" w:hAnsi="仿宋" w:eastAsia="仿宋" w:cs="仿宋"/>
          <w:sz w:val="24"/>
        </w:rPr>
        <w:t>其他资料（如有）。</w:t>
      </w:r>
    </w:p>
    <w:p w14:paraId="3E8C25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BEC46C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2B585D6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4.1在收到中标通知书后，在中标通知书规定的期限内与你方签订合同；</w:t>
      </w:r>
    </w:p>
    <w:p w14:paraId="4B0188E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4.2在签订合同时不向你方提出附加条件；</w:t>
      </w:r>
    </w:p>
    <w:p w14:paraId="6F9D646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4.3按照招标文件要求提交履约保证金；</w:t>
      </w:r>
    </w:p>
    <w:p w14:paraId="26D8DF3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554F185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5、其他补充说明: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E73B185">
      <w:pPr>
        <w:spacing w:line="360" w:lineRule="auto"/>
        <w:ind w:firstLine="3600" w:firstLineChars="1500"/>
        <w:rPr>
          <w:rFonts w:hint="eastAsia" w:ascii="仿宋" w:hAnsi="仿宋" w:eastAsia="仿宋" w:cs="仿宋"/>
          <w:sz w:val="24"/>
        </w:rPr>
      </w:pPr>
    </w:p>
    <w:p w14:paraId="7DAC2F8F">
      <w:pPr>
        <w:spacing w:line="360" w:lineRule="auto"/>
        <w:ind w:firstLine="3600" w:firstLineChars="1500"/>
        <w:rPr>
          <w:rFonts w:hint="eastAsia" w:ascii="仿宋" w:hAnsi="仿宋" w:eastAsia="仿宋" w:cs="仿宋"/>
          <w:sz w:val="24"/>
        </w:rPr>
      </w:pPr>
    </w:p>
    <w:p w14:paraId="699D6D4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1C3B30B7">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15C8883">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561EB7C8">
      <w:pPr>
        <w:numPr>
          <w:ilvl w:val="0"/>
          <w:numId w:val="4"/>
        </w:numPr>
        <w:snapToGrid w:val="0"/>
        <w:spacing w:line="360" w:lineRule="auto"/>
        <w:jc w:val="center"/>
        <w:outlineLvl w:val="0"/>
        <w:rPr>
          <w:rFonts w:hint="eastAsia" w:ascii="仿宋" w:hAnsi="仿宋" w:eastAsia="仿宋" w:cs="仿宋"/>
          <w:b/>
          <w:kern w:val="0"/>
          <w:sz w:val="32"/>
          <w:szCs w:val="32"/>
        </w:rPr>
      </w:pPr>
      <w:bookmarkStart w:id="397" w:name="_Toc225223761"/>
      <w:bookmarkStart w:id="398" w:name="_Toc488936100"/>
      <w:bookmarkStart w:id="399" w:name="_Toc483379796"/>
      <w:bookmarkStart w:id="400" w:name="_Toc14746861"/>
      <w:bookmarkStart w:id="401" w:name="_Toc479927873"/>
      <w:bookmarkStart w:id="402" w:name="_Toc110393361"/>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授权委托书或法定代表人（单位负责人、自然人本人）身份证明</w:t>
      </w:r>
    </w:p>
    <w:p w14:paraId="47CD1806">
      <w:pPr>
        <w:snapToGrid w:val="0"/>
        <w:spacing w:line="360" w:lineRule="auto"/>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53804432">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宁波越升质量技术服务有限公司</w:t>
      </w:r>
      <w:r>
        <w:rPr>
          <w:rFonts w:hint="eastAsia" w:ascii="仿宋" w:hAnsi="仿宋" w:eastAsia="仿宋" w:cs="仿宋"/>
          <w:sz w:val="24"/>
        </w:rPr>
        <w:t>/</w:t>
      </w:r>
      <w:r>
        <w:rPr>
          <w:rFonts w:hint="eastAsia" w:ascii="仿宋" w:hAnsi="仿宋" w:eastAsia="仿宋" w:cs="仿宋"/>
          <w:sz w:val="24"/>
          <w:lang w:eastAsia="zh-CN"/>
        </w:rPr>
        <w:t xml:space="preserve">象山县城市管理服务中心 </w:t>
      </w:r>
      <w:r>
        <w:rPr>
          <w:rFonts w:hint="eastAsia" w:ascii="仿宋" w:hAnsi="仿宋" w:eastAsia="仿宋" w:cs="仿宋"/>
          <w:kern w:val="0"/>
          <w:sz w:val="24"/>
          <w:lang w:val="zh-CN"/>
        </w:rPr>
        <w:t>：</w:t>
      </w:r>
    </w:p>
    <w:p w14:paraId="065B8C2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lang w:eastAsia="zh-CN"/>
        </w:rPr>
        <w:t>象山县中心城区垃圾中转站服务外包项目</w:t>
      </w:r>
      <w:r>
        <w:rPr>
          <w:rFonts w:hint="eastAsia" w:ascii="仿宋" w:hAnsi="仿宋" w:eastAsia="仿宋" w:cs="仿宋"/>
          <w:sz w:val="24"/>
        </w:rPr>
        <w:t>【招标编号：</w:t>
      </w:r>
      <w:r>
        <w:rPr>
          <w:rFonts w:hint="eastAsia" w:ascii="仿宋" w:hAnsi="仿宋" w:eastAsia="仿宋" w:cs="仿宋"/>
          <w:sz w:val="24"/>
          <w:u w:val="single"/>
          <w:lang w:eastAsia="zh-CN"/>
        </w:rPr>
        <w:t>NBYS2025023G</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CD4BB32">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日止。</w:t>
      </w:r>
    </w:p>
    <w:p w14:paraId="35AF5DC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特此告知。</w:t>
      </w:r>
    </w:p>
    <w:p w14:paraId="1CD0018E">
      <w:pPr>
        <w:pStyle w:val="42"/>
        <w:ind w:firstLine="560"/>
        <w:rPr>
          <w:rFonts w:hint="eastAsia"/>
          <w:lang w:val="zh-CN"/>
        </w:rPr>
      </w:pPr>
    </w:p>
    <w:p w14:paraId="50F9705D">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785DC5BE">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日期：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1949751F">
      <w:pPr>
        <w:snapToGrid w:val="0"/>
        <w:spacing w:line="360" w:lineRule="auto"/>
        <w:rPr>
          <w:rFonts w:hint="eastAsia" w:ascii="仿宋" w:hAnsi="仿宋" w:eastAsia="仿宋" w:cs="仿宋"/>
          <w:sz w:val="24"/>
        </w:rPr>
      </w:pPr>
    </w:p>
    <w:p w14:paraId="3DEC5663">
      <w:pPr>
        <w:pStyle w:val="42"/>
        <w:ind w:firstLine="560"/>
        <w:rPr>
          <w:rFonts w:hint="eastAsia"/>
        </w:rPr>
      </w:pPr>
    </w:p>
    <w:p w14:paraId="270D4512">
      <w:pPr>
        <w:pStyle w:val="42"/>
        <w:ind w:firstLine="560"/>
        <w:rPr>
          <w:rFonts w:hint="eastAsia"/>
        </w:rPr>
      </w:pPr>
    </w:p>
    <w:p w14:paraId="1B46C7FF">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605A089A">
      <w:pPr>
        <w:snapToGrid w:val="0"/>
        <w:spacing w:line="360" w:lineRule="auto"/>
        <w:rPr>
          <w:rFonts w:hint="eastAsia" w:ascii="仿宋" w:hAnsi="仿宋" w:eastAsia="仿宋" w:cs="仿宋"/>
          <w:kern w:val="0"/>
          <w:sz w:val="24"/>
          <w:lang w:val="zh-CN"/>
        </w:rPr>
      </w:pPr>
      <w:r>
        <w:rPr>
          <w:rFonts w:hint="eastAsia" w:ascii="仿宋" w:hAnsi="仿宋" w:eastAsia="仿宋" w:cs="仿宋"/>
          <w:sz w:val="24"/>
          <w:lang w:eastAsia="zh-CN"/>
        </w:rPr>
        <w:t>宁波越升质量技术服务有限公司</w:t>
      </w:r>
      <w:r>
        <w:rPr>
          <w:rFonts w:hint="eastAsia" w:ascii="仿宋" w:hAnsi="仿宋" w:eastAsia="仿宋" w:cs="仿宋"/>
          <w:sz w:val="24"/>
        </w:rPr>
        <w:t>/</w:t>
      </w:r>
      <w:r>
        <w:rPr>
          <w:rFonts w:hint="eastAsia" w:ascii="仿宋" w:hAnsi="仿宋" w:eastAsia="仿宋" w:cs="仿宋"/>
          <w:sz w:val="24"/>
          <w:lang w:eastAsia="zh-CN"/>
        </w:rPr>
        <w:t xml:space="preserve">象山县城市管理服务中心 </w:t>
      </w:r>
      <w:r>
        <w:rPr>
          <w:rFonts w:hint="eastAsia" w:ascii="仿宋" w:hAnsi="仿宋" w:eastAsia="仿宋" w:cs="仿宋"/>
          <w:kern w:val="0"/>
          <w:sz w:val="24"/>
          <w:lang w:val="zh-CN"/>
        </w:rPr>
        <w:t>：</w:t>
      </w:r>
    </w:p>
    <w:p w14:paraId="6E29A8C8">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lang w:eastAsia="zh-CN"/>
        </w:rPr>
        <w:t>象山县中心城区垃圾中转站服务外包项目</w:t>
      </w:r>
      <w:r>
        <w:rPr>
          <w:rFonts w:hint="eastAsia" w:ascii="仿宋" w:hAnsi="仿宋" w:eastAsia="仿宋" w:cs="仿宋"/>
          <w:sz w:val="24"/>
        </w:rPr>
        <w:t>【招标编号：</w:t>
      </w:r>
      <w:r>
        <w:rPr>
          <w:rFonts w:hint="eastAsia" w:ascii="仿宋" w:hAnsi="仿宋" w:eastAsia="仿宋" w:cs="仿宋"/>
          <w:sz w:val="24"/>
          <w:u w:val="single"/>
          <w:lang w:eastAsia="zh-CN"/>
        </w:rPr>
        <w:t>NBYS2025023G</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546AA3D6">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日止。</w:t>
      </w:r>
    </w:p>
    <w:p w14:paraId="12E6EA95">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特此告知。</w:t>
      </w:r>
    </w:p>
    <w:p w14:paraId="035210A2">
      <w:pPr>
        <w:snapToGrid w:val="0"/>
        <w:spacing w:line="360" w:lineRule="auto"/>
        <w:ind w:firstLine="3675" w:firstLineChars="1750"/>
        <w:rPr>
          <w:rFonts w:hint="eastAsia" w:ascii="仿宋" w:hAnsi="仿宋" w:eastAsia="仿宋" w:cs="仿宋"/>
        </w:rPr>
      </w:pPr>
    </w:p>
    <w:p w14:paraId="2D1BF28C">
      <w:pPr>
        <w:snapToGrid w:val="0"/>
        <w:spacing w:line="360" w:lineRule="auto"/>
        <w:ind w:firstLine="4200" w:firstLineChars="175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C87B0D">
      <w:pPr>
        <w:snapToGrid w:val="0"/>
        <w:spacing w:line="360" w:lineRule="auto"/>
        <w:ind w:firstLine="4200" w:firstLineChars="175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912C7E9">
      <w:pPr>
        <w:snapToGrid w:val="0"/>
        <w:spacing w:line="360" w:lineRule="auto"/>
        <w:ind w:firstLine="4200" w:firstLineChars="1750"/>
        <w:rPr>
          <w:rFonts w:hint="eastAsia" w:ascii="仿宋" w:hAnsi="仿宋" w:eastAsia="仿宋" w:cs="仿宋"/>
          <w:kern w:val="0"/>
          <w:sz w:val="24"/>
          <w:lang w:val="zh-CN"/>
        </w:rPr>
      </w:pPr>
      <w:r>
        <w:rPr>
          <w:rFonts w:hint="eastAsia" w:ascii="仿宋" w:hAnsi="仿宋" w:eastAsia="仿宋" w:cs="仿宋"/>
          <w:kern w:val="0"/>
          <w:sz w:val="24"/>
          <w:lang w:val="zh-CN"/>
        </w:rPr>
        <w:t>……</w:t>
      </w:r>
    </w:p>
    <w:p w14:paraId="5957D850">
      <w:pPr>
        <w:snapToGrid w:val="0"/>
        <w:spacing w:line="360" w:lineRule="auto"/>
        <w:ind w:firstLine="4200" w:firstLineChars="17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年</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月</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日</w:t>
      </w:r>
    </w:p>
    <w:p w14:paraId="2C37EC53">
      <w:pPr>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DC52FB5">
      <w:pPr>
        <w:pStyle w:val="3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57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7796FD06">
            <w:pPr>
              <w:pStyle w:val="3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2287B43D">
            <w:pPr>
              <w:pStyle w:val="39"/>
              <w:adjustRightInd w:val="0"/>
              <w:spacing w:line="360" w:lineRule="auto"/>
              <w:rPr>
                <w:rFonts w:hint="eastAsia" w:ascii="仿宋" w:hAnsi="仿宋" w:eastAsia="仿宋" w:cs="仿宋"/>
                <w:bCs/>
                <w:sz w:val="24"/>
              </w:rPr>
            </w:pPr>
          </w:p>
        </w:tc>
      </w:tr>
    </w:tbl>
    <w:p w14:paraId="44261BED">
      <w:pPr>
        <w:adjustRightInd w:val="0"/>
        <w:spacing w:line="360" w:lineRule="auto"/>
        <w:jc w:val="left"/>
        <w:rPr>
          <w:rFonts w:hint="eastAsia" w:ascii="仿宋" w:hAnsi="仿宋" w:eastAsia="仿宋" w:cs="仿宋"/>
          <w:kern w:val="0"/>
          <w:sz w:val="24"/>
          <w:lang w:val="zh-CN"/>
        </w:rPr>
      </w:pPr>
    </w:p>
    <w:p w14:paraId="4E3FAF7F">
      <w:pPr>
        <w:adjustRightInd w:val="0"/>
        <w:spacing w:line="360" w:lineRule="auto"/>
        <w:jc w:val="left"/>
        <w:rPr>
          <w:rFonts w:hint="eastAsia" w:ascii="仿宋" w:hAnsi="仿宋" w:eastAsia="仿宋" w:cs="仿宋"/>
          <w:kern w:val="0"/>
          <w:sz w:val="24"/>
          <w:lang w:val="zh-CN"/>
        </w:rPr>
      </w:pPr>
    </w:p>
    <w:p w14:paraId="6634314F">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562FBF81">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793977C">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1FCF298F">
      <w:pPr>
        <w:pStyle w:val="42"/>
        <w:ind w:firstLine="560"/>
        <w:rPr>
          <w:rFonts w:hint="eastAsia"/>
        </w:rPr>
      </w:pPr>
    </w:p>
    <w:p w14:paraId="6EEADA0D">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投标人基本情况</w:t>
      </w:r>
      <w:bookmarkEnd w:id="397"/>
      <w:bookmarkEnd w:id="398"/>
      <w:bookmarkEnd w:id="399"/>
      <w:bookmarkEnd w:id="400"/>
      <w:bookmarkEnd w:id="401"/>
      <w:bookmarkEnd w:id="402"/>
      <w:r>
        <w:rPr>
          <w:rFonts w:hint="eastAsia" w:ascii="仿宋" w:hAnsi="仿宋" w:eastAsia="仿宋" w:cs="仿宋"/>
          <w:b/>
          <w:kern w:val="0"/>
          <w:sz w:val="32"/>
          <w:szCs w:val="32"/>
        </w:rPr>
        <w:t>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5CF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FC7BC79">
            <w:pPr>
              <w:jc w:val="center"/>
              <w:rPr>
                <w:rFonts w:hint="eastAsia" w:ascii="仿宋" w:hAnsi="仿宋" w:eastAsia="仿宋"/>
                <w:szCs w:val="21"/>
              </w:rPr>
            </w:pPr>
            <w:r>
              <w:rPr>
                <w:rFonts w:hint="eastAsia" w:ascii="仿宋" w:hAnsi="仿宋" w:eastAsia="仿宋"/>
                <w:szCs w:val="21"/>
              </w:rPr>
              <w:t>投标人名称</w:t>
            </w:r>
          </w:p>
        </w:tc>
        <w:tc>
          <w:tcPr>
            <w:tcW w:w="7647" w:type="dxa"/>
            <w:gridSpan w:val="5"/>
            <w:noWrap w:val="0"/>
            <w:vAlign w:val="center"/>
          </w:tcPr>
          <w:p w14:paraId="000F4B7A">
            <w:pPr>
              <w:jc w:val="center"/>
              <w:rPr>
                <w:rFonts w:hint="eastAsia" w:ascii="仿宋" w:hAnsi="仿宋" w:eastAsia="仿宋"/>
                <w:szCs w:val="21"/>
              </w:rPr>
            </w:pPr>
          </w:p>
        </w:tc>
      </w:tr>
      <w:tr w14:paraId="4CC1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B52D188">
            <w:pPr>
              <w:jc w:val="center"/>
              <w:rPr>
                <w:rFonts w:hint="eastAsia" w:ascii="仿宋" w:hAnsi="仿宋" w:eastAsia="仿宋"/>
                <w:szCs w:val="21"/>
              </w:rPr>
            </w:pPr>
            <w:r>
              <w:rPr>
                <w:rFonts w:hint="eastAsia" w:ascii="仿宋" w:hAnsi="仿宋" w:eastAsia="仿宋"/>
                <w:szCs w:val="21"/>
              </w:rPr>
              <w:t>注册地址</w:t>
            </w:r>
          </w:p>
        </w:tc>
        <w:tc>
          <w:tcPr>
            <w:tcW w:w="2809" w:type="dxa"/>
            <w:gridSpan w:val="2"/>
            <w:noWrap w:val="0"/>
            <w:vAlign w:val="center"/>
          </w:tcPr>
          <w:p w14:paraId="33BB0159">
            <w:pPr>
              <w:jc w:val="center"/>
              <w:rPr>
                <w:rFonts w:hint="eastAsia" w:ascii="仿宋" w:hAnsi="仿宋" w:eastAsia="仿宋"/>
                <w:szCs w:val="21"/>
              </w:rPr>
            </w:pPr>
          </w:p>
        </w:tc>
        <w:tc>
          <w:tcPr>
            <w:tcW w:w="1786" w:type="dxa"/>
            <w:noWrap w:val="0"/>
            <w:vAlign w:val="center"/>
          </w:tcPr>
          <w:p w14:paraId="2C23EB03">
            <w:pPr>
              <w:jc w:val="center"/>
              <w:rPr>
                <w:rFonts w:hint="eastAsia" w:ascii="仿宋" w:hAnsi="仿宋" w:eastAsia="仿宋"/>
                <w:szCs w:val="21"/>
              </w:rPr>
            </w:pPr>
            <w:r>
              <w:rPr>
                <w:rFonts w:hint="eastAsia" w:ascii="仿宋" w:hAnsi="仿宋" w:eastAsia="仿宋"/>
                <w:szCs w:val="21"/>
              </w:rPr>
              <w:t>成立时间</w:t>
            </w:r>
          </w:p>
        </w:tc>
        <w:tc>
          <w:tcPr>
            <w:tcW w:w="3052" w:type="dxa"/>
            <w:gridSpan w:val="2"/>
            <w:noWrap w:val="0"/>
            <w:vAlign w:val="center"/>
          </w:tcPr>
          <w:p w14:paraId="7A96B935">
            <w:pPr>
              <w:jc w:val="center"/>
              <w:rPr>
                <w:rFonts w:hint="eastAsia" w:ascii="仿宋" w:hAnsi="仿宋" w:eastAsia="仿宋"/>
                <w:szCs w:val="21"/>
              </w:rPr>
            </w:pPr>
          </w:p>
        </w:tc>
      </w:tr>
      <w:tr w14:paraId="5A7C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190383A2">
            <w:pPr>
              <w:jc w:val="center"/>
              <w:rPr>
                <w:rFonts w:hint="eastAsia" w:ascii="仿宋" w:hAnsi="仿宋" w:eastAsia="仿宋"/>
                <w:szCs w:val="21"/>
              </w:rPr>
            </w:pPr>
            <w:r>
              <w:rPr>
                <w:rFonts w:hint="eastAsia" w:ascii="仿宋" w:hAnsi="仿宋" w:eastAsia="仿宋"/>
                <w:szCs w:val="21"/>
              </w:rPr>
              <w:t>统一信用代码</w:t>
            </w:r>
          </w:p>
        </w:tc>
        <w:tc>
          <w:tcPr>
            <w:tcW w:w="2809" w:type="dxa"/>
            <w:gridSpan w:val="2"/>
            <w:noWrap w:val="0"/>
            <w:vAlign w:val="center"/>
          </w:tcPr>
          <w:p w14:paraId="660E33FD">
            <w:pPr>
              <w:jc w:val="center"/>
              <w:rPr>
                <w:rFonts w:hint="eastAsia" w:ascii="仿宋" w:hAnsi="仿宋" w:eastAsia="仿宋"/>
                <w:szCs w:val="21"/>
              </w:rPr>
            </w:pPr>
          </w:p>
        </w:tc>
        <w:tc>
          <w:tcPr>
            <w:tcW w:w="1786" w:type="dxa"/>
            <w:noWrap w:val="0"/>
            <w:vAlign w:val="center"/>
          </w:tcPr>
          <w:p w14:paraId="321F44D0">
            <w:pPr>
              <w:jc w:val="center"/>
              <w:rPr>
                <w:rFonts w:hint="eastAsia" w:ascii="仿宋" w:hAnsi="仿宋" w:eastAsia="仿宋"/>
                <w:szCs w:val="21"/>
              </w:rPr>
            </w:pPr>
            <w:r>
              <w:rPr>
                <w:rFonts w:hint="eastAsia" w:ascii="仿宋" w:hAnsi="仿宋" w:eastAsia="仿宋"/>
                <w:szCs w:val="21"/>
              </w:rPr>
              <w:t>注册资金</w:t>
            </w:r>
          </w:p>
        </w:tc>
        <w:tc>
          <w:tcPr>
            <w:tcW w:w="3052" w:type="dxa"/>
            <w:gridSpan w:val="2"/>
            <w:noWrap w:val="0"/>
            <w:vAlign w:val="center"/>
          </w:tcPr>
          <w:p w14:paraId="0632EFD6">
            <w:pPr>
              <w:jc w:val="center"/>
              <w:rPr>
                <w:rFonts w:hint="eastAsia" w:ascii="仿宋" w:hAnsi="仿宋" w:eastAsia="仿宋"/>
                <w:szCs w:val="21"/>
              </w:rPr>
            </w:pPr>
          </w:p>
        </w:tc>
      </w:tr>
      <w:tr w14:paraId="3A28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54A53658">
            <w:pPr>
              <w:jc w:val="center"/>
              <w:rPr>
                <w:rFonts w:hint="eastAsia" w:ascii="仿宋" w:hAnsi="仿宋" w:eastAsia="仿宋"/>
                <w:szCs w:val="21"/>
              </w:rPr>
            </w:pPr>
            <w:r>
              <w:rPr>
                <w:rFonts w:hint="eastAsia" w:ascii="仿宋" w:hAnsi="仿宋" w:eastAsia="仿宋"/>
                <w:szCs w:val="21"/>
              </w:rPr>
              <w:t>投标联系人姓名</w:t>
            </w:r>
          </w:p>
        </w:tc>
        <w:tc>
          <w:tcPr>
            <w:tcW w:w="1936" w:type="dxa"/>
            <w:noWrap w:val="0"/>
            <w:vAlign w:val="center"/>
          </w:tcPr>
          <w:p w14:paraId="1F6C9A2B">
            <w:pPr>
              <w:jc w:val="center"/>
              <w:rPr>
                <w:rFonts w:hint="eastAsia" w:ascii="仿宋" w:hAnsi="仿宋" w:eastAsia="仿宋"/>
                <w:szCs w:val="21"/>
              </w:rPr>
            </w:pPr>
          </w:p>
        </w:tc>
        <w:tc>
          <w:tcPr>
            <w:tcW w:w="873" w:type="dxa"/>
            <w:noWrap w:val="0"/>
            <w:vAlign w:val="center"/>
          </w:tcPr>
          <w:p w14:paraId="404C8C63">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6A992599">
            <w:pPr>
              <w:jc w:val="center"/>
              <w:rPr>
                <w:rFonts w:hint="eastAsia" w:ascii="仿宋" w:hAnsi="仿宋" w:eastAsia="仿宋"/>
                <w:szCs w:val="21"/>
              </w:rPr>
            </w:pPr>
          </w:p>
        </w:tc>
        <w:tc>
          <w:tcPr>
            <w:tcW w:w="1200" w:type="dxa"/>
            <w:noWrap w:val="0"/>
            <w:vAlign w:val="center"/>
          </w:tcPr>
          <w:p w14:paraId="0DFF5830">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16EE3C6F">
            <w:pPr>
              <w:jc w:val="center"/>
              <w:rPr>
                <w:rFonts w:hint="eastAsia" w:ascii="仿宋" w:hAnsi="仿宋" w:eastAsia="仿宋"/>
                <w:szCs w:val="21"/>
              </w:rPr>
            </w:pPr>
          </w:p>
        </w:tc>
      </w:tr>
      <w:tr w14:paraId="6A1E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51403CE6">
            <w:pPr>
              <w:jc w:val="center"/>
              <w:rPr>
                <w:rFonts w:hint="eastAsia" w:ascii="仿宋" w:hAnsi="仿宋" w:eastAsia="仿宋"/>
                <w:szCs w:val="21"/>
              </w:rPr>
            </w:pPr>
            <w:r>
              <w:rPr>
                <w:rFonts w:hint="eastAsia" w:ascii="仿宋" w:hAnsi="仿宋" w:eastAsia="仿宋"/>
                <w:szCs w:val="21"/>
              </w:rPr>
              <w:t>法定代表人姓名</w:t>
            </w:r>
          </w:p>
        </w:tc>
        <w:tc>
          <w:tcPr>
            <w:tcW w:w="1936" w:type="dxa"/>
            <w:noWrap w:val="0"/>
            <w:vAlign w:val="center"/>
          </w:tcPr>
          <w:p w14:paraId="42CBE193">
            <w:pPr>
              <w:jc w:val="center"/>
              <w:rPr>
                <w:rFonts w:hint="eastAsia" w:ascii="仿宋" w:hAnsi="仿宋" w:eastAsia="仿宋"/>
                <w:szCs w:val="21"/>
              </w:rPr>
            </w:pPr>
          </w:p>
        </w:tc>
        <w:tc>
          <w:tcPr>
            <w:tcW w:w="873" w:type="dxa"/>
            <w:noWrap w:val="0"/>
            <w:vAlign w:val="center"/>
          </w:tcPr>
          <w:p w14:paraId="50A9B458">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08088262">
            <w:pPr>
              <w:jc w:val="center"/>
              <w:rPr>
                <w:rFonts w:hint="eastAsia" w:ascii="仿宋" w:hAnsi="仿宋" w:eastAsia="仿宋"/>
                <w:szCs w:val="21"/>
              </w:rPr>
            </w:pPr>
          </w:p>
        </w:tc>
        <w:tc>
          <w:tcPr>
            <w:tcW w:w="1200" w:type="dxa"/>
            <w:noWrap w:val="0"/>
            <w:vAlign w:val="center"/>
          </w:tcPr>
          <w:p w14:paraId="0B38C827">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01B0EAD7">
            <w:pPr>
              <w:jc w:val="center"/>
              <w:rPr>
                <w:rFonts w:hint="eastAsia" w:ascii="仿宋" w:hAnsi="仿宋" w:eastAsia="仿宋"/>
                <w:szCs w:val="21"/>
              </w:rPr>
            </w:pPr>
          </w:p>
        </w:tc>
      </w:tr>
      <w:tr w14:paraId="2616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24FE8D9">
            <w:pPr>
              <w:jc w:val="center"/>
              <w:rPr>
                <w:rFonts w:hint="eastAsia" w:ascii="仿宋" w:hAnsi="仿宋" w:eastAsia="仿宋"/>
                <w:szCs w:val="21"/>
              </w:rPr>
            </w:pPr>
            <w:r>
              <w:rPr>
                <w:rFonts w:hint="eastAsia" w:ascii="仿宋" w:hAnsi="仿宋" w:eastAsia="仿宋"/>
                <w:szCs w:val="21"/>
              </w:rPr>
              <w:t>项目负责人姓名</w:t>
            </w:r>
          </w:p>
        </w:tc>
        <w:tc>
          <w:tcPr>
            <w:tcW w:w="1936" w:type="dxa"/>
            <w:noWrap w:val="0"/>
            <w:vAlign w:val="center"/>
          </w:tcPr>
          <w:p w14:paraId="03B92E39">
            <w:pPr>
              <w:jc w:val="center"/>
              <w:rPr>
                <w:rFonts w:hint="eastAsia" w:ascii="仿宋" w:hAnsi="仿宋" w:eastAsia="仿宋"/>
                <w:szCs w:val="21"/>
              </w:rPr>
            </w:pPr>
          </w:p>
        </w:tc>
        <w:tc>
          <w:tcPr>
            <w:tcW w:w="873" w:type="dxa"/>
            <w:noWrap w:val="0"/>
            <w:vAlign w:val="center"/>
          </w:tcPr>
          <w:p w14:paraId="4DDAE186">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26C683EB">
            <w:pPr>
              <w:jc w:val="center"/>
              <w:rPr>
                <w:rFonts w:hint="eastAsia" w:ascii="仿宋" w:hAnsi="仿宋" w:eastAsia="仿宋"/>
                <w:szCs w:val="21"/>
              </w:rPr>
            </w:pPr>
          </w:p>
        </w:tc>
        <w:tc>
          <w:tcPr>
            <w:tcW w:w="1200" w:type="dxa"/>
            <w:noWrap w:val="0"/>
            <w:vAlign w:val="center"/>
          </w:tcPr>
          <w:p w14:paraId="1283AB61">
            <w:pPr>
              <w:jc w:val="center"/>
              <w:rPr>
                <w:rFonts w:hint="eastAsia" w:ascii="仿宋" w:hAnsi="仿宋" w:eastAsia="仿宋"/>
                <w:szCs w:val="21"/>
              </w:rPr>
            </w:pPr>
            <w:r>
              <w:rPr>
                <w:rFonts w:hint="eastAsia" w:ascii="仿宋" w:hAnsi="仿宋" w:eastAsia="仿宋"/>
                <w:szCs w:val="21"/>
              </w:rPr>
              <w:t>技术职称</w:t>
            </w:r>
          </w:p>
        </w:tc>
        <w:tc>
          <w:tcPr>
            <w:tcW w:w="1852" w:type="dxa"/>
            <w:noWrap w:val="0"/>
            <w:vAlign w:val="center"/>
          </w:tcPr>
          <w:p w14:paraId="3020F257">
            <w:pPr>
              <w:jc w:val="center"/>
              <w:rPr>
                <w:rFonts w:hint="eastAsia" w:ascii="仿宋" w:hAnsi="仿宋" w:eastAsia="仿宋"/>
                <w:szCs w:val="21"/>
              </w:rPr>
            </w:pPr>
          </w:p>
        </w:tc>
      </w:tr>
      <w:tr w14:paraId="3A42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7A49F37C">
            <w:pPr>
              <w:jc w:val="center"/>
              <w:rPr>
                <w:rFonts w:hint="eastAsia" w:ascii="仿宋" w:hAnsi="仿宋" w:eastAsia="仿宋"/>
                <w:szCs w:val="21"/>
              </w:rPr>
            </w:pPr>
            <w:r>
              <w:rPr>
                <w:rFonts w:hint="eastAsia" w:ascii="仿宋" w:hAnsi="仿宋" w:eastAsia="仿宋"/>
                <w:szCs w:val="21"/>
              </w:rPr>
              <w:t>员工总人数：</w:t>
            </w:r>
          </w:p>
        </w:tc>
        <w:tc>
          <w:tcPr>
            <w:tcW w:w="1936" w:type="dxa"/>
            <w:vMerge w:val="restart"/>
            <w:noWrap w:val="0"/>
            <w:vAlign w:val="center"/>
          </w:tcPr>
          <w:p w14:paraId="3F806011">
            <w:pPr>
              <w:jc w:val="center"/>
              <w:rPr>
                <w:rFonts w:hint="eastAsia" w:ascii="仿宋" w:hAnsi="仿宋" w:eastAsia="仿宋"/>
                <w:szCs w:val="21"/>
              </w:rPr>
            </w:pPr>
          </w:p>
        </w:tc>
        <w:tc>
          <w:tcPr>
            <w:tcW w:w="873" w:type="dxa"/>
            <w:vMerge w:val="restart"/>
            <w:noWrap w:val="0"/>
            <w:vAlign w:val="center"/>
          </w:tcPr>
          <w:p w14:paraId="3FBC9E5D">
            <w:pPr>
              <w:jc w:val="center"/>
              <w:rPr>
                <w:rFonts w:hint="eastAsia" w:ascii="仿宋" w:hAnsi="仿宋" w:eastAsia="仿宋"/>
                <w:szCs w:val="21"/>
              </w:rPr>
            </w:pPr>
            <w:r>
              <w:rPr>
                <w:rFonts w:hint="eastAsia" w:ascii="仿宋" w:hAnsi="仿宋" w:eastAsia="仿宋"/>
                <w:szCs w:val="21"/>
              </w:rPr>
              <w:t>其中</w:t>
            </w:r>
          </w:p>
        </w:tc>
        <w:tc>
          <w:tcPr>
            <w:tcW w:w="1786" w:type="dxa"/>
            <w:noWrap w:val="0"/>
            <w:vAlign w:val="center"/>
          </w:tcPr>
          <w:p w14:paraId="5899BD6D">
            <w:pPr>
              <w:jc w:val="center"/>
              <w:rPr>
                <w:rFonts w:hint="eastAsia" w:ascii="仿宋" w:hAnsi="仿宋" w:eastAsia="仿宋"/>
                <w:szCs w:val="21"/>
              </w:rPr>
            </w:pPr>
            <w:r>
              <w:rPr>
                <w:rFonts w:hint="eastAsia" w:ascii="仿宋" w:hAnsi="仿宋" w:eastAsia="仿宋"/>
                <w:szCs w:val="21"/>
              </w:rPr>
              <w:t>高级职称</w:t>
            </w:r>
          </w:p>
        </w:tc>
        <w:tc>
          <w:tcPr>
            <w:tcW w:w="3052" w:type="dxa"/>
            <w:gridSpan w:val="2"/>
            <w:noWrap w:val="0"/>
            <w:vAlign w:val="center"/>
          </w:tcPr>
          <w:p w14:paraId="05A7E197">
            <w:pPr>
              <w:jc w:val="center"/>
              <w:rPr>
                <w:rFonts w:hint="eastAsia" w:ascii="仿宋" w:hAnsi="仿宋" w:eastAsia="仿宋"/>
                <w:szCs w:val="21"/>
              </w:rPr>
            </w:pPr>
          </w:p>
        </w:tc>
      </w:tr>
      <w:tr w14:paraId="4414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1C89DEE9">
            <w:pPr>
              <w:jc w:val="center"/>
              <w:rPr>
                <w:rFonts w:hint="eastAsia" w:ascii="仿宋" w:hAnsi="仿宋" w:eastAsia="仿宋"/>
                <w:szCs w:val="21"/>
              </w:rPr>
            </w:pPr>
          </w:p>
        </w:tc>
        <w:tc>
          <w:tcPr>
            <w:tcW w:w="1936" w:type="dxa"/>
            <w:vMerge w:val="continue"/>
            <w:noWrap w:val="0"/>
            <w:vAlign w:val="center"/>
          </w:tcPr>
          <w:p w14:paraId="6C412A82">
            <w:pPr>
              <w:jc w:val="center"/>
              <w:rPr>
                <w:rFonts w:hint="eastAsia" w:ascii="仿宋" w:hAnsi="仿宋" w:eastAsia="仿宋"/>
                <w:szCs w:val="21"/>
              </w:rPr>
            </w:pPr>
          </w:p>
        </w:tc>
        <w:tc>
          <w:tcPr>
            <w:tcW w:w="873" w:type="dxa"/>
            <w:vMerge w:val="continue"/>
            <w:noWrap w:val="0"/>
            <w:vAlign w:val="center"/>
          </w:tcPr>
          <w:p w14:paraId="18201788">
            <w:pPr>
              <w:jc w:val="center"/>
              <w:rPr>
                <w:rFonts w:hint="eastAsia" w:ascii="仿宋" w:hAnsi="仿宋" w:eastAsia="仿宋"/>
                <w:szCs w:val="21"/>
              </w:rPr>
            </w:pPr>
          </w:p>
        </w:tc>
        <w:tc>
          <w:tcPr>
            <w:tcW w:w="1786" w:type="dxa"/>
            <w:noWrap w:val="0"/>
            <w:vAlign w:val="center"/>
          </w:tcPr>
          <w:p w14:paraId="31248912">
            <w:pPr>
              <w:jc w:val="center"/>
              <w:rPr>
                <w:rFonts w:hint="eastAsia" w:ascii="仿宋" w:hAnsi="仿宋" w:eastAsia="仿宋"/>
                <w:szCs w:val="21"/>
              </w:rPr>
            </w:pPr>
            <w:r>
              <w:rPr>
                <w:rFonts w:hint="eastAsia" w:ascii="仿宋" w:hAnsi="仿宋" w:eastAsia="仿宋"/>
                <w:szCs w:val="21"/>
              </w:rPr>
              <w:t>中级职称</w:t>
            </w:r>
          </w:p>
        </w:tc>
        <w:tc>
          <w:tcPr>
            <w:tcW w:w="3052" w:type="dxa"/>
            <w:gridSpan w:val="2"/>
            <w:noWrap w:val="0"/>
            <w:vAlign w:val="center"/>
          </w:tcPr>
          <w:p w14:paraId="40A5B594">
            <w:pPr>
              <w:jc w:val="center"/>
              <w:rPr>
                <w:rFonts w:hint="eastAsia" w:ascii="仿宋" w:hAnsi="仿宋" w:eastAsia="仿宋"/>
                <w:szCs w:val="21"/>
              </w:rPr>
            </w:pPr>
          </w:p>
        </w:tc>
      </w:tr>
      <w:tr w14:paraId="6576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3763DC63">
            <w:pPr>
              <w:jc w:val="center"/>
              <w:rPr>
                <w:rFonts w:hint="eastAsia" w:ascii="仿宋" w:hAnsi="仿宋" w:eastAsia="仿宋"/>
                <w:szCs w:val="21"/>
              </w:rPr>
            </w:pPr>
          </w:p>
        </w:tc>
        <w:tc>
          <w:tcPr>
            <w:tcW w:w="1936" w:type="dxa"/>
            <w:vMerge w:val="continue"/>
            <w:noWrap w:val="0"/>
            <w:vAlign w:val="center"/>
          </w:tcPr>
          <w:p w14:paraId="07F7A5C3">
            <w:pPr>
              <w:jc w:val="center"/>
              <w:rPr>
                <w:rFonts w:hint="eastAsia" w:ascii="仿宋" w:hAnsi="仿宋" w:eastAsia="仿宋"/>
                <w:szCs w:val="21"/>
              </w:rPr>
            </w:pPr>
          </w:p>
        </w:tc>
        <w:tc>
          <w:tcPr>
            <w:tcW w:w="873" w:type="dxa"/>
            <w:vMerge w:val="continue"/>
            <w:noWrap w:val="0"/>
            <w:vAlign w:val="center"/>
          </w:tcPr>
          <w:p w14:paraId="216637EE">
            <w:pPr>
              <w:jc w:val="center"/>
              <w:rPr>
                <w:rFonts w:hint="eastAsia" w:ascii="仿宋" w:hAnsi="仿宋" w:eastAsia="仿宋"/>
                <w:szCs w:val="21"/>
              </w:rPr>
            </w:pPr>
          </w:p>
        </w:tc>
        <w:tc>
          <w:tcPr>
            <w:tcW w:w="1786" w:type="dxa"/>
            <w:noWrap w:val="0"/>
            <w:vAlign w:val="center"/>
          </w:tcPr>
          <w:p w14:paraId="14441A66">
            <w:pPr>
              <w:jc w:val="center"/>
              <w:rPr>
                <w:rFonts w:hint="eastAsia" w:ascii="仿宋" w:hAnsi="仿宋" w:eastAsia="仿宋"/>
                <w:szCs w:val="21"/>
              </w:rPr>
            </w:pPr>
            <w:r>
              <w:rPr>
                <w:rFonts w:hint="eastAsia" w:ascii="仿宋" w:hAnsi="仿宋" w:eastAsia="仿宋"/>
                <w:szCs w:val="21"/>
              </w:rPr>
              <w:t>各类注册人员</w:t>
            </w:r>
          </w:p>
        </w:tc>
        <w:tc>
          <w:tcPr>
            <w:tcW w:w="3052" w:type="dxa"/>
            <w:gridSpan w:val="2"/>
            <w:noWrap w:val="0"/>
            <w:vAlign w:val="center"/>
          </w:tcPr>
          <w:p w14:paraId="18EABFEF">
            <w:pPr>
              <w:jc w:val="center"/>
              <w:rPr>
                <w:rFonts w:hint="eastAsia" w:ascii="仿宋" w:hAnsi="仿宋" w:eastAsia="仿宋"/>
                <w:szCs w:val="21"/>
              </w:rPr>
            </w:pPr>
          </w:p>
        </w:tc>
      </w:tr>
      <w:tr w14:paraId="5842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4348A71">
            <w:pPr>
              <w:jc w:val="center"/>
              <w:rPr>
                <w:rFonts w:hint="eastAsia" w:ascii="仿宋" w:hAnsi="仿宋" w:eastAsia="仿宋"/>
                <w:szCs w:val="21"/>
              </w:rPr>
            </w:pPr>
            <w:r>
              <w:rPr>
                <w:rFonts w:hint="eastAsia" w:ascii="仿宋" w:hAnsi="仿宋" w:eastAsia="仿宋"/>
                <w:szCs w:val="21"/>
              </w:rPr>
              <w:t>基本账户开户银行</w:t>
            </w:r>
          </w:p>
        </w:tc>
        <w:tc>
          <w:tcPr>
            <w:tcW w:w="7647" w:type="dxa"/>
            <w:gridSpan w:val="5"/>
            <w:noWrap w:val="0"/>
            <w:vAlign w:val="center"/>
          </w:tcPr>
          <w:p w14:paraId="19E615EC">
            <w:pPr>
              <w:jc w:val="center"/>
              <w:rPr>
                <w:rFonts w:hint="eastAsia" w:ascii="仿宋" w:hAnsi="仿宋" w:eastAsia="仿宋"/>
                <w:szCs w:val="21"/>
              </w:rPr>
            </w:pPr>
          </w:p>
        </w:tc>
      </w:tr>
      <w:tr w14:paraId="13A7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1BF2F03">
            <w:pPr>
              <w:jc w:val="center"/>
              <w:rPr>
                <w:rFonts w:hint="eastAsia" w:ascii="仿宋" w:hAnsi="仿宋" w:eastAsia="仿宋"/>
                <w:szCs w:val="21"/>
              </w:rPr>
            </w:pPr>
            <w:r>
              <w:rPr>
                <w:rFonts w:hint="eastAsia" w:ascii="仿宋" w:hAnsi="仿宋" w:eastAsia="仿宋"/>
                <w:szCs w:val="21"/>
              </w:rPr>
              <w:t>基本账户账号</w:t>
            </w:r>
          </w:p>
        </w:tc>
        <w:tc>
          <w:tcPr>
            <w:tcW w:w="7647" w:type="dxa"/>
            <w:gridSpan w:val="5"/>
            <w:noWrap w:val="0"/>
            <w:vAlign w:val="center"/>
          </w:tcPr>
          <w:p w14:paraId="3D7648D9">
            <w:pPr>
              <w:jc w:val="center"/>
              <w:rPr>
                <w:rFonts w:hint="eastAsia" w:ascii="仿宋" w:hAnsi="仿宋" w:eastAsia="仿宋"/>
                <w:szCs w:val="21"/>
              </w:rPr>
            </w:pPr>
          </w:p>
        </w:tc>
      </w:tr>
      <w:tr w14:paraId="5FB0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550A68D9">
            <w:pPr>
              <w:jc w:val="center"/>
              <w:rPr>
                <w:rFonts w:hint="eastAsia" w:ascii="仿宋" w:hAnsi="仿宋" w:eastAsia="仿宋"/>
                <w:szCs w:val="21"/>
              </w:rPr>
            </w:pPr>
            <w:r>
              <w:rPr>
                <w:rFonts w:hint="eastAsia" w:ascii="仿宋" w:hAnsi="仿宋" w:eastAsia="仿宋"/>
                <w:szCs w:val="21"/>
              </w:rPr>
              <w:t>经营范围</w:t>
            </w:r>
          </w:p>
        </w:tc>
        <w:tc>
          <w:tcPr>
            <w:tcW w:w="7647" w:type="dxa"/>
            <w:gridSpan w:val="5"/>
            <w:noWrap w:val="0"/>
            <w:vAlign w:val="center"/>
          </w:tcPr>
          <w:p w14:paraId="115CECB7">
            <w:pPr>
              <w:jc w:val="center"/>
              <w:rPr>
                <w:rFonts w:hint="eastAsia" w:ascii="仿宋" w:hAnsi="仿宋" w:eastAsia="仿宋"/>
                <w:szCs w:val="21"/>
              </w:rPr>
            </w:pPr>
          </w:p>
        </w:tc>
      </w:tr>
      <w:tr w14:paraId="1920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32179F37">
            <w:pPr>
              <w:jc w:val="center"/>
              <w:rPr>
                <w:rFonts w:hint="eastAsia" w:ascii="仿宋" w:hAnsi="仿宋" w:eastAsia="仿宋"/>
                <w:szCs w:val="21"/>
              </w:rPr>
            </w:pPr>
            <w:r>
              <w:rPr>
                <w:rFonts w:hint="eastAsia" w:ascii="仿宋" w:hAnsi="仿宋" w:eastAsia="仿宋"/>
                <w:szCs w:val="21"/>
              </w:rPr>
              <w:t>备注</w:t>
            </w:r>
          </w:p>
        </w:tc>
        <w:tc>
          <w:tcPr>
            <w:tcW w:w="7647" w:type="dxa"/>
            <w:gridSpan w:val="5"/>
            <w:noWrap w:val="0"/>
            <w:vAlign w:val="center"/>
          </w:tcPr>
          <w:p w14:paraId="113EE281">
            <w:pPr>
              <w:jc w:val="center"/>
              <w:rPr>
                <w:rFonts w:hint="eastAsia" w:ascii="仿宋" w:hAnsi="仿宋" w:eastAsia="仿宋"/>
                <w:szCs w:val="21"/>
              </w:rPr>
            </w:pPr>
          </w:p>
        </w:tc>
      </w:tr>
    </w:tbl>
    <w:p w14:paraId="304DE315">
      <w:pPr>
        <w:adjustRightInd w:val="0"/>
        <w:snapToGrid w:val="0"/>
        <w:spacing w:line="360" w:lineRule="auto"/>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368DCE67">
      <w:pPr>
        <w:adjustRightInd w:val="0"/>
        <w:spacing w:line="360" w:lineRule="auto"/>
        <w:ind w:firstLine="2400" w:firstLineChars="1000"/>
        <w:jc w:val="left"/>
        <w:rPr>
          <w:rFonts w:hint="eastAsia" w:ascii="仿宋" w:hAnsi="仿宋" w:eastAsia="仿宋" w:cs="仿宋"/>
          <w:sz w:val="24"/>
        </w:rPr>
      </w:pPr>
    </w:p>
    <w:p w14:paraId="36A1499E">
      <w:pPr>
        <w:adjustRightInd w:val="0"/>
        <w:spacing w:line="360" w:lineRule="auto"/>
        <w:ind w:firstLine="2400" w:firstLineChars="1000"/>
        <w:jc w:val="left"/>
        <w:rPr>
          <w:rFonts w:hint="eastAsia" w:ascii="仿宋" w:hAnsi="仿宋" w:eastAsia="仿宋" w:cs="仿宋"/>
          <w:sz w:val="24"/>
        </w:rPr>
      </w:pPr>
    </w:p>
    <w:p w14:paraId="0AA72DA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153484D7">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01FAFC6E">
      <w:pPr>
        <w:adjustRightInd w:val="0"/>
        <w:spacing w:line="360" w:lineRule="auto"/>
        <w:ind w:firstLine="2400" w:firstLineChars="1000"/>
        <w:jc w:val="left"/>
        <w:rPr>
          <w:rFonts w:ascii="仿宋" w:hAnsi="仿宋" w:eastAsia="仿宋" w:cs="仿宋"/>
          <w:sz w:val="24"/>
        </w:rPr>
      </w:pPr>
      <w:r>
        <w:rPr>
          <w:rFonts w:hint="eastAsia" w:ascii="仿宋" w:hAnsi="仿宋" w:eastAsia="仿宋" w:cs="仿宋"/>
          <w:sz w:val="24"/>
        </w:rPr>
        <w:t>日期：</w:t>
      </w:r>
    </w:p>
    <w:p w14:paraId="2762E0B5">
      <w:pPr>
        <w:numPr>
          <w:ilvl w:val="0"/>
          <w:numId w:val="4"/>
        </w:numPr>
        <w:snapToGrid w:val="0"/>
        <w:spacing w:line="360" w:lineRule="auto"/>
        <w:jc w:val="center"/>
        <w:outlineLvl w:val="0"/>
        <w:rPr>
          <w:rFonts w:hint="eastAsia" w:ascii="仿宋" w:hAnsi="仿宋" w:eastAsia="仿宋" w:cs="仿宋"/>
          <w:b/>
          <w:kern w:val="0"/>
          <w:sz w:val="32"/>
          <w:szCs w:val="32"/>
        </w:rPr>
      </w:pPr>
      <w:r>
        <w:br w:type="page"/>
      </w:r>
      <w:r>
        <w:rPr>
          <w:rFonts w:hint="eastAsia" w:ascii="仿宋" w:hAnsi="仿宋" w:eastAsia="仿宋" w:cs="仿宋"/>
          <w:b/>
          <w:kern w:val="0"/>
          <w:sz w:val="32"/>
          <w:szCs w:val="32"/>
        </w:rPr>
        <w:t>距采购人最近或者能为本项目提供最优服务的网点情况表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3"/>
        <w:gridCol w:w="1624"/>
        <w:gridCol w:w="191"/>
        <w:gridCol w:w="1440"/>
        <w:gridCol w:w="889"/>
        <w:gridCol w:w="2600"/>
      </w:tblGrid>
      <w:tr w14:paraId="59590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C470B79">
            <w:pPr>
              <w:jc w:val="center"/>
              <w:rPr>
                <w:rFonts w:hint="eastAsia" w:ascii="仿宋" w:hAnsi="仿宋" w:eastAsia="仿宋"/>
                <w:szCs w:val="21"/>
              </w:rPr>
            </w:pPr>
            <w:r>
              <w:rPr>
                <w:rFonts w:hint="eastAsia" w:ascii="仿宋" w:hAnsi="仿宋" w:eastAsia="仿宋"/>
                <w:szCs w:val="21"/>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2DF7A37">
            <w:pPr>
              <w:jc w:val="center"/>
              <w:rPr>
                <w:rFonts w:hint="eastAsia" w:ascii="仿宋" w:hAnsi="仿宋" w:eastAsia="仿宋"/>
                <w:szCs w:val="21"/>
              </w:rPr>
            </w:pPr>
          </w:p>
        </w:tc>
      </w:tr>
      <w:tr w14:paraId="1C085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44924046">
            <w:pPr>
              <w:jc w:val="center"/>
              <w:rPr>
                <w:rFonts w:hint="eastAsia" w:ascii="仿宋" w:hAnsi="仿宋" w:eastAsia="仿宋"/>
                <w:szCs w:val="21"/>
              </w:rPr>
            </w:pPr>
            <w:r>
              <w:rPr>
                <w:rFonts w:hint="eastAsia" w:ascii="仿宋" w:hAnsi="仿宋" w:eastAsia="仿宋"/>
                <w:szCs w:val="21"/>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2FDFCD0A">
            <w:pPr>
              <w:jc w:val="center"/>
              <w:rPr>
                <w:rFonts w:hint="eastAsia" w:ascii="仿宋" w:hAnsi="仿宋" w:eastAsia="仿宋"/>
                <w:szCs w:val="21"/>
              </w:rPr>
            </w:pPr>
          </w:p>
        </w:tc>
      </w:tr>
      <w:tr w14:paraId="5FB0E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0897C5B">
            <w:pPr>
              <w:jc w:val="center"/>
              <w:rPr>
                <w:rFonts w:hint="eastAsia" w:ascii="仿宋" w:hAnsi="仿宋" w:eastAsia="仿宋"/>
                <w:szCs w:val="21"/>
              </w:rPr>
            </w:pPr>
            <w:r>
              <w:rPr>
                <w:rFonts w:hint="eastAsia" w:ascii="仿宋" w:hAnsi="仿宋" w:eastAsia="仿宋"/>
                <w:szCs w:val="21"/>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21A65022">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08869322">
            <w:pPr>
              <w:jc w:val="center"/>
              <w:rPr>
                <w:rFonts w:hint="eastAsia" w:ascii="仿宋" w:hAnsi="仿宋" w:eastAsia="仿宋"/>
                <w:szCs w:val="21"/>
              </w:rPr>
            </w:pPr>
            <w:r>
              <w:rPr>
                <w:rFonts w:hint="eastAsia" w:ascii="仿宋" w:hAnsi="仿宋" w:eastAsia="仿宋"/>
                <w:szCs w:val="21"/>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2BB2F987">
            <w:pPr>
              <w:jc w:val="center"/>
              <w:rPr>
                <w:rFonts w:hint="eastAsia" w:ascii="仿宋" w:hAnsi="仿宋" w:eastAsia="仿宋"/>
                <w:szCs w:val="21"/>
              </w:rPr>
            </w:pPr>
          </w:p>
        </w:tc>
      </w:tr>
      <w:tr w14:paraId="42833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BE8E480">
            <w:pPr>
              <w:jc w:val="center"/>
              <w:rPr>
                <w:rFonts w:hint="eastAsia" w:ascii="仿宋" w:hAnsi="仿宋" w:eastAsia="仿宋"/>
                <w:szCs w:val="21"/>
              </w:rPr>
            </w:pPr>
            <w:r>
              <w:rPr>
                <w:rFonts w:hint="eastAsia" w:ascii="仿宋" w:hAnsi="仿宋" w:eastAsia="仿宋"/>
                <w:szCs w:val="21"/>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742A049A">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12190314">
            <w:pPr>
              <w:jc w:val="center"/>
              <w:rPr>
                <w:rFonts w:hint="eastAsia" w:ascii="仿宋" w:hAnsi="仿宋" w:eastAsia="仿宋"/>
                <w:szCs w:val="21"/>
              </w:rPr>
            </w:pPr>
            <w:r>
              <w:rPr>
                <w:rFonts w:hint="eastAsia" w:ascii="仿宋" w:hAnsi="仿宋" w:eastAsia="仿宋"/>
                <w:szCs w:val="21"/>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529CCC3B">
            <w:pPr>
              <w:jc w:val="center"/>
              <w:rPr>
                <w:rFonts w:hint="eastAsia" w:ascii="仿宋" w:hAnsi="仿宋" w:eastAsia="仿宋"/>
                <w:szCs w:val="21"/>
              </w:rPr>
            </w:pPr>
          </w:p>
        </w:tc>
      </w:tr>
      <w:tr w14:paraId="55FDD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DAE1DF1">
            <w:pPr>
              <w:jc w:val="center"/>
              <w:rPr>
                <w:rFonts w:hint="eastAsia" w:ascii="仿宋" w:hAnsi="仿宋" w:eastAsia="仿宋"/>
                <w:szCs w:val="21"/>
              </w:rPr>
            </w:pPr>
            <w:r>
              <w:rPr>
                <w:rFonts w:hint="eastAsia" w:ascii="仿宋" w:hAnsi="仿宋" w:eastAsia="仿宋"/>
                <w:szCs w:val="21"/>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807F222">
            <w:pPr>
              <w:jc w:val="center"/>
              <w:rPr>
                <w:rFonts w:hint="eastAsia" w:ascii="仿宋" w:hAnsi="仿宋" w:eastAsia="仿宋"/>
                <w:szCs w:val="21"/>
              </w:rPr>
            </w:pPr>
          </w:p>
        </w:tc>
      </w:tr>
      <w:tr w14:paraId="073F1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63241C5">
            <w:pPr>
              <w:jc w:val="center"/>
              <w:rPr>
                <w:rFonts w:hint="eastAsia" w:ascii="仿宋" w:hAnsi="仿宋" w:eastAsia="仿宋"/>
                <w:szCs w:val="21"/>
              </w:rPr>
            </w:pPr>
            <w:r>
              <w:rPr>
                <w:rFonts w:hint="eastAsia" w:ascii="仿宋" w:hAnsi="仿宋" w:eastAsia="仿宋"/>
                <w:szCs w:val="21"/>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78302AEA">
            <w:pPr>
              <w:jc w:val="center"/>
              <w:rPr>
                <w:rFonts w:hint="eastAsia" w:ascii="仿宋" w:hAnsi="仿宋" w:eastAsia="仿宋"/>
                <w:szCs w:val="21"/>
              </w:rPr>
            </w:pPr>
          </w:p>
        </w:tc>
      </w:tr>
      <w:tr w14:paraId="29349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70783A6">
            <w:pPr>
              <w:jc w:val="center"/>
              <w:rPr>
                <w:rFonts w:hint="eastAsia" w:ascii="仿宋" w:hAnsi="仿宋" w:eastAsia="仿宋"/>
                <w:szCs w:val="21"/>
              </w:rPr>
            </w:pPr>
            <w:r>
              <w:rPr>
                <w:rFonts w:hint="eastAsia" w:ascii="仿宋" w:hAnsi="仿宋" w:eastAsia="仿宋"/>
                <w:szCs w:val="21"/>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9539742">
            <w:pPr>
              <w:jc w:val="center"/>
              <w:rPr>
                <w:rFonts w:hint="eastAsia" w:ascii="仿宋" w:hAnsi="仿宋" w:eastAsia="仿宋"/>
                <w:szCs w:val="21"/>
              </w:rPr>
            </w:pPr>
          </w:p>
        </w:tc>
      </w:tr>
      <w:tr w14:paraId="72CAD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5C1F981">
            <w:pPr>
              <w:jc w:val="center"/>
              <w:rPr>
                <w:rFonts w:hint="eastAsia" w:ascii="仿宋" w:hAnsi="仿宋" w:eastAsia="仿宋"/>
                <w:szCs w:val="21"/>
              </w:rPr>
            </w:pPr>
            <w:r>
              <w:rPr>
                <w:rFonts w:hint="eastAsia" w:ascii="仿宋" w:hAnsi="仿宋" w:eastAsia="仿宋"/>
                <w:szCs w:val="21"/>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7E2264FE">
            <w:pPr>
              <w:jc w:val="center"/>
              <w:rPr>
                <w:rFonts w:hint="eastAsia" w:ascii="仿宋" w:hAnsi="仿宋" w:eastAsia="仿宋"/>
                <w:szCs w:val="21"/>
              </w:rPr>
            </w:pPr>
          </w:p>
        </w:tc>
      </w:tr>
      <w:tr w14:paraId="39D50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218B0675">
            <w:pPr>
              <w:jc w:val="center"/>
              <w:rPr>
                <w:rFonts w:hint="eastAsia" w:ascii="仿宋" w:hAnsi="仿宋" w:eastAsia="仿宋"/>
                <w:szCs w:val="21"/>
              </w:rPr>
            </w:pPr>
            <w:r>
              <w:rPr>
                <w:rFonts w:hint="eastAsia" w:ascii="仿宋" w:hAnsi="仿宋" w:eastAsia="仿宋"/>
                <w:szCs w:val="21"/>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76C89F51">
            <w:pPr>
              <w:jc w:val="center"/>
              <w:rPr>
                <w:rFonts w:hint="eastAsia" w:ascii="仿宋" w:hAnsi="仿宋" w:eastAsia="仿宋"/>
                <w:szCs w:val="21"/>
              </w:rPr>
            </w:pPr>
          </w:p>
        </w:tc>
      </w:tr>
      <w:tr w14:paraId="3ED8C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7CEA394">
            <w:pPr>
              <w:jc w:val="center"/>
              <w:rPr>
                <w:rFonts w:hint="eastAsia" w:ascii="仿宋" w:hAnsi="仿宋" w:eastAsia="仿宋"/>
                <w:szCs w:val="21"/>
              </w:rPr>
            </w:pPr>
            <w:r>
              <w:rPr>
                <w:rFonts w:hint="eastAsia" w:ascii="仿宋" w:hAnsi="仿宋" w:eastAsia="仿宋"/>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1A1A104E">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6811DCE2">
            <w:pPr>
              <w:jc w:val="center"/>
              <w:rPr>
                <w:rFonts w:hint="eastAsia" w:ascii="仿宋" w:hAnsi="仿宋" w:eastAsia="仿宋"/>
                <w:szCs w:val="21"/>
              </w:rPr>
            </w:pPr>
            <w:r>
              <w:rPr>
                <w:rFonts w:hint="eastAsia" w:ascii="仿宋" w:hAnsi="仿宋" w:eastAsia="仿宋"/>
                <w:szCs w:val="21"/>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0559A4A8">
            <w:pPr>
              <w:jc w:val="center"/>
              <w:rPr>
                <w:rFonts w:hint="eastAsia" w:ascii="仿宋" w:hAnsi="仿宋" w:eastAsia="仿宋"/>
                <w:szCs w:val="21"/>
              </w:rPr>
            </w:pPr>
          </w:p>
        </w:tc>
      </w:tr>
      <w:tr w14:paraId="62FCD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59941F9">
            <w:pPr>
              <w:jc w:val="center"/>
              <w:rPr>
                <w:rFonts w:hint="eastAsia" w:ascii="仿宋" w:hAnsi="仿宋" w:eastAsia="仿宋"/>
                <w:szCs w:val="21"/>
              </w:rPr>
            </w:pPr>
            <w:r>
              <w:rPr>
                <w:rFonts w:hint="eastAsia" w:ascii="仿宋" w:hAnsi="仿宋" w:eastAsia="仿宋"/>
                <w:szCs w:val="21"/>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046D6723">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0ED2BCE5">
            <w:pPr>
              <w:jc w:val="center"/>
              <w:rPr>
                <w:rFonts w:hint="eastAsia" w:ascii="仿宋" w:hAnsi="仿宋" w:eastAsia="仿宋"/>
                <w:szCs w:val="21"/>
              </w:rPr>
            </w:pPr>
            <w:r>
              <w:rPr>
                <w:rFonts w:hint="eastAsia" w:ascii="仿宋" w:hAnsi="仿宋" w:eastAsia="仿宋"/>
                <w:szCs w:val="21"/>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23E05937">
            <w:pPr>
              <w:jc w:val="center"/>
              <w:rPr>
                <w:rFonts w:hint="eastAsia" w:ascii="仿宋" w:hAnsi="仿宋" w:eastAsia="仿宋"/>
                <w:szCs w:val="21"/>
              </w:rPr>
            </w:pPr>
          </w:p>
        </w:tc>
      </w:tr>
    </w:tbl>
    <w:p w14:paraId="1A34BB46">
      <w:pPr>
        <w:spacing w:line="360" w:lineRule="auto"/>
        <w:rPr>
          <w:rFonts w:hint="eastAsia" w:ascii="仿宋" w:hAnsi="仿宋" w:eastAsia="仿宋" w:cs="仿宋"/>
        </w:rPr>
      </w:pPr>
    </w:p>
    <w:p w14:paraId="420BDE2A">
      <w:pPr>
        <w:spacing w:line="360" w:lineRule="auto"/>
        <w:rPr>
          <w:rFonts w:hint="eastAsia" w:ascii="仿宋" w:hAnsi="仿宋" w:eastAsia="仿宋" w:cs="仿宋"/>
        </w:rPr>
      </w:pPr>
    </w:p>
    <w:p w14:paraId="429D96C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C2F68F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28EC770">
      <w:pPr>
        <w:adjustRightInd w:val="0"/>
        <w:spacing w:line="360" w:lineRule="auto"/>
        <w:ind w:firstLine="2400" w:firstLineChars="1000"/>
        <w:jc w:val="left"/>
        <w:rPr>
          <w:rFonts w:ascii="仿宋" w:hAnsi="仿宋" w:eastAsia="仿宋" w:cs="仿宋"/>
          <w:sz w:val="24"/>
        </w:rPr>
      </w:pPr>
      <w:r>
        <w:rPr>
          <w:rFonts w:hint="eastAsia" w:ascii="仿宋" w:hAnsi="仿宋" w:eastAsia="仿宋" w:cs="仿宋"/>
          <w:sz w:val="24"/>
        </w:rPr>
        <w:t>日期：</w:t>
      </w:r>
    </w:p>
    <w:p w14:paraId="232BAB9B">
      <w:pPr>
        <w:pStyle w:val="21"/>
        <w:ind w:firstLine="480"/>
        <w:rPr>
          <w:rFonts w:hint="eastAsia"/>
          <w:lang w:val="en-US"/>
        </w:rPr>
      </w:pPr>
    </w:p>
    <w:p w14:paraId="4B26E368">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评标标准相应的商务技术资料</w:t>
      </w:r>
    </w:p>
    <w:p w14:paraId="1355B6B6">
      <w:pPr>
        <w:snapToGrid w:val="0"/>
        <w:spacing w:line="360" w:lineRule="auto"/>
        <w:jc w:val="center"/>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2366BDC">
      <w:pPr>
        <w:pStyle w:val="42"/>
        <w:ind w:firstLine="560"/>
        <w:rPr>
          <w:rFonts w:hint="eastAsia"/>
        </w:rPr>
      </w:pPr>
    </w:p>
    <w:p w14:paraId="1021EA5E">
      <w:pPr>
        <w:pStyle w:val="42"/>
        <w:ind w:firstLine="560"/>
        <w:rPr>
          <w:rFonts w:hint="eastAsia"/>
          <w:lang w:val="zh-CN"/>
        </w:rPr>
      </w:pPr>
    </w:p>
    <w:p w14:paraId="18A18D64">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商务响应表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209"/>
        <w:gridCol w:w="3245"/>
        <w:gridCol w:w="2096"/>
      </w:tblGrid>
      <w:tr w14:paraId="7C86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734AB96D">
            <w:pPr>
              <w:jc w:val="center"/>
              <w:rPr>
                <w:rFonts w:hint="eastAsia" w:ascii="仿宋" w:hAnsi="仿宋" w:eastAsia="仿宋"/>
                <w:szCs w:val="21"/>
              </w:rPr>
            </w:pPr>
            <w:r>
              <w:rPr>
                <w:rFonts w:hint="eastAsia" w:ascii="仿宋" w:hAnsi="仿宋" w:eastAsia="仿宋"/>
                <w:szCs w:val="21"/>
              </w:rPr>
              <w:t>序号</w:t>
            </w:r>
          </w:p>
        </w:tc>
        <w:tc>
          <w:tcPr>
            <w:tcW w:w="3209" w:type="dxa"/>
            <w:noWrap w:val="0"/>
            <w:vAlign w:val="center"/>
          </w:tcPr>
          <w:p w14:paraId="23633636">
            <w:pPr>
              <w:jc w:val="center"/>
              <w:rPr>
                <w:rFonts w:hint="eastAsia" w:ascii="仿宋" w:hAnsi="仿宋" w:eastAsia="仿宋"/>
                <w:szCs w:val="21"/>
              </w:rPr>
            </w:pPr>
            <w:r>
              <w:rPr>
                <w:rFonts w:hint="eastAsia" w:ascii="仿宋" w:hAnsi="仿宋" w:eastAsia="仿宋"/>
                <w:szCs w:val="21"/>
              </w:rPr>
              <w:t>招标文件章节及具体内容</w:t>
            </w:r>
          </w:p>
        </w:tc>
        <w:tc>
          <w:tcPr>
            <w:tcW w:w="3245" w:type="dxa"/>
            <w:noWrap w:val="0"/>
            <w:vAlign w:val="center"/>
          </w:tcPr>
          <w:p w14:paraId="1D5CA980">
            <w:pPr>
              <w:jc w:val="center"/>
              <w:rPr>
                <w:rFonts w:hint="eastAsia" w:ascii="仿宋" w:hAnsi="仿宋" w:eastAsia="仿宋"/>
                <w:szCs w:val="21"/>
              </w:rPr>
            </w:pPr>
            <w:r>
              <w:rPr>
                <w:rFonts w:hint="eastAsia" w:ascii="仿宋" w:hAnsi="仿宋" w:eastAsia="仿宋"/>
                <w:szCs w:val="21"/>
              </w:rPr>
              <w:t>投标文件章节及具体内容</w:t>
            </w:r>
          </w:p>
        </w:tc>
        <w:tc>
          <w:tcPr>
            <w:tcW w:w="2096" w:type="dxa"/>
            <w:noWrap w:val="0"/>
            <w:vAlign w:val="center"/>
          </w:tcPr>
          <w:p w14:paraId="5E50675D">
            <w:pPr>
              <w:jc w:val="center"/>
              <w:rPr>
                <w:rFonts w:hint="eastAsia" w:ascii="仿宋" w:hAnsi="仿宋" w:eastAsia="仿宋"/>
                <w:szCs w:val="21"/>
              </w:rPr>
            </w:pPr>
            <w:r>
              <w:rPr>
                <w:rFonts w:hint="eastAsia" w:ascii="仿宋" w:hAnsi="仿宋" w:eastAsia="仿宋"/>
                <w:szCs w:val="21"/>
              </w:rPr>
              <w:t>响应或偏离说明</w:t>
            </w:r>
          </w:p>
        </w:tc>
      </w:tr>
      <w:tr w14:paraId="00A1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4AA70B1A">
            <w:pPr>
              <w:jc w:val="center"/>
              <w:rPr>
                <w:rFonts w:hint="eastAsia" w:ascii="仿宋" w:hAnsi="仿宋" w:eastAsia="仿宋"/>
                <w:szCs w:val="21"/>
              </w:rPr>
            </w:pPr>
            <w:r>
              <w:rPr>
                <w:rFonts w:hint="eastAsia" w:ascii="仿宋" w:hAnsi="仿宋" w:eastAsia="仿宋"/>
                <w:szCs w:val="21"/>
              </w:rPr>
              <w:t>1</w:t>
            </w:r>
          </w:p>
        </w:tc>
        <w:tc>
          <w:tcPr>
            <w:tcW w:w="3209" w:type="dxa"/>
            <w:noWrap w:val="0"/>
            <w:vAlign w:val="center"/>
          </w:tcPr>
          <w:p w14:paraId="5F95729E">
            <w:pPr>
              <w:jc w:val="center"/>
              <w:rPr>
                <w:rFonts w:hint="eastAsia" w:ascii="仿宋" w:hAnsi="仿宋" w:eastAsia="仿宋"/>
                <w:szCs w:val="21"/>
              </w:rPr>
            </w:pPr>
          </w:p>
        </w:tc>
        <w:tc>
          <w:tcPr>
            <w:tcW w:w="3245" w:type="dxa"/>
            <w:noWrap w:val="0"/>
            <w:vAlign w:val="center"/>
          </w:tcPr>
          <w:p w14:paraId="12A251AF">
            <w:pPr>
              <w:jc w:val="center"/>
              <w:rPr>
                <w:rFonts w:hint="eastAsia" w:ascii="仿宋" w:hAnsi="仿宋" w:eastAsia="仿宋"/>
                <w:szCs w:val="21"/>
              </w:rPr>
            </w:pPr>
          </w:p>
        </w:tc>
        <w:tc>
          <w:tcPr>
            <w:tcW w:w="2096" w:type="dxa"/>
            <w:noWrap w:val="0"/>
            <w:vAlign w:val="center"/>
          </w:tcPr>
          <w:p w14:paraId="469EE9EF">
            <w:pPr>
              <w:jc w:val="center"/>
              <w:rPr>
                <w:rFonts w:hint="eastAsia" w:ascii="仿宋" w:hAnsi="仿宋" w:eastAsia="仿宋"/>
                <w:szCs w:val="21"/>
              </w:rPr>
            </w:pPr>
          </w:p>
        </w:tc>
      </w:tr>
      <w:tr w14:paraId="2572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56C43415">
            <w:pPr>
              <w:jc w:val="center"/>
              <w:rPr>
                <w:rFonts w:hint="eastAsia" w:ascii="仿宋" w:hAnsi="仿宋" w:eastAsia="仿宋"/>
                <w:szCs w:val="21"/>
              </w:rPr>
            </w:pPr>
            <w:r>
              <w:rPr>
                <w:rFonts w:hint="eastAsia" w:ascii="仿宋" w:hAnsi="仿宋" w:eastAsia="仿宋"/>
                <w:szCs w:val="21"/>
              </w:rPr>
              <w:t>2</w:t>
            </w:r>
          </w:p>
        </w:tc>
        <w:tc>
          <w:tcPr>
            <w:tcW w:w="3209" w:type="dxa"/>
            <w:noWrap w:val="0"/>
            <w:vAlign w:val="center"/>
          </w:tcPr>
          <w:p w14:paraId="45DE77CF">
            <w:pPr>
              <w:jc w:val="center"/>
              <w:rPr>
                <w:rFonts w:hint="eastAsia" w:ascii="仿宋" w:hAnsi="仿宋" w:eastAsia="仿宋"/>
                <w:szCs w:val="21"/>
              </w:rPr>
            </w:pPr>
          </w:p>
        </w:tc>
        <w:tc>
          <w:tcPr>
            <w:tcW w:w="3245" w:type="dxa"/>
            <w:noWrap w:val="0"/>
            <w:vAlign w:val="center"/>
          </w:tcPr>
          <w:p w14:paraId="3158A46C">
            <w:pPr>
              <w:jc w:val="center"/>
              <w:rPr>
                <w:rFonts w:hint="eastAsia" w:ascii="仿宋" w:hAnsi="仿宋" w:eastAsia="仿宋"/>
                <w:szCs w:val="21"/>
              </w:rPr>
            </w:pPr>
          </w:p>
        </w:tc>
        <w:tc>
          <w:tcPr>
            <w:tcW w:w="2096" w:type="dxa"/>
            <w:noWrap w:val="0"/>
            <w:vAlign w:val="center"/>
          </w:tcPr>
          <w:p w14:paraId="4288515A">
            <w:pPr>
              <w:jc w:val="center"/>
              <w:rPr>
                <w:rFonts w:hint="eastAsia" w:ascii="仿宋" w:hAnsi="仿宋" w:eastAsia="仿宋"/>
                <w:szCs w:val="21"/>
              </w:rPr>
            </w:pPr>
          </w:p>
        </w:tc>
      </w:tr>
      <w:tr w14:paraId="23BF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69CA4EBC">
            <w:pPr>
              <w:jc w:val="center"/>
              <w:rPr>
                <w:rFonts w:hint="eastAsia" w:ascii="仿宋" w:hAnsi="仿宋" w:eastAsia="仿宋"/>
                <w:szCs w:val="21"/>
              </w:rPr>
            </w:pPr>
            <w:r>
              <w:rPr>
                <w:rFonts w:hint="eastAsia" w:ascii="仿宋" w:hAnsi="仿宋" w:eastAsia="仿宋"/>
                <w:szCs w:val="21"/>
              </w:rPr>
              <w:t>……</w:t>
            </w:r>
          </w:p>
        </w:tc>
        <w:tc>
          <w:tcPr>
            <w:tcW w:w="3209" w:type="dxa"/>
            <w:noWrap w:val="0"/>
            <w:vAlign w:val="center"/>
          </w:tcPr>
          <w:p w14:paraId="7DAA25D2">
            <w:pPr>
              <w:jc w:val="center"/>
              <w:rPr>
                <w:rFonts w:hint="eastAsia" w:ascii="仿宋" w:hAnsi="仿宋" w:eastAsia="仿宋"/>
                <w:szCs w:val="21"/>
              </w:rPr>
            </w:pPr>
          </w:p>
        </w:tc>
        <w:tc>
          <w:tcPr>
            <w:tcW w:w="3245" w:type="dxa"/>
            <w:noWrap w:val="0"/>
            <w:vAlign w:val="center"/>
          </w:tcPr>
          <w:p w14:paraId="0130E9B7">
            <w:pPr>
              <w:jc w:val="center"/>
              <w:rPr>
                <w:rFonts w:hint="eastAsia" w:ascii="仿宋" w:hAnsi="仿宋" w:eastAsia="仿宋"/>
                <w:szCs w:val="21"/>
              </w:rPr>
            </w:pPr>
          </w:p>
        </w:tc>
        <w:tc>
          <w:tcPr>
            <w:tcW w:w="2096" w:type="dxa"/>
            <w:noWrap w:val="0"/>
            <w:vAlign w:val="center"/>
          </w:tcPr>
          <w:p w14:paraId="43DDC1C6">
            <w:pPr>
              <w:jc w:val="center"/>
              <w:rPr>
                <w:rFonts w:hint="eastAsia" w:ascii="仿宋" w:hAnsi="仿宋" w:eastAsia="仿宋"/>
                <w:szCs w:val="21"/>
              </w:rPr>
            </w:pPr>
          </w:p>
        </w:tc>
      </w:tr>
    </w:tbl>
    <w:p w14:paraId="30DCF750">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投标人保证：除商务偏离表列出的偏离外，投标人响应招标文件的全部商务要求。</w:t>
      </w:r>
    </w:p>
    <w:p w14:paraId="4995E32F">
      <w:pPr>
        <w:adjustRightInd w:val="0"/>
        <w:spacing w:line="360" w:lineRule="auto"/>
        <w:ind w:firstLine="2400" w:firstLineChars="1000"/>
        <w:jc w:val="left"/>
        <w:rPr>
          <w:rFonts w:hint="eastAsia" w:ascii="仿宋" w:hAnsi="仿宋" w:eastAsia="仿宋" w:cs="仿宋"/>
          <w:sz w:val="24"/>
        </w:rPr>
      </w:pPr>
    </w:p>
    <w:p w14:paraId="4C62B93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603CCE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667546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4D0D870B">
      <w:pPr>
        <w:pStyle w:val="42"/>
        <w:ind w:firstLine="560"/>
        <w:rPr>
          <w:rFonts w:hint="eastAsia"/>
        </w:rPr>
      </w:pPr>
    </w:p>
    <w:p w14:paraId="083871D9">
      <w:pPr>
        <w:pStyle w:val="42"/>
        <w:ind w:firstLine="560"/>
        <w:rPr>
          <w:rFonts w:hint="eastAsia"/>
        </w:rPr>
      </w:pPr>
    </w:p>
    <w:p w14:paraId="083EB250">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技术响应表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209"/>
        <w:gridCol w:w="3245"/>
        <w:gridCol w:w="2096"/>
      </w:tblGrid>
      <w:tr w14:paraId="0C02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125B25E4">
            <w:pPr>
              <w:jc w:val="center"/>
              <w:rPr>
                <w:rFonts w:hint="eastAsia" w:ascii="仿宋" w:hAnsi="仿宋" w:eastAsia="仿宋"/>
                <w:szCs w:val="21"/>
              </w:rPr>
            </w:pPr>
            <w:r>
              <w:rPr>
                <w:rFonts w:hint="eastAsia" w:ascii="仿宋" w:hAnsi="仿宋" w:eastAsia="仿宋"/>
                <w:szCs w:val="21"/>
              </w:rPr>
              <w:t>序号</w:t>
            </w:r>
          </w:p>
        </w:tc>
        <w:tc>
          <w:tcPr>
            <w:tcW w:w="3209" w:type="dxa"/>
            <w:noWrap w:val="0"/>
            <w:vAlign w:val="center"/>
          </w:tcPr>
          <w:p w14:paraId="225C748D">
            <w:pPr>
              <w:jc w:val="center"/>
              <w:rPr>
                <w:rFonts w:hint="eastAsia" w:ascii="仿宋" w:hAnsi="仿宋" w:eastAsia="仿宋"/>
                <w:szCs w:val="21"/>
              </w:rPr>
            </w:pPr>
            <w:r>
              <w:rPr>
                <w:rFonts w:hint="eastAsia" w:ascii="仿宋" w:hAnsi="仿宋" w:eastAsia="仿宋"/>
                <w:szCs w:val="21"/>
              </w:rPr>
              <w:t>招标文件章节及具体内容</w:t>
            </w:r>
          </w:p>
        </w:tc>
        <w:tc>
          <w:tcPr>
            <w:tcW w:w="3245" w:type="dxa"/>
            <w:noWrap w:val="0"/>
            <w:vAlign w:val="center"/>
          </w:tcPr>
          <w:p w14:paraId="10283927">
            <w:pPr>
              <w:jc w:val="center"/>
              <w:rPr>
                <w:rFonts w:hint="eastAsia" w:ascii="仿宋" w:hAnsi="仿宋" w:eastAsia="仿宋"/>
                <w:szCs w:val="21"/>
              </w:rPr>
            </w:pPr>
            <w:r>
              <w:rPr>
                <w:rFonts w:hint="eastAsia" w:ascii="仿宋" w:hAnsi="仿宋" w:eastAsia="仿宋"/>
                <w:szCs w:val="21"/>
              </w:rPr>
              <w:t>投标文件章节及具体内容</w:t>
            </w:r>
          </w:p>
        </w:tc>
        <w:tc>
          <w:tcPr>
            <w:tcW w:w="2096" w:type="dxa"/>
            <w:noWrap w:val="0"/>
            <w:vAlign w:val="center"/>
          </w:tcPr>
          <w:p w14:paraId="1DDC4B14">
            <w:pPr>
              <w:jc w:val="center"/>
              <w:rPr>
                <w:rFonts w:hint="eastAsia" w:ascii="仿宋" w:hAnsi="仿宋" w:eastAsia="仿宋"/>
                <w:szCs w:val="21"/>
              </w:rPr>
            </w:pPr>
            <w:r>
              <w:rPr>
                <w:rFonts w:hint="eastAsia" w:ascii="仿宋" w:hAnsi="仿宋" w:eastAsia="仿宋"/>
                <w:szCs w:val="21"/>
              </w:rPr>
              <w:t>响应或偏离说明</w:t>
            </w:r>
          </w:p>
        </w:tc>
      </w:tr>
      <w:tr w14:paraId="3145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27ADE2BC">
            <w:pPr>
              <w:jc w:val="center"/>
              <w:rPr>
                <w:rFonts w:hint="eastAsia" w:ascii="仿宋" w:hAnsi="仿宋" w:eastAsia="仿宋"/>
                <w:szCs w:val="21"/>
              </w:rPr>
            </w:pPr>
            <w:r>
              <w:rPr>
                <w:rFonts w:hint="eastAsia" w:ascii="仿宋" w:hAnsi="仿宋" w:eastAsia="仿宋"/>
                <w:szCs w:val="21"/>
              </w:rPr>
              <w:t>1</w:t>
            </w:r>
          </w:p>
        </w:tc>
        <w:tc>
          <w:tcPr>
            <w:tcW w:w="3209" w:type="dxa"/>
            <w:noWrap w:val="0"/>
            <w:vAlign w:val="center"/>
          </w:tcPr>
          <w:p w14:paraId="1F06FC2E">
            <w:pPr>
              <w:jc w:val="center"/>
              <w:rPr>
                <w:rFonts w:hint="eastAsia" w:ascii="仿宋" w:hAnsi="仿宋" w:eastAsia="仿宋"/>
                <w:szCs w:val="21"/>
              </w:rPr>
            </w:pPr>
          </w:p>
        </w:tc>
        <w:tc>
          <w:tcPr>
            <w:tcW w:w="3245" w:type="dxa"/>
            <w:noWrap w:val="0"/>
            <w:vAlign w:val="center"/>
          </w:tcPr>
          <w:p w14:paraId="15E61705">
            <w:pPr>
              <w:jc w:val="center"/>
              <w:rPr>
                <w:rFonts w:hint="eastAsia" w:ascii="仿宋" w:hAnsi="仿宋" w:eastAsia="仿宋"/>
                <w:szCs w:val="21"/>
              </w:rPr>
            </w:pPr>
          </w:p>
        </w:tc>
        <w:tc>
          <w:tcPr>
            <w:tcW w:w="2096" w:type="dxa"/>
            <w:noWrap w:val="0"/>
            <w:vAlign w:val="center"/>
          </w:tcPr>
          <w:p w14:paraId="5793F611">
            <w:pPr>
              <w:jc w:val="center"/>
              <w:rPr>
                <w:rFonts w:hint="eastAsia" w:ascii="仿宋" w:hAnsi="仿宋" w:eastAsia="仿宋"/>
                <w:szCs w:val="21"/>
              </w:rPr>
            </w:pPr>
          </w:p>
        </w:tc>
      </w:tr>
      <w:tr w14:paraId="6983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0F525C96">
            <w:pPr>
              <w:jc w:val="center"/>
              <w:rPr>
                <w:rFonts w:hint="eastAsia" w:ascii="仿宋" w:hAnsi="仿宋" w:eastAsia="仿宋"/>
                <w:szCs w:val="21"/>
              </w:rPr>
            </w:pPr>
            <w:r>
              <w:rPr>
                <w:rFonts w:hint="eastAsia" w:ascii="仿宋" w:hAnsi="仿宋" w:eastAsia="仿宋"/>
                <w:szCs w:val="21"/>
              </w:rPr>
              <w:t>2</w:t>
            </w:r>
          </w:p>
        </w:tc>
        <w:tc>
          <w:tcPr>
            <w:tcW w:w="3209" w:type="dxa"/>
            <w:noWrap w:val="0"/>
            <w:vAlign w:val="center"/>
          </w:tcPr>
          <w:p w14:paraId="6D572C62">
            <w:pPr>
              <w:jc w:val="center"/>
              <w:rPr>
                <w:rFonts w:hint="eastAsia" w:ascii="仿宋" w:hAnsi="仿宋" w:eastAsia="仿宋"/>
                <w:szCs w:val="21"/>
              </w:rPr>
            </w:pPr>
          </w:p>
        </w:tc>
        <w:tc>
          <w:tcPr>
            <w:tcW w:w="3245" w:type="dxa"/>
            <w:noWrap w:val="0"/>
            <w:vAlign w:val="center"/>
          </w:tcPr>
          <w:p w14:paraId="79C1A8E9">
            <w:pPr>
              <w:jc w:val="center"/>
              <w:rPr>
                <w:rFonts w:hint="eastAsia" w:ascii="仿宋" w:hAnsi="仿宋" w:eastAsia="仿宋"/>
                <w:szCs w:val="21"/>
              </w:rPr>
            </w:pPr>
          </w:p>
        </w:tc>
        <w:tc>
          <w:tcPr>
            <w:tcW w:w="2096" w:type="dxa"/>
            <w:noWrap w:val="0"/>
            <w:vAlign w:val="center"/>
          </w:tcPr>
          <w:p w14:paraId="0C1209B6">
            <w:pPr>
              <w:jc w:val="center"/>
              <w:rPr>
                <w:rFonts w:hint="eastAsia" w:ascii="仿宋" w:hAnsi="仿宋" w:eastAsia="仿宋"/>
                <w:szCs w:val="21"/>
              </w:rPr>
            </w:pPr>
          </w:p>
        </w:tc>
      </w:tr>
      <w:tr w14:paraId="2995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0763F2E5">
            <w:pPr>
              <w:jc w:val="center"/>
              <w:rPr>
                <w:rFonts w:hint="eastAsia" w:ascii="仿宋" w:hAnsi="仿宋" w:eastAsia="仿宋"/>
                <w:szCs w:val="21"/>
              </w:rPr>
            </w:pPr>
            <w:r>
              <w:rPr>
                <w:rFonts w:hint="eastAsia" w:ascii="仿宋" w:hAnsi="仿宋" w:eastAsia="仿宋"/>
                <w:szCs w:val="21"/>
              </w:rPr>
              <w:t>……</w:t>
            </w:r>
          </w:p>
        </w:tc>
        <w:tc>
          <w:tcPr>
            <w:tcW w:w="3209" w:type="dxa"/>
            <w:noWrap w:val="0"/>
            <w:vAlign w:val="center"/>
          </w:tcPr>
          <w:p w14:paraId="617FDB3C">
            <w:pPr>
              <w:jc w:val="center"/>
              <w:rPr>
                <w:rFonts w:hint="eastAsia" w:ascii="仿宋" w:hAnsi="仿宋" w:eastAsia="仿宋"/>
                <w:szCs w:val="21"/>
              </w:rPr>
            </w:pPr>
          </w:p>
        </w:tc>
        <w:tc>
          <w:tcPr>
            <w:tcW w:w="3245" w:type="dxa"/>
            <w:noWrap w:val="0"/>
            <w:vAlign w:val="center"/>
          </w:tcPr>
          <w:p w14:paraId="229DAAF6">
            <w:pPr>
              <w:jc w:val="center"/>
              <w:rPr>
                <w:rFonts w:hint="eastAsia" w:ascii="仿宋" w:hAnsi="仿宋" w:eastAsia="仿宋"/>
                <w:szCs w:val="21"/>
              </w:rPr>
            </w:pPr>
          </w:p>
        </w:tc>
        <w:tc>
          <w:tcPr>
            <w:tcW w:w="2096" w:type="dxa"/>
            <w:noWrap w:val="0"/>
            <w:vAlign w:val="center"/>
          </w:tcPr>
          <w:p w14:paraId="1A3CCD60">
            <w:pPr>
              <w:jc w:val="center"/>
              <w:rPr>
                <w:rFonts w:hint="eastAsia" w:ascii="仿宋" w:hAnsi="仿宋" w:eastAsia="仿宋"/>
                <w:szCs w:val="21"/>
              </w:rPr>
            </w:pPr>
          </w:p>
        </w:tc>
      </w:tr>
    </w:tbl>
    <w:p w14:paraId="126BFA90">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投标人保证：除技术偏离表列出的偏离外，投标人响应招标文件的全部技术要求。</w:t>
      </w:r>
    </w:p>
    <w:p w14:paraId="2B561BD5">
      <w:pPr>
        <w:adjustRightInd w:val="0"/>
        <w:spacing w:line="360" w:lineRule="auto"/>
        <w:ind w:firstLine="2400" w:firstLineChars="1000"/>
        <w:jc w:val="left"/>
        <w:rPr>
          <w:rFonts w:hint="eastAsia" w:ascii="仿宋" w:hAnsi="仿宋" w:eastAsia="仿宋" w:cs="仿宋"/>
          <w:sz w:val="24"/>
        </w:rPr>
      </w:pPr>
    </w:p>
    <w:p w14:paraId="69CBE96C">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5A080E23">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2D1361E">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79E30C6B">
      <w:pPr>
        <w:spacing w:line="360" w:lineRule="auto"/>
        <w:rPr>
          <w:rFonts w:hint="eastAsia" w:ascii="仿宋" w:hAnsi="仿宋" w:eastAsia="仿宋" w:cs="仿宋"/>
          <w:b/>
          <w:kern w:val="0"/>
          <w:sz w:val="32"/>
          <w:szCs w:val="32"/>
        </w:rPr>
      </w:pPr>
    </w:p>
    <w:p w14:paraId="739F8E81">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同类业绩情况一览表</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65FD5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0D197C1">
            <w:pPr>
              <w:jc w:val="center"/>
              <w:rPr>
                <w:rFonts w:hint="eastAsia" w:ascii="仿宋" w:hAnsi="仿宋" w:eastAsia="仿宋"/>
                <w:b/>
                <w:szCs w:val="21"/>
              </w:rPr>
            </w:pPr>
            <w:r>
              <w:rPr>
                <w:rFonts w:hint="eastAsia" w:ascii="仿宋" w:hAnsi="仿宋" w:eastAsia="仿宋"/>
                <w:b/>
                <w:szCs w:val="21"/>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26DBC43">
            <w:pPr>
              <w:jc w:val="center"/>
              <w:rPr>
                <w:rFonts w:hint="eastAsia" w:ascii="仿宋" w:hAnsi="仿宋" w:eastAsia="仿宋"/>
                <w:b/>
                <w:szCs w:val="21"/>
              </w:rPr>
            </w:pPr>
            <w:r>
              <w:rPr>
                <w:rFonts w:hint="eastAsia" w:ascii="仿宋" w:hAnsi="仿宋" w:eastAsia="仿宋"/>
                <w:b/>
                <w:szCs w:val="21"/>
              </w:rPr>
              <w:t>采购单位名称</w:t>
            </w:r>
          </w:p>
        </w:tc>
        <w:tc>
          <w:tcPr>
            <w:tcW w:w="1732" w:type="dxa"/>
            <w:tcBorders>
              <w:top w:val="single" w:color="auto" w:sz="4" w:space="0"/>
              <w:left w:val="single" w:color="auto" w:sz="4" w:space="0"/>
              <w:right w:val="single" w:color="auto" w:sz="4" w:space="0"/>
            </w:tcBorders>
            <w:noWrap w:val="0"/>
            <w:vAlign w:val="center"/>
          </w:tcPr>
          <w:p w14:paraId="7B12D7F9">
            <w:pPr>
              <w:jc w:val="center"/>
              <w:rPr>
                <w:rFonts w:hint="eastAsia" w:ascii="仿宋" w:hAnsi="仿宋" w:eastAsia="仿宋"/>
                <w:b/>
                <w:szCs w:val="21"/>
              </w:rPr>
            </w:pPr>
            <w:r>
              <w:rPr>
                <w:rFonts w:hint="eastAsia" w:ascii="仿宋" w:hAnsi="仿宋" w:eastAsia="仿宋"/>
                <w:b/>
                <w:szCs w:val="21"/>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EF28A55">
            <w:pPr>
              <w:jc w:val="center"/>
              <w:rPr>
                <w:rFonts w:hint="eastAsia" w:ascii="仿宋" w:hAnsi="仿宋" w:eastAsia="仿宋"/>
                <w:b/>
                <w:szCs w:val="21"/>
              </w:rPr>
            </w:pPr>
            <w:r>
              <w:rPr>
                <w:rFonts w:hint="eastAsia" w:ascii="仿宋" w:hAnsi="仿宋" w:eastAsia="仿宋"/>
                <w:b/>
                <w:szCs w:val="21"/>
              </w:rPr>
              <w:t>合同金额（万元）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DAE2EB0">
            <w:pPr>
              <w:jc w:val="center"/>
              <w:rPr>
                <w:rFonts w:hint="eastAsia" w:ascii="仿宋" w:hAnsi="仿宋" w:eastAsia="仿宋"/>
                <w:b/>
                <w:szCs w:val="21"/>
              </w:rPr>
            </w:pPr>
            <w:r>
              <w:rPr>
                <w:rFonts w:hint="eastAsia" w:ascii="仿宋" w:hAnsi="仿宋" w:eastAsia="仿宋"/>
                <w:b/>
                <w:szCs w:val="21"/>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CF8C033">
            <w:pPr>
              <w:jc w:val="center"/>
              <w:rPr>
                <w:rFonts w:hint="eastAsia" w:ascii="仿宋" w:hAnsi="仿宋" w:eastAsia="仿宋"/>
                <w:b/>
                <w:szCs w:val="21"/>
              </w:rPr>
            </w:pPr>
            <w:r>
              <w:rPr>
                <w:rFonts w:hint="eastAsia" w:ascii="仿宋" w:hAnsi="仿宋" w:eastAsia="仿宋"/>
                <w:b/>
                <w:szCs w:val="21"/>
              </w:rPr>
              <w:t>合同签订时间</w:t>
            </w:r>
          </w:p>
        </w:tc>
      </w:tr>
      <w:tr w14:paraId="3679C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D6DBDE3">
            <w:pPr>
              <w:jc w:val="center"/>
              <w:rPr>
                <w:rFonts w:hint="eastAsia" w:ascii="仿宋" w:hAnsi="仿宋" w:eastAsia="仿宋"/>
                <w:szCs w:val="21"/>
              </w:rPr>
            </w:pPr>
            <w:r>
              <w:rPr>
                <w:rFonts w:hint="eastAsia" w:ascii="仿宋" w:hAnsi="仿宋" w:eastAsia="仿宋"/>
                <w:szCs w:val="21"/>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57DC77B">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4A7EE148">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BDE0029">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D92940C">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7B42E3F">
            <w:pPr>
              <w:jc w:val="center"/>
              <w:rPr>
                <w:rFonts w:hint="eastAsia" w:ascii="仿宋" w:hAnsi="仿宋" w:eastAsia="仿宋"/>
                <w:szCs w:val="21"/>
              </w:rPr>
            </w:pPr>
          </w:p>
        </w:tc>
      </w:tr>
      <w:tr w14:paraId="279B9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8344B72">
            <w:pPr>
              <w:jc w:val="center"/>
              <w:rPr>
                <w:rFonts w:hint="eastAsia" w:ascii="仿宋" w:hAnsi="仿宋" w:eastAsia="仿宋"/>
                <w:szCs w:val="21"/>
              </w:rPr>
            </w:pPr>
            <w:r>
              <w:rPr>
                <w:rFonts w:hint="eastAsia" w:ascii="仿宋" w:hAnsi="仿宋" w:eastAsia="仿宋"/>
                <w:szCs w:val="21"/>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C07A438">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B703391">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5B1C06E">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43AFEAA">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E111AAC">
            <w:pPr>
              <w:jc w:val="center"/>
              <w:rPr>
                <w:rFonts w:hint="eastAsia" w:ascii="仿宋" w:hAnsi="仿宋" w:eastAsia="仿宋"/>
                <w:szCs w:val="21"/>
              </w:rPr>
            </w:pPr>
          </w:p>
        </w:tc>
      </w:tr>
      <w:tr w14:paraId="18026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24995C5">
            <w:pPr>
              <w:jc w:val="center"/>
              <w:rPr>
                <w:rFonts w:hint="eastAsia" w:ascii="仿宋" w:hAnsi="仿宋" w:eastAsia="仿宋"/>
                <w:szCs w:val="21"/>
              </w:rPr>
            </w:pPr>
            <w:r>
              <w:rPr>
                <w:rFonts w:hint="eastAsia" w:ascii="仿宋" w:hAnsi="仿宋" w:eastAsia="仿宋"/>
                <w:szCs w:val="21"/>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023D804">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7B9C9802">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35ACB6F">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27BD65A">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1B7FBF0">
            <w:pPr>
              <w:jc w:val="center"/>
              <w:rPr>
                <w:rFonts w:hint="eastAsia" w:ascii="仿宋" w:hAnsi="仿宋" w:eastAsia="仿宋"/>
                <w:szCs w:val="21"/>
              </w:rPr>
            </w:pPr>
          </w:p>
        </w:tc>
      </w:tr>
      <w:tr w14:paraId="62049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76C458B">
            <w:pPr>
              <w:jc w:val="center"/>
              <w:rPr>
                <w:rFonts w:hint="eastAsia" w:ascii="仿宋" w:hAnsi="仿宋" w:eastAsia="仿宋"/>
                <w:szCs w:val="21"/>
              </w:rPr>
            </w:pPr>
            <w:r>
              <w:rPr>
                <w:rFonts w:hint="eastAsia" w:ascii="仿宋" w:hAnsi="仿宋" w:eastAsia="仿宋"/>
                <w:szCs w:val="21"/>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54A8B0F">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A652210">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C4D128F">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FEA777A">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A44A657">
            <w:pPr>
              <w:jc w:val="center"/>
              <w:rPr>
                <w:rFonts w:hint="eastAsia" w:ascii="仿宋" w:hAnsi="仿宋" w:eastAsia="仿宋"/>
                <w:szCs w:val="21"/>
              </w:rPr>
            </w:pPr>
          </w:p>
        </w:tc>
      </w:tr>
      <w:tr w14:paraId="6B473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A9D6AF3">
            <w:pPr>
              <w:jc w:val="center"/>
              <w:rPr>
                <w:rFonts w:hint="eastAsia" w:ascii="仿宋" w:hAnsi="仿宋" w:eastAsia="仿宋"/>
                <w:szCs w:val="21"/>
              </w:rPr>
            </w:pPr>
            <w:r>
              <w:rPr>
                <w:rFonts w:hint="eastAsia" w:ascii="仿宋" w:hAnsi="仿宋" w:eastAsia="仿宋"/>
                <w:szCs w:val="21"/>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B089C3A">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68DA241">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4D01E65">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12AD935">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29A47CA">
            <w:pPr>
              <w:jc w:val="center"/>
              <w:rPr>
                <w:rFonts w:hint="eastAsia" w:ascii="仿宋" w:hAnsi="仿宋" w:eastAsia="仿宋"/>
                <w:szCs w:val="21"/>
              </w:rPr>
            </w:pPr>
          </w:p>
        </w:tc>
      </w:tr>
    </w:tbl>
    <w:p w14:paraId="362FC267">
      <w:pPr>
        <w:spacing w:line="360" w:lineRule="auto"/>
        <w:jc w:val="left"/>
        <w:rPr>
          <w:rFonts w:hint="eastAsia" w:ascii="仿宋" w:hAnsi="仿宋" w:eastAsia="仿宋" w:cs="仿宋"/>
          <w:kern w:val="0"/>
          <w:sz w:val="24"/>
        </w:rPr>
      </w:pPr>
    </w:p>
    <w:p w14:paraId="20714911">
      <w:pPr>
        <w:spacing w:line="360" w:lineRule="auto"/>
        <w:jc w:val="left"/>
        <w:rPr>
          <w:rFonts w:hint="eastAsia" w:ascii="仿宋" w:hAnsi="仿宋" w:eastAsia="仿宋" w:cs="仿宋"/>
          <w:kern w:val="0"/>
          <w:sz w:val="24"/>
        </w:rPr>
      </w:pPr>
    </w:p>
    <w:p w14:paraId="63CCE9A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76F282B">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115B562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4FC2B1C0">
      <w:pPr>
        <w:snapToGrid w:val="0"/>
        <w:spacing w:line="360" w:lineRule="auto"/>
        <w:jc w:val="center"/>
        <w:outlineLvl w:val="0"/>
        <w:rPr>
          <w:rFonts w:hint="eastAsia" w:ascii="仿宋" w:hAnsi="仿宋" w:eastAsia="仿宋" w:cs="仿宋"/>
          <w:b/>
          <w:kern w:val="0"/>
          <w:sz w:val="32"/>
          <w:szCs w:val="32"/>
        </w:rPr>
      </w:pPr>
      <w:r>
        <w:rPr>
          <w:rFonts w:hint="eastAsia"/>
        </w:rPr>
        <w:br w:type="page"/>
      </w:r>
      <w:r>
        <w:rPr>
          <w:rFonts w:hint="eastAsia" w:ascii="仿宋" w:hAnsi="仿宋" w:eastAsia="仿宋" w:cs="仿宋"/>
          <w:b/>
          <w:kern w:val="0"/>
          <w:sz w:val="32"/>
          <w:szCs w:val="32"/>
        </w:rPr>
        <w:t>十、政府采购供应商廉洁自律承诺书</w:t>
      </w:r>
    </w:p>
    <w:p w14:paraId="2A67B301">
      <w:pPr>
        <w:snapToGrid w:val="0"/>
        <w:spacing w:line="360" w:lineRule="auto"/>
        <w:rPr>
          <w:rFonts w:hint="eastAsia" w:ascii="仿宋" w:hAnsi="仿宋" w:eastAsia="仿宋" w:cs="仿宋"/>
          <w:sz w:val="24"/>
        </w:rPr>
      </w:pPr>
    </w:p>
    <w:p w14:paraId="272BB011">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宁波越升质量技术服务有限公司</w:t>
      </w:r>
      <w:r>
        <w:rPr>
          <w:rFonts w:hint="eastAsia" w:ascii="仿宋" w:hAnsi="仿宋" w:eastAsia="仿宋" w:cs="仿宋"/>
          <w:sz w:val="24"/>
        </w:rPr>
        <w:t>/</w:t>
      </w:r>
      <w:r>
        <w:rPr>
          <w:rFonts w:hint="eastAsia" w:ascii="仿宋" w:hAnsi="仿宋" w:eastAsia="仿宋" w:cs="仿宋"/>
          <w:sz w:val="24"/>
          <w:lang w:eastAsia="zh-CN"/>
        </w:rPr>
        <w:t xml:space="preserve">象山县城市管理服务中心 </w:t>
      </w:r>
      <w:r>
        <w:rPr>
          <w:rFonts w:hint="eastAsia" w:ascii="仿宋" w:hAnsi="仿宋" w:eastAsia="仿宋" w:cs="仿宋"/>
          <w:kern w:val="0"/>
          <w:sz w:val="24"/>
          <w:lang w:val="zh-CN"/>
        </w:rPr>
        <w:t>：</w:t>
      </w:r>
    </w:p>
    <w:p w14:paraId="3EDB09A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sz w:val="24"/>
          <w:u w:val="single"/>
        </w:rPr>
        <w:t xml:space="preserve">                 </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BEB864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1C01378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290FED3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368F96B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B03156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643526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六、严格遵守《中华人民共和国政府采购法》、《中华人民共和国招标投标法》、《中华人民共和国民法典》等法律法规，诚实守信，合法经营，坚决抵制各种违法违纪行为。</w:t>
      </w:r>
    </w:p>
    <w:p w14:paraId="6F8D275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w:t>
      </w:r>
      <w:r>
        <w:rPr>
          <w:rFonts w:hint="eastAsia" w:ascii="仿宋" w:hAnsi="仿宋" w:eastAsia="仿宋" w:cs="仿宋"/>
          <w:kern w:val="0"/>
          <w:sz w:val="24"/>
          <w:lang w:val="en-US" w:eastAsia="zh-CN"/>
        </w:rPr>
        <w:t>同级</w:t>
      </w:r>
      <w:r>
        <w:rPr>
          <w:rFonts w:hint="eastAsia" w:ascii="仿宋" w:hAnsi="仿宋" w:eastAsia="仿宋" w:cs="仿宋"/>
          <w:kern w:val="0"/>
          <w:sz w:val="24"/>
          <w:lang w:val="zh-CN"/>
        </w:rPr>
        <w:t>财政局。由此引起的相应损失均由我单位承担。</w:t>
      </w:r>
    </w:p>
    <w:p w14:paraId="0CACA200">
      <w:pPr>
        <w:autoSpaceDE w:val="0"/>
        <w:autoSpaceDN w:val="0"/>
        <w:spacing w:line="360" w:lineRule="auto"/>
        <w:ind w:left="2"/>
        <w:jc w:val="left"/>
        <w:rPr>
          <w:rFonts w:hint="eastAsia" w:ascii="仿宋" w:hAnsi="仿宋" w:eastAsia="仿宋" w:cs="仿宋"/>
          <w:kern w:val="0"/>
          <w:sz w:val="24"/>
          <w:lang w:val="zh-CN"/>
        </w:rPr>
      </w:pPr>
    </w:p>
    <w:p w14:paraId="79DBDE1E">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60CFA50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18E154A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49376794">
      <w:pPr>
        <w:spacing w:line="360" w:lineRule="auto"/>
        <w:jc w:val="left"/>
        <w:rPr>
          <w:rFonts w:hint="eastAsia" w:ascii="仿宋" w:hAnsi="仿宋" w:eastAsia="仿宋" w:cs="仿宋"/>
          <w:b/>
          <w:bCs/>
          <w:sz w:val="24"/>
        </w:rPr>
      </w:pPr>
    </w:p>
    <w:p w14:paraId="1D409041">
      <w:pPr>
        <w:spacing w:line="360" w:lineRule="auto"/>
        <w:jc w:val="left"/>
        <w:rPr>
          <w:rFonts w:hint="eastAsia" w:ascii="仿宋" w:hAnsi="仿宋" w:eastAsia="仿宋" w:cs="仿宋"/>
          <w:b/>
          <w:bCs/>
          <w:sz w:val="24"/>
        </w:rPr>
        <w:sectPr>
          <w:footerReference r:id="rId10" w:type="first"/>
          <w:footerReference r:id="rId9" w:type="default"/>
          <w:pgSz w:w="11906" w:h="16838"/>
          <w:pgMar w:top="1276" w:right="1418" w:bottom="1247" w:left="1418" w:header="851" w:footer="992" w:gutter="0"/>
          <w:pgNumType w:fmt="decimal"/>
          <w:cols w:space="720" w:num="1"/>
          <w:titlePg/>
          <w:docGrid w:linePitch="312" w:charSpace="0"/>
        </w:sectPr>
      </w:pPr>
    </w:p>
    <w:p w14:paraId="1AE1F74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报价文件部分</w:t>
      </w:r>
    </w:p>
    <w:p w14:paraId="6F1E9477">
      <w:pPr>
        <w:spacing w:before="120" w:beforeLines="50" w:after="120" w:afterLines="50" w:line="360" w:lineRule="auto"/>
        <w:jc w:val="center"/>
        <w:outlineLvl w:val="0"/>
        <w:rPr>
          <w:rFonts w:hint="eastAsia" w:ascii="仿宋" w:hAnsi="仿宋" w:eastAsia="仿宋" w:cs="仿宋"/>
          <w:sz w:val="28"/>
          <w:szCs w:val="28"/>
        </w:rPr>
      </w:pPr>
      <w:r>
        <w:rPr>
          <w:rFonts w:hint="eastAsia" w:ascii="仿宋" w:hAnsi="仿宋" w:eastAsia="仿宋" w:cs="仿宋"/>
          <w:b/>
          <w:sz w:val="32"/>
          <w:szCs w:val="20"/>
        </w:rPr>
        <w:t>目录</w:t>
      </w:r>
    </w:p>
    <w:p w14:paraId="6C3F670F">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1.开标一览表；</w:t>
      </w:r>
    </w:p>
    <w:p w14:paraId="3B9A391D">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2.投标报价明细表；</w:t>
      </w:r>
    </w:p>
    <w:p w14:paraId="213D0155">
      <w:pPr>
        <w:adjustRightInd w:val="0"/>
        <w:snapToGrid w:val="0"/>
        <w:spacing w:line="360" w:lineRule="auto"/>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.政府采购统计基础信息表；</w:t>
      </w:r>
    </w:p>
    <w:p w14:paraId="4BEDF016">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.其他资料（如有）。</w:t>
      </w:r>
    </w:p>
    <w:p w14:paraId="47E4BCDE">
      <w:pPr>
        <w:adjustRightInd w:val="0"/>
        <w:snapToGrid w:val="0"/>
        <w:spacing w:line="360" w:lineRule="auto"/>
        <w:ind w:left="420" w:leftChars="200" w:firstLine="560" w:firstLineChars="200"/>
        <w:rPr>
          <w:rFonts w:hint="eastAsia" w:ascii="仿宋" w:hAnsi="仿宋" w:eastAsia="仿宋" w:cs="仿宋"/>
          <w:sz w:val="28"/>
          <w:szCs w:val="28"/>
        </w:rPr>
      </w:pPr>
    </w:p>
    <w:p w14:paraId="5BA94B03">
      <w:pPr>
        <w:adjustRightInd w:val="0"/>
        <w:snapToGrid w:val="0"/>
        <w:spacing w:line="360" w:lineRule="auto"/>
        <w:ind w:left="420" w:leftChars="200" w:firstLine="560" w:firstLineChars="200"/>
        <w:rPr>
          <w:rFonts w:hint="eastAsia" w:ascii="仿宋" w:hAnsi="仿宋" w:eastAsia="仿宋" w:cs="仿宋"/>
          <w:sz w:val="28"/>
          <w:szCs w:val="28"/>
        </w:rPr>
      </w:pPr>
    </w:p>
    <w:p w14:paraId="46BD0ABD">
      <w:pPr>
        <w:snapToGrid w:val="0"/>
        <w:spacing w:line="360" w:lineRule="auto"/>
        <w:ind w:right="480"/>
        <w:rPr>
          <w:rFonts w:hint="eastAsia" w:ascii="仿宋" w:hAnsi="仿宋" w:eastAsia="仿宋" w:cs="仿宋"/>
          <w:b/>
          <w:kern w:val="0"/>
          <w:sz w:val="32"/>
          <w:szCs w:val="32"/>
        </w:rPr>
      </w:pPr>
    </w:p>
    <w:p w14:paraId="3FC6944E">
      <w:pPr>
        <w:pStyle w:val="4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34D0C259">
      <w:pPr>
        <w:pStyle w:val="41"/>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w:t>
      </w:r>
    </w:p>
    <w:p w14:paraId="764E71DB">
      <w:pPr>
        <w:snapToGrid w:val="0"/>
        <w:spacing w:line="360" w:lineRule="auto"/>
        <w:rPr>
          <w:rFonts w:ascii="仿宋" w:hAnsi="仿宋" w:eastAsia="仿宋" w:cs="仿宋"/>
          <w:kern w:val="0"/>
          <w:sz w:val="24"/>
          <w:u w:val="single"/>
        </w:rPr>
      </w:pPr>
      <w:r>
        <w:rPr>
          <w:rFonts w:hint="eastAsia" w:ascii="仿宋" w:hAnsi="仿宋" w:eastAsia="仿宋" w:cs="仿宋"/>
          <w:sz w:val="24"/>
          <w:lang w:eastAsia="zh-CN"/>
        </w:rPr>
        <w:t xml:space="preserve">象山县城市管理服务中心 </w:t>
      </w:r>
      <w:r>
        <w:rPr>
          <w:rFonts w:hint="eastAsia" w:ascii="仿宋" w:hAnsi="仿宋" w:eastAsia="仿宋" w:cs="仿宋"/>
          <w:sz w:val="24"/>
        </w:rPr>
        <w:t>、</w:t>
      </w:r>
      <w:r>
        <w:rPr>
          <w:rFonts w:hint="eastAsia" w:ascii="仿宋" w:hAnsi="仿宋" w:eastAsia="仿宋" w:cs="仿宋"/>
          <w:sz w:val="24"/>
          <w:lang w:eastAsia="zh-CN"/>
        </w:rPr>
        <w:t>宁波越升质量技术服务有限公司</w:t>
      </w:r>
      <w:r>
        <w:rPr>
          <w:rFonts w:hint="eastAsia" w:ascii="仿宋" w:hAnsi="仿宋" w:eastAsia="仿宋" w:cs="仿宋"/>
          <w:kern w:val="0"/>
          <w:sz w:val="24"/>
          <w:lang w:val="zh-CN"/>
        </w:rPr>
        <w:t>：</w:t>
      </w:r>
    </w:p>
    <w:p w14:paraId="1A0D6330">
      <w:pPr>
        <w:snapToGrid w:val="0"/>
        <w:spacing w:line="360" w:lineRule="auto"/>
        <w:ind w:firstLine="482"/>
        <w:rPr>
          <w:rFonts w:hint="eastAsia" w:ascii="仿宋" w:hAnsi="仿宋" w:eastAsia="仿宋" w:cs="宋体"/>
          <w:spacing w:val="-4"/>
          <w:kern w:val="2"/>
          <w:sz w:val="21"/>
          <w:szCs w:val="21"/>
          <w:lang w:bidi="ar"/>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lang w:eastAsia="zh-CN"/>
        </w:rPr>
        <w:t>象山县中心城区垃圾中转站服务外包项目</w:t>
      </w:r>
      <w:r>
        <w:rPr>
          <w:rFonts w:hint="eastAsia" w:ascii="仿宋" w:hAnsi="仿宋" w:eastAsia="仿宋" w:cs="仿宋"/>
          <w:kern w:val="0"/>
          <w:sz w:val="24"/>
          <w:lang w:val="zh-CN"/>
        </w:rPr>
        <w:t>【招标编号：</w:t>
      </w:r>
      <w:r>
        <w:rPr>
          <w:rFonts w:hint="eastAsia" w:ascii="仿宋" w:hAnsi="仿宋" w:eastAsia="仿宋" w:cs="仿宋"/>
          <w:sz w:val="24"/>
          <w:lang w:eastAsia="zh-CN"/>
        </w:rPr>
        <w:t>NBYS2025023G</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22"/>
        <w:tblW w:w="15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390"/>
        <w:gridCol w:w="5950"/>
        <w:gridCol w:w="5858"/>
      </w:tblGrid>
      <w:tr w14:paraId="2DC4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8" w:type="dxa"/>
            <w:noWrap w:val="0"/>
            <w:vAlign w:val="center"/>
          </w:tcPr>
          <w:p w14:paraId="73410435">
            <w:pPr>
              <w:widowControl w:val="0"/>
              <w:numPr>
                <w:ilvl w:val="0"/>
                <w:numId w:val="0"/>
              </w:numPr>
              <w:snapToGrid w:val="0"/>
              <w:spacing w:afterLines="0" w:line="400" w:lineRule="exact"/>
              <w:jc w:val="center"/>
              <w:rPr>
                <w:rFonts w:hint="eastAsia" w:ascii="仿宋" w:hAnsi="仿宋" w:eastAsia="仿宋" w:cs="Times New Roman"/>
                <w:b/>
                <w:kern w:val="0"/>
                <w:sz w:val="21"/>
                <w:szCs w:val="21"/>
                <w:highlight w:val="none"/>
                <w:lang w:val="en-US" w:eastAsia="zh-CN" w:bidi="ar-SA"/>
              </w:rPr>
            </w:pPr>
            <w:r>
              <w:rPr>
                <w:rFonts w:hint="eastAsia" w:ascii="仿宋" w:hAnsi="仿宋" w:eastAsia="仿宋" w:cs="Times New Roman"/>
                <w:b/>
                <w:kern w:val="0"/>
                <w:sz w:val="21"/>
                <w:szCs w:val="21"/>
                <w:highlight w:val="none"/>
                <w:lang w:val="en-US" w:eastAsia="zh-CN" w:bidi="ar-SA"/>
              </w:rPr>
              <w:t>序号</w:t>
            </w:r>
          </w:p>
        </w:tc>
        <w:tc>
          <w:tcPr>
            <w:tcW w:w="2390" w:type="dxa"/>
            <w:noWrap w:val="0"/>
            <w:vAlign w:val="center"/>
          </w:tcPr>
          <w:p w14:paraId="29D76CBA">
            <w:pPr>
              <w:widowControl w:val="0"/>
              <w:numPr>
                <w:ilvl w:val="0"/>
                <w:numId w:val="0"/>
              </w:numPr>
              <w:snapToGrid w:val="0"/>
              <w:spacing w:afterLines="0" w:line="400" w:lineRule="exact"/>
              <w:jc w:val="center"/>
              <w:rPr>
                <w:rFonts w:hint="eastAsia" w:ascii="仿宋" w:hAnsi="仿宋" w:eastAsia="仿宋" w:cs="Times New Roman"/>
                <w:b/>
                <w:kern w:val="0"/>
                <w:sz w:val="21"/>
                <w:szCs w:val="21"/>
                <w:highlight w:val="none"/>
                <w:lang w:val="en-US" w:eastAsia="zh-CN" w:bidi="ar-SA"/>
              </w:rPr>
            </w:pPr>
            <w:r>
              <w:rPr>
                <w:rFonts w:hint="eastAsia" w:ascii="仿宋" w:hAnsi="仿宋" w:eastAsia="仿宋" w:cs="Times New Roman"/>
                <w:b/>
                <w:kern w:val="0"/>
                <w:sz w:val="21"/>
                <w:szCs w:val="21"/>
                <w:highlight w:val="none"/>
                <w:lang w:val="en-US" w:eastAsia="zh-CN" w:bidi="ar-SA"/>
              </w:rPr>
              <w:t>名称</w:t>
            </w:r>
          </w:p>
        </w:tc>
        <w:tc>
          <w:tcPr>
            <w:tcW w:w="5950" w:type="dxa"/>
            <w:noWrap w:val="0"/>
            <w:vAlign w:val="center"/>
          </w:tcPr>
          <w:p w14:paraId="71CDF079">
            <w:pPr>
              <w:widowControl w:val="0"/>
              <w:numPr>
                <w:ilvl w:val="0"/>
                <w:numId w:val="0"/>
              </w:numPr>
              <w:snapToGrid w:val="0"/>
              <w:spacing w:afterLines="0" w:line="400" w:lineRule="exact"/>
              <w:jc w:val="center"/>
              <w:rPr>
                <w:rFonts w:hint="eastAsia" w:ascii="仿宋" w:hAnsi="仿宋" w:eastAsia="仿宋" w:cs="Times New Roman"/>
                <w:b/>
                <w:kern w:val="0"/>
                <w:sz w:val="21"/>
                <w:szCs w:val="21"/>
                <w:highlight w:val="none"/>
                <w:lang w:val="en-US" w:eastAsia="zh-CN" w:bidi="ar-SA"/>
              </w:rPr>
            </w:pPr>
            <w:r>
              <w:rPr>
                <w:rFonts w:hint="eastAsia" w:ascii="仿宋" w:hAnsi="仿宋" w:eastAsia="仿宋" w:cs="Times New Roman"/>
                <w:b/>
                <w:kern w:val="0"/>
                <w:sz w:val="21"/>
                <w:szCs w:val="21"/>
                <w:highlight w:val="none"/>
                <w:lang w:val="en-US" w:eastAsia="zh-CN" w:bidi="ar-SA"/>
              </w:rPr>
              <w:t>规格型号（或具体服务）</w:t>
            </w:r>
          </w:p>
        </w:tc>
        <w:tc>
          <w:tcPr>
            <w:tcW w:w="5858" w:type="dxa"/>
            <w:noWrap w:val="0"/>
            <w:vAlign w:val="center"/>
          </w:tcPr>
          <w:p w14:paraId="0420E962">
            <w:pPr>
              <w:widowControl w:val="0"/>
              <w:numPr>
                <w:ilvl w:val="0"/>
                <w:numId w:val="0"/>
              </w:numPr>
              <w:snapToGrid w:val="0"/>
              <w:spacing w:afterLines="0" w:line="400" w:lineRule="exact"/>
              <w:jc w:val="center"/>
              <w:rPr>
                <w:rFonts w:hint="eastAsia" w:ascii="仿宋" w:hAnsi="仿宋" w:eastAsia="仿宋" w:cs="Times New Roman"/>
                <w:b/>
                <w:kern w:val="0"/>
                <w:sz w:val="21"/>
                <w:szCs w:val="21"/>
                <w:highlight w:val="none"/>
                <w:lang w:val="en-US" w:eastAsia="zh-CN" w:bidi="ar-SA"/>
              </w:rPr>
            </w:pPr>
            <w:r>
              <w:rPr>
                <w:rFonts w:hint="eastAsia" w:ascii="仿宋" w:hAnsi="仿宋" w:eastAsia="仿宋" w:cs="Times New Roman"/>
                <w:b/>
                <w:kern w:val="0"/>
                <w:sz w:val="21"/>
                <w:szCs w:val="21"/>
                <w:highlight w:val="none"/>
                <w:lang w:val="en-US" w:eastAsia="zh-CN" w:bidi="ar-SA"/>
              </w:rPr>
              <w:t>投标报价（元）</w:t>
            </w:r>
          </w:p>
        </w:tc>
      </w:tr>
      <w:tr w14:paraId="3B32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8" w:type="dxa"/>
            <w:noWrap w:val="0"/>
            <w:vAlign w:val="center"/>
          </w:tcPr>
          <w:p w14:paraId="7097DDE2">
            <w:pPr>
              <w:widowControl w:val="0"/>
              <w:numPr>
                <w:ilvl w:val="0"/>
                <w:numId w:val="0"/>
              </w:numPr>
              <w:snapToGrid w:val="0"/>
              <w:spacing w:afterLines="0" w:line="400" w:lineRule="exact"/>
              <w:jc w:val="center"/>
              <w:rPr>
                <w:rFonts w:hint="eastAsia" w:ascii="仿宋" w:hAnsi="仿宋" w:eastAsia="仿宋" w:cs="Times New Roman"/>
                <w:kern w:val="0"/>
                <w:sz w:val="21"/>
                <w:szCs w:val="21"/>
                <w:highlight w:val="none"/>
                <w:lang w:val="en-US" w:eastAsia="zh-CN" w:bidi="ar-SA"/>
              </w:rPr>
            </w:pPr>
            <w:r>
              <w:rPr>
                <w:rFonts w:hint="eastAsia" w:ascii="仿宋" w:hAnsi="仿宋" w:eastAsia="仿宋" w:cs="Times New Roman"/>
                <w:kern w:val="0"/>
                <w:sz w:val="21"/>
                <w:szCs w:val="21"/>
                <w:highlight w:val="none"/>
                <w:lang w:val="en-US" w:eastAsia="zh-CN" w:bidi="ar-SA"/>
              </w:rPr>
              <w:t>1</w:t>
            </w:r>
          </w:p>
        </w:tc>
        <w:tc>
          <w:tcPr>
            <w:tcW w:w="2390" w:type="dxa"/>
            <w:noWrap w:val="0"/>
            <w:vAlign w:val="center"/>
          </w:tcPr>
          <w:p w14:paraId="1E1E0F2F">
            <w:pPr>
              <w:widowControl w:val="0"/>
              <w:numPr>
                <w:ilvl w:val="0"/>
                <w:numId w:val="0"/>
              </w:numPr>
              <w:snapToGrid w:val="0"/>
              <w:spacing w:afterLines="0" w:line="400" w:lineRule="exact"/>
              <w:jc w:val="center"/>
              <w:rPr>
                <w:rFonts w:hint="eastAsia" w:ascii="仿宋" w:hAnsi="仿宋" w:eastAsia="仿宋" w:cs="Times New Roman"/>
                <w:kern w:val="0"/>
                <w:sz w:val="21"/>
                <w:szCs w:val="21"/>
                <w:highlight w:val="none"/>
                <w:lang w:val="en-US" w:eastAsia="zh-CN" w:bidi="ar-SA"/>
              </w:rPr>
            </w:pPr>
            <w:r>
              <w:rPr>
                <w:rFonts w:hint="eastAsia" w:ascii="仿宋" w:hAnsi="仿宋" w:eastAsia="仿宋" w:cs="仿宋"/>
                <w:sz w:val="21"/>
                <w:szCs w:val="21"/>
                <w:lang w:eastAsia="zh-CN"/>
              </w:rPr>
              <w:t>垃圾中转站服务外包</w:t>
            </w:r>
          </w:p>
        </w:tc>
        <w:tc>
          <w:tcPr>
            <w:tcW w:w="5950" w:type="dxa"/>
            <w:noWrap w:val="0"/>
            <w:vAlign w:val="center"/>
          </w:tcPr>
          <w:p w14:paraId="64935474">
            <w:pPr>
              <w:widowControl w:val="0"/>
              <w:numPr>
                <w:ilvl w:val="0"/>
                <w:numId w:val="0"/>
              </w:numPr>
              <w:snapToGrid w:val="0"/>
              <w:spacing w:afterLines="0" w:line="40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1、生活垃圾压缩处理、中转站除臭控臭、站内设备设施安全操作及资产保管、站内环境卫生及绿化的日常保洁、维护等工作。</w:t>
            </w:r>
          </w:p>
          <w:p w14:paraId="3C1B7548">
            <w:pPr>
              <w:widowControl w:val="0"/>
              <w:numPr>
                <w:ilvl w:val="0"/>
                <w:numId w:val="0"/>
              </w:numPr>
              <w:snapToGrid w:val="0"/>
              <w:spacing w:afterLines="0" w:line="400" w:lineRule="exact"/>
              <w:jc w:val="left"/>
              <w:rPr>
                <w:rFonts w:hint="default"/>
                <w:lang w:val="en-US" w:eastAsia="zh-CN"/>
              </w:rPr>
            </w:pPr>
            <w:r>
              <w:rPr>
                <w:rFonts w:hint="eastAsia" w:ascii="仿宋" w:hAnsi="仿宋" w:eastAsia="仿宋" w:cs="仿宋"/>
                <w:sz w:val="21"/>
                <w:szCs w:val="21"/>
                <w:lang w:val="en-US" w:eastAsia="zh-CN"/>
              </w:rPr>
              <w:t>2、中转站设备设施维修。</w:t>
            </w:r>
          </w:p>
        </w:tc>
        <w:tc>
          <w:tcPr>
            <w:tcW w:w="5858" w:type="dxa"/>
            <w:noWrap w:val="0"/>
            <w:vAlign w:val="center"/>
          </w:tcPr>
          <w:p w14:paraId="0E27CB65">
            <w:pPr>
              <w:widowControl w:val="0"/>
              <w:numPr>
                <w:ilvl w:val="0"/>
                <w:numId w:val="0"/>
              </w:numPr>
              <w:snapToGrid w:val="0"/>
              <w:spacing w:afterLines="0" w:line="400" w:lineRule="exact"/>
              <w:jc w:val="center"/>
              <w:rPr>
                <w:rFonts w:hint="eastAsia" w:ascii="仿宋" w:hAnsi="仿宋" w:eastAsia="仿宋" w:cs="Times New Roman"/>
                <w:kern w:val="0"/>
                <w:sz w:val="21"/>
                <w:szCs w:val="21"/>
                <w:highlight w:val="none"/>
                <w:lang w:val="en-US" w:eastAsia="zh-CN" w:bidi="ar-SA"/>
              </w:rPr>
            </w:pPr>
            <w:r>
              <w:rPr>
                <w:rFonts w:hint="eastAsia" w:ascii="仿宋" w:hAnsi="仿宋" w:eastAsia="仿宋" w:cs="Times New Roman"/>
                <w:kern w:val="0"/>
                <w:sz w:val="21"/>
                <w:szCs w:val="21"/>
                <w:highlight w:val="none"/>
                <w:u w:val="single"/>
                <w:lang w:val="en-US" w:eastAsia="zh-CN" w:bidi="ar-SA"/>
              </w:rPr>
              <w:t xml:space="preserve">              </w:t>
            </w:r>
            <w:r>
              <w:rPr>
                <w:rFonts w:hint="eastAsia" w:ascii="仿宋" w:hAnsi="仿宋" w:eastAsia="仿宋" w:cs="Times New Roman"/>
                <w:kern w:val="0"/>
                <w:sz w:val="21"/>
                <w:szCs w:val="21"/>
                <w:highlight w:val="none"/>
                <w:lang w:val="en-US" w:eastAsia="zh-CN" w:bidi="ar-SA"/>
              </w:rPr>
              <w:t>元/年</w:t>
            </w:r>
          </w:p>
        </w:tc>
      </w:tr>
      <w:tr w14:paraId="0A1C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8" w:type="dxa"/>
            <w:gridSpan w:val="3"/>
            <w:noWrap w:val="0"/>
            <w:vAlign w:val="center"/>
          </w:tcPr>
          <w:p w14:paraId="159F7AFA">
            <w:pPr>
              <w:widowControl w:val="0"/>
              <w:numPr>
                <w:ilvl w:val="0"/>
                <w:numId w:val="0"/>
              </w:numPr>
              <w:snapToGrid w:val="0"/>
              <w:spacing w:afterLines="0" w:line="400" w:lineRule="exact"/>
              <w:jc w:val="center"/>
              <w:rPr>
                <w:rFonts w:hint="eastAsia" w:ascii="仿宋" w:hAnsi="仿宋" w:eastAsia="仿宋" w:cs="Times New Roman"/>
                <w:b/>
                <w:kern w:val="0"/>
                <w:sz w:val="21"/>
                <w:szCs w:val="21"/>
                <w:highlight w:val="none"/>
                <w:lang w:val="en-US" w:eastAsia="zh-CN" w:bidi="ar-SA"/>
              </w:rPr>
            </w:pPr>
            <w:r>
              <w:rPr>
                <w:rFonts w:hint="eastAsia" w:ascii="仿宋" w:hAnsi="仿宋" w:eastAsia="仿宋" w:cs="Times New Roman"/>
                <w:b/>
                <w:kern w:val="0"/>
                <w:sz w:val="21"/>
                <w:szCs w:val="21"/>
                <w:highlight w:val="none"/>
                <w:lang w:val="en-US" w:eastAsia="zh-CN" w:bidi="ar-SA"/>
              </w:rPr>
              <w:t>3年投标报价（小写）</w:t>
            </w:r>
          </w:p>
        </w:tc>
        <w:tc>
          <w:tcPr>
            <w:tcW w:w="5858" w:type="dxa"/>
            <w:noWrap w:val="0"/>
            <w:vAlign w:val="center"/>
          </w:tcPr>
          <w:p w14:paraId="4ED50EE6">
            <w:pPr>
              <w:widowControl w:val="0"/>
              <w:numPr>
                <w:ilvl w:val="0"/>
                <w:numId w:val="0"/>
              </w:numPr>
              <w:snapToGrid w:val="0"/>
              <w:spacing w:afterLines="0" w:line="400" w:lineRule="exact"/>
              <w:jc w:val="center"/>
              <w:rPr>
                <w:rFonts w:hint="eastAsia" w:ascii="仿宋" w:hAnsi="仿宋" w:eastAsia="仿宋" w:cs="Times New Roman"/>
                <w:kern w:val="0"/>
                <w:sz w:val="21"/>
                <w:szCs w:val="21"/>
                <w:highlight w:val="none"/>
                <w:lang w:val="en-US" w:eastAsia="zh-CN" w:bidi="ar-SA"/>
              </w:rPr>
            </w:pPr>
          </w:p>
        </w:tc>
      </w:tr>
      <w:tr w14:paraId="33DD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8" w:type="dxa"/>
            <w:gridSpan w:val="3"/>
            <w:noWrap w:val="0"/>
            <w:vAlign w:val="center"/>
          </w:tcPr>
          <w:p w14:paraId="0B82B057">
            <w:pPr>
              <w:widowControl w:val="0"/>
              <w:numPr>
                <w:ilvl w:val="0"/>
                <w:numId w:val="0"/>
              </w:numPr>
              <w:snapToGrid w:val="0"/>
              <w:spacing w:afterLines="0" w:line="400" w:lineRule="exact"/>
              <w:jc w:val="center"/>
              <w:rPr>
                <w:rFonts w:hint="eastAsia" w:ascii="仿宋" w:hAnsi="仿宋" w:eastAsia="仿宋" w:cs="Times New Roman"/>
                <w:b/>
                <w:kern w:val="0"/>
                <w:sz w:val="21"/>
                <w:szCs w:val="21"/>
                <w:highlight w:val="none"/>
                <w:lang w:val="en-US" w:eastAsia="zh-CN" w:bidi="ar-SA"/>
              </w:rPr>
            </w:pPr>
            <w:r>
              <w:rPr>
                <w:rFonts w:hint="eastAsia" w:ascii="仿宋" w:hAnsi="仿宋" w:eastAsia="仿宋" w:cs="Times New Roman"/>
                <w:b/>
                <w:kern w:val="0"/>
                <w:sz w:val="21"/>
                <w:szCs w:val="21"/>
                <w:highlight w:val="none"/>
                <w:lang w:val="en-US" w:eastAsia="zh-CN" w:bidi="ar-SA"/>
              </w:rPr>
              <w:t>3年投标报价（大写）</w:t>
            </w:r>
          </w:p>
        </w:tc>
        <w:tc>
          <w:tcPr>
            <w:tcW w:w="5858" w:type="dxa"/>
            <w:noWrap w:val="0"/>
            <w:vAlign w:val="center"/>
          </w:tcPr>
          <w:p w14:paraId="0A3CACCE">
            <w:pPr>
              <w:widowControl w:val="0"/>
              <w:numPr>
                <w:ilvl w:val="0"/>
                <w:numId w:val="0"/>
              </w:numPr>
              <w:snapToGrid w:val="0"/>
              <w:spacing w:afterLines="0" w:line="400" w:lineRule="exact"/>
              <w:jc w:val="center"/>
              <w:rPr>
                <w:rFonts w:hint="eastAsia" w:ascii="仿宋" w:hAnsi="仿宋" w:eastAsia="仿宋" w:cs="Times New Roman"/>
                <w:kern w:val="0"/>
                <w:sz w:val="21"/>
                <w:szCs w:val="21"/>
                <w:highlight w:val="none"/>
                <w:lang w:val="en-US" w:eastAsia="zh-CN" w:bidi="ar-SA"/>
              </w:rPr>
            </w:pPr>
          </w:p>
        </w:tc>
      </w:tr>
      <w:tr w14:paraId="4FD2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8" w:type="dxa"/>
            <w:gridSpan w:val="3"/>
            <w:noWrap w:val="0"/>
            <w:vAlign w:val="center"/>
          </w:tcPr>
          <w:p w14:paraId="665CA468">
            <w:pPr>
              <w:widowControl w:val="0"/>
              <w:numPr>
                <w:ilvl w:val="0"/>
                <w:numId w:val="0"/>
              </w:numPr>
              <w:snapToGrid w:val="0"/>
              <w:spacing w:afterLines="0" w:line="400" w:lineRule="exact"/>
              <w:jc w:val="center"/>
              <w:rPr>
                <w:rFonts w:ascii="仿宋" w:hAnsi="仿宋" w:eastAsia="仿宋" w:cs="Times New Roman"/>
                <w:b/>
                <w:kern w:val="0"/>
                <w:sz w:val="21"/>
                <w:szCs w:val="21"/>
                <w:highlight w:val="none"/>
                <w:lang w:val="en-US" w:eastAsia="zh-CN" w:bidi="ar-SA"/>
              </w:rPr>
            </w:pPr>
            <w:r>
              <w:rPr>
                <w:rFonts w:hint="eastAsia" w:ascii="仿宋" w:hAnsi="仿宋" w:eastAsia="仿宋" w:cs="Times New Roman"/>
                <w:b/>
                <w:kern w:val="0"/>
                <w:sz w:val="21"/>
                <w:szCs w:val="21"/>
                <w:highlight w:val="none"/>
                <w:lang w:val="en-US" w:eastAsia="zh-CN" w:bidi="ar-SA"/>
              </w:rPr>
              <w:t>合同履行期限</w:t>
            </w:r>
          </w:p>
        </w:tc>
        <w:tc>
          <w:tcPr>
            <w:tcW w:w="5858" w:type="dxa"/>
            <w:noWrap w:val="0"/>
            <w:vAlign w:val="center"/>
          </w:tcPr>
          <w:p w14:paraId="62916A7E">
            <w:pPr>
              <w:widowControl w:val="0"/>
              <w:numPr>
                <w:ilvl w:val="0"/>
                <w:numId w:val="0"/>
              </w:numPr>
              <w:snapToGrid w:val="0"/>
              <w:spacing w:afterLines="0" w:line="400" w:lineRule="exact"/>
              <w:jc w:val="center"/>
              <w:rPr>
                <w:rFonts w:hint="eastAsia" w:ascii="仿宋" w:hAnsi="仿宋" w:eastAsia="仿宋" w:cs="Times New Roman"/>
                <w:kern w:val="0"/>
                <w:sz w:val="21"/>
                <w:szCs w:val="21"/>
                <w:highlight w:val="none"/>
                <w:lang w:val="en-US" w:eastAsia="zh-CN" w:bidi="ar-SA"/>
              </w:rPr>
            </w:pPr>
            <w:r>
              <w:rPr>
                <w:rFonts w:hint="eastAsia" w:ascii="仿宋" w:hAnsi="仿宋" w:eastAsia="仿宋" w:cs="Times New Roman"/>
                <w:kern w:val="0"/>
                <w:sz w:val="21"/>
                <w:szCs w:val="21"/>
                <w:highlight w:val="none"/>
                <w:lang w:val="en-US" w:eastAsia="zh-CN" w:bidi="ar-SA"/>
              </w:rPr>
              <w:t>三年，合同一年一签。第一阶段：自合同签订之日起1年；后两阶段：采购人根据中标人在上一阶段合同履约及考核情况决定是否续签。</w:t>
            </w:r>
          </w:p>
        </w:tc>
      </w:tr>
      <w:tr w14:paraId="6197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158" w:type="dxa"/>
            <w:gridSpan w:val="3"/>
            <w:noWrap w:val="0"/>
            <w:vAlign w:val="center"/>
          </w:tcPr>
          <w:p w14:paraId="7EF415C4">
            <w:pPr>
              <w:widowControl w:val="0"/>
              <w:numPr>
                <w:ilvl w:val="0"/>
                <w:numId w:val="0"/>
              </w:numPr>
              <w:snapToGrid w:val="0"/>
              <w:spacing w:afterLines="0" w:line="400" w:lineRule="exact"/>
              <w:jc w:val="center"/>
              <w:rPr>
                <w:rFonts w:ascii="仿宋" w:hAnsi="仿宋" w:eastAsia="仿宋" w:cs="Times New Roman"/>
                <w:b/>
                <w:kern w:val="0"/>
                <w:sz w:val="21"/>
                <w:szCs w:val="21"/>
                <w:highlight w:val="none"/>
                <w:lang w:val="en-US" w:eastAsia="zh-CN" w:bidi="ar-SA"/>
              </w:rPr>
            </w:pPr>
            <w:r>
              <w:rPr>
                <w:rFonts w:hint="eastAsia" w:ascii="仿宋" w:hAnsi="仿宋" w:eastAsia="仿宋" w:cs="Times New Roman"/>
                <w:b/>
                <w:kern w:val="0"/>
                <w:sz w:val="21"/>
                <w:szCs w:val="21"/>
                <w:highlight w:val="none"/>
                <w:lang w:val="en-US" w:eastAsia="zh-CN" w:bidi="ar-SA"/>
              </w:rPr>
              <w:t>投标声明</w:t>
            </w:r>
          </w:p>
        </w:tc>
        <w:tc>
          <w:tcPr>
            <w:tcW w:w="5858" w:type="dxa"/>
            <w:noWrap w:val="0"/>
            <w:vAlign w:val="center"/>
          </w:tcPr>
          <w:p w14:paraId="4C9EAFEC">
            <w:pPr>
              <w:widowControl w:val="0"/>
              <w:numPr>
                <w:ilvl w:val="0"/>
                <w:numId w:val="0"/>
              </w:numPr>
              <w:snapToGrid w:val="0"/>
              <w:spacing w:afterLines="0" w:line="400" w:lineRule="exact"/>
              <w:jc w:val="center"/>
              <w:rPr>
                <w:rFonts w:hint="eastAsia" w:ascii="仿宋" w:hAnsi="仿宋" w:eastAsia="仿宋" w:cs="Times New Roman"/>
                <w:kern w:val="0"/>
                <w:sz w:val="21"/>
                <w:szCs w:val="21"/>
                <w:highlight w:val="none"/>
                <w:lang w:val="en-US" w:eastAsia="zh-CN" w:bidi="ar-SA"/>
              </w:rPr>
            </w:pPr>
          </w:p>
        </w:tc>
      </w:tr>
    </w:tbl>
    <w:p w14:paraId="446396B9">
      <w:pPr>
        <w:pStyle w:val="19"/>
        <w:widowControl w:val="0"/>
        <w:spacing w:before="0" w:beforeAutospacing="0" w:after="0" w:afterAutospacing="0" w:line="360" w:lineRule="auto"/>
        <w:ind w:left="-178" w:leftChars="-85" w:firstLine="301"/>
        <w:jc w:val="both"/>
        <w:rPr>
          <w:rFonts w:hint="eastAsia" w:ascii="仿宋" w:hAnsi="仿宋" w:eastAsia="仿宋" w:cs="宋体"/>
          <w:spacing w:val="-4"/>
          <w:kern w:val="2"/>
          <w:sz w:val="21"/>
          <w:szCs w:val="21"/>
          <w:highlight w:val="none"/>
          <w:lang w:bidi="ar"/>
        </w:rPr>
      </w:pPr>
      <w:r>
        <w:rPr>
          <w:rFonts w:hint="eastAsia" w:ascii="仿宋" w:hAnsi="仿宋" w:eastAsia="仿宋" w:cs="宋体"/>
          <w:spacing w:val="-4"/>
          <w:kern w:val="2"/>
          <w:sz w:val="21"/>
          <w:szCs w:val="21"/>
          <w:highlight w:val="none"/>
          <w:lang w:bidi="ar"/>
        </w:rPr>
        <w:t>注：1、投标人需按本表格式填写，不得自行更改。</w:t>
      </w:r>
    </w:p>
    <w:p w14:paraId="4624CAE2">
      <w:pPr>
        <w:pStyle w:val="19"/>
        <w:widowControl w:val="0"/>
        <w:spacing w:before="0" w:beforeAutospacing="0" w:after="0" w:afterAutospacing="0" w:line="360" w:lineRule="auto"/>
        <w:ind w:left="-178" w:leftChars="-85" w:firstLine="301"/>
        <w:jc w:val="both"/>
        <w:rPr>
          <w:rFonts w:hint="eastAsia" w:ascii="仿宋" w:hAnsi="仿宋" w:eastAsia="仿宋" w:cs="宋体"/>
          <w:spacing w:val="-4"/>
          <w:kern w:val="2"/>
          <w:sz w:val="21"/>
          <w:szCs w:val="21"/>
          <w:highlight w:val="none"/>
          <w:lang w:val="en-US" w:eastAsia="zh-CN" w:bidi="ar"/>
        </w:rPr>
      </w:pPr>
      <w:r>
        <w:rPr>
          <w:rFonts w:hint="eastAsia" w:ascii="仿宋" w:hAnsi="仿宋" w:eastAsia="仿宋" w:cs="宋体"/>
          <w:spacing w:val="-4"/>
          <w:kern w:val="2"/>
          <w:sz w:val="21"/>
          <w:szCs w:val="21"/>
          <w:highlight w:val="none"/>
          <w:lang w:val="en-US" w:eastAsia="zh-CN" w:bidi="ar"/>
        </w:rPr>
        <w:t>2、</w:t>
      </w:r>
      <w:r>
        <w:rPr>
          <w:rFonts w:hint="eastAsia" w:ascii="仿宋" w:hAnsi="仿宋" w:eastAsia="仿宋" w:cs="宋体"/>
          <w:spacing w:val="-4"/>
          <w:kern w:val="2"/>
          <w:sz w:val="21"/>
          <w:szCs w:val="21"/>
          <w:highlight w:val="none"/>
          <w:lang w:bidi="ar"/>
        </w:rPr>
        <w:t>单年投标报价应与</w:t>
      </w:r>
      <w:r>
        <w:rPr>
          <w:rFonts w:hint="eastAsia" w:ascii="仿宋" w:hAnsi="仿宋" w:eastAsia="仿宋" w:cs="宋体"/>
          <w:spacing w:val="-4"/>
          <w:kern w:val="2"/>
          <w:sz w:val="21"/>
          <w:szCs w:val="21"/>
          <w:highlight w:val="none"/>
          <w:lang w:val="en-US" w:eastAsia="zh-CN" w:bidi="ar"/>
        </w:rPr>
        <w:t>投标报价明细表</w:t>
      </w:r>
      <w:r>
        <w:rPr>
          <w:rFonts w:hint="eastAsia" w:ascii="仿宋" w:hAnsi="仿宋" w:eastAsia="仿宋" w:cs="宋体"/>
          <w:spacing w:val="-4"/>
          <w:kern w:val="2"/>
          <w:sz w:val="21"/>
          <w:szCs w:val="21"/>
          <w:highlight w:val="none"/>
          <w:lang w:bidi="ar"/>
        </w:rPr>
        <w:t>的年投标报价一致。</w:t>
      </w:r>
    </w:p>
    <w:p w14:paraId="5665F095">
      <w:pPr>
        <w:pStyle w:val="19"/>
        <w:widowControl w:val="0"/>
        <w:spacing w:before="0" w:beforeAutospacing="0" w:after="0" w:afterAutospacing="0" w:line="360" w:lineRule="auto"/>
        <w:ind w:left="-178" w:leftChars="-85" w:firstLine="301"/>
        <w:jc w:val="both"/>
        <w:rPr>
          <w:rFonts w:hint="eastAsia" w:ascii="仿宋" w:hAnsi="仿宋" w:eastAsia="仿宋" w:cs="宋体"/>
          <w:spacing w:val="-4"/>
          <w:kern w:val="2"/>
          <w:sz w:val="21"/>
          <w:szCs w:val="21"/>
          <w:lang w:bidi="ar"/>
        </w:rPr>
      </w:pPr>
    </w:p>
    <w:p w14:paraId="479B23AF">
      <w:pPr>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30E42B2E">
      <w:pPr>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投标人（盖章）：</w:t>
      </w:r>
    </w:p>
    <w:p w14:paraId="2A4D3BAC">
      <w:pPr>
        <w:adjustRightInd w:val="0"/>
        <w:spacing w:line="360" w:lineRule="auto"/>
        <w:ind w:firstLine="480" w:firstLineChars="200"/>
        <w:jc w:val="left"/>
        <w:rPr>
          <w:rFonts w:hint="eastAsia" w:ascii="仿宋" w:hAnsi="仿宋" w:eastAsia="仿宋" w:cs="宋体"/>
          <w:b/>
          <w:bCs/>
        </w:rPr>
      </w:pPr>
      <w:r>
        <w:rPr>
          <w:rFonts w:hint="eastAsia" w:ascii="仿宋" w:hAnsi="仿宋" w:eastAsia="仿宋" w:cs="仿宋"/>
          <w:sz w:val="24"/>
        </w:rPr>
        <w:t>日期：</w:t>
      </w:r>
    </w:p>
    <w:p w14:paraId="367CCDB0">
      <w:pPr>
        <w:spacing w:line="360" w:lineRule="auto"/>
        <w:jc w:val="left"/>
        <w:rPr>
          <w:rFonts w:hint="eastAsia"/>
        </w:rPr>
        <w:sectPr>
          <w:pgSz w:w="16838" w:h="11906" w:orient="landscape"/>
          <w:pgMar w:top="997" w:right="1247" w:bottom="1417" w:left="1276" w:header="851" w:footer="992" w:gutter="0"/>
          <w:pgNumType w:fmt="decimal"/>
          <w:cols w:space="720" w:num="1"/>
          <w:titlePg/>
          <w:rtlGutter w:val="0"/>
          <w:docGrid w:linePitch="312" w:charSpace="0"/>
        </w:sectPr>
      </w:pPr>
    </w:p>
    <w:p w14:paraId="107C40EE">
      <w:pPr>
        <w:rPr>
          <w:rFonts w:hint="eastAsia" w:ascii="仿宋" w:hAnsi="仿宋" w:eastAsia="仿宋" w:cs="仿宋"/>
          <w:sz w:val="32"/>
          <w:szCs w:val="32"/>
        </w:rPr>
      </w:pPr>
      <w:r>
        <w:rPr>
          <w:rFonts w:hint="eastAsia" w:ascii="仿宋" w:hAnsi="仿宋" w:eastAsia="仿宋" w:cs="仿宋"/>
          <w:sz w:val="32"/>
          <w:szCs w:val="32"/>
        </w:rPr>
        <w:t xml:space="preserve">二、投标报价明细表（经费测算表）格式  </w:t>
      </w:r>
    </w:p>
    <w:p w14:paraId="0C9C111C">
      <w:pPr>
        <w:spacing w:line="500" w:lineRule="exact"/>
        <w:ind w:firstLine="472"/>
        <w:jc w:val="left"/>
        <w:rPr>
          <w:rFonts w:hint="eastAsia" w:ascii="仿宋" w:hAnsi="仿宋" w:eastAsia="仿宋" w:cs="仿宋"/>
          <w:bCs/>
          <w:szCs w:val="21"/>
          <w:lang w:val="zh-CN"/>
        </w:rPr>
      </w:pPr>
    </w:p>
    <w:p w14:paraId="6B1D067E">
      <w:pPr>
        <w:spacing w:line="500" w:lineRule="exact"/>
        <w:ind w:firstLine="472"/>
        <w:jc w:val="center"/>
        <w:rPr>
          <w:rFonts w:hint="eastAsia" w:ascii="仿宋" w:hAnsi="仿宋" w:eastAsia="仿宋" w:cs="仿宋"/>
          <w:bCs/>
          <w:szCs w:val="21"/>
          <w:lang w:val="zh-CN"/>
        </w:rPr>
      </w:pPr>
      <w:r>
        <w:rPr>
          <w:rFonts w:hint="eastAsia" w:ascii="仿宋" w:hAnsi="仿宋" w:eastAsia="仿宋" w:cs="仿宋"/>
          <w:b/>
          <w:sz w:val="28"/>
          <w:szCs w:val="28"/>
          <w:lang w:val="en-US" w:eastAsia="zh-CN"/>
        </w:rPr>
        <w:t>1、投标报价明细</w:t>
      </w:r>
      <w:r>
        <w:rPr>
          <w:rFonts w:hint="eastAsia" w:ascii="仿宋" w:hAnsi="仿宋" w:eastAsia="仿宋" w:cs="仿宋"/>
          <w:b/>
          <w:sz w:val="28"/>
          <w:szCs w:val="28"/>
        </w:rPr>
        <w:t>表</w:t>
      </w:r>
    </w:p>
    <w:p w14:paraId="7E4666FB">
      <w:pPr>
        <w:spacing w:line="500" w:lineRule="exact"/>
        <w:ind w:firstLine="472"/>
        <w:jc w:val="left"/>
        <w:rPr>
          <w:rFonts w:hint="eastAsia" w:ascii="仿宋" w:hAnsi="仿宋" w:eastAsia="仿宋" w:cs="仿宋"/>
          <w:bCs/>
          <w:szCs w:val="21"/>
          <w:lang w:val="zh-CN"/>
        </w:rPr>
      </w:pPr>
      <w:r>
        <w:rPr>
          <w:rFonts w:hint="eastAsia" w:ascii="仿宋" w:hAnsi="仿宋" w:eastAsia="仿宋" w:cs="仿宋"/>
          <w:bCs/>
          <w:szCs w:val="21"/>
          <w:lang w:val="zh-CN"/>
        </w:rPr>
        <w:t>项目名称：</w:t>
      </w:r>
      <w:r>
        <w:rPr>
          <w:rFonts w:hint="eastAsia" w:ascii="仿宋" w:hAnsi="仿宋" w:eastAsia="仿宋" w:cs="仿宋"/>
          <w:bCs/>
          <w:szCs w:val="21"/>
          <w:u w:val="single"/>
          <w:lang w:val="zh-CN"/>
        </w:rPr>
        <w:t xml:space="preserve">                           </w:t>
      </w:r>
    </w:p>
    <w:p w14:paraId="781952FB">
      <w:pPr>
        <w:spacing w:line="500" w:lineRule="exact"/>
        <w:ind w:firstLine="472"/>
        <w:jc w:val="left"/>
        <w:rPr>
          <w:rFonts w:hint="eastAsia" w:ascii="仿宋" w:hAnsi="仿宋" w:eastAsia="仿宋" w:cs="仿宋"/>
          <w:b/>
          <w:sz w:val="28"/>
          <w:szCs w:val="28"/>
        </w:rPr>
      </w:pPr>
      <w:r>
        <w:rPr>
          <w:rFonts w:hint="eastAsia" w:ascii="仿宋" w:hAnsi="仿宋" w:eastAsia="仿宋" w:cs="仿宋"/>
          <w:bCs/>
          <w:szCs w:val="21"/>
          <w:lang w:val="zh-CN"/>
        </w:rPr>
        <w:t>项目编号：</w:t>
      </w:r>
      <w:r>
        <w:rPr>
          <w:rFonts w:hint="eastAsia" w:ascii="仿宋" w:hAnsi="仿宋" w:eastAsia="仿宋" w:cs="仿宋"/>
          <w:bCs/>
          <w:szCs w:val="21"/>
          <w:u w:val="single"/>
          <w:lang w:val="zh-CN"/>
        </w:rPr>
        <w:t xml:space="preserve">                           </w:t>
      </w:r>
    </w:p>
    <w:p w14:paraId="7C0AC965">
      <w:pPr>
        <w:spacing w:line="400" w:lineRule="exact"/>
        <w:jc w:val="center"/>
        <w:rPr>
          <w:rFonts w:hint="eastAsia" w:ascii="仿宋" w:hAnsi="仿宋" w:eastAsia="仿宋" w:cs="仿宋"/>
          <w:b/>
          <w:sz w:val="28"/>
          <w:szCs w:val="28"/>
        </w:rPr>
      </w:pPr>
    </w:p>
    <w:tbl>
      <w:tblPr>
        <w:tblStyle w:val="2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34"/>
        <w:gridCol w:w="3138"/>
        <w:gridCol w:w="1601"/>
        <w:gridCol w:w="1843"/>
      </w:tblGrid>
      <w:tr w14:paraId="0510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1" w:type="dxa"/>
            <w:noWrap w:val="0"/>
            <w:vAlign w:val="center"/>
          </w:tcPr>
          <w:p w14:paraId="6FFAB058">
            <w:pPr>
              <w:tabs>
                <w:tab w:val="left" w:pos="2520"/>
              </w:tabs>
              <w:jc w:val="center"/>
              <w:rPr>
                <w:rFonts w:hint="eastAsia" w:ascii="仿宋" w:hAnsi="仿宋" w:eastAsia="仿宋" w:cs="仿宋"/>
                <w:b/>
                <w:szCs w:val="21"/>
              </w:rPr>
            </w:pPr>
            <w:r>
              <w:rPr>
                <w:rFonts w:hint="eastAsia" w:ascii="仿宋" w:hAnsi="仿宋" w:eastAsia="仿宋" w:cs="仿宋"/>
                <w:b/>
                <w:szCs w:val="21"/>
              </w:rPr>
              <w:t>序号</w:t>
            </w:r>
          </w:p>
        </w:tc>
        <w:tc>
          <w:tcPr>
            <w:tcW w:w="1634" w:type="dxa"/>
            <w:noWrap w:val="0"/>
            <w:vAlign w:val="center"/>
          </w:tcPr>
          <w:p w14:paraId="7AFE5C1C">
            <w:pPr>
              <w:tabs>
                <w:tab w:val="left" w:pos="2520"/>
              </w:tabs>
              <w:jc w:val="center"/>
              <w:rPr>
                <w:rFonts w:hint="eastAsia" w:ascii="仿宋" w:hAnsi="仿宋" w:eastAsia="仿宋" w:cs="仿宋"/>
                <w:b/>
                <w:szCs w:val="21"/>
              </w:rPr>
            </w:pPr>
            <w:r>
              <w:rPr>
                <w:rFonts w:hint="eastAsia" w:ascii="仿宋" w:hAnsi="仿宋" w:eastAsia="仿宋" w:cs="仿宋"/>
                <w:b/>
                <w:szCs w:val="21"/>
              </w:rPr>
              <w:t>类型</w:t>
            </w:r>
          </w:p>
        </w:tc>
        <w:tc>
          <w:tcPr>
            <w:tcW w:w="3138" w:type="dxa"/>
            <w:noWrap w:val="0"/>
            <w:vAlign w:val="center"/>
          </w:tcPr>
          <w:p w14:paraId="7E9F2367">
            <w:pPr>
              <w:tabs>
                <w:tab w:val="left" w:pos="2520"/>
              </w:tabs>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构成内容</w:t>
            </w:r>
          </w:p>
        </w:tc>
        <w:tc>
          <w:tcPr>
            <w:tcW w:w="1601" w:type="dxa"/>
            <w:noWrap w:val="0"/>
            <w:vAlign w:val="center"/>
          </w:tcPr>
          <w:p w14:paraId="6607126F">
            <w:pPr>
              <w:tabs>
                <w:tab w:val="left" w:pos="2520"/>
              </w:tabs>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数量</w:t>
            </w:r>
          </w:p>
        </w:tc>
        <w:tc>
          <w:tcPr>
            <w:tcW w:w="1843" w:type="dxa"/>
            <w:noWrap w:val="0"/>
            <w:vAlign w:val="center"/>
          </w:tcPr>
          <w:p w14:paraId="45C21473">
            <w:pPr>
              <w:tabs>
                <w:tab w:val="left" w:pos="2520"/>
              </w:tabs>
              <w:jc w:val="center"/>
              <w:rPr>
                <w:rFonts w:hint="eastAsia" w:ascii="仿宋" w:hAnsi="仿宋" w:eastAsia="仿宋" w:cs="仿宋"/>
                <w:b/>
                <w:szCs w:val="21"/>
              </w:rPr>
            </w:pPr>
            <w:r>
              <w:rPr>
                <w:rFonts w:hint="eastAsia" w:ascii="仿宋" w:hAnsi="仿宋" w:eastAsia="仿宋" w:cs="仿宋"/>
                <w:b/>
                <w:szCs w:val="21"/>
                <w:lang w:val="en-US" w:eastAsia="zh-CN"/>
              </w:rPr>
              <w:t>小</w:t>
            </w:r>
            <w:r>
              <w:rPr>
                <w:rFonts w:hint="eastAsia" w:ascii="仿宋" w:hAnsi="仿宋" w:eastAsia="仿宋" w:cs="仿宋"/>
                <w:b/>
                <w:szCs w:val="21"/>
              </w:rPr>
              <w:t>计（元/年）</w:t>
            </w:r>
          </w:p>
        </w:tc>
      </w:tr>
      <w:tr w14:paraId="0898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1" w:type="dxa"/>
            <w:noWrap w:val="0"/>
            <w:vAlign w:val="center"/>
          </w:tcPr>
          <w:p w14:paraId="2BC0F4BA">
            <w:pPr>
              <w:tabs>
                <w:tab w:val="left" w:pos="2520"/>
              </w:tabs>
              <w:spacing w:line="360" w:lineRule="auto"/>
              <w:jc w:val="center"/>
              <w:rPr>
                <w:rFonts w:hint="eastAsia" w:ascii="仿宋" w:hAnsi="仿宋" w:eastAsia="仿宋" w:cs="仿宋"/>
                <w:bCs/>
                <w:szCs w:val="21"/>
              </w:rPr>
            </w:pPr>
            <w:r>
              <w:rPr>
                <w:rFonts w:hint="eastAsia" w:ascii="仿宋" w:hAnsi="仿宋" w:eastAsia="仿宋" w:cs="仿宋"/>
                <w:bCs/>
                <w:szCs w:val="21"/>
              </w:rPr>
              <w:t>1</w:t>
            </w:r>
          </w:p>
        </w:tc>
        <w:tc>
          <w:tcPr>
            <w:tcW w:w="1634" w:type="dxa"/>
            <w:vMerge w:val="restart"/>
            <w:noWrap w:val="0"/>
            <w:vAlign w:val="center"/>
          </w:tcPr>
          <w:p w14:paraId="337CA33A">
            <w:pPr>
              <w:tabs>
                <w:tab w:val="left" w:pos="2520"/>
              </w:tabs>
              <w:spacing w:line="360" w:lineRule="auto"/>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包干价部分</w:t>
            </w:r>
          </w:p>
        </w:tc>
        <w:tc>
          <w:tcPr>
            <w:tcW w:w="3138" w:type="dxa"/>
            <w:noWrap w:val="0"/>
            <w:vAlign w:val="center"/>
          </w:tcPr>
          <w:p w14:paraId="3D70F5A1">
            <w:pPr>
              <w:tabs>
                <w:tab w:val="left" w:pos="2520"/>
              </w:tabs>
              <w:spacing w:line="360" w:lineRule="auto"/>
              <w:jc w:val="center"/>
              <w:rPr>
                <w:rFonts w:hint="default" w:ascii="仿宋" w:hAnsi="仿宋" w:eastAsia="仿宋" w:cs="仿宋"/>
                <w:b w:val="0"/>
                <w:bCs/>
                <w:szCs w:val="21"/>
                <w:lang w:val="en-US" w:eastAsia="zh-CN"/>
              </w:rPr>
            </w:pPr>
            <w:r>
              <w:rPr>
                <w:rFonts w:hint="eastAsia" w:ascii="仿宋" w:hAnsi="仿宋" w:eastAsia="仿宋" w:cs="仿宋"/>
                <w:b w:val="0"/>
                <w:bCs/>
                <w:szCs w:val="21"/>
                <w:lang w:val="en-US" w:eastAsia="zh-CN"/>
              </w:rPr>
              <w:t>人员工资</w:t>
            </w:r>
          </w:p>
        </w:tc>
        <w:tc>
          <w:tcPr>
            <w:tcW w:w="1601" w:type="dxa"/>
            <w:noWrap w:val="0"/>
            <w:vAlign w:val="center"/>
          </w:tcPr>
          <w:p w14:paraId="7AA6D44B">
            <w:pPr>
              <w:tabs>
                <w:tab w:val="left" w:pos="2520"/>
              </w:tabs>
              <w:spacing w:line="360" w:lineRule="auto"/>
              <w:jc w:val="center"/>
              <w:rPr>
                <w:rFonts w:hint="default" w:ascii="仿宋" w:hAnsi="仿宋" w:eastAsia="仿宋" w:cs="仿宋"/>
                <w:b w:val="0"/>
                <w:bCs/>
                <w:szCs w:val="21"/>
                <w:lang w:val="en-US" w:eastAsia="zh-CN"/>
              </w:rPr>
            </w:pPr>
            <w:r>
              <w:rPr>
                <w:rFonts w:hint="eastAsia" w:ascii="仿宋" w:hAnsi="仿宋" w:eastAsia="仿宋" w:cs="仿宋"/>
                <w:b w:val="0"/>
                <w:bCs/>
                <w:szCs w:val="21"/>
                <w:lang w:val="en-US" w:eastAsia="zh-CN"/>
              </w:rPr>
              <w:t>18人</w:t>
            </w:r>
          </w:p>
        </w:tc>
        <w:tc>
          <w:tcPr>
            <w:tcW w:w="1843" w:type="dxa"/>
            <w:noWrap w:val="0"/>
            <w:vAlign w:val="center"/>
          </w:tcPr>
          <w:p w14:paraId="46FD6271">
            <w:pPr>
              <w:tabs>
                <w:tab w:val="left" w:pos="2520"/>
              </w:tabs>
              <w:spacing w:line="360" w:lineRule="auto"/>
              <w:jc w:val="center"/>
              <w:rPr>
                <w:rFonts w:hint="eastAsia" w:ascii="仿宋" w:hAnsi="仿宋" w:eastAsia="仿宋" w:cs="仿宋"/>
                <w:bCs/>
                <w:szCs w:val="21"/>
              </w:rPr>
            </w:pPr>
          </w:p>
        </w:tc>
      </w:tr>
      <w:tr w14:paraId="6D4C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1" w:type="dxa"/>
            <w:noWrap w:val="0"/>
            <w:vAlign w:val="center"/>
          </w:tcPr>
          <w:p w14:paraId="5CF5C689">
            <w:pPr>
              <w:tabs>
                <w:tab w:val="left" w:pos="2520"/>
              </w:tabs>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w:t>
            </w:r>
          </w:p>
        </w:tc>
        <w:tc>
          <w:tcPr>
            <w:tcW w:w="1634" w:type="dxa"/>
            <w:vMerge w:val="continue"/>
            <w:noWrap w:val="0"/>
            <w:vAlign w:val="bottom"/>
          </w:tcPr>
          <w:p w14:paraId="557CFDD9">
            <w:pPr>
              <w:tabs>
                <w:tab w:val="left" w:pos="2520"/>
              </w:tabs>
              <w:spacing w:line="360" w:lineRule="auto"/>
              <w:jc w:val="center"/>
              <w:rPr>
                <w:rFonts w:hint="default" w:ascii="仿宋" w:hAnsi="仿宋" w:eastAsia="仿宋" w:cs="仿宋"/>
                <w:bCs/>
                <w:szCs w:val="21"/>
                <w:lang w:val="en-US" w:eastAsia="zh-CN"/>
              </w:rPr>
            </w:pPr>
          </w:p>
        </w:tc>
        <w:tc>
          <w:tcPr>
            <w:tcW w:w="3138" w:type="dxa"/>
            <w:noWrap w:val="0"/>
            <w:vAlign w:val="center"/>
          </w:tcPr>
          <w:p w14:paraId="5A8DD0CD">
            <w:pPr>
              <w:keepNext w:val="0"/>
              <w:keepLines w:val="0"/>
              <w:pageBreakBefore w:val="0"/>
              <w:widowControl w:val="0"/>
              <w:tabs>
                <w:tab w:val="left" w:pos="25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耗材及生产资料</w:t>
            </w:r>
          </w:p>
          <w:p w14:paraId="477C2207">
            <w:pPr>
              <w:keepNext w:val="0"/>
              <w:keepLines w:val="0"/>
              <w:pageBreakBefore w:val="0"/>
              <w:widowControl w:val="0"/>
              <w:tabs>
                <w:tab w:val="left" w:pos="2520"/>
              </w:tabs>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szCs w:val="21"/>
                <w:lang w:val="en-US" w:eastAsia="zh-CN"/>
              </w:rPr>
            </w:pPr>
            <w:r>
              <w:rPr>
                <w:rFonts w:hint="eastAsia" w:ascii="仿宋" w:hAnsi="仿宋" w:eastAsia="仿宋" w:cs="仿宋"/>
                <w:b w:val="0"/>
                <w:bCs/>
                <w:szCs w:val="21"/>
                <w:lang w:val="en-US" w:eastAsia="zh-CN"/>
              </w:rPr>
              <w:t>（包括植物液除臭剂和压缩设备液压油）</w:t>
            </w:r>
          </w:p>
        </w:tc>
        <w:tc>
          <w:tcPr>
            <w:tcW w:w="1601" w:type="dxa"/>
            <w:noWrap w:val="0"/>
            <w:vAlign w:val="center"/>
          </w:tcPr>
          <w:p w14:paraId="6BE606B4">
            <w:pPr>
              <w:tabs>
                <w:tab w:val="left" w:pos="2520"/>
              </w:tabs>
              <w:spacing w:line="360" w:lineRule="auto"/>
              <w:jc w:val="center"/>
              <w:rPr>
                <w:rFonts w:hint="default" w:ascii="仿宋" w:hAnsi="仿宋" w:eastAsia="仿宋" w:cs="仿宋"/>
                <w:b w:val="0"/>
                <w:bCs/>
                <w:szCs w:val="21"/>
                <w:lang w:val="en-US" w:eastAsia="zh-CN"/>
              </w:rPr>
            </w:pPr>
            <w:r>
              <w:rPr>
                <w:rFonts w:hint="eastAsia" w:ascii="仿宋" w:hAnsi="仿宋" w:eastAsia="仿宋" w:cs="仿宋"/>
                <w:b w:val="0"/>
                <w:bCs/>
                <w:szCs w:val="21"/>
                <w:lang w:val="en-US" w:eastAsia="zh-CN"/>
              </w:rPr>
              <w:t>1项</w:t>
            </w:r>
          </w:p>
        </w:tc>
        <w:tc>
          <w:tcPr>
            <w:tcW w:w="1843" w:type="dxa"/>
            <w:noWrap w:val="0"/>
            <w:vAlign w:val="center"/>
          </w:tcPr>
          <w:p w14:paraId="7F3BF860">
            <w:pPr>
              <w:tabs>
                <w:tab w:val="left" w:pos="2520"/>
              </w:tabs>
              <w:spacing w:line="360" w:lineRule="auto"/>
              <w:jc w:val="center"/>
              <w:rPr>
                <w:rFonts w:hint="eastAsia" w:ascii="仿宋" w:hAnsi="仿宋" w:eastAsia="仿宋" w:cs="仿宋"/>
                <w:b/>
                <w:szCs w:val="21"/>
              </w:rPr>
            </w:pPr>
          </w:p>
        </w:tc>
      </w:tr>
      <w:tr w14:paraId="7972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1" w:type="dxa"/>
            <w:noWrap w:val="0"/>
            <w:vAlign w:val="center"/>
          </w:tcPr>
          <w:p w14:paraId="171F80E9">
            <w:pPr>
              <w:tabs>
                <w:tab w:val="left" w:pos="2520"/>
              </w:tabs>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3</w:t>
            </w:r>
          </w:p>
        </w:tc>
        <w:tc>
          <w:tcPr>
            <w:tcW w:w="1634" w:type="dxa"/>
            <w:vMerge w:val="continue"/>
            <w:noWrap w:val="0"/>
            <w:vAlign w:val="center"/>
          </w:tcPr>
          <w:p w14:paraId="08167BC7">
            <w:pPr>
              <w:tabs>
                <w:tab w:val="left" w:pos="2520"/>
              </w:tabs>
              <w:spacing w:line="360" w:lineRule="auto"/>
              <w:jc w:val="center"/>
              <w:rPr>
                <w:rFonts w:hint="eastAsia" w:ascii="仿宋" w:hAnsi="仿宋" w:eastAsia="仿宋" w:cs="仿宋"/>
                <w:bCs/>
                <w:szCs w:val="21"/>
              </w:rPr>
            </w:pPr>
          </w:p>
        </w:tc>
        <w:tc>
          <w:tcPr>
            <w:tcW w:w="3138" w:type="dxa"/>
            <w:noWrap w:val="0"/>
            <w:vAlign w:val="center"/>
          </w:tcPr>
          <w:p w14:paraId="1878B9B5">
            <w:pPr>
              <w:tabs>
                <w:tab w:val="left" w:pos="2520"/>
              </w:tabs>
              <w:spacing w:line="360" w:lineRule="auto"/>
              <w:jc w:val="center"/>
              <w:rPr>
                <w:rFonts w:hint="default" w:ascii="仿宋" w:hAnsi="仿宋" w:eastAsia="仿宋" w:cs="仿宋"/>
                <w:b w:val="0"/>
                <w:bCs/>
                <w:szCs w:val="21"/>
                <w:lang w:val="en-US" w:eastAsia="zh-CN"/>
              </w:rPr>
            </w:pPr>
            <w:r>
              <w:rPr>
                <w:rFonts w:hint="eastAsia" w:ascii="仿宋" w:hAnsi="仿宋" w:eastAsia="仿宋" w:cs="仿宋"/>
                <w:b w:val="0"/>
                <w:bCs/>
                <w:szCs w:val="21"/>
                <w:lang w:val="en-US" w:eastAsia="zh-CN"/>
              </w:rPr>
              <w:t>绿化养护</w:t>
            </w:r>
            <w:r>
              <w:rPr>
                <w:rFonts w:hint="eastAsia" w:ascii="仿宋" w:hAnsi="仿宋" w:eastAsia="仿宋" w:cs="仿宋"/>
                <w:b w:val="0"/>
                <w:bCs/>
                <w:szCs w:val="21"/>
                <w:highlight w:val="none"/>
                <w:lang w:val="en-US" w:eastAsia="zh-CN"/>
              </w:rPr>
              <w:t>部分</w:t>
            </w:r>
          </w:p>
        </w:tc>
        <w:tc>
          <w:tcPr>
            <w:tcW w:w="1601" w:type="dxa"/>
            <w:noWrap w:val="0"/>
            <w:vAlign w:val="center"/>
          </w:tcPr>
          <w:p w14:paraId="3442B960">
            <w:pPr>
              <w:tabs>
                <w:tab w:val="left" w:pos="2520"/>
              </w:tabs>
              <w:spacing w:line="360" w:lineRule="auto"/>
              <w:jc w:val="center"/>
              <w:rPr>
                <w:rFonts w:hint="default" w:ascii="仿宋" w:hAnsi="仿宋" w:eastAsia="仿宋" w:cs="仿宋"/>
                <w:b w:val="0"/>
                <w:bCs/>
                <w:szCs w:val="21"/>
                <w:lang w:val="en-US" w:eastAsia="zh-CN"/>
              </w:rPr>
            </w:pPr>
            <w:r>
              <w:rPr>
                <w:rFonts w:hint="eastAsia" w:ascii="仿宋" w:hAnsi="仿宋" w:eastAsia="仿宋" w:cs="仿宋"/>
                <w:b w:val="0"/>
                <w:bCs/>
                <w:szCs w:val="21"/>
                <w:lang w:val="en-US" w:eastAsia="zh-CN"/>
              </w:rPr>
              <w:t>1732.5平方米</w:t>
            </w:r>
          </w:p>
        </w:tc>
        <w:tc>
          <w:tcPr>
            <w:tcW w:w="1843" w:type="dxa"/>
            <w:noWrap w:val="0"/>
            <w:vAlign w:val="center"/>
          </w:tcPr>
          <w:p w14:paraId="58AB8B9B">
            <w:pPr>
              <w:tabs>
                <w:tab w:val="left" w:pos="2520"/>
              </w:tabs>
              <w:spacing w:line="360" w:lineRule="auto"/>
              <w:jc w:val="center"/>
              <w:rPr>
                <w:rFonts w:hint="eastAsia" w:ascii="仿宋" w:hAnsi="仿宋" w:eastAsia="仿宋" w:cs="仿宋"/>
                <w:b/>
                <w:szCs w:val="21"/>
              </w:rPr>
            </w:pPr>
          </w:p>
        </w:tc>
      </w:tr>
      <w:tr w14:paraId="2140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1" w:type="dxa"/>
            <w:noWrap w:val="0"/>
            <w:vAlign w:val="center"/>
          </w:tcPr>
          <w:p w14:paraId="3E0C5A5C">
            <w:pPr>
              <w:tabs>
                <w:tab w:val="left" w:pos="2520"/>
              </w:tabs>
              <w:spacing w:line="36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1634" w:type="dxa"/>
            <w:noWrap w:val="0"/>
            <w:vAlign w:val="center"/>
          </w:tcPr>
          <w:p w14:paraId="299F9146">
            <w:pPr>
              <w:tabs>
                <w:tab w:val="left" w:pos="2520"/>
              </w:tabs>
              <w:spacing w:line="360" w:lineRule="auto"/>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按实结算部分</w:t>
            </w:r>
          </w:p>
        </w:tc>
        <w:tc>
          <w:tcPr>
            <w:tcW w:w="3138" w:type="dxa"/>
            <w:noWrap w:val="0"/>
            <w:vAlign w:val="center"/>
          </w:tcPr>
          <w:p w14:paraId="6A9285F6">
            <w:pPr>
              <w:tabs>
                <w:tab w:val="left" w:pos="2520"/>
              </w:tabs>
              <w:spacing w:line="360" w:lineRule="auto"/>
              <w:jc w:val="center"/>
              <w:rPr>
                <w:rFonts w:hint="default" w:ascii="仿宋" w:hAnsi="仿宋" w:eastAsia="仿宋" w:cs="仿宋"/>
                <w:b w:val="0"/>
                <w:bCs/>
                <w:szCs w:val="21"/>
                <w:lang w:val="en-US" w:eastAsia="zh-CN"/>
              </w:rPr>
            </w:pPr>
            <w:r>
              <w:rPr>
                <w:rFonts w:hint="eastAsia" w:ascii="仿宋" w:hAnsi="仿宋" w:eastAsia="仿宋" w:cs="仿宋"/>
                <w:b w:val="0"/>
                <w:bCs/>
                <w:szCs w:val="21"/>
                <w:lang w:val="en-US" w:eastAsia="zh-CN"/>
              </w:rPr>
              <w:t>中转站设备设施维修</w:t>
            </w:r>
          </w:p>
        </w:tc>
        <w:tc>
          <w:tcPr>
            <w:tcW w:w="1601" w:type="dxa"/>
            <w:noWrap w:val="0"/>
            <w:vAlign w:val="center"/>
          </w:tcPr>
          <w:p w14:paraId="3421811C">
            <w:pPr>
              <w:tabs>
                <w:tab w:val="left" w:pos="2520"/>
              </w:tabs>
              <w:spacing w:line="360" w:lineRule="auto"/>
              <w:jc w:val="center"/>
              <w:rPr>
                <w:rFonts w:hint="default" w:ascii="仿宋" w:hAnsi="仿宋" w:eastAsia="仿宋" w:cs="仿宋"/>
                <w:b w:val="0"/>
                <w:bCs/>
                <w:szCs w:val="21"/>
                <w:lang w:val="en-US" w:eastAsia="zh-CN"/>
              </w:rPr>
            </w:pPr>
            <w:r>
              <w:rPr>
                <w:rFonts w:hint="eastAsia" w:ascii="仿宋" w:hAnsi="仿宋" w:eastAsia="仿宋" w:cs="仿宋"/>
                <w:b w:val="0"/>
                <w:bCs/>
                <w:szCs w:val="21"/>
                <w:lang w:val="en-US" w:eastAsia="zh-CN"/>
              </w:rPr>
              <w:t>1项</w:t>
            </w:r>
          </w:p>
        </w:tc>
        <w:tc>
          <w:tcPr>
            <w:tcW w:w="1843" w:type="dxa"/>
            <w:noWrap w:val="0"/>
            <w:vAlign w:val="center"/>
          </w:tcPr>
          <w:p w14:paraId="175FC6D9">
            <w:pPr>
              <w:tabs>
                <w:tab w:val="left" w:pos="2520"/>
              </w:tabs>
              <w:spacing w:line="360" w:lineRule="auto"/>
              <w:jc w:val="center"/>
              <w:rPr>
                <w:rFonts w:hint="eastAsia" w:ascii="仿宋" w:hAnsi="仿宋" w:eastAsia="仿宋" w:cs="仿宋"/>
                <w:b/>
                <w:szCs w:val="21"/>
              </w:rPr>
            </w:pPr>
          </w:p>
        </w:tc>
      </w:tr>
      <w:tr w14:paraId="306C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4" w:type="dxa"/>
            <w:gridSpan w:val="4"/>
            <w:noWrap w:val="0"/>
            <w:vAlign w:val="center"/>
          </w:tcPr>
          <w:p w14:paraId="5EBCDD78">
            <w:pPr>
              <w:tabs>
                <w:tab w:val="left" w:pos="2520"/>
              </w:tabs>
              <w:spacing w:line="360" w:lineRule="auto"/>
              <w:jc w:val="center"/>
              <w:rPr>
                <w:rFonts w:hint="eastAsia" w:ascii="仿宋" w:hAnsi="仿宋" w:eastAsia="仿宋" w:cs="仿宋"/>
                <w:b/>
                <w:szCs w:val="21"/>
              </w:rPr>
            </w:pPr>
            <w:r>
              <w:rPr>
                <w:rFonts w:hint="eastAsia" w:ascii="仿宋" w:hAnsi="仿宋" w:eastAsia="仿宋" w:cs="仿宋"/>
                <w:bCs/>
                <w:szCs w:val="21"/>
                <w:lang w:val="en-US" w:eastAsia="zh-CN"/>
              </w:rPr>
              <w:t>合计（元/年）：</w:t>
            </w:r>
          </w:p>
        </w:tc>
        <w:tc>
          <w:tcPr>
            <w:tcW w:w="1843" w:type="dxa"/>
            <w:noWrap w:val="0"/>
            <w:vAlign w:val="center"/>
          </w:tcPr>
          <w:p w14:paraId="27C35104">
            <w:pPr>
              <w:tabs>
                <w:tab w:val="left" w:pos="2520"/>
              </w:tabs>
              <w:spacing w:line="360" w:lineRule="auto"/>
              <w:jc w:val="center"/>
              <w:rPr>
                <w:rFonts w:hint="eastAsia" w:ascii="仿宋" w:hAnsi="仿宋" w:eastAsia="仿宋" w:cs="仿宋"/>
                <w:b/>
                <w:szCs w:val="21"/>
              </w:rPr>
            </w:pPr>
          </w:p>
        </w:tc>
      </w:tr>
    </w:tbl>
    <w:p w14:paraId="50A09FA3">
      <w:pPr>
        <w:spacing w:line="400" w:lineRule="exact"/>
        <w:jc w:val="both"/>
        <w:rPr>
          <w:rFonts w:hint="eastAsia" w:ascii="仿宋" w:hAnsi="仿宋" w:eastAsia="仿宋" w:cs="宋体"/>
          <w:spacing w:val="-4"/>
          <w:kern w:val="2"/>
          <w:sz w:val="21"/>
          <w:szCs w:val="21"/>
          <w:lang w:bidi="ar"/>
        </w:rPr>
      </w:pPr>
    </w:p>
    <w:p w14:paraId="513A2BB3">
      <w:pPr>
        <w:pStyle w:val="19"/>
        <w:widowControl w:val="0"/>
        <w:spacing w:before="0" w:beforeAutospacing="0" w:after="0" w:afterAutospacing="0" w:line="360" w:lineRule="auto"/>
        <w:jc w:val="both"/>
        <w:rPr>
          <w:rFonts w:hint="eastAsia" w:ascii="仿宋" w:hAnsi="仿宋" w:eastAsia="仿宋" w:cs="宋体"/>
          <w:spacing w:val="-4"/>
          <w:kern w:val="2"/>
          <w:sz w:val="21"/>
          <w:szCs w:val="21"/>
          <w:lang w:bidi="ar"/>
        </w:rPr>
      </w:pPr>
      <w:r>
        <w:rPr>
          <w:rFonts w:hint="eastAsia" w:ascii="仿宋" w:hAnsi="仿宋" w:eastAsia="仿宋" w:cs="宋体"/>
          <w:spacing w:val="-4"/>
          <w:kern w:val="2"/>
          <w:sz w:val="21"/>
          <w:szCs w:val="21"/>
          <w:lang w:bidi="ar"/>
        </w:rPr>
        <w:t>法定代表人（负责人）或其授权委托人（签名或印章）：</w:t>
      </w:r>
    </w:p>
    <w:p w14:paraId="5FCF7CEE">
      <w:pPr>
        <w:pStyle w:val="19"/>
        <w:widowControl w:val="0"/>
        <w:spacing w:before="0" w:beforeAutospacing="0" w:after="0" w:afterAutospacing="0" w:line="360" w:lineRule="auto"/>
        <w:jc w:val="both"/>
        <w:rPr>
          <w:rFonts w:hint="eastAsia" w:ascii="仿宋" w:hAnsi="仿宋" w:eastAsia="仿宋" w:cs="宋体"/>
          <w:spacing w:val="-4"/>
          <w:kern w:val="2"/>
          <w:sz w:val="21"/>
          <w:szCs w:val="21"/>
          <w:lang w:bidi="ar"/>
        </w:rPr>
      </w:pPr>
      <w:r>
        <w:rPr>
          <w:rFonts w:hint="eastAsia" w:ascii="仿宋" w:hAnsi="仿宋" w:eastAsia="仿宋" w:cs="宋体"/>
          <w:spacing w:val="-4"/>
          <w:kern w:val="2"/>
          <w:sz w:val="21"/>
          <w:szCs w:val="21"/>
          <w:lang w:bidi="ar"/>
        </w:rPr>
        <w:t>投标人（盖章）：</w:t>
      </w:r>
    </w:p>
    <w:p w14:paraId="6A507DEB">
      <w:pPr>
        <w:pStyle w:val="19"/>
        <w:widowControl w:val="0"/>
        <w:spacing w:before="0" w:beforeAutospacing="0" w:after="0" w:afterAutospacing="0" w:line="360" w:lineRule="auto"/>
        <w:jc w:val="both"/>
        <w:rPr>
          <w:rFonts w:hint="eastAsia" w:ascii="仿宋" w:hAnsi="仿宋" w:eastAsia="仿宋" w:cs="仿宋"/>
          <w:b/>
          <w:sz w:val="28"/>
          <w:szCs w:val="28"/>
        </w:rPr>
      </w:pPr>
      <w:r>
        <w:rPr>
          <w:rFonts w:hint="eastAsia" w:ascii="仿宋" w:hAnsi="仿宋" w:eastAsia="仿宋" w:cs="宋体"/>
          <w:spacing w:val="-4"/>
          <w:kern w:val="2"/>
          <w:sz w:val="21"/>
          <w:szCs w:val="21"/>
          <w:lang w:bidi="ar"/>
        </w:rPr>
        <w:t>日期：</w:t>
      </w:r>
    </w:p>
    <w:p w14:paraId="49089896">
      <w:pPr>
        <w:spacing w:line="400" w:lineRule="exact"/>
        <w:jc w:val="center"/>
        <w:rPr>
          <w:rFonts w:hint="eastAsia" w:ascii="仿宋" w:hAnsi="仿宋" w:eastAsia="仿宋" w:cs="仿宋"/>
          <w:b/>
          <w:sz w:val="28"/>
          <w:szCs w:val="28"/>
        </w:rPr>
      </w:pPr>
    </w:p>
    <w:p w14:paraId="27D81AE7">
      <w:pPr>
        <w:spacing w:line="400" w:lineRule="exact"/>
        <w:jc w:val="center"/>
        <w:rPr>
          <w:rFonts w:hint="eastAsia" w:ascii="仿宋" w:hAnsi="仿宋" w:eastAsia="仿宋" w:cs="仿宋"/>
          <w:b/>
          <w:sz w:val="28"/>
          <w:szCs w:val="28"/>
        </w:rPr>
      </w:pPr>
    </w:p>
    <w:p w14:paraId="3B9A7BD1">
      <w:pPr>
        <w:spacing w:line="400" w:lineRule="exact"/>
        <w:jc w:val="center"/>
        <w:rPr>
          <w:rFonts w:hint="eastAsia" w:ascii="仿宋" w:hAnsi="仿宋" w:eastAsia="仿宋" w:cs="仿宋"/>
          <w:b/>
          <w:sz w:val="28"/>
          <w:szCs w:val="28"/>
        </w:rPr>
      </w:pPr>
    </w:p>
    <w:p w14:paraId="34A80CDD">
      <w:pPr>
        <w:spacing w:line="400" w:lineRule="exact"/>
        <w:jc w:val="center"/>
        <w:rPr>
          <w:rFonts w:hint="eastAsia" w:ascii="仿宋" w:hAnsi="仿宋" w:eastAsia="仿宋" w:cs="仿宋"/>
          <w:b/>
          <w:sz w:val="28"/>
          <w:szCs w:val="28"/>
        </w:rPr>
      </w:pPr>
    </w:p>
    <w:p w14:paraId="1FACA528">
      <w:pPr>
        <w:spacing w:line="400" w:lineRule="exact"/>
        <w:jc w:val="center"/>
        <w:rPr>
          <w:rFonts w:hint="eastAsia" w:ascii="仿宋" w:hAnsi="仿宋" w:eastAsia="仿宋" w:cs="仿宋"/>
          <w:b/>
          <w:sz w:val="28"/>
          <w:szCs w:val="28"/>
        </w:rPr>
      </w:pPr>
    </w:p>
    <w:p w14:paraId="24F709D7">
      <w:pPr>
        <w:spacing w:line="400" w:lineRule="exact"/>
        <w:jc w:val="center"/>
        <w:rPr>
          <w:rFonts w:hint="eastAsia" w:ascii="仿宋" w:hAnsi="仿宋" w:eastAsia="仿宋" w:cs="仿宋"/>
          <w:b/>
          <w:sz w:val="28"/>
          <w:szCs w:val="28"/>
        </w:rPr>
      </w:pPr>
    </w:p>
    <w:p w14:paraId="5D8DB8E9">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lang w:val="en-US" w:eastAsia="zh-CN"/>
        </w:rPr>
        <w:t>2、</w:t>
      </w:r>
      <w:r>
        <w:rPr>
          <w:rFonts w:hint="eastAsia" w:ascii="仿宋" w:hAnsi="仿宋" w:eastAsia="仿宋" w:cs="仿宋"/>
          <w:b/>
          <w:sz w:val="28"/>
          <w:szCs w:val="28"/>
        </w:rPr>
        <w:t>经费测算表</w:t>
      </w:r>
    </w:p>
    <w:p w14:paraId="59AF1B1F">
      <w:pPr>
        <w:spacing w:line="500" w:lineRule="exact"/>
        <w:ind w:firstLine="472"/>
        <w:jc w:val="left"/>
        <w:rPr>
          <w:rFonts w:hint="eastAsia" w:ascii="仿宋" w:hAnsi="仿宋" w:eastAsia="仿宋" w:cs="仿宋"/>
          <w:bCs/>
          <w:szCs w:val="21"/>
          <w:lang w:val="zh-CN"/>
        </w:rPr>
      </w:pPr>
      <w:r>
        <w:rPr>
          <w:rFonts w:hint="eastAsia" w:ascii="仿宋" w:hAnsi="仿宋" w:eastAsia="仿宋" w:cs="仿宋"/>
          <w:bCs/>
          <w:szCs w:val="21"/>
          <w:lang w:val="zh-CN"/>
        </w:rPr>
        <w:t>项目名称：</w:t>
      </w:r>
      <w:r>
        <w:rPr>
          <w:rFonts w:hint="eastAsia" w:ascii="仿宋" w:hAnsi="仿宋" w:eastAsia="仿宋" w:cs="仿宋"/>
          <w:bCs/>
          <w:szCs w:val="21"/>
          <w:u w:val="single"/>
          <w:lang w:val="zh-CN"/>
        </w:rPr>
        <w:t xml:space="preserve">                           </w:t>
      </w:r>
    </w:p>
    <w:p w14:paraId="3B297AA3">
      <w:pPr>
        <w:spacing w:line="500" w:lineRule="exact"/>
        <w:ind w:firstLine="472"/>
        <w:jc w:val="left"/>
        <w:rPr>
          <w:rFonts w:hint="eastAsia" w:ascii="仿宋" w:hAnsi="仿宋" w:eastAsia="仿宋" w:cs="仿宋"/>
          <w:bCs/>
          <w:szCs w:val="21"/>
          <w:u w:val="single"/>
          <w:lang w:val="zh-CN"/>
        </w:rPr>
      </w:pPr>
      <w:r>
        <w:rPr>
          <w:rFonts w:hint="eastAsia" w:ascii="仿宋" w:hAnsi="仿宋" w:eastAsia="仿宋" w:cs="仿宋"/>
          <w:bCs/>
          <w:szCs w:val="21"/>
          <w:lang w:val="zh-CN"/>
        </w:rPr>
        <w:t>项目编号：</w:t>
      </w:r>
      <w:r>
        <w:rPr>
          <w:rFonts w:hint="eastAsia" w:ascii="仿宋" w:hAnsi="仿宋" w:eastAsia="仿宋" w:cs="仿宋"/>
          <w:bCs/>
          <w:szCs w:val="21"/>
          <w:u w:val="single"/>
          <w:lang w:val="zh-CN"/>
        </w:rPr>
        <w:t xml:space="preserve">                           </w:t>
      </w:r>
    </w:p>
    <w:p w14:paraId="1EED8291">
      <w:pPr>
        <w:spacing w:line="460" w:lineRule="exact"/>
        <w:jc w:val="center"/>
        <w:rPr>
          <w:rFonts w:hint="eastAsia" w:ascii="仿宋" w:hAnsi="仿宋" w:eastAsia="仿宋" w:cs="仿宋"/>
          <w:szCs w:val="21"/>
        </w:rPr>
      </w:pPr>
      <w:r>
        <w:rPr>
          <w:rFonts w:hint="eastAsia" w:ascii="仿宋" w:hAnsi="仿宋" w:eastAsia="仿宋" w:cs="仿宋"/>
          <w:b/>
          <w:bCs/>
          <w:szCs w:val="21"/>
        </w:rPr>
        <w:t>1、</w:t>
      </w:r>
      <w:r>
        <w:rPr>
          <w:rFonts w:hint="eastAsia" w:ascii="仿宋" w:hAnsi="仿宋" w:eastAsia="仿宋" w:cs="仿宋"/>
          <w:b/>
          <w:bCs/>
          <w:szCs w:val="21"/>
          <w:u w:val="single"/>
        </w:rPr>
        <w:t>（岗位）</w:t>
      </w:r>
      <w:r>
        <w:rPr>
          <w:rFonts w:hint="eastAsia" w:ascii="仿宋" w:hAnsi="仿宋" w:eastAsia="仿宋" w:cs="仿宋"/>
          <w:b/>
          <w:bCs/>
          <w:szCs w:val="21"/>
        </w:rPr>
        <w:t>工资福利测算表</w:t>
      </w:r>
    </w:p>
    <w:tbl>
      <w:tblPr>
        <w:tblStyle w:val="22"/>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20"/>
        <w:gridCol w:w="2774"/>
        <w:gridCol w:w="1808"/>
        <w:gridCol w:w="2024"/>
      </w:tblGrid>
      <w:tr w14:paraId="1029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14:paraId="137AFD67">
            <w:pPr>
              <w:widowControl/>
              <w:jc w:val="center"/>
              <w:rPr>
                <w:rFonts w:hint="eastAsia" w:ascii="仿宋" w:hAnsi="仿宋" w:eastAsia="仿宋" w:cs="仿宋"/>
                <w:b/>
                <w:bCs/>
                <w:szCs w:val="21"/>
              </w:rPr>
            </w:pPr>
            <w:r>
              <w:rPr>
                <w:rFonts w:hint="eastAsia" w:ascii="仿宋" w:hAnsi="仿宋" w:eastAsia="仿宋" w:cs="仿宋"/>
                <w:b/>
                <w:bCs/>
                <w:szCs w:val="21"/>
              </w:rPr>
              <w:t>项目</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75975A4">
            <w:pPr>
              <w:widowControl/>
              <w:jc w:val="center"/>
              <w:rPr>
                <w:rFonts w:hint="eastAsia" w:ascii="仿宋" w:hAnsi="仿宋" w:eastAsia="仿宋" w:cs="仿宋"/>
                <w:b/>
                <w:bCs/>
                <w:szCs w:val="21"/>
              </w:rPr>
            </w:pPr>
            <w:r>
              <w:rPr>
                <w:rFonts w:hint="eastAsia" w:ascii="仿宋" w:hAnsi="仿宋" w:eastAsia="仿宋" w:cs="仿宋"/>
                <w:b/>
                <w:bCs/>
                <w:szCs w:val="21"/>
              </w:rPr>
              <w:t>项目名称</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54189597">
            <w:pPr>
              <w:widowControl/>
              <w:jc w:val="center"/>
              <w:rPr>
                <w:rFonts w:hint="eastAsia" w:ascii="仿宋" w:hAnsi="仿宋" w:eastAsia="仿宋" w:cs="仿宋"/>
                <w:b/>
                <w:bCs/>
                <w:szCs w:val="21"/>
              </w:rPr>
            </w:pPr>
            <w:r>
              <w:rPr>
                <w:rFonts w:hint="eastAsia" w:ascii="仿宋" w:hAnsi="仿宋" w:eastAsia="仿宋" w:cs="仿宋"/>
                <w:b/>
                <w:bCs/>
                <w:szCs w:val="21"/>
              </w:rPr>
              <w:t>构成内容</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127D5504">
            <w:pPr>
              <w:widowControl/>
              <w:jc w:val="center"/>
              <w:rPr>
                <w:rFonts w:hint="eastAsia" w:ascii="仿宋" w:hAnsi="仿宋" w:eastAsia="仿宋" w:cs="仿宋"/>
                <w:b/>
                <w:bCs/>
                <w:szCs w:val="21"/>
              </w:rPr>
            </w:pPr>
            <w:r>
              <w:rPr>
                <w:rFonts w:hint="eastAsia" w:ascii="仿宋" w:hAnsi="仿宋" w:eastAsia="仿宋" w:cs="仿宋"/>
                <w:b/>
                <w:bCs/>
                <w:szCs w:val="21"/>
              </w:rPr>
              <w:t>金额</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7250E55D">
            <w:pPr>
              <w:widowControl/>
              <w:jc w:val="center"/>
              <w:rPr>
                <w:rFonts w:hint="eastAsia" w:ascii="仿宋" w:hAnsi="仿宋" w:eastAsia="仿宋" w:cs="仿宋"/>
                <w:b/>
                <w:bCs/>
                <w:szCs w:val="21"/>
              </w:rPr>
            </w:pPr>
            <w:r>
              <w:rPr>
                <w:rFonts w:hint="eastAsia" w:ascii="仿宋" w:hAnsi="仿宋" w:eastAsia="仿宋" w:cs="仿宋"/>
                <w:b/>
                <w:bCs/>
                <w:szCs w:val="21"/>
              </w:rPr>
              <w:t>总计（</w:t>
            </w:r>
            <w:r>
              <w:rPr>
                <w:rFonts w:hint="eastAsia" w:ascii="仿宋" w:hAnsi="仿宋" w:eastAsia="仿宋" w:cs="仿宋"/>
                <w:b/>
                <w:bCs/>
                <w:szCs w:val="21"/>
                <w:lang w:val="en-US" w:eastAsia="zh-CN"/>
              </w:rPr>
              <w:t>元/</w:t>
            </w:r>
            <w:r>
              <w:rPr>
                <w:rFonts w:hint="eastAsia" w:ascii="仿宋" w:hAnsi="仿宋" w:eastAsia="仿宋" w:cs="仿宋"/>
                <w:b/>
                <w:bCs/>
                <w:szCs w:val="21"/>
              </w:rPr>
              <w:t>年）</w:t>
            </w:r>
          </w:p>
        </w:tc>
      </w:tr>
      <w:tr w14:paraId="7C9A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14:paraId="0D992222">
            <w:pPr>
              <w:widowControl/>
              <w:jc w:val="center"/>
              <w:rPr>
                <w:rFonts w:hint="eastAsia" w:ascii="仿宋" w:hAnsi="仿宋" w:eastAsia="仿宋" w:cs="仿宋"/>
                <w:szCs w:val="21"/>
                <w:lang w:eastAsia="zh-CN"/>
              </w:rPr>
            </w:pPr>
            <w:r>
              <w:rPr>
                <w:rFonts w:hint="eastAsia" w:ascii="仿宋" w:hAnsi="仿宋" w:eastAsia="仿宋" w:cs="仿宋"/>
                <w:szCs w:val="21"/>
                <w:lang w:val="en-US" w:eastAsia="zh-CN"/>
              </w:rPr>
              <w:t>工资</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BF23DF2">
            <w:pPr>
              <w:widowControl/>
              <w:jc w:val="center"/>
              <w:rPr>
                <w:rFonts w:hint="eastAsia" w:ascii="仿宋" w:hAnsi="仿宋" w:eastAsia="仿宋" w:cs="仿宋"/>
                <w:szCs w:val="21"/>
              </w:rPr>
            </w:pPr>
            <w:r>
              <w:rPr>
                <w:rFonts w:hint="eastAsia" w:ascii="仿宋" w:hAnsi="仿宋" w:eastAsia="仿宋" w:cs="仿宋"/>
                <w:szCs w:val="21"/>
              </w:rPr>
              <w:t>基本工资</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0AEC46F5">
            <w:pPr>
              <w:widowControl/>
              <w:jc w:val="left"/>
              <w:rPr>
                <w:rFonts w:hint="default" w:ascii="仿宋" w:hAnsi="仿宋" w:eastAsia="仿宋" w:cs="仿宋"/>
                <w:szCs w:val="21"/>
                <w:lang w:val="en-US" w:eastAsia="zh-CN"/>
              </w:rPr>
            </w:pPr>
            <w:r>
              <w:rPr>
                <w:rFonts w:hint="eastAsia" w:ascii="仿宋" w:hAnsi="仿宋" w:eastAsia="仿宋" w:cs="仿宋"/>
                <w:szCs w:val="21"/>
                <w:lang w:val="en-US" w:eastAsia="zh-CN"/>
              </w:rPr>
              <w:t>12个月</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36E27965">
            <w:pPr>
              <w:widowControl/>
              <w:jc w:val="center"/>
              <w:rPr>
                <w:rFonts w:hint="eastAsia" w:ascii="仿宋" w:hAnsi="仿宋" w:eastAsia="仿宋" w:cs="仿宋"/>
                <w:szCs w:val="21"/>
              </w:rPr>
            </w:pPr>
            <w:r>
              <w:rPr>
                <w:rFonts w:hint="eastAsia" w:ascii="仿宋" w:hAnsi="仿宋" w:eastAsia="仿宋" w:cs="仿宋"/>
                <w:szCs w:val="21"/>
              </w:rPr>
              <w:t xml:space="preserve">     </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4863BEF4">
            <w:pPr>
              <w:widowControl/>
              <w:jc w:val="center"/>
              <w:rPr>
                <w:rFonts w:hint="eastAsia" w:ascii="仿宋" w:hAnsi="仿宋" w:eastAsia="仿宋" w:cs="仿宋"/>
                <w:szCs w:val="21"/>
              </w:rPr>
            </w:pPr>
          </w:p>
        </w:tc>
      </w:tr>
      <w:tr w14:paraId="413B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14:paraId="558BC06B">
            <w:pPr>
              <w:widowControl/>
              <w:jc w:val="center"/>
              <w:rPr>
                <w:rFonts w:hint="eastAsia" w:ascii="仿宋" w:hAnsi="仿宋" w:eastAsia="仿宋" w:cs="仿宋"/>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FA7809A">
            <w:pPr>
              <w:spacing w:line="300" w:lineRule="exact"/>
              <w:jc w:val="center"/>
              <w:rPr>
                <w:rFonts w:hint="eastAsia" w:ascii="仿宋" w:hAnsi="仿宋" w:eastAsia="仿宋" w:cs="仿宋"/>
                <w:szCs w:val="21"/>
              </w:rPr>
            </w:pPr>
            <w:r>
              <w:rPr>
                <w:rFonts w:hint="eastAsia" w:ascii="仿宋" w:hAnsi="仿宋" w:eastAsia="仿宋" w:cs="仿宋"/>
                <w:szCs w:val="21"/>
              </w:rPr>
              <w:t>夏季高温费</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644A14B5">
            <w:pPr>
              <w:spacing w:line="300" w:lineRule="exact"/>
              <w:jc w:val="left"/>
              <w:rPr>
                <w:rFonts w:hint="eastAsia" w:ascii="仿宋" w:hAnsi="仿宋" w:eastAsia="仿宋" w:cs="仿宋"/>
                <w:szCs w:val="21"/>
              </w:rPr>
            </w:pPr>
            <w:r>
              <w:rPr>
                <w:rFonts w:hint="eastAsia" w:ascii="仿宋" w:hAnsi="仿宋" w:eastAsia="仿宋" w:cs="仿宋"/>
                <w:szCs w:val="21"/>
              </w:rPr>
              <w:t>4个月</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079433F4">
            <w:pPr>
              <w:spacing w:line="300" w:lineRule="exact"/>
              <w:jc w:val="center"/>
              <w:rPr>
                <w:rFonts w:hint="eastAsia" w:ascii="仿宋" w:hAnsi="仿宋" w:eastAsia="仿宋" w:cs="仿宋"/>
                <w:szCs w:val="21"/>
              </w:rPr>
            </w:pPr>
            <w:r>
              <w:rPr>
                <w:rFonts w:hint="eastAsia" w:ascii="仿宋" w:hAnsi="仿宋" w:eastAsia="仿宋" w:cs="仿宋"/>
                <w:szCs w:val="21"/>
              </w:rPr>
              <w:t xml:space="preserve">            </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4892E08D">
            <w:pPr>
              <w:spacing w:line="300" w:lineRule="exact"/>
              <w:jc w:val="center"/>
              <w:rPr>
                <w:rFonts w:hint="eastAsia" w:ascii="仿宋" w:hAnsi="仿宋" w:eastAsia="仿宋" w:cs="仿宋"/>
                <w:szCs w:val="21"/>
              </w:rPr>
            </w:pPr>
          </w:p>
        </w:tc>
      </w:tr>
      <w:tr w14:paraId="2DF7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14:paraId="68C10827">
            <w:pPr>
              <w:widowControl/>
              <w:jc w:val="center"/>
              <w:rPr>
                <w:rFonts w:hint="eastAsia" w:ascii="仿宋" w:hAnsi="仿宋" w:eastAsia="仿宋" w:cs="仿宋"/>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CF42B28">
            <w:pPr>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法定节假日加班补贴</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478198C">
            <w:pPr>
              <w:spacing w:line="300" w:lineRule="exact"/>
              <w:jc w:val="lef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13天</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517A0F95">
            <w:pPr>
              <w:spacing w:line="300" w:lineRule="exact"/>
              <w:jc w:val="center"/>
              <w:rPr>
                <w:rFonts w:hint="eastAsia" w:ascii="仿宋" w:hAnsi="仿宋" w:eastAsia="仿宋" w:cs="仿宋"/>
                <w:szCs w:val="21"/>
              </w:rPr>
            </w:pPr>
            <w:r>
              <w:rPr>
                <w:rFonts w:hint="eastAsia" w:ascii="仿宋" w:hAnsi="仿宋" w:eastAsia="仿宋" w:cs="仿宋"/>
                <w:szCs w:val="21"/>
              </w:rPr>
              <w:t xml:space="preserve">            </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11387E53">
            <w:pPr>
              <w:spacing w:line="300" w:lineRule="exact"/>
              <w:jc w:val="center"/>
              <w:rPr>
                <w:rFonts w:hint="eastAsia" w:ascii="仿宋" w:hAnsi="仿宋" w:eastAsia="仿宋" w:cs="仿宋"/>
                <w:szCs w:val="21"/>
              </w:rPr>
            </w:pPr>
          </w:p>
        </w:tc>
      </w:tr>
      <w:tr w14:paraId="736F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14:paraId="34483879">
            <w:pPr>
              <w:widowControl/>
              <w:jc w:val="center"/>
              <w:rPr>
                <w:rFonts w:hint="eastAsia" w:ascii="仿宋" w:hAnsi="仿宋" w:eastAsia="仿宋" w:cs="仿宋"/>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88AB712">
            <w:pPr>
              <w:spacing w:line="300" w:lineRule="exact"/>
              <w:jc w:val="center"/>
              <w:rPr>
                <w:rFonts w:hint="eastAsia" w:ascii="仿宋" w:hAnsi="仿宋" w:eastAsia="仿宋" w:cs="仿宋"/>
                <w:szCs w:val="21"/>
              </w:rPr>
            </w:pPr>
            <w:r>
              <w:rPr>
                <w:rFonts w:hint="eastAsia" w:ascii="仿宋" w:hAnsi="仿宋" w:eastAsia="仿宋" w:cs="仿宋"/>
                <w:szCs w:val="21"/>
              </w:rPr>
              <w:t>单休日加班费</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7D6615E">
            <w:pPr>
              <w:spacing w:line="300" w:lineRule="exact"/>
              <w:jc w:val="left"/>
              <w:rPr>
                <w:rFonts w:hint="default" w:ascii="仿宋" w:hAnsi="仿宋" w:eastAsia="仿宋" w:cs="仿宋"/>
                <w:szCs w:val="21"/>
                <w:lang w:val="en-US" w:eastAsia="zh-CN"/>
              </w:rPr>
            </w:pPr>
            <w:r>
              <w:rPr>
                <w:rFonts w:hint="eastAsia" w:ascii="仿宋" w:hAnsi="仿宋" w:eastAsia="仿宋" w:cs="仿宋"/>
                <w:szCs w:val="21"/>
                <w:lang w:val="en-US" w:eastAsia="zh-CN"/>
              </w:rPr>
              <w:t>52天</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1CE45521">
            <w:pPr>
              <w:spacing w:line="300" w:lineRule="exact"/>
              <w:jc w:val="center"/>
              <w:rPr>
                <w:rFonts w:hint="eastAsia" w:ascii="仿宋" w:hAnsi="仿宋" w:eastAsia="仿宋" w:cs="仿宋"/>
                <w:szCs w:val="21"/>
              </w:rPr>
            </w:pPr>
            <w:r>
              <w:rPr>
                <w:rFonts w:hint="eastAsia" w:ascii="仿宋" w:hAnsi="仿宋" w:eastAsia="仿宋" w:cs="仿宋"/>
                <w:szCs w:val="21"/>
              </w:rPr>
              <w:t xml:space="preserve">            </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7CC155E3">
            <w:pPr>
              <w:spacing w:line="300" w:lineRule="exact"/>
              <w:jc w:val="center"/>
              <w:rPr>
                <w:rFonts w:hint="eastAsia" w:ascii="仿宋" w:hAnsi="仿宋" w:eastAsia="仿宋" w:cs="仿宋"/>
                <w:szCs w:val="21"/>
              </w:rPr>
            </w:pPr>
          </w:p>
        </w:tc>
      </w:tr>
      <w:tr w14:paraId="7990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restart"/>
            <w:tcBorders>
              <w:top w:val="single" w:color="auto" w:sz="4" w:space="0"/>
              <w:left w:val="single" w:color="auto" w:sz="4" w:space="0"/>
              <w:right w:val="single" w:color="auto" w:sz="4" w:space="0"/>
            </w:tcBorders>
            <w:noWrap w:val="0"/>
            <w:vAlign w:val="center"/>
          </w:tcPr>
          <w:p w14:paraId="33F43DEE">
            <w:pPr>
              <w:widowControl/>
              <w:jc w:val="center"/>
              <w:rPr>
                <w:rFonts w:hint="eastAsia" w:ascii="仿宋" w:hAnsi="仿宋" w:eastAsia="仿宋" w:cs="仿宋"/>
                <w:szCs w:val="21"/>
              </w:rPr>
            </w:pPr>
            <w:r>
              <w:rPr>
                <w:rFonts w:hint="eastAsia" w:ascii="仿宋" w:hAnsi="仿宋" w:eastAsia="仿宋" w:cs="仿宋"/>
                <w:szCs w:val="21"/>
              </w:rPr>
              <w:t>福利保障</w:t>
            </w:r>
          </w:p>
        </w:tc>
        <w:tc>
          <w:tcPr>
            <w:tcW w:w="1620" w:type="dxa"/>
            <w:vMerge w:val="restart"/>
            <w:tcBorders>
              <w:top w:val="single" w:color="auto" w:sz="4" w:space="0"/>
              <w:left w:val="single" w:color="auto" w:sz="4" w:space="0"/>
              <w:right w:val="single" w:color="auto" w:sz="4" w:space="0"/>
            </w:tcBorders>
            <w:noWrap w:val="0"/>
            <w:vAlign w:val="center"/>
          </w:tcPr>
          <w:p w14:paraId="6D80AAB9">
            <w:pPr>
              <w:widowControl/>
              <w:jc w:val="center"/>
              <w:rPr>
                <w:rFonts w:hint="eastAsia" w:ascii="仿宋" w:hAnsi="仿宋" w:eastAsia="仿宋" w:cs="仿宋"/>
                <w:szCs w:val="21"/>
              </w:rPr>
            </w:pPr>
            <w:r>
              <w:rPr>
                <w:rFonts w:hint="eastAsia" w:ascii="仿宋" w:hAnsi="仿宋" w:eastAsia="仿宋" w:cs="仿宋"/>
                <w:szCs w:val="21"/>
              </w:rPr>
              <w:t>福利</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08D3CBDE">
            <w:pPr>
              <w:widowControl/>
              <w:jc w:val="left"/>
              <w:rPr>
                <w:rFonts w:hint="eastAsia" w:ascii="仿宋" w:hAnsi="仿宋" w:eastAsia="仿宋" w:cs="仿宋"/>
                <w:szCs w:val="21"/>
              </w:rPr>
            </w:pPr>
            <w:r>
              <w:rPr>
                <w:rFonts w:hint="eastAsia" w:ascii="仿宋" w:hAnsi="仿宋" w:eastAsia="仿宋" w:cs="仿宋"/>
                <w:szCs w:val="21"/>
              </w:rPr>
              <w:t>中秋节、环卫工人节、春节</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39517AD0">
            <w:pPr>
              <w:widowControl/>
              <w:jc w:val="center"/>
              <w:rPr>
                <w:rFonts w:hint="eastAsia" w:ascii="仿宋" w:hAnsi="仿宋" w:eastAsia="仿宋" w:cs="仿宋"/>
                <w:szCs w:val="21"/>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67D3F767">
            <w:pPr>
              <w:widowControl/>
              <w:jc w:val="center"/>
              <w:rPr>
                <w:rFonts w:hint="eastAsia" w:ascii="仿宋" w:hAnsi="仿宋" w:eastAsia="仿宋" w:cs="仿宋"/>
                <w:szCs w:val="21"/>
              </w:rPr>
            </w:pPr>
          </w:p>
        </w:tc>
      </w:tr>
      <w:tr w14:paraId="2536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14:paraId="39FA3EBF">
            <w:pPr>
              <w:widowControl/>
              <w:jc w:val="center"/>
              <w:rPr>
                <w:rFonts w:hint="eastAsia" w:ascii="仿宋" w:hAnsi="仿宋" w:eastAsia="仿宋" w:cs="仿宋"/>
                <w:szCs w:val="21"/>
              </w:rPr>
            </w:pPr>
          </w:p>
        </w:tc>
        <w:tc>
          <w:tcPr>
            <w:tcW w:w="1620" w:type="dxa"/>
            <w:vMerge w:val="continue"/>
            <w:tcBorders>
              <w:left w:val="single" w:color="auto" w:sz="4" w:space="0"/>
              <w:right w:val="single" w:color="auto" w:sz="4" w:space="0"/>
            </w:tcBorders>
            <w:noWrap w:val="0"/>
            <w:vAlign w:val="center"/>
          </w:tcPr>
          <w:p w14:paraId="569C959F">
            <w:pPr>
              <w:widowControl/>
              <w:jc w:val="center"/>
              <w:rPr>
                <w:rFonts w:hint="eastAsia" w:ascii="仿宋" w:hAnsi="仿宋" w:eastAsia="仿宋" w:cs="仿宋"/>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0943021D">
            <w:pPr>
              <w:spacing w:line="300" w:lineRule="exact"/>
              <w:jc w:val="left"/>
              <w:rPr>
                <w:rFonts w:hint="eastAsia" w:ascii="仿宋" w:hAnsi="仿宋" w:eastAsia="仿宋" w:cs="仿宋"/>
                <w:szCs w:val="21"/>
              </w:rPr>
            </w:pPr>
            <w:r>
              <w:rPr>
                <w:rFonts w:hint="eastAsia" w:ascii="仿宋" w:hAnsi="仿宋" w:eastAsia="仿宋" w:cs="仿宋"/>
                <w:szCs w:val="21"/>
              </w:rPr>
              <w:t>体检</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7363620E">
            <w:pPr>
              <w:spacing w:line="300" w:lineRule="exact"/>
              <w:jc w:val="center"/>
              <w:rPr>
                <w:rFonts w:hint="eastAsia" w:ascii="仿宋" w:hAnsi="仿宋" w:eastAsia="仿宋" w:cs="仿宋"/>
                <w:szCs w:val="21"/>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564B375E">
            <w:pPr>
              <w:spacing w:line="300" w:lineRule="exact"/>
              <w:jc w:val="center"/>
              <w:rPr>
                <w:rFonts w:hint="eastAsia" w:ascii="仿宋" w:hAnsi="仿宋" w:eastAsia="仿宋" w:cs="仿宋"/>
                <w:szCs w:val="21"/>
              </w:rPr>
            </w:pPr>
          </w:p>
        </w:tc>
      </w:tr>
      <w:tr w14:paraId="49FF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14:paraId="31CC9C40">
            <w:pPr>
              <w:widowControl/>
              <w:jc w:val="center"/>
              <w:rPr>
                <w:rFonts w:hint="eastAsia" w:ascii="仿宋" w:hAnsi="仿宋" w:eastAsia="仿宋" w:cs="仿宋"/>
                <w:szCs w:val="21"/>
              </w:rPr>
            </w:pPr>
          </w:p>
        </w:tc>
        <w:tc>
          <w:tcPr>
            <w:tcW w:w="1620" w:type="dxa"/>
            <w:vMerge w:val="continue"/>
            <w:tcBorders>
              <w:left w:val="single" w:color="auto" w:sz="4" w:space="0"/>
              <w:bottom w:val="single" w:color="auto" w:sz="4" w:space="0"/>
              <w:right w:val="single" w:color="auto" w:sz="4" w:space="0"/>
            </w:tcBorders>
            <w:noWrap w:val="0"/>
            <w:vAlign w:val="center"/>
          </w:tcPr>
          <w:p w14:paraId="71CF5964">
            <w:pPr>
              <w:widowControl/>
              <w:jc w:val="center"/>
              <w:rPr>
                <w:rFonts w:hint="eastAsia" w:ascii="仿宋" w:hAnsi="仿宋" w:eastAsia="仿宋" w:cs="仿宋"/>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7DA4A878">
            <w:pPr>
              <w:spacing w:line="300" w:lineRule="exact"/>
              <w:jc w:val="left"/>
              <w:rPr>
                <w:rFonts w:hint="eastAsia" w:ascii="仿宋" w:hAnsi="仿宋" w:eastAsia="仿宋" w:cs="仿宋"/>
                <w:szCs w:val="21"/>
              </w:rPr>
            </w:pPr>
            <w:r>
              <w:rPr>
                <w:rFonts w:hint="eastAsia" w:ascii="仿宋" w:hAnsi="仿宋" w:eastAsia="仿宋" w:cs="仿宋"/>
                <w:szCs w:val="21"/>
              </w:rPr>
              <w:t>爱心早餐补贴</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7D8DF2B0">
            <w:pPr>
              <w:spacing w:line="300" w:lineRule="exact"/>
              <w:jc w:val="center"/>
              <w:rPr>
                <w:rFonts w:hint="eastAsia" w:ascii="仿宋" w:hAnsi="仿宋" w:eastAsia="仿宋" w:cs="仿宋"/>
                <w:szCs w:val="21"/>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113C8056">
            <w:pPr>
              <w:spacing w:line="300" w:lineRule="exact"/>
              <w:jc w:val="center"/>
              <w:rPr>
                <w:rFonts w:hint="eastAsia" w:ascii="仿宋" w:hAnsi="仿宋" w:eastAsia="仿宋" w:cs="仿宋"/>
                <w:szCs w:val="21"/>
              </w:rPr>
            </w:pPr>
          </w:p>
        </w:tc>
      </w:tr>
      <w:tr w14:paraId="0640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14:paraId="156F1482">
            <w:pPr>
              <w:widowControl/>
              <w:jc w:val="center"/>
              <w:rPr>
                <w:rFonts w:hint="eastAsia" w:ascii="仿宋" w:hAnsi="仿宋" w:eastAsia="仿宋" w:cs="仿宋"/>
                <w:szCs w:val="21"/>
              </w:rPr>
            </w:pPr>
          </w:p>
        </w:tc>
        <w:tc>
          <w:tcPr>
            <w:tcW w:w="1620" w:type="dxa"/>
            <w:vMerge w:val="restart"/>
            <w:tcBorders>
              <w:top w:val="single" w:color="auto" w:sz="4" w:space="0"/>
              <w:left w:val="single" w:color="auto" w:sz="4" w:space="0"/>
              <w:right w:val="single" w:color="auto" w:sz="4" w:space="0"/>
            </w:tcBorders>
            <w:noWrap w:val="0"/>
            <w:vAlign w:val="center"/>
          </w:tcPr>
          <w:p w14:paraId="7093858F">
            <w:pPr>
              <w:spacing w:line="300" w:lineRule="exact"/>
              <w:jc w:val="center"/>
              <w:rPr>
                <w:rFonts w:hint="eastAsia" w:ascii="仿宋" w:hAnsi="仿宋" w:eastAsia="仿宋" w:cs="仿宋"/>
                <w:szCs w:val="21"/>
              </w:rPr>
            </w:pPr>
            <w:r>
              <w:rPr>
                <w:rFonts w:hint="eastAsia" w:ascii="仿宋" w:hAnsi="仿宋" w:eastAsia="仿宋" w:cs="仿宋"/>
                <w:szCs w:val="21"/>
              </w:rPr>
              <w:t>社会保障费</w:t>
            </w:r>
          </w:p>
          <w:p w14:paraId="0A712677">
            <w:pPr>
              <w:spacing w:line="300" w:lineRule="exact"/>
              <w:jc w:val="center"/>
              <w:rPr>
                <w:rFonts w:hint="eastAsia" w:ascii="仿宋" w:hAnsi="仿宋" w:eastAsia="仿宋" w:cs="仿宋"/>
                <w:szCs w:val="21"/>
              </w:rPr>
            </w:pPr>
            <w:r>
              <w:rPr>
                <w:rFonts w:hint="eastAsia" w:ascii="仿宋" w:hAnsi="仿宋" w:eastAsia="仿宋" w:cs="仿宋"/>
                <w:szCs w:val="21"/>
              </w:rPr>
              <w:t>（缴费基数按照最新标准缴纳）</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6D94DF0C">
            <w:pPr>
              <w:spacing w:line="300" w:lineRule="exact"/>
              <w:jc w:val="left"/>
              <w:rPr>
                <w:rFonts w:hint="eastAsia" w:ascii="仿宋" w:hAnsi="仿宋" w:eastAsia="仿宋" w:cs="仿宋"/>
                <w:szCs w:val="21"/>
              </w:rPr>
            </w:pPr>
            <w:r>
              <w:rPr>
                <w:rFonts w:hint="eastAsia" w:ascii="仿宋" w:hAnsi="仿宋" w:eastAsia="仿宋" w:cs="仿宋"/>
                <w:szCs w:val="21"/>
              </w:rPr>
              <w:t>基本养老保险</w:t>
            </w:r>
          </w:p>
        </w:tc>
        <w:tc>
          <w:tcPr>
            <w:tcW w:w="1808" w:type="dxa"/>
            <w:vMerge w:val="restart"/>
            <w:tcBorders>
              <w:top w:val="single" w:color="auto" w:sz="4" w:space="0"/>
              <w:left w:val="single" w:color="auto" w:sz="4" w:space="0"/>
              <w:bottom w:val="single" w:color="auto" w:sz="4" w:space="0"/>
              <w:right w:val="single" w:color="auto" w:sz="4" w:space="0"/>
            </w:tcBorders>
            <w:noWrap w:val="0"/>
            <w:vAlign w:val="center"/>
          </w:tcPr>
          <w:p w14:paraId="7AA5AED6">
            <w:pPr>
              <w:spacing w:line="300" w:lineRule="exact"/>
              <w:jc w:val="center"/>
              <w:rPr>
                <w:rFonts w:hint="eastAsia" w:ascii="仿宋" w:hAnsi="仿宋" w:eastAsia="仿宋" w:cs="仿宋"/>
                <w:szCs w:val="21"/>
              </w:rPr>
            </w:pPr>
          </w:p>
        </w:tc>
        <w:tc>
          <w:tcPr>
            <w:tcW w:w="2024" w:type="dxa"/>
            <w:vMerge w:val="restart"/>
            <w:tcBorders>
              <w:top w:val="single" w:color="auto" w:sz="4" w:space="0"/>
              <w:left w:val="single" w:color="auto" w:sz="4" w:space="0"/>
              <w:bottom w:val="single" w:color="auto" w:sz="4" w:space="0"/>
              <w:right w:val="single" w:color="auto" w:sz="4" w:space="0"/>
            </w:tcBorders>
            <w:noWrap w:val="0"/>
            <w:vAlign w:val="center"/>
          </w:tcPr>
          <w:p w14:paraId="724FFAC5">
            <w:pPr>
              <w:spacing w:line="300" w:lineRule="exact"/>
              <w:jc w:val="center"/>
              <w:rPr>
                <w:rFonts w:hint="eastAsia" w:ascii="仿宋" w:hAnsi="仿宋" w:eastAsia="仿宋" w:cs="仿宋"/>
                <w:szCs w:val="21"/>
              </w:rPr>
            </w:pPr>
          </w:p>
        </w:tc>
      </w:tr>
      <w:tr w14:paraId="1FBA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14:paraId="13D6FC14">
            <w:pPr>
              <w:widowControl/>
              <w:jc w:val="center"/>
              <w:rPr>
                <w:rFonts w:hint="eastAsia" w:ascii="仿宋" w:hAnsi="仿宋" w:eastAsia="仿宋" w:cs="仿宋"/>
                <w:szCs w:val="21"/>
              </w:rPr>
            </w:pPr>
          </w:p>
        </w:tc>
        <w:tc>
          <w:tcPr>
            <w:tcW w:w="1620" w:type="dxa"/>
            <w:vMerge w:val="continue"/>
            <w:tcBorders>
              <w:left w:val="single" w:color="auto" w:sz="4" w:space="0"/>
              <w:right w:val="single" w:color="auto" w:sz="4" w:space="0"/>
            </w:tcBorders>
            <w:noWrap w:val="0"/>
            <w:vAlign w:val="center"/>
          </w:tcPr>
          <w:p w14:paraId="57BEF930">
            <w:pPr>
              <w:widowControl/>
              <w:jc w:val="center"/>
              <w:rPr>
                <w:rFonts w:hint="eastAsia" w:ascii="仿宋" w:hAnsi="仿宋" w:eastAsia="仿宋" w:cs="仿宋"/>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04A98419">
            <w:pPr>
              <w:spacing w:line="300" w:lineRule="exact"/>
              <w:jc w:val="left"/>
              <w:rPr>
                <w:rFonts w:hint="eastAsia" w:ascii="仿宋" w:hAnsi="仿宋" w:eastAsia="仿宋" w:cs="仿宋"/>
                <w:szCs w:val="21"/>
              </w:rPr>
            </w:pPr>
            <w:r>
              <w:rPr>
                <w:rFonts w:hint="eastAsia" w:ascii="仿宋" w:hAnsi="仿宋" w:eastAsia="仿宋" w:cs="仿宋"/>
                <w:szCs w:val="21"/>
              </w:rPr>
              <w:t>基本医疗保险</w:t>
            </w: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14:paraId="7DDD97AD">
            <w:pPr>
              <w:widowControl/>
              <w:jc w:val="center"/>
              <w:rPr>
                <w:rFonts w:hint="eastAsia" w:ascii="仿宋" w:hAnsi="仿宋" w:eastAsia="仿宋" w:cs="仿宋"/>
                <w:szCs w:val="21"/>
              </w:rPr>
            </w:pPr>
          </w:p>
        </w:tc>
        <w:tc>
          <w:tcPr>
            <w:tcW w:w="2024" w:type="dxa"/>
            <w:vMerge w:val="continue"/>
            <w:tcBorders>
              <w:top w:val="single" w:color="auto" w:sz="4" w:space="0"/>
              <w:left w:val="single" w:color="auto" w:sz="4" w:space="0"/>
              <w:bottom w:val="single" w:color="auto" w:sz="4" w:space="0"/>
              <w:right w:val="single" w:color="auto" w:sz="4" w:space="0"/>
            </w:tcBorders>
            <w:noWrap w:val="0"/>
            <w:vAlign w:val="center"/>
          </w:tcPr>
          <w:p w14:paraId="79C6796E">
            <w:pPr>
              <w:widowControl/>
              <w:jc w:val="center"/>
              <w:rPr>
                <w:rFonts w:hint="eastAsia" w:ascii="仿宋" w:hAnsi="仿宋" w:eastAsia="仿宋" w:cs="仿宋"/>
                <w:szCs w:val="21"/>
              </w:rPr>
            </w:pPr>
          </w:p>
        </w:tc>
      </w:tr>
      <w:tr w14:paraId="69E8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14:paraId="5D6E1490">
            <w:pPr>
              <w:widowControl/>
              <w:jc w:val="center"/>
              <w:rPr>
                <w:rFonts w:hint="eastAsia" w:ascii="仿宋" w:hAnsi="仿宋" w:eastAsia="仿宋" w:cs="仿宋"/>
                <w:szCs w:val="21"/>
              </w:rPr>
            </w:pPr>
          </w:p>
        </w:tc>
        <w:tc>
          <w:tcPr>
            <w:tcW w:w="1620" w:type="dxa"/>
            <w:vMerge w:val="continue"/>
            <w:tcBorders>
              <w:left w:val="single" w:color="auto" w:sz="4" w:space="0"/>
              <w:right w:val="single" w:color="auto" w:sz="4" w:space="0"/>
            </w:tcBorders>
            <w:noWrap w:val="0"/>
            <w:vAlign w:val="center"/>
          </w:tcPr>
          <w:p w14:paraId="64CAC1DF">
            <w:pPr>
              <w:widowControl/>
              <w:jc w:val="center"/>
              <w:rPr>
                <w:rFonts w:hint="eastAsia" w:ascii="仿宋" w:hAnsi="仿宋" w:eastAsia="仿宋" w:cs="仿宋"/>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05AB6BB5">
            <w:pPr>
              <w:spacing w:line="300" w:lineRule="exact"/>
              <w:jc w:val="left"/>
              <w:rPr>
                <w:rFonts w:hint="eastAsia" w:ascii="仿宋" w:hAnsi="仿宋" w:eastAsia="仿宋" w:cs="仿宋"/>
                <w:szCs w:val="21"/>
              </w:rPr>
            </w:pPr>
            <w:r>
              <w:rPr>
                <w:rFonts w:hint="eastAsia" w:ascii="仿宋" w:hAnsi="仿宋" w:eastAsia="仿宋" w:cs="仿宋"/>
                <w:szCs w:val="21"/>
              </w:rPr>
              <w:t>失业保险</w:t>
            </w: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14:paraId="00F14E48">
            <w:pPr>
              <w:widowControl/>
              <w:jc w:val="center"/>
              <w:rPr>
                <w:rFonts w:hint="eastAsia" w:ascii="仿宋" w:hAnsi="仿宋" w:eastAsia="仿宋" w:cs="仿宋"/>
                <w:szCs w:val="21"/>
              </w:rPr>
            </w:pPr>
          </w:p>
        </w:tc>
        <w:tc>
          <w:tcPr>
            <w:tcW w:w="2024" w:type="dxa"/>
            <w:vMerge w:val="continue"/>
            <w:tcBorders>
              <w:top w:val="single" w:color="auto" w:sz="4" w:space="0"/>
              <w:left w:val="single" w:color="auto" w:sz="4" w:space="0"/>
              <w:bottom w:val="single" w:color="auto" w:sz="4" w:space="0"/>
              <w:right w:val="single" w:color="auto" w:sz="4" w:space="0"/>
            </w:tcBorders>
            <w:noWrap w:val="0"/>
            <w:vAlign w:val="center"/>
          </w:tcPr>
          <w:p w14:paraId="374ED64F">
            <w:pPr>
              <w:widowControl/>
              <w:jc w:val="center"/>
              <w:rPr>
                <w:rFonts w:hint="eastAsia" w:ascii="仿宋" w:hAnsi="仿宋" w:eastAsia="仿宋" w:cs="仿宋"/>
                <w:szCs w:val="21"/>
              </w:rPr>
            </w:pPr>
          </w:p>
        </w:tc>
      </w:tr>
      <w:tr w14:paraId="5892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14:paraId="6106E6A7">
            <w:pPr>
              <w:widowControl/>
              <w:jc w:val="center"/>
              <w:rPr>
                <w:rFonts w:hint="eastAsia" w:ascii="仿宋" w:hAnsi="仿宋" w:eastAsia="仿宋" w:cs="仿宋"/>
                <w:szCs w:val="21"/>
              </w:rPr>
            </w:pPr>
          </w:p>
        </w:tc>
        <w:tc>
          <w:tcPr>
            <w:tcW w:w="1620" w:type="dxa"/>
            <w:vMerge w:val="continue"/>
            <w:tcBorders>
              <w:left w:val="single" w:color="auto" w:sz="4" w:space="0"/>
              <w:right w:val="single" w:color="auto" w:sz="4" w:space="0"/>
            </w:tcBorders>
            <w:noWrap w:val="0"/>
            <w:vAlign w:val="center"/>
          </w:tcPr>
          <w:p w14:paraId="4941E1AF">
            <w:pPr>
              <w:widowControl/>
              <w:jc w:val="center"/>
              <w:rPr>
                <w:rFonts w:hint="eastAsia" w:ascii="仿宋" w:hAnsi="仿宋" w:eastAsia="仿宋" w:cs="仿宋"/>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944353">
            <w:pPr>
              <w:spacing w:line="300" w:lineRule="exact"/>
              <w:jc w:val="left"/>
              <w:rPr>
                <w:rFonts w:hint="eastAsia" w:ascii="仿宋" w:hAnsi="仿宋" w:eastAsia="仿宋" w:cs="仿宋"/>
                <w:szCs w:val="21"/>
              </w:rPr>
            </w:pPr>
            <w:r>
              <w:rPr>
                <w:rFonts w:hint="eastAsia" w:ascii="仿宋" w:hAnsi="仿宋" w:eastAsia="仿宋" w:cs="仿宋"/>
                <w:szCs w:val="21"/>
              </w:rPr>
              <w:t>生育保险</w:t>
            </w: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14:paraId="1F3CC33C">
            <w:pPr>
              <w:widowControl/>
              <w:jc w:val="center"/>
              <w:rPr>
                <w:rFonts w:hint="eastAsia" w:ascii="仿宋" w:hAnsi="仿宋" w:eastAsia="仿宋" w:cs="仿宋"/>
                <w:szCs w:val="21"/>
              </w:rPr>
            </w:pPr>
          </w:p>
        </w:tc>
        <w:tc>
          <w:tcPr>
            <w:tcW w:w="2024" w:type="dxa"/>
            <w:vMerge w:val="continue"/>
            <w:tcBorders>
              <w:top w:val="single" w:color="auto" w:sz="4" w:space="0"/>
              <w:left w:val="single" w:color="auto" w:sz="4" w:space="0"/>
              <w:bottom w:val="single" w:color="auto" w:sz="4" w:space="0"/>
              <w:right w:val="single" w:color="auto" w:sz="4" w:space="0"/>
            </w:tcBorders>
            <w:noWrap w:val="0"/>
            <w:vAlign w:val="center"/>
          </w:tcPr>
          <w:p w14:paraId="17AE93E1">
            <w:pPr>
              <w:widowControl/>
              <w:jc w:val="center"/>
              <w:rPr>
                <w:rFonts w:hint="eastAsia" w:ascii="仿宋" w:hAnsi="仿宋" w:eastAsia="仿宋" w:cs="仿宋"/>
                <w:szCs w:val="21"/>
              </w:rPr>
            </w:pPr>
          </w:p>
        </w:tc>
      </w:tr>
      <w:tr w14:paraId="7BE3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14:paraId="5B1D175A">
            <w:pPr>
              <w:widowControl/>
              <w:jc w:val="center"/>
              <w:rPr>
                <w:rFonts w:hint="eastAsia" w:ascii="仿宋" w:hAnsi="仿宋" w:eastAsia="仿宋" w:cs="仿宋"/>
                <w:szCs w:val="21"/>
              </w:rPr>
            </w:pPr>
          </w:p>
        </w:tc>
        <w:tc>
          <w:tcPr>
            <w:tcW w:w="1620" w:type="dxa"/>
            <w:vMerge w:val="continue"/>
            <w:tcBorders>
              <w:left w:val="single" w:color="auto" w:sz="4" w:space="0"/>
              <w:right w:val="single" w:color="auto" w:sz="4" w:space="0"/>
            </w:tcBorders>
            <w:noWrap w:val="0"/>
            <w:vAlign w:val="center"/>
          </w:tcPr>
          <w:p w14:paraId="18E9D279">
            <w:pPr>
              <w:widowControl/>
              <w:jc w:val="center"/>
              <w:rPr>
                <w:rFonts w:hint="eastAsia" w:ascii="仿宋" w:hAnsi="仿宋" w:eastAsia="仿宋" w:cs="仿宋"/>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1D31704">
            <w:pPr>
              <w:spacing w:line="300" w:lineRule="exact"/>
              <w:jc w:val="left"/>
              <w:rPr>
                <w:rFonts w:hint="eastAsia" w:ascii="仿宋" w:hAnsi="仿宋" w:eastAsia="仿宋" w:cs="仿宋"/>
                <w:szCs w:val="21"/>
              </w:rPr>
            </w:pPr>
            <w:r>
              <w:rPr>
                <w:rFonts w:hint="eastAsia" w:ascii="仿宋" w:hAnsi="仿宋" w:eastAsia="仿宋" w:cs="仿宋"/>
                <w:szCs w:val="21"/>
              </w:rPr>
              <w:t>工伤保险</w:t>
            </w: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14:paraId="31966916">
            <w:pPr>
              <w:widowControl/>
              <w:jc w:val="center"/>
              <w:rPr>
                <w:rFonts w:hint="eastAsia" w:ascii="仿宋" w:hAnsi="仿宋" w:eastAsia="仿宋" w:cs="仿宋"/>
                <w:szCs w:val="21"/>
              </w:rPr>
            </w:pPr>
          </w:p>
        </w:tc>
        <w:tc>
          <w:tcPr>
            <w:tcW w:w="2024" w:type="dxa"/>
            <w:vMerge w:val="continue"/>
            <w:tcBorders>
              <w:top w:val="single" w:color="auto" w:sz="4" w:space="0"/>
              <w:left w:val="single" w:color="auto" w:sz="4" w:space="0"/>
              <w:bottom w:val="single" w:color="auto" w:sz="4" w:space="0"/>
              <w:right w:val="single" w:color="auto" w:sz="4" w:space="0"/>
            </w:tcBorders>
            <w:noWrap w:val="0"/>
            <w:vAlign w:val="center"/>
          </w:tcPr>
          <w:p w14:paraId="2713DE3B">
            <w:pPr>
              <w:widowControl/>
              <w:jc w:val="center"/>
              <w:rPr>
                <w:rFonts w:hint="eastAsia" w:ascii="仿宋" w:hAnsi="仿宋" w:eastAsia="仿宋" w:cs="仿宋"/>
                <w:szCs w:val="21"/>
              </w:rPr>
            </w:pPr>
          </w:p>
        </w:tc>
      </w:tr>
      <w:tr w14:paraId="65CA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bottom w:val="single" w:color="auto" w:sz="4" w:space="0"/>
              <w:right w:val="single" w:color="auto" w:sz="4" w:space="0"/>
            </w:tcBorders>
            <w:noWrap w:val="0"/>
            <w:vAlign w:val="center"/>
          </w:tcPr>
          <w:p w14:paraId="72F39DBC">
            <w:pPr>
              <w:widowControl/>
              <w:jc w:val="center"/>
              <w:rPr>
                <w:rFonts w:hint="eastAsia" w:ascii="仿宋" w:hAnsi="仿宋" w:eastAsia="仿宋" w:cs="仿宋"/>
                <w:szCs w:val="21"/>
              </w:rPr>
            </w:pPr>
          </w:p>
        </w:tc>
        <w:tc>
          <w:tcPr>
            <w:tcW w:w="1620" w:type="dxa"/>
            <w:vMerge w:val="continue"/>
            <w:tcBorders>
              <w:left w:val="single" w:color="auto" w:sz="4" w:space="0"/>
              <w:bottom w:val="single" w:color="auto" w:sz="4" w:space="0"/>
              <w:right w:val="single" w:color="auto" w:sz="4" w:space="0"/>
            </w:tcBorders>
            <w:noWrap w:val="0"/>
            <w:vAlign w:val="center"/>
          </w:tcPr>
          <w:p w14:paraId="0629DCB4">
            <w:pPr>
              <w:widowControl/>
              <w:jc w:val="center"/>
              <w:rPr>
                <w:rFonts w:hint="eastAsia" w:ascii="仿宋" w:hAnsi="仿宋" w:eastAsia="仿宋" w:cs="仿宋"/>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14:paraId="4F637236">
            <w:pPr>
              <w:spacing w:line="300" w:lineRule="exact"/>
              <w:jc w:val="left"/>
              <w:rPr>
                <w:rFonts w:hint="eastAsia" w:ascii="仿宋" w:hAnsi="仿宋" w:eastAsia="仿宋" w:cs="仿宋"/>
                <w:szCs w:val="21"/>
              </w:rPr>
            </w:pPr>
            <w:r>
              <w:rPr>
                <w:rFonts w:hint="eastAsia" w:ascii="仿宋" w:hAnsi="仿宋" w:eastAsia="仿宋" w:cs="仿宋"/>
                <w:szCs w:val="21"/>
              </w:rPr>
              <w:t>住房公积金</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7CAE57A8">
            <w:pPr>
              <w:widowControl/>
              <w:jc w:val="center"/>
              <w:rPr>
                <w:rFonts w:hint="eastAsia" w:ascii="仿宋" w:hAnsi="仿宋" w:eastAsia="仿宋" w:cs="仿宋"/>
                <w:szCs w:val="21"/>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43BEE167">
            <w:pPr>
              <w:widowControl/>
              <w:jc w:val="center"/>
              <w:rPr>
                <w:rFonts w:hint="eastAsia" w:ascii="仿宋" w:hAnsi="仿宋" w:eastAsia="仿宋" w:cs="仿宋"/>
                <w:szCs w:val="21"/>
              </w:rPr>
            </w:pPr>
          </w:p>
        </w:tc>
      </w:tr>
      <w:tr w14:paraId="54A4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tcBorders>
              <w:left w:val="single" w:color="auto" w:sz="4" w:space="0"/>
              <w:bottom w:val="single" w:color="auto" w:sz="4" w:space="0"/>
              <w:right w:val="single" w:color="auto" w:sz="4" w:space="0"/>
            </w:tcBorders>
            <w:noWrap w:val="0"/>
            <w:vAlign w:val="center"/>
          </w:tcPr>
          <w:p w14:paraId="2895C0DA">
            <w:pPr>
              <w:widowControl/>
              <w:jc w:val="center"/>
              <w:rPr>
                <w:rFonts w:hint="default" w:ascii="仿宋" w:hAnsi="仿宋" w:eastAsia="仿宋" w:cs="仿宋"/>
                <w:szCs w:val="21"/>
                <w:lang w:val="en-US" w:eastAsia="zh-CN"/>
              </w:rPr>
            </w:pPr>
            <w:r>
              <w:rPr>
                <w:rFonts w:hint="eastAsia" w:ascii="仿宋" w:hAnsi="仿宋" w:eastAsia="仿宋" w:cs="仿宋"/>
                <w:szCs w:val="21"/>
                <w:lang w:val="en-US" w:eastAsia="zh-CN"/>
              </w:rPr>
              <w:t>其他</w:t>
            </w:r>
          </w:p>
        </w:tc>
        <w:tc>
          <w:tcPr>
            <w:tcW w:w="1620" w:type="dxa"/>
            <w:tcBorders>
              <w:left w:val="single" w:color="auto" w:sz="4" w:space="0"/>
              <w:bottom w:val="single" w:color="auto" w:sz="4" w:space="0"/>
              <w:right w:val="single" w:color="auto" w:sz="4" w:space="0"/>
            </w:tcBorders>
            <w:noWrap w:val="0"/>
            <w:vAlign w:val="center"/>
          </w:tcPr>
          <w:p w14:paraId="0693C37B">
            <w:pPr>
              <w:widowControl/>
              <w:jc w:val="center"/>
              <w:rPr>
                <w:rFonts w:hint="default" w:ascii="仿宋" w:hAnsi="仿宋" w:eastAsia="仿宋" w:cs="仿宋"/>
                <w:szCs w:val="21"/>
                <w:lang w:val="en-US" w:eastAsia="zh-CN"/>
              </w:rPr>
            </w:pPr>
            <w:r>
              <w:rPr>
                <w:rFonts w:hint="eastAsia" w:ascii="仿宋" w:hAnsi="仿宋" w:eastAsia="仿宋" w:cs="仿宋"/>
                <w:szCs w:val="21"/>
                <w:lang w:val="en-US" w:eastAsia="zh-CN"/>
              </w:rPr>
              <w:t>其他</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0A320AAF">
            <w:pPr>
              <w:spacing w:line="300" w:lineRule="exact"/>
              <w:jc w:val="left"/>
              <w:rPr>
                <w:rFonts w:hint="default" w:ascii="仿宋" w:hAnsi="仿宋" w:eastAsia="仿宋" w:cs="仿宋"/>
                <w:szCs w:val="21"/>
                <w:lang w:val="en-US" w:eastAsia="zh-CN"/>
              </w:rPr>
            </w:pPr>
            <w:r>
              <w:rPr>
                <w:rFonts w:hint="eastAsia" w:ascii="仿宋" w:hAnsi="仿宋" w:eastAsia="仿宋" w:cs="仿宋"/>
                <w:szCs w:val="21"/>
                <w:lang w:val="en-US" w:eastAsia="zh-CN"/>
              </w:rPr>
              <w:t>如有</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0345A807">
            <w:pPr>
              <w:widowControl/>
              <w:jc w:val="center"/>
              <w:rPr>
                <w:rFonts w:hint="eastAsia" w:ascii="仿宋" w:hAnsi="仿宋" w:eastAsia="仿宋" w:cs="仿宋"/>
                <w:szCs w:val="21"/>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04349FA5">
            <w:pPr>
              <w:widowControl/>
              <w:jc w:val="center"/>
              <w:rPr>
                <w:rFonts w:hint="eastAsia" w:ascii="仿宋" w:hAnsi="仿宋" w:eastAsia="仿宋" w:cs="仿宋"/>
                <w:szCs w:val="21"/>
              </w:rPr>
            </w:pPr>
          </w:p>
        </w:tc>
      </w:tr>
      <w:tr w14:paraId="6CB9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95" w:type="dxa"/>
            <w:gridSpan w:val="3"/>
            <w:tcBorders>
              <w:top w:val="single" w:color="auto" w:sz="4" w:space="0"/>
              <w:left w:val="single" w:color="auto" w:sz="4" w:space="0"/>
              <w:bottom w:val="single" w:color="auto" w:sz="4" w:space="0"/>
              <w:right w:val="single" w:color="auto" w:sz="4" w:space="0"/>
            </w:tcBorders>
            <w:noWrap w:val="0"/>
            <w:vAlign w:val="center"/>
          </w:tcPr>
          <w:p w14:paraId="3C77E919">
            <w:pPr>
              <w:widowControl/>
              <w:jc w:val="center"/>
              <w:rPr>
                <w:rFonts w:hint="eastAsia" w:ascii="仿宋" w:hAnsi="仿宋" w:eastAsia="仿宋" w:cs="仿宋"/>
                <w:szCs w:val="21"/>
              </w:rPr>
            </w:pPr>
            <w:r>
              <w:rPr>
                <w:rFonts w:hint="eastAsia" w:ascii="仿宋" w:hAnsi="仿宋" w:eastAsia="仿宋" w:cs="仿宋"/>
                <w:szCs w:val="21"/>
              </w:rPr>
              <w:t>合计（</w:t>
            </w:r>
            <w:r>
              <w:rPr>
                <w:rFonts w:hint="eastAsia" w:ascii="仿宋" w:hAnsi="仿宋" w:eastAsia="仿宋" w:cs="仿宋"/>
                <w:szCs w:val="21"/>
                <w:lang w:val="en-US" w:eastAsia="zh-CN"/>
              </w:rPr>
              <w:t>元/</w:t>
            </w:r>
            <w:r>
              <w:rPr>
                <w:rFonts w:hint="eastAsia" w:ascii="仿宋" w:hAnsi="仿宋" w:eastAsia="仿宋" w:cs="仿宋"/>
                <w:szCs w:val="21"/>
              </w:rPr>
              <w:t>年）</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085FF831">
            <w:pPr>
              <w:widowControl/>
              <w:jc w:val="center"/>
              <w:rPr>
                <w:rFonts w:hint="eastAsia" w:ascii="仿宋" w:hAnsi="仿宋" w:eastAsia="仿宋" w:cs="仿宋"/>
                <w:szCs w:val="21"/>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5D818A68">
            <w:pPr>
              <w:widowControl/>
              <w:jc w:val="center"/>
              <w:rPr>
                <w:rFonts w:hint="eastAsia" w:ascii="仿宋" w:hAnsi="仿宋" w:eastAsia="仿宋" w:cs="仿宋"/>
                <w:szCs w:val="21"/>
              </w:rPr>
            </w:pPr>
          </w:p>
        </w:tc>
      </w:tr>
    </w:tbl>
    <w:p w14:paraId="397740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特别</w:t>
      </w:r>
      <w:r>
        <w:rPr>
          <w:rFonts w:hint="eastAsia" w:ascii="仿宋" w:hAnsi="仿宋" w:eastAsia="仿宋" w:cs="仿宋"/>
          <w:szCs w:val="21"/>
        </w:rPr>
        <w:t>说明：▲</w:t>
      </w:r>
      <w:r>
        <w:rPr>
          <w:rFonts w:hint="eastAsia" w:ascii="仿宋" w:hAnsi="仿宋" w:eastAsia="仿宋" w:cs="仿宋"/>
          <w:szCs w:val="21"/>
          <w:lang w:val="en-US" w:eastAsia="zh-CN"/>
        </w:rPr>
        <w:t>1、基本工资不得低于《宁波市人民政府关于调整全市最低工资标准的通知》（甬政发〔2024〕27号）规定的象山县最低工资标准的规定的2260元/月的1.1倍计，即不得低于2486元/月；</w:t>
      </w:r>
    </w:p>
    <w:p w14:paraId="5B31CC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rPr>
        <w:t>▲</w:t>
      </w:r>
      <w:r>
        <w:rPr>
          <w:rFonts w:hint="eastAsia" w:ascii="仿宋" w:hAnsi="仿宋" w:eastAsia="仿宋" w:cs="仿宋"/>
          <w:szCs w:val="21"/>
          <w:lang w:val="en-US" w:eastAsia="zh-CN"/>
        </w:rPr>
        <w:t>2、夏季高温费不得低于《浙江省人力资源和社会保障厅关于调整企业夏季高温津贴标准有关问题的通知》浙人社发〔2018〕65 号规定的室外作业人员标准，即300元/人/月×4月=1200元/人；</w:t>
      </w:r>
    </w:p>
    <w:p w14:paraId="1D4353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、法定节假日加班和单休日加班必须根据《劳动法》第四十四条第(二)款规定执行，每月按21.75天计算，即月基本工资÷21.75×倍数，其中法定节假日加班费不得低于</w:t>
      </w:r>
      <w:r>
        <w:rPr>
          <w:rFonts w:hint="eastAsia" w:ascii="仿宋" w:hAnsi="仿宋" w:eastAsia="仿宋" w:cs="仿宋"/>
          <w:szCs w:val="21"/>
          <w:lang w:val="en-US" w:eastAsia="zh-CN"/>
        </w:rPr>
        <w:t>342.8</w:t>
      </w:r>
      <w:r>
        <w:rPr>
          <w:rFonts w:hint="eastAsia" w:ascii="仿宋" w:hAnsi="仿宋" w:eastAsia="仿宋" w:cs="仿宋"/>
          <w:szCs w:val="21"/>
        </w:rPr>
        <w:t>元/天，单休日加班费不得低于</w:t>
      </w:r>
      <w:r>
        <w:rPr>
          <w:rFonts w:hint="eastAsia" w:ascii="仿宋" w:hAnsi="仿宋" w:eastAsia="仿宋" w:cs="仿宋"/>
          <w:szCs w:val="21"/>
          <w:lang w:val="en-US" w:eastAsia="zh-CN"/>
        </w:rPr>
        <w:t>228.5</w:t>
      </w:r>
      <w:r>
        <w:rPr>
          <w:rFonts w:hint="eastAsia" w:ascii="仿宋" w:hAnsi="仿宋" w:eastAsia="仿宋" w:cs="仿宋"/>
          <w:szCs w:val="21"/>
        </w:rPr>
        <w:t>元/天；</w:t>
      </w:r>
    </w:p>
    <w:p w14:paraId="0B53C0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Cs w:val="21"/>
          <w:lang w:eastAsia="zh-CN"/>
        </w:rPr>
      </w:pPr>
      <w:r>
        <w:rPr>
          <w:rFonts w:hint="eastAsia" w:ascii="仿宋" w:hAnsi="仿宋" w:eastAsia="仿宋" w:cs="仿宋"/>
          <w:szCs w:val="21"/>
        </w:rPr>
        <w:t>▲</w:t>
      </w:r>
      <w:r>
        <w:rPr>
          <w:rFonts w:hint="eastAsia" w:ascii="仿宋" w:hAnsi="仿宋" w:eastAsia="仿宋" w:cs="仿宋"/>
          <w:szCs w:val="21"/>
          <w:lang w:val="en-US" w:eastAsia="zh-CN"/>
        </w:rPr>
        <w:t>4</w:t>
      </w:r>
      <w:r>
        <w:rPr>
          <w:rFonts w:hint="eastAsia" w:ascii="仿宋" w:hAnsi="仿宋" w:eastAsia="仿宋" w:cs="仿宋"/>
          <w:szCs w:val="21"/>
        </w:rPr>
        <w:t>、</w:t>
      </w:r>
      <w:r>
        <w:rPr>
          <w:rFonts w:hint="eastAsia" w:ascii="仿宋" w:hAnsi="仿宋" w:eastAsia="仿宋" w:cs="仿宋"/>
          <w:szCs w:val="21"/>
          <w:lang w:val="en-US" w:eastAsia="zh-CN"/>
        </w:rPr>
        <w:t>社保缴费基数</w:t>
      </w:r>
      <w:r>
        <w:rPr>
          <w:rFonts w:hint="eastAsia" w:ascii="仿宋" w:hAnsi="仿宋" w:eastAsia="仿宋" w:cs="仿宋"/>
          <w:szCs w:val="21"/>
        </w:rPr>
        <w:t>根据《关于公布2024年社会保险有关基数的通知》（浙人社发〔2024〕61号）</w:t>
      </w:r>
      <w:r>
        <w:rPr>
          <w:rFonts w:hint="eastAsia" w:ascii="仿宋" w:hAnsi="仿宋" w:eastAsia="仿宋" w:cs="仿宋"/>
          <w:szCs w:val="21"/>
          <w:lang w:val="en-US" w:eastAsia="zh-CN"/>
        </w:rPr>
        <w:t>执行即4812元/月</w:t>
      </w:r>
      <w:r>
        <w:rPr>
          <w:rFonts w:hint="eastAsia" w:ascii="仿宋" w:hAnsi="仿宋" w:eastAsia="仿宋" w:cs="仿宋"/>
          <w:szCs w:val="21"/>
        </w:rPr>
        <w:t>，</w:t>
      </w:r>
      <w:r>
        <w:rPr>
          <w:rFonts w:hint="eastAsia" w:ascii="仿宋" w:hAnsi="仿宋" w:eastAsia="仿宋" w:cs="仿宋"/>
          <w:szCs w:val="21"/>
          <w:lang w:eastAsia="zh-CN"/>
        </w:rPr>
        <w:t>（</w:t>
      </w:r>
      <w:r>
        <w:rPr>
          <w:rFonts w:hint="eastAsia" w:ascii="仿宋" w:hAnsi="仿宋" w:eastAsia="仿宋" w:cs="仿宋"/>
          <w:szCs w:val="21"/>
          <w:lang w:val="en-US" w:eastAsia="zh-CN"/>
        </w:rPr>
        <w:t>基本养老保险、失业保险、工伤保险、基本医疗保险）</w:t>
      </w:r>
      <w:r>
        <w:rPr>
          <w:rFonts w:hint="eastAsia" w:ascii="仿宋" w:hAnsi="仿宋" w:eastAsia="仿宋" w:cs="仿宋"/>
          <w:szCs w:val="21"/>
        </w:rPr>
        <w:t>合计缴</w:t>
      </w:r>
      <w:r>
        <w:rPr>
          <w:rFonts w:hint="eastAsia" w:ascii="仿宋" w:hAnsi="仿宋" w:eastAsia="仿宋" w:cs="仿宋"/>
          <w:szCs w:val="21"/>
          <w:lang w:val="en-US" w:eastAsia="zh-CN"/>
        </w:rPr>
        <w:t>存费率</w:t>
      </w:r>
      <w:r>
        <w:rPr>
          <w:rFonts w:hint="eastAsia" w:ascii="仿宋" w:hAnsi="仿宋" w:eastAsia="仿宋" w:cs="仿宋"/>
          <w:szCs w:val="21"/>
        </w:rPr>
        <w:t>不低于24.</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eastAsia="zh-CN"/>
        </w:rPr>
        <w:t>，</w:t>
      </w:r>
      <w:r>
        <w:rPr>
          <w:rFonts w:hint="eastAsia" w:ascii="仿宋" w:hAnsi="仿宋" w:eastAsia="仿宋" w:cs="仿宋"/>
          <w:b/>
          <w:bCs/>
          <w:szCs w:val="21"/>
        </w:rPr>
        <w:t>本项目要求对所有</w:t>
      </w:r>
      <w:r>
        <w:rPr>
          <w:rFonts w:hint="eastAsia" w:ascii="仿宋" w:hAnsi="仿宋" w:eastAsia="仿宋" w:cs="仿宋"/>
          <w:b/>
          <w:bCs/>
          <w:szCs w:val="21"/>
          <w:lang w:val="en-US" w:eastAsia="zh-CN"/>
        </w:rPr>
        <w:t>人</w:t>
      </w:r>
      <w:r>
        <w:rPr>
          <w:rFonts w:hint="eastAsia" w:ascii="仿宋" w:hAnsi="仿宋" w:eastAsia="仿宋" w:cs="仿宋"/>
          <w:b/>
          <w:bCs/>
          <w:szCs w:val="21"/>
        </w:rPr>
        <w:t>员缴纳社保</w:t>
      </w:r>
      <w:r>
        <w:rPr>
          <w:rFonts w:hint="eastAsia" w:ascii="仿宋" w:hAnsi="仿宋" w:eastAsia="仿宋" w:cs="仿宋"/>
          <w:b/>
          <w:bCs/>
          <w:szCs w:val="21"/>
          <w:lang w:eastAsia="zh-CN"/>
        </w:rPr>
        <w:t>。</w:t>
      </w:r>
    </w:p>
    <w:p w14:paraId="0097F9D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 w:hAnsi="仿宋" w:eastAsia="仿宋" w:cs="仿宋"/>
          <w:b/>
          <w:bCs/>
          <w:szCs w:val="21"/>
        </w:rPr>
      </w:pPr>
      <w:r>
        <w:rPr>
          <w:rFonts w:hint="eastAsia" w:ascii="仿宋" w:hAnsi="仿宋" w:eastAsia="仿宋" w:cs="仿宋"/>
          <w:b/>
          <w:bCs/>
          <w:szCs w:val="21"/>
        </w:rPr>
        <w:t>投标人人员报价低于上述标准的，做无效标处理。</w:t>
      </w:r>
    </w:p>
    <w:p w14:paraId="6BE950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5、以上政策性文件如有最新文件按最新文件执行。</w:t>
      </w:r>
    </w:p>
    <w:p w14:paraId="237249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不同岗位的人员工资不一致的必须分开测算。</w:t>
      </w:r>
    </w:p>
    <w:p w14:paraId="5F1062EF">
      <w:pPr>
        <w:tabs>
          <w:tab w:val="left" w:pos="2520"/>
        </w:tabs>
        <w:spacing w:line="360" w:lineRule="auto"/>
        <w:ind w:firstLine="480"/>
        <w:rPr>
          <w:rFonts w:hint="eastAsia"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2、服务人员年度工资及福利汇总表</w:t>
      </w:r>
    </w:p>
    <w:tbl>
      <w:tblPr>
        <w:tblStyle w:val="2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661"/>
        <w:gridCol w:w="1649"/>
        <w:gridCol w:w="2063"/>
        <w:gridCol w:w="1843"/>
      </w:tblGrid>
      <w:tr w14:paraId="53E3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1" w:type="dxa"/>
            <w:noWrap w:val="0"/>
            <w:vAlign w:val="center"/>
          </w:tcPr>
          <w:p w14:paraId="392A52D9">
            <w:pPr>
              <w:tabs>
                <w:tab w:val="left" w:pos="2520"/>
              </w:tabs>
              <w:jc w:val="center"/>
              <w:rPr>
                <w:rFonts w:hint="eastAsia" w:ascii="仿宋" w:hAnsi="仿宋" w:eastAsia="仿宋" w:cs="仿宋"/>
                <w:b/>
                <w:szCs w:val="21"/>
              </w:rPr>
            </w:pPr>
            <w:r>
              <w:rPr>
                <w:rFonts w:hint="eastAsia" w:ascii="仿宋" w:hAnsi="仿宋" w:eastAsia="仿宋" w:cs="仿宋"/>
                <w:b/>
                <w:szCs w:val="21"/>
              </w:rPr>
              <w:t>序号</w:t>
            </w:r>
          </w:p>
        </w:tc>
        <w:tc>
          <w:tcPr>
            <w:tcW w:w="2661" w:type="dxa"/>
            <w:noWrap w:val="0"/>
            <w:vAlign w:val="center"/>
          </w:tcPr>
          <w:p w14:paraId="457578FF">
            <w:pPr>
              <w:tabs>
                <w:tab w:val="left" w:pos="2520"/>
              </w:tabs>
              <w:jc w:val="center"/>
              <w:rPr>
                <w:rFonts w:hint="eastAsia" w:ascii="仿宋" w:hAnsi="仿宋" w:eastAsia="仿宋" w:cs="仿宋"/>
                <w:b/>
                <w:szCs w:val="21"/>
              </w:rPr>
            </w:pPr>
            <w:r>
              <w:rPr>
                <w:rFonts w:hint="eastAsia" w:ascii="仿宋" w:hAnsi="仿宋" w:eastAsia="仿宋" w:cs="仿宋"/>
                <w:b/>
                <w:szCs w:val="21"/>
              </w:rPr>
              <w:t>岗位类型</w:t>
            </w:r>
          </w:p>
        </w:tc>
        <w:tc>
          <w:tcPr>
            <w:tcW w:w="1649" w:type="dxa"/>
            <w:noWrap w:val="0"/>
            <w:vAlign w:val="center"/>
          </w:tcPr>
          <w:p w14:paraId="7731A11C">
            <w:pPr>
              <w:tabs>
                <w:tab w:val="left" w:pos="2520"/>
              </w:tabs>
              <w:jc w:val="center"/>
              <w:rPr>
                <w:rFonts w:hint="eastAsia" w:ascii="仿宋" w:hAnsi="仿宋" w:eastAsia="仿宋" w:cs="仿宋"/>
                <w:b/>
                <w:szCs w:val="21"/>
              </w:rPr>
            </w:pPr>
            <w:r>
              <w:rPr>
                <w:rFonts w:hint="eastAsia" w:ascii="仿宋" w:hAnsi="仿宋" w:eastAsia="仿宋" w:cs="仿宋"/>
                <w:b/>
                <w:szCs w:val="21"/>
              </w:rPr>
              <w:t>人员数量（人）</w:t>
            </w:r>
          </w:p>
        </w:tc>
        <w:tc>
          <w:tcPr>
            <w:tcW w:w="2063" w:type="dxa"/>
            <w:noWrap w:val="0"/>
            <w:vAlign w:val="center"/>
          </w:tcPr>
          <w:p w14:paraId="4B121310">
            <w:pPr>
              <w:tabs>
                <w:tab w:val="left" w:pos="2520"/>
              </w:tabs>
              <w:jc w:val="center"/>
              <w:rPr>
                <w:rFonts w:hint="eastAsia" w:ascii="仿宋" w:hAnsi="仿宋" w:eastAsia="仿宋" w:cs="仿宋"/>
                <w:b/>
                <w:szCs w:val="21"/>
              </w:rPr>
            </w:pPr>
            <w:r>
              <w:rPr>
                <w:rFonts w:hint="eastAsia" w:ascii="仿宋" w:hAnsi="仿宋" w:eastAsia="仿宋" w:cs="仿宋"/>
                <w:b/>
                <w:szCs w:val="21"/>
              </w:rPr>
              <w:t>年工资（元/人）</w:t>
            </w:r>
          </w:p>
        </w:tc>
        <w:tc>
          <w:tcPr>
            <w:tcW w:w="1843" w:type="dxa"/>
            <w:noWrap w:val="0"/>
            <w:vAlign w:val="center"/>
          </w:tcPr>
          <w:p w14:paraId="2EADAC7A">
            <w:pPr>
              <w:tabs>
                <w:tab w:val="left" w:pos="2520"/>
              </w:tabs>
              <w:jc w:val="center"/>
              <w:rPr>
                <w:rFonts w:hint="eastAsia" w:ascii="仿宋" w:hAnsi="仿宋" w:eastAsia="仿宋" w:cs="仿宋"/>
                <w:b/>
                <w:szCs w:val="21"/>
              </w:rPr>
            </w:pPr>
            <w:r>
              <w:rPr>
                <w:rFonts w:hint="eastAsia" w:ascii="仿宋" w:hAnsi="仿宋" w:eastAsia="仿宋" w:cs="仿宋"/>
                <w:b/>
                <w:szCs w:val="21"/>
              </w:rPr>
              <w:t>工资总计</w:t>
            </w:r>
          </w:p>
          <w:p w14:paraId="0FFA9583">
            <w:pPr>
              <w:tabs>
                <w:tab w:val="left" w:pos="2520"/>
              </w:tabs>
              <w:jc w:val="center"/>
              <w:rPr>
                <w:rFonts w:hint="eastAsia" w:ascii="仿宋" w:hAnsi="仿宋" w:eastAsia="仿宋" w:cs="仿宋"/>
                <w:b/>
                <w:szCs w:val="21"/>
              </w:rPr>
            </w:pPr>
            <w:r>
              <w:rPr>
                <w:rFonts w:hint="eastAsia" w:ascii="仿宋" w:hAnsi="仿宋" w:eastAsia="仿宋" w:cs="仿宋"/>
                <w:b/>
                <w:szCs w:val="21"/>
              </w:rPr>
              <w:t>（元/年）</w:t>
            </w:r>
          </w:p>
        </w:tc>
      </w:tr>
      <w:tr w14:paraId="3137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1" w:type="dxa"/>
            <w:noWrap w:val="0"/>
            <w:vAlign w:val="center"/>
          </w:tcPr>
          <w:p w14:paraId="2A13B51C">
            <w:pPr>
              <w:tabs>
                <w:tab w:val="left" w:pos="2520"/>
              </w:tabs>
              <w:spacing w:line="360" w:lineRule="auto"/>
              <w:jc w:val="center"/>
              <w:rPr>
                <w:rFonts w:hint="eastAsia" w:ascii="仿宋" w:hAnsi="仿宋" w:eastAsia="仿宋" w:cs="仿宋"/>
                <w:bCs/>
                <w:szCs w:val="21"/>
              </w:rPr>
            </w:pPr>
            <w:r>
              <w:rPr>
                <w:rFonts w:hint="eastAsia" w:ascii="仿宋" w:hAnsi="仿宋" w:eastAsia="仿宋" w:cs="仿宋"/>
                <w:bCs/>
                <w:szCs w:val="21"/>
              </w:rPr>
              <w:t>1</w:t>
            </w:r>
          </w:p>
        </w:tc>
        <w:tc>
          <w:tcPr>
            <w:tcW w:w="2661" w:type="dxa"/>
            <w:noWrap w:val="0"/>
            <w:vAlign w:val="bottom"/>
          </w:tcPr>
          <w:p w14:paraId="4C66D660">
            <w:pPr>
              <w:tabs>
                <w:tab w:val="left" w:pos="2520"/>
              </w:tabs>
              <w:spacing w:line="360" w:lineRule="auto"/>
              <w:jc w:val="center"/>
              <w:rPr>
                <w:rFonts w:hint="eastAsia" w:ascii="仿宋" w:hAnsi="仿宋" w:eastAsia="仿宋" w:cs="仿宋"/>
                <w:bCs/>
                <w:szCs w:val="21"/>
              </w:rPr>
            </w:pPr>
            <w:r>
              <w:rPr>
                <w:rFonts w:hint="eastAsia" w:ascii="仿宋" w:hAnsi="仿宋" w:eastAsia="仿宋" w:cs="仿宋"/>
                <w:bCs/>
                <w:szCs w:val="21"/>
                <w:lang w:val="en-US" w:eastAsia="zh-CN"/>
              </w:rPr>
              <w:t>管理人员</w:t>
            </w:r>
          </w:p>
        </w:tc>
        <w:tc>
          <w:tcPr>
            <w:tcW w:w="1649" w:type="dxa"/>
            <w:noWrap w:val="0"/>
            <w:vAlign w:val="center"/>
          </w:tcPr>
          <w:p w14:paraId="7C83D0F9">
            <w:pPr>
              <w:tabs>
                <w:tab w:val="left" w:pos="2520"/>
              </w:tabs>
              <w:spacing w:line="360" w:lineRule="auto"/>
              <w:jc w:val="center"/>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w:t>
            </w:r>
          </w:p>
        </w:tc>
        <w:tc>
          <w:tcPr>
            <w:tcW w:w="2063" w:type="dxa"/>
            <w:noWrap w:val="0"/>
            <w:vAlign w:val="center"/>
          </w:tcPr>
          <w:p w14:paraId="456337A7">
            <w:pPr>
              <w:tabs>
                <w:tab w:val="left" w:pos="2520"/>
              </w:tabs>
              <w:spacing w:line="360" w:lineRule="auto"/>
              <w:jc w:val="center"/>
              <w:rPr>
                <w:rFonts w:hint="eastAsia" w:ascii="仿宋" w:hAnsi="仿宋" w:eastAsia="仿宋" w:cs="仿宋"/>
                <w:bCs/>
                <w:szCs w:val="21"/>
              </w:rPr>
            </w:pPr>
          </w:p>
        </w:tc>
        <w:tc>
          <w:tcPr>
            <w:tcW w:w="1843" w:type="dxa"/>
            <w:noWrap w:val="0"/>
            <w:vAlign w:val="center"/>
          </w:tcPr>
          <w:p w14:paraId="3514E960">
            <w:pPr>
              <w:tabs>
                <w:tab w:val="left" w:pos="2520"/>
              </w:tabs>
              <w:spacing w:line="360" w:lineRule="auto"/>
              <w:jc w:val="center"/>
              <w:rPr>
                <w:rFonts w:hint="eastAsia" w:ascii="仿宋" w:hAnsi="仿宋" w:eastAsia="仿宋" w:cs="仿宋"/>
                <w:bCs/>
                <w:szCs w:val="21"/>
              </w:rPr>
            </w:pPr>
          </w:p>
        </w:tc>
      </w:tr>
      <w:tr w14:paraId="172B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1" w:type="dxa"/>
            <w:noWrap w:val="0"/>
            <w:vAlign w:val="center"/>
          </w:tcPr>
          <w:p w14:paraId="7798564F">
            <w:pPr>
              <w:tabs>
                <w:tab w:val="left" w:pos="2520"/>
              </w:tabs>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w:t>
            </w:r>
          </w:p>
        </w:tc>
        <w:tc>
          <w:tcPr>
            <w:tcW w:w="2661" w:type="dxa"/>
            <w:noWrap w:val="0"/>
            <w:vAlign w:val="bottom"/>
          </w:tcPr>
          <w:p w14:paraId="5C191B17">
            <w:pPr>
              <w:tabs>
                <w:tab w:val="left" w:pos="2520"/>
              </w:tabs>
              <w:spacing w:line="360" w:lineRule="auto"/>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维修人员</w:t>
            </w:r>
          </w:p>
        </w:tc>
        <w:tc>
          <w:tcPr>
            <w:tcW w:w="1649" w:type="dxa"/>
            <w:noWrap w:val="0"/>
            <w:vAlign w:val="center"/>
          </w:tcPr>
          <w:p w14:paraId="2DC06B4D">
            <w:pPr>
              <w:tabs>
                <w:tab w:val="left" w:pos="2520"/>
              </w:tabs>
              <w:spacing w:line="360" w:lineRule="auto"/>
              <w:jc w:val="center"/>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w:t>
            </w:r>
          </w:p>
        </w:tc>
        <w:tc>
          <w:tcPr>
            <w:tcW w:w="2063" w:type="dxa"/>
            <w:noWrap w:val="0"/>
            <w:vAlign w:val="center"/>
          </w:tcPr>
          <w:p w14:paraId="2141B5D4">
            <w:pPr>
              <w:tabs>
                <w:tab w:val="left" w:pos="2520"/>
              </w:tabs>
              <w:spacing w:line="360" w:lineRule="auto"/>
              <w:jc w:val="center"/>
              <w:rPr>
                <w:rFonts w:hint="eastAsia" w:ascii="仿宋" w:hAnsi="仿宋" w:eastAsia="仿宋" w:cs="仿宋"/>
                <w:b/>
                <w:szCs w:val="21"/>
              </w:rPr>
            </w:pPr>
          </w:p>
        </w:tc>
        <w:tc>
          <w:tcPr>
            <w:tcW w:w="1843" w:type="dxa"/>
            <w:noWrap w:val="0"/>
            <w:vAlign w:val="center"/>
          </w:tcPr>
          <w:p w14:paraId="443908DE">
            <w:pPr>
              <w:tabs>
                <w:tab w:val="left" w:pos="2520"/>
              </w:tabs>
              <w:spacing w:line="360" w:lineRule="auto"/>
              <w:jc w:val="center"/>
              <w:rPr>
                <w:rFonts w:hint="eastAsia" w:ascii="仿宋" w:hAnsi="仿宋" w:eastAsia="仿宋" w:cs="仿宋"/>
                <w:b/>
                <w:szCs w:val="21"/>
              </w:rPr>
            </w:pPr>
          </w:p>
        </w:tc>
      </w:tr>
      <w:tr w14:paraId="66DC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1" w:type="dxa"/>
            <w:noWrap w:val="0"/>
            <w:vAlign w:val="center"/>
          </w:tcPr>
          <w:p w14:paraId="2931555F">
            <w:pPr>
              <w:tabs>
                <w:tab w:val="left" w:pos="2520"/>
              </w:tabs>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3</w:t>
            </w:r>
          </w:p>
        </w:tc>
        <w:tc>
          <w:tcPr>
            <w:tcW w:w="2661" w:type="dxa"/>
            <w:noWrap w:val="0"/>
            <w:vAlign w:val="center"/>
          </w:tcPr>
          <w:p w14:paraId="343CDBD7">
            <w:pPr>
              <w:tabs>
                <w:tab w:val="left" w:pos="2520"/>
              </w:tabs>
              <w:spacing w:line="360" w:lineRule="auto"/>
              <w:jc w:val="center"/>
              <w:rPr>
                <w:rFonts w:hint="eastAsia" w:ascii="仿宋" w:hAnsi="仿宋" w:eastAsia="仿宋" w:cs="仿宋"/>
                <w:bCs/>
                <w:szCs w:val="21"/>
              </w:rPr>
            </w:pPr>
            <w:r>
              <w:rPr>
                <w:rFonts w:hint="eastAsia" w:ascii="仿宋" w:hAnsi="仿宋" w:eastAsia="仿宋" w:cs="仿宋"/>
                <w:bCs/>
                <w:szCs w:val="21"/>
                <w:lang w:val="en-US" w:eastAsia="zh-CN"/>
              </w:rPr>
              <w:t>操作员</w:t>
            </w:r>
          </w:p>
        </w:tc>
        <w:tc>
          <w:tcPr>
            <w:tcW w:w="1649" w:type="dxa"/>
            <w:noWrap w:val="0"/>
            <w:vAlign w:val="center"/>
          </w:tcPr>
          <w:p w14:paraId="1851160E">
            <w:pPr>
              <w:tabs>
                <w:tab w:val="left" w:pos="2520"/>
              </w:tabs>
              <w:spacing w:line="360" w:lineRule="auto"/>
              <w:jc w:val="center"/>
              <w:rPr>
                <w:rFonts w:hint="default" w:ascii="仿宋" w:hAnsi="仿宋" w:eastAsia="仿宋" w:cs="仿宋"/>
                <w:b w:val="0"/>
                <w:bCs/>
                <w:szCs w:val="21"/>
                <w:lang w:val="en-US" w:eastAsia="zh-CN"/>
              </w:rPr>
            </w:pPr>
            <w:r>
              <w:rPr>
                <w:rFonts w:hint="eastAsia" w:ascii="仿宋" w:hAnsi="仿宋" w:eastAsia="仿宋" w:cs="仿宋"/>
                <w:b w:val="0"/>
                <w:bCs/>
                <w:szCs w:val="21"/>
                <w:lang w:val="en-US" w:eastAsia="zh-CN"/>
              </w:rPr>
              <w:t>16</w:t>
            </w:r>
          </w:p>
        </w:tc>
        <w:tc>
          <w:tcPr>
            <w:tcW w:w="2063" w:type="dxa"/>
            <w:noWrap w:val="0"/>
            <w:vAlign w:val="center"/>
          </w:tcPr>
          <w:p w14:paraId="5B008E3B">
            <w:pPr>
              <w:tabs>
                <w:tab w:val="left" w:pos="2520"/>
              </w:tabs>
              <w:spacing w:line="360" w:lineRule="auto"/>
              <w:jc w:val="center"/>
              <w:rPr>
                <w:rFonts w:hint="eastAsia" w:ascii="仿宋" w:hAnsi="仿宋" w:eastAsia="仿宋" w:cs="仿宋"/>
                <w:b/>
                <w:szCs w:val="21"/>
              </w:rPr>
            </w:pPr>
          </w:p>
        </w:tc>
        <w:tc>
          <w:tcPr>
            <w:tcW w:w="1843" w:type="dxa"/>
            <w:noWrap w:val="0"/>
            <w:vAlign w:val="center"/>
          </w:tcPr>
          <w:p w14:paraId="10691ADB">
            <w:pPr>
              <w:tabs>
                <w:tab w:val="left" w:pos="2520"/>
              </w:tabs>
              <w:spacing w:line="360" w:lineRule="auto"/>
              <w:jc w:val="center"/>
              <w:rPr>
                <w:rFonts w:hint="eastAsia" w:ascii="仿宋" w:hAnsi="仿宋" w:eastAsia="仿宋" w:cs="仿宋"/>
                <w:b/>
                <w:szCs w:val="21"/>
              </w:rPr>
            </w:pPr>
          </w:p>
        </w:tc>
      </w:tr>
      <w:tr w14:paraId="31FB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562" w:type="dxa"/>
            <w:gridSpan w:val="2"/>
            <w:noWrap w:val="0"/>
            <w:vAlign w:val="center"/>
          </w:tcPr>
          <w:p w14:paraId="28814658">
            <w:pPr>
              <w:tabs>
                <w:tab w:val="left" w:pos="2520"/>
              </w:tabs>
              <w:spacing w:line="360" w:lineRule="auto"/>
              <w:jc w:val="center"/>
              <w:rPr>
                <w:rFonts w:hint="eastAsia" w:ascii="仿宋" w:hAnsi="仿宋" w:eastAsia="仿宋" w:cs="仿宋"/>
                <w:b/>
                <w:szCs w:val="21"/>
              </w:rPr>
            </w:pPr>
            <w:r>
              <w:rPr>
                <w:rFonts w:hint="eastAsia" w:ascii="仿宋" w:hAnsi="仿宋" w:eastAsia="仿宋" w:cs="仿宋"/>
                <w:bCs/>
                <w:szCs w:val="21"/>
                <w:lang w:val="en-US" w:eastAsia="zh-CN"/>
              </w:rPr>
              <w:t>合计（元/年）</w:t>
            </w:r>
          </w:p>
        </w:tc>
        <w:tc>
          <w:tcPr>
            <w:tcW w:w="1649" w:type="dxa"/>
            <w:noWrap w:val="0"/>
            <w:vAlign w:val="center"/>
          </w:tcPr>
          <w:p w14:paraId="7DDF7F8D">
            <w:pPr>
              <w:tabs>
                <w:tab w:val="left" w:pos="2520"/>
              </w:tabs>
              <w:spacing w:line="360" w:lineRule="auto"/>
              <w:jc w:val="center"/>
              <w:rPr>
                <w:rFonts w:hint="default" w:ascii="仿宋" w:hAnsi="仿宋" w:eastAsia="仿宋" w:cs="仿宋"/>
                <w:b w:val="0"/>
                <w:bCs/>
                <w:szCs w:val="21"/>
                <w:lang w:val="en-US" w:eastAsia="zh-CN"/>
              </w:rPr>
            </w:pPr>
            <w:r>
              <w:rPr>
                <w:rFonts w:hint="eastAsia" w:ascii="仿宋" w:hAnsi="仿宋" w:eastAsia="仿宋" w:cs="仿宋"/>
                <w:b w:val="0"/>
                <w:bCs/>
                <w:szCs w:val="21"/>
                <w:lang w:val="en-US" w:eastAsia="zh-CN"/>
              </w:rPr>
              <w:t>18</w:t>
            </w:r>
          </w:p>
        </w:tc>
        <w:tc>
          <w:tcPr>
            <w:tcW w:w="2063" w:type="dxa"/>
            <w:noWrap w:val="0"/>
            <w:vAlign w:val="center"/>
          </w:tcPr>
          <w:p w14:paraId="588F5486">
            <w:pPr>
              <w:tabs>
                <w:tab w:val="left" w:pos="2520"/>
              </w:tabs>
              <w:spacing w:line="360" w:lineRule="auto"/>
              <w:jc w:val="center"/>
              <w:rPr>
                <w:rFonts w:hint="eastAsia" w:ascii="仿宋" w:hAnsi="仿宋" w:eastAsia="仿宋" w:cs="仿宋"/>
                <w:b/>
                <w:szCs w:val="21"/>
              </w:rPr>
            </w:pPr>
          </w:p>
        </w:tc>
        <w:tc>
          <w:tcPr>
            <w:tcW w:w="1843" w:type="dxa"/>
            <w:noWrap w:val="0"/>
            <w:vAlign w:val="center"/>
          </w:tcPr>
          <w:p w14:paraId="7DE4ED19">
            <w:pPr>
              <w:tabs>
                <w:tab w:val="left" w:pos="2520"/>
              </w:tabs>
              <w:spacing w:line="360" w:lineRule="auto"/>
              <w:jc w:val="center"/>
              <w:rPr>
                <w:rFonts w:hint="eastAsia" w:ascii="仿宋" w:hAnsi="仿宋" w:eastAsia="仿宋" w:cs="仿宋"/>
                <w:b/>
                <w:szCs w:val="21"/>
              </w:rPr>
            </w:pPr>
          </w:p>
        </w:tc>
      </w:tr>
    </w:tbl>
    <w:p w14:paraId="283782FF">
      <w:pPr>
        <w:rPr>
          <w:rFonts w:hint="eastAsia" w:ascii="仿宋" w:hAnsi="仿宋" w:eastAsia="仿宋" w:cs="仿宋"/>
          <w:b/>
          <w:szCs w:val="21"/>
        </w:rPr>
      </w:pPr>
      <w:r>
        <w:rPr>
          <w:rFonts w:hint="eastAsia" w:ascii="仿宋" w:hAnsi="仿宋" w:eastAsia="仿宋" w:cs="仿宋"/>
          <w:szCs w:val="21"/>
        </w:rPr>
        <w:t>说明：本表中的报价</w:t>
      </w:r>
      <w:r>
        <w:rPr>
          <w:rFonts w:hint="eastAsia" w:ascii="仿宋" w:hAnsi="仿宋" w:eastAsia="仿宋" w:cs="仿宋"/>
        </w:rPr>
        <w:t>可在不改变格式的情况下根据具体需要自行增减。</w:t>
      </w:r>
    </w:p>
    <w:p w14:paraId="6082F45B">
      <w:pPr>
        <w:tabs>
          <w:tab w:val="left" w:pos="2520"/>
        </w:tabs>
        <w:spacing w:line="360" w:lineRule="auto"/>
        <w:ind w:firstLine="480"/>
        <w:rPr>
          <w:rFonts w:hint="eastAsia" w:ascii="仿宋" w:hAnsi="仿宋" w:eastAsia="仿宋" w:cs="仿宋"/>
          <w:b/>
          <w:szCs w:val="21"/>
        </w:rPr>
      </w:pPr>
    </w:p>
    <w:p w14:paraId="4B7EA102">
      <w:pPr>
        <w:tabs>
          <w:tab w:val="left" w:pos="2520"/>
        </w:tabs>
        <w:spacing w:line="360" w:lineRule="auto"/>
        <w:ind w:firstLine="480"/>
        <w:rPr>
          <w:rFonts w:hint="eastAsia" w:ascii="仿宋" w:hAnsi="仿宋" w:eastAsia="仿宋" w:cs="仿宋"/>
          <w:b/>
          <w:szCs w:val="21"/>
        </w:rPr>
      </w:pPr>
    </w:p>
    <w:p w14:paraId="762C4DDB">
      <w:pPr>
        <w:tabs>
          <w:tab w:val="left" w:pos="2520"/>
        </w:tabs>
        <w:spacing w:line="360" w:lineRule="auto"/>
        <w:ind w:firstLine="480"/>
        <w:rPr>
          <w:rFonts w:hint="eastAsia" w:ascii="仿宋" w:hAnsi="仿宋" w:eastAsia="仿宋" w:cs="仿宋"/>
          <w:b/>
          <w:szCs w:val="21"/>
        </w:rPr>
      </w:pPr>
      <w:r>
        <w:rPr>
          <w:rFonts w:hint="eastAsia" w:ascii="仿宋" w:hAnsi="仿宋" w:eastAsia="仿宋" w:cs="仿宋"/>
          <w:b/>
          <w:szCs w:val="21"/>
        </w:rPr>
        <w:t>3、耗材及生产资料</w:t>
      </w:r>
    </w:p>
    <w:tbl>
      <w:tblPr>
        <w:tblStyle w:val="22"/>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8"/>
        <w:gridCol w:w="1650"/>
        <w:gridCol w:w="2038"/>
        <w:gridCol w:w="1912"/>
      </w:tblGrid>
      <w:tr w14:paraId="624B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051F14B0">
            <w:pPr>
              <w:widowControl/>
              <w:ind w:left="708" w:hanging="710" w:hangingChars="337"/>
              <w:jc w:val="center"/>
              <w:rPr>
                <w:rFonts w:hint="eastAsia" w:ascii="仿宋" w:hAnsi="仿宋" w:eastAsia="仿宋" w:cs="仿宋"/>
                <w:b/>
                <w:bCs/>
                <w:szCs w:val="21"/>
              </w:rPr>
            </w:pPr>
            <w:r>
              <w:rPr>
                <w:rFonts w:hint="eastAsia" w:ascii="仿宋" w:hAnsi="仿宋" w:eastAsia="仿宋" w:cs="仿宋"/>
                <w:b/>
                <w:bCs/>
                <w:szCs w:val="21"/>
              </w:rPr>
              <w:t>名称</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04B20B23">
            <w:pPr>
              <w:widowControl/>
              <w:jc w:val="center"/>
              <w:rPr>
                <w:rFonts w:hint="eastAsia" w:ascii="仿宋" w:hAnsi="仿宋" w:eastAsia="仿宋" w:cs="仿宋"/>
                <w:b/>
                <w:bCs/>
                <w:szCs w:val="21"/>
              </w:rPr>
            </w:pPr>
            <w:r>
              <w:rPr>
                <w:rFonts w:hint="eastAsia" w:ascii="仿宋" w:hAnsi="仿宋" w:eastAsia="仿宋" w:cs="仿宋"/>
                <w:b/>
                <w:bCs/>
                <w:szCs w:val="21"/>
              </w:rPr>
              <w:t>数量</w:t>
            </w:r>
          </w:p>
        </w:tc>
        <w:tc>
          <w:tcPr>
            <w:tcW w:w="2038" w:type="dxa"/>
            <w:tcBorders>
              <w:top w:val="single" w:color="auto" w:sz="4" w:space="0"/>
              <w:left w:val="single" w:color="auto" w:sz="2" w:space="0"/>
              <w:bottom w:val="single" w:color="auto" w:sz="4" w:space="0"/>
              <w:right w:val="single" w:color="auto" w:sz="2" w:space="0"/>
            </w:tcBorders>
            <w:noWrap w:val="0"/>
            <w:vAlign w:val="center"/>
          </w:tcPr>
          <w:p w14:paraId="69EB3FBC">
            <w:pPr>
              <w:widowControl/>
              <w:jc w:val="center"/>
              <w:rPr>
                <w:rFonts w:hint="eastAsia" w:ascii="仿宋" w:hAnsi="仿宋" w:eastAsia="仿宋" w:cs="仿宋"/>
                <w:b/>
                <w:bCs/>
                <w:szCs w:val="21"/>
              </w:rPr>
            </w:pPr>
            <w:r>
              <w:rPr>
                <w:rFonts w:hint="eastAsia" w:ascii="仿宋" w:hAnsi="仿宋" w:eastAsia="仿宋" w:cs="仿宋"/>
                <w:b/>
                <w:bCs/>
                <w:szCs w:val="21"/>
              </w:rPr>
              <w:t>单价（元/年）</w:t>
            </w:r>
          </w:p>
        </w:tc>
        <w:tc>
          <w:tcPr>
            <w:tcW w:w="1912" w:type="dxa"/>
            <w:tcBorders>
              <w:top w:val="single" w:color="auto" w:sz="4" w:space="0"/>
              <w:left w:val="single" w:color="auto" w:sz="2" w:space="0"/>
              <w:bottom w:val="single" w:color="auto" w:sz="4" w:space="0"/>
              <w:right w:val="single" w:color="auto" w:sz="4" w:space="0"/>
            </w:tcBorders>
            <w:noWrap w:val="0"/>
            <w:vAlign w:val="center"/>
          </w:tcPr>
          <w:p w14:paraId="01415D9D">
            <w:pPr>
              <w:widowControl/>
              <w:jc w:val="center"/>
              <w:rPr>
                <w:rFonts w:hint="eastAsia" w:ascii="仿宋" w:hAnsi="仿宋" w:eastAsia="仿宋" w:cs="仿宋"/>
                <w:b/>
                <w:bCs/>
                <w:szCs w:val="21"/>
              </w:rPr>
            </w:pPr>
            <w:r>
              <w:rPr>
                <w:rFonts w:hint="eastAsia" w:ascii="仿宋" w:hAnsi="仿宋" w:eastAsia="仿宋" w:cs="仿宋"/>
                <w:b/>
                <w:bCs/>
                <w:szCs w:val="21"/>
              </w:rPr>
              <w:t>金额（元）</w:t>
            </w:r>
          </w:p>
        </w:tc>
      </w:tr>
      <w:tr w14:paraId="5C25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7A92CC86">
            <w:pPr>
              <w:widowControl/>
              <w:jc w:val="center"/>
              <w:rPr>
                <w:rFonts w:hint="eastAsia" w:ascii="仿宋" w:hAnsi="仿宋" w:eastAsia="仿宋" w:cs="仿宋"/>
                <w:szCs w:val="21"/>
              </w:rPr>
            </w:pPr>
            <w:r>
              <w:rPr>
                <w:rFonts w:hint="eastAsia" w:ascii="仿宋" w:hAnsi="仿宋" w:eastAsia="仿宋" w:cs="仿宋"/>
              </w:rPr>
              <w:t>软扫帚</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5B7573B1">
            <w:pPr>
              <w:widowControl/>
              <w:jc w:val="center"/>
              <w:rPr>
                <w:rFonts w:hint="eastAsia" w:ascii="仿宋" w:hAnsi="仿宋" w:eastAsia="仿宋" w:cs="仿宋"/>
                <w:szCs w:val="21"/>
              </w:rPr>
            </w:pPr>
          </w:p>
        </w:tc>
        <w:tc>
          <w:tcPr>
            <w:tcW w:w="2038" w:type="dxa"/>
            <w:tcBorders>
              <w:top w:val="single" w:color="auto" w:sz="4" w:space="0"/>
              <w:left w:val="single" w:color="auto" w:sz="2" w:space="0"/>
              <w:bottom w:val="single" w:color="auto" w:sz="4" w:space="0"/>
              <w:right w:val="single" w:color="auto" w:sz="2" w:space="0"/>
            </w:tcBorders>
            <w:noWrap w:val="0"/>
            <w:vAlign w:val="center"/>
          </w:tcPr>
          <w:p w14:paraId="2ED9F06D">
            <w:pPr>
              <w:widowControl/>
              <w:jc w:val="center"/>
              <w:rPr>
                <w:rFonts w:hint="eastAsia" w:ascii="仿宋" w:hAnsi="仿宋" w:eastAsia="仿宋" w:cs="仿宋"/>
                <w:szCs w:val="21"/>
              </w:rPr>
            </w:pPr>
          </w:p>
        </w:tc>
        <w:tc>
          <w:tcPr>
            <w:tcW w:w="1912" w:type="dxa"/>
            <w:tcBorders>
              <w:top w:val="single" w:color="auto" w:sz="4" w:space="0"/>
              <w:left w:val="single" w:color="auto" w:sz="2" w:space="0"/>
              <w:bottom w:val="single" w:color="auto" w:sz="4" w:space="0"/>
              <w:right w:val="single" w:color="auto" w:sz="4" w:space="0"/>
            </w:tcBorders>
            <w:noWrap w:val="0"/>
            <w:vAlign w:val="center"/>
          </w:tcPr>
          <w:p w14:paraId="652C2C90">
            <w:pPr>
              <w:widowControl/>
              <w:jc w:val="center"/>
              <w:rPr>
                <w:rFonts w:hint="eastAsia" w:ascii="仿宋" w:hAnsi="仿宋" w:eastAsia="仿宋" w:cs="仿宋"/>
                <w:szCs w:val="21"/>
              </w:rPr>
            </w:pPr>
          </w:p>
        </w:tc>
      </w:tr>
      <w:tr w14:paraId="261B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639EA997">
            <w:pPr>
              <w:widowControl/>
              <w:jc w:val="center"/>
              <w:rPr>
                <w:rFonts w:hint="eastAsia" w:ascii="仿宋" w:hAnsi="仿宋" w:eastAsia="仿宋" w:cs="仿宋"/>
                <w:szCs w:val="21"/>
              </w:rPr>
            </w:pPr>
            <w:r>
              <w:rPr>
                <w:rFonts w:hint="eastAsia" w:ascii="仿宋" w:hAnsi="仿宋" w:eastAsia="仿宋" w:cs="仿宋"/>
              </w:rPr>
              <w:t>硬扫帚</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5BE6FD0F">
            <w:pPr>
              <w:widowControl/>
              <w:jc w:val="center"/>
              <w:rPr>
                <w:rFonts w:hint="eastAsia" w:ascii="仿宋" w:hAnsi="仿宋" w:eastAsia="仿宋" w:cs="仿宋"/>
                <w:szCs w:val="21"/>
              </w:rPr>
            </w:pPr>
          </w:p>
        </w:tc>
        <w:tc>
          <w:tcPr>
            <w:tcW w:w="2038" w:type="dxa"/>
            <w:tcBorders>
              <w:top w:val="single" w:color="auto" w:sz="4" w:space="0"/>
              <w:left w:val="single" w:color="auto" w:sz="2" w:space="0"/>
              <w:bottom w:val="single" w:color="auto" w:sz="4" w:space="0"/>
              <w:right w:val="single" w:color="auto" w:sz="2" w:space="0"/>
            </w:tcBorders>
            <w:noWrap w:val="0"/>
            <w:vAlign w:val="center"/>
          </w:tcPr>
          <w:p w14:paraId="3807DBD1">
            <w:pPr>
              <w:widowControl/>
              <w:jc w:val="center"/>
              <w:rPr>
                <w:rFonts w:hint="eastAsia" w:ascii="仿宋" w:hAnsi="仿宋" w:eastAsia="仿宋" w:cs="仿宋"/>
                <w:szCs w:val="21"/>
              </w:rPr>
            </w:pPr>
          </w:p>
        </w:tc>
        <w:tc>
          <w:tcPr>
            <w:tcW w:w="1912" w:type="dxa"/>
            <w:tcBorders>
              <w:top w:val="single" w:color="auto" w:sz="4" w:space="0"/>
              <w:left w:val="single" w:color="auto" w:sz="2" w:space="0"/>
              <w:bottom w:val="single" w:color="auto" w:sz="4" w:space="0"/>
              <w:right w:val="single" w:color="auto" w:sz="4" w:space="0"/>
            </w:tcBorders>
            <w:noWrap w:val="0"/>
            <w:vAlign w:val="center"/>
          </w:tcPr>
          <w:p w14:paraId="571BBF8E">
            <w:pPr>
              <w:widowControl/>
              <w:jc w:val="center"/>
              <w:rPr>
                <w:rFonts w:hint="eastAsia" w:ascii="仿宋" w:hAnsi="仿宋" w:eastAsia="仿宋" w:cs="仿宋"/>
                <w:szCs w:val="21"/>
              </w:rPr>
            </w:pPr>
          </w:p>
        </w:tc>
      </w:tr>
      <w:tr w14:paraId="4D56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055C2BC9">
            <w:pPr>
              <w:widowControl/>
              <w:jc w:val="center"/>
              <w:rPr>
                <w:rFonts w:hint="eastAsia" w:ascii="仿宋" w:hAnsi="仿宋" w:eastAsia="仿宋" w:cs="仿宋"/>
                <w:kern w:val="2"/>
                <w:sz w:val="21"/>
                <w:szCs w:val="21"/>
                <w:highlight w:val="yellow"/>
                <w:lang w:val="en-US" w:eastAsia="zh-CN" w:bidi="ar-SA"/>
              </w:rPr>
            </w:pPr>
            <w:r>
              <w:rPr>
                <w:rFonts w:hint="eastAsia" w:ascii="仿宋" w:hAnsi="仿宋" w:eastAsia="仿宋" w:cs="仿宋"/>
              </w:rPr>
              <w:t>畚斗</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365FCEE8">
            <w:pPr>
              <w:widowControl/>
              <w:jc w:val="center"/>
              <w:rPr>
                <w:rFonts w:hint="eastAsia" w:ascii="仿宋" w:hAnsi="仿宋" w:eastAsia="仿宋" w:cs="仿宋"/>
                <w:szCs w:val="21"/>
              </w:rPr>
            </w:pPr>
          </w:p>
        </w:tc>
        <w:tc>
          <w:tcPr>
            <w:tcW w:w="2038" w:type="dxa"/>
            <w:tcBorders>
              <w:top w:val="single" w:color="auto" w:sz="4" w:space="0"/>
              <w:left w:val="single" w:color="auto" w:sz="2" w:space="0"/>
              <w:bottom w:val="single" w:color="auto" w:sz="4" w:space="0"/>
              <w:right w:val="single" w:color="auto" w:sz="2" w:space="0"/>
            </w:tcBorders>
            <w:noWrap w:val="0"/>
            <w:vAlign w:val="center"/>
          </w:tcPr>
          <w:p w14:paraId="7462B19F">
            <w:pPr>
              <w:widowControl/>
              <w:jc w:val="center"/>
              <w:rPr>
                <w:rFonts w:hint="eastAsia" w:ascii="仿宋" w:hAnsi="仿宋" w:eastAsia="仿宋" w:cs="仿宋"/>
                <w:szCs w:val="21"/>
              </w:rPr>
            </w:pPr>
          </w:p>
        </w:tc>
        <w:tc>
          <w:tcPr>
            <w:tcW w:w="1912" w:type="dxa"/>
            <w:tcBorders>
              <w:top w:val="single" w:color="auto" w:sz="4" w:space="0"/>
              <w:left w:val="single" w:color="auto" w:sz="2" w:space="0"/>
              <w:bottom w:val="single" w:color="auto" w:sz="4" w:space="0"/>
              <w:right w:val="single" w:color="auto" w:sz="4" w:space="0"/>
            </w:tcBorders>
            <w:noWrap w:val="0"/>
            <w:vAlign w:val="center"/>
          </w:tcPr>
          <w:p w14:paraId="2E2845B1">
            <w:pPr>
              <w:widowControl/>
              <w:jc w:val="center"/>
              <w:rPr>
                <w:rFonts w:hint="eastAsia" w:ascii="仿宋" w:hAnsi="仿宋" w:eastAsia="仿宋" w:cs="仿宋"/>
                <w:szCs w:val="21"/>
              </w:rPr>
            </w:pPr>
          </w:p>
        </w:tc>
      </w:tr>
      <w:tr w14:paraId="04C3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3744D614">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rPr>
              <w:t>铁锹</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7DD63C74">
            <w:pPr>
              <w:widowControl/>
              <w:jc w:val="center"/>
              <w:rPr>
                <w:rFonts w:hint="eastAsia" w:ascii="仿宋" w:hAnsi="仿宋" w:eastAsia="仿宋" w:cs="仿宋"/>
                <w:szCs w:val="21"/>
              </w:rPr>
            </w:pPr>
          </w:p>
        </w:tc>
        <w:tc>
          <w:tcPr>
            <w:tcW w:w="2038" w:type="dxa"/>
            <w:tcBorders>
              <w:top w:val="single" w:color="auto" w:sz="4" w:space="0"/>
              <w:left w:val="single" w:color="auto" w:sz="2" w:space="0"/>
              <w:bottom w:val="single" w:color="auto" w:sz="4" w:space="0"/>
              <w:right w:val="single" w:color="auto" w:sz="2" w:space="0"/>
            </w:tcBorders>
            <w:noWrap w:val="0"/>
            <w:vAlign w:val="center"/>
          </w:tcPr>
          <w:p w14:paraId="3CCD24D8">
            <w:pPr>
              <w:widowControl/>
              <w:jc w:val="center"/>
              <w:rPr>
                <w:rFonts w:hint="eastAsia" w:ascii="仿宋" w:hAnsi="仿宋" w:eastAsia="仿宋" w:cs="仿宋"/>
                <w:szCs w:val="21"/>
              </w:rPr>
            </w:pPr>
          </w:p>
        </w:tc>
        <w:tc>
          <w:tcPr>
            <w:tcW w:w="1912" w:type="dxa"/>
            <w:tcBorders>
              <w:top w:val="single" w:color="auto" w:sz="4" w:space="0"/>
              <w:left w:val="single" w:color="auto" w:sz="2" w:space="0"/>
              <w:bottom w:val="single" w:color="auto" w:sz="4" w:space="0"/>
              <w:right w:val="single" w:color="auto" w:sz="4" w:space="0"/>
            </w:tcBorders>
            <w:noWrap w:val="0"/>
            <w:vAlign w:val="center"/>
          </w:tcPr>
          <w:p w14:paraId="7A756D8E">
            <w:pPr>
              <w:widowControl/>
              <w:jc w:val="center"/>
              <w:rPr>
                <w:rFonts w:hint="eastAsia" w:ascii="仿宋" w:hAnsi="仿宋" w:eastAsia="仿宋" w:cs="仿宋"/>
                <w:szCs w:val="21"/>
              </w:rPr>
            </w:pPr>
          </w:p>
        </w:tc>
      </w:tr>
      <w:tr w14:paraId="1DA1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7B4CC12A">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rPr>
              <w:t>工作服（四季）</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43F8A892">
            <w:pPr>
              <w:widowControl/>
              <w:jc w:val="center"/>
              <w:rPr>
                <w:rFonts w:hint="eastAsia" w:ascii="仿宋" w:hAnsi="仿宋" w:eastAsia="仿宋" w:cs="仿宋"/>
                <w:szCs w:val="21"/>
              </w:rPr>
            </w:pPr>
          </w:p>
        </w:tc>
        <w:tc>
          <w:tcPr>
            <w:tcW w:w="2038" w:type="dxa"/>
            <w:tcBorders>
              <w:top w:val="single" w:color="auto" w:sz="4" w:space="0"/>
              <w:left w:val="single" w:color="auto" w:sz="2" w:space="0"/>
              <w:bottom w:val="single" w:color="auto" w:sz="4" w:space="0"/>
              <w:right w:val="single" w:color="auto" w:sz="2" w:space="0"/>
            </w:tcBorders>
            <w:noWrap w:val="0"/>
            <w:vAlign w:val="center"/>
          </w:tcPr>
          <w:p w14:paraId="14D63605">
            <w:pPr>
              <w:widowControl/>
              <w:jc w:val="center"/>
              <w:rPr>
                <w:rFonts w:hint="eastAsia" w:ascii="仿宋" w:hAnsi="仿宋" w:eastAsia="仿宋" w:cs="仿宋"/>
                <w:szCs w:val="21"/>
              </w:rPr>
            </w:pPr>
          </w:p>
        </w:tc>
        <w:tc>
          <w:tcPr>
            <w:tcW w:w="1912" w:type="dxa"/>
            <w:tcBorders>
              <w:top w:val="single" w:color="auto" w:sz="4" w:space="0"/>
              <w:left w:val="single" w:color="auto" w:sz="2" w:space="0"/>
              <w:bottom w:val="single" w:color="auto" w:sz="4" w:space="0"/>
              <w:right w:val="single" w:color="auto" w:sz="4" w:space="0"/>
            </w:tcBorders>
            <w:noWrap w:val="0"/>
            <w:vAlign w:val="center"/>
          </w:tcPr>
          <w:p w14:paraId="31D8136F">
            <w:pPr>
              <w:widowControl/>
              <w:jc w:val="center"/>
              <w:rPr>
                <w:rFonts w:hint="eastAsia" w:ascii="仿宋" w:hAnsi="仿宋" w:eastAsia="仿宋" w:cs="仿宋"/>
                <w:szCs w:val="21"/>
              </w:rPr>
            </w:pPr>
          </w:p>
        </w:tc>
      </w:tr>
      <w:tr w14:paraId="2391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3C39B8BE">
            <w:pPr>
              <w:widowControl/>
              <w:jc w:val="center"/>
              <w:rPr>
                <w:rFonts w:hint="eastAsia" w:ascii="仿宋" w:hAnsi="仿宋" w:eastAsia="仿宋" w:cs="仿宋"/>
                <w:kern w:val="2"/>
                <w:sz w:val="21"/>
                <w:szCs w:val="24"/>
                <w:lang w:val="en-US" w:eastAsia="zh-CN" w:bidi="ar-SA"/>
              </w:rPr>
            </w:pPr>
            <w:r>
              <w:rPr>
                <w:rFonts w:hint="eastAsia" w:ascii="仿宋" w:hAnsi="仿宋" w:eastAsia="仿宋" w:cs="仿宋"/>
              </w:rPr>
              <w:t>解放鞋</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0EEB8E05">
            <w:pPr>
              <w:widowControl/>
              <w:jc w:val="center"/>
              <w:rPr>
                <w:rFonts w:hint="eastAsia" w:ascii="仿宋" w:hAnsi="仿宋" w:eastAsia="仿宋" w:cs="仿宋"/>
                <w:szCs w:val="21"/>
              </w:rPr>
            </w:pPr>
          </w:p>
        </w:tc>
        <w:tc>
          <w:tcPr>
            <w:tcW w:w="2038" w:type="dxa"/>
            <w:tcBorders>
              <w:top w:val="single" w:color="auto" w:sz="4" w:space="0"/>
              <w:left w:val="single" w:color="auto" w:sz="2" w:space="0"/>
              <w:bottom w:val="single" w:color="auto" w:sz="4" w:space="0"/>
              <w:right w:val="single" w:color="auto" w:sz="2" w:space="0"/>
            </w:tcBorders>
            <w:noWrap w:val="0"/>
            <w:vAlign w:val="center"/>
          </w:tcPr>
          <w:p w14:paraId="1230408B">
            <w:pPr>
              <w:widowControl/>
              <w:jc w:val="center"/>
              <w:rPr>
                <w:rFonts w:hint="eastAsia" w:ascii="仿宋" w:hAnsi="仿宋" w:eastAsia="仿宋" w:cs="仿宋"/>
                <w:szCs w:val="21"/>
              </w:rPr>
            </w:pPr>
          </w:p>
        </w:tc>
        <w:tc>
          <w:tcPr>
            <w:tcW w:w="1912" w:type="dxa"/>
            <w:tcBorders>
              <w:top w:val="single" w:color="auto" w:sz="4" w:space="0"/>
              <w:left w:val="single" w:color="auto" w:sz="2" w:space="0"/>
              <w:bottom w:val="single" w:color="auto" w:sz="4" w:space="0"/>
              <w:right w:val="single" w:color="auto" w:sz="4" w:space="0"/>
            </w:tcBorders>
            <w:noWrap w:val="0"/>
            <w:vAlign w:val="center"/>
          </w:tcPr>
          <w:p w14:paraId="3AB596FE">
            <w:pPr>
              <w:widowControl/>
              <w:jc w:val="center"/>
              <w:rPr>
                <w:rFonts w:hint="eastAsia" w:ascii="仿宋" w:hAnsi="仿宋" w:eastAsia="仿宋" w:cs="仿宋"/>
                <w:szCs w:val="21"/>
              </w:rPr>
            </w:pPr>
          </w:p>
        </w:tc>
      </w:tr>
      <w:tr w14:paraId="1AE1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59ED8814">
            <w:pPr>
              <w:widowControl/>
              <w:jc w:val="center"/>
              <w:rPr>
                <w:rFonts w:hint="eastAsia" w:ascii="仿宋" w:hAnsi="仿宋" w:eastAsia="仿宋" w:cs="仿宋"/>
                <w:kern w:val="2"/>
                <w:sz w:val="21"/>
                <w:szCs w:val="24"/>
                <w:lang w:val="en-US" w:eastAsia="zh-CN" w:bidi="ar-SA"/>
              </w:rPr>
            </w:pPr>
            <w:r>
              <w:rPr>
                <w:rFonts w:hint="eastAsia" w:ascii="仿宋" w:hAnsi="仿宋" w:eastAsia="仿宋" w:cs="仿宋"/>
              </w:rPr>
              <w:t>雨鞋</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7962EAC1">
            <w:pPr>
              <w:widowControl/>
              <w:jc w:val="center"/>
              <w:rPr>
                <w:rFonts w:hint="eastAsia" w:ascii="仿宋" w:hAnsi="仿宋" w:eastAsia="仿宋" w:cs="仿宋"/>
                <w:szCs w:val="21"/>
              </w:rPr>
            </w:pPr>
          </w:p>
        </w:tc>
        <w:tc>
          <w:tcPr>
            <w:tcW w:w="2038" w:type="dxa"/>
            <w:tcBorders>
              <w:top w:val="single" w:color="auto" w:sz="4" w:space="0"/>
              <w:left w:val="single" w:color="auto" w:sz="2" w:space="0"/>
              <w:bottom w:val="single" w:color="auto" w:sz="4" w:space="0"/>
              <w:right w:val="single" w:color="auto" w:sz="2" w:space="0"/>
            </w:tcBorders>
            <w:noWrap w:val="0"/>
            <w:vAlign w:val="center"/>
          </w:tcPr>
          <w:p w14:paraId="51A38FBA">
            <w:pPr>
              <w:widowControl/>
              <w:jc w:val="center"/>
              <w:rPr>
                <w:rFonts w:hint="eastAsia" w:ascii="仿宋" w:hAnsi="仿宋" w:eastAsia="仿宋" w:cs="仿宋"/>
                <w:szCs w:val="21"/>
              </w:rPr>
            </w:pPr>
          </w:p>
        </w:tc>
        <w:tc>
          <w:tcPr>
            <w:tcW w:w="1912" w:type="dxa"/>
            <w:tcBorders>
              <w:top w:val="single" w:color="auto" w:sz="4" w:space="0"/>
              <w:left w:val="single" w:color="auto" w:sz="2" w:space="0"/>
              <w:bottom w:val="single" w:color="auto" w:sz="4" w:space="0"/>
              <w:right w:val="single" w:color="auto" w:sz="4" w:space="0"/>
            </w:tcBorders>
            <w:noWrap w:val="0"/>
            <w:vAlign w:val="center"/>
          </w:tcPr>
          <w:p w14:paraId="7F6F3D27">
            <w:pPr>
              <w:widowControl/>
              <w:jc w:val="center"/>
              <w:rPr>
                <w:rFonts w:hint="eastAsia" w:ascii="仿宋" w:hAnsi="仿宋" w:eastAsia="仿宋" w:cs="仿宋"/>
                <w:szCs w:val="21"/>
              </w:rPr>
            </w:pPr>
          </w:p>
        </w:tc>
      </w:tr>
      <w:tr w14:paraId="7A32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60B3CFF4">
            <w:pPr>
              <w:widowControl/>
              <w:jc w:val="center"/>
              <w:rPr>
                <w:rFonts w:hint="eastAsia" w:ascii="仿宋" w:hAnsi="仿宋" w:eastAsia="仿宋" w:cs="仿宋"/>
                <w:kern w:val="2"/>
                <w:sz w:val="21"/>
                <w:szCs w:val="24"/>
                <w:lang w:val="en-US" w:eastAsia="zh-CN" w:bidi="ar-SA"/>
              </w:rPr>
            </w:pPr>
            <w:r>
              <w:rPr>
                <w:rFonts w:hint="eastAsia" w:ascii="仿宋" w:hAnsi="仿宋" w:eastAsia="仿宋" w:cs="仿宋"/>
              </w:rPr>
              <w:t>手套</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17DB5C21">
            <w:pPr>
              <w:widowControl/>
              <w:jc w:val="center"/>
              <w:rPr>
                <w:rFonts w:hint="eastAsia" w:ascii="仿宋" w:hAnsi="仿宋" w:eastAsia="仿宋" w:cs="仿宋"/>
                <w:szCs w:val="21"/>
              </w:rPr>
            </w:pPr>
          </w:p>
        </w:tc>
        <w:tc>
          <w:tcPr>
            <w:tcW w:w="2038" w:type="dxa"/>
            <w:tcBorders>
              <w:top w:val="single" w:color="auto" w:sz="4" w:space="0"/>
              <w:left w:val="single" w:color="auto" w:sz="2" w:space="0"/>
              <w:bottom w:val="single" w:color="auto" w:sz="4" w:space="0"/>
              <w:right w:val="single" w:color="auto" w:sz="2" w:space="0"/>
            </w:tcBorders>
            <w:noWrap w:val="0"/>
            <w:vAlign w:val="center"/>
          </w:tcPr>
          <w:p w14:paraId="5514D9CA">
            <w:pPr>
              <w:widowControl/>
              <w:jc w:val="center"/>
              <w:rPr>
                <w:rFonts w:hint="eastAsia" w:ascii="仿宋" w:hAnsi="仿宋" w:eastAsia="仿宋" w:cs="仿宋"/>
                <w:szCs w:val="21"/>
              </w:rPr>
            </w:pPr>
          </w:p>
        </w:tc>
        <w:tc>
          <w:tcPr>
            <w:tcW w:w="1912" w:type="dxa"/>
            <w:tcBorders>
              <w:top w:val="single" w:color="auto" w:sz="4" w:space="0"/>
              <w:left w:val="single" w:color="auto" w:sz="2" w:space="0"/>
              <w:bottom w:val="single" w:color="auto" w:sz="4" w:space="0"/>
              <w:right w:val="single" w:color="auto" w:sz="4" w:space="0"/>
            </w:tcBorders>
            <w:noWrap w:val="0"/>
            <w:vAlign w:val="center"/>
          </w:tcPr>
          <w:p w14:paraId="7954EC51">
            <w:pPr>
              <w:widowControl/>
              <w:jc w:val="center"/>
              <w:rPr>
                <w:rFonts w:hint="eastAsia" w:ascii="仿宋" w:hAnsi="仿宋" w:eastAsia="仿宋" w:cs="仿宋"/>
                <w:szCs w:val="21"/>
              </w:rPr>
            </w:pPr>
          </w:p>
        </w:tc>
      </w:tr>
      <w:tr w14:paraId="31B3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35233097">
            <w:pPr>
              <w:widowControl/>
              <w:jc w:val="center"/>
              <w:rPr>
                <w:rFonts w:hint="default" w:ascii="仿宋" w:hAnsi="仿宋" w:eastAsia="仿宋" w:cs="仿宋"/>
                <w:kern w:val="2"/>
                <w:sz w:val="21"/>
                <w:szCs w:val="24"/>
                <w:highlight w:val="none"/>
                <w:lang w:val="en-US" w:eastAsia="zh-CN" w:bidi="ar-SA"/>
              </w:rPr>
            </w:pPr>
            <w:r>
              <w:rPr>
                <w:rFonts w:hint="eastAsia" w:ascii="仿宋" w:hAnsi="仿宋" w:eastAsia="仿宋" w:cs="仿宋"/>
                <w:szCs w:val="21"/>
                <w:highlight w:val="none"/>
                <w:lang w:val="en-US" w:eastAsia="zh-CN"/>
              </w:rPr>
              <w:t>植物液除臭剂</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54CF42A3">
            <w:pPr>
              <w:widowControl/>
              <w:jc w:val="center"/>
              <w:rPr>
                <w:rFonts w:hint="eastAsia" w:ascii="仿宋" w:hAnsi="仿宋" w:eastAsia="仿宋" w:cs="仿宋"/>
                <w:szCs w:val="21"/>
                <w:highlight w:val="cyan"/>
              </w:rPr>
            </w:pPr>
          </w:p>
        </w:tc>
        <w:tc>
          <w:tcPr>
            <w:tcW w:w="2038" w:type="dxa"/>
            <w:tcBorders>
              <w:top w:val="single" w:color="auto" w:sz="4" w:space="0"/>
              <w:left w:val="single" w:color="auto" w:sz="2" w:space="0"/>
              <w:bottom w:val="single" w:color="auto" w:sz="4" w:space="0"/>
              <w:right w:val="single" w:color="auto" w:sz="2" w:space="0"/>
            </w:tcBorders>
            <w:noWrap w:val="0"/>
            <w:vAlign w:val="center"/>
          </w:tcPr>
          <w:p w14:paraId="0D5E326E">
            <w:pPr>
              <w:widowControl/>
              <w:jc w:val="center"/>
              <w:rPr>
                <w:rFonts w:hint="eastAsia" w:ascii="仿宋" w:hAnsi="仿宋" w:eastAsia="仿宋" w:cs="仿宋"/>
                <w:szCs w:val="21"/>
                <w:highlight w:val="cyan"/>
              </w:rPr>
            </w:pPr>
          </w:p>
        </w:tc>
        <w:tc>
          <w:tcPr>
            <w:tcW w:w="1912" w:type="dxa"/>
            <w:tcBorders>
              <w:top w:val="single" w:color="auto" w:sz="4" w:space="0"/>
              <w:left w:val="single" w:color="auto" w:sz="2" w:space="0"/>
              <w:bottom w:val="single" w:color="auto" w:sz="4" w:space="0"/>
              <w:right w:val="single" w:color="auto" w:sz="4" w:space="0"/>
            </w:tcBorders>
            <w:noWrap w:val="0"/>
            <w:vAlign w:val="center"/>
          </w:tcPr>
          <w:p w14:paraId="26F0FAEB">
            <w:pPr>
              <w:widowControl/>
              <w:jc w:val="center"/>
              <w:rPr>
                <w:rFonts w:hint="eastAsia" w:ascii="仿宋" w:hAnsi="仿宋" w:eastAsia="仿宋" w:cs="仿宋"/>
                <w:szCs w:val="21"/>
                <w:highlight w:val="cyan"/>
              </w:rPr>
            </w:pPr>
          </w:p>
        </w:tc>
      </w:tr>
      <w:tr w14:paraId="5B91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1354A417">
            <w:pPr>
              <w:widowControl/>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压缩设备液压油</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19EDD25C">
            <w:pPr>
              <w:widowControl/>
              <w:jc w:val="both"/>
              <w:rPr>
                <w:rFonts w:hint="default" w:ascii="仿宋" w:hAnsi="仿宋" w:eastAsia="仿宋" w:cs="仿宋"/>
                <w:szCs w:val="21"/>
                <w:highlight w:val="cyan"/>
                <w:lang w:val="en-US" w:eastAsia="zh-CN"/>
              </w:rPr>
            </w:pPr>
          </w:p>
        </w:tc>
        <w:tc>
          <w:tcPr>
            <w:tcW w:w="2038" w:type="dxa"/>
            <w:tcBorders>
              <w:top w:val="single" w:color="auto" w:sz="4" w:space="0"/>
              <w:left w:val="single" w:color="auto" w:sz="2" w:space="0"/>
              <w:bottom w:val="single" w:color="auto" w:sz="4" w:space="0"/>
              <w:right w:val="single" w:color="auto" w:sz="2" w:space="0"/>
            </w:tcBorders>
            <w:noWrap w:val="0"/>
            <w:vAlign w:val="center"/>
          </w:tcPr>
          <w:p w14:paraId="43A556BD">
            <w:pPr>
              <w:widowControl/>
              <w:jc w:val="center"/>
              <w:rPr>
                <w:rFonts w:hint="eastAsia" w:ascii="仿宋" w:hAnsi="仿宋" w:eastAsia="仿宋" w:cs="仿宋"/>
                <w:szCs w:val="21"/>
                <w:highlight w:val="cyan"/>
              </w:rPr>
            </w:pPr>
          </w:p>
        </w:tc>
        <w:tc>
          <w:tcPr>
            <w:tcW w:w="1912" w:type="dxa"/>
            <w:tcBorders>
              <w:top w:val="single" w:color="auto" w:sz="4" w:space="0"/>
              <w:left w:val="single" w:color="auto" w:sz="2" w:space="0"/>
              <w:bottom w:val="single" w:color="auto" w:sz="4" w:space="0"/>
              <w:right w:val="single" w:color="auto" w:sz="4" w:space="0"/>
            </w:tcBorders>
            <w:noWrap w:val="0"/>
            <w:vAlign w:val="center"/>
          </w:tcPr>
          <w:p w14:paraId="263AE163">
            <w:pPr>
              <w:widowControl/>
              <w:jc w:val="center"/>
              <w:rPr>
                <w:rFonts w:hint="eastAsia" w:ascii="仿宋" w:hAnsi="仿宋" w:eastAsia="仿宋" w:cs="仿宋"/>
                <w:szCs w:val="21"/>
                <w:highlight w:val="cyan"/>
              </w:rPr>
            </w:pPr>
          </w:p>
        </w:tc>
      </w:tr>
      <w:tr w14:paraId="1FB9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38" w:type="dxa"/>
            <w:tcBorders>
              <w:top w:val="single" w:color="auto" w:sz="4" w:space="0"/>
              <w:left w:val="single" w:color="auto" w:sz="4" w:space="0"/>
              <w:bottom w:val="single" w:color="auto" w:sz="4" w:space="0"/>
              <w:right w:val="single" w:color="auto" w:sz="4" w:space="0"/>
            </w:tcBorders>
            <w:noWrap w:val="0"/>
            <w:vAlign w:val="center"/>
          </w:tcPr>
          <w:p w14:paraId="3EB1E30B">
            <w:pPr>
              <w:widowControl/>
              <w:jc w:val="center"/>
              <w:rPr>
                <w:rFonts w:hint="default" w:ascii="仿宋" w:hAnsi="仿宋" w:eastAsia="仿宋" w:cs="仿宋"/>
                <w:lang w:val="en-US" w:eastAsia="zh-CN"/>
              </w:rPr>
            </w:pPr>
            <w:r>
              <w:rPr>
                <w:rFonts w:hint="eastAsia" w:ascii="仿宋" w:hAnsi="仿宋" w:eastAsia="仿宋" w:cs="仿宋"/>
                <w:lang w:val="en-US" w:eastAsia="zh-CN"/>
              </w:rPr>
              <w:t>...</w:t>
            </w:r>
          </w:p>
        </w:tc>
        <w:tc>
          <w:tcPr>
            <w:tcW w:w="1650" w:type="dxa"/>
            <w:tcBorders>
              <w:top w:val="single" w:color="auto" w:sz="4" w:space="0"/>
              <w:left w:val="single" w:color="auto" w:sz="4" w:space="0"/>
              <w:bottom w:val="single" w:color="auto" w:sz="4" w:space="0"/>
              <w:right w:val="single" w:color="auto" w:sz="2" w:space="0"/>
            </w:tcBorders>
            <w:noWrap w:val="0"/>
            <w:vAlign w:val="center"/>
          </w:tcPr>
          <w:p w14:paraId="4896223D">
            <w:pPr>
              <w:widowControl/>
              <w:jc w:val="center"/>
              <w:rPr>
                <w:rFonts w:hint="eastAsia" w:ascii="仿宋" w:hAnsi="仿宋" w:eastAsia="仿宋" w:cs="仿宋"/>
                <w:szCs w:val="21"/>
              </w:rPr>
            </w:pPr>
          </w:p>
        </w:tc>
        <w:tc>
          <w:tcPr>
            <w:tcW w:w="2038" w:type="dxa"/>
            <w:tcBorders>
              <w:top w:val="single" w:color="auto" w:sz="4" w:space="0"/>
              <w:left w:val="single" w:color="auto" w:sz="2" w:space="0"/>
              <w:bottom w:val="single" w:color="auto" w:sz="4" w:space="0"/>
              <w:right w:val="single" w:color="auto" w:sz="2" w:space="0"/>
            </w:tcBorders>
            <w:noWrap w:val="0"/>
            <w:vAlign w:val="center"/>
          </w:tcPr>
          <w:p w14:paraId="394B94CA">
            <w:pPr>
              <w:widowControl/>
              <w:jc w:val="center"/>
              <w:rPr>
                <w:rFonts w:hint="eastAsia" w:ascii="仿宋" w:hAnsi="仿宋" w:eastAsia="仿宋" w:cs="仿宋"/>
                <w:szCs w:val="21"/>
              </w:rPr>
            </w:pPr>
          </w:p>
        </w:tc>
        <w:tc>
          <w:tcPr>
            <w:tcW w:w="1912" w:type="dxa"/>
            <w:tcBorders>
              <w:top w:val="single" w:color="auto" w:sz="4" w:space="0"/>
              <w:left w:val="single" w:color="auto" w:sz="2" w:space="0"/>
              <w:bottom w:val="single" w:color="auto" w:sz="4" w:space="0"/>
              <w:right w:val="single" w:color="auto" w:sz="4" w:space="0"/>
            </w:tcBorders>
            <w:noWrap w:val="0"/>
            <w:vAlign w:val="center"/>
          </w:tcPr>
          <w:p w14:paraId="313F90B9">
            <w:pPr>
              <w:widowControl/>
              <w:jc w:val="center"/>
              <w:rPr>
                <w:rFonts w:hint="eastAsia" w:ascii="仿宋" w:hAnsi="仿宋" w:eastAsia="仿宋" w:cs="仿宋"/>
                <w:szCs w:val="21"/>
              </w:rPr>
            </w:pPr>
          </w:p>
        </w:tc>
      </w:tr>
      <w:tr w14:paraId="3F90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288" w:type="dxa"/>
            <w:gridSpan w:val="2"/>
            <w:tcBorders>
              <w:top w:val="single" w:color="auto" w:sz="4" w:space="0"/>
              <w:left w:val="single" w:color="auto" w:sz="4" w:space="0"/>
              <w:bottom w:val="single" w:color="auto" w:sz="4" w:space="0"/>
              <w:right w:val="single" w:color="auto" w:sz="2" w:space="0"/>
            </w:tcBorders>
            <w:noWrap w:val="0"/>
            <w:vAlign w:val="center"/>
          </w:tcPr>
          <w:p w14:paraId="2816CAC0">
            <w:pPr>
              <w:spacing w:line="300" w:lineRule="exact"/>
              <w:jc w:val="center"/>
              <w:rPr>
                <w:rFonts w:hint="eastAsia" w:ascii="仿宋" w:hAnsi="仿宋" w:eastAsia="仿宋" w:cs="仿宋"/>
                <w:szCs w:val="21"/>
                <w:lang w:eastAsia="zh-CN"/>
              </w:rPr>
            </w:pPr>
            <w:r>
              <w:rPr>
                <w:rFonts w:hint="eastAsia" w:ascii="仿宋" w:hAnsi="仿宋" w:eastAsia="仿宋" w:cs="仿宋"/>
                <w:szCs w:val="21"/>
              </w:rPr>
              <w:t>合计</w:t>
            </w:r>
            <w:r>
              <w:rPr>
                <w:rFonts w:hint="eastAsia" w:ascii="仿宋" w:hAnsi="仿宋" w:eastAsia="仿宋" w:cs="仿宋"/>
                <w:szCs w:val="21"/>
                <w:lang w:eastAsia="zh-CN"/>
              </w:rPr>
              <w:t>（</w:t>
            </w:r>
            <w:r>
              <w:rPr>
                <w:rFonts w:hint="eastAsia" w:ascii="仿宋" w:hAnsi="仿宋" w:eastAsia="仿宋" w:cs="仿宋"/>
                <w:szCs w:val="21"/>
                <w:lang w:val="en-US" w:eastAsia="zh-CN"/>
              </w:rPr>
              <w:t>元/年</w:t>
            </w:r>
            <w:r>
              <w:rPr>
                <w:rFonts w:hint="eastAsia" w:ascii="仿宋" w:hAnsi="仿宋" w:eastAsia="仿宋" w:cs="仿宋"/>
                <w:szCs w:val="21"/>
                <w:lang w:eastAsia="zh-CN"/>
              </w:rPr>
              <w:t>）</w:t>
            </w:r>
          </w:p>
        </w:tc>
        <w:tc>
          <w:tcPr>
            <w:tcW w:w="3950" w:type="dxa"/>
            <w:gridSpan w:val="2"/>
            <w:tcBorders>
              <w:top w:val="single" w:color="auto" w:sz="4" w:space="0"/>
              <w:left w:val="single" w:color="auto" w:sz="2" w:space="0"/>
              <w:bottom w:val="single" w:color="auto" w:sz="4" w:space="0"/>
              <w:right w:val="single" w:color="auto" w:sz="4" w:space="0"/>
            </w:tcBorders>
            <w:noWrap w:val="0"/>
            <w:vAlign w:val="center"/>
          </w:tcPr>
          <w:p w14:paraId="1A86D361">
            <w:pPr>
              <w:spacing w:line="300" w:lineRule="exact"/>
              <w:jc w:val="center"/>
              <w:rPr>
                <w:rFonts w:hint="eastAsia" w:ascii="仿宋" w:hAnsi="仿宋" w:eastAsia="仿宋" w:cs="仿宋"/>
                <w:szCs w:val="21"/>
              </w:rPr>
            </w:pPr>
          </w:p>
        </w:tc>
      </w:tr>
    </w:tbl>
    <w:p w14:paraId="298B87FA">
      <w:pPr>
        <w:rPr>
          <w:rFonts w:hint="eastAsia" w:ascii="仿宋" w:hAnsi="仿宋" w:eastAsia="仿宋" w:cs="仿宋"/>
          <w:szCs w:val="21"/>
        </w:rPr>
      </w:pPr>
      <w:r>
        <w:rPr>
          <w:rFonts w:hint="eastAsia" w:ascii="仿宋" w:hAnsi="仿宋" w:eastAsia="仿宋" w:cs="仿宋"/>
          <w:szCs w:val="21"/>
          <w:lang w:val="en-US" w:eastAsia="zh-CN"/>
        </w:rPr>
        <w:t>说明：1、</w:t>
      </w:r>
      <w:r>
        <w:rPr>
          <w:rFonts w:hint="eastAsia" w:ascii="仿宋" w:hAnsi="仿宋" w:eastAsia="仿宋" w:cs="仿宋"/>
          <w:szCs w:val="21"/>
        </w:rPr>
        <w:t>根据往年情况，液压油约为4万</w:t>
      </w:r>
      <w:r>
        <w:rPr>
          <w:rFonts w:hint="eastAsia" w:ascii="仿宋" w:hAnsi="仿宋" w:eastAsia="仿宋" w:cs="仿宋"/>
          <w:szCs w:val="21"/>
          <w:lang w:val="en-US" w:eastAsia="zh-CN"/>
        </w:rPr>
        <w:t>元/</w:t>
      </w:r>
      <w:r>
        <w:rPr>
          <w:rFonts w:hint="eastAsia" w:ascii="仿宋" w:hAnsi="仿宋" w:eastAsia="仿宋" w:cs="仿宋"/>
          <w:szCs w:val="21"/>
        </w:rPr>
        <w:t>年。5个中转站植物液除臭剂一年的使用量</w:t>
      </w:r>
      <w:r>
        <w:rPr>
          <w:rFonts w:hint="eastAsia" w:ascii="仿宋" w:hAnsi="仿宋" w:eastAsia="仿宋" w:cs="仿宋"/>
          <w:szCs w:val="21"/>
          <w:lang w:val="en-US" w:eastAsia="zh-CN"/>
        </w:rPr>
        <w:t>不少于</w:t>
      </w:r>
      <w:r>
        <w:rPr>
          <w:rFonts w:hint="eastAsia" w:ascii="仿宋" w:hAnsi="仿宋" w:eastAsia="仿宋" w:cs="仿宋"/>
          <w:szCs w:val="21"/>
        </w:rPr>
        <w:t>24吨。</w:t>
      </w:r>
    </w:p>
    <w:p w14:paraId="5DEFFA64">
      <w:pP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投标报价不得缺项以上生产资料。投标人可自行增加所需的生产资料。</w:t>
      </w:r>
    </w:p>
    <w:p w14:paraId="4CB86657">
      <w:pPr>
        <w:tabs>
          <w:tab w:val="left" w:pos="2520"/>
        </w:tabs>
        <w:spacing w:line="360" w:lineRule="auto"/>
        <w:ind w:firstLine="480"/>
        <w:rPr>
          <w:rFonts w:hint="eastAsia" w:ascii="仿宋" w:hAnsi="仿宋" w:eastAsia="仿宋" w:cs="仿宋"/>
          <w:b/>
          <w:szCs w:val="21"/>
        </w:rPr>
      </w:pPr>
    </w:p>
    <w:p w14:paraId="61AA6D5C">
      <w:pPr>
        <w:rPr>
          <w:rFonts w:hint="eastAsia" w:ascii="仿宋" w:hAnsi="仿宋" w:eastAsia="仿宋" w:cs="仿宋"/>
          <w:b/>
          <w:bCs w:val="0"/>
          <w:szCs w:val="21"/>
          <w:lang w:val="en-US" w:eastAsia="zh-CN"/>
        </w:rPr>
      </w:pPr>
      <w:r>
        <w:rPr>
          <w:rFonts w:hint="eastAsia" w:ascii="仿宋" w:hAnsi="仿宋" w:eastAsia="仿宋" w:cs="仿宋"/>
          <w:b/>
          <w:bCs w:val="0"/>
          <w:szCs w:val="21"/>
          <w:lang w:val="en-US" w:eastAsia="zh-CN"/>
        </w:rPr>
        <w:br w:type="page"/>
      </w:r>
    </w:p>
    <w:p w14:paraId="0141AC10">
      <w:pPr>
        <w:tabs>
          <w:tab w:val="left" w:pos="2520"/>
        </w:tabs>
        <w:spacing w:line="360" w:lineRule="auto"/>
        <w:ind w:firstLine="480"/>
        <w:rPr>
          <w:rFonts w:hint="eastAsia" w:ascii="仿宋" w:hAnsi="仿宋" w:eastAsia="仿宋" w:cs="仿宋"/>
          <w:b w:val="0"/>
          <w:bCs/>
          <w:szCs w:val="21"/>
        </w:rPr>
      </w:pPr>
      <w:r>
        <w:rPr>
          <w:rFonts w:hint="eastAsia" w:ascii="仿宋" w:hAnsi="仿宋" w:eastAsia="仿宋" w:cs="仿宋"/>
          <w:b/>
          <w:bCs w:val="0"/>
          <w:szCs w:val="21"/>
          <w:lang w:val="en-US" w:eastAsia="zh-CN"/>
        </w:rPr>
        <w:t>4</w:t>
      </w:r>
      <w:r>
        <w:rPr>
          <w:rFonts w:hint="eastAsia" w:ascii="仿宋" w:hAnsi="仿宋" w:eastAsia="仿宋" w:cs="仿宋"/>
          <w:b/>
          <w:bCs w:val="0"/>
          <w:szCs w:val="21"/>
        </w:rPr>
        <w:t>、</w:t>
      </w:r>
      <w:r>
        <w:rPr>
          <w:rFonts w:hint="eastAsia" w:ascii="仿宋" w:hAnsi="仿宋" w:eastAsia="仿宋" w:cs="仿宋"/>
          <w:b/>
          <w:bCs w:val="0"/>
          <w:szCs w:val="21"/>
          <w:lang w:val="en-US" w:eastAsia="zh-CN"/>
        </w:rPr>
        <w:t>绿化养护</w:t>
      </w:r>
      <w:r>
        <w:rPr>
          <w:rFonts w:hint="eastAsia" w:ascii="仿宋" w:hAnsi="仿宋" w:eastAsia="仿宋" w:cs="仿宋"/>
          <w:b/>
          <w:bCs w:val="0"/>
          <w:szCs w:val="21"/>
          <w:highlight w:val="none"/>
          <w:lang w:val="en-US" w:eastAsia="zh-CN"/>
        </w:rPr>
        <w:t>部分</w:t>
      </w:r>
    </w:p>
    <w:tbl>
      <w:tblPr>
        <w:tblStyle w:val="2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809"/>
        <w:gridCol w:w="1538"/>
        <w:gridCol w:w="1212"/>
        <w:gridCol w:w="1657"/>
      </w:tblGrid>
      <w:tr w14:paraId="091D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1" w:type="dxa"/>
            <w:noWrap w:val="0"/>
            <w:vAlign w:val="center"/>
          </w:tcPr>
          <w:p w14:paraId="558090C8">
            <w:pPr>
              <w:tabs>
                <w:tab w:val="left" w:pos="2520"/>
              </w:tabs>
              <w:jc w:val="center"/>
              <w:rPr>
                <w:rFonts w:hint="eastAsia" w:ascii="仿宋" w:hAnsi="仿宋" w:eastAsia="仿宋" w:cs="仿宋"/>
                <w:b/>
                <w:szCs w:val="21"/>
              </w:rPr>
            </w:pPr>
            <w:r>
              <w:rPr>
                <w:rFonts w:hint="eastAsia" w:ascii="仿宋" w:hAnsi="仿宋" w:eastAsia="仿宋" w:cs="仿宋"/>
                <w:b/>
                <w:szCs w:val="21"/>
              </w:rPr>
              <w:t>序号</w:t>
            </w:r>
          </w:p>
        </w:tc>
        <w:tc>
          <w:tcPr>
            <w:tcW w:w="3809" w:type="dxa"/>
            <w:noWrap w:val="0"/>
            <w:vAlign w:val="center"/>
          </w:tcPr>
          <w:p w14:paraId="137AB781">
            <w:pPr>
              <w:tabs>
                <w:tab w:val="left" w:pos="2520"/>
              </w:tabs>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内容</w:t>
            </w:r>
          </w:p>
        </w:tc>
        <w:tc>
          <w:tcPr>
            <w:tcW w:w="1538" w:type="dxa"/>
            <w:noWrap w:val="0"/>
            <w:vAlign w:val="center"/>
          </w:tcPr>
          <w:p w14:paraId="03F692B6">
            <w:pPr>
              <w:tabs>
                <w:tab w:val="left" w:pos="2520"/>
              </w:tabs>
              <w:jc w:val="center"/>
              <w:rPr>
                <w:rFonts w:hint="eastAsia" w:ascii="仿宋" w:hAnsi="仿宋" w:eastAsia="仿宋" w:cs="仿宋"/>
                <w:b/>
                <w:szCs w:val="21"/>
              </w:rPr>
            </w:pPr>
            <w:r>
              <w:rPr>
                <w:rFonts w:hint="eastAsia" w:ascii="仿宋" w:hAnsi="仿宋" w:eastAsia="仿宋" w:cs="仿宋"/>
                <w:b/>
                <w:szCs w:val="21"/>
              </w:rPr>
              <w:t>数量</w:t>
            </w:r>
          </w:p>
        </w:tc>
        <w:tc>
          <w:tcPr>
            <w:tcW w:w="1212" w:type="dxa"/>
            <w:noWrap w:val="0"/>
            <w:vAlign w:val="center"/>
          </w:tcPr>
          <w:p w14:paraId="308BB924">
            <w:pPr>
              <w:tabs>
                <w:tab w:val="left" w:pos="2520"/>
              </w:tabs>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单价（元）</w:t>
            </w:r>
          </w:p>
        </w:tc>
        <w:tc>
          <w:tcPr>
            <w:tcW w:w="1657" w:type="dxa"/>
            <w:noWrap w:val="0"/>
            <w:vAlign w:val="center"/>
          </w:tcPr>
          <w:p w14:paraId="6715A731">
            <w:pPr>
              <w:tabs>
                <w:tab w:val="left" w:pos="2520"/>
              </w:tabs>
              <w:jc w:val="both"/>
              <w:rPr>
                <w:rFonts w:hint="eastAsia" w:ascii="仿宋" w:hAnsi="仿宋" w:eastAsia="仿宋" w:cs="仿宋"/>
                <w:b/>
                <w:szCs w:val="21"/>
              </w:rPr>
            </w:pPr>
            <w:r>
              <w:rPr>
                <w:rFonts w:hint="eastAsia" w:ascii="仿宋" w:hAnsi="仿宋" w:eastAsia="仿宋" w:cs="仿宋"/>
                <w:b/>
                <w:szCs w:val="21"/>
                <w:lang w:val="en-US" w:eastAsia="zh-CN"/>
              </w:rPr>
              <w:t>金额</w:t>
            </w:r>
            <w:r>
              <w:rPr>
                <w:rFonts w:hint="eastAsia" w:ascii="仿宋" w:hAnsi="仿宋" w:eastAsia="仿宋" w:cs="仿宋"/>
                <w:b/>
                <w:szCs w:val="21"/>
              </w:rPr>
              <w:t>（元/年）</w:t>
            </w:r>
          </w:p>
        </w:tc>
      </w:tr>
      <w:tr w14:paraId="63D7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1" w:type="dxa"/>
            <w:noWrap w:val="0"/>
            <w:vAlign w:val="center"/>
          </w:tcPr>
          <w:p w14:paraId="2F537190">
            <w:pPr>
              <w:tabs>
                <w:tab w:val="left" w:pos="2520"/>
              </w:tabs>
              <w:spacing w:line="360" w:lineRule="auto"/>
              <w:jc w:val="center"/>
              <w:rPr>
                <w:rFonts w:hint="eastAsia" w:ascii="仿宋" w:hAnsi="仿宋" w:eastAsia="仿宋" w:cs="仿宋"/>
                <w:bCs/>
                <w:szCs w:val="21"/>
              </w:rPr>
            </w:pPr>
            <w:r>
              <w:rPr>
                <w:rFonts w:hint="eastAsia" w:ascii="仿宋" w:hAnsi="仿宋" w:eastAsia="仿宋" w:cs="仿宋"/>
                <w:bCs/>
                <w:szCs w:val="21"/>
              </w:rPr>
              <w:t>1</w:t>
            </w:r>
          </w:p>
        </w:tc>
        <w:tc>
          <w:tcPr>
            <w:tcW w:w="3809" w:type="dxa"/>
            <w:noWrap w:val="0"/>
            <w:vAlign w:val="bottom"/>
          </w:tcPr>
          <w:p w14:paraId="086865D3">
            <w:pPr>
              <w:keepNext w:val="0"/>
              <w:keepLines w:val="0"/>
              <w:pageBreakBefore w:val="0"/>
              <w:widowControl w:val="0"/>
              <w:tabs>
                <w:tab w:val="left" w:pos="2520"/>
              </w:tabs>
              <w:kinsoku/>
              <w:wordWrap/>
              <w:overflowPunct/>
              <w:topLinePunct w:val="0"/>
              <w:autoSpaceDE/>
              <w:autoSpaceDN/>
              <w:bidi w:val="0"/>
              <w:adjustRightInd/>
              <w:snapToGrid/>
              <w:spacing w:line="240" w:lineRule="auto"/>
              <w:jc w:val="left"/>
              <w:textAlignment w:val="auto"/>
              <w:rPr>
                <w:rFonts w:hint="eastAsia" w:ascii="仿宋" w:hAnsi="仿宋" w:eastAsia="仿宋" w:cs="仿宋"/>
                <w:bCs/>
                <w:szCs w:val="21"/>
              </w:rPr>
            </w:pPr>
            <w:r>
              <w:rPr>
                <w:rFonts w:hint="eastAsia" w:ascii="仿宋" w:hAnsi="仿宋" w:eastAsia="仿宋" w:cs="仿宋"/>
                <w:highlight w:val="none"/>
                <w:vertAlign w:val="baseline"/>
                <w:lang w:val="en-US" w:eastAsia="zh-CN"/>
              </w:rPr>
              <w:t>范围内花草树木定期施肥、浇水、防病治虫、中耕除草，并及时修枝整型、负责及时处理枯枝落叶、白色垃圾，做好绿化带卫生保洁。</w:t>
            </w:r>
          </w:p>
        </w:tc>
        <w:tc>
          <w:tcPr>
            <w:tcW w:w="1538" w:type="dxa"/>
            <w:noWrap w:val="0"/>
            <w:vAlign w:val="center"/>
          </w:tcPr>
          <w:p w14:paraId="6DCAF221">
            <w:pPr>
              <w:tabs>
                <w:tab w:val="left" w:pos="2520"/>
              </w:tabs>
              <w:spacing w:line="360" w:lineRule="auto"/>
              <w:jc w:val="center"/>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1732.5平方米</w:t>
            </w:r>
          </w:p>
        </w:tc>
        <w:tc>
          <w:tcPr>
            <w:tcW w:w="1212" w:type="dxa"/>
            <w:noWrap w:val="0"/>
            <w:vAlign w:val="center"/>
          </w:tcPr>
          <w:p w14:paraId="4272D3C6">
            <w:pPr>
              <w:tabs>
                <w:tab w:val="left" w:pos="2520"/>
              </w:tabs>
              <w:spacing w:line="360" w:lineRule="auto"/>
              <w:jc w:val="center"/>
              <w:rPr>
                <w:rFonts w:hint="eastAsia" w:ascii="仿宋" w:hAnsi="仿宋" w:eastAsia="仿宋" w:cs="仿宋"/>
                <w:bCs/>
                <w:szCs w:val="21"/>
              </w:rPr>
            </w:pPr>
          </w:p>
        </w:tc>
        <w:tc>
          <w:tcPr>
            <w:tcW w:w="1657" w:type="dxa"/>
            <w:noWrap w:val="0"/>
            <w:vAlign w:val="center"/>
          </w:tcPr>
          <w:p w14:paraId="4B20B494">
            <w:pPr>
              <w:tabs>
                <w:tab w:val="left" w:pos="2520"/>
              </w:tabs>
              <w:spacing w:line="360" w:lineRule="auto"/>
              <w:jc w:val="center"/>
              <w:rPr>
                <w:rFonts w:hint="eastAsia" w:ascii="仿宋" w:hAnsi="仿宋" w:eastAsia="仿宋" w:cs="仿宋"/>
                <w:bCs/>
                <w:szCs w:val="21"/>
              </w:rPr>
            </w:pPr>
          </w:p>
        </w:tc>
      </w:tr>
      <w:tr w14:paraId="4898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248" w:type="dxa"/>
            <w:gridSpan w:val="3"/>
            <w:noWrap w:val="0"/>
            <w:vAlign w:val="center"/>
          </w:tcPr>
          <w:p w14:paraId="36824BDA">
            <w:pPr>
              <w:tabs>
                <w:tab w:val="left" w:pos="2520"/>
              </w:tabs>
              <w:spacing w:line="360" w:lineRule="auto"/>
              <w:jc w:val="center"/>
              <w:rPr>
                <w:rFonts w:hint="default" w:ascii="仿宋" w:hAnsi="仿宋" w:eastAsia="仿宋" w:cs="仿宋"/>
                <w:b w:val="0"/>
                <w:bCs/>
                <w:szCs w:val="21"/>
                <w:lang w:val="en-US" w:eastAsia="zh-CN"/>
              </w:rPr>
            </w:pPr>
            <w:r>
              <w:rPr>
                <w:rFonts w:hint="eastAsia" w:ascii="仿宋" w:hAnsi="仿宋" w:eastAsia="仿宋" w:cs="仿宋"/>
                <w:b w:val="0"/>
                <w:bCs/>
                <w:szCs w:val="21"/>
                <w:lang w:val="en-US" w:eastAsia="zh-CN"/>
              </w:rPr>
              <w:t>合计（元/年）</w:t>
            </w:r>
          </w:p>
        </w:tc>
        <w:tc>
          <w:tcPr>
            <w:tcW w:w="2869" w:type="dxa"/>
            <w:gridSpan w:val="2"/>
            <w:noWrap w:val="0"/>
            <w:vAlign w:val="center"/>
          </w:tcPr>
          <w:p w14:paraId="75AC840A">
            <w:pPr>
              <w:tabs>
                <w:tab w:val="left" w:pos="2520"/>
              </w:tabs>
              <w:spacing w:line="360" w:lineRule="auto"/>
              <w:jc w:val="center"/>
              <w:rPr>
                <w:rFonts w:hint="eastAsia" w:ascii="仿宋" w:hAnsi="仿宋" w:eastAsia="仿宋" w:cs="仿宋"/>
                <w:b/>
                <w:szCs w:val="21"/>
              </w:rPr>
            </w:pPr>
          </w:p>
        </w:tc>
      </w:tr>
    </w:tbl>
    <w:p w14:paraId="3BAC7913">
      <w:pPr>
        <w:rPr>
          <w:rFonts w:hint="eastAsia" w:ascii="仿宋" w:hAnsi="仿宋" w:eastAsia="仿宋" w:cs="仿宋"/>
          <w:b/>
          <w:szCs w:val="21"/>
        </w:rPr>
      </w:pPr>
      <w:r>
        <w:rPr>
          <w:rFonts w:hint="eastAsia" w:ascii="仿宋" w:hAnsi="仿宋" w:eastAsia="仿宋" w:cs="仿宋"/>
          <w:szCs w:val="21"/>
        </w:rPr>
        <w:t>说明：本表中的报价</w:t>
      </w:r>
      <w:r>
        <w:rPr>
          <w:rFonts w:hint="eastAsia" w:ascii="仿宋" w:hAnsi="仿宋" w:eastAsia="仿宋" w:cs="仿宋"/>
        </w:rPr>
        <w:t>可在不改变格式的情况下根据具体需要自行增减。</w:t>
      </w:r>
    </w:p>
    <w:p w14:paraId="2C3579DF">
      <w:pPr>
        <w:rPr>
          <w:rFonts w:hint="eastAsia" w:ascii="仿宋" w:hAnsi="仿宋" w:eastAsia="仿宋" w:cs="仿宋"/>
          <w:b/>
          <w:bCs w:val="0"/>
          <w:kern w:val="2"/>
          <w:sz w:val="21"/>
          <w:szCs w:val="21"/>
          <w:lang w:val="en-US" w:eastAsia="zh-CN" w:bidi="ar-SA"/>
        </w:rPr>
      </w:pPr>
    </w:p>
    <w:p w14:paraId="4124D693">
      <w:pPr>
        <w:rPr>
          <w:rFonts w:hint="eastAsia" w:ascii="仿宋" w:hAnsi="仿宋" w:eastAsia="仿宋" w:cs="仿宋"/>
          <w:b/>
          <w:bCs w:val="0"/>
          <w:kern w:val="2"/>
          <w:sz w:val="21"/>
          <w:szCs w:val="21"/>
          <w:lang w:val="en-US" w:eastAsia="zh-CN" w:bidi="ar-SA"/>
        </w:rPr>
      </w:pPr>
    </w:p>
    <w:p w14:paraId="286DF17B">
      <w:pPr>
        <w:rPr>
          <w:rFonts w:hint="eastAsia" w:ascii="仿宋" w:hAnsi="仿宋" w:eastAsia="仿宋" w:cs="仿宋"/>
          <w:b/>
          <w:bCs w:val="0"/>
          <w:kern w:val="2"/>
          <w:sz w:val="21"/>
          <w:szCs w:val="21"/>
          <w:lang w:val="en-US" w:eastAsia="zh-CN" w:bidi="ar-SA"/>
        </w:rPr>
      </w:pPr>
    </w:p>
    <w:p w14:paraId="37F512DA">
      <w:pPr>
        <w:ind w:firstLine="422" w:firstLineChars="200"/>
        <w:rPr>
          <w:rFonts w:hint="eastAsia" w:ascii="仿宋" w:hAnsi="仿宋" w:eastAsia="仿宋" w:cs="仿宋"/>
          <w:b/>
          <w:bCs w:val="0"/>
          <w:szCs w:val="21"/>
          <w:highlight w:val="none"/>
          <w:lang w:val="zh-CN"/>
        </w:rPr>
      </w:pPr>
      <w:r>
        <w:rPr>
          <w:rFonts w:hint="eastAsia" w:ascii="仿宋" w:hAnsi="仿宋" w:eastAsia="仿宋" w:cs="仿宋"/>
          <w:b/>
          <w:bCs w:val="0"/>
          <w:kern w:val="2"/>
          <w:sz w:val="21"/>
          <w:szCs w:val="21"/>
          <w:lang w:val="en-US" w:eastAsia="zh-CN" w:bidi="ar-SA"/>
        </w:rPr>
        <w:t>5</w:t>
      </w:r>
      <w:r>
        <w:rPr>
          <w:rFonts w:hint="eastAsia" w:ascii="仿宋" w:hAnsi="仿宋" w:eastAsia="仿宋" w:cs="仿宋"/>
          <w:b/>
          <w:bCs w:val="0"/>
          <w:kern w:val="2"/>
          <w:sz w:val="21"/>
          <w:szCs w:val="21"/>
          <w:lang w:val="zh-CN" w:eastAsia="zh-CN" w:bidi="ar-SA"/>
        </w:rPr>
        <w:t>、</w:t>
      </w:r>
      <w:r>
        <w:rPr>
          <w:rFonts w:hint="eastAsia" w:ascii="仿宋" w:hAnsi="仿宋" w:eastAsia="仿宋" w:cs="仿宋"/>
          <w:b/>
          <w:bCs w:val="0"/>
          <w:szCs w:val="21"/>
          <w:highlight w:val="none"/>
          <w:lang w:val="en-US" w:eastAsia="zh-CN"/>
        </w:rPr>
        <w:t>按实结算部分</w:t>
      </w:r>
      <w:r>
        <w:rPr>
          <w:rFonts w:hint="eastAsia" w:ascii="仿宋" w:hAnsi="仿宋" w:eastAsia="仿宋" w:cs="仿宋"/>
          <w:b/>
          <w:bCs w:val="0"/>
          <w:szCs w:val="21"/>
          <w:highlight w:val="none"/>
          <w:lang w:val="zh-CN"/>
        </w:rPr>
        <w:t xml:space="preserve"> </w:t>
      </w:r>
    </w:p>
    <w:tbl>
      <w:tblPr>
        <w:tblStyle w:val="23"/>
        <w:tblW w:w="9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72"/>
        <w:gridCol w:w="3016"/>
        <w:gridCol w:w="1887"/>
        <w:gridCol w:w="1613"/>
      </w:tblGrid>
      <w:tr w14:paraId="2196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00" w:type="dxa"/>
            <w:noWrap w:val="0"/>
            <w:vAlign w:val="center"/>
          </w:tcPr>
          <w:p w14:paraId="5F5F6DA7">
            <w:pPr>
              <w:widowControl/>
              <w:jc w:val="center"/>
              <w:rPr>
                <w:rFonts w:hint="eastAsia"/>
                <w:b/>
                <w:bCs/>
                <w:vertAlign w:val="baseline"/>
                <w:lang w:val="zh-CN"/>
              </w:rPr>
            </w:pPr>
            <w:r>
              <w:rPr>
                <w:rFonts w:hint="eastAsia" w:ascii="仿宋" w:hAnsi="仿宋" w:eastAsia="仿宋" w:cs="仿宋"/>
                <w:b/>
                <w:bCs/>
                <w:szCs w:val="21"/>
              </w:rPr>
              <w:t>序号</w:t>
            </w:r>
          </w:p>
        </w:tc>
        <w:tc>
          <w:tcPr>
            <w:tcW w:w="1672" w:type="dxa"/>
            <w:noWrap w:val="0"/>
            <w:vAlign w:val="center"/>
          </w:tcPr>
          <w:p w14:paraId="0F1F0364">
            <w:pPr>
              <w:widowControl/>
              <w:jc w:val="center"/>
              <w:rPr>
                <w:rFonts w:hint="eastAsia"/>
                <w:b/>
                <w:bCs/>
                <w:vertAlign w:val="baseline"/>
                <w:lang w:val="zh-CN"/>
              </w:rPr>
            </w:pPr>
            <w:r>
              <w:rPr>
                <w:rFonts w:hint="eastAsia" w:ascii="仿宋" w:hAnsi="仿宋" w:eastAsia="仿宋" w:cs="仿宋"/>
                <w:b/>
                <w:bCs/>
                <w:szCs w:val="21"/>
              </w:rPr>
              <w:t>内容</w:t>
            </w:r>
          </w:p>
        </w:tc>
        <w:tc>
          <w:tcPr>
            <w:tcW w:w="3016" w:type="dxa"/>
            <w:noWrap w:val="0"/>
            <w:vAlign w:val="center"/>
          </w:tcPr>
          <w:p w14:paraId="7A83EBC4">
            <w:pPr>
              <w:widowControl/>
              <w:jc w:val="center"/>
              <w:rPr>
                <w:rFonts w:hint="default" w:eastAsia="宋体"/>
                <w:b/>
                <w:bCs/>
                <w:vertAlign w:val="baseline"/>
                <w:lang w:val="en-US" w:eastAsia="zh-CN"/>
              </w:rPr>
            </w:pPr>
            <w:r>
              <w:rPr>
                <w:rFonts w:hint="eastAsia" w:ascii="仿宋" w:hAnsi="仿宋" w:eastAsia="仿宋" w:cs="仿宋"/>
                <w:b/>
                <w:bCs/>
                <w:vertAlign w:val="baseline"/>
                <w:lang w:val="en-US" w:eastAsia="zh-CN"/>
              </w:rPr>
              <w:t>结算原则</w:t>
            </w:r>
          </w:p>
        </w:tc>
        <w:tc>
          <w:tcPr>
            <w:tcW w:w="1887" w:type="dxa"/>
            <w:noWrap w:val="0"/>
            <w:vAlign w:val="center"/>
          </w:tcPr>
          <w:p w14:paraId="24C0E925">
            <w:pPr>
              <w:widowControl/>
              <w:jc w:val="center"/>
              <w:rPr>
                <w:rFonts w:hint="default"/>
                <w:b/>
                <w:bCs/>
                <w:vertAlign w:val="baseline"/>
                <w:lang w:val="en-US"/>
              </w:rPr>
            </w:pPr>
            <w:r>
              <w:rPr>
                <w:rFonts w:hint="eastAsia" w:ascii="仿宋" w:hAnsi="仿宋" w:eastAsia="仿宋" w:cs="仿宋"/>
                <w:b/>
                <w:bCs/>
                <w:szCs w:val="21"/>
              </w:rPr>
              <w:t>投标</w:t>
            </w:r>
            <w:r>
              <w:rPr>
                <w:rFonts w:hint="eastAsia" w:ascii="仿宋" w:hAnsi="仿宋" w:eastAsia="仿宋" w:cs="仿宋"/>
                <w:b/>
                <w:bCs/>
                <w:szCs w:val="21"/>
                <w:lang w:val="en-US" w:eastAsia="zh-CN"/>
              </w:rPr>
              <w:t>折扣</w:t>
            </w:r>
          </w:p>
        </w:tc>
        <w:tc>
          <w:tcPr>
            <w:tcW w:w="1613" w:type="dxa"/>
            <w:noWrap w:val="0"/>
            <w:vAlign w:val="center"/>
          </w:tcPr>
          <w:p w14:paraId="5BC79FC8">
            <w:pPr>
              <w:widowControl/>
              <w:jc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金额（元/年）</w:t>
            </w:r>
          </w:p>
        </w:tc>
      </w:tr>
      <w:tr w14:paraId="7691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00" w:type="dxa"/>
            <w:noWrap w:val="0"/>
            <w:vAlign w:val="center"/>
          </w:tcPr>
          <w:p w14:paraId="1691D334">
            <w:pPr>
              <w:widowControl/>
              <w:jc w:val="center"/>
              <w:rPr>
                <w:rFonts w:hint="eastAsia"/>
                <w:vertAlign w:val="baseline"/>
                <w:lang w:val="zh-CN"/>
              </w:rPr>
            </w:pPr>
            <w:r>
              <w:rPr>
                <w:rFonts w:hint="eastAsia" w:ascii="仿宋" w:hAnsi="仿宋" w:eastAsia="仿宋" w:cs="仿宋"/>
                <w:szCs w:val="21"/>
              </w:rPr>
              <w:t>1</w:t>
            </w:r>
          </w:p>
        </w:tc>
        <w:tc>
          <w:tcPr>
            <w:tcW w:w="1672" w:type="dxa"/>
            <w:noWrap w:val="0"/>
            <w:vAlign w:val="center"/>
          </w:tcPr>
          <w:p w14:paraId="13A2CC85">
            <w:pPr>
              <w:widowControl/>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中转站设备设施维修</w:t>
            </w:r>
          </w:p>
        </w:tc>
        <w:tc>
          <w:tcPr>
            <w:tcW w:w="3016" w:type="dxa"/>
            <w:noWrap w:val="0"/>
            <w:vAlign w:val="center"/>
          </w:tcPr>
          <w:p w14:paraId="200EC377">
            <w:pPr>
              <w:widowControl/>
              <w:jc w:val="left"/>
              <w:rPr>
                <w:rFonts w:hint="default"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中转站设备设施维修费</w:t>
            </w:r>
            <w:r>
              <w:rPr>
                <w:rFonts w:hint="eastAsia" w:ascii="仿宋" w:hAnsi="仿宋" w:eastAsia="仿宋" w:cs="Times New Roman"/>
                <w:highlight w:val="none"/>
                <w:lang w:val="en-US" w:eastAsia="zh-CN"/>
              </w:rPr>
              <w:t>以采购文件约定的</w:t>
            </w:r>
            <w:r>
              <w:rPr>
                <w:rFonts w:hint="eastAsia" w:ascii="仿宋" w:hAnsi="仿宋" w:eastAsia="仿宋" w:cs="仿宋"/>
                <w:highlight w:val="none"/>
                <w:vertAlign w:val="baseline"/>
                <w:lang w:val="en-US" w:eastAsia="zh-CN"/>
              </w:rPr>
              <w:t>经采购人或第三方审计后，</w:t>
            </w:r>
            <w:r>
              <w:rPr>
                <w:rFonts w:hint="eastAsia" w:ascii="仿宋" w:hAnsi="仿宋" w:eastAsia="仿宋" w:cs="Times New Roman"/>
                <w:highlight w:val="none"/>
                <w:lang w:val="en-US" w:eastAsia="zh-CN"/>
              </w:rPr>
              <w:t>按实结算原则为标准。</w:t>
            </w:r>
          </w:p>
        </w:tc>
        <w:tc>
          <w:tcPr>
            <w:tcW w:w="1887" w:type="dxa"/>
            <w:noWrap w:val="0"/>
            <w:vAlign w:val="center"/>
          </w:tcPr>
          <w:p w14:paraId="1738F05F">
            <w:pPr>
              <w:widowControl/>
              <w:jc w:val="center"/>
              <w:rPr>
                <w:rFonts w:hint="eastAsia"/>
                <w:highlight w:val="none"/>
                <w:vertAlign w:val="baseline"/>
                <w:lang w:val="zh-CN"/>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tc>
        <w:tc>
          <w:tcPr>
            <w:tcW w:w="1613" w:type="dxa"/>
            <w:noWrap w:val="0"/>
            <w:vAlign w:val="center"/>
          </w:tcPr>
          <w:p w14:paraId="21DFD363">
            <w:pPr>
              <w:widowControl/>
              <w:jc w:val="center"/>
              <w:rPr>
                <w:rFonts w:hint="eastAsia" w:ascii="仿宋" w:hAnsi="仿宋" w:eastAsia="仿宋" w:cs="仿宋"/>
                <w:szCs w:val="21"/>
                <w:u w:val="single"/>
              </w:rPr>
            </w:pPr>
          </w:p>
        </w:tc>
      </w:tr>
    </w:tbl>
    <w:p w14:paraId="5738310A">
      <w:pPr>
        <w:numPr>
          <w:ilvl w:val="0"/>
          <w:numId w:val="0"/>
        </w:numPr>
        <w:snapToGrid w:val="0"/>
        <w:spacing w:line="360" w:lineRule="auto"/>
        <w:jc w:val="left"/>
        <w:rPr>
          <w:rFonts w:hint="default" w:ascii="仿宋" w:hAnsi="仿宋" w:eastAsia="仿宋" w:cs="仿宋"/>
          <w:b/>
          <w:bCs/>
          <w:kern w:val="0"/>
          <w:sz w:val="21"/>
          <w:szCs w:val="21"/>
          <w:lang w:val="en-US" w:eastAsia="zh-CN" w:bidi="ar-SA"/>
        </w:rPr>
      </w:pPr>
      <w:r>
        <w:rPr>
          <w:rFonts w:hint="eastAsia" w:ascii="仿宋" w:hAnsi="仿宋" w:eastAsia="仿宋" w:cs="Times New Roman"/>
          <w:highlight w:val="none"/>
        </w:rPr>
        <w:t>备注：</w:t>
      </w:r>
      <w:r>
        <w:rPr>
          <w:rFonts w:hint="eastAsia" w:ascii="仿宋" w:hAnsi="仿宋" w:eastAsia="仿宋" w:cs="Times New Roman"/>
          <w:b/>
          <w:bCs/>
          <w:highlight w:val="none"/>
          <w:lang w:val="en-US" w:eastAsia="zh-CN"/>
        </w:rPr>
        <w:t>1</w:t>
      </w:r>
      <w:r>
        <w:rPr>
          <w:rFonts w:hint="eastAsia" w:ascii="仿宋" w:hAnsi="仿宋" w:eastAsia="仿宋" w:cs="仿宋"/>
          <w:b/>
          <w:bCs/>
          <w:kern w:val="0"/>
          <w:sz w:val="21"/>
          <w:szCs w:val="21"/>
          <w:lang w:val="en-US" w:eastAsia="zh-CN" w:bidi="ar-SA"/>
        </w:rPr>
        <w:t>、金额=预算金额28万元×投标折扣后计入投标总价。</w:t>
      </w:r>
    </w:p>
    <w:p w14:paraId="11ED9849">
      <w:pPr>
        <w:numPr>
          <w:ilvl w:val="0"/>
          <w:numId w:val="0"/>
        </w:numPr>
        <w:snapToGrid w:val="0"/>
        <w:spacing w:line="360" w:lineRule="auto"/>
        <w:ind w:left="0" w:leftChars="0" w:firstLine="480" w:firstLineChars="0"/>
        <w:jc w:val="left"/>
        <w:rPr>
          <w:rFonts w:hint="eastAsia" w:ascii="仿宋" w:hAnsi="仿宋" w:eastAsia="仿宋" w:cs="Times New Roman"/>
          <w:highlight w:val="none"/>
        </w:rPr>
      </w:pPr>
      <w:r>
        <w:rPr>
          <w:rFonts w:hint="eastAsia" w:ascii="仿宋" w:hAnsi="仿宋" w:eastAsia="仿宋" w:cs="Times New Roman"/>
          <w:highlight w:val="none"/>
          <w:lang w:val="en-US" w:eastAsia="zh-CN"/>
        </w:rPr>
        <w:t>2</w:t>
      </w:r>
      <w:r>
        <w:rPr>
          <w:rFonts w:hint="eastAsia" w:ascii="仿宋" w:hAnsi="仿宋" w:eastAsia="仿宋" w:cs="Times New Roman"/>
          <w:highlight w:val="none"/>
        </w:rPr>
        <w:t>、采用统一</w:t>
      </w:r>
      <w:r>
        <w:rPr>
          <w:rFonts w:hint="eastAsia" w:ascii="仿宋" w:hAnsi="仿宋" w:eastAsia="仿宋" w:cs="Times New Roman"/>
          <w:highlight w:val="none"/>
          <w:lang w:val="en-US" w:eastAsia="zh-CN"/>
        </w:rPr>
        <w:t>折扣</w:t>
      </w:r>
      <w:r>
        <w:rPr>
          <w:rFonts w:hint="eastAsia" w:ascii="仿宋" w:hAnsi="仿宋" w:eastAsia="仿宋" w:cs="Times New Roman"/>
          <w:highlight w:val="none"/>
        </w:rPr>
        <w:t>形式报价，</w:t>
      </w:r>
      <w:r>
        <w:rPr>
          <w:rFonts w:hint="eastAsia" w:ascii="仿宋" w:hAnsi="仿宋" w:eastAsia="仿宋" w:cs="Times New Roman"/>
          <w:highlight w:val="none"/>
          <w:lang w:val="en-US" w:eastAsia="zh-CN"/>
        </w:rPr>
        <w:t>折扣</w:t>
      </w:r>
      <w:r>
        <w:rPr>
          <w:rFonts w:hint="eastAsia" w:ascii="仿宋" w:hAnsi="仿宋" w:eastAsia="仿宋" w:cs="Times New Roman"/>
          <w:highlight w:val="none"/>
        </w:rPr>
        <w:t>必须≥0。</w:t>
      </w:r>
      <w:r>
        <w:rPr>
          <w:rFonts w:hint="eastAsia" w:ascii="仿宋" w:hAnsi="仿宋" w:eastAsia="仿宋" w:cs="Times New Roman"/>
          <w:highlight w:val="none"/>
          <w:lang w:val="en-US" w:eastAsia="zh-CN"/>
        </w:rPr>
        <w:t>例如90%相当于9折，80%相当于8折。</w:t>
      </w:r>
      <w:r>
        <w:rPr>
          <w:rFonts w:hint="eastAsia" w:ascii="仿宋" w:hAnsi="仿宋" w:eastAsia="仿宋" w:cs="Times New Roman"/>
          <w:highlight w:val="none"/>
        </w:rPr>
        <w:t xml:space="preserve"> </w:t>
      </w:r>
    </w:p>
    <w:p w14:paraId="0562E0D6">
      <w:pPr>
        <w:numPr>
          <w:ilvl w:val="0"/>
          <w:numId w:val="0"/>
        </w:numPr>
        <w:snapToGrid w:val="0"/>
        <w:spacing w:line="360" w:lineRule="auto"/>
        <w:ind w:left="0" w:leftChars="0" w:firstLine="480" w:firstLineChars="0"/>
        <w:jc w:val="left"/>
        <w:rPr>
          <w:rFonts w:hint="eastAsia" w:ascii="仿宋" w:hAnsi="仿宋" w:eastAsia="仿宋" w:cs="Times New Roman"/>
          <w:highlight w:val="none"/>
          <w:lang w:val="en-US" w:eastAsia="zh-CN"/>
        </w:rPr>
      </w:pPr>
      <w:r>
        <w:rPr>
          <w:rFonts w:hint="eastAsia" w:ascii="仿宋" w:hAnsi="仿宋" w:eastAsia="仿宋" w:cs="Times New Roman"/>
          <w:kern w:val="2"/>
          <w:sz w:val="21"/>
          <w:szCs w:val="24"/>
          <w:lang w:val="en-US" w:eastAsia="zh-CN" w:bidi="ar-SA"/>
        </w:rPr>
        <w:t>3、</w:t>
      </w:r>
      <w:r>
        <w:rPr>
          <w:rFonts w:hint="eastAsia" w:ascii="仿宋" w:hAnsi="仿宋" w:eastAsia="仿宋" w:cs="Times New Roman"/>
          <w:highlight w:val="none"/>
          <w:lang w:val="en-US" w:eastAsia="zh-CN"/>
        </w:rPr>
        <w:t>折扣</w:t>
      </w:r>
      <w:r>
        <w:rPr>
          <w:rFonts w:hint="eastAsia" w:ascii="仿宋" w:hAnsi="仿宋" w:eastAsia="仿宋" w:cs="Times New Roman"/>
          <w:highlight w:val="none"/>
        </w:rPr>
        <w:t>填写时直接填写阿拉伯数字（无需在数字前添加任何“+”或“-”符号），%号前最多保留到小数点后二位，未按此要求报价的作无效标处理。</w:t>
      </w:r>
    </w:p>
    <w:p w14:paraId="3465A263">
      <w:pPr>
        <w:numPr>
          <w:ilvl w:val="0"/>
          <w:numId w:val="0"/>
        </w:numPr>
        <w:snapToGrid w:val="0"/>
        <w:spacing w:line="360" w:lineRule="auto"/>
        <w:ind w:left="0" w:leftChars="0" w:firstLine="480" w:firstLineChars="0"/>
        <w:jc w:val="left"/>
        <w:rPr>
          <w:rFonts w:hint="eastAsia" w:ascii="仿宋" w:hAnsi="仿宋" w:eastAsia="仿宋" w:cs="Times New Roman"/>
          <w:highlight w:val="none"/>
          <w:lang w:val="en-US" w:eastAsia="zh-CN"/>
        </w:rPr>
      </w:pPr>
      <w:r>
        <w:rPr>
          <w:rFonts w:hint="eastAsia" w:ascii="仿宋" w:hAnsi="仿宋" w:eastAsia="仿宋" w:cs="仿宋"/>
          <w:kern w:val="0"/>
          <w:sz w:val="21"/>
          <w:szCs w:val="21"/>
          <w:lang w:val="en-US" w:eastAsia="zh-CN" w:bidi="ar-SA"/>
        </w:rPr>
        <w:t>4</w:t>
      </w:r>
      <w:r>
        <w:rPr>
          <w:rFonts w:hint="default" w:ascii="仿宋" w:hAnsi="仿宋" w:eastAsia="仿宋" w:cs="仿宋"/>
          <w:kern w:val="0"/>
          <w:sz w:val="21"/>
          <w:szCs w:val="21"/>
          <w:lang w:val="en-US" w:eastAsia="zh-CN" w:bidi="ar-SA"/>
        </w:rPr>
        <w:t>、</w:t>
      </w:r>
      <w:r>
        <w:rPr>
          <w:rFonts w:hint="eastAsia" w:ascii="仿宋" w:hAnsi="仿宋" w:eastAsia="仿宋" w:cs="Times New Roman"/>
          <w:highlight w:val="none"/>
          <w:lang w:val="en-US" w:eastAsia="zh-CN"/>
        </w:rPr>
        <w:t>维修费用=∑实际维修金额X中标折扣，维修费用需提供相应维修清单明细，经采购人或第三方审核后按实支付。</w:t>
      </w:r>
    </w:p>
    <w:p w14:paraId="189E01DC">
      <w:pPr>
        <w:adjustRightInd w:val="0"/>
        <w:spacing w:line="360" w:lineRule="auto"/>
        <w:ind w:firstLine="2400" w:firstLineChars="1000"/>
        <w:jc w:val="left"/>
        <w:rPr>
          <w:rFonts w:hint="eastAsia" w:ascii="仿宋" w:hAnsi="仿宋" w:eastAsia="仿宋" w:cs="仿宋"/>
          <w:sz w:val="24"/>
          <w:highlight w:val="none"/>
        </w:rPr>
      </w:pPr>
    </w:p>
    <w:p w14:paraId="0D68C915">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法定代表人（负责人）或其授权委托人（签名或印章）：</w:t>
      </w:r>
    </w:p>
    <w:p w14:paraId="6789CA5B">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投标人（盖章）：</w:t>
      </w:r>
    </w:p>
    <w:p w14:paraId="07BC2D74">
      <w:pPr>
        <w:adjustRightInd w:val="0"/>
        <w:spacing w:line="360" w:lineRule="auto"/>
        <w:ind w:firstLine="2400" w:firstLineChars="1000"/>
        <w:jc w:val="left"/>
        <w:rPr>
          <w:rFonts w:hint="eastAsia" w:ascii="仿宋" w:hAnsi="仿宋" w:eastAsia="仿宋" w:cs="仿宋"/>
          <w:sz w:val="24"/>
          <w:highlight w:val="none"/>
        </w:rPr>
      </w:pPr>
      <w:r>
        <w:rPr>
          <w:rFonts w:hint="eastAsia" w:ascii="仿宋" w:hAnsi="仿宋" w:eastAsia="仿宋" w:cs="仿宋"/>
          <w:sz w:val="24"/>
          <w:highlight w:val="none"/>
        </w:rPr>
        <w:t>日期：</w:t>
      </w:r>
    </w:p>
    <w:p w14:paraId="0F124803">
      <w:pPr>
        <w:rPr>
          <w:rFonts w:hint="eastAsia" w:ascii="仿宋" w:hAnsi="仿宋" w:eastAsia="仿宋" w:cs="仿宋"/>
          <w:sz w:val="24"/>
          <w:highlight w:val="none"/>
        </w:rPr>
      </w:pPr>
      <w:r>
        <w:rPr>
          <w:rFonts w:hint="eastAsia" w:ascii="仿宋" w:hAnsi="仿宋" w:eastAsia="仿宋" w:cs="仿宋"/>
          <w:sz w:val="24"/>
          <w:highlight w:val="none"/>
        </w:rPr>
        <w:br w:type="page"/>
      </w:r>
    </w:p>
    <w:p w14:paraId="7D0F7A58">
      <w:pPr>
        <w:spacing w:line="360" w:lineRule="auto"/>
        <w:ind w:firstLine="4800" w:firstLineChars="2000"/>
        <w:rPr>
          <w:rFonts w:hint="eastAsia" w:ascii="仿宋" w:hAnsi="仿宋" w:eastAsia="仿宋" w:cs="仿宋"/>
          <w:sz w:val="24"/>
        </w:rPr>
        <w:sectPr>
          <w:footerReference r:id="rId15" w:type="default"/>
          <w:pgSz w:w="11906" w:h="16838"/>
          <w:pgMar w:top="1418" w:right="1287" w:bottom="1134" w:left="1622" w:header="624" w:footer="624" w:gutter="0"/>
          <w:pgNumType w:fmt="decimal"/>
          <w:cols w:space="720" w:num="1"/>
          <w:docGrid w:linePitch="312" w:charSpace="0"/>
        </w:sectPr>
      </w:pPr>
    </w:p>
    <w:p w14:paraId="43333AA8">
      <w:pPr>
        <w:pStyle w:val="41"/>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b/>
          <w:szCs w:val="21"/>
          <w:lang w:val="en-US" w:eastAsia="zh-CN"/>
        </w:rPr>
        <w:t>三</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政府采购统计基础信息表</w:t>
      </w:r>
    </w:p>
    <w:tbl>
      <w:tblPr>
        <w:tblStyle w:val="22"/>
        <w:tblW w:w="0" w:type="auto"/>
        <w:jc w:val="center"/>
        <w:tblLayout w:type="fixed"/>
        <w:tblCellMar>
          <w:top w:w="0" w:type="dxa"/>
          <w:left w:w="108" w:type="dxa"/>
          <w:bottom w:w="0" w:type="dxa"/>
          <w:right w:w="108" w:type="dxa"/>
        </w:tblCellMar>
      </w:tblPr>
      <w:tblGrid>
        <w:gridCol w:w="4998"/>
        <w:gridCol w:w="3539"/>
      </w:tblGrid>
      <w:tr w14:paraId="2568D89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3098141">
            <w:pPr>
              <w:adjustRightInd w:val="0"/>
              <w:spacing w:line="360" w:lineRule="auto"/>
              <w:jc w:val="left"/>
              <w:rPr>
                <w:rFonts w:hint="eastAsia" w:ascii="仿宋" w:hAnsi="仿宋" w:eastAsia="仿宋" w:cs="仿宋"/>
                <w:szCs w:val="21"/>
              </w:rPr>
            </w:pPr>
            <w:r>
              <w:rPr>
                <w:rFonts w:hint="eastAsia" w:ascii="仿宋" w:hAnsi="仿宋" w:eastAsia="仿宋" w:cs="仿宋"/>
                <w:szCs w:val="21"/>
              </w:rPr>
              <w:t>采购人及采购项目名称</w:t>
            </w:r>
          </w:p>
        </w:tc>
        <w:tc>
          <w:tcPr>
            <w:tcW w:w="3539" w:type="dxa"/>
            <w:tcBorders>
              <w:top w:val="single" w:color="000000" w:sz="4" w:space="0"/>
              <w:left w:val="nil"/>
              <w:bottom w:val="single" w:color="000000" w:sz="4" w:space="0"/>
              <w:right w:val="single" w:color="000000" w:sz="4" w:space="0"/>
            </w:tcBorders>
            <w:noWrap w:val="0"/>
            <w:vAlign w:val="center"/>
          </w:tcPr>
          <w:p w14:paraId="5A5EE92B">
            <w:pPr>
              <w:adjustRightInd w:val="0"/>
              <w:spacing w:line="360" w:lineRule="auto"/>
              <w:rPr>
                <w:rFonts w:hint="eastAsia" w:ascii="仿宋" w:hAnsi="仿宋" w:eastAsia="仿宋" w:cs="仿宋"/>
                <w:szCs w:val="21"/>
              </w:rPr>
            </w:pPr>
          </w:p>
        </w:tc>
      </w:tr>
      <w:tr w14:paraId="7927E9D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5E95B93">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投标单位名称</w:t>
            </w:r>
          </w:p>
        </w:tc>
        <w:tc>
          <w:tcPr>
            <w:tcW w:w="3539" w:type="dxa"/>
            <w:tcBorders>
              <w:top w:val="single" w:color="000000" w:sz="4" w:space="0"/>
              <w:left w:val="nil"/>
              <w:bottom w:val="single" w:color="000000" w:sz="4" w:space="0"/>
              <w:right w:val="single" w:color="000000" w:sz="4" w:space="0"/>
            </w:tcBorders>
            <w:noWrap w:val="0"/>
            <w:vAlign w:val="center"/>
          </w:tcPr>
          <w:p w14:paraId="7B828615">
            <w:pPr>
              <w:adjustRightInd w:val="0"/>
              <w:spacing w:line="360" w:lineRule="auto"/>
              <w:rPr>
                <w:rFonts w:hint="eastAsia" w:ascii="仿宋" w:hAnsi="仿宋" w:eastAsia="仿宋" w:cs="仿宋"/>
                <w:szCs w:val="21"/>
              </w:rPr>
            </w:pPr>
          </w:p>
        </w:tc>
      </w:tr>
      <w:tr w14:paraId="17BE52A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F2EDD96">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center"/>
          </w:tcPr>
          <w:p w14:paraId="4AB2E4F8">
            <w:pPr>
              <w:adjustRightInd w:val="0"/>
              <w:spacing w:line="360" w:lineRule="auto"/>
              <w:rPr>
                <w:rFonts w:hint="eastAsia" w:ascii="仿宋" w:hAnsi="仿宋" w:eastAsia="仿宋" w:cs="仿宋"/>
                <w:szCs w:val="21"/>
              </w:rPr>
            </w:pPr>
          </w:p>
        </w:tc>
      </w:tr>
      <w:tr w14:paraId="7699F0B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19009B8">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投标单位是否为宁波企业</w:t>
            </w:r>
          </w:p>
        </w:tc>
        <w:tc>
          <w:tcPr>
            <w:tcW w:w="3539" w:type="dxa"/>
            <w:tcBorders>
              <w:top w:val="single" w:color="000000" w:sz="4" w:space="0"/>
              <w:left w:val="nil"/>
              <w:bottom w:val="single" w:color="000000" w:sz="4" w:space="0"/>
              <w:right w:val="single" w:color="000000" w:sz="4" w:space="0"/>
            </w:tcBorders>
            <w:noWrap w:val="0"/>
            <w:vAlign w:val="center"/>
          </w:tcPr>
          <w:p w14:paraId="0CAC5304">
            <w:pPr>
              <w:adjustRightInd w:val="0"/>
              <w:spacing w:line="360" w:lineRule="auto"/>
              <w:rPr>
                <w:rFonts w:hint="eastAsia" w:ascii="仿宋" w:hAnsi="仿宋" w:eastAsia="仿宋" w:cs="仿宋"/>
                <w:szCs w:val="21"/>
              </w:rPr>
            </w:pPr>
          </w:p>
        </w:tc>
      </w:tr>
      <w:tr w14:paraId="4EA09DD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2EA1A12">
            <w:pPr>
              <w:adjustRightInd w:val="0"/>
              <w:spacing w:line="360" w:lineRule="auto"/>
              <w:jc w:val="left"/>
              <w:rPr>
                <w:rFonts w:hint="eastAsia" w:ascii="仿宋" w:hAnsi="仿宋" w:eastAsia="仿宋" w:cs="仿宋"/>
                <w:szCs w:val="21"/>
              </w:rPr>
            </w:pPr>
            <w:r>
              <w:rPr>
                <w:rFonts w:hint="eastAsia" w:ascii="仿宋" w:hAnsi="仿宋" w:eastAsia="仿宋" w:cs="仿宋"/>
                <w:szCs w:val="21"/>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center"/>
          </w:tcPr>
          <w:p w14:paraId="4ED92229">
            <w:pPr>
              <w:adjustRightInd w:val="0"/>
              <w:spacing w:line="360" w:lineRule="auto"/>
              <w:rPr>
                <w:rFonts w:hint="eastAsia" w:ascii="仿宋" w:hAnsi="仿宋" w:eastAsia="仿宋" w:cs="仿宋"/>
                <w:szCs w:val="21"/>
              </w:rPr>
            </w:pPr>
          </w:p>
        </w:tc>
      </w:tr>
      <w:tr w14:paraId="1D38D9A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6B428EE">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center"/>
          </w:tcPr>
          <w:p w14:paraId="1F2E43DD">
            <w:pPr>
              <w:adjustRightInd w:val="0"/>
              <w:spacing w:line="360" w:lineRule="auto"/>
              <w:rPr>
                <w:rFonts w:hint="eastAsia" w:ascii="仿宋" w:hAnsi="仿宋" w:eastAsia="仿宋" w:cs="仿宋"/>
                <w:szCs w:val="21"/>
              </w:rPr>
            </w:pPr>
          </w:p>
        </w:tc>
      </w:tr>
      <w:tr w14:paraId="07CAFD2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F5E946C">
            <w:pPr>
              <w:adjustRightInd w:val="0"/>
              <w:spacing w:line="360" w:lineRule="auto"/>
              <w:jc w:val="left"/>
              <w:rPr>
                <w:rFonts w:hint="eastAsia" w:ascii="仿宋" w:hAnsi="仿宋" w:eastAsia="仿宋" w:cs="仿宋"/>
                <w:szCs w:val="21"/>
              </w:rPr>
            </w:pPr>
            <w:r>
              <w:rPr>
                <w:rFonts w:hint="eastAsia" w:ascii="仿宋" w:hAnsi="仿宋" w:eastAsia="仿宋" w:cs="仿宋"/>
                <w:szCs w:val="21"/>
              </w:rPr>
              <w:t>货物原产地国别</w:t>
            </w:r>
          </w:p>
        </w:tc>
        <w:tc>
          <w:tcPr>
            <w:tcW w:w="3539" w:type="dxa"/>
            <w:tcBorders>
              <w:top w:val="single" w:color="000000" w:sz="4" w:space="0"/>
              <w:left w:val="nil"/>
              <w:bottom w:val="single" w:color="000000" w:sz="4" w:space="0"/>
              <w:right w:val="single" w:color="000000" w:sz="4" w:space="0"/>
            </w:tcBorders>
            <w:noWrap w:val="0"/>
            <w:vAlign w:val="center"/>
          </w:tcPr>
          <w:p w14:paraId="67DEE81D">
            <w:pPr>
              <w:adjustRightInd w:val="0"/>
              <w:spacing w:line="360" w:lineRule="auto"/>
              <w:rPr>
                <w:rFonts w:hint="eastAsia" w:ascii="仿宋" w:hAnsi="仿宋" w:eastAsia="仿宋" w:cs="仿宋"/>
                <w:szCs w:val="21"/>
              </w:rPr>
            </w:pPr>
          </w:p>
        </w:tc>
      </w:tr>
      <w:tr w14:paraId="7875BBE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560AB66">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center"/>
          </w:tcPr>
          <w:p w14:paraId="1212E25E">
            <w:pPr>
              <w:adjustRightInd w:val="0"/>
              <w:spacing w:line="360" w:lineRule="auto"/>
              <w:rPr>
                <w:rFonts w:hint="eastAsia" w:ascii="仿宋" w:hAnsi="仿宋" w:eastAsia="仿宋" w:cs="仿宋"/>
                <w:szCs w:val="21"/>
              </w:rPr>
            </w:pPr>
          </w:p>
        </w:tc>
      </w:tr>
      <w:tr w14:paraId="431B6CD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3025784A">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center"/>
          </w:tcPr>
          <w:p w14:paraId="38322187">
            <w:pPr>
              <w:adjustRightInd w:val="0"/>
              <w:spacing w:line="360" w:lineRule="auto"/>
              <w:rPr>
                <w:rFonts w:hint="eastAsia" w:ascii="仿宋" w:hAnsi="仿宋" w:eastAsia="仿宋" w:cs="仿宋"/>
                <w:szCs w:val="21"/>
              </w:rPr>
            </w:pPr>
          </w:p>
        </w:tc>
      </w:tr>
      <w:tr w14:paraId="7D328A0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D150D4F">
            <w:pPr>
              <w:adjustRightInd w:val="0"/>
              <w:spacing w:line="360" w:lineRule="auto"/>
              <w:jc w:val="left"/>
              <w:rPr>
                <w:rFonts w:hint="eastAsia" w:ascii="仿宋" w:hAnsi="仿宋" w:eastAsia="仿宋" w:cs="仿宋"/>
                <w:szCs w:val="21"/>
              </w:rPr>
            </w:pPr>
            <w:r>
              <w:rPr>
                <w:rFonts w:hint="eastAsia" w:ascii="仿宋" w:hAnsi="仿宋" w:eastAsia="仿宋" w:cs="仿宋"/>
                <w:szCs w:val="21"/>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center"/>
          </w:tcPr>
          <w:p w14:paraId="5217D7DC">
            <w:pPr>
              <w:adjustRightInd w:val="0"/>
              <w:spacing w:line="360" w:lineRule="auto"/>
              <w:rPr>
                <w:rFonts w:hint="eastAsia" w:ascii="仿宋" w:hAnsi="仿宋" w:eastAsia="仿宋" w:cs="仿宋"/>
                <w:szCs w:val="21"/>
              </w:rPr>
            </w:pPr>
          </w:p>
        </w:tc>
      </w:tr>
    </w:tbl>
    <w:p w14:paraId="0A2E1256">
      <w:pPr>
        <w:adjustRightInd w:val="0"/>
        <w:spacing w:line="360" w:lineRule="auto"/>
        <w:jc w:val="left"/>
        <w:rPr>
          <w:rFonts w:hint="eastAsia" w:ascii="仿宋" w:hAnsi="仿宋" w:eastAsia="仿宋" w:cs="仿宋"/>
          <w:sz w:val="24"/>
        </w:rPr>
      </w:pPr>
    </w:p>
    <w:p w14:paraId="66765A38">
      <w:pPr>
        <w:adjustRightInd w:val="0"/>
        <w:spacing w:line="360" w:lineRule="auto"/>
        <w:jc w:val="left"/>
        <w:rPr>
          <w:rFonts w:hint="eastAsia" w:ascii="仿宋" w:hAnsi="仿宋" w:eastAsia="仿宋" w:cs="仿宋"/>
          <w:sz w:val="24"/>
        </w:rPr>
      </w:pPr>
      <w:r>
        <w:rPr>
          <w:rFonts w:hint="eastAsia" w:ascii="仿宋" w:hAnsi="仿宋" w:eastAsia="仿宋" w:cs="仿宋"/>
          <w:sz w:val="24"/>
        </w:rPr>
        <w:t>备注：请各投标人务必填写此表作为投标文件的组成部分。</w:t>
      </w:r>
    </w:p>
    <w:p w14:paraId="2212D480">
      <w:pPr>
        <w:adjustRightInd w:val="0"/>
        <w:spacing w:line="360" w:lineRule="auto"/>
        <w:jc w:val="left"/>
        <w:rPr>
          <w:rFonts w:hint="eastAsia" w:ascii="仿宋" w:hAnsi="仿宋" w:eastAsia="仿宋" w:cs="仿宋"/>
          <w:sz w:val="24"/>
        </w:rPr>
      </w:pPr>
    </w:p>
    <w:p w14:paraId="1EF07D7D">
      <w:pPr>
        <w:adjustRightInd w:val="0"/>
        <w:spacing w:line="360" w:lineRule="auto"/>
        <w:jc w:val="left"/>
        <w:rPr>
          <w:rFonts w:hint="eastAsia" w:ascii="仿宋" w:hAnsi="仿宋" w:eastAsia="仿宋" w:cs="仿宋"/>
          <w:sz w:val="24"/>
        </w:rPr>
      </w:pPr>
    </w:p>
    <w:p w14:paraId="5505D4B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014FC5C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6BAD9F81">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1B3B75CC">
      <w:pPr>
        <w:pStyle w:val="42"/>
        <w:ind w:firstLine="0" w:firstLineChars="0"/>
      </w:pPr>
    </w:p>
    <w:sectPr>
      <w:footerReference r:id="rId16" w:type="default"/>
      <w:pgSz w:w="11906" w:h="16838"/>
      <w:pgMar w:top="1440" w:right="1286"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MS UI Gothic"/>
    <w:panose1 w:val="02020609040205080304"/>
    <w:charset w:val="80"/>
    <w:family w:val="modern"/>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267D">
    <w:pPr>
      <w:spacing w:line="166" w:lineRule="auto"/>
      <w:ind w:left="4485"/>
      <w:rPr>
        <w:rFonts w:ascii="宋体" w:hAnsi="宋体" w:eastAsia="宋体" w:cs="宋体"/>
        <w:sz w:val="12"/>
        <w:szCs w:val="12"/>
      </w:rPr>
    </w:pPr>
    <w:r>
      <w:rPr>
        <w:sz w:val="1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7905A1">
                          <w:pPr>
                            <w:pStyle w:val="15"/>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DViww3gEAAMADAAAOAAAAAAAA&#10;AAEAIAAAAB4BAABkcnMvZTJvRG9jLnhtbFBLBQYAAAAABgAGAFkBAABuBQAAAAA=&#10;">
              <v:fill on="f" focussize="0,0"/>
              <v:stroke on="f"/>
              <v:imagedata o:title=""/>
              <o:lock v:ext="edit" aspectratio="f"/>
              <v:textbox inset="0mm,0mm,0mm,0mm" style="mso-fit-shape-to-text:t;">
                <w:txbxContent>
                  <w:p w14:paraId="497905A1">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A24E3">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455145">
                          <w:pPr>
                            <w:pStyle w:val="15"/>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moVcgBAACbAwAADgAAAGRycy9lMm9Eb2MueG1srVPNjtMwEL4j8Q6W&#10;79TZHFCJ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R1uQk2J4xYnfvn+7fLj1+XnV1K/&#10;ygINARrMuw+YmcY3fsTkxQ/ozLxHFW3+IiOCcZT3fJVXjomI/Ghdr9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D5qFXIAQAAmwMAAA4AAAAAAAAAAQAgAAAAHgEAAGRycy9lMm9Eb2Mu&#10;eG1sUEsFBgAAAAAGAAYAWQEAAFgFAAAAAA==&#10;">
              <v:fill on="f" focussize="0,0"/>
              <v:stroke on="f"/>
              <v:imagedata o:title=""/>
              <o:lock v:ext="edit" aspectratio="f"/>
              <v:textbox inset="0mm,0mm,0mm,0mm" style="mso-fit-shape-to-text:t;">
                <w:txbxContent>
                  <w:p w14:paraId="1F455145">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6B08C">
    <w:pPr>
      <w:pStyle w:val="1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E6B5C">
                          <w:pPr>
                            <w:pStyle w:val="15"/>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83</w:t>
                          </w:r>
                          <w:r>
                            <w:rPr>
                              <w:rFonts w:hint="eastAsia" w:ascii="仿宋" w:hAnsi="仿宋" w:eastAsia="仿宋" w:cs="仿宋"/>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IRj11XdAQAAvgMAAA4AAAAAAAAA&#10;AQAgAAAAHgEAAGRycy9lMm9Eb2MueG1sUEsFBgAAAAAGAAYAWQEAAG0FAAAAAA==&#10;">
              <v:fill on="f" focussize="0,0"/>
              <v:stroke on="f"/>
              <v:imagedata o:title=""/>
              <o:lock v:ext="edit" aspectratio="f"/>
              <v:textbox inset="0mm,0mm,0mm,0mm" style="mso-fit-shape-to-text:t;">
                <w:txbxContent>
                  <w:p w14:paraId="24EE6B5C">
                    <w:pPr>
                      <w:pStyle w:val="15"/>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83</w:t>
                    </w:r>
                    <w:r>
                      <w:rPr>
                        <w:rFonts w:hint="eastAsia" w:ascii="仿宋" w:hAnsi="仿宋" w:eastAsia="仿宋" w:cs="仿宋"/>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5CC2">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D2633">
                          <w:pPr>
                            <w:pStyle w:val="15"/>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DUmckBAACa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6W&#10;b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INSZyQEAAJoDAAAOAAAAAAAAAAEAIAAAAB4BAABkcnMvZTJvRG9j&#10;LnhtbFBLBQYAAAAABgAGAFkBAABZBQAAAAA=&#10;">
              <v:fill on="f" focussize="0,0"/>
              <v:stroke on="f"/>
              <v:imagedata o:title=""/>
              <o:lock v:ext="edit" aspectratio="f"/>
              <v:textbox inset="0mm,0mm,0mm,0mm" style="mso-fit-shape-to-text:t;">
                <w:txbxContent>
                  <w:p w14:paraId="061D2633">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1742">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972185" cy="147955"/>
              <wp:effectExtent l="0" t="0" r="0" b="0"/>
              <wp:wrapNone/>
              <wp:docPr id="11" name="文本框 28"/>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14:paraId="223ECD28">
                          <w:pPr>
                            <w:pStyle w:val="15"/>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67</w:t>
                          </w:r>
                          <w:r>
                            <w:rPr>
                              <w:rFonts w:hint="eastAsia" w:ascii="仿宋" w:hAnsi="仿宋" w:eastAsia="仿宋" w:cs="仿宋"/>
                            </w:rP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1.65pt;width:76.55pt;mso-position-horizontal:center;mso-position-horizontal-relative:margin;mso-wrap-style:none;z-index:25166438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dpNDSAAAABAEAAA8AAAAAAAAAAQAgAAAAIgAAAGRycy9k&#10;b3ducmV2LnhtbFBLAQIUABQAAAAIAIdO4kDNYtI5zwEAAJkDAAAOAAAAAAAAAAEAIAAAACEBAABk&#10;cnMvZTJvRG9jLnhtbFBLBQYAAAAABgAGAFkBAABiBQAAAAA=&#10;">
              <v:fill on="f" focussize="0,0"/>
              <v:stroke on="f"/>
              <v:imagedata o:title=""/>
              <o:lock v:ext="edit" aspectratio="f"/>
              <v:textbox inset="0mm,0mm,0mm,0mm" style="mso-fit-shape-to-text:t;">
                <w:txbxContent>
                  <w:p w14:paraId="223ECD28">
                    <w:pPr>
                      <w:pStyle w:val="15"/>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67</w:t>
                    </w:r>
                    <w:r>
                      <w:rPr>
                        <w:rFonts w:hint="eastAsia" w:ascii="仿宋" w:hAnsi="仿宋" w:eastAsia="仿宋" w:cs="仿宋"/>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14230">
    <w:pPr>
      <w:pStyle w:val="15"/>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039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3935" cy="1828800"/>
                      </a:xfrm>
                      <a:prstGeom prst="rect">
                        <a:avLst/>
                      </a:prstGeom>
                      <a:noFill/>
                      <a:ln>
                        <a:noFill/>
                      </a:ln>
                    </wps:spPr>
                    <wps:txbx>
                      <w:txbxContent>
                        <w:p w14:paraId="09A047D9">
                          <w:pPr>
                            <w:pStyle w:val="15"/>
                            <w:jc w:val="center"/>
                            <w:rPr>
                              <w:rFonts w:ascii="仿宋" w:hAnsi="仿宋" w:eastAsia="仿宋"/>
                            </w:rPr>
                          </w:pP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64</w:t>
                          </w:r>
                          <w:r>
                            <w:rPr>
                              <w:rFonts w:ascii="仿宋" w:hAnsi="仿宋" w:eastAsia="仿宋"/>
                            </w:rPr>
                            <w:fldChar w:fldCharType="end"/>
                          </w:r>
                        </w:p>
                      </w:txbxContent>
                    </wps:txbx>
                    <wps:bodyPr vert="horz" wrap="square" lIns="0" tIns="0" rIns="0" bIns="0" anchor="t" anchorCtr="0" upright="0">
                      <a:spAutoFit/>
                    </wps:bodyPr>
                  </wps:wsp>
                </a:graphicData>
              </a:graphic>
            </wp:anchor>
          </w:drawing>
        </mc:Choice>
        <mc:Fallback>
          <w:pict>
            <v:shape id="_x0000_s1026" o:spid="_x0000_s1026" o:spt="202" type="#_x0000_t202" style="position:absolute;left:0pt;margin-top:0pt;height:144pt;width:79.05pt;mso-position-horizontal:center;mso-position-horizontal-relative:margin;z-index:251659264;mso-width-relative:page;mso-height-relative:page;" filled="f" stroked="f" coordsize="21600,21600" o:gfxdata="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5ighbSAAAABQEAAA8A&#10;AAAAAAAAAQAgAAAAIgAAAGRycy9kb3ducmV2LnhtbFBLAQIUABQAAAAIAIdO4kDg5hBV5AEAAMAD&#10;AAAOAAAAAAAAAAEAIAAAACEBAABkcnMvZTJvRG9jLnhtbFBLBQYAAAAABgAGAFkBAAB3BQAAAAA=&#10;">
              <v:fill on="f" focussize="0,0"/>
              <v:stroke on="f"/>
              <v:imagedata o:title=""/>
              <o:lock v:ext="edit" aspectratio="f"/>
              <v:textbox inset="0mm,0mm,0mm,0mm" style="mso-fit-shape-to-text:t;">
                <w:txbxContent>
                  <w:p w14:paraId="09A047D9">
                    <w:pPr>
                      <w:pStyle w:val="15"/>
                      <w:jc w:val="center"/>
                      <w:rPr>
                        <w:rFonts w:ascii="仿宋" w:hAnsi="仿宋" w:eastAsia="仿宋"/>
                      </w:rPr>
                    </w:pP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64</w:t>
                    </w:r>
                    <w:r>
                      <w:rPr>
                        <w:rFonts w:ascii="仿宋" w:hAnsi="仿宋" w:eastAsia="仿宋"/>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1EFF">
    <w:pPr>
      <w:pStyle w:val="15"/>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5C466">
                          <w:pPr>
                            <w:pStyle w:val="15"/>
                            <w:rPr>
                              <w:rFonts w:ascii="仿宋" w:hAnsi="仿宋" w:eastAsia="仿宋"/>
                            </w:rPr>
                          </w:pP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45</w:t>
                          </w:r>
                          <w:r>
                            <w:rPr>
                              <w:rFonts w:ascii="仿宋" w:hAnsi="仿宋" w:eastAsia="仿宋"/>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58B5C466">
                    <w:pPr>
                      <w:pStyle w:val="15"/>
                      <w:rPr>
                        <w:rFonts w:ascii="仿宋" w:hAnsi="仿宋" w:eastAsia="仿宋"/>
                      </w:rPr>
                    </w:pP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45</w:t>
                    </w:r>
                    <w:r>
                      <w:rPr>
                        <w:rFonts w:ascii="仿宋" w:hAnsi="仿宋" w:eastAsia="仿宋"/>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4959">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0247EB">
                          <w:pPr>
                            <w:pStyle w:val="15"/>
                          </w:pPr>
                          <w:r>
                            <w:fldChar w:fldCharType="begin"/>
                          </w:r>
                          <w:r>
                            <w:instrText xml:space="preserve"> PAGE  \* MERGEFORMAT </w:instrText>
                          </w:r>
                          <w:r>
                            <w:fldChar w:fldCharType="separate"/>
                          </w:r>
                          <w:r>
                            <w:t>73</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ffh9J98BAAC/AwAADgAAAAAA&#10;AAABACAAAAAeAQAAZHJzL2Uyb0RvYy54bWxQSwUGAAAAAAYABgBZAQAAbwUAAAAA&#10;">
              <v:fill on="f" focussize="0,0"/>
              <v:stroke on="f"/>
              <v:imagedata o:title=""/>
              <o:lock v:ext="edit" aspectratio="f"/>
              <v:textbox inset="0mm,0mm,0mm,0mm" style="mso-fit-shape-to-text:t;">
                <w:txbxContent>
                  <w:p w14:paraId="680247EB">
                    <w:pPr>
                      <w:pStyle w:val="1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8730">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2185" cy="147955"/>
              <wp:effectExtent l="0" t="0" r="0" b="0"/>
              <wp:wrapNone/>
              <wp:docPr id="5" name="文本框 16"/>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14:paraId="08F20841">
                          <w:pPr>
                            <w:pStyle w:val="15"/>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67</w:t>
                          </w:r>
                          <w:r>
                            <w:rPr>
                              <w:rFonts w:hint="eastAsia" w:ascii="仿宋" w:hAnsi="仿宋" w:eastAsia="仿宋" w:cs="仿宋"/>
                            </w:rP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1.65pt;width:76.55pt;mso-position-horizontal:center;mso-position-horizontal-relative:margin;mso-wrap-style:none;z-index:251663360;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J2k0NIAAAAEAQAADwAA&#10;AAAAAAABACAAAAAiAAAAZHJzL2Rvd25yZXYueG1sUEsBAhQAFAAAAAgAh07iQE4h593jAQAAvQMA&#10;AA4AAAAAAAAAAQAgAAAAIQEAAGRycy9lMm9Eb2MueG1sUEsFBgAAAAAGAAYAWQEAAHYFAAAAAA==&#10;">
              <v:fill on="f" focussize="0,0"/>
              <v:stroke on="f"/>
              <v:imagedata o:title=""/>
              <o:lock v:ext="edit" aspectratio="f"/>
              <v:textbox inset="0mm,0mm,0mm,0mm" style="mso-fit-shape-to-text:t;">
                <w:txbxContent>
                  <w:p w14:paraId="08F20841">
                    <w:pPr>
                      <w:pStyle w:val="15"/>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67</w:t>
                    </w:r>
                    <w:r>
                      <w:rPr>
                        <w:rFonts w:hint="eastAsia" w:ascii="仿宋" w:hAnsi="仿宋" w:eastAsia="仿宋" w:cs="仿宋"/>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56C34">
    <w:pPr>
      <w:pStyle w:val="15"/>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5A523">
                          <w:pPr>
                            <w:pStyle w:val="15"/>
                            <w:rPr>
                              <w:rFonts w:ascii="仿宋" w:hAnsi="仿宋" w:eastAsia="仿宋"/>
                            </w:rPr>
                          </w:pP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6325A523">
                    <w:pPr>
                      <w:pStyle w:val="15"/>
                      <w:rPr>
                        <w:rFonts w:ascii="仿宋" w:hAnsi="仿宋" w:eastAsia="仿宋"/>
                      </w:rPr>
                    </w:pP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13FC4">
    <w:pPr>
      <w:pStyle w:val="15"/>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B25023">
                          <w:pPr>
                            <w:pStyle w:val="15"/>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18B25023">
                    <w:pPr>
                      <w:pStyle w:val="15"/>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C5D6D">
    <w:pPr>
      <w:pStyle w:val="16"/>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82A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3C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1A1BE98A"/>
    <w:multiLevelType w:val="singleLevel"/>
    <w:tmpl w:val="1A1BE98A"/>
    <w:lvl w:ilvl="0" w:tentative="0">
      <w:start w:val="1"/>
      <w:numFmt w:val="decimal"/>
      <w:pStyle w:val="38"/>
      <w:lvlText w:val="%1."/>
      <w:lvlJc w:val="left"/>
      <w:pPr>
        <w:ind w:left="425" w:hanging="425"/>
      </w:pPr>
      <w:rPr>
        <w:rFonts w:hint="default"/>
      </w:rPr>
    </w:lvl>
  </w:abstractNum>
  <w:abstractNum w:abstractNumId="2">
    <w:nsid w:val="38A87EE5"/>
    <w:multiLevelType w:val="singleLevel"/>
    <w:tmpl w:val="38A87EE5"/>
    <w:lvl w:ilvl="0" w:tentative="0">
      <w:start w:val="3"/>
      <w:numFmt w:val="chineseCounting"/>
      <w:suff w:val="space"/>
      <w:lvlText w:val="第%1部分"/>
      <w:lvlJc w:val="left"/>
      <w:rPr>
        <w:rFonts w:hint="eastAsia"/>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MTcwZWMzNzIyYjk3M2IxZThlOGI0MjM5YTIwM2QifQ=="/>
  </w:docVars>
  <w:rsids>
    <w:rsidRoot w:val="00972338"/>
    <w:rsid w:val="00000102"/>
    <w:rsid w:val="000002BC"/>
    <w:rsid w:val="00010D4B"/>
    <w:rsid w:val="000214A8"/>
    <w:rsid w:val="00026436"/>
    <w:rsid w:val="00033725"/>
    <w:rsid w:val="0003512C"/>
    <w:rsid w:val="00037961"/>
    <w:rsid w:val="00043E70"/>
    <w:rsid w:val="00060810"/>
    <w:rsid w:val="000678CF"/>
    <w:rsid w:val="00067B4A"/>
    <w:rsid w:val="00073D65"/>
    <w:rsid w:val="000A58E4"/>
    <w:rsid w:val="000B416D"/>
    <w:rsid w:val="000C58F6"/>
    <w:rsid w:val="000C7D6E"/>
    <w:rsid w:val="000E40FB"/>
    <w:rsid w:val="000F4D18"/>
    <w:rsid w:val="000F66AE"/>
    <w:rsid w:val="001020A4"/>
    <w:rsid w:val="00103686"/>
    <w:rsid w:val="00111742"/>
    <w:rsid w:val="00133AC0"/>
    <w:rsid w:val="001344FF"/>
    <w:rsid w:val="00154544"/>
    <w:rsid w:val="0015701D"/>
    <w:rsid w:val="0016436A"/>
    <w:rsid w:val="00170BB4"/>
    <w:rsid w:val="00172EE8"/>
    <w:rsid w:val="001777A3"/>
    <w:rsid w:val="00177B88"/>
    <w:rsid w:val="00182B23"/>
    <w:rsid w:val="0018730F"/>
    <w:rsid w:val="001A523C"/>
    <w:rsid w:val="001A5739"/>
    <w:rsid w:val="001B3841"/>
    <w:rsid w:val="001B47BF"/>
    <w:rsid w:val="001D0F19"/>
    <w:rsid w:val="001F411E"/>
    <w:rsid w:val="001F6CAA"/>
    <w:rsid w:val="00201BFD"/>
    <w:rsid w:val="00216157"/>
    <w:rsid w:val="0022318B"/>
    <w:rsid w:val="0022635D"/>
    <w:rsid w:val="002300A4"/>
    <w:rsid w:val="00241BBF"/>
    <w:rsid w:val="002608DD"/>
    <w:rsid w:val="00260BB9"/>
    <w:rsid w:val="00264B6D"/>
    <w:rsid w:val="00272EF5"/>
    <w:rsid w:val="00276A4B"/>
    <w:rsid w:val="00280A96"/>
    <w:rsid w:val="00286A5F"/>
    <w:rsid w:val="00287F7E"/>
    <w:rsid w:val="00291557"/>
    <w:rsid w:val="00293B4F"/>
    <w:rsid w:val="00294591"/>
    <w:rsid w:val="002979E3"/>
    <w:rsid w:val="002C0965"/>
    <w:rsid w:val="002C398D"/>
    <w:rsid w:val="002D24C0"/>
    <w:rsid w:val="002D6CEB"/>
    <w:rsid w:val="002E1B7D"/>
    <w:rsid w:val="002E24DA"/>
    <w:rsid w:val="002F6A52"/>
    <w:rsid w:val="0030491C"/>
    <w:rsid w:val="00310ABC"/>
    <w:rsid w:val="003178B9"/>
    <w:rsid w:val="0032269F"/>
    <w:rsid w:val="00331721"/>
    <w:rsid w:val="003506C0"/>
    <w:rsid w:val="003652A0"/>
    <w:rsid w:val="003829D2"/>
    <w:rsid w:val="00387C28"/>
    <w:rsid w:val="00394E2D"/>
    <w:rsid w:val="0039632A"/>
    <w:rsid w:val="003B236D"/>
    <w:rsid w:val="003B29B1"/>
    <w:rsid w:val="003B31EF"/>
    <w:rsid w:val="003B3567"/>
    <w:rsid w:val="003C5675"/>
    <w:rsid w:val="003D17CC"/>
    <w:rsid w:val="003D6B02"/>
    <w:rsid w:val="003E3F43"/>
    <w:rsid w:val="003E6EE0"/>
    <w:rsid w:val="003E72A3"/>
    <w:rsid w:val="00430592"/>
    <w:rsid w:val="00433680"/>
    <w:rsid w:val="004454AC"/>
    <w:rsid w:val="004518C7"/>
    <w:rsid w:val="00453034"/>
    <w:rsid w:val="004638D5"/>
    <w:rsid w:val="00472FF8"/>
    <w:rsid w:val="00473757"/>
    <w:rsid w:val="00473DD0"/>
    <w:rsid w:val="004758ED"/>
    <w:rsid w:val="00484945"/>
    <w:rsid w:val="00487201"/>
    <w:rsid w:val="00492762"/>
    <w:rsid w:val="00492D3F"/>
    <w:rsid w:val="00493248"/>
    <w:rsid w:val="004A065C"/>
    <w:rsid w:val="004F230A"/>
    <w:rsid w:val="00500AD5"/>
    <w:rsid w:val="00502620"/>
    <w:rsid w:val="0050778E"/>
    <w:rsid w:val="00541AF8"/>
    <w:rsid w:val="00550760"/>
    <w:rsid w:val="005509BF"/>
    <w:rsid w:val="00551E60"/>
    <w:rsid w:val="00560C9A"/>
    <w:rsid w:val="005800EF"/>
    <w:rsid w:val="00590EC4"/>
    <w:rsid w:val="005A0EF5"/>
    <w:rsid w:val="005A33A1"/>
    <w:rsid w:val="005B5869"/>
    <w:rsid w:val="005C5565"/>
    <w:rsid w:val="005D2BA1"/>
    <w:rsid w:val="005D3F66"/>
    <w:rsid w:val="005D52B0"/>
    <w:rsid w:val="005E0B5B"/>
    <w:rsid w:val="005E134B"/>
    <w:rsid w:val="005E427D"/>
    <w:rsid w:val="005F047A"/>
    <w:rsid w:val="005F3F76"/>
    <w:rsid w:val="0060287E"/>
    <w:rsid w:val="00605279"/>
    <w:rsid w:val="00605A00"/>
    <w:rsid w:val="00606F68"/>
    <w:rsid w:val="00611380"/>
    <w:rsid w:val="00614C98"/>
    <w:rsid w:val="0061722C"/>
    <w:rsid w:val="00625913"/>
    <w:rsid w:val="00630553"/>
    <w:rsid w:val="006305CD"/>
    <w:rsid w:val="00635305"/>
    <w:rsid w:val="00635F81"/>
    <w:rsid w:val="006527C5"/>
    <w:rsid w:val="0067187C"/>
    <w:rsid w:val="00681D36"/>
    <w:rsid w:val="00684681"/>
    <w:rsid w:val="0068663D"/>
    <w:rsid w:val="006929D8"/>
    <w:rsid w:val="00693231"/>
    <w:rsid w:val="0069400C"/>
    <w:rsid w:val="006952C2"/>
    <w:rsid w:val="006A5509"/>
    <w:rsid w:val="006A724E"/>
    <w:rsid w:val="006B0E2F"/>
    <w:rsid w:val="006C19DA"/>
    <w:rsid w:val="006D09FE"/>
    <w:rsid w:val="006D4E7A"/>
    <w:rsid w:val="006D5F0A"/>
    <w:rsid w:val="006D69DA"/>
    <w:rsid w:val="006F6F5D"/>
    <w:rsid w:val="0070033D"/>
    <w:rsid w:val="00701985"/>
    <w:rsid w:val="00701E17"/>
    <w:rsid w:val="00703DC4"/>
    <w:rsid w:val="00707AA7"/>
    <w:rsid w:val="0071198F"/>
    <w:rsid w:val="00717403"/>
    <w:rsid w:val="007174D0"/>
    <w:rsid w:val="00731B84"/>
    <w:rsid w:val="007412C8"/>
    <w:rsid w:val="00744259"/>
    <w:rsid w:val="00747E35"/>
    <w:rsid w:val="0075592A"/>
    <w:rsid w:val="00762359"/>
    <w:rsid w:val="00771DC5"/>
    <w:rsid w:val="00773A48"/>
    <w:rsid w:val="00775EDD"/>
    <w:rsid w:val="00777C86"/>
    <w:rsid w:val="00780B8E"/>
    <w:rsid w:val="007A750B"/>
    <w:rsid w:val="007B5D34"/>
    <w:rsid w:val="007C5BA9"/>
    <w:rsid w:val="007D298D"/>
    <w:rsid w:val="007E05E6"/>
    <w:rsid w:val="007F0B07"/>
    <w:rsid w:val="007F64EF"/>
    <w:rsid w:val="00806259"/>
    <w:rsid w:val="00814ADA"/>
    <w:rsid w:val="00814BCD"/>
    <w:rsid w:val="00821FFA"/>
    <w:rsid w:val="0086415F"/>
    <w:rsid w:val="008941F1"/>
    <w:rsid w:val="008A1F39"/>
    <w:rsid w:val="008B4E38"/>
    <w:rsid w:val="008B5AD5"/>
    <w:rsid w:val="008C66CA"/>
    <w:rsid w:val="008E0F76"/>
    <w:rsid w:val="008E55B7"/>
    <w:rsid w:val="008F1680"/>
    <w:rsid w:val="00925613"/>
    <w:rsid w:val="0093194B"/>
    <w:rsid w:val="00941D69"/>
    <w:rsid w:val="00942015"/>
    <w:rsid w:val="009424AF"/>
    <w:rsid w:val="00942A2D"/>
    <w:rsid w:val="009514B5"/>
    <w:rsid w:val="009702C5"/>
    <w:rsid w:val="00972338"/>
    <w:rsid w:val="00982798"/>
    <w:rsid w:val="00982B3F"/>
    <w:rsid w:val="009832EE"/>
    <w:rsid w:val="00992D10"/>
    <w:rsid w:val="00996BC5"/>
    <w:rsid w:val="00996F9E"/>
    <w:rsid w:val="009B0CEA"/>
    <w:rsid w:val="009B27DC"/>
    <w:rsid w:val="009B3C55"/>
    <w:rsid w:val="009E16E0"/>
    <w:rsid w:val="009E183F"/>
    <w:rsid w:val="009E4449"/>
    <w:rsid w:val="009E577E"/>
    <w:rsid w:val="00A0444A"/>
    <w:rsid w:val="00A117ED"/>
    <w:rsid w:val="00A43C4F"/>
    <w:rsid w:val="00A50C7F"/>
    <w:rsid w:val="00A536AE"/>
    <w:rsid w:val="00A637C6"/>
    <w:rsid w:val="00A71DEF"/>
    <w:rsid w:val="00A74A98"/>
    <w:rsid w:val="00A81ED6"/>
    <w:rsid w:val="00A90AF1"/>
    <w:rsid w:val="00A9589E"/>
    <w:rsid w:val="00AA17FA"/>
    <w:rsid w:val="00AA7AEF"/>
    <w:rsid w:val="00AB1A25"/>
    <w:rsid w:val="00AC3033"/>
    <w:rsid w:val="00AC5DE0"/>
    <w:rsid w:val="00AC6400"/>
    <w:rsid w:val="00AC71BF"/>
    <w:rsid w:val="00AD0B67"/>
    <w:rsid w:val="00AD0CB8"/>
    <w:rsid w:val="00AD3050"/>
    <w:rsid w:val="00AE6C10"/>
    <w:rsid w:val="00AF3A93"/>
    <w:rsid w:val="00B012AE"/>
    <w:rsid w:val="00B04703"/>
    <w:rsid w:val="00B07B4B"/>
    <w:rsid w:val="00B07DCF"/>
    <w:rsid w:val="00B15DC4"/>
    <w:rsid w:val="00B44E8A"/>
    <w:rsid w:val="00B46B7F"/>
    <w:rsid w:val="00B505D7"/>
    <w:rsid w:val="00B616B9"/>
    <w:rsid w:val="00B65FAA"/>
    <w:rsid w:val="00B70645"/>
    <w:rsid w:val="00B774EF"/>
    <w:rsid w:val="00B951B0"/>
    <w:rsid w:val="00BC2986"/>
    <w:rsid w:val="00BD178C"/>
    <w:rsid w:val="00BE2908"/>
    <w:rsid w:val="00BE7210"/>
    <w:rsid w:val="00BF55BA"/>
    <w:rsid w:val="00BF5CF6"/>
    <w:rsid w:val="00C06D7C"/>
    <w:rsid w:val="00C10B27"/>
    <w:rsid w:val="00C17C8B"/>
    <w:rsid w:val="00C22C1C"/>
    <w:rsid w:val="00C23E9F"/>
    <w:rsid w:val="00C37A2A"/>
    <w:rsid w:val="00C43C27"/>
    <w:rsid w:val="00C52A59"/>
    <w:rsid w:val="00C57DE9"/>
    <w:rsid w:val="00C71782"/>
    <w:rsid w:val="00C71BE9"/>
    <w:rsid w:val="00C73417"/>
    <w:rsid w:val="00C81879"/>
    <w:rsid w:val="00C976AA"/>
    <w:rsid w:val="00CA2502"/>
    <w:rsid w:val="00CA371F"/>
    <w:rsid w:val="00CA4026"/>
    <w:rsid w:val="00CB1699"/>
    <w:rsid w:val="00CB2A0A"/>
    <w:rsid w:val="00CB33E2"/>
    <w:rsid w:val="00CD6E6B"/>
    <w:rsid w:val="00CE2F4C"/>
    <w:rsid w:val="00CE66AC"/>
    <w:rsid w:val="00CF5715"/>
    <w:rsid w:val="00CF5C07"/>
    <w:rsid w:val="00D178A3"/>
    <w:rsid w:val="00D22B22"/>
    <w:rsid w:val="00D35CBD"/>
    <w:rsid w:val="00D41EEC"/>
    <w:rsid w:val="00D53F71"/>
    <w:rsid w:val="00D62DE6"/>
    <w:rsid w:val="00D721DB"/>
    <w:rsid w:val="00D778EF"/>
    <w:rsid w:val="00D819F3"/>
    <w:rsid w:val="00DC6CD9"/>
    <w:rsid w:val="00DD7621"/>
    <w:rsid w:val="00DE37E6"/>
    <w:rsid w:val="00DF0B4C"/>
    <w:rsid w:val="00E03913"/>
    <w:rsid w:val="00E13431"/>
    <w:rsid w:val="00E13682"/>
    <w:rsid w:val="00E306AE"/>
    <w:rsid w:val="00E34ADC"/>
    <w:rsid w:val="00E467C7"/>
    <w:rsid w:val="00E63934"/>
    <w:rsid w:val="00E7592C"/>
    <w:rsid w:val="00E76218"/>
    <w:rsid w:val="00E86B81"/>
    <w:rsid w:val="00EA3E9E"/>
    <w:rsid w:val="00EB2F70"/>
    <w:rsid w:val="00EC08D2"/>
    <w:rsid w:val="00EC379B"/>
    <w:rsid w:val="00EC397F"/>
    <w:rsid w:val="00EC5A9A"/>
    <w:rsid w:val="00ED26CF"/>
    <w:rsid w:val="00ED734A"/>
    <w:rsid w:val="00EE1446"/>
    <w:rsid w:val="00EE1DCA"/>
    <w:rsid w:val="00EF46C9"/>
    <w:rsid w:val="00F02C38"/>
    <w:rsid w:val="00F030BF"/>
    <w:rsid w:val="00F04F80"/>
    <w:rsid w:val="00F055FE"/>
    <w:rsid w:val="00F154FE"/>
    <w:rsid w:val="00F16F8F"/>
    <w:rsid w:val="00F324F4"/>
    <w:rsid w:val="00F43915"/>
    <w:rsid w:val="00F541E8"/>
    <w:rsid w:val="00F62445"/>
    <w:rsid w:val="00F64157"/>
    <w:rsid w:val="00F76262"/>
    <w:rsid w:val="00F8067E"/>
    <w:rsid w:val="00F868FD"/>
    <w:rsid w:val="00F9011E"/>
    <w:rsid w:val="00F938F3"/>
    <w:rsid w:val="00F9522E"/>
    <w:rsid w:val="00FA059B"/>
    <w:rsid w:val="00FA1E9C"/>
    <w:rsid w:val="00FA45FB"/>
    <w:rsid w:val="00FD08C6"/>
    <w:rsid w:val="00FD7F81"/>
    <w:rsid w:val="00FE503C"/>
    <w:rsid w:val="00FF50D2"/>
    <w:rsid w:val="01145609"/>
    <w:rsid w:val="01225D05"/>
    <w:rsid w:val="0137554F"/>
    <w:rsid w:val="01463C70"/>
    <w:rsid w:val="015A5B1C"/>
    <w:rsid w:val="0165325A"/>
    <w:rsid w:val="0198534F"/>
    <w:rsid w:val="01A27105"/>
    <w:rsid w:val="01B90AD4"/>
    <w:rsid w:val="01C63A4A"/>
    <w:rsid w:val="01C63A9B"/>
    <w:rsid w:val="01E55EBE"/>
    <w:rsid w:val="01F66ABD"/>
    <w:rsid w:val="020945D8"/>
    <w:rsid w:val="020B7446"/>
    <w:rsid w:val="02166829"/>
    <w:rsid w:val="02263013"/>
    <w:rsid w:val="02986361"/>
    <w:rsid w:val="02B04EBD"/>
    <w:rsid w:val="02C71777"/>
    <w:rsid w:val="030F0DF0"/>
    <w:rsid w:val="03207FB0"/>
    <w:rsid w:val="0325366F"/>
    <w:rsid w:val="03364348"/>
    <w:rsid w:val="035B3483"/>
    <w:rsid w:val="035D3297"/>
    <w:rsid w:val="0370118D"/>
    <w:rsid w:val="03B0757E"/>
    <w:rsid w:val="03B4768D"/>
    <w:rsid w:val="03CB22B8"/>
    <w:rsid w:val="03E21758"/>
    <w:rsid w:val="040F6D7B"/>
    <w:rsid w:val="04115E30"/>
    <w:rsid w:val="04427E6B"/>
    <w:rsid w:val="044962DB"/>
    <w:rsid w:val="04502019"/>
    <w:rsid w:val="04732647"/>
    <w:rsid w:val="04803AE5"/>
    <w:rsid w:val="0498492A"/>
    <w:rsid w:val="04A01318"/>
    <w:rsid w:val="04A24CDA"/>
    <w:rsid w:val="04A3128D"/>
    <w:rsid w:val="04CD7816"/>
    <w:rsid w:val="04D7454F"/>
    <w:rsid w:val="04E946B7"/>
    <w:rsid w:val="05005510"/>
    <w:rsid w:val="051536FE"/>
    <w:rsid w:val="05254F53"/>
    <w:rsid w:val="053C7612"/>
    <w:rsid w:val="05461B09"/>
    <w:rsid w:val="05553E15"/>
    <w:rsid w:val="0563090D"/>
    <w:rsid w:val="05710242"/>
    <w:rsid w:val="05B316B3"/>
    <w:rsid w:val="05EB743C"/>
    <w:rsid w:val="06020126"/>
    <w:rsid w:val="060D0224"/>
    <w:rsid w:val="061B2F96"/>
    <w:rsid w:val="06233BF8"/>
    <w:rsid w:val="0624680E"/>
    <w:rsid w:val="06277B8D"/>
    <w:rsid w:val="063F099C"/>
    <w:rsid w:val="06486F0A"/>
    <w:rsid w:val="06497933"/>
    <w:rsid w:val="064F1F23"/>
    <w:rsid w:val="06783F44"/>
    <w:rsid w:val="06800351"/>
    <w:rsid w:val="06B96A50"/>
    <w:rsid w:val="06BF1B73"/>
    <w:rsid w:val="06C27B36"/>
    <w:rsid w:val="06C47634"/>
    <w:rsid w:val="06CA51F8"/>
    <w:rsid w:val="06EB1AE6"/>
    <w:rsid w:val="070752C8"/>
    <w:rsid w:val="070A2EAA"/>
    <w:rsid w:val="07287718"/>
    <w:rsid w:val="07397AA6"/>
    <w:rsid w:val="074616AA"/>
    <w:rsid w:val="07591AEB"/>
    <w:rsid w:val="075E138C"/>
    <w:rsid w:val="076B18B1"/>
    <w:rsid w:val="07724E37"/>
    <w:rsid w:val="07823F0E"/>
    <w:rsid w:val="07921036"/>
    <w:rsid w:val="07A62D33"/>
    <w:rsid w:val="07B07244"/>
    <w:rsid w:val="07B9500F"/>
    <w:rsid w:val="07D13FD6"/>
    <w:rsid w:val="081173A1"/>
    <w:rsid w:val="08220AFB"/>
    <w:rsid w:val="084D7F1D"/>
    <w:rsid w:val="0851703F"/>
    <w:rsid w:val="087A4FBF"/>
    <w:rsid w:val="0888779C"/>
    <w:rsid w:val="088D48D7"/>
    <w:rsid w:val="088E7FE8"/>
    <w:rsid w:val="089077FB"/>
    <w:rsid w:val="08986B20"/>
    <w:rsid w:val="09075A53"/>
    <w:rsid w:val="090837D6"/>
    <w:rsid w:val="0922463B"/>
    <w:rsid w:val="0939688D"/>
    <w:rsid w:val="094D5939"/>
    <w:rsid w:val="096363A2"/>
    <w:rsid w:val="096802A0"/>
    <w:rsid w:val="09694018"/>
    <w:rsid w:val="098261AD"/>
    <w:rsid w:val="0983332C"/>
    <w:rsid w:val="09A34AFA"/>
    <w:rsid w:val="09AF4103"/>
    <w:rsid w:val="09CD7875"/>
    <w:rsid w:val="09E703A0"/>
    <w:rsid w:val="0A0408E3"/>
    <w:rsid w:val="0A1108B1"/>
    <w:rsid w:val="0A173A74"/>
    <w:rsid w:val="0A18690D"/>
    <w:rsid w:val="0A486323"/>
    <w:rsid w:val="0A5506A1"/>
    <w:rsid w:val="0A674A17"/>
    <w:rsid w:val="0A764BB2"/>
    <w:rsid w:val="0A840D29"/>
    <w:rsid w:val="0A920ABD"/>
    <w:rsid w:val="0ACA0AE6"/>
    <w:rsid w:val="0AD23AA5"/>
    <w:rsid w:val="0ADA77AB"/>
    <w:rsid w:val="0B2724D6"/>
    <w:rsid w:val="0B4B43A5"/>
    <w:rsid w:val="0B5F2892"/>
    <w:rsid w:val="0B642CE9"/>
    <w:rsid w:val="0B860EB1"/>
    <w:rsid w:val="0BCB41A6"/>
    <w:rsid w:val="0BD141A1"/>
    <w:rsid w:val="0BD25035"/>
    <w:rsid w:val="0BD82310"/>
    <w:rsid w:val="0C083C74"/>
    <w:rsid w:val="0C0A3BBA"/>
    <w:rsid w:val="0C170B8A"/>
    <w:rsid w:val="0C1E21AC"/>
    <w:rsid w:val="0C593AF2"/>
    <w:rsid w:val="0C6A7D13"/>
    <w:rsid w:val="0C8D38C4"/>
    <w:rsid w:val="0C9D69EC"/>
    <w:rsid w:val="0CD86E2E"/>
    <w:rsid w:val="0CDB36EF"/>
    <w:rsid w:val="0CDE7FC4"/>
    <w:rsid w:val="0CE95B9C"/>
    <w:rsid w:val="0CFA3905"/>
    <w:rsid w:val="0CFC0AD5"/>
    <w:rsid w:val="0D006A41"/>
    <w:rsid w:val="0D0F1491"/>
    <w:rsid w:val="0D6D445C"/>
    <w:rsid w:val="0D777E1D"/>
    <w:rsid w:val="0D865199"/>
    <w:rsid w:val="0D9F1FFD"/>
    <w:rsid w:val="0DBF4B4E"/>
    <w:rsid w:val="0DCA2888"/>
    <w:rsid w:val="0DD8176C"/>
    <w:rsid w:val="0DDC125D"/>
    <w:rsid w:val="0DF77E44"/>
    <w:rsid w:val="0E3618D7"/>
    <w:rsid w:val="0E406939"/>
    <w:rsid w:val="0E553A87"/>
    <w:rsid w:val="0E712003"/>
    <w:rsid w:val="0ECF491D"/>
    <w:rsid w:val="0EDE5BCA"/>
    <w:rsid w:val="0EF35A43"/>
    <w:rsid w:val="0EFA404A"/>
    <w:rsid w:val="0F3F0AEF"/>
    <w:rsid w:val="0F503B6B"/>
    <w:rsid w:val="0F577163"/>
    <w:rsid w:val="0F641002"/>
    <w:rsid w:val="0FA63D31"/>
    <w:rsid w:val="10142F30"/>
    <w:rsid w:val="10264A11"/>
    <w:rsid w:val="104140EC"/>
    <w:rsid w:val="10545A22"/>
    <w:rsid w:val="105E23FD"/>
    <w:rsid w:val="10686DD7"/>
    <w:rsid w:val="108F0808"/>
    <w:rsid w:val="108F11EB"/>
    <w:rsid w:val="10AE1373"/>
    <w:rsid w:val="10C92DD7"/>
    <w:rsid w:val="111613E2"/>
    <w:rsid w:val="11291EF4"/>
    <w:rsid w:val="11412771"/>
    <w:rsid w:val="1142557C"/>
    <w:rsid w:val="114A48DD"/>
    <w:rsid w:val="114E2A15"/>
    <w:rsid w:val="1166354F"/>
    <w:rsid w:val="117A7BD0"/>
    <w:rsid w:val="11832B5F"/>
    <w:rsid w:val="11C24C0D"/>
    <w:rsid w:val="11C75D80"/>
    <w:rsid w:val="120B4339"/>
    <w:rsid w:val="122C0FB9"/>
    <w:rsid w:val="123E176E"/>
    <w:rsid w:val="128321A8"/>
    <w:rsid w:val="128D1FD5"/>
    <w:rsid w:val="12A617C5"/>
    <w:rsid w:val="12C237DD"/>
    <w:rsid w:val="12DA08E5"/>
    <w:rsid w:val="12F11306"/>
    <w:rsid w:val="13082AF4"/>
    <w:rsid w:val="13093B84"/>
    <w:rsid w:val="133A01C8"/>
    <w:rsid w:val="13415471"/>
    <w:rsid w:val="134B3E4A"/>
    <w:rsid w:val="1386224F"/>
    <w:rsid w:val="13C743BB"/>
    <w:rsid w:val="13DE4474"/>
    <w:rsid w:val="13EA6BD4"/>
    <w:rsid w:val="13F63FAA"/>
    <w:rsid w:val="13FF3EF7"/>
    <w:rsid w:val="14007F6F"/>
    <w:rsid w:val="14103A0E"/>
    <w:rsid w:val="1421056E"/>
    <w:rsid w:val="14235158"/>
    <w:rsid w:val="143C6FC4"/>
    <w:rsid w:val="143D40F5"/>
    <w:rsid w:val="14404B35"/>
    <w:rsid w:val="14476C28"/>
    <w:rsid w:val="14AB1989"/>
    <w:rsid w:val="14CB64A6"/>
    <w:rsid w:val="14EA1640"/>
    <w:rsid w:val="14F50E56"/>
    <w:rsid w:val="14F9174D"/>
    <w:rsid w:val="15054306"/>
    <w:rsid w:val="15311F81"/>
    <w:rsid w:val="15570BDD"/>
    <w:rsid w:val="15895D1E"/>
    <w:rsid w:val="158D6F98"/>
    <w:rsid w:val="158E5532"/>
    <w:rsid w:val="160B28B5"/>
    <w:rsid w:val="161359B4"/>
    <w:rsid w:val="16226290"/>
    <w:rsid w:val="16282469"/>
    <w:rsid w:val="163B6167"/>
    <w:rsid w:val="165E05ED"/>
    <w:rsid w:val="165F40E0"/>
    <w:rsid w:val="16834FC3"/>
    <w:rsid w:val="16C94348"/>
    <w:rsid w:val="16FA57CF"/>
    <w:rsid w:val="173F37B4"/>
    <w:rsid w:val="17672DFD"/>
    <w:rsid w:val="17692A17"/>
    <w:rsid w:val="17696D03"/>
    <w:rsid w:val="176B276D"/>
    <w:rsid w:val="17894197"/>
    <w:rsid w:val="179773BA"/>
    <w:rsid w:val="17BE19D3"/>
    <w:rsid w:val="17C74D2B"/>
    <w:rsid w:val="17C94409"/>
    <w:rsid w:val="17E06786"/>
    <w:rsid w:val="17F16729"/>
    <w:rsid w:val="17FF6093"/>
    <w:rsid w:val="18123152"/>
    <w:rsid w:val="181D1D9F"/>
    <w:rsid w:val="18242906"/>
    <w:rsid w:val="182B350C"/>
    <w:rsid w:val="182C4B8E"/>
    <w:rsid w:val="18301665"/>
    <w:rsid w:val="18455C50"/>
    <w:rsid w:val="18492C74"/>
    <w:rsid w:val="18504D21"/>
    <w:rsid w:val="18515B1A"/>
    <w:rsid w:val="18544907"/>
    <w:rsid w:val="185A5BA0"/>
    <w:rsid w:val="18870306"/>
    <w:rsid w:val="188803F5"/>
    <w:rsid w:val="19066241"/>
    <w:rsid w:val="190A7A39"/>
    <w:rsid w:val="19377C8F"/>
    <w:rsid w:val="195A572B"/>
    <w:rsid w:val="19836A30"/>
    <w:rsid w:val="19837ED7"/>
    <w:rsid w:val="198608D3"/>
    <w:rsid w:val="19882298"/>
    <w:rsid w:val="19A214BC"/>
    <w:rsid w:val="19AE26F1"/>
    <w:rsid w:val="19C21FF7"/>
    <w:rsid w:val="19C77265"/>
    <w:rsid w:val="19CA28B1"/>
    <w:rsid w:val="1A2F3123"/>
    <w:rsid w:val="1A3B1CE1"/>
    <w:rsid w:val="1A3F5B6B"/>
    <w:rsid w:val="1A710F7F"/>
    <w:rsid w:val="1A7D5B75"/>
    <w:rsid w:val="1A824F3A"/>
    <w:rsid w:val="1A9D6B81"/>
    <w:rsid w:val="1AB52CC6"/>
    <w:rsid w:val="1AD828B2"/>
    <w:rsid w:val="1ADD6614"/>
    <w:rsid w:val="1AF85DB6"/>
    <w:rsid w:val="1AFF2817"/>
    <w:rsid w:val="1B052CFB"/>
    <w:rsid w:val="1B121376"/>
    <w:rsid w:val="1B150A7A"/>
    <w:rsid w:val="1B26620D"/>
    <w:rsid w:val="1B302826"/>
    <w:rsid w:val="1B373F76"/>
    <w:rsid w:val="1B5A745E"/>
    <w:rsid w:val="1B66485B"/>
    <w:rsid w:val="1B6E08D2"/>
    <w:rsid w:val="1B6F4517"/>
    <w:rsid w:val="1B741B09"/>
    <w:rsid w:val="1B763D51"/>
    <w:rsid w:val="1B921766"/>
    <w:rsid w:val="1B936F2C"/>
    <w:rsid w:val="1BAA1A68"/>
    <w:rsid w:val="1BDB4E6F"/>
    <w:rsid w:val="1BDB60DD"/>
    <w:rsid w:val="1BFE4A94"/>
    <w:rsid w:val="1C004351"/>
    <w:rsid w:val="1C200EAE"/>
    <w:rsid w:val="1C281B11"/>
    <w:rsid w:val="1C33298F"/>
    <w:rsid w:val="1C4975D0"/>
    <w:rsid w:val="1C524873"/>
    <w:rsid w:val="1C5A76FC"/>
    <w:rsid w:val="1C5F3784"/>
    <w:rsid w:val="1C685D10"/>
    <w:rsid w:val="1C737230"/>
    <w:rsid w:val="1C7865F4"/>
    <w:rsid w:val="1C7C4980"/>
    <w:rsid w:val="1C8054A9"/>
    <w:rsid w:val="1CAA0ED5"/>
    <w:rsid w:val="1CB30CC0"/>
    <w:rsid w:val="1CC26829"/>
    <w:rsid w:val="1CDF6673"/>
    <w:rsid w:val="1D1D27EE"/>
    <w:rsid w:val="1D3F7112"/>
    <w:rsid w:val="1D65301C"/>
    <w:rsid w:val="1D76522A"/>
    <w:rsid w:val="1D807E56"/>
    <w:rsid w:val="1D897153"/>
    <w:rsid w:val="1D8B6813"/>
    <w:rsid w:val="1D9A5905"/>
    <w:rsid w:val="1DAA4ED3"/>
    <w:rsid w:val="1DBB5971"/>
    <w:rsid w:val="1DDE2497"/>
    <w:rsid w:val="1DEC1183"/>
    <w:rsid w:val="1E0D0FBE"/>
    <w:rsid w:val="1E12258F"/>
    <w:rsid w:val="1E1E5887"/>
    <w:rsid w:val="1E37603B"/>
    <w:rsid w:val="1E6334E5"/>
    <w:rsid w:val="1E7352C5"/>
    <w:rsid w:val="1E803E86"/>
    <w:rsid w:val="1ECD390B"/>
    <w:rsid w:val="1EF65EF6"/>
    <w:rsid w:val="1F185A86"/>
    <w:rsid w:val="1F3B01FD"/>
    <w:rsid w:val="1F441A93"/>
    <w:rsid w:val="1F4D27B5"/>
    <w:rsid w:val="1F587CBF"/>
    <w:rsid w:val="1F5C66FE"/>
    <w:rsid w:val="1F7A2D28"/>
    <w:rsid w:val="1FC93692"/>
    <w:rsid w:val="1FD16EE3"/>
    <w:rsid w:val="1FD82A14"/>
    <w:rsid w:val="1FDA7F57"/>
    <w:rsid w:val="1FF552A4"/>
    <w:rsid w:val="20011610"/>
    <w:rsid w:val="202A40A9"/>
    <w:rsid w:val="20386C7C"/>
    <w:rsid w:val="20A55238"/>
    <w:rsid w:val="20B135CD"/>
    <w:rsid w:val="20B21BA3"/>
    <w:rsid w:val="20C03F37"/>
    <w:rsid w:val="20CC11B2"/>
    <w:rsid w:val="20EA0841"/>
    <w:rsid w:val="2114194C"/>
    <w:rsid w:val="2123408C"/>
    <w:rsid w:val="212B2042"/>
    <w:rsid w:val="21303941"/>
    <w:rsid w:val="21506669"/>
    <w:rsid w:val="215727DE"/>
    <w:rsid w:val="21756DF6"/>
    <w:rsid w:val="217C5E5B"/>
    <w:rsid w:val="218323DE"/>
    <w:rsid w:val="21937289"/>
    <w:rsid w:val="219E4D4F"/>
    <w:rsid w:val="21AF0D0A"/>
    <w:rsid w:val="21D66BCA"/>
    <w:rsid w:val="221B20F4"/>
    <w:rsid w:val="22345115"/>
    <w:rsid w:val="22396826"/>
    <w:rsid w:val="224429D2"/>
    <w:rsid w:val="22472248"/>
    <w:rsid w:val="226225B1"/>
    <w:rsid w:val="226E3614"/>
    <w:rsid w:val="228274A5"/>
    <w:rsid w:val="228F3875"/>
    <w:rsid w:val="229B58D4"/>
    <w:rsid w:val="22F56BF1"/>
    <w:rsid w:val="22FB2B87"/>
    <w:rsid w:val="230B6152"/>
    <w:rsid w:val="231A40BF"/>
    <w:rsid w:val="23360E5B"/>
    <w:rsid w:val="23386CCF"/>
    <w:rsid w:val="237859E5"/>
    <w:rsid w:val="23A14683"/>
    <w:rsid w:val="23AA523D"/>
    <w:rsid w:val="23D64C69"/>
    <w:rsid w:val="23EC7DC4"/>
    <w:rsid w:val="23ED217F"/>
    <w:rsid w:val="240E7F29"/>
    <w:rsid w:val="24185F5C"/>
    <w:rsid w:val="241A44FA"/>
    <w:rsid w:val="24253F29"/>
    <w:rsid w:val="242A0ED8"/>
    <w:rsid w:val="243512C4"/>
    <w:rsid w:val="244C0080"/>
    <w:rsid w:val="245E07C6"/>
    <w:rsid w:val="24A55E72"/>
    <w:rsid w:val="24A91049"/>
    <w:rsid w:val="24B959FC"/>
    <w:rsid w:val="24FB7DC2"/>
    <w:rsid w:val="250B385D"/>
    <w:rsid w:val="2510035E"/>
    <w:rsid w:val="25184E18"/>
    <w:rsid w:val="251D5305"/>
    <w:rsid w:val="25207829"/>
    <w:rsid w:val="255F2A47"/>
    <w:rsid w:val="25601F10"/>
    <w:rsid w:val="25706E27"/>
    <w:rsid w:val="25945BD2"/>
    <w:rsid w:val="25AD7B8F"/>
    <w:rsid w:val="25B70759"/>
    <w:rsid w:val="25D12A4A"/>
    <w:rsid w:val="25D84543"/>
    <w:rsid w:val="25D873CF"/>
    <w:rsid w:val="25E87F6B"/>
    <w:rsid w:val="2619262F"/>
    <w:rsid w:val="26461511"/>
    <w:rsid w:val="265D0513"/>
    <w:rsid w:val="26644EA7"/>
    <w:rsid w:val="26720558"/>
    <w:rsid w:val="267564C9"/>
    <w:rsid w:val="267D1E25"/>
    <w:rsid w:val="26946721"/>
    <w:rsid w:val="269A1F58"/>
    <w:rsid w:val="26B02E2F"/>
    <w:rsid w:val="26B50755"/>
    <w:rsid w:val="26CA3B56"/>
    <w:rsid w:val="26D322B6"/>
    <w:rsid w:val="26DC33C9"/>
    <w:rsid w:val="26E85853"/>
    <w:rsid w:val="277349C2"/>
    <w:rsid w:val="277600E6"/>
    <w:rsid w:val="27840C09"/>
    <w:rsid w:val="279130D4"/>
    <w:rsid w:val="27994BD5"/>
    <w:rsid w:val="279E332C"/>
    <w:rsid w:val="27A0273B"/>
    <w:rsid w:val="27A32EC3"/>
    <w:rsid w:val="27CC5A46"/>
    <w:rsid w:val="27D06E6C"/>
    <w:rsid w:val="280C5E8F"/>
    <w:rsid w:val="28324543"/>
    <w:rsid w:val="285A5748"/>
    <w:rsid w:val="285F4F78"/>
    <w:rsid w:val="2871688D"/>
    <w:rsid w:val="287D3D5D"/>
    <w:rsid w:val="28851ABE"/>
    <w:rsid w:val="288D6951"/>
    <w:rsid w:val="2895372B"/>
    <w:rsid w:val="289B4692"/>
    <w:rsid w:val="289C2CA1"/>
    <w:rsid w:val="28AE5882"/>
    <w:rsid w:val="28B9246E"/>
    <w:rsid w:val="28BB0959"/>
    <w:rsid w:val="28C30F4C"/>
    <w:rsid w:val="28D15A0A"/>
    <w:rsid w:val="290A4A78"/>
    <w:rsid w:val="292D7472"/>
    <w:rsid w:val="2939535D"/>
    <w:rsid w:val="293A52BC"/>
    <w:rsid w:val="29701758"/>
    <w:rsid w:val="29992827"/>
    <w:rsid w:val="29CC7380"/>
    <w:rsid w:val="29E452C9"/>
    <w:rsid w:val="2A024F40"/>
    <w:rsid w:val="2A1D2C3D"/>
    <w:rsid w:val="2A250C59"/>
    <w:rsid w:val="2A77438F"/>
    <w:rsid w:val="2A7C3754"/>
    <w:rsid w:val="2A7E4007"/>
    <w:rsid w:val="2A885953"/>
    <w:rsid w:val="2A8E4E2B"/>
    <w:rsid w:val="2AE145DC"/>
    <w:rsid w:val="2AE9690F"/>
    <w:rsid w:val="2AF54832"/>
    <w:rsid w:val="2B012A64"/>
    <w:rsid w:val="2B0A2A9E"/>
    <w:rsid w:val="2B2A4B85"/>
    <w:rsid w:val="2B2C0EB0"/>
    <w:rsid w:val="2B3051A0"/>
    <w:rsid w:val="2B336483"/>
    <w:rsid w:val="2B3B360F"/>
    <w:rsid w:val="2B5D039B"/>
    <w:rsid w:val="2B846D0D"/>
    <w:rsid w:val="2B85488A"/>
    <w:rsid w:val="2BA67585"/>
    <w:rsid w:val="2BDD3E57"/>
    <w:rsid w:val="2BE6482B"/>
    <w:rsid w:val="2BED2E7C"/>
    <w:rsid w:val="2C071743"/>
    <w:rsid w:val="2C2E7428"/>
    <w:rsid w:val="2C412D2F"/>
    <w:rsid w:val="2C417E0F"/>
    <w:rsid w:val="2C797674"/>
    <w:rsid w:val="2CC141F4"/>
    <w:rsid w:val="2CC91775"/>
    <w:rsid w:val="2CEA2061"/>
    <w:rsid w:val="2CF07E2A"/>
    <w:rsid w:val="2CFF2E26"/>
    <w:rsid w:val="2D0F4D53"/>
    <w:rsid w:val="2D281D80"/>
    <w:rsid w:val="2D6F495C"/>
    <w:rsid w:val="2D9319E5"/>
    <w:rsid w:val="2DC55411"/>
    <w:rsid w:val="2DD074B6"/>
    <w:rsid w:val="2DE25244"/>
    <w:rsid w:val="2DEE54EE"/>
    <w:rsid w:val="2DFC32B3"/>
    <w:rsid w:val="2E2A4481"/>
    <w:rsid w:val="2E2F1BE1"/>
    <w:rsid w:val="2E314855"/>
    <w:rsid w:val="2E7F6628"/>
    <w:rsid w:val="2EC3728A"/>
    <w:rsid w:val="2EF20808"/>
    <w:rsid w:val="2EF46F5A"/>
    <w:rsid w:val="2F10684B"/>
    <w:rsid w:val="2F1578A4"/>
    <w:rsid w:val="2F2A5E74"/>
    <w:rsid w:val="2F4A6294"/>
    <w:rsid w:val="2F5066D6"/>
    <w:rsid w:val="2F5B5D74"/>
    <w:rsid w:val="2F754C15"/>
    <w:rsid w:val="2F9B2E3C"/>
    <w:rsid w:val="2FA10B5F"/>
    <w:rsid w:val="2FA31782"/>
    <w:rsid w:val="2FAC7C08"/>
    <w:rsid w:val="2FB56CC7"/>
    <w:rsid w:val="2FBD7418"/>
    <w:rsid w:val="2FC00586"/>
    <w:rsid w:val="2FC55B9D"/>
    <w:rsid w:val="2FCD7AB0"/>
    <w:rsid w:val="2FD47B8E"/>
    <w:rsid w:val="2FDE6C5E"/>
    <w:rsid w:val="2FDF6C98"/>
    <w:rsid w:val="2FF12778"/>
    <w:rsid w:val="30341BA1"/>
    <w:rsid w:val="303D2261"/>
    <w:rsid w:val="30425B97"/>
    <w:rsid w:val="304620A7"/>
    <w:rsid w:val="306727B0"/>
    <w:rsid w:val="306C11DC"/>
    <w:rsid w:val="3078676B"/>
    <w:rsid w:val="307A5119"/>
    <w:rsid w:val="30874C00"/>
    <w:rsid w:val="308E61D3"/>
    <w:rsid w:val="30AB6B41"/>
    <w:rsid w:val="30B82960"/>
    <w:rsid w:val="30BE7780"/>
    <w:rsid w:val="30DA5678"/>
    <w:rsid w:val="30F42909"/>
    <w:rsid w:val="313F54DB"/>
    <w:rsid w:val="316D3DD0"/>
    <w:rsid w:val="3175173C"/>
    <w:rsid w:val="31B55E64"/>
    <w:rsid w:val="31B91D06"/>
    <w:rsid w:val="31CC3212"/>
    <w:rsid w:val="31D07EFB"/>
    <w:rsid w:val="323029F8"/>
    <w:rsid w:val="3242203B"/>
    <w:rsid w:val="32477580"/>
    <w:rsid w:val="3251196A"/>
    <w:rsid w:val="32543208"/>
    <w:rsid w:val="32611D42"/>
    <w:rsid w:val="326E6078"/>
    <w:rsid w:val="3299257D"/>
    <w:rsid w:val="32B157FB"/>
    <w:rsid w:val="32C16591"/>
    <w:rsid w:val="32DC0209"/>
    <w:rsid w:val="330C5891"/>
    <w:rsid w:val="3316226B"/>
    <w:rsid w:val="33466E7C"/>
    <w:rsid w:val="3356484E"/>
    <w:rsid w:val="33705C40"/>
    <w:rsid w:val="3385201F"/>
    <w:rsid w:val="33865643"/>
    <w:rsid w:val="33960309"/>
    <w:rsid w:val="33977BDA"/>
    <w:rsid w:val="33991171"/>
    <w:rsid w:val="33B977C6"/>
    <w:rsid w:val="33BA02F8"/>
    <w:rsid w:val="33DC65C2"/>
    <w:rsid w:val="340127FF"/>
    <w:rsid w:val="34014CC9"/>
    <w:rsid w:val="341C35FC"/>
    <w:rsid w:val="34224C16"/>
    <w:rsid w:val="345A5CDB"/>
    <w:rsid w:val="34674E49"/>
    <w:rsid w:val="34767465"/>
    <w:rsid w:val="347E456C"/>
    <w:rsid w:val="347E46AE"/>
    <w:rsid w:val="34820B01"/>
    <w:rsid w:val="349513B4"/>
    <w:rsid w:val="351410DC"/>
    <w:rsid w:val="35436FDA"/>
    <w:rsid w:val="35492DCC"/>
    <w:rsid w:val="356A2AFE"/>
    <w:rsid w:val="359607B2"/>
    <w:rsid w:val="35A1297C"/>
    <w:rsid w:val="35A65119"/>
    <w:rsid w:val="35EA010B"/>
    <w:rsid w:val="35FD0996"/>
    <w:rsid w:val="36127662"/>
    <w:rsid w:val="36623D91"/>
    <w:rsid w:val="36721EAF"/>
    <w:rsid w:val="36887F91"/>
    <w:rsid w:val="368E0991"/>
    <w:rsid w:val="36D55746"/>
    <w:rsid w:val="36F80606"/>
    <w:rsid w:val="37094E89"/>
    <w:rsid w:val="372034BD"/>
    <w:rsid w:val="37370181"/>
    <w:rsid w:val="378620B5"/>
    <w:rsid w:val="37B15A4A"/>
    <w:rsid w:val="37D579E9"/>
    <w:rsid w:val="382C24AB"/>
    <w:rsid w:val="384161E2"/>
    <w:rsid w:val="3852376F"/>
    <w:rsid w:val="387D5266"/>
    <w:rsid w:val="38EC7CF6"/>
    <w:rsid w:val="39186D3D"/>
    <w:rsid w:val="39225081"/>
    <w:rsid w:val="393D0552"/>
    <w:rsid w:val="394D4F9F"/>
    <w:rsid w:val="39586260"/>
    <w:rsid w:val="3966397B"/>
    <w:rsid w:val="397B2DFA"/>
    <w:rsid w:val="398B4548"/>
    <w:rsid w:val="39B32F0A"/>
    <w:rsid w:val="39FE23AD"/>
    <w:rsid w:val="3A0B4AF4"/>
    <w:rsid w:val="3A203933"/>
    <w:rsid w:val="3A3C7DBC"/>
    <w:rsid w:val="3A4A0312"/>
    <w:rsid w:val="3A4B5E10"/>
    <w:rsid w:val="3A5938AA"/>
    <w:rsid w:val="3A5E697F"/>
    <w:rsid w:val="3A632931"/>
    <w:rsid w:val="3A662843"/>
    <w:rsid w:val="3A6A5B10"/>
    <w:rsid w:val="3A8D5509"/>
    <w:rsid w:val="3A930EB5"/>
    <w:rsid w:val="3AA0348E"/>
    <w:rsid w:val="3AA76568"/>
    <w:rsid w:val="3AB76165"/>
    <w:rsid w:val="3AB86F14"/>
    <w:rsid w:val="3AE320A1"/>
    <w:rsid w:val="3B0A0908"/>
    <w:rsid w:val="3B0B0BCA"/>
    <w:rsid w:val="3B1174CE"/>
    <w:rsid w:val="3B235596"/>
    <w:rsid w:val="3B294AAA"/>
    <w:rsid w:val="3B433BB1"/>
    <w:rsid w:val="3B494C2A"/>
    <w:rsid w:val="3B54686C"/>
    <w:rsid w:val="3B762A06"/>
    <w:rsid w:val="3B781D15"/>
    <w:rsid w:val="3B785B57"/>
    <w:rsid w:val="3BA045B4"/>
    <w:rsid w:val="3BA84BF2"/>
    <w:rsid w:val="3BAC5E63"/>
    <w:rsid w:val="3BDD426E"/>
    <w:rsid w:val="3BE13F53"/>
    <w:rsid w:val="3BF31751"/>
    <w:rsid w:val="3C147E4F"/>
    <w:rsid w:val="3C194951"/>
    <w:rsid w:val="3C74072E"/>
    <w:rsid w:val="3C830972"/>
    <w:rsid w:val="3C8F7316"/>
    <w:rsid w:val="3CA00DB9"/>
    <w:rsid w:val="3CC41BA5"/>
    <w:rsid w:val="3CC64D02"/>
    <w:rsid w:val="3D203F0D"/>
    <w:rsid w:val="3D235CB1"/>
    <w:rsid w:val="3D3848DA"/>
    <w:rsid w:val="3D7017C5"/>
    <w:rsid w:val="3D70293A"/>
    <w:rsid w:val="3D845203"/>
    <w:rsid w:val="3D9C247F"/>
    <w:rsid w:val="3DC83E8A"/>
    <w:rsid w:val="3DC84DE8"/>
    <w:rsid w:val="3DE25B6C"/>
    <w:rsid w:val="3E296CBB"/>
    <w:rsid w:val="3E2B12C1"/>
    <w:rsid w:val="3E3A7A57"/>
    <w:rsid w:val="3E567991"/>
    <w:rsid w:val="3E627606"/>
    <w:rsid w:val="3E6C7A5D"/>
    <w:rsid w:val="3E834C59"/>
    <w:rsid w:val="3E8D1C94"/>
    <w:rsid w:val="3E8D5AD7"/>
    <w:rsid w:val="3EAD3546"/>
    <w:rsid w:val="3EBB1096"/>
    <w:rsid w:val="3EC0240A"/>
    <w:rsid w:val="3EF13D1D"/>
    <w:rsid w:val="3EF66048"/>
    <w:rsid w:val="3EFB3A67"/>
    <w:rsid w:val="3EFC3B68"/>
    <w:rsid w:val="3F030995"/>
    <w:rsid w:val="3F0F5487"/>
    <w:rsid w:val="3F1A47FA"/>
    <w:rsid w:val="3F263565"/>
    <w:rsid w:val="3F2D2E17"/>
    <w:rsid w:val="3F2F6B8F"/>
    <w:rsid w:val="3F4E2CC0"/>
    <w:rsid w:val="3F5678C9"/>
    <w:rsid w:val="3F697D56"/>
    <w:rsid w:val="3F80383A"/>
    <w:rsid w:val="3F8B3958"/>
    <w:rsid w:val="3FB62E0C"/>
    <w:rsid w:val="3FB8452F"/>
    <w:rsid w:val="3FC92B3F"/>
    <w:rsid w:val="3FF214A4"/>
    <w:rsid w:val="40037BBC"/>
    <w:rsid w:val="401A52D2"/>
    <w:rsid w:val="40556AC9"/>
    <w:rsid w:val="4061293B"/>
    <w:rsid w:val="407464E3"/>
    <w:rsid w:val="40822146"/>
    <w:rsid w:val="40D741AF"/>
    <w:rsid w:val="40ED0BAF"/>
    <w:rsid w:val="40EE4896"/>
    <w:rsid w:val="40F77C54"/>
    <w:rsid w:val="410963A8"/>
    <w:rsid w:val="41196F03"/>
    <w:rsid w:val="411F5F46"/>
    <w:rsid w:val="41284430"/>
    <w:rsid w:val="414E7FF0"/>
    <w:rsid w:val="41610C01"/>
    <w:rsid w:val="41B43268"/>
    <w:rsid w:val="41B810BD"/>
    <w:rsid w:val="41BD1BCE"/>
    <w:rsid w:val="41D74D93"/>
    <w:rsid w:val="42202725"/>
    <w:rsid w:val="4256117C"/>
    <w:rsid w:val="425F6961"/>
    <w:rsid w:val="426B25D4"/>
    <w:rsid w:val="42726F22"/>
    <w:rsid w:val="428A6A44"/>
    <w:rsid w:val="428F5098"/>
    <w:rsid w:val="42C63C5D"/>
    <w:rsid w:val="42DA7347"/>
    <w:rsid w:val="42E4624A"/>
    <w:rsid w:val="42EB4C45"/>
    <w:rsid w:val="431F3FAD"/>
    <w:rsid w:val="4359067E"/>
    <w:rsid w:val="435A14D3"/>
    <w:rsid w:val="4379352F"/>
    <w:rsid w:val="437A5885"/>
    <w:rsid w:val="439A1BE4"/>
    <w:rsid w:val="43C61409"/>
    <w:rsid w:val="43EC32A0"/>
    <w:rsid w:val="43F9611A"/>
    <w:rsid w:val="440A6295"/>
    <w:rsid w:val="44182642"/>
    <w:rsid w:val="44581805"/>
    <w:rsid w:val="446439B0"/>
    <w:rsid w:val="446534DC"/>
    <w:rsid w:val="44696A9F"/>
    <w:rsid w:val="446A6EEB"/>
    <w:rsid w:val="44701C69"/>
    <w:rsid w:val="44BA748E"/>
    <w:rsid w:val="44CA5257"/>
    <w:rsid w:val="44D179A5"/>
    <w:rsid w:val="44D91CD5"/>
    <w:rsid w:val="44F13427"/>
    <w:rsid w:val="45046059"/>
    <w:rsid w:val="45143C60"/>
    <w:rsid w:val="451D0117"/>
    <w:rsid w:val="451F1453"/>
    <w:rsid w:val="452B1116"/>
    <w:rsid w:val="452F6E5D"/>
    <w:rsid w:val="453D3A14"/>
    <w:rsid w:val="454E4597"/>
    <w:rsid w:val="455A248C"/>
    <w:rsid w:val="456344DA"/>
    <w:rsid w:val="456A30E6"/>
    <w:rsid w:val="457A0AB0"/>
    <w:rsid w:val="459528F7"/>
    <w:rsid w:val="45A42A30"/>
    <w:rsid w:val="45B84BF7"/>
    <w:rsid w:val="45DB35CC"/>
    <w:rsid w:val="45FB4075"/>
    <w:rsid w:val="45FB77CB"/>
    <w:rsid w:val="45FC21C4"/>
    <w:rsid w:val="45FD6BC7"/>
    <w:rsid w:val="46263E3E"/>
    <w:rsid w:val="4631143E"/>
    <w:rsid w:val="465B470D"/>
    <w:rsid w:val="465D4EDD"/>
    <w:rsid w:val="466F1F67"/>
    <w:rsid w:val="467460EE"/>
    <w:rsid w:val="468D4582"/>
    <w:rsid w:val="46A165C4"/>
    <w:rsid w:val="46AE4648"/>
    <w:rsid w:val="46C0255F"/>
    <w:rsid w:val="46D324F5"/>
    <w:rsid w:val="46E771DD"/>
    <w:rsid w:val="472965B9"/>
    <w:rsid w:val="47513068"/>
    <w:rsid w:val="4766162A"/>
    <w:rsid w:val="4771226D"/>
    <w:rsid w:val="478717D5"/>
    <w:rsid w:val="47986E9D"/>
    <w:rsid w:val="47A976D5"/>
    <w:rsid w:val="47D26C51"/>
    <w:rsid w:val="47DD76D2"/>
    <w:rsid w:val="481C0200"/>
    <w:rsid w:val="482F2E61"/>
    <w:rsid w:val="48303BD2"/>
    <w:rsid w:val="485A517E"/>
    <w:rsid w:val="48771DFC"/>
    <w:rsid w:val="487970CD"/>
    <w:rsid w:val="48D619F3"/>
    <w:rsid w:val="48DF2699"/>
    <w:rsid w:val="49465201"/>
    <w:rsid w:val="49837305"/>
    <w:rsid w:val="49845D29"/>
    <w:rsid w:val="49E21E05"/>
    <w:rsid w:val="49EC5A88"/>
    <w:rsid w:val="4A104BD7"/>
    <w:rsid w:val="4A1906B0"/>
    <w:rsid w:val="4A2D2D1D"/>
    <w:rsid w:val="4A3A7615"/>
    <w:rsid w:val="4A461243"/>
    <w:rsid w:val="4A5353BB"/>
    <w:rsid w:val="4A590F64"/>
    <w:rsid w:val="4A724516"/>
    <w:rsid w:val="4A762239"/>
    <w:rsid w:val="4A7A33BE"/>
    <w:rsid w:val="4AD10352"/>
    <w:rsid w:val="4AE56BD9"/>
    <w:rsid w:val="4AE64EED"/>
    <w:rsid w:val="4AEE4549"/>
    <w:rsid w:val="4AF56A77"/>
    <w:rsid w:val="4B2865BE"/>
    <w:rsid w:val="4B323462"/>
    <w:rsid w:val="4B4664CE"/>
    <w:rsid w:val="4B797B0F"/>
    <w:rsid w:val="4B941071"/>
    <w:rsid w:val="4BB81D43"/>
    <w:rsid w:val="4BBE3774"/>
    <w:rsid w:val="4BE923F4"/>
    <w:rsid w:val="4C156BDD"/>
    <w:rsid w:val="4C41610B"/>
    <w:rsid w:val="4C4B2646"/>
    <w:rsid w:val="4C592210"/>
    <w:rsid w:val="4C640D33"/>
    <w:rsid w:val="4C7E6EFB"/>
    <w:rsid w:val="4C8B4220"/>
    <w:rsid w:val="4CB448AC"/>
    <w:rsid w:val="4CB96D89"/>
    <w:rsid w:val="4CC529EA"/>
    <w:rsid w:val="4CEE3778"/>
    <w:rsid w:val="4D0E24D9"/>
    <w:rsid w:val="4D15004A"/>
    <w:rsid w:val="4D2A4CD7"/>
    <w:rsid w:val="4D39740B"/>
    <w:rsid w:val="4D4B6B50"/>
    <w:rsid w:val="4D64659D"/>
    <w:rsid w:val="4D754D28"/>
    <w:rsid w:val="4DA01C46"/>
    <w:rsid w:val="4DA553ED"/>
    <w:rsid w:val="4DE936B0"/>
    <w:rsid w:val="4DF23BA9"/>
    <w:rsid w:val="4E02789F"/>
    <w:rsid w:val="4E4C437E"/>
    <w:rsid w:val="4EAD5D22"/>
    <w:rsid w:val="4EC46FC0"/>
    <w:rsid w:val="4EC805A2"/>
    <w:rsid w:val="4ECB4B86"/>
    <w:rsid w:val="4ECF7116"/>
    <w:rsid w:val="4EFA735F"/>
    <w:rsid w:val="4EFC5992"/>
    <w:rsid w:val="4F092CE9"/>
    <w:rsid w:val="4F0C2B43"/>
    <w:rsid w:val="4F1B645D"/>
    <w:rsid w:val="4F5C7625"/>
    <w:rsid w:val="4F5F4F37"/>
    <w:rsid w:val="4F6B5843"/>
    <w:rsid w:val="4F7A0CE1"/>
    <w:rsid w:val="4F8D576F"/>
    <w:rsid w:val="4F9B0FCB"/>
    <w:rsid w:val="4FA2342A"/>
    <w:rsid w:val="4FA40642"/>
    <w:rsid w:val="4FAD25FC"/>
    <w:rsid w:val="4FAD5FDA"/>
    <w:rsid w:val="4FB54E8E"/>
    <w:rsid w:val="4FD06E03"/>
    <w:rsid w:val="4FD67ABB"/>
    <w:rsid w:val="50013294"/>
    <w:rsid w:val="50084FB8"/>
    <w:rsid w:val="501E0FF9"/>
    <w:rsid w:val="50207AF8"/>
    <w:rsid w:val="504601DC"/>
    <w:rsid w:val="507C59AC"/>
    <w:rsid w:val="50B61691"/>
    <w:rsid w:val="50BA767F"/>
    <w:rsid w:val="50D7665D"/>
    <w:rsid w:val="50D8625D"/>
    <w:rsid w:val="50F01E75"/>
    <w:rsid w:val="50F61323"/>
    <w:rsid w:val="510A5A6B"/>
    <w:rsid w:val="511856D5"/>
    <w:rsid w:val="514666EF"/>
    <w:rsid w:val="51516E38"/>
    <w:rsid w:val="51606BFC"/>
    <w:rsid w:val="518C785D"/>
    <w:rsid w:val="51B03B5F"/>
    <w:rsid w:val="51C25640"/>
    <w:rsid w:val="51C969CF"/>
    <w:rsid w:val="51CF7F2C"/>
    <w:rsid w:val="51D00696"/>
    <w:rsid w:val="51DD27CF"/>
    <w:rsid w:val="51EB634B"/>
    <w:rsid w:val="51F55A16"/>
    <w:rsid w:val="52030F99"/>
    <w:rsid w:val="526A19EB"/>
    <w:rsid w:val="52705E6E"/>
    <w:rsid w:val="5272350A"/>
    <w:rsid w:val="52734B8D"/>
    <w:rsid w:val="527A416D"/>
    <w:rsid w:val="527C5E5D"/>
    <w:rsid w:val="528D5C4E"/>
    <w:rsid w:val="52927395"/>
    <w:rsid w:val="529D2AFD"/>
    <w:rsid w:val="52A907F9"/>
    <w:rsid w:val="52BC312D"/>
    <w:rsid w:val="530E0072"/>
    <w:rsid w:val="53174839"/>
    <w:rsid w:val="53311227"/>
    <w:rsid w:val="533E624D"/>
    <w:rsid w:val="536270DB"/>
    <w:rsid w:val="53732EF9"/>
    <w:rsid w:val="53917ACC"/>
    <w:rsid w:val="53937AB1"/>
    <w:rsid w:val="53B27B79"/>
    <w:rsid w:val="53B77AB0"/>
    <w:rsid w:val="53C953AC"/>
    <w:rsid w:val="53D2506A"/>
    <w:rsid w:val="53E22312"/>
    <w:rsid w:val="5430739F"/>
    <w:rsid w:val="54542574"/>
    <w:rsid w:val="547E7D53"/>
    <w:rsid w:val="54870FA7"/>
    <w:rsid w:val="54B501BD"/>
    <w:rsid w:val="54B82E08"/>
    <w:rsid w:val="54BC281B"/>
    <w:rsid w:val="54C67B3F"/>
    <w:rsid w:val="54E168DA"/>
    <w:rsid w:val="54F05384"/>
    <w:rsid w:val="55005333"/>
    <w:rsid w:val="551A4038"/>
    <w:rsid w:val="552707A7"/>
    <w:rsid w:val="55294389"/>
    <w:rsid w:val="55301231"/>
    <w:rsid w:val="55455DE5"/>
    <w:rsid w:val="5551284C"/>
    <w:rsid w:val="556550EF"/>
    <w:rsid w:val="55701097"/>
    <w:rsid w:val="558B0CC5"/>
    <w:rsid w:val="55B55BE8"/>
    <w:rsid w:val="55C220B3"/>
    <w:rsid w:val="564E1B99"/>
    <w:rsid w:val="564E5E5E"/>
    <w:rsid w:val="565B2712"/>
    <w:rsid w:val="56BE3F29"/>
    <w:rsid w:val="56CC7577"/>
    <w:rsid w:val="56D83DF0"/>
    <w:rsid w:val="56E213FE"/>
    <w:rsid w:val="570F2A5E"/>
    <w:rsid w:val="571D4121"/>
    <w:rsid w:val="57364D38"/>
    <w:rsid w:val="576859CB"/>
    <w:rsid w:val="576926E6"/>
    <w:rsid w:val="577D06DB"/>
    <w:rsid w:val="57A472BA"/>
    <w:rsid w:val="57B572B3"/>
    <w:rsid w:val="57E8190B"/>
    <w:rsid w:val="58045C94"/>
    <w:rsid w:val="58097238"/>
    <w:rsid w:val="580C1D0B"/>
    <w:rsid w:val="584E5FD2"/>
    <w:rsid w:val="585E416B"/>
    <w:rsid w:val="58831A0E"/>
    <w:rsid w:val="58B939E5"/>
    <w:rsid w:val="58DC7406"/>
    <w:rsid w:val="58FB7AFA"/>
    <w:rsid w:val="59230EDD"/>
    <w:rsid w:val="59284B47"/>
    <w:rsid w:val="593270C4"/>
    <w:rsid w:val="596A1695"/>
    <w:rsid w:val="596D0D11"/>
    <w:rsid w:val="599C3F5D"/>
    <w:rsid w:val="59B31B68"/>
    <w:rsid w:val="59C96464"/>
    <w:rsid w:val="59D71E31"/>
    <w:rsid w:val="59F515BD"/>
    <w:rsid w:val="5A1153B7"/>
    <w:rsid w:val="5A33357F"/>
    <w:rsid w:val="5A4F1ED9"/>
    <w:rsid w:val="5A5155FD"/>
    <w:rsid w:val="5A702217"/>
    <w:rsid w:val="5A715810"/>
    <w:rsid w:val="5A76552B"/>
    <w:rsid w:val="5A813E1E"/>
    <w:rsid w:val="5A8D3A63"/>
    <w:rsid w:val="5A9421F5"/>
    <w:rsid w:val="5AA365BC"/>
    <w:rsid w:val="5ADA34F9"/>
    <w:rsid w:val="5AE61C71"/>
    <w:rsid w:val="5AFE04B9"/>
    <w:rsid w:val="5B215ACE"/>
    <w:rsid w:val="5B365AE6"/>
    <w:rsid w:val="5B432AC3"/>
    <w:rsid w:val="5B5F03A4"/>
    <w:rsid w:val="5B9462A0"/>
    <w:rsid w:val="5B9F7CF6"/>
    <w:rsid w:val="5BCE40C9"/>
    <w:rsid w:val="5BD95248"/>
    <w:rsid w:val="5C013458"/>
    <w:rsid w:val="5C186ED1"/>
    <w:rsid w:val="5C2B093F"/>
    <w:rsid w:val="5C661E7B"/>
    <w:rsid w:val="5C8905E2"/>
    <w:rsid w:val="5C8E7EC3"/>
    <w:rsid w:val="5CA11936"/>
    <w:rsid w:val="5CAE6C31"/>
    <w:rsid w:val="5CCA059E"/>
    <w:rsid w:val="5D0B67BD"/>
    <w:rsid w:val="5D0D08E0"/>
    <w:rsid w:val="5D0E3E30"/>
    <w:rsid w:val="5D1155AB"/>
    <w:rsid w:val="5D2A561A"/>
    <w:rsid w:val="5D2C42B6"/>
    <w:rsid w:val="5D590880"/>
    <w:rsid w:val="5D6A6F1E"/>
    <w:rsid w:val="5D706898"/>
    <w:rsid w:val="5D7C348F"/>
    <w:rsid w:val="5D936B76"/>
    <w:rsid w:val="5D9711D7"/>
    <w:rsid w:val="5DA118D8"/>
    <w:rsid w:val="5DAE092F"/>
    <w:rsid w:val="5DAF19F5"/>
    <w:rsid w:val="5DB73077"/>
    <w:rsid w:val="5DB925EC"/>
    <w:rsid w:val="5DBC1130"/>
    <w:rsid w:val="5DBC69AA"/>
    <w:rsid w:val="5DC704DE"/>
    <w:rsid w:val="5DCB05A5"/>
    <w:rsid w:val="5DD278D2"/>
    <w:rsid w:val="5DD40BD5"/>
    <w:rsid w:val="5DEC610D"/>
    <w:rsid w:val="5E001A03"/>
    <w:rsid w:val="5E2809E6"/>
    <w:rsid w:val="5E4B746A"/>
    <w:rsid w:val="5E8B1BDC"/>
    <w:rsid w:val="5EA54320"/>
    <w:rsid w:val="5EA56ECA"/>
    <w:rsid w:val="5EC150E1"/>
    <w:rsid w:val="5EE25574"/>
    <w:rsid w:val="5F0A3E4D"/>
    <w:rsid w:val="5F1E02F3"/>
    <w:rsid w:val="5F241369"/>
    <w:rsid w:val="5F2C05DB"/>
    <w:rsid w:val="5F3D09FC"/>
    <w:rsid w:val="5F903222"/>
    <w:rsid w:val="5FA971B1"/>
    <w:rsid w:val="5FE76D8C"/>
    <w:rsid w:val="5FF67529"/>
    <w:rsid w:val="5FFB722C"/>
    <w:rsid w:val="600E7FFF"/>
    <w:rsid w:val="602C4CF9"/>
    <w:rsid w:val="605E28AF"/>
    <w:rsid w:val="606B23C2"/>
    <w:rsid w:val="607309C3"/>
    <w:rsid w:val="607B7221"/>
    <w:rsid w:val="607D583D"/>
    <w:rsid w:val="607E5E40"/>
    <w:rsid w:val="60840144"/>
    <w:rsid w:val="60922355"/>
    <w:rsid w:val="60A56859"/>
    <w:rsid w:val="60E17764"/>
    <w:rsid w:val="60EE7BC7"/>
    <w:rsid w:val="61137C17"/>
    <w:rsid w:val="611563F9"/>
    <w:rsid w:val="61215C9D"/>
    <w:rsid w:val="6158321F"/>
    <w:rsid w:val="61653E9B"/>
    <w:rsid w:val="616C52DB"/>
    <w:rsid w:val="618741B1"/>
    <w:rsid w:val="619503A7"/>
    <w:rsid w:val="61B30C4E"/>
    <w:rsid w:val="61C743DA"/>
    <w:rsid w:val="61CF2CF1"/>
    <w:rsid w:val="61F7645C"/>
    <w:rsid w:val="62041A57"/>
    <w:rsid w:val="62092E18"/>
    <w:rsid w:val="620C7712"/>
    <w:rsid w:val="6232515F"/>
    <w:rsid w:val="623E7861"/>
    <w:rsid w:val="624429C7"/>
    <w:rsid w:val="628A21AA"/>
    <w:rsid w:val="62920460"/>
    <w:rsid w:val="62947268"/>
    <w:rsid w:val="629A088E"/>
    <w:rsid w:val="62D0468A"/>
    <w:rsid w:val="62E87AF2"/>
    <w:rsid w:val="62EC717B"/>
    <w:rsid w:val="631C2AAD"/>
    <w:rsid w:val="63212B0F"/>
    <w:rsid w:val="63293771"/>
    <w:rsid w:val="63696264"/>
    <w:rsid w:val="63775C51"/>
    <w:rsid w:val="637B5C20"/>
    <w:rsid w:val="639932C3"/>
    <w:rsid w:val="63BE5B43"/>
    <w:rsid w:val="63D50322"/>
    <w:rsid w:val="63EB4ECB"/>
    <w:rsid w:val="63EF49BB"/>
    <w:rsid w:val="63F16DE3"/>
    <w:rsid w:val="642219AF"/>
    <w:rsid w:val="642948EB"/>
    <w:rsid w:val="64504D2E"/>
    <w:rsid w:val="64524F45"/>
    <w:rsid w:val="64547214"/>
    <w:rsid w:val="64582EC3"/>
    <w:rsid w:val="646C35BE"/>
    <w:rsid w:val="64840FD8"/>
    <w:rsid w:val="64AA27AD"/>
    <w:rsid w:val="64E5263D"/>
    <w:rsid w:val="64F55880"/>
    <w:rsid w:val="64F56907"/>
    <w:rsid w:val="64FD6C64"/>
    <w:rsid w:val="650A67B2"/>
    <w:rsid w:val="65236C2B"/>
    <w:rsid w:val="65796C9C"/>
    <w:rsid w:val="659F41BF"/>
    <w:rsid w:val="65BA2DA7"/>
    <w:rsid w:val="65D04378"/>
    <w:rsid w:val="65D23C0C"/>
    <w:rsid w:val="65FC516D"/>
    <w:rsid w:val="66167543"/>
    <w:rsid w:val="662D4FF3"/>
    <w:rsid w:val="662F72F1"/>
    <w:rsid w:val="66546D57"/>
    <w:rsid w:val="665B3C42"/>
    <w:rsid w:val="665F74AA"/>
    <w:rsid w:val="666D7055"/>
    <w:rsid w:val="669A0526"/>
    <w:rsid w:val="669B3F62"/>
    <w:rsid w:val="66BF6000"/>
    <w:rsid w:val="66C02D4E"/>
    <w:rsid w:val="66C17C3B"/>
    <w:rsid w:val="66CE1876"/>
    <w:rsid w:val="66D16872"/>
    <w:rsid w:val="66FD73EF"/>
    <w:rsid w:val="6702212A"/>
    <w:rsid w:val="67086B6F"/>
    <w:rsid w:val="67183A9D"/>
    <w:rsid w:val="67260D47"/>
    <w:rsid w:val="67500981"/>
    <w:rsid w:val="67523745"/>
    <w:rsid w:val="67623DCA"/>
    <w:rsid w:val="67652216"/>
    <w:rsid w:val="678E3824"/>
    <w:rsid w:val="67985FCD"/>
    <w:rsid w:val="67D31EFE"/>
    <w:rsid w:val="67E85807"/>
    <w:rsid w:val="67F14680"/>
    <w:rsid w:val="68010DF7"/>
    <w:rsid w:val="6817003C"/>
    <w:rsid w:val="682269E1"/>
    <w:rsid w:val="68466970"/>
    <w:rsid w:val="689100EA"/>
    <w:rsid w:val="6895438F"/>
    <w:rsid w:val="68AC05A2"/>
    <w:rsid w:val="68D42427"/>
    <w:rsid w:val="68E02B24"/>
    <w:rsid w:val="68F27821"/>
    <w:rsid w:val="68F94DB3"/>
    <w:rsid w:val="691D5825"/>
    <w:rsid w:val="69366BE8"/>
    <w:rsid w:val="694D5CE0"/>
    <w:rsid w:val="696A5232"/>
    <w:rsid w:val="69A2602B"/>
    <w:rsid w:val="69AF24F6"/>
    <w:rsid w:val="69B65DA3"/>
    <w:rsid w:val="69D74B57"/>
    <w:rsid w:val="69DF4B8A"/>
    <w:rsid w:val="69EC54F9"/>
    <w:rsid w:val="69EF0803"/>
    <w:rsid w:val="69FF4345"/>
    <w:rsid w:val="6A032CC6"/>
    <w:rsid w:val="6A1A3E14"/>
    <w:rsid w:val="6A226D25"/>
    <w:rsid w:val="6A424EAA"/>
    <w:rsid w:val="6A5247E0"/>
    <w:rsid w:val="6A8B35E2"/>
    <w:rsid w:val="6AA133CC"/>
    <w:rsid w:val="6AA6687F"/>
    <w:rsid w:val="6AD966CF"/>
    <w:rsid w:val="6B1271E1"/>
    <w:rsid w:val="6B3731C0"/>
    <w:rsid w:val="6B395CD4"/>
    <w:rsid w:val="6B8870FF"/>
    <w:rsid w:val="6B8924AA"/>
    <w:rsid w:val="6B947424"/>
    <w:rsid w:val="6BA05304"/>
    <w:rsid w:val="6BA75B7B"/>
    <w:rsid w:val="6BBB5AFD"/>
    <w:rsid w:val="6BD01808"/>
    <w:rsid w:val="6BEA3616"/>
    <w:rsid w:val="6C1029BA"/>
    <w:rsid w:val="6C136D6D"/>
    <w:rsid w:val="6C3304CF"/>
    <w:rsid w:val="6C411B2C"/>
    <w:rsid w:val="6C4258A4"/>
    <w:rsid w:val="6C4E460A"/>
    <w:rsid w:val="6C5D58A2"/>
    <w:rsid w:val="6C89702F"/>
    <w:rsid w:val="6C97799E"/>
    <w:rsid w:val="6CB4512C"/>
    <w:rsid w:val="6CC91B21"/>
    <w:rsid w:val="6CCF5389"/>
    <w:rsid w:val="6CDB75B4"/>
    <w:rsid w:val="6CE06719"/>
    <w:rsid w:val="6CF938AA"/>
    <w:rsid w:val="6D254FA9"/>
    <w:rsid w:val="6D8B50A2"/>
    <w:rsid w:val="6D9238C0"/>
    <w:rsid w:val="6DA22F6A"/>
    <w:rsid w:val="6DAC16F6"/>
    <w:rsid w:val="6DEC5AC7"/>
    <w:rsid w:val="6E495612"/>
    <w:rsid w:val="6E684E3D"/>
    <w:rsid w:val="6E9C360D"/>
    <w:rsid w:val="6E9E7CCC"/>
    <w:rsid w:val="6EA07AE8"/>
    <w:rsid w:val="6EF56651"/>
    <w:rsid w:val="6EF5784A"/>
    <w:rsid w:val="6EFA4214"/>
    <w:rsid w:val="6F010A1E"/>
    <w:rsid w:val="6F0642E6"/>
    <w:rsid w:val="6F103AFE"/>
    <w:rsid w:val="6F227524"/>
    <w:rsid w:val="6F283233"/>
    <w:rsid w:val="6F344FFD"/>
    <w:rsid w:val="6F3E67F6"/>
    <w:rsid w:val="6F4F4AD5"/>
    <w:rsid w:val="6F53655E"/>
    <w:rsid w:val="6F54596F"/>
    <w:rsid w:val="6F6C2254"/>
    <w:rsid w:val="6F9B77A5"/>
    <w:rsid w:val="6FAF2184"/>
    <w:rsid w:val="6FBA4F68"/>
    <w:rsid w:val="6FD0512F"/>
    <w:rsid w:val="6FDD7DBD"/>
    <w:rsid w:val="702E3BFE"/>
    <w:rsid w:val="703261F9"/>
    <w:rsid w:val="7039728F"/>
    <w:rsid w:val="703D5C12"/>
    <w:rsid w:val="704A2F79"/>
    <w:rsid w:val="706F18CF"/>
    <w:rsid w:val="70893AA1"/>
    <w:rsid w:val="709661BE"/>
    <w:rsid w:val="70A16E98"/>
    <w:rsid w:val="70B054D2"/>
    <w:rsid w:val="70B56BEB"/>
    <w:rsid w:val="70ED1EAC"/>
    <w:rsid w:val="70F97850"/>
    <w:rsid w:val="711C66C3"/>
    <w:rsid w:val="71253A76"/>
    <w:rsid w:val="712B6C2E"/>
    <w:rsid w:val="71401BDB"/>
    <w:rsid w:val="714A7468"/>
    <w:rsid w:val="71663DE2"/>
    <w:rsid w:val="71770865"/>
    <w:rsid w:val="71AD7033"/>
    <w:rsid w:val="71B056C9"/>
    <w:rsid w:val="71D75792"/>
    <w:rsid w:val="71E759E4"/>
    <w:rsid w:val="71F61977"/>
    <w:rsid w:val="71F907B3"/>
    <w:rsid w:val="72030793"/>
    <w:rsid w:val="72061D6B"/>
    <w:rsid w:val="720A351C"/>
    <w:rsid w:val="720F2BF6"/>
    <w:rsid w:val="7231495E"/>
    <w:rsid w:val="72331F17"/>
    <w:rsid w:val="72385C55"/>
    <w:rsid w:val="723E7448"/>
    <w:rsid w:val="725453F3"/>
    <w:rsid w:val="725D5076"/>
    <w:rsid w:val="728C4044"/>
    <w:rsid w:val="729B5D0E"/>
    <w:rsid w:val="72B4247F"/>
    <w:rsid w:val="72D27981"/>
    <w:rsid w:val="72E41463"/>
    <w:rsid w:val="7306762B"/>
    <w:rsid w:val="733F2580"/>
    <w:rsid w:val="734405DF"/>
    <w:rsid w:val="73596FD5"/>
    <w:rsid w:val="736A735B"/>
    <w:rsid w:val="737E5413"/>
    <w:rsid w:val="739E5AB6"/>
    <w:rsid w:val="73B21561"/>
    <w:rsid w:val="73B2330F"/>
    <w:rsid w:val="740A314B"/>
    <w:rsid w:val="74241866"/>
    <w:rsid w:val="747F47C3"/>
    <w:rsid w:val="74890514"/>
    <w:rsid w:val="749E2F49"/>
    <w:rsid w:val="74A13B37"/>
    <w:rsid w:val="74A62535"/>
    <w:rsid w:val="74AF2E43"/>
    <w:rsid w:val="74B0644B"/>
    <w:rsid w:val="74C804E3"/>
    <w:rsid w:val="750664E2"/>
    <w:rsid w:val="75161A3A"/>
    <w:rsid w:val="7557416E"/>
    <w:rsid w:val="75626D1E"/>
    <w:rsid w:val="75630D65"/>
    <w:rsid w:val="759B0C84"/>
    <w:rsid w:val="75CA03CB"/>
    <w:rsid w:val="75D206DA"/>
    <w:rsid w:val="75E26435"/>
    <w:rsid w:val="75EF7E5F"/>
    <w:rsid w:val="76181693"/>
    <w:rsid w:val="761908A8"/>
    <w:rsid w:val="762F2C12"/>
    <w:rsid w:val="765863F0"/>
    <w:rsid w:val="767C0ECA"/>
    <w:rsid w:val="769C4A17"/>
    <w:rsid w:val="76BE551B"/>
    <w:rsid w:val="76D2427B"/>
    <w:rsid w:val="76DC38A4"/>
    <w:rsid w:val="773E3A17"/>
    <w:rsid w:val="77824698"/>
    <w:rsid w:val="77852E52"/>
    <w:rsid w:val="778B28B2"/>
    <w:rsid w:val="77B92EBE"/>
    <w:rsid w:val="77BA6C36"/>
    <w:rsid w:val="77D56DD9"/>
    <w:rsid w:val="77E3357B"/>
    <w:rsid w:val="78032187"/>
    <w:rsid w:val="781B3576"/>
    <w:rsid w:val="78417DFD"/>
    <w:rsid w:val="78482494"/>
    <w:rsid w:val="7866354D"/>
    <w:rsid w:val="786F17CF"/>
    <w:rsid w:val="78A15E32"/>
    <w:rsid w:val="78AB6988"/>
    <w:rsid w:val="78B30685"/>
    <w:rsid w:val="78BE2D1F"/>
    <w:rsid w:val="78CD701B"/>
    <w:rsid w:val="78D15FE5"/>
    <w:rsid w:val="78E421BD"/>
    <w:rsid w:val="78EF2487"/>
    <w:rsid w:val="78F9378E"/>
    <w:rsid w:val="78FB0274"/>
    <w:rsid w:val="791111A4"/>
    <w:rsid w:val="79404F19"/>
    <w:rsid w:val="79413483"/>
    <w:rsid w:val="794175AC"/>
    <w:rsid w:val="795804B5"/>
    <w:rsid w:val="79644194"/>
    <w:rsid w:val="7967694A"/>
    <w:rsid w:val="797F6500"/>
    <w:rsid w:val="79AE7702"/>
    <w:rsid w:val="79B12DF8"/>
    <w:rsid w:val="79CB0C87"/>
    <w:rsid w:val="7A1B2754"/>
    <w:rsid w:val="7A1C7BE9"/>
    <w:rsid w:val="7A4A42A1"/>
    <w:rsid w:val="7A8F54C7"/>
    <w:rsid w:val="7AAC2004"/>
    <w:rsid w:val="7AB102BC"/>
    <w:rsid w:val="7AD02D62"/>
    <w:rsid w:val="7AD23BA6"/>
    <w:rsid w:val="7AD4000F"/>
    <w:rsid w:val="7AE73281"/>
    <w:rsid w:val="7B51165F"/>
    <w:rsid w:val="7B555621"/>
    <w:rsid w:val="7B666390"/>
    <w:rsid w:val="7B786BEC"/>
    <w:rsid w:val="7B7A0E53"/>
    <w:rsid w:val="7B910738"/>
    <w:rsid w:val="7B94288B"/>
    <w:rsid w:val="7BAE72B6"/>
    <w:rsid w:val="7BC2430B"/>
    <w:rsid w:val="7C075B78"/>
    <w:rsid w:val="7C2F2250"/>
    <w:rsid w:val="7C4F3A71"/>
    <w:rsid w:val="7C8A2995"/>
    <w:rsid w:val="7CC37BC7"/>
    <w:rsid w:val="7D0A3D17"/>
    <w:rsid w:val="7D0F0A07"/>
    <w:rsid w:val="7D126F6F"/>
    <w:rsid w:val="7D346033"/>
    <w:rsid w:val="7D5A38DA"/>
    <w:rsid w:val="7D627B54"/>
    <w:rsid w:val="7D823F98"/>
    <w:rsid w:val="7D917500"/>
    <w:rsid w:val="7D9B685E"/>
    <w:rsid w:val="7DDA593C"/>
    <w:rsid w:val="7DE1316F"/>
    <w:rsid w:val="7E1E6400"/>
    <w:rsid w:val="7E3A49DE"/>
    <w:rsid w:val="7E6A0D19"/>
    <w:rsid w:val="7E6F2790"/>
    <w:rsid w:val="7E767617"/>
    <w:rsid w:val="7E7C25E5"/>
    <w:rsid w:val="7E801EC1"/>
    <w:rsid w:val="7E967955"/>
    <w:rsid w:val="7EAC1025"/>
    <w:rsid w:val="7F052582"/>
    <w:rsid w:val="7F40228A"/>
    <w:rsid w:val="7F4E7CD9"/>
    <w:rsid w:val="7F530BAA"/>
    <w:rsid w:val="7F536CA2"/>
    <w:rsid w:val="7F721BA4"/>
    <w:rsid w:val="7F7325F8"/>
    <w:rsid w:val="7F853FCE"/>
    <w:rsid w:val="7FD83CAA"/>
    <w:rsid w:val="7FFD6C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360" w:lineRule="auto"/>
      <w:ind w:firstLine="1040" w:firstLineChars="200"/>
      <w:outlineLvl w:val="0"/>
    </w:pPr>
    <w:rPr>
      <w:rFonts w:ascii="Times New Roman" w:hAnsi="Times New Roman" w:eastAsia="黑体"/>
      <w:b/>
      <w:bCs/>
      <w:kern w:val="44"/>
      <w:sz w:val="32"/>
      <w:szCs w:val="44"/>
    </w:rPr>
  </w:style>
  <w:style w:type="paragraph" w:styleId="6">
    <w:name w:val="heading 2"/>
    <w:basedOn w:val="1"/>
    <w:next w:val="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link w:val="28"/>
    <w:qFormat/>
    <w:uiPriority w:val="0"/>
    <w:pPr>
      <w:keepNext/>
      <w:keepLines/>
      <w:spacing w:beforeLines="0" w:beforeAutospacing="0" w:afterLines="0" w:afterAutospacing="0" w:line="360" w:lineRule="auto"/>
      <w:ind w:firstLine="1040" w:firstLineChars="200"/>
      <w:outlineLvl w:val="2"/>
    </w:pPr>
    <w:rPr>
      <w:rFonts w:ascii="Times New Roman" w:hAnsi="Times New Roman" w:eastAsia="楷体"/>
      <w:sz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unhideWhenUsed/>
    <w:qFormat/>
    <w:uiPriority w:val="99"/>
    <w:pPr>
      <w:spacing w:after="120"/>
      <w:ind w:firstLine="420" w:firstLineChars="100"/>
    </w:pPr>
    <w:rPr>
      <w:rFonts w:ascii="Times New Roman" w:hAnsi="Times New Roman"/>
      <w:kern w:val="2"/>
      <w:sz w:val="21"/>
    </w:rPr>
  </w:style>
  <w:style w:type="paragraph" w:styleId="4">
    <w:name w:val="toc 6"/>
    <w:basedOn w:val="1"/>
    <w:next w:val="1"/>
    <w:unhideWhenUsed/>
    <w:qFormat/>
    <w:uiPriority w:val="39"/>
    <w:pPr>
      <w:ind w:left="2100" w:leftChars="1000"/>
    </w:pPr>
    <w:rPr>
      <w:rFonts w:ascii="Calibri" w:hAnsi="Calibri" w:cs="黑体"/>
      <w:szCs w:val="22"/>
    </w:r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Document Map"/>
    <w:basedOn w:val="1"/>
    <w:link w:val="29"/>
    <w:qFormat/>
    <w:uiPriority w:val="0"/>
    <w:rPr>
      <w:rFonts w:ascii="宋体"/>
      <w:sz w:val="18"/>
      <w:szCs w:val="18"/>
    </w:rPr>
  </w:style>
  <w:style w:type="paragraph" w:styleId="10">
    <w:name w:val="annotation text"/>
    <w:basedOn w:val="1"/>
    <w:qFormat/>
    <w:uiPriority w:val="0"/>
    <w:pPr>
      <w:jc w:val="left"/>
    </w:pPr>
  </w:style>
  <w:style w:type="paragraph" w:styleId="11">
    <w:name w:val="Body Text Indent"/>
    <w:basedOn w:val="1"/>
    <w:qFormat/>
    <w:uiPriority w:val="0"/>
    <w:pPr>
      <w:spacing w:line="480" w:lineRule="exact"/>
      <w:ind w:firstLine="480" w:firstLineChars="200"/>
    </w:pPr>
    <w:rPr>
      <w:rFonts w:ascii="宋体" w:hAnsi="宋体"/>
      <w:sz w:val="24"/>
    </w:rPr>
  </w:style>
  <w:style w:type="paragraph" w:styleId="12">
    <w:name w:val="Plain Text"/>
    <w:basedOn w:val="1"/>
    <w:link w:val="30"/>
    <w:qFormat/>
    <w:uiPriority w:val="0"/>
    <w:rPr>
      <w:rFonts w:ascii="宋体" w:hAnsi="Courier New"/>
      <w:snapToGrid w:val="0"/>
      <w:szCs w:val="21"/>
    </w:rPr>
  </w:style>
  <w:style w:type="paragraph" w:styleId="13">
    <w:name w:val="Date"/>
    <w:basedOn w:val="1"/>
    <w:next w:val="1"/>
    <w:qFormat/>
    <w:uiPriority w:val="0"/>
    <w:pPr>
      <w:ind w:left="100" w:leftChars="2500"/>
    </w:pPr>
    <w:rPr>
      <w:rFonts w:ascii="宋体"/>
      <w:sz w:val="24"/>
      <w:szCs w:val="21"/>
      <w:lang w:val="zh-CN"/>
    </w:rPr>
  </w:style>
  <w:style w:type="paragraph" w:styleId="14">
    <w:name w:val="Balloon Text"/>
    <w:basedOn w:val="1"/>
    <w:link w:val="31"/>
    <w:qFormat/>
    <w:uiPriority w:val="0"/>
    <w:rPr>
      <w:sz w:val="18"/>
      <w:szCs w:val="18"/>
    </w:rPr>
  </w:style>
  <w:style w:type="paragraph" w:styleId="15">
    <w:name w:val="footer"/>
    <w:basedOn w:val="1"/>
    <w:link w:val="32"/>
    <w:qFormat/>
    <w:uiPriority w:val="99"/>
    <w:pPr>
      <w:tabs>
        <w:tab w:val="center" w:pos="4153"/>
        <w:tab w:val="right" w:pos="8306"/>
      </w:tabs>
      <w:snapToGrid w:val="0"/>
      <w:jc w:val="left"/>
    </w:pPr>
    <w:rPr>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ind w:right="360"/>
    </w:pPr>
    <w:rPr>
      <w:rFonts w:ascii="仿宋_GB2312" w:eastAsia="仿宋_GB2312"/>
      <w:b/>
      <w:i/>
      <w:sz w:val="18"/>
      <w:szCs w:val="18"/>
      <w:u w:val="single"/>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semiHidden/>
    <w:qFormat/>
    <w:uiPriority w:val="0"/>
    <w:pPr>
      <w:ind w:left="210"/>
      <w:jc w:val="left"/>
    </w:pPr>
    <w:rPr>
      <w:smallCaps/>
    </w:rPr>
  </w:style>
  <w:style w:type="paragraph" w:styleId="19">
    <w:name w:val="Normal (Web)"/>
    <w:basedOn w:val="1"/>
    <w:qFormat/>
    <w:uiPriority w:val="0"/>
    <w:pPr>
      <w:widowControl/>
      <w:spacing w:before="100" w:beforeLines="0" w:beforeAutospacing="1" w:after="100" w:afterLines="0" w:afterAutospacing="1"/>
      <w:jc w:val="left"/>
    </w:pPr>
    <w:rPr>
      <w:kern w:val="0"/>
      <w:sz w:val="24"/>
    </w:rPr>
  </w:style>
  <w:style w:type="paragraph" w:styleId="20">
    <w:name w:val="Title"/>
    <w:basedOn w:val="1"/>
    <w:next w:val="1"/>
    <w:qFormat/>
    <w:uiPriority w:val="0"/>
    <w:pPr>
      <w:spacing w:before="240" w:after="60"/>
      <w:jc w:val="center"/>
      <w:outlineLvl w:val="0"/>
    </w:pPr>
    <w:rPr>
      <w:rFonts w:ascii="Cambria" w:hAnsi="Cambria" w:cs="Times New Roman"/>
      <w:b/>
      <w:bCs/>
      <w:sz w:val="32"/>
      <w:szCs w:val="32"/>
    </w:rPr>
  </w:style>
  <w:style w:type="paragraph" w:styleId="21">
    <w:name w:val="Body Text First Indent 2"/>
    <w:basedOn w:val="11"/>
    <w:next w:val="1"/>
    <w:qFormat/>
    <w:uiPriority w:val="0"/>
    <w:pPr>
      <w:ind w:firstLine="420" w:firstLineChars="200"/>
    </w:pPr>
    <w:rPr>
      <w:rFonts w:ascii="Times New Roman" w:hAnsi="Times New Roman" w:cs="Times New Roman"/>
      <w:lang w:val="zh-C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qFormat/>
    <w:uiPriority w:val="0"/>
    <w:rPr>
      <w:rFonts w:ascii="Arial" w:hAnsi="Arial" w:eastAsia="黑体" w:cs="Arial"/>
      <w:snapToGrid w:val="0"/>
      <w:kern w:val="0"/>
      <w:szCs w:val="21"/>
    </w:rPr>
  </w:style>
  <w:style w:type="character" w:styleId="27">
    <w:name w:val="Hyperlink"/>
    <w:qFormat/>
    <w:uiPriority w:val="99"/>
    <w:rPr>
      <w:rFonts w:ascii="Arial" w:hAnsi="Arial" w:eastAsia="黑体" w:cs="Arial"/>
      <w:snapToGrid w:val="0"/>
      <w:color w:val="000000"/>
      <w:kern w:val="0"/>
      <w:sz w:val="18"/>
      <w:szCs w:val="18"/>
      <w:u w:val="none"/>
    </w:rPr>
  </w:style>
  <w:style w:type="character" w:customStyle="1" w:styleId="28">
    <w:name w:val="标题 3 Char"/>
    <w:link w:val="8"/>
    <w:qFormat/>
    <w:uiPriority w:val="0"/>
    <w:rPr>
      <w:rFonts w:ascii="Times New Roman" w:hAnsi="Times New Roman" w:eastAsia="楷体"/>
      <w:sz w:val="32"/>
    </w:rPr>
  </w:style>
  <w:style w:type="character" w:customStyle="1" w:styleId="29">
    <w:name w:val="文档结构图 Char"/>
    <w:link w:val="9"/>
    <w:qFormat/>
    <w:uiPriority w:val="0"/>
    <w:rPr>
      <w:rFonts w:ascii="宋体"/>
      <w:kern w:val="2"/>
      <w:sz w:val="18"/>
      <w:szCs w:val="18"/>
    </w:rPr>
  </w:style>
  <w:style w:type="character" w:customStyle="1" w:styleId="30">
    <w:name w:val="纯文本 Char"/>
    <w:link w:val="12"/>
    <w:qFormat/>
    <w:uiPriority w:val="0"/>
    <w:rPr>
      <w:rFonts w:ascii="宋体" w:hAnsi="Courier New" w:cs="Arial"/>
      <w:snapToGrid w:val="0"/>
      <w:kern w:val="2"/>
      <w:sz w:val="21"/>
      <w:szCs w:val="21"/>
    </w:rPr>
  </w:style>
  <w:style w:type="character" w:customStyle="1" w:styleId="31">
    <w:name w:val="批注框文本 Char"/>
    <w:link w:val="14"/>
    <w:qFormat/>
    <w:uiPriority w:val="0"/>
    <w:rPr>
      <w:kern w:val="2"/>
      <w:sz w:val="18"/>
      <w:szCs w:val="18"/>
    </w:rPr>
  </w:style>
  <w:style w:type="character" w:customStyle="1" w:styleId="32">
    <w:name w:val="页脚 Char"/>
    <w:link w:val="15"/>
    <w:qFormat/>
    <w:uiPriority w:val="99"/>
    <w:rPr>
      <w:kern w:val="2"/>
      <w:sz w:val="18"/>
      <w:szCs w:val="18"/>
    </w:rPr>
  </w:style>
  <w:style w:type="character" w:customStyle="1" w:styleId="33">
    <w:name w:val="页眉 Char"/>
    <w:link w:val="16"/>
    <w:qFormat/>
    <w:uiPriority w:val="0"/>
    <w:rPr>
      <w:rFonts w:ascii="仿宋_GB2312" w:eastAsia="仿宋_GB2312"/>
      <w:b/>
      <w:i/>
      <w:kern w:val="2"/>
      <w:sz w:val="18"/>
      <w:szCs w:val="18"/>
      <w:u w:val="single"/>
    </w:rPr>
  </w:style>
  <w:style w:type="paragraph" w:customStyle="1" w:styleId="34">
    <w:name w:val="样式3"/>
    <w:basedOn w:val="12"/>
    <w:next w:val="1"/>
    <w:qFormat/>
    <w:uiPriority w:val="0"/>
    <w:pPr>
      <w:adjustRightInd/>
      <w:textAlignment w:val="auto"/>
    </w:pPr>
    <w:rPr>
      <w:rFonts w:ascii="Times New Roman" w:hAnsi="Times New Roman" w:eastAsia="宋体" w:cs="Times New Roman"/>
      <w:kern w:val="2"/>
      <w:sz w:val="21"/>
      <w:szCs w:val="20"/>
    </w:rPr>
  </w:style>
  <w:style w:type="paragraph" w:customStyle="1" w:styleId="35">
    <w:name w:val="索引 11"/>
    <w:basedOn w:val="1"/>
    <w:next w:val="1"/>
    <w:qFormat/>
    <w:uiPriority w:val="99"/>
    <w:pPr>
      <w:adjustRightInd/>
      <w:spacing w:line="360" w:lineRule="auto"/>
    </w:pPr>
    <w:rPr>
      <w:rFonts w:ascii="仿宋_GB2312" w:eastAsia="仿宋_GB2312"/>
      <w:sz w:val="24"/>
      <w:szCs w:val="20"/>
    </w:rPr>
  </w:style>
  <w:style w:type="paragraph" w:customStyle="1" w:styleId="36">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8">
    <w:name w:val="正文段"/>
    <w:basedOn w:val="1"/>
    <w:qFormat/>
    <w:uiPriority w:val="0"/>
    <w:pPr>
      <w:widowControl/>
      <w:numPr>
        <w:ilvl w:val="0"/>
        <w:numId w:val="1"/>
      </w:numPr>
      <w:tabs>
        <w:tab w:val="left" w:pos="1200"/>
      </w:tabs>
      <w:snapToGrid w:val="0"/>
      <w:spacing w:afterLines="50"/>
    </w:pPr>
    <w:rPr>
      <w:rFonts w:ascii="Times New Roman" w:hAnsi="Times New Roman"/>
      <w:kern w:val="0"/>
      <w:sz w:val="24"/>
      <w:szCs w:val="20"/>
    </w:rPr>
  </w:style>
  <w:style w:type="paragraph" w:customStyle="1" w:styleId="39">
    <w:name w:val="纯文本_0_0"/>
    <w:basedOn w:val="40"/>
    <w:qFormat/>
    <w:uiPriority w:val="0"/>
    <w:rPr>
      <w:rFonts w:ascii="宋体" w:hAnsi="Courier New"/>
      <w:szCs w:val="21"/>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2">
    <w:name w:val="_Style 3"/>
    <w:basedOn w:val="1"/>
    <w:qFormat/>
    <w:uiPriority w:val="0"/>
    <w:pPr>
      <w:adjustRightInd/>
      <w:ind w:firstLine="420" w:firstLineChars="200"/>
    </w:pPr>
    <w:rPr>
      <w:rFonts w:eastAsia="仿宋_GB2312"/>
      <w:sz w:val="28"/>
    </w:rPr>
  </w:style>
  <w:style w:type="paragraph" w:customStyle="1" w:styleId="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4">
    <w:name w:val="p0"/>
    <w:basedOn w:val="1"/>
    <w:qFormat/>
    <w:uiPriority w:val="0"/>
    <w:pPr>
      <w:widowControl/>
    </w:pPr>
    <w:rPr>
      <w:rFonts w:ascii="Calibri" w:hAnsi="Calibri" w:eastAsia="宋体" w:cs="Times New Roman"/>
      <w:kern w:val="0"/>
      <w:szCs w:val="21"/>
    </w:rPr>
  </w:style>
  <w:style w:type="paragraph" w:customStyle="1" w:styleId="45">
    <w:name w:val="首行缩进"/>
    <w:basedOn w:val="11"/>
    <w:qFormat/>
    <w:uiPriority w:val="0"/>
    <w:pPr>
      <w:spacing w:line="400" w:lineRule="exact"/>
      <w:ind w:firstLine="200"/>
    </w:pPr>
    <w:rPr>
      <w:rFonts w:ascii="宋体" w:hAnsi="宋体"/>
      <w:sz w:val="21"/>
      <w:szCs w:val="21"/>
    </w:rPr>
  </w:style>
  <w:style w:type="paragraph" w:customStyle="1" w:styleId="46">
    <w:name w:val="纯文本1"/>
    <w:basedOn w:val="1"/>
    <w:qFormat/>
    <w:uiPriority w:val="0"/>
    <w:pPr>
      <w:adjustRightInd/>
    </w:pPr>
    <w:rPr>
      <w:rFonts w:ascii="宋体" w:hAnsi="Courier New"/>
      <w:kern w:val="0"/>
      <w:sz w:val="20"/>
      <w:szCs w:val="20"/>
    </w:rPr>
  </w:style>
  <w:style w:type="paragraph" w:customStyle="1" w:styleId="47">
    <w:name w:val="正文2"/>
    <w:basedOn w:val="1"/>
    <w:qFormat/>
    <w:uiPriority w:val="0"/>
    <w:pPr>
      <w:spacing w:before="156" w:line="360" w:lineRule="auto"/>
      <w:ind w:firstLine="510" w:firstLineChars="200"/>
    </w:pPr>
    <w:rPr>
      <w:sz w:val="24"/>
      <w:szCs w:val="20"/>
    </w:rPr>
  </w:style>
  <w:style w:type="paragraph" w:customStyle="1" w:styleId="48">
    <w:name w:val="_Style 1"/>
    <w:basedOn w:val="1"/>
    <w:qFormat/>
    <w:uiPriority w:val="0"/>
    <w:pPr>
      <w:ind w:firstLine="420" w:firstLineChars="200"/>
    </w:pPr>
    <w:rPr>
      <w:rFonts w:ascii="Calibri" w:hAnsi="Calibri"/>
      <w:szCs w:val="22"/>
    </w:rPr>
  </w:style>
  <w:style w:type="paragraph" w:customStyle="1" w:styleId="49">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table" w:customStyle="1" w:styleId="50">
    <w:name w:val="Table Normal"/>
    <w:unhideWhenUsed/>
    <w:qFormat/>
    <w:uiPriority w:val="0"/>
    <w:tblPr>
      <w:tblCellMar>
        <w:top w:w="0" w:type="dxa"/>
        <w:left w:w="0" w:type="dxa"/>
        <w:bottom w:w="0" w:type="dxa"/>
        <w:right w:w="0" w:type="dxa"/>
      </w:tblCellMar>
    </w:tblPr>
  </w:style>
  <w:style w:type="paragraph" w:customStyle="1" w:styleId="51">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86</Pages>
  <Words>3615</Words>
  <Characters>3968</Characters>
  <Lines>420</Lines>
  <Paragraphs>118</Paragraphs>
  <TotalTime>26</TotalTime>
  <ScaleCrop>false</ScaleCrop>
  <LinksUpToDate>false</LinksUpToDate>
  <CharactersWithSpaces>4083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冰比冰水冰_周雨²º¹⁸</cp:lastModifiedBy>
  <cp:lastPrinted>2024-06-19T00:34:00Z</cp:lastPrinted>
  <dcterms:modified xsi:type="dcterms:W3CDTF">2025-02-06T07:03:26Z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03694942A1114D52BF3DD880954B7638_13</vt:lpwstr>
  </property>
  <property fmtid="{D5CDD505-2E9C-101B-9397-08002B2CF9AE}" pid="4" name="KSOTemplateDocerSaveRecord">
    <vt:lpwstr>eyJoZGlkIjoiOGRlNDZmZTNkNjA0M2NkZjA5ZTQ2MjQ1OTJkMzkyNDgiLCJ1c2VySWQiOiIzNjY5MjM4MzUifQ==</vt:lpwstr>
  </property>
</Properties>
</file>